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CE47F" w14:textId="6A232B99" w:rsidR="00B731EB" w:rsidRDefault="00B731EB" w:rsidP="00B731EB">
      <w:pPr>
        <w:autoSpaceDE w:val="0"/>
        <w:autoSpaceDN w:val="0"/>
        <w:bidi w:val="0"/>
        <w:adjustRightInd w:val="0"/>
        <w:spacing w:after="0" w:line="240" w:lineRule="auto"/>
        <w:jc w:val="center"/>
        <w:rPr>
          <w:rFonts w:asciiTheme="majorBidi" w:eastAsia="Calibri" w:hAnsiTheme="majorBidi" w:cstheme="majorBidi"/>
          <w:b/>
          <w:bCs/>
          <w:sz w:val="28"/>
          <w:szCs w:val="28"/>
          <w:lang w:bidi="ar-IQ"/>
        </w:rPr>
      </w:pPr>
      <w:r w:rsidRPr="00A65C61">
        <w:rPr>
          <w:rFonts w:asciiTheme="majorBidi" w:eastAsia="Calibri" w:hAnsiTheme="majorBidi" w:cstheme="majorBidi"/>
          <w:b/>
          <w:bCs/>
          <w:color w:val="000000"/>
          <w:sz w:val="28"/>
          <w:szCs w:val="28"/>
          <w:lang w:bidi="ar-IQ"/>
        </w:rPr>
        <w:t>Behavior of Normal and Hybrid Streng</w:t>
      </w:r>
      <w:r w:rsidRPr="00A65C61">
        <w:rPr>
          <w:rFonts w:asciiTheme="majorBidi" w:eastAsia="Calibri" w:hAnsiTheme="majorBidi" w:cstheme="majorBidi"/>
          <w:b/>
          <w:bCs/>
          <w:sz w:val="28"/>
          <w:szCs w:val="28"/>
          <w:lang w:bidi="ar-IQ"/>
        </w:rPr>
        <w:t>th Reinforced Conc</w:t>
      </w:r>
      <w:r w:rsidR="00162142" w:rsidRPr="00A65C61">
        <w:rPr>
          <w:rFonts w:asciiTheme="majorBidi" w:eastAsia="Calibri" w:hAnsiTheme="majorBidi" w:cstheme="majorBidi"/>
          <w:b/>
          <w:bCs/>
          <w:sz w:val="28"/>
          <w:szCs w:val="28"/>
          <w:lang w:bidi="ar-IQ"/>
        </w:rPr>
        <w:t>rete</w:t>
      </w:r>
      <w:r w:rsidRPr="00A65C61">
        <w:rPr>
          <w:rFonts w:asciiTheme="majorBidi" w:eastAsia="Calibri" w:hAnsiTheme="majorBidi" w:cstheme="majorBidi"/>
          <w:b/>
          <w:bCs/>
          <w:sz w:val="28"/>
          <w:szCs w:val="28"/>
          <w:lang w:bidi="ar-IQ"/>
        </w:rPr>
        <w:t xml:space="preserve"> Corbels</w:t>
      </w:r>
      <w:r w:rsidRPr="00A65C61">
        <w:rPr>
          <w:rFonts w:asciiTheme="majorBidi" w:eastAsia="Calibri" w:hAnsiTheme="majorBidi" w:cstheme="majorBidi"/>
          <w:b/>
          <w:bCs/>
          <w:color w:val="000000"/>
          <w:sz w:val="28"/>
          <w:szCs w:val="28"/>
          <w:lang w:bidi="ar-IQ"/>
        </w:rPr>
        <w:t xml:space="preserve"> Strengthened</w:t>
      </w:r>
      <w:r w:rsidRPr="00A65C61">
        <w:rPr>
          <w:rFonts w:asciiTheme="majorBidi" w:eastAsia="Calibri" w:hAnsiTheme="majorBidi" w:cstheme="majorBidi"/>
          <w:b/>
          <w:bCs/>
          <w:sz w:val="28"/>
          <w:szCs w:val="28"/>
          <w:lang w:bidi="ar-IQ"/>
        </w:rPr>
        <w:t xml:space="preserve"> with Steel Plate</w:t>
      </w:r>
    </w:p>
    <w:p w14:paraId="395244C1" w14:textId="77777777" w:rsidR="0057429C" w:rsidRPr="00A65C61" w:rsidRDefault="0057429C" w:rsidP="0057429C">
      <w:pPr>
        <w:autoSpaceDE w:val="0"/>
        <w:autoSpaceDN w:val="0"/>
        <w:bidi w:val="0"/>
        <w:adjustRightInd w:val="0"/>
        <w:spacing w:after="0" w:line="240" w:lineRule="auto"/>
        <w:jc w:val="center"/>
        <w:rPr>
          <w:rFonts w:asciiTheme="majorBidi" w:eastAsia="Calibri" w:hAnsiTheme="majorBidi" w:cstheme="majorBidi"/>
          <w:b/>
          <w:bCs/>
          <w:sz w:val="28"/>
          <w:szCs w:val="28"/>
          <w:lang w:bidi="ar-IQ"/>
        </w:rPr>
      </w:pPr>
    </w:p>
    <w:p w14:paraId="7A4A5DBF" w14:textId="77777777" w:rsidR="001B3735" w:rsidRDefault="001B3735">
      <w:pPr>
        <w:rPr>
          <w:rFonts w:asciiTheme="majorBidi" w:hAnsiTheme="majorBidi" w:cstheme="majorBidi"/>
          <w:sz w:val="28"/>
          <w:szCs w:val="28"/>
          <w:rtl/>
        </w:rPr>
      </w:pPr>
      <w:bookmarkStart w:id="0" w:name="_GoBack"/>
      <w:bookmarkEnd w:id="0"/>
    </w:p>
    <w:p w14:paraId="17FEA6C4" w14:textId="77777777" w:rsidR="00700F34" w:rsidRPr="00A65C61" w:rsidRDefault="00700F34">
      <w:pPr>
        <w:rPr>
          <w:rFonts w:asciiTheme="majorBidi" w:hAnsiTheme="majorBidi" w:cstheme="majorBidi"/>
          <w:sz w:val="28"/>
          <w:szCs w:val="28"/>
        </w:rPr>
      </w:pPr>
    </w:p>
    <w:p w14:paraId="2BCCA389" w14:textId="4ACE5938" w:rsidR="000146F1" w:rsidRDefault="00B731EB" w:rsidP="00961A41">
      <w:pPr>
        <w:bidi w:val="0"/>
        <w:jc w:val="both"/>
        <w:rPr>
          <w:rFonts w:asciiTheme="majorBidi" w:hAnsiTheme="majorBidi" w:cstheme="majorBidi"/>
          <w:color w:val="000000"/>
          <w:sz w:val="28"/>
          <w:szCs w:val="28"/>
        </w:rPr>
      </w:pPr>
      <w:r w:rsidRPr="00A65C61">
        <w:rPr>
          <w:rFonts w:asciiTheme="majorBidi" w:hAnsiTheme="majorBidi" w:cstheme="majorBidi"/>
          <w:b/>
          <w:bCs/>
          <w:color w:val="000000"/>
          <w:sz w:val="28"/>
          <w:szCs w:val="28"/>
        </w:rPr>
        <w:t xml:space="preserve">Abstract: </w:t>
      </w:r>
      <w:r w:rsidRPr="00A65C61">
        <w:rPr>
          <w:rFonts w:asciiTheme="majorBidi" w:hAnsiTheme="majorBidi" w:cstheme="majorBidi"/>
          <w:color w:val="000000"/>
          <w:sz w:val="28"/>
          <w:szCs w:val="28"/>
        </w:rPr>
        <w:t xml:space="preserve">This </w:t>
      </w:r>
      <w:r w:rsidR="00936962">
        <w:rPr>
          <w:rFonts w:asciiTheme="majorBidi" w:hAnsiTheme="majorBidi" w:cstheme="majorBidi"/>
          <w:color w:val="000000"/>
          <w:sz w:val="28"/>
          <w:szCs w:val="28"/>
        </w:rPr>
        <w:t>paper presents an experimental study</w:t>
      </w:r>
      <w:r w:rsidRPr="00A65C61">
        <w:rPr>
          <w:rFonts w:asciiTheme="majorBidi" w:hAnsiTheme="majorBidi" w:cstheme="majorBidi"/>
          <w:color w:val="000000"/>
          <w:sz w:val="28"/>
          <w:szCs w:val="28"/>
        </w:rPr>
        <w:t xml:space="preserve"> </w:t>
      </w:r>
      <w:r w:rsidR="00936962">
        <w:rPr>
          <w:rFonts w:asciiTheme="majorBidi" w:hAnsiTheme="majorBidi" w:cstheme="majorBidi"/>
          <w:color w:val="000000"/>
          <w:sz w:val="28"/>
          <w:szCs w:val="28"/>
        </w:rPr>
        <w:t xml:space="preserve">of behavior of reinforced concrete corbels strengthened </w:t>
      </w:r>
      <w:r w:rsidR="003C1D79">
        <w:rPr>
          <w:rFonts w:asciiTheme="majorBidi" w:hAnsiTheme="majorBidi" w:cstheme="majorBidi"/>
          <w:color w:val="000000"/>
          <w:sz w:val="28"/>
          <w:szCs w:val="28"/>
        </w:rPr>
        <w:t>with</w:t>
      </w:r>
      <w:r w:rsidR="00936962">
        <w:rPr>
          <w:rFonts w:asciiTheme="majorBidi" w:hAnsiTheme="majorBidi" w:cstheme="majorBidi"/>
          <w:color w:val="000000"/>
          <w:sz w:val="28"/>
          <w:szCs w:val="28"/>
        </w:rPr>
        <w:t xml:space="preserve"> steel plates. For this purpose, six specimens were prepared and tested. The study inspected the effect of some parameters on the structural behavior of corbels. The parameters included: the strength of concrete</w:t>
      </w:r>
      <w:r w:rsidR="003C1D79">
        <w:rPr>
          <w:rFonts w:asciiTheme="majorBidi" w:hAnsiTheme="majorBidi" w:cstheme="majorBidi"/>
          <w:color w:val="000000"/>
          <w:sz w:val="28"/>
          <w:szCs w:val="28"/>
        </w:rPr>
        <w:t xml:space="preserve"> and</w:t>
      </w:r>
      <w:r w:rsidR="00936962">
        <w:rPr>
          <w:rFonts w:asciiTheme="majorBidi" w:hAnsiTheme="majorBidi" w:cstheme="majorBidi"/>
          <w:color w:val="000000"/>
          <w:sz w:val="28"/>
          <w:szCs w:val="28"/>
        </w:rPr>
        <w:t xml:space="preserve"> shear span-to-effective depth ratio</w:t>
      </w:r>
      <w:r w:rsidR="003C1D79">
        <w:rPr>
          <w:rFonts w:asciiTheme="majorBidi" w:hAnsiTheme="majorBidi" w:cstheme="majorBidi"/>
          <w:color w:val="000000"/>
          <w:sz w:val="28"/>
          <w:szCs w:val="28"/>
        </w:rPr>
        <w:t>.</w:t>
      </w:r>
      <w:r w:rsidR="000146F1">
        <w:rPr>
          <w:rFonts w:asciiTheme="majorBidi" w:hAnsiTheme="majorBidi" w:cstheme="majorBidi"/>
          <w:color w:val="000000"/>
          <w:sz w:val="28"/>
          <w:szCs w:val="28"/>
        </w:rPr>
        <w:t xml:space="preserve"> Both cracking and ultimate loads increased when shear span-to-effective depth ratio was decreased.</w:t>
      </w:r>
      <w:r w:rsidR="003C1D79">
        <w:rPr>
          <w:rFonts w:asciiTheme="majorBidi" w:hAnsiTheme="majorBidi" w:cstheme="majorBidi"/>
          <w:color w:val="000000"/>
          <w:sz w:val="28"/>
          <w:szCs w:val="28"/>
        </w:rPr>
        <w:t xml:space="preserve"> </w:t>
      </w:r>
      <w:r w:rsidR="00B70BB7">
        <w:rPr>
          <w:rFonts w:asciiTheme="majorBidi" w:hAnsiTheme="majorBidi" w:cstheme="majorBidi"/>
          <w:color w:val="000000"/>
          <w:sz w:val="28"/>
          <w:szCs w:val="28"/>
        </w:rPr>
        <w:t xml:space="preserve">Increasing the compressive strength of concrete </w:t>
      </w:r>
      <w:r w:rsidR="00651659">
        <w:rPr>
          <w:rFonts w:asciiTheme="majorBidi" w:hAnsiTheme="majorBidi" w:cstheme="majorBidi"/>
          <w:color w:val="000000"/>
          <w:sz w:val="28"/>
          <w:szCs w:val="28"/>
        </w:rPr>
        <w:t xml:space="preserve">improved the load bearing and cracking capacity of the corbels. </w:t>
      </w:r>
      <w:r w:rsidR="00651659" w:rsidRPr="00251CE6">
        <w:rPr>
          <w:rFonts w:asciiTheme="majorBidi" w:hAnsiTheme="majorBidi" w:cstheme="majorBidi"/>
          <w:sz w:val="28"/>
          <w:szCs w:val="28"/>
        </w:rPr>
        <w:t>The ultimate load for hybrid strength concrete</w:t>
      </w:r>
      <w:r w:rsidR="00651659">
        <w:rPr>
          <w:rFonts w:asciiTheme="majorBidi" w:hAnsiTheme="majorBidi" w:cstheme="majorBidi"/>
          <w:sz w:val="28"/>
          <w:szCs w:val="28"/>
        </w:rPr>
        <w:t xml:space="preserve"> corbel </w:t>
      </w:r>
      <w:r w:rsidR="00651659" w:rsidRPr="00251CE6">
        <w:rPr>
          <w:rFonts w:asciiTheme="majorBidi" w:hAnsiTheme="majorBidi" w:cstheme="majorBidi"/>
          <w:sz w:val="28"/>
          <w:szCs w:val="28"/>
        </w:rPr>
        <w:t xml:space="preserve">increased by </w:t>
      </w:r>
      <w:r w:rsidR="00651659" w:rsidRPr="00251CE6">
        <w:rPr>
          <w:rFonts w:asciiTheme="majorBidi" w:hAnsiTheme="majorBidi" w:cstheme="majorBidi"/>
          <w:sz w:val="28"/>
          <w:szCs w:val="28"/>
          <w:lang w:val="en-AU"/>
        </w:rPr>
        <w:t>22.39</w:t>
      </w:r>
      <w:r w:rsidR="00651659" w:rsidRPr="00251CE6">
        <w:rPr>
          <w:rFonts w:asciiTheme="majorBidi" w:hAnsiTheme="majorBidi" w:cstheme="majorBidi"/>
          <w:sz w:val="28"/>
          <w:szCs w:val="28"/>
        </w:rPr>
        <w:t xml:space="preserve">% </w:t>
      </w:r>
      <w:r w:rsidR="00651659">
        <w:rPr>
          <w:rFonts w:asciiTheme="majorBidi" w:hAnsiTheme="majorBidi" w:cstheme="majorBidi"/>
          <w:sz w:val="28"/>
          <w:szCs w:val="28"/>
        </w:rPr>
        <w:t xml:space="preserve">while </w:t>
      </w:r>
      <w:r w:rsidR="00961A41">
        <w:rPr>
          <w:rFonts w:asciiTheme="majorBidi" w:hAnsiTheme="majorBidi" w:cstheme="majorBidi"/>
          <w:sz w:val="28"/>
          <w:szCs w:val="28"/>
        </w:rPr>
        <w:t xml:space="preserve">cracking load increased by 49.75% </w:t>
      </w:r>
      <w:r w:rsidR="00651659" w:rsidRPr="00251CE6">
        <w:rPr>
          <w:rFonts w:asciiTheme="majorBidi" w:hAnsiTheme="majorBidi" w:cstheme="majorBidi"/>
          <w:sz w:val="28"/>
          <w:szCs w:val="28"/>
        </w:rPr>
        <w:t xml:space="preserve">compared to normal strength concrete </w:t>
      </w:r>
      <w:r w:rsidR="00651659">
        <w:rPr>
          <w:rFonts w:asciiTheme="majorBidi" w:hAnsiTheme="majorBidi" w:cstheme="majorBidi"/>
          <w:sz w:val="28"/>
          <w:szCs w:val="28"/>
        </w:rPr>
        <w:t>corbel</w:t>
      </w:r>
      <w:r w:rsidR="00961A41">
        <w:rPr>
          <w:rFonts w:asciiTheme="majorBidi" w:hAnsiTheme="majorBidi" w:cstheme="majorBidi"/>
          <w:sz w:val="28"/>
          <w:szCs w:val="28"/>
        </w:rPr>
        <w:t xml:space="preserve">. </w:t>
      </w:r>
      <w:r w:rsidR="00D510F6">
        <w:rPr>
          <w:rFonts w:asciiTheme="majorBidi" w:hAnsiTheme="majorBidi" w:cstheme="majorBidi"/>
          <w:color w:val="000000"/>
          <w:sz w:val="28"/>
          <w:szCs w:val="28"/>
        </w:rPr>
        <w:t xml:space="preserve">Strengthening </w:t>
      </w:r>
      <w:r w:rsidR="000146F1">
        <w:rPr>
          <w:rFonts w:asciiTheme="majorBidi" w:hAnsiTheme="majorBidi" w:cstheme="majorBidi"/>
          <w:color w:val="000000"/>
          <w:sz w:val="28"/>
          <w:szCs w:val="28"/>
        </w:rPr>
        <w:t xml:space="preserve">corbels </w:t>
      </w:r>
      <w:r w:rsidR="00D510F6">
        <w:rPr>
          <w:rFonts w:asciiTheme="majorBidi" w:hAnsiTheme="majorBidi" w:cstheme="majorBidi"/>
          <w:color w:val="000000"/>
          <w:sz w:val="28"/>
          <w:szCs w:val="28"/>
        </w:rPr>
        <w:t xml:space="preserve">with steel plates resulted in up to </w:t>
      </w:r>
      <w:r w:rsidR="007E5807">
        <w:rPr>
          <w:rFonts w:asciiTheme="majorBidi" w:hAnsiTheme="majorBidi" w:cstheme="majorBidi"/>
          <w:color w:val="000000"/>
          <w:sz w:val="28"/>
          <w:szCs w:val="28"/>
        </w:rPr>
        <w:t xml:space="preserve">24.78% </w:t>
      </w:r>
      <w:r w:rsidR="00B70BB7">
        <w:rPr>
          <w:rFonts w:asciiTheme="majorBidi" w:hAnsiTheme="majorBidi" w:cstheme="majorBidi"/>
          <w:color w:val="000000"/>
          <w:sz w:val="28"/>
          <w:szCs w:val="28"/>
        </w:rPr>
        <w:t xml:space="preserve">and 19.24% </w:t>
      </w:r>
      <w:r w:rsidR="007E5807">
        <w:rPr>
          <w:rFonts w:asciiTheme="majorBidi" w:hAnsiTheme="majorBidi" w:cstheme="majorBidi"/>
          <w:color w:val="000000"/>
          <w:sz w:val="28"/>
          <w:szCs w:val="28"/>
        </w:rPr>
        <w:t xml:space="preserve">increase in the load bearing capacity of normal strength concrete </w:t>
      </w:r>
      <w:r w:rsidR="00B70BB7">
        <w:rPr>
          <w:rFonts w:asciiTheme="majorBidi" w:hAnsiTheme="majorBidi" w:cstheme="majorBidi"/>
          <w:color w:val="000000"/>
          <w:sz w:val="28"/>
          <w:szCs w:val="28"/>
        </w:rPr>
        <w:t xml:space="preserve">and hybrid strength concrete </w:t>
      </w:r>
      <w:r w:rsidR="007E5807">
        <w:rPr>
          <w:rFonts w:asciiTheme="majorBidi" w:hAnsiTheme="majorBidi" w:cstheme="majorBidi"/>
          <w:color w:val="000000"/>
          <w:sz w:val="28"/>
          <w:szCs w:val="28"/>
        </w:rPr>
        <w:t>corbel sample</w:t>
      </w:r>
      <w:r w:rsidR="00B70BB7">
        <w:rPr>
          <w:rFonts w:asciiTheme="majorBidi" w:hAnsiTheme="majorBidi" w:cstheme="majorBidi"/>
          <w:color w:val="000000"/>
          <w:sz w:val="28"/>
          <w:szCs w:val="28"/>
        </w:rPr>
        <w:t xml:space="preserve">s, respectively. Cracking loads also increased by </w:t>
      </w:r>
      <w:r w:rsidR="00B70BB7" w:rsidRPr="009A1892">
        <w:rPr>
          <w:rFonts w:asciiTheme="majorBidi" w:hAnsiTheme="majorBidi" w:cstheme="majorBidi"/>
          <w:sz w:val="28"/>
          <w:szCs w:val="28"/>
        </w:rPr>
        <w:t>66.5% and 44.55%</w:t>
      </w:r>
      <w:r w:rsidR="00B70BB7">
        <w:rPr>
          <w:rFonts w:asciiTheme="majorBidi" w:hAnsiTheme="majorBidi" w:cstheme="majorBidi"/>
          <w:sz w:val="28"/>
          <w:szCs w:val="28"/>
        </w:rPr>
        <w:t xml:space="preserve"> for </w:t>
      </w:r>
      <w:r w:rsidR="00B70BB7">
        <w:rPr>
          <w:rFonts w:asciiTheme="majorBidi" w:hAnsiTheme="majorBidi" w:cstheme="majorBidi"/>
          <w:color w:val="000000"/>
          <w:sz w:val="28"/>
          <w:szCs w:val="28"/>
        </w:rPr>
        <w:t xml:space="preserve">normal strength concrete and hybrid strength concrete corbels, respectively. </w:t>
      </w:r>
      <w:r w:rsidR="00651659">
        <w:rPr>
          <w:rFonts w:asciiTheme="majorBidi" w:hAnsiTheme="majorBidi" w:cstheme="majorBidi"/>
          <w:color w:val="000000"/>
          <w:sz w:val="28"/>
          <w:szCs w:val="28"/>
        </w:rPr>
        <w:t>The cracking and failure pattern modes of corbels are also presented.</w:t>
      </w:r>
    </w:p>
    <w:p w14:paraId="6BF71A29" w14:textId="38E1F490" w:rsidR="00B731EB" w:rsidRPr="00F50386" w:rsidRDefault="00C07394" w:rsidP="00F50386">
      <w:pPr>
        <w:bidi w:val="0"/>
        <w:jc w:val="both"/>
        <w:rPr>
          <w:rFonts w:asciiTheme="majorBidi" w:hAnsiTheme="majorBidi" w:cstheme="majorBidi"/>
          <w:color w:val="000000"/>
          <w:sz w:val="28"/>
          <w:szCs w:val="28"/>
        </w:rPr>
      </w:pPr>
      <w:r w:rsidRPr="00C07394">
        <w:rPr>
          <w:rFonts w:asciiTheme="majorBidi" w:hAnsiTheme="majorBidi" w:cstheme="majorBidi"/>
          <w:b/>
          <w:bCs/>
          <w:color w:val="000000"/>
          <w:sz w:val="28"/>
          <w:szCs w:val="28"/>
        </w:rPr>
        <w:t>Keywords:</w:t>
      </w:r>
      <w:r>
        <w:rPr>
          <w:rFonts w:asciiTheme="majorBidi" w:hAnsiTheme="majorBidi" w:cstheme="majorBidi"/>
          <w:color w:val="000000"/>
          <w:sz w:val="28"/>
          <w:szCs w:val="28"/>
        </w:rPr>
        <w:t xml:space="preserve"> steel plate, corbels, compressive strength, flexural, shear span.</w:t>
      </w:r>
    </w:p>
    <w:p w14:paraId="707070E0" w14:textId="35388EF8" w:rsidR="00B731EB" w:rsidRPr="00A65C61" w:rsidRDefault="00B731EB" w:rsidP="00B731EB">
      <w:pPr>
        <w:pStyle w:val="ListParagraph"/>
        <w:shd w:val="clear" w:color="auto" w:fill="FFFFFF"/>
        <w:bidi w:val="0"/>
        <w:spacing w:after="120"/>
        <w:ind w:left="284" w:hanging="284"/>
        <w:jc w:val="both"/>
        <w:rPr>
          <w:rFonts w:asciiTheme="majorBidi" w:hAnsiTheme="majorBidi" w:cstheme="majorBidi"/>
          <w:b/>
          <w:bCs/>
          <w:sz w:val="28"/>
          <w:szCs w:val="28"/>
          <w:shd w:val="clear" w:color="auto" w:fill="FFFFFF"/>
        </w:rPr>
      </w:pPr>
      <w:r w:rsidRPr="00A65C61">
        <w:rPr>
          <w:rFonts w:asciiTheme="majorBidi" w:hAnsiTheme="majorBidi" w:cstheme="majorBidi"/>
          <w:b/>
          <w:bCs/>
          <w:color w:val="000000"/>
          <w:sz w:val="28"/>
          <w:szCs w:val="28"/>
        </w:rPr>
        <w:t>1.</w:t>
      </w:r>
      <w:r w:rsidRPr="00A65C61">
        <w:rPr>
          <w:rFonts w:asciiTheme="majorBidi" w:hAnsiTheme="majorBidi" w:cstheme="majorBidi"/>
          <w:color w:val="000000"/>
          <w:sz w:val="28"/>
          <w:szCs w:val="28"/>
        </w:rPr>
        <w:t xml:space="preserve"> </w:t>
      </w:r>
      <w:r w:rsidRPr="00A65C61">
        <w:rPr>
          <w:rStyle w:val="Strong"/>
          <w:rFonts w:asciiTheme="majorBidi" w:hAnsiTheme="majorBidi" w:cstheme="majorBidi"/>
          <w:sz w:val="28"/>
          <w:szCs w:val="28"/>
          <w:shd w:val="clear" w:color="auto" w:fill="FFFFFF"/>
        </w:rPr>
        <w:t>Introduction</w:t>
      </w:r>
    </w:p>
    <w:p w14:paraId="0DCF4A24" w14:textId="0DC5984D" w:rsidR="00B731EB" w:rsidRPr="00A65C61" w:rsidRDefault="00B731EB" w:rsidP="00B731EB">
      <w:pPr>
        <w:bidi w:val="0"/>
        <w:jc w:val="both"/>
        <w:rPr>
          <w:rFonts w:asciiTheme="majorBidi" w:hAnsiTheme="majorBidi" w:cstheme="majorBidi"/>
          <w:sz w:val="28"/>
          <w:szCs w:val="28"/>
        </w:rPr>
      </w:pPr>
      <w:r w:rsidRPr="00A65C61">
        <w:rPr>
          <w:rFonts w:asciiTheme="majorBidi" w:hAnsiTheme="majorBidi" w:cstheme="majorBidi"/>
          <w:sz w:val="28"/>
          <w:szCs w:val="28"/>
        </w:rPr>
        <w:t>Corbels are structural elements that project from the faces of columns or walls. They are commonly used in precast concrete structures to support components like precast and pre-stressed beams, as well as reinforced concrete, transmitting loads to vertical elements of the structure. Typically made from a single piece of material, corbels function more like simple trusses or deep beams than flexural components, which is why they are often considered shear force transmitters. The term "corbels" generally refers to cantilevers with a shear span-to-depth ratio (</w:t>
      </w:r>
      <w:proofErr w:type="spellStart"/>
      <w:r w:rsidRPr="00A65C61">
        <w:rPr>
          <w:rFonts w:asciiTheme="majorBidi" w:hAnsiTheme="majorBidi" w:cstheme="majorBidi"/>
          <w:sz w:val="28"/>
          <w:szCs w:val="28"/>
        </w:rPr>
        <w:t>a/d</w:t>
      </w:r>
      <w:proofErr w:type="spellEnd"/>
      <w:r w:rsidRPr="00A65C61">
        <w:rPr>
          <w:rFonts w:asciiTheme="majorBidi" w:hAnsiTheme="majorBidi" w:cstheme="majorBidi"/>
          <w:sz w:val="28"/>
          <w:szCs w:val="28"/>
        </w:rPr>
        <w:t xml:space="preserve"> = 1.0) [1], and their high strength is attributed to this small ratio. Previous studies have shown that adding steel fibers to concrete corbels can significantly affect their performance. Steel fibers are widely used in various applications [2], and increasing their content has been shown to enhance stiffness, ductility, fracture control, and load-carrying capacity [3]. Research has also indicated that fiber-reinforced concrete corbels exhibit a more gradual failure, with failure modes typically being inclined shear or flexure [4,5].</w:t>
      </w:r>
    </w:p>
    <w:p w14:paraId="645C0771" w14:textId="77777777" w:rsidR="00B731EB" w:rsidRPr="00A65C61" w:rsidRDefault="00B731EB" w:rsidP="00B731EB">
      <w:pPr>
        <w:bidi w:val="0"/>
        <w:jc w:val="both"/>
        <w:rPr>
          <w:rFonts w:asciiTheme="majorBidi" w:hAnsiTheme="majorBidi" w:cstheme="majorBidi"/>
          <w:sz w:val="28"/>
          <w:szCs w:val="28"/>
        </w:rPr>
      </w:pPr>
      <w:r w:rsidRPr="0057429C">
        <w:rPr>
          <w:rFonts w:asciiTheme="majorBidi" w:hAnsiTheme="majorBidi" w:cstheme="majorBidi"/>
          <w:sz w:val="28"/>
          <w:szCs w:val="28"/>
        </w:rPr>
        <w:t xml:space="preserve">Steel plates are one of the most commonly used materials for reinforcing concrete beams, particularly in improving both flexural and shear capacities. As infrastructure </w:t>
      </w:r>
      <w:r w:rsidRPr="0057429C">
        <w:rPr>
          <w:rFonts w:asciiTheme="majorBidi" w:hAnsiTheme="majorBidi" w:cstheme="majorBidi"/>
          <w:sz w:val="28"/>
          <w:szCs w:val="28"/>
        </w:rPr>
        <w:lastRenderedPageBreak/>
        <w:t xml:space="preserve">worldwide increasingly requires upgrading, strengthening, or maintenance, this approach has seen a resurgence in recent decades [6]. </w:t>
      </w:r>
      <w:r w:rsidRPr="00A65C61">
        <w:rPr>
          <w:rFonts w:asciiTheme="majorBidi" w:hAnsiTheme="majorBidi" w:cstheme="majorBidi"/>
          <w:sz w:val="28"/>
          <w:szCs w:val="28"/>
        </w:rPr>
        <w:t xml:space="preserve">Paul Ciobanu (2012) [7] identified external bonding of reinforced fibers (EBR) as a popular technique. However, due to premature debonding, carbon fiber strips applied directly to concrete surfaces using epoxy adhesives have not yet fully utilized the tensile strength of FRP materials. The near-surface mounted (NSM) method offers a solution by maximizing tensile strength. In 2015, Ivanova and </w:t>
      </w:r>
      <w:proofErr w:type="spellStart"/>
      <w:r w:rsidRPr="00A65C61">
        <w:rPr>
          <w:rFonts w:asciiTheme="majorBidi" w:hAnsiTheme="majorBidi" w:cstheme="majorBidi"/>
          <w:sz w:val="28"/>
          <w:szCs w:val="28"/>
        </w:rPr>
        <w:t>Assih</w:t>
      </w:r>
      <w:proofErr w:type="spellEnd"/>
      <w:r w:rsidRPr="00A65C61">
        <w:rPr>
          <w:rFonts w:asciiTheme="majorBidi" w:hAnsiTheme="majorBidi" w:cstheme="majorBidi"/>
          <w:sz w:val="28"/>
          <w:szCs w:val="28"/>
        </w:rPr>
        <w:t xml:space="preserve"> [8] studied the effect of bonding carbon fiber textiles on reinforced concrete short corbels. Their findings indicated that wrapping was more effective than steel bonding, increasing failure load by 82% compared to a reference specimen (Kim et al., 2019) [9].</w:t>
      </w:r>
    </w:p>
    <w:p w14:paraId="39965504" w14:textId="77777777" w:rsidR="00B731EB" w:rsidRPr="0057429C" w:rsidRDefault="00B731EB" w:rsidP="00B731EB">
      <w:pPr>
        <w:bidi w:val="0"/>
        <w:jc w:val="both"/>
        <w:rPr>
          <w:rFonts w:asciiTheme="majorBidi" w:hAnsiTheme="majorBidi" w:cstheme="majorBidi"/>
          <w:sz w:val="28"/>
          <w:szCs w:val="28"/>
        </w:rPr>
      </w:pPr>
      <w:r w:rsidRPr="0057429C">
        <w:rPr>
          <w:rFonts w:asciiTheme="majorBidi" w:hAnsiTheme="majorBidi" w:cstheme="majorBidi"/>
          <w:sz w:val="28"/>
          <w:szCs w:val="28"/>
        </w:rPr>
        <w:t>Further research evaluated the design of reinforced concrete brackets used to support center slabs in double-deck tunnels through experimental and computational analysis. These brackets, attached to the tunnel liner, bear the full load transferred to the middle slabs, making their design critical for preventing slab collapse, tunnel liner failure, and associated risks to human life and property. Loading tests were conducted on bracket-attached tunnel liner structures to assess design validation, safety factors, and failure modes. Numerical models were also created to evaluate the impact of bracket shape on the structural capacity of the tunnel brackets.</w:t>
      </w:r>
    </w:p>
    <w:p w14:paraId="5748418F" w14:textId="77777777" w:rsidR="00B731EB" w:rsidRPr="00A65C61" w:rsidRDefault="00B731EB" w:rsidP="00B731EB">
      <w:pPr>
        <w:bidi w:val="0"/>
        <w:jc w:val="both"/>
        <w:rPr>
          <w:rFonts w:asciiTheme="majorBidi" w:hAnsiTheme="majorBidi" w:cstheme="majorBidi"/>
          <w:sz w:val="28"/>
          <w:szCs w:val="28"/>
        </w:rPr>
      </w:pPr>
      <w:r w:rsidRPr="00A65C61">
        <w:rPr>
          <w:rFonts w:asciiTheme="majorBidi" w:hAnsiTheme="majorBidi" w:cstheme="majorBidi"/>
          <w:sz w:val="28"/>
          <w:szCs w:val="28"/>
        </w:rPr>
        <w:t>Khalifa (2012) [10] proposed a macro-mechanical strut-and-tie model to study fibrous high-strength concrete corbels. In this model, steel fibers were used to partially or entirely replace horizontal stirrups. The study examined several variables, including fiber volume, length, and diameter, fiber distribution, the interface between fibers and high-strength concrete (HSC), shear span-to-depth ratio, and concrete strength. Results showed that increasing fiber volume, fiber aspect ratio, and concrete compressive strength enhanced the maximum vertical load-bearing capacity of corbels.</w:t>
      </w:r>
    </w:p>
    <w:p w14:paraId="59329138" w14:textId="16DBECE8" w:rsidR="00B731EB" w:rsidRPr="0057429C" w:rsidRDefault="00FD05A3" w:rsidP="00B731EB">
      <w:pPr>
        <w:bidi w:val="0"/>
        <w:jc w:val="both"/>
        <w:rPr>
          <w:rFonts w:asciiTheme="majorBidi" w:hAnsiTheme="majorBidi" w:cstheme="majorBidi"/>
          <w:sz w:val="28"/>
          <w:szCs w:val="28"/>
          <w:rtl/>
          <w:lang w:val="en-AU" w:bidi="ar-IQ"/>
        </w:rPr>
      </w:pPr>
      <w:r w:rsidRPr="0057429C">
        <w:rPr>
          <w:rFonts w:asciiTheme="majorBidi" w:hAnsiTheme="majorBidi" w:cstheme="majorBidi"/>
          <w:sz w:val="28"/>
          <w:szCs w:val="28"/>
          <w:lang w:val="en-AU" w:bidi="ar-IQ"/>
        </w:rPr>
        <w:t xml:space="preserve">The aim of this study is to investigate the influence of strength of concrete and </w:t>
      </w:r>
      <w:r w:rsidRPr="0057429C">
        <w:rPr>
          <w:rFonts w:asciiTheme="majorBidi" w:hAnsiTheme="majorBidi" w:cstheme="majorBidi"/>
          <w:sz w:val="28"/>
          <w:szCs w:val="28"/>
        </w:rPr>
        <w:t>shear span-to-depth ratio on the behavior and bearing capacity of reinforced concrete corbels with or without strengthening with steel plates.</w:t>
      </w:r>
    </w:p>
    <w:p w14:paraId="43B73175" w14:textId="53CC8D25" w:rsidR="00C043AC" w:rsidRPr="00A65C61" w:rsidRDefault="00C043AC"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color w:val="000000"/>
          <w:sz w:val="28"/>
          <w:szCs w:val="28"/>
          <w:shd w:val="clear" w:color="auto" w:fill="FFFFFF"/>
        </w:rPr>
        <w:t>2</w:t>
      </w:r>
      <w:r w:rsidRPr="00A65C61">
        <w:rPr>
          <w:rStyle w:val="Strong"/>
          <w:rFonts w:asciiTheme="majorBidi" w:hAnsiTheme="majorBidi" w:cstheme="majorBidi"/>
          <w:b w:val="0"/>
          <w:bCs w:val="0"/>
          <w:color w:val="000000"/>
          <w:sz w:val="28"/>
          <w:szCs w:val="28"/>
          <w:shd w:val="clear" w:color="auto" w:fill="FFFFFF"/>
        </w:rPr>
        <w:t>.</w:t>
      </w:r>
      <w:r w:rsidRPr="00A65C61">
        <w:rPr>
          <w:rStyle w:val="Strong"/>
          <w:rFonts w:asciiTheme="majorBidi" w:hAnsiTheme="majorBidi" w:cstheme="majorBidi"/>
          <w:sz w:val="28"/>
          <w:szCs w:val="28"/>
          <w:shd w:val="clear" w:color="auto" w:fill="FFFFFF"/>
        </w:rPr>
        <w:t xml:space="preserve"> </w:t>
      </w:r>
      <w:r w:rsidR="00395691">
        <w:rPr>
          <w:rStyle w:val="Strong"/>
          <w:rFonts w:asciiTheme="majorBidi" w:hAnsiTheme="majorBidi" w:cstheme="majorBidi"/>
          <w:sz w:val="28"/>
          <w:szCs w:val="28"/>
          <w:shd w:val="clear" w:color="auto" w:fill="FFFFFF"/>
        </w:rPr>
        <w:t>METHODOLOGY</w:t>
      </w:r>
    </w:p>
    <w:p w14:paraId="048B1CCD" w14:textId="55E4870B" w:rsidR="00C043AC" w:rsidRPr="00A65C61" w:rsidRDefault="00C043AC"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2.1 General</w:t>
      </w:r>
    </w:p>
    <w:p w14:paraId="771C28A5" w14:textId="30113DEC" w:rsidR="00C043AC" w:rsidRPr="00A65C61" w:rsidRDefault="00C043AC" w:rsidP="00C043AC">
      <w:pPr>
        <w:shd w:val="clear" w:color="auto" w:fill="FFFFFF"/>
        <w:bidi w:val="0"/>
        <w:spacing w:after="120"/>
        <w:jc w:val="both"/>
        <w:rPr>
          <w:rStyle w:val="Strong"/>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Six double-sided corbels were constructed, each with a consistent corbel depth of 250mm and a column measuring 150mm in depth, 200mm in width, and 650mm in length. These specimens were subjected exclusively to vertical loading. The specimens were grouped based on the type of concrete used—either hybrid or normal </w:t>
      </w:r>
      <w:r w:rsidRPr="00A65C61">
        <w:rPr>
          <w:rFonts w:asciiTheme="majorBidi" w:hAnsiTheme="majorBidi" w:cstheme="majorBidi"/>
          <w:sz w:val="28"/>
          <w:szCs w:val="28"/>
          <w:shd w:val="clear" w:color="auto" w:fill="FFFFFF"/>
        </w:rPr>
        <w:lastRenderedPageBreak/>
        <w:t>strength concrete. Detailed information about the tested corbels can be found in Table 1 and illustrated in Figure 1.</w:t>
      </w:r>
    </w:p>
    <w:p w14:paraId="034B5304" w14:textId="77777777" w:rsidR="00C043AC" w:rsidRPr="00A65C61" w:rsidRDefault="00C043AC" w:rsidP="00C043AC">
      <w:pPr>
        <w:bidi w:val="0"/>
        <w:ind w:left="284" w:hanging="284"/>
        <w:rPr>
          <w:rFonts w:asciiTheme="majorBidi" w:hAnsiTheme="majorBidi" w:cstheme="majorBidi"/>
          <w:sz w:val="28"/>
          <w:szCs w:val="28"/>
          <w:shd w:val="clear" w:color="auto" w:fill="FFFFFF"/>
        </w:rPr>
      </w:pPr>
    </w:p>
    <w:p w14:paraId="7C64D7C9" w14:textId="6C490074" w:rsidR="00C043AC" w:rsidRPr="00A65C61" w:rsidRDefault="00C043AC" w:rsidP="00C043AC">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605C19F6" wp14:editId="35251FFD">
            <wp:extent cx="4322445" cy="2670175"/>
            <wp:effectExtent l="0" t="0" r="1905" b="0"/>
            <wp:docPr id="555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45" cy="2670175"/>
                    </a:xfrm>
                    <a:prstGeom prst="rect">
                      <a:avLst/>
                    </a:prstGeom>
                    <a:noFill/>
                  </pic:spPr>
                </pic:pic>
              </a:graphicData>
            </a:graphic>
          </wp:inline>
        </w:drawing>
      </w:r>
    </w:p>
    <w:p w14:paraId="4B7F8E52" w14:textId="1D590426" w:rsidR="00C043AC" w:rsidRPr="00A65C61" w:rsidRDefault="00C043AC" w:rsidP="00C043AC">
      <w:pPr>
        <w:tabs>
          <w:tab w:val="left" w:pos="1421"/>
        </w:tabs>
        <w:bidi w:val="0"/>
        <w:rPr>
          <w:rFonts w:asciiTheme="majorBidi" w:hAnsiTheme="majorBidi" w:cstheme="majorBidi"/>
          <w:sz w:val="28"/>
          <w:szCs w:val="28"/>
        </w:rPr>
      </w:pPr>
      <w:r w:rsidRPr="00A65C61">
        <w:rPr>
          <w:rFonts w:asciiTheme="majorBidi" w:hAnsiTheme="majorBidi" w:cstheme="majorBidi"/>
          <w:sz w:val="28"/>
          <w:szCs w:val="28"/>
        </w:rPr>
        <w:tab/>
      </w:r>
      <w:r w:rsidRPr="00A65C61">
        <w:rPr>
          <w:rFonts w:asciiTheme="majorBidi" w:hAnsiTheme="majorBidi" w:cstheme="majorBidi"/>
          <w:b/>
          <w:bCs/>
          <w:sz w:val="28"/>
          <w:szCs w:val="28"/>
        </w:rPr>
        <w:t>Figure 1.</w:t>
      </w:r>
      <w:r w:rsidRPr="00A65C61">
        <w:rPr>
          <w:rFonts w:asciiTheme="majorBidi" w:eastAsia="Calibri" w:hAnsiTheme="majorBidi" w:cstheme="majorBidi"/>
          <w:b/>
          <w:bCs/>
          <w:sz w:val="28"/>
          <w:szCs w:val="28"/>
        </w:rPr>
        <w:t xml:space="preserve"> </w:t>
      </w:r>
      <w:r w:rsidRPr="00A65C61">
        <w:rPr>
          <w:rFonts w:asciiTheme="majorBidi" w:hAnsiTheme="majorBidi" w:cstheme="majorBidi"/>
          <w:sz w:val="28"/>
          <w:szCs w:val="28"/>
        </w:rPr>
        <w:t>Structure of the Experimental Program</w:t>
      </w:r>
    </w:p>
    <w:p w14:paraId="41495A39" w14:textId="65FF20EE" w:rsidR="00C043AC" w:rsidRPr="00A65C61" w:rsidRDefault="00C043AC" w:rsidP="00C043AC">
      <w:pPr>
        <w:bidi w:val="0"/>
        <w:rPr>
          <w:rFonts w:asciiTheme="majorBidi" w:hAnsiTheme="majorBidi" w:cstheme="majorBidi"/>
          <w:sz w:val="28"/>
          <w:szCs w:val="28"/>
        </w:rPr>
      </w:pPr>
      <w:r w:rsidRPr="00A65C61">
        <w:rPr>
          <w:rFonts w:asciiTheme="majorBidi" w:hAnsiTheme="majorBidi" w:cstheme="majorBidi"/>
          <w:sz w:val="28"/>
          <w:szCs w:val="28"/>
        </w:rPr>
        <w:t>Table 1: Details of corbel specimens</w:t>
      </w:r>
    </w:p>
    <w:tbl>
      <w:tblPr>
        <w:tblStyle w:val="LightShading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669"/>
        <w:gridCol w:w="2300"/>
        <w:gridCol w:w="590"/>
        <w:gridCol w:w="2968"/>
      </w:tblGrid>
      <w:tr w:rsidR="00C043AC" w:rsidRPr="00A65C61" w14:paraId="06C7E9F8" w14:textId="77777777" w:rsidTr="00F16251">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114" w:type="dxa"/>
            <w:gridSpan w:val="5"/>
            <w:tcBorders>
              <w:top w:val="none" w:sz="0" w:space="0" w:color="auto"/>
              <w:left w:val="none" w:sz="0" w:space="0" w:color="auto"/>
              <w:bottom w:val="none" w:sz="0" w:space="0" w:color="auto"/>
              <w:right w:val="none" w:sz="0" w:space="0" w:color="auto"/>
            </w:tcBorders>
            <w:shd w:val="clear" w:color="auto" w:fill="auto"/>
          </w:tcPr>
          <w:p w14:paraId="5C781B9B" w14:textId="77777777" w:rsidR="00C043AC" w:rsidRPr="00A65C61" w:rsidRDefault="00C043AC" w:rsidP="00C043AC">
            <w:pPr>
              <w:spacing w:after="0" w:line="240" w:lineRule="auto"/>
              <w:jc w:val="right"/>
              <w:rPr>
                <w:rFonts w:asciiTheme="majorBidi" w:eastAsia="Calibri" w:hAnsiTheme="majorBidi" w:cstheme="majorBidi"/>
                <w:sz w:val="28"/>
                <w:szCs w:val="28"/>
              </w:rPr>
            </w:pPr>
            <w:r w:rsidRPr="00A65C61">
              <w:rPr>
                <w:rFonts w:asciiTheme="majorBidi" w:eastAsia="Calibri" w:hAnsiTheme="majorBidi" w:cstheme="majorBidi"/>
                <w:sz w:val="28"/>
                <w:szCs w:val="28"/>
              </w:rPr>
              <w:t xml:space="preserve">                      Table 1. Details of corbel specimens    </w:t>
            </w:r>
          </w:p>
        </w:tc>
      </w:tr>
      <w:tr w:rsidR="00C043AC" w:rsidRPr="00A65C61" w14:paraId="49056516" w14:textId="77777777" w:rsidTr="0067676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587" w:type="dxa"/>
            <w:tcBorders>
              <w:left w:val="none" w:sz="0" w:space="0" w:color="auto"/>
              <w:right w:val="none" w:sz="0" w:space="0" w:color="auto"/>
            </w:tcBorders>
            <w:shd w:val="clear" w:color="auto" w:fill="auto"/>
          </w:tcPr>
          <w:p w14:paraId="3E678EB5"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Group</w:t>
            </w:r>
          </w:p>
        </w:tc>
        <w:tc>
          <w:tcPr>
            <w:tcW w:w="1669" w:type="dxa"/>
            <w:tcBorders>
              <w:left w:val="none" w:sz="0" w:space="0" w:color="auto"/>
              <w:right w:val="none" w:sz="0" w:space="0" w:color="auto"/>
            </w:tcBorders>
            <w:shd w:val="clear" w:color="auto" w:fill="auto"/>
          </w:tcPr>
          <w:p w14:paraId="25DA97C3"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Specimen</w:t>
            </w:r>
          </w:p>
        </w:tc>
        <w:tc>
          <w:tcPr>
            <w:tcW w:w="2300" w:type="dxa"/>
            <w:tcBorders>
              <w:left w:val="none" w:sz="0" w:space="0" w:color="auto"/>
              <w:right w:val="none" w:sz="0" w:space="0" w:color="auto"/>
            </w:tcBorders>
            <w:shd w:val="clear" w:color="auto" w:fill="auto"/>
          </w:tcPr>
          <w:p w14:paraId="4DFCDDCB"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 xml:space="preserve">Type </w:t>
            </w:r>
            <w:proofErr w:type="gramStart"/>
            <w:r w:rsidRPr="00A65C61">
              <w:rPr>
                <w:rFonts w:asciiTheme="majorBidi" w:eastAsia="Times New Roman" w:hAnsiTheme="majorBidi" w:cstheme="majorBidi"/>
                <w:b/>
                <w:bCs/>
                <w:sz w:val="28"/>
                <w:szCs w:val="28"/>
                <w:lang w:val="en-GB"/>
              </w:rPr>
              <w:t>of  concrete</w:t>
            </w:r>
            <w:proofErr w:type="gramEnd"/>
          </w:p>
        </w:tc>
        <w:tc>
          <w:tcPr>
            <w:tcW w:w="590" w:type="dxa"/>
            <w:tcBorders>
              <w:left w:val="none" w:sz="0" w:space="0" w:color="auto"/>
              <w:right w:val="none" w:sz="0" w:space="0" w:color="auto"/>
            </w:tcBorders>
            <w:shd w:val="clear" w:color="auto" w:fill="auto"/>
          </w:tcPr>
          <w:p w14:paraId="78D5994C"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bidi="ar-IQ"/>
              </w:rPr>
            </w:pPr>
            <w:r w:rsidRPr="00A65C61">
              <w:rPr>
                <w:rFonts w:asciiTheme="majorBidi" w:eastAsia="Times New Roman" w:hAnsiTheme="majorBidi" w:cstheme="majorBidi"/>
                <w:b/>
                <w:bCs/>
                <w:sz w:val="28"/>
                <w:szCs w:val="28"/>
                <w:lang w:val="en-GB"/>
              </w:rPr>
              <w:t>d</w:t>
            </w:r>
            <w:r w:rsidRPr="00A65C61">
              <w:rPr>
                <w:rFonts w:asciiTheme="majorBidi" w:eastAsia="Times New Roman" w:hAnsiTheme="majorBidi" w:cstheme="majorBidi"/>
                <w:b/>
                <w:bCs/>
                <w:sz w:val="28"/>
                <w:szCs w:val="28"/>
                <w:rtl/>
                <w:lang w:val="en-GB" w:bidi="ar-IQ"/>
              </w:rPr>
              <w:t>/</w:t>
            </w:r>
            <w:r w:rsidRPr="00A65C61">
              <w:rPr>
                <w:rFonts w:asciiTheme="majorBidi" w:eastAsia="Times New Roman" w:hAnsiTheme="majorBidi" w:cstheme="majorBidi"/>
                <w:b/>
                <w:bCs/>
                <w:sz w:val="28"/>
                <w:szCs w:val="28"/>
                <w:lang w:bidi="ar-IQ"/>
              </w:rPr>
              <w:t>a</w:t>
            </w:r>
          </w:p>
        </w:tc>
        <w:tc>
          <w:tcPr>
            <w:tcW w:w="2968" w:type="dxa"/>
            <w:tcBorders>
              <w:left w:val="none" w:sz="0" w:space="0" w:color="auto"/>
              <w:right w:val="none" w:sz="0" w:space="0" w:color="auto"/>
            </w:tcBorders>
            <w:shd w:val="clear" w:color="auto" w:fill="auto"/>
          </w:tcPr>
          <w:p w14:paraId="3566EFAC" w14:textId="0B6DA1BE"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lang w:val="en-GB"/>
              </w:rPr>
            </w:pPr>
            <w:r w:rsidRPr="00A65C61">
              <w:rPr>
                <w:rFonts w:asciiTheme="majorBidi" w:eastAsia="Times New Roman" w:hAnsiTheme="majorBidi" w:cstheme="majorBidi"/>
                <w:b/>
                <w:bCs/>
                <w:sz w:val="28"/>
                <w:szCs w:val="28"/>
                <w:lang w:val="en-GB"/>
              </w:rPr>
              <w:t>strengthening</w:t>
            </w:r>
          </w:p>
        </w:tc>
      </w:tr>
      <w:tr w:rsidR="00C043AC" w:rsidRPr="00A65C61" w14:paraId="46D5459B" w14:textId="77777777" w:rsidTr="00676760">
        <w:trPr>
          <w:trHeight w:val="306"/>
          <w:jc w:val="center"/>
        </w:trPr>
        <w:tc>
          <w:tcPr>
            <w:cnfStyle w:val="001000000000" w:firstRow="0" w:lastRow="0" w:firstColumn="1" w:lastColumn="0" w:oddVBand="0" w:evenVBand="0" w:oddHBand="0" w:evenHBand="0" w:firstRowFirstColumn="0" w:firstRowLastColumn="0" w:lastRowFirstColumn="0" w:lastRowLastColumn="0"/>
            <w:tcW w:w="1587" w:type="dxa"/>
            <w:vMerge w:val="restart"/>
            <w:shd w:val="clear" w:color="auto" w:fill="auto"/>
          </w:tcPr>
          <w:p w14:paraId="6F03E165" w14:textId="77777777" w:rsidR="00C043AC" w:rsidRPr="00A65C61" w:rsidRDefault="00C043AC" w:rsidP="00676760">
            <w:pPr>
              <w:spacing w:after="0" w:line="240" w:lineRule="auto"/>
              <w:jc w:val="center"/>
              <w:rPr>
                <w:rFonts w:asciiTheme="majorBidi" w:eastAsia="Times New Roman" w:hAnsiTheme="majorBidi" w:cstheme="majorBidi"/>
                <w:sz w:val="28"/>
                <w:szCs w:val="28"/>
                <w:lang w:val="en-GB"/>
              </w:rPr>
            </w:pPr>
          </w:p>
          <w:p w14:paraId="02EAC8D2" w14:textId="77777777" w:rsidR="00C043AC" w:rsidRPr="00A65C61" w:rsidRDefault="00C043AC" w:rsidP="00676760">
            <w:pPr>
              <w:spacing w:after="0" w:line="240" w:lineRule="auto"/>
              <w:jc w:val="center"/>
              <w:rPr>
                <w:rFonts w:asciiTheme="majorBidi" w:eastAsia="Times New Roman" w:hAnsiTheme="majorBidi" w:cstheme="majorBidi"/>
                <w:sz w:val="28"/>
                <w:szCs w:val="28"/>
                <w:lang w:val="en-GB"/>
              </w:rPr>
            </w:pPr>
          </w:p>
          <w:p w14:paraId="0426CDC6" w14:textId="77777777" w:rsidR="00C043AC" w:rsidRPr="00A65C61" w:rsidRDefault="00C043AC" w:rsidP="00676760">
            <w:pPr>
              <w:spacing w:after="0" w:line="240" w:lineRule="auto"/>
              <w:jc w:val="center"/>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A</w:t>
            </w:r>
          </w:p>
        </w:tc>
        <w:tc>
          <w:tcPr>
            <w:tcW w:w="1669" w:type="dxa"/>
            <w:shd w:val="clear" w:color="auto" w:fill="auto"/>
          </w:tcPr>
          <w:p w14:paraId="5FB0E239"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CN06M</w:t>
            </w:r>
          </w:p>
        </w:tc>
        <w:tc>
          <w:tcPr>
            <w:tcW w:w="2300" w:type="dxa"/>
            <w:shd w:val="clear" w:color="auto" w:fill="auto"/>
          </w:tcPr>
          <w:p w14:paraId="1FE38582"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shd w:val="clear" w:color="auto" w:fill="auto"/>
          </w:tcPr>
          <w:p w14:paraId="76858A7D"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shd w:val="clear" w:color="auto" w:fill="auto"/>
          </w:tcPr>
          <w:p w14:paraId="7C1EDB70"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none</w:t>
            </w:r>
          </w:p>
        </w:tc>
      </w:tr>
      <w:tr w:rsidR="00C043AC" w:rsidRPr="00A65C61" w14:paraId="46BD9B23" w14:textId="77777777" w:rsidTr="0067676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87" w:type="dxa"/>
            <w:vMerge/>
            <w:tcBorders>
              <w:left w:val="none" w:sz="0" w:space="0" w:color="auto"/>
              <w:right w:val="none" w:sz="0" w:space="0" w:color="auto"/>
            </w:tcBorders>
            <w:shd w:val="clear" w:color="auto" w:fill="auto"/>
          </w:tcPr>
          <w:p w14:paraId="7EDC3720"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p>
        </w:tc>
        <w:tc>
          <w:tcPr>
            <w:tcW w:w="1669" w:type="dxa"/>
            <w:tcBorders>
              <w:left w:val="none" w:sz="0" w:space="0" w:color="auto"/>
              <w:right w:val="none" w:sz="0" w:space="0" w:color="auto"/>
            </w:tcBorders>
            <w:shd w:val="clear" w:color="auto" w:fill="auto"/>
          </w:tcPr>
          <w:p w14:paraId="613BD57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CNS6M</w:t>
            </w:r>
          </w:p>
        </w:tc>
        <w:tc>
          <w:tcPr>
            <w:tcW w:w="2300" w:type="dxa"/>
            <w:tcBorders>
              <w:left w:val="none" w:sz="0" w:space="0" w:color="auto"/>
              <w:right w:val="none" w:sz="0" w:space="0" w:color="auto"/>
            </w:tcBorders>
            <w:shd w:val="clear" w:color="auto" w:fill="auto"/>
          </w:tcPr>
          <w:p w14:paraId="4F780B9E"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tcBorders>
              <w:left w:val="none" w:sz="0" w:space="0" w:color="auto"/>
              <w:right w:val="none" w:sz="0" w:space="0" w:color="auto"/>
            </w:tcBorders>
            <w:shd w:val="clear" w:color="auto" w:fill="auto"/>
          </w:tcPr>
          <w:p w14:paraId="4B6295BF"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tcBorders>
              <w:left w:val="none" w:sz="0" w:space="0" w:color="auto"/>
              <w:right w:val="none" w:sz="0" w:space="0" w:color="auto"/>
            </w:tcBorders>
            <w:shd w:val="clear" w:color="auto" w:fill="auto"/>
          </w:tcPr>
          <w:p w14:paraId="2017A91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4030196B" w14:textId="77777777" w:rsidTr="00676760">
        <w:trPr>
          <w:trHeight w:val="299"/>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14:paraId="72F55CC3" w14:textId="77777777" w:rsidR="00C043AC" w:rsidRPr="00A65C61" w:rsidRDefault="00C043AC" w:rsidP="00676760">
            <w:pPr>
              <w:spacing w:after="0" w:line="259" w:lineRule="auto"/>
              <w:jc w:val="center"/>
              <w:rPr>
                <w:rFonts w:asciiTheme="majorBidi" w:eastAsia="Times New Roman" w:hAnsiTheme="majorBidi" w:cstheme="majorBidi"/>
                <w:sz w:val="28"/>
                <w:szCs w:val="28"/>
                <w:lang w:val="en-GB"/>
              </w:rPr>
            </w:pPr>
          </w:p>
        </w:tc>
        <w:tc>
          <w:tcPr>
            <w:tcW w:w="1669" w:type="dxa"/>
            <w:shd w:val="clear" w:color="auto" w:fill="auto"/>
          </w:tcPr>
          <w:p w14:paraId="49F496E1"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CNS3M</w:t>
            </w:r>
          </w:p>
        </w:tc>
        <w:tc>
          <w:tcPr>
            <w:tcW w:w="2300" w:type="dxa"/>
            <w:shd w:val="clear" w:color="auto" w:fill="auto"/>
          </w:tcPr>
          <w:p w14:paraId="474D2143"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Normal strength</w:t>
            </w:r>
          </w:p>
        </w:tc>
        <w:tc>
          <w:tcPr>
            <w:tcW w:w="590" w:type="dxa"/>
            <w:shd w:val="clear" w:color="auto" w:fill="auto"/>
          </w:tcPr>
          <w:p w14:paraId="7501D3EA"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0.3</w:t>
            </w:r>
          </w:p>
        </w:tc>
        <w:tc>
          <w:tcPr>
            <w:tcW w:w="2968" w:type="dxa"/>
            <w:shd w:val="clear" w:color="auto" w:fill="auto"/>
          </w:tcPr>
          <w:p w14:paraId="622BAA46"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3653AC6A" w14:textId="77777777" w:rsidTr="0067676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left w:val="none" w:sz="0" w:space="0" w:color="auto"/>
              <w:right w:val="none" w:sz="0" w:space="0" w:color="auto"/>
            </w:tcBorders>
            <w:shd w:val="clear" w:color="auto" w:fill="auto"/>
          </w:tcPr>
          <w:p w14:paraId="104BFD7C"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p w14:paraId="4E4828D5"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p w14:paraId="4153425B"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B</w:t>
            </w:r>
          </w:p>
        </w:tc>
        <w:tc>
          <w:tcPr>
            <w:tcW w:w="1669" w:type="dxa"/>
            <w:tcBorders>
              <w:left w:val="none" w:sz="0" w:space="0" w:color="auto"/>
              <w:right w:val="none" w:sz="0" w:space="0" w:color="auto"/>
            </w:tcBorders>
            <w:shd w:val="clear" w:color="auto" w:fill="auto"/>
          </w:tcPr>
          <w:p w14:paraId="322561C5"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bidi="ar-IQ"/>
              </w:rPr>
            </w:pPr>
            <w:r w:rsidRPr="0057429C">
              <w:rPr>
                <w:rFonts w:asciiTheme="majorBidi" w:eastAsia="Calibri" w:hAnsiTheme="majorBidi" w:cstheme="majorBidi"/>
                <w:color w:val="auto"/>
                <w:sz w:val="28"/>
                <w:szCs w:val="28"/>
                <w:lang w:bidi="ar-IQ"/>
              </w:rPr>
              <w:t>CHy06M</w:t>
            </w:r>
          </w:p>
        </w:tc>
        <w:tc>
          <w:tcPr>
            <w:tcW w:w="2300" w:type="dxa"/>
            <w:tcBorders>
              <w:left w:val="none" w:sz="0" w:space="0" w:color="auto"/>
              <w:right w:val="none" w:sz="0" w:space="0" w:color="auto"/>
            </w:tcBorders>
            <w:shd w:val="clear" w:color="auto" w:fill="auto"/>
          </w:tcPr>
          <w:p w14:paraId="5F248BB2"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tcBorders>
              <w:left w:val="none" w:sz="0" w:space="0" w:color="auto"/>
              <w:right w:val="none" w:sz="0" w:space="0" w:color="auto"/>
            </w:tcBorders>
            <w:shd w:val="clear" w:color="auto" w:fill="auto"/>
          </w:tcPr>
          <w:p w14:paraId="1810104C" w14:textId="77777777" w:rsidR="00C043AC" w:rsidRPr="00A65C61"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0.6</w:t>
            </w:r>
          </w:p>
        </w:tc>
        <w:tc>
          <w:tcPr>
            <w:tcW w:w="2968" w:type="dxa"/>
            <w:tcBorders>
              <w:left w:val="none" w:sz="0" w:space="0" w:color="auto"/>
              <w:right w:val="none" w:sz="0" w:space="0" w:color="auto"/>
            </w:tcBorders>
            <w:shd w:val="clear" w:color="auto" w:fill="auto"/>
          </w:tcPr>
          <w:p w14:paraId="3B4DE4EA" w14:textId="77777777" w:rsidR="00C043AC" w:rsidRPr="00A65C61"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8"/>
                <w:szCs w:val="28"/>
                <w:lang w:val="en-GB"/>
              </w:rPr>
            </w:pPr>
            <w:r w:rsidRPr="00A65C61">
              <w:rPr>
                <w:rFonts w:asciiTheme="majorBidi" w:eastAsia="Calibri" w:hAnsiTheme="majorBidi" w:cstheme="majorBidi"/>
                <w:sz w:val="28"/>
                <w:szCs w:val="28"/>
                <w:lang w:val="en-GB"/>
              </w:rPr>
              <w:t>none</w:t>
            </w:r>
          </w:p>
        </w:tc>
      </w:tr>
      <w:tr w:rsidR="00C043AC" w:rsidRPr="00A65C61" w14:paraId="2E6A2960" w14:textId="77777777" w:rsidTr="00676760">
        <w:trPr>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14:paraId="430A3C51"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tc>
        <w:tc>
          <w:tcPr>
            <w:tcW w:w="1669" w:type="dxa"/>
            <w:shd w:val="clear" w:color="auto" w:fill="auto"/>
          </w:tcPr>
          <w:p w14:paraId="7AB8D925" w14:textId="77777777" w:rsidR="00C043AC" w:rsidRPr="0057429C" w:rsidRDefault="00C043AC" w:rsidP="00676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Calibri" w:hAnsiTheme="majorBidi" w:cstheme="majorBidi"/>
                <w:color w:val="auto"/>
                <w:sz w:val="28"/>
                <w:szCs w:val="28"/>
                <w:lang w:val="en-GB"/>
              </w:rPr>
              <w:t>CHyS6M</w:t>
            </w:r>
          </w:p>
        </w:tc>
        <w:tc>
          <w:tcPr>
            <w:tcW w:w="2300" w:type="dxa"/>
            <w:shd w:val="clear" w:color="auto" w:fill="auto"/>
          </w:tcPr>
          <w:p w14:paraId="206F6BF6" w14:textId="77777777" w:rsidR="00C043AC" w:rsidRPr="0057429C" w:rsidRDefault="00C043AC" w:rsidP="00676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shd w:val="clear" w:color="auto" w:fill="auto"/>
          </w:tcPr>
          <w:p w14:paraId="6D8D783C"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0.6</w:t>
            </w:r>
          </w:p>
        </w:tc>
        <w:tc>
          <w:tcPr>
            <w:tcW w:w="2968" w:type="dxa"/>
            <w:shd w:val="clear" w:color="auto" w:fill="auto"/>
          </w:tcPr>
          <w:p w14:paraId="674A74A7" w14:textId="77777777" w:rsidR="00C043AC" w:rsidRPr="00A65C61" w:rsidRDefault="00C043AC" w:rsidP="00676760">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r w:rsidR="00C043AC" w:rsidRPr="00A65C61" w14:paraId="53426515" w14:textId="77777777" w:rsidTr="00676760">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87" w:type="dxa"/>
            <w:vMerge/>
            <w:tcBorders>
              <w:left w:val="none" w:sz="0" w:space="0" w:color="auto"/>
              <w:right w:val="none" w:sz="0" w:space="0" w:color="auto"/>
            </w:tcBorders>
            <w:shd w:val="clear" w:color="auto" w:fill="auto"/>
          </w:tcPr>
          <w:p w14:paraId="39C20145" w14:textId="77777777" w:rsidR="00C043AC" w:rsidRPr="00A65C61" w:rsidRDefault="00C043AC" w:rsidP="00676760">
            <w:pPr>
              <w:spacing w:after="0" w:line="240" w:lineRule="auto"/>
              <w:jc w:val="center"/>
              <w:rPr>
                <w:rFonts w:asciiTheme="majorBidi" w:eastAsia="Calibri" w:hAnsiTheme="majorBidi" w:cstheme="majorBidi"/>
                <w:sz w:val="28"/>
                <w:szCs w:val="28"/>
                <w:lang w:val="en-GB"/>
              </w:rPr>
            </w:pPr>
          </w:p>
        </w:tc>
        <w:tc>
          <w:tcPr>
            <w:tcW w:w="1669" w:type="dxa"/>
            <w:tcBorders>
              <w:left w:val="none" w:sz="0" w:space="0" w:color="auto"/>
              <w:right w:val="none" w:sz="0" w:space="0" w:color="auto"/>
            </w:tcBorders>
            <w:shd w:val="clear" w:color="auto" w:fill="auto"/>
          </w:tcPr>
          <w:p w14:paraId="62B79326"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Calibri" w:hAnsiTheme="majorBidi" w:cstheme="majorBidi"/>
                <w:color w:val="auto"/>
                <w:sz w:val="28"/>
                <w:szCs w:val="28"/>
                <w:lang w:val="en-GB"/>
              </w:rPr>
              <w:t>CHyS3M</w:t>
            </w:r>
          </w:p>
        </w:tc>
        <w:tc>
          <w:tcPr>
            <w:tcW w:w="2300" w:type="dxa"/>
            <w:tcBorders>
              <w:left w:val="none" w:sz="0" w:space="0" w:color="auto"/>
              <w:right w:val="none" w:sz="0" w:space="0" w:color="auto"/>
            </w:tcBorders>
            <w:shd w:val="clear" w:color="auto" w:fill="auto"/>
          </w:tcPr>
          <w:p w14:paraId="379505E7" w14:textId="77777777" w:rsidR="00C043AC" w:rsidRPr="0057429C" w:rsidRDefault="00C043AC" w:rsidP="0067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8"/>
                <w:szCs w:val="28"/>
                <w:lang w:val="en-GB"/>
              </w:rPr>
            </w:pPr>
            <w:r w:rsidRPr="0057429C">
              <w:rPr>
                <w:rFonts w:asciiTheme="majorBidi" w:eastAsia="Times New Roman" w:hAnsiTheme="majorBidi" w:cstheme="majorBidi"/>
                <w:color w:val="auto"/>
                <w:sz w:val="28"/>
                <w:szCs w:val="28"/>
                <w:lang w:val="en-GB"/>
              </w:rPr>
              <w:t>Hybrid strength</w:t>
            </w:r>
          </w:p>
        </w:tc>
        <w:tc>
          <w:tcPr>
            <w:tcW w:w="590" w:type="dxa"/>
            <w:tcBorders>
              <w:left w:val="none" w:sz="0" w:space="0" w:color="auto"/>
              <w:right w:val="none" w:sz="0" w:space="0" w:color="auto"/>
            </w:tcBorders>
            <w:shd w:val="clear" w:color="auto" w:fill="auto"/>
          </w:tcPr>
          <w:p w14:paraId="6B103460"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0.3</w:t>
            </w:r>
          </w:p>
        </w:tc>
        <w:tc>
          <w:tcPr>
            <w:tcW w:w="2968" w:type="dxa"/>
            <w:tcBorders>
              <w:left w:val="none" w:sz="0" w:space="0" w:color="auto"/>
              <w:right w:val="none" w:sz="0" w:space="0" w:color="auto"/>
            </w:tcBorders>
            <w:shd w:val="clear" w:color="auto" w:fill="auto"/>
          </w:tcPr>
          <w:p w14:paraId="67B62F53" w14:textId="77777777" w:rsidR="00C043AC" w:rsidRPr="00A65C61" w:rsidRDefault="00C043AC" w:rsidP="0067676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GB"/>
              </w:rPr>
            </w:pPr>
            <w:r w:rsidRPr="00A65C61">
              <w:rPr>
                <w:rFonts w:asciiTheme="majorBidi" w:eastAsia="Times New Roman" w:hAnsiTheme="majorBidi" w:cstheme="majorBidi"/>
                <w:sz w:val="28"/>
                <w:szCs w:val="28"/>
                <w:lang w:val="en-GB"/>
              </w:rPr>
              <w:t>Steel plate</w:t>
            </w:r>
          </w:p>
        </w:tc>
      </w:tr>
    </w:tbl>
    <w:p w14:paraId="029BE8FB" w14:textId="77777777" w:rsidR="00C043AC" w:rsidRPr="00A65C61" w:rsidRDefault="00C043AC" w:rsidP="00C043AC">
      <w:pPr>
        <w:bidi w:val="0"/>
        <w:rPr>
          <w:rFonts w:asciiTheme="majorBidi" w:hAnsiTheme="majorBidi" w:cstheme="majorBidi"/>
          <w:sz w:val="28"/>
          <w:szCs w:val="28"/>
        </w:rPr>
      </w:pPr>
    </w:p>
    <w:p w14:paraId="79F41A6F" w14:textId="77777777" w:rsidR="00A76972" w:rsidRDefault="00A76972"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24A720AB" w14:textId="77777777" w:rsidR="00A76972" w:rsidRDefault="00A76972"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3A9CFBD7" w14:textId="77777777" w:rsidR="00A76972" w:rsidRDefault="00A76972"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754432C6" w14:textId="0B704FCA" w:rsidR="00C043AC" w:rsidRPr="00A65C61" w:rsidRDefault="00C043AC"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 Materials</w:t>
      </w:r>
    </w:p>
    <w:p w14:paraId="57A1549D" w14:textId="59170871" w:rsidR="00C043AC" w:rsidRPr="00A65C61" w:rsidRDefault="00C043AC" w:rsidP="00C043AC">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 xml:space="preserve">2.2.1 </w:t>
      </w:r>
      <w:r w:rsidR="00E518AC" w:rsidRPr="00A65C61">
        <w:rPr>
          <w:rStyle w:val="Strong"/>
          <w:rFonts w:asciiTheme="majorBidi" w:hAnsiTheme="majorBidi" w:cstheme="majorBidi"/>
          <w:sz w:val="28"/>
          <w:szCs w:val="28"/>
          <w:shd w:val="clear" w:color="auto" w:fill="FFFFFF"/>
        </w:rPr>
        <w:t>Cement and Aggregates</w:t>
      </w:r>
    </w:p>
    <w:p w14:paraId="35FAE587" w14:textId="319BC6D7" w:rsidR="00C043AC" w:rsidRPr="00A65C61" w:rsidRDefault="001E42E9" w:rsidP="001E42E9">
      <w:pPr>
        <w:bidi w:val="0"/>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Ordinary Portland cement, washed natural sand, and 12mm coarse aggregates were utilized, with the cement conforming to Iraqi Specification No. 5/1984 [12]. The </w:t>
      </w:r>
      <w:r w:rsidRPr="00A65C61">
        <w:rPr>
          <w:rFonts w:asciiTheme="majorBidi" w:hAnsiTheme="majorBidi" w:cstheme="majorBidi"/>
          <w:sz w:val="28"/>
          <w:szCs w:val="28"/>
          <w:shd w:val="clear" w:color="auto" w:fill="FFFFFF"/>
        </w:rPr>
        <w:lastRenderedPageBreak/>
        <w:t>physical properties of both fine and coarse aggregates were evaluated to ensure they met the requirements of Iraqi Standard No. 45/1984 [13].</w:t>
      </w:r>
    </w:p>
    <w:p w14:paraId="35D774EB" w14:textId="415A0653" w:rsidR="001E42E9" w:rsidRPr="00A65C61" w:rsidRDefault="001E42E9" w:rsidP="001E42E9">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2.2.2 Steel Reinforcement</w:t>
      </w:r>
    </w:p>
    <w:p w14:paraId="7166DEB2" w14:textId="38C94F11" w:rsidR="001E42E9" w:rsidRPr="0057429C" w:rsidRDefault="001E42E9" w:rsidP="008359E1">
      <w:pPr>
        <w:shd w:val="clear" w:color="auto" w:fill="FFFFFF"/>
        <w:bidi w:val="0"/>
        <w:spacing w:after="120"/>
        <w:jc w:val="both"/>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The primary tensile reinforcement for the corbel and the longitudinal reinforcement of the supporting column were deformed steel bars with a 12mm diameter. Deformed steel bars with an 8mm diameter were used as connecting rods for the column. Additional reinforcement and frame bars were made of 6mm diameter steel bars. To evaluate the properties, three samples of each bar size were tested according to ASTM C370-05a [14]. The yield strengths of the bars were </w:t>
      </w:r>
      <w:r w:rsidRPr="0057429C">
        <w:rPr>
          <w:rFonts w:asciiTheme="majorBidi" w:hAnsiTheme="majorBidi" w:cstheme="majorBidi"/>
          <w:sz w:val="28"/>
          <w:szCs w:val="28"/>
          <w:shd w:val="clear" w:color="auto" w:fill="FFFFFF"/>
        </w:rPr>
        <w:t>498 MPa, 655 MPa, and 620 MPa</w:t>
      </w:r>
      <w:r w:rsidR="00AE02DB" w:rsidRPr="0057429C">
        <w:rPr>
          <w:rFonts w:asciiTheme="majorBidi" w:hAnsiTheme="majorBidi" w:cstheme="majorBidi"/>
          <w:sz w:val="28"/>
          <w:szCs w:val="28"/>
          <w:shd w:val="clear" w:color="auto" w:fill="FFFFFF"/>
        </w:rPr>
        <w:t>. Details of tested corbels are</w:t>
      </w:r>
      <w:r w:rsidRPr="0057429C">
        <w:rPr>
          <w:rFonts w:asciiTheme="majorBidi" w:hAnsiTheme="majorBidi" w:cstheme="majorBidi"/>
          <w:sz w:val="28"/>
          <w:szCs w:val="28"/>
          <w:shd w:val="clear" w:color="auto" w:fill="FFFFFF"/>
        </w:rPr>
        <w:t xml:space="preserve"> shown in Figure 2.</w:t>
      </w:r>
    </w:p>
    <w:p w14:paraId="3CB1A6AE" w14:textId="77777777" w:rsidR="00AE02DB" w:rsidRPr="0057429C" w:rsidRDefault="00AE02DB" w:rsidP="00AE02DB">
      <w:pPr>
        <w:shd w:val="clear" w:color="auto" w:fill="FFFFFF"/>
        <w:bidi w:val="0"/>
        <w:spacing w:after="120"/>
        <w:jc w:val="both"/>
        <w:rPr>
          <w:rStyle w:val="Strong"/>
          <w:rFonts w:asciiTheme="majorBidi" w:hAnsiTheme="majorBidi" w:cstheme="majorBidi"/>
          <w:sz w:val="28"/>
          <w:szCs w:val="28"/>
          <w:shd w:val="clear" w:color="auto" w:fill="FFFFFF"/>
        </w:rPr>
      </w:pPr>
    </w:p>
    <w:p w14:paraId="645C0DA2" w14:textId="19EB0C33" w:rsidR="001E42E9" w:rsidRPr="00A65C61" w:rsidRDefault="00FE4807" w:rsidP="00FE4807">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1ACE917" wp14:editId="5FA361C8">
            <wp:extent cx="3535680" cy="2207260"/>
            <wp:effectExtent l="0" t="0" r="7620" b="2540"/>
            <wp:docPr id="42067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680" cy="2207260"/>
                    </a:xfrm>
                    <a:prstGeom prst="rect">
                      <a:avLst/>
                    </a:prstGeom>
                    <a:noFill/>
                  </pic:spPr>
                </pic:pic>
              </a:graphicData>
            </a:graphic>
          </wp:inline>
        </w:drawing>
      </w:r>
    </w:p>
    <w:p w14:paraId="3E7A8357" w14:textId="77777777" w:rsidR="00FE4807" w:rsidRPr="00A65C61" w:rsidRDefault="00FE4807" w:rsidP="00FE4807">
      <w:pPr>
        <w:bidi w:val="0"/>
        <w:rPr>
          <w:rFonts w:asciiTheme="majorBidi" w:hAnsiTheme="majorBidi" w:cstheme="majorBidi"/>
          <w:sz w:val="28"/>
          <w:szCs w:val="28"/>
        </w:rPr>
      </w:pPr>
    </w:p>
    <w:p w14:paraId="0872C0D9" w14:textId="1B45F94B" w:rsidR="00FE4807" w:rsidRPr="00A65C61" w:rsidRDefault="00FE4807" w:rsidP="00FE4807">
      <w:pPr>
        <w:tabs>
          <w:tab w:val="left" w:pos="972"/>
        </w:tabs>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CCDC126" wp14:editId="4A38A59E">
            <wp:extent cx="2974975" cy="1426845"/>
            <wp:effectExtent l="0" t="0" r="0" b="1905"/>
            <wp:docPr id="1331559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1426845"/>
                    </a:xfrm>
                    <a:prstGeom prst="rect">
                      <a:avLst/>
                    </a:prstGeom>
                    <a:noFill/>
                  </pic:spPr>
                </pic:pic>
              </a:graphicData>
            </a:graphic>
          </wp:inline>
        </w:drawing>
      </w:r>
    </w:p>
    <w:p w14:paraId="5A391604" w14:textId="77777777" w:rsidR="00FE4807" w:rsidRPr="00A65C61" w:rsidRDefault="00FE4807" w:rsidP="00FE4807">
      <w:pPr>
        <w:jc w:val="center"/>
        <w:rPr>
          <w:rFonts w:asciiTheme="majorBidi" w:hAnsiTheme="majorBidi" w:cstheme="majorBidi"/>
          <w:sz w:val="28"/>
          <w:szCs w:val="28"/>
        </w:rPr>
      </w:pPr>
      <w:r w:rsidRPr="00A65C61">
        <w:rPr>
          <w:rFonts w:asciiTheme="majorBidi" w:hAnsiTheme="majorBidi" w:cstheme="majorBidi"/>
          <w:b/>
          <w:bCs/>
          <w:sz w:val="28"/>
          <w:szCs w:val="28"/>
        </w:rPr>
        <w:t xml:space="preserve">Figure 2. </w:t>
      </w:r>
      <w:r w:rsidRPr="00A65C61">
        <w:rPr>
          <w:rFonts w:asciiTheme="majorBidi" w:hAnsiTheme="majorBidi" w:cstheme="majorBidi"/>
          <w:sz w:val="28"/>
          <w:szCs w:val="28"/>
        </w:rPr>
        <w:t>Details of Tested Corbel.</w:t>
      </w:r>
    </w:p>
    <w:p w14:paraId="33763807" w14:textId="77777777" w:rsidR="00A76972" w:rsidRDefault="00A76972" w:rsidP="000C77A6">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595044F9" w14:textId="77777777" w:rsidR="00A76972" w:rsidRDefault="00A76972"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p>
    <w:p w14:paraId="7598B479" w14:textId="74BB1D1C" w:rsidR="000C77A6" w:rsidRPr="00A65C61" w:rsidRDefault="000C77A6" w:rsidP="00A76972">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2.2.3 Superplasticizer</w:t>
      </w:r>
    </w:p>
    <w:p w14:paraId="056BB17C" w14:textId="3C85D14C" w:rsidR="000C77A6" w:rsidRPr="00A65C61" w:rsidRDefault="00AE0547" w:rsidP="00AE0547">
      <w:pPr>
        <w:shd w:val="clear" w:color="auto" w:fill="FFFFFF"/>
        <w:bidi w:val="0"/>
        <w:spacing w:after="120"/>
        <w:jc w:val="both"/>
        <w:rPr>
          <w:rStyle w:val="Strong"/>
          <w:rFonts w:asciiTheme="majorBidi" w:hAnsiTheme="majorBidi" w:cstheme="majorBidi"/>
          <w:b w:val="0"/>
          <w:bCs w:val="0"/>
          <w:sz w:val="28"/>
          <w:szCs w:val="28"/>
          <w:shd w:val="clear" w:color="auto" w:fill="FFFFFF"/>
        </w:rPr>
      </w:pPr>
      <w:r w:rsidRPr="00A65C61">
        <w:rPr>
          <w:rFonts w:asciiTheme="majorBidi" w:hAnsiTheme="majorBidi" w:cstheme="majorBidi"/>
          <w:sz w:val="28"/>
          <w:szCs w:val="28"/>
          <w:shd w:val="clear" w:color="auto" w:fill="FFFFFF"/>
        </w:rPr>
        <w:t xml:space="preserve">To produce self-consolidating concrete, a superplasticizer known as a </w:t>
      </w:r>
      <w:proofErr w:type="gramStart"/>
      <w:r w:rsidRPr="00A65C61">
        <w:rPr>
          <w:rFonts w:asciiTheme="majorBidi" w:hAnsiTheme="majorBidi" w:cstheme="majorBidi"/>
          <w:sz w:val="28"/>
          <w:szCs w:val="28"/>
          <w:shd w:val="clear" w:color="auto" w:fill="FFFFFF"/>
        </w:rPr>
        <w:t>High Water</w:t>
      </w:r>
      <w:proofErr w:type="gramEnd"/>
      <w:r w:rsidRPr="00A65C61">
        <w:rPr>
          <w:rFonts w:asciiTheme="majorBidi" w:hAnsiTheme="majorBidi" w:cstheme="majorBidi"/>
          <w:sz w:val="28"/>
          <w:szCs w:val="28"/>
          <w:shd w:val="clear" w:color="auto" w:fill="FFFFFF"/>
        </w:rPr>
        <w:t xml:space="preserve"> Reducing Agent (HWRA), based on </w:t>
      </w:r>
      <w:proofErr w:type="spellStart"/>
      <w:r w:rsidRPr="00A65C61">
        <w:rPr>
          <w:rFonts w:asciiTheme="majorBidi" w:hAnsiTheme="majorBidi" w:cstheme="majorBidi"/>
          <w:sz w:val="28"/>
          <w:szCs w:val="28"/>
          <w:shd w:val="clear" w:color="auto" w:fill="FFFFFF"/>
        </w:rPr>
        <w:t>polycarboxylic</w:t>
      </w:r>
      <w:proofErr w:type="spellEnd"/>
      <w:r w:rsidRPr="00A65C61">
        <w:rPr>
          <w:rFonts w:asciiTheme="majorBidi" w:hAnsiTheme="majorBidi" w:cstheme="majorBidi"/>
          <w:sz w:val="28"/>
          <w:szCs w:val="28"/>
          <w:shd w:val="clear" w:color="auto" w:fill="FFFFFF"/>
        </w:rPr>
        <w:t xml:space="preserve"> ether, was utilized and </w:t>
      </w:r>
      <w:r w:rsidRPr="00A65C61">
        <w:rPr>
          <w:rFonts w:asciiTheme="majorBidi" w:hAnsiTheme="majorBidi" w:cstheme="majorBidi"/>
          <w:sz w:val="28"/>
          <w:szCs w:val="28"/>
          <w:shd w:val="clear" w:color="auto" w:fill="FFFFFF"/>
        </w:rPr>
        <w:lastRenderedPageBreak/>
        <w:t>incorporated into the mix. The product, branded as Glenium51[15], is chloride-free and complies with ASTM C494 types F and A standards. Additionally, it is highly compatible with all types of Portland cement that adhere to internationally recognized specifications</w:t>
      </w:r>
    </w:p>
    <w:p w14:paraId="57C92263" w14:textId="77777777" w:rsidR="00FE4807" w:rsidRPr="00A65C61" w:rsidRDefault="00FE4807" w:rsidP="000C77A6">
      <w:pPr>
        <w:bidi w:val="0"/>
        <w:rPr>
          <w:rFonts w:asciiTheme="majorBidi" w:hAnsiTheme="majorBidi" w:cstheme="majorBidi"/>
          <w:sz w:val="28"/>
          <w:szCs w:val="28"/>
        </w:rPr>
      </w:pPr>
    </w:p>
    <w:p w14:paraId="17DE3033" w14:textId="436D22C0" w:rsidR="00AE0547" w:rsidRPr="00A65C61" w:rsidRDefault="00AE0547" w:rsidP="00AE0547">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2.2.4 Silica Fume</w:t>
      </w:r>
    </w:p>
    <w:p w14:paraId="6F407BE7" w14:textId="77F9B847" w:rsidR="00AE0547" w:rsidRPr="00A65C61" w:rsidRDefault="00AE0547" w:rsidP="00AE0547">
      <w:pPr>
        <w:bidi w:val="0"/>
        <w:rPr>
          <w:rFonts w:asciiTheme="majorBidi" w:hAnsiTheme="majorBidi" w:cstheme="majorBidi"/>
          <w:sz w:val="28"/>
          <w:szCs w:val="28"/>
        </w:rPr>
      </w:pPr>
      <w:r w:rsidRPr="00A65C61">
        <w:rPr>
          <w:rFonts w:asciiTheme="majorBidi" w:hAnsiTheme="majorBidi" w:cstheme="majorBidi"/>
          <w:sz w:val="28"/>
          <w:szCs w:val="28"/>
        </w:rPr>
        <w:t>The silica fume used in this study was Sika micro silica (manufactured by Sika company). It meets the chemical and physical specifications of ASTM C 1240-05 [16].</w:t>
      </w:r>
    </w:p>
    <w:p w14:paraId="49B17C51" w14:textId="77777777" w:rsidR="00AE0547" w:rsidRPr="00A65C61" w:rsidRDefault="00AE0547" w:rsidP="00AE0547">
      <w:pPr>
        <w:bidi w:val="0"/>
        <w:rPr>
          <w:rFonts w:asciiTheme="majorBidi" w:hAnsiTheme="majorBidi" w:cstheme="majorBidi"/>
          <w:sz w:val="28"/>
          <w:szCs w:val="28"/>
        </w:rPr>
      </w:pPr>
    </w:p>
    <w:p w14:paraId="5FD2EDF0" w14:textId="2BCB6E2D" w:rsidR="00AE0547" w:rsidRPr="00A65C61" w:rsidRDefault="00AE0547" w:rsidP="00AE0547">
      <w:pPr>
        <w:shd w:val="clear" w:color="auto" w:fill="FFFFFF"/>
        <w:bidi w:val="0"/>
        <w:spacing w:after="120"/>
        <w:ind w:left="284" w:hanging="284"/>
        <w:jc w:val="both"/>
        <w:rPr>
          <w:rStyle w:val="Strong"/>
          <w:rFonts w:asciiTheme="majorBidi" w:hAnsiTheme="majorBidi" w:cstheme="majorBidi"/>
          <w:sz w:val="28"/>
          <w:szCs w:val="28"/>
          <w:shd w:val="clear" w:color="auto" w:fill="FFFFFF"/>
        </w:rPr>
      </w:pPr>
      <w:r w:rsidRPr="00A65C61">
        <w:rPr>
          <w:rStyle w:val="Strong"/>
          <w:rFonts w:asciiTheme="majorBidi" w:hAnsiTheme="majorBidi" w:cstheme="majorBidi"/>
          <w:sz w:val="28"/>
          <w:szCs w:val="28"/>
          <w:shd w:val="clear" w:color="auto" w:fill="FFFFFF"/>
        </w:rPr>
        <w:t>2.2.5 Steel Plate</w:t>
      </w:r>
      <w:r w:rsidR="00E07711">
        <w:rPr>
          <w:rStyle w:val="Strong"/>
          <w:rFonts w:asciiTheme="majorBidi" w:hAnsiTheme="majorBidi" w:cstheme="majorBidi"/>
          <w:sz w:val="28"/>
          <w:szCs w:val="28"/>
          <w:shd w:val="clear" w:color="auto" w:fill="FFFFFF"/>
        </w:rPr>
        <w:t>s</w:t>
      </w:r>
      <w:r w:rsidRPr="00A65C61">
        <w:rPr>
          <w:rStyle w:val="Strong"/>
          <w:rFonts w:asciiTheme="majorBidi" w:hAnsiTheme="majorBidi" w:cstheme="majorBidi"/>
          <w:sz w:val="28"/>
          <w:szCs w:val="28"/>
          <w:shd w:val="clear" w:color="auto" w:fill="FFFFFF"/>
        </w:rPr>
        <w:t xml:space="preserve"> and Bolts</w:t>
      </w:r>
    </w:p>
    <w:p w14:paraId="52570085" w14:textId="712355B0" w:rsidR="00AE0547" w:rsidRPr="00A65C61" w:rsidRDefault="00AE0547" w:rsidP="00AE0547">
      <w:pPr>
        <w:shd w:val="clear" w:color="auto" w:fill="FFFFFF"/>
        <w:bidi w:val="0"/>
        <w:spacing w:after="120"/>
        <w:jc w:val="both"/>
        <w:rPr>
          <w:rFonts w:asciiTheme="majorBidi" w:hAnsiTheme="majorBidi" w:cstheme="majorBidi"/>
          <w:sz w:val="28"/>
          <w:szCs w:val="28"/>
          <w:shd w:val="clear" w:color="auto" w:fill="FFFFFF"/>
        </w:rPr>
      </w:pPr>
      <w:r w:rsidRPr="00A65C61">
        <w:rPr>
          <w:rFonts w:asciiTheme="majorBidi" w:hAnsiTheme="majorBidi" w:cstheme="majorBidi"/>
          <w:sz w:val="28"/>
          <w:szCs w:val="28"/>
          <w:shd w:val="clear" w:color="auto" w:fill="FFFFFF"/>
        </w:rPr>
        <w:t xml:space="preserve">The external stiffeners utilized in this study consist of steel plates with a thickness of 6 mm, </w:t>
      </w:r>
      <w:r w:rsidRPr="0057429C">
        <w:rPr>
          <w:rFonts w:asciiTheme="majorBidi" w:hAnsiTheme="majorBidi" w:cstheme="majorBidi"/>
          <w:sz w:val="28"/>
          <w:szCs w:val="28"/>
          <w:shd w:val="clear" w:color="auto" w:fill="FFFFFF"/>
        </w:rPr>
        <w:t>a length of 70 mm, and a height of 60 mm</w:t>
      </w:r>
      <w:r w:rsidRPr="00A65C61">
        <w:rPr>
          <w:rFonts w:asciiTheme="majorBidi" w:hAnsiTheme="majorBidi" w:cstheme="majorBidi"/>
          <w:sz w:val="28"/>
          <w:szCs w:val="28"/>
          <w:shd w:val="clear" w:color="auto" w:fill="FFFFFF"/>
        </w:rPr>
        <w:t>. Table 2 presents the yield stress, ultimate strength, and longitudinal elongation properties of the steel plates. These plates were installed using the anchor bolt method.</w:t>
      </w:r>
    </w:p>
    <w:p w14:paraId="22789DEF" w14:textId="77777777" w:rsidR="00AE0547" w:rsidRPr="00A65C61" w:rsidRDefault="00AE0547" w:rsidP="00AE0547">
      <w:pPr>
        <w:shd w:val="clear" w:color="auto" w:fill="FFFFFF"/>
        <w:bidi w:val="0"/>
        <w:spacing w:after="120"/>
        <w:jc w:val="both"/>
        <w:rPr>
          <w:rFonts w:asciiTheme="majorBidi" w:hAnsiTheme="majorBidi" w:cstheme="majorBidi"/>
          <w:sz w:val="28"/>
          <w:szCs w:val="28"/>
          <w:shd w:val="clear" w:color="auto" w:fill="FFFFFF"/>
        </w:rPr>
      </w:pPr>
    </w:p>
    <w:tbl>
      <w:tblPr>
        <w:tblStyle w:val="LightShading"/>
        <w:tblW w:w="8353" w:type="dxa"/>
        <w:jc w:val="center"/>
        <w:tblBorders>
          <w:top w:val="none" w:sz="0" w:space="0" w:color="auto"/>
          <w:bottom w:val="none" w:sz="0" w:space="0" w:color="auto"/>
          <w:insideH w:val="single" w:sz="4" w:space="0" w:color="auto"/>
        </w:tblBorders>
        <w:tblLook w:val="00A0" w:firstRow="1" w:lastRow="0" w:firstColumn="1" w:lastColumn="0" w:noHBand="0" w:noVBand="0"/>
      </w:tblPr>
      <w:tblGrid>
        <w:gridCol w:w="1476"/>
        <w:gridCol w:w="1415"/>
        <w:gridCol w:w="1524"/>
        <w:gridCol w:w="1360"/>
        <w:gridCol w:w="1289"/>
        <w:gridCol w:w="1289"/>
      </w:tblGrid>
      <w:tr w:rsidR="00AE0547" w:rsidRPr="00A65C61" w14:paraId="5084A747" w14:textId="77777777" w:rsidTr="00AE05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353" w:type="dxa"/>
            <w:gridSpan w:val="6"/>
            <w:tcBorders>
              <w:top w:val="none" w:sz="0" w:space="0" w:color="auto"/>
              <w:left w:val="none" w:sz="0" w:space="0" w:color="auto"/>
              <w:bottom w:val="none" w:sz="0" w:space="0" w:color="auto"/>
              <w:right w:val="none" w:sz="0" w:space="0" w:color="auto"/>
            </w:tcBorders>
            <w:shd w:val="clear" w:color="auto" w:fill="auto"/>
          </w:tcPr>
          <w:p w14:paraId="37CD0D51" w14:textId="77777777" w:rsidR="00AE0547" w:rsidRPr="00A65C61" w:rsidRDefault="00AE0547" w:rsidP="008E0C79">
            <w:pPr>
              <w:autoSpaceDE w:val="0"/>
              <w:autoSpaceDN w:val="0"/>
              <w:bidi w:val="0"/>
              <w:adjustRightInd w:val="0"/>
              <w:jc w:val="center"/>
              <w:rPr>
                <w:rFonts w:asciiTheme="majorBidi" w:hAnsiTheme="majorBidi" w:cstheme="majorBidi"/>
                <w:b w:val="0"/>
                <w:bCs w:val="0"/>
                <w:i/>
                <w:iCs/>
                <w:sz w:val="28"/>
                <w:szCs w:val="28"/>
              </w:rPr>
            </w:pPr>
            <w:r w:rsidRPr="00A65C61">
              <w:rPr>
                <w:rFonts w:asciiTheme="majorBidi" w:hAnsiTheme="majorBidi" w:cstheme="majorBidi"/>
                <w:sz w:val="28"/>
                <w:szCs w:val="28"/>
              </w:rPr>
              <w:t xml:space="preserve">Table 2.  </w:t>
            </w:r>
            <w:r w:rsidRPr="00A65C61">
              <w:rPr>
                <w:rFonts w:asciiTheme="majorBidi" w:hAnsiTheme="majorBidi" w:cstheme="majorBidi"/>
                <w:b w:val="0"/>
                <w:bCs w:val="0"/>
                <w:sz w:val="28"/>
                <w:szCs w:val="28"/>
              </w:rPr>
              <w:t>Details of steel plate and bolts</w:t>
            </w:r>
          </w:p>
        </w:tc>
      </w:tr>
      <w:tr w:rsidR="00AE0547" w:rsidRPr="00A65C61" w14:paraId="5F55F2CF" w14:textId="77777777" w:rsidTr="00AE0547">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right w:val="none" w:sz="0" w:space="0" w:color="auto"/>
            </w:tcBorders>
            <w:shd w:val="clear" w:color="auto" w:fill="auto"/>
          </w:tcPr>
          <w:p w14:paraId="0C123A3E" w14:textId="77777777" w:rsidR="00AE0547" w:rsidRPr="00A65C61" w:rsidRDefault="00AE0547" w:rsidP="008E0C79">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Steel Specimens</w:t>
            </w:r>
          </w:p>
        </w:tc>
        <w:tc>
          <w:tcPr>
            <w:cnfStyle w:val="000010000000" w:firstRow="0" w:lastRow="0" w:firstColumn="0" w:lastColumn="0" w:oddVBand="1" w:evenVBand="0" w:oddHBand="0" w:evenHBand="0" w:firstRowFirstColumn="0" w:firstRowLastColumn="0" w:lastRowFirstColumn="0" w:lastRowLastColumn="0"/>
            <w:tcW w:w="1415" w:type="dxa"/>
            <w:tcBorders>
              <w:left w:val="none" w:sz="0" w:space="0" w:color="auto"/>
              <w:bottom w:val="none" w:sz="0" w:space="0" w:color="auto"/>
              <w:right w:val="none" w:sz="0" w:space="0" w:color="auto"/>
            </w:tcBorders>
            <w:shd w:val="clear" w:color="auto" w:fill="auto"/>
          </w:tcPr>
          <w:p w14:paraId="32512222" w14:textId="77777777" w:rsidR="00AE0547" w:rsidRPr="00A65C61" w:rsidRDefault="00AE0547" w:rsidP="008E0C79">
            <w:pPr>
              <w:jc w:val="right"/>
              <w:rPr>
                <w:rFonts w:asciiTheme="majorBidi" w:hAnsiTheme="majorBidi" w:cstheme="majorBidi"/>
                <w:sz w:val="28"/>
                <w:szCs w:val="28"/>
                <w:lang w:bidi="ar-IQ"/>
              </w:rPr>
            </w:pPr>
            <w:r w:rsidRPr="00A65C61">
              <w:rPr>
                <w:rFonts w:asciiTheme="majorBidi" w:eastAsiaTheme="minorEastAsia" w:hAnsiTheme="majorBidi" w:cstheme="majorBidi"/>
                <w:b/>
                <w:bCs/>
                <w:sz w:val="28"/>
                <w:szCs w:val="28"/>
                <w:lang w:val="en-GB"/>
              </w:rPr>
              <w:t>Thickness of Plates (mm</w:t>
            </w:r>
            <w:r w:rsidRPr="00A65C61">
              <w:rPr>
                <w:rFonts w:asciiTheme="majorBidi" w:eastAsiaTheme="minorEastAsia" w:hAnsiTheme="majorBidi" w:cstheme="majorBidi"/>
                <w:sz w:val="28"/>
                <w:szCs w:val="28"/>
                <w:lang w:val="en-GB"/>
              </w:rPr>
              <w:t>)</w:t>
            </w:r>
          </w:p>
        </w:tc>
        <w:tc>
          <w:tcPr>
            <w:tcW w:w="1524" w:type="dxa"/>
            <w:tcBorders>
              <w:left w:val="none" w:sz="0" w:space="0" w:color="auto"/>
              <w:right w:val="none" w:sz="0" w:space="0" w:color="auto"/>
            </w:tcBorders>
            <w:shd w:val="clear" w:color="auto" w:fill="auto"/>
          </w:tcPr>
          <w:p w14:paraId="6D97425F"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Elongation %</w:t>
            </w:r>
          </w:p>
        </w:tc>
        <w:tc>
          <w:tcPr>
            <w:cnfStyle w:val="000010000000" w:firstRow="0" w:lastRow="0" w:firstColumn="0" w:lastColumn="0" w:oddVBand="1" w:evenVBand="0" w:oddHBand="0" w:evenHBand="0" w:firstRowFirstColumn="0" w:firstRowLastColumn="0" w:lastRowFirstColumn="0" w:lastRowLastColumn="0"/>
            <w:tcW w:w="1360" w:type="dxa"/>
            <w:tcBorders>
              <w:left w:val="none" w:sz="0" w:space="0" w:color="auto"/>
              <w:bottom w:val="none" w:sz="0" w:space="0" w:color="auto"/>
              <w:right w:val="none" w:sz="0" w:space="0" w:color="auto"/>
            </w:tcBorders>
            <w:shd w:val="clear" w:color="auto" w:fill="auto"/>
          </w:tcPr>
          <w:p w14:paraId="5EDA366A"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Bonding</w:t>
            </w:r>
          </w:p>
          <w:p w14:paraId="74665CBE"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 xml:space="preserve">Method </w:t>
            </w:r>
            <w:r w:rsidRPr="00A65C61">
              <w:rPr>
                <w:rFonts w:asciiTheme="majorBidi" w:eastAsiaTheme="minorEastAsia" w:hAnsiTheme="majorBidi" w:cstheme="majorBidi"/>
                <w:sz w:val="28"/>
                <w:szCs w:val="28"/>
                <w:lang w:val="en-GB"/>
              </w:rPr>
              <w:t xml:space="preserve">  </w:t>
            </w:r>
          </w:p>
        </w:tc>
        <w:tc>
          <w:tcPr>
            <w:tcW w:w="1289" w:type="dxa"/>
            <w:tcBorders>
              <w:left w:val="none" w:sz="0" w:space="0" w:color="auto"/>
              <w:right w:val="none" w:sz="0" w:space="0" w:color="auto"/>
            </w:tcBorders>
            <w:shd w:val="clear" w:color="auto" w:fill="auto"/>
          </w:tcPr>
          <w:p w14:paraId="1600D5DE"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Yield Stress</w:t>
            </w:r>
          </w:p>
          <w:p w14:paraId="39196E68" w14:textId="77777777" w:rsidR="00AE0547" w:rsidRPr="00A65C61" w:rsidRDefault="00AE0547" w:rsidP="008E0C79">
            <w:p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(N/mm2)</w:t>
            </w:r>
          </w:p>
        </w:tc>
        <w:tc>
          <w:tcPr>
            <w:cnfStyle w:val="000010000000" w:firstRow="0" w:lastRow="0" w:firstColumn="0" w:lastColumn="0" w:oddVBand="1" w:evenVBand="0" w:oddHBand="0" w:evenHBand="0" w:firstRowFirstColumn="0" w:firstRowLastColumn="0" w:lastRowFirstColumn="0" w:lastRowLastColumn="0"/>
            <w:tcW w:w="1289" w:type="dxa"/>
            <w:tcBorders>
              <w:left w:val="none" w:sz="0" w:space="0" w:color="auto"/>
              <w:bottom w:val="none" w:sz="0" w:space="0" w:color="auto"/>
              <w:right w:val="none" w:sz="0" w:space="0" w:color="auto"/>
            </w:tcBorders>
            <w:shd w:val="clear" w:color="auto" w:fill="auto"/>
          </w:tcPr>
          <w:p w14:paraId="1FAD4D92"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b/>
                <w:bCs/>
                <w:sz w:val="28"/>
                <w:szCs w:val="28"/>
                <w:lang w:val="en-GB"/>
              </w:rPr>
              <w:t>Ultimate Stress</w:t>
            </w:r>
          </w:p>
          <w:p w14:paraId="56859FF2"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b/>
                <w:bCs/>
                <w:sz w:val="28"/>
                <w:szCs w:val="28"/>
                <w:lang w:val="en-GB"/>
              </w:rPr>
              <w:t>(N/mm2)</w:t>
            </w:r>
          </w:p>
        </w:tc>
      </w:tr>
      <w:tr w:rsidR="00AE0547" w:rsidRPr="00A65C61" w14:paraId="5B09D0E4" w14:textId="77777777" w:rsidTr="00AE0547">
        <w:trPr>
          <w:trHeight w:val="189"/>
          <w:jc w:val="center"/>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tcPr>
          <w:p w14:paraId="7F50DE9D" w14:textId="77777777" w:rsidR="00AE0547" w:rsidRPr="00A65C61" w:rsidRDefault="00AE0547" w:rsidP="008E0C79">
            <w:pPr>
              <w:jc w:val="right"/>
              <w:rPr>
                <w:rFonts w:asciiTheme="majorBidi" w:eastAsiaTheme="minorEastAsia" w:hAnsiTheme="majorBidi" w:cstheme="majorBidi"/>
                <w:b w:val="0"/>
                <w:bCs w:val="0"/>
                <w:sz w:val="28"/>
                <w:szCs w:val="28"/>
                <w:lang w:val="en-GB"/>
              </w:rPr>
            </w:pPr>
            <w:r w:rsidRPr="00A65C61">
              <w:rPr>
                <w:rFonts w:asciiTheme="majorBidi" w:eastAsiaTheme="minorEastAsia" w:hAnsiTheme="majorBidi" w:cstheme="majorBidi"/>
                <w:b w:val="0"/>
                <w:bCs w:val="0"/>
                <w:sz w:val="28"/>
                <w:szCs w:val="28"/>
                <w:lang w:val="en-GB"/>
              </w:rPr>
              <w:t>Steel plate</w:t>
            </w:r>
          </w:p>
        </w:tc>
        <w:tc>
          <w:tcPr>
            <w:cnfStyle w:val="000010000000" w:firstRow="0" w:lastRow="0" w:firstColumn="0" w:lastColumn="0" w:oddVBand="1" w:evenVBand="0" w:oddHBand="0" w:evenHBand="0" w:firstRowFirstColumn="0" w:firstRowLastColumn="0" w:lastRowFirstColumn="0" w:lastRowLastColumn="0"/>
            <w:tcW w:w="1415" w:type="dxa"/>
            <w:tcBorders>
              <w:left w:val="none" w:sz="0" w:space="0" w:color="auto"/>
              <w:right w:val="none" w:sz="0" w:space="0" w:color="auto"/>
            </w:tcBorders>
            <w:shd w:val="clear" w:color="auto" w:fill="auto"/>
          </w:tcPr>
          <w:p w14:paraId="5C79310F"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6mm</w:t>
            </w:r>
          </w:p>
        </w:tc>
        <w:tc>
          <w:tcPr>
            <w:tcW w:w="1524" w:type="dxa"/>
            <w:shd w:val="clear" w:color="auto" w:fill="auto"/>
          </w:tcPr>
          <w:p w14:paraId="305BE863"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A65C61">
              <w:rPr>
                <w:rFonts w:asciiTheme="majorBidi" w:eastAsiaTheme="minorEastAsia" w:hAnsiTheme="majorBidi" w:cstheme="majorBidi"/>
                <w:sz w:val="28"/>
                <w:szCs w:val="28"/>
                <w:lang w:val="en-GB"/>
              </w:rPr>
              <w:t>9.34%</w:t>
            </w:r>
          </w:p>
          <w:p w14:paraId="50EEF2EF"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p>
        </w:tc>
        <w:tc>
          <w:tcPr>
            <w:cnfStyle w:val="000010000000" w:firstRow="0" w:lastRow="0" w:firstColumn="0" w:lastColumn="0" w:oddVBand="1" w:evenVBand="0" w:oddHBand="0" w:evenHBand="0" w:firstRowFirstColumn="0" w:firstRowLastColumn="0" w:lastRowFirstColumn="0" w:lastRowLastColumn="0"/>
            <w:tcW w:w="1360" w:type="dxa"/>
            <w:tcBorders>
              <w:left w:val="none" w:sz="0" w:space="0" w:color="auto"/>
              <w:right w:val="none" w:sz="0" w:space="0" w:color="auto"/>
            </w:tcBorders>
            <w:shd w:val="clear" w:color="auto" w:fill="auto"/>
          </w:tcPr>
          <w:p w14:paraId="79EA93E9" w14:textId="77777777" w:rsidR="00AE0547" w:rsidRPr="00A65C61" w:rsidRDefault="00AE0547" w:rsidP="008E0C79">
            <w:pPr>
              <w:jc w:val="right"/>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Anchor bolts</w:t>
            </w:r>
          </w:p>
        </w:tc>
        <w:tc>
          <w:tcPr>
            <w:tcW w:w="1289" w:type="dxa"/>
            <w:shd w:val="clear" w:color="auto" w:fill="auto"/>
          </w:tcPr>
          <w:p w14:paraId="373950B9" w14:textId="77777777" w:rsidR="00AE0547" w:rsidRPr="00A65C61" w:rsidRDefault="00AE0547" w:rsidP="008E0C79">
            <w:pPr>
              <w:jc w:val="right"/>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364.44</w:t>
            </w:r>
          </w:p>
        </w:tc>
        <w:tc>
          <w:tcPr>
            <w:cnfStyle w:val="000010000000" w:firstRow="0" w:lastRow="0" w:firstColumn="0" w:lastColumn="0" w:oddVBand="1" w:evenVBand="0" w:oddHBand="0" w:evenHBand="0" w:firstRowFirstColumn="0" w:firstRowLastColumn="0" w:lastRowFirstColumn="0" w:lastRowLastColumn="0"/>
            <w:tcW w:w="1289" w:type="dxa"/>
            <w:tcBorders>
              <w:left w:val="none" w:sz="0" w:space="0" w:color="auto"/>
              <w:right w:val="none" w:sz="0" w:space="0" w:color="auto"/>
            </w:tcBorders>
            <w:shd w:val="clear" w:color="auto" w:fill="auto"/>
          </w:tcPr>
          <w:p w14:paraId="2CDAA572" w14:textId="77777777" w:rsidR="00AE0547" w:rsidRPr="00A65C61" w:rsidRDefault="00AE0547" w:rsidP="008E0C79">
            <w:pPr>
              <w:jc w:val="right"/>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455.56</w:t>
            </w:r>
          </w:p>
        </w:tc>
      </w:tr>
    </w:tbl>
    <w:p w14:paraId="3A1288DD" w14:textId="77777777" w:rsidR="00AE0547" w:rsidRPr="00A65C61" w:rsidRDefault="00AE0547" w:rsidP="00EB334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2.3 Mix Design</w:t>
      </w:r>
    </w:p>
    <w:p w14:paraId="5A683DAB" w14:textId="1F9C0F0A"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t>Various mixtures were prepared based on the type and strength of the concrete required. The mixture ratios by weight were designed to produce two types of concrete: hybrid strength concrete, with a cylinder compressive strength of approximately 52 MPa after 28 days of water curing, and normal strength concrete, with a cylinder compressive strength of about 30 MPa after the same curing period.</w:t>
      </w:r>
    </w:p>
    <w:p w14:paraId="6C12B59D" w14:textId="2066B087"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t xml:space="preserve">For the mixing process </w:t>
      </w:r>
      <w:r w:rsidRPr="00A65C61">
        <w:rPr>
          <w:rFonts w:asciiTheme="majorBidi" w:hAnsiTheme="majorBidi" w:cstheme="majorBidi"/>
          <w:sz w:val="28"/>
          <w:szCs w:val="28"/>
        </w:rPr>
        <w:t xml:space="preserve">of </w:t>
      </w:r>
      <w:r w:rsidR="00402CB6" w:rsidRPr="00EB3344">
        <w:rPr>
          <w:rFonts w:asciiTheme="majorBidi" w:hAnsiTheme="majorBidi" w:cstheme="majorBidi"/>
          <w:sz w:val="28"/>
          <w:szCs w:val="28"/>
        </w:rPr>
        <w:t>hybrid strength concrete</w:t>
      </w:r>
      <w:r w:rsidRPr="00EB3344">
        <w:rPr>
          <w:rFonts w:asciiTheme="majorBidi" w:hAnsiTheme="majorBidi" w:cstheme="majorBidi"/>
          <w:sz w:val="28"/>
          <w:szCs w:val="28"/>
        </w:rPr>
        <w:t xml:space="preserve">, it is crucial to ensure the mixer is clean and moist but free from excess water. Initially, gravel and sand are added to the rotary mixer along with one-third of the mixing water to moisten the aggregates, and they are mixed for one minute. Cement and silica are then introduced, followed by </w:t>
      </w:r>
      <w:r w:rsidRPr="00EB3344">
        <w:rPr>
          <w:rFonts w:asciiTheme="majorBidi" w:hAnsiTheme="majorBidi" w:cstheme="majorBidi"/>
          <w:sz w:val="28"/>
          <w:szCs w:val="28"/>
        </w:rPr>
        <w:lastRenderedPageBreak/>
        <w:t>half a minute of mixing. Next, one-third of the water combined with one-third of the superplasticizer is added, and mixing continues for another minute. Finally, the remaining water is gradually incorporated along with the remaining two-thirds of the superplasticizer, with mixing continuing for an additional minute and a half. The total mixing time amounts to four minutes.</w:t>
      </w:r>
    </w:p>
    <w:p w14:paraId="24CE48D7" w14:textId="0EE9D96A" w:rsidR="00EB3344" w:rsidRPr="00EB3344" w:rsidRDefault="00EB3344" w:rsidP="00EB3344">
      <w:pPr>
        <w:bidi w:val="0"/>
        <w:jc w:val="both"/>
        <w:rPr>
          <w:rFonts w:asciiTheme="majorBidi" w:hAnsiTheme="majorBidi" w:cstheme="majorBidi"/>
          <w:sz w:val="28"/>
          <w:szCs w:val="28"/>
        </w:rPr>
      </w:pPr>
      <w:r w:rsidRPr="00EB3344">
        <w:rPr>
          <w:rFonts w:asciiTheme="majorBidi" w:hAnsiTheme="majorBidi" w:cstheme="majorBidi"/>
          <w:sz w:val="28"/>
          <w:szCs w:val="28"/>
        </w:rPr>
        <w:t xml:space="preserve">For </w:t>
      </w:r>
      <w:r w:rsidR="00402CB6" w:rsidRPr="00EB3344">
        <w:rPr>
          <w:rFonts w:asciiTheme="majorBidi" w:hAnsiTheme="majorBidi" w:cstheme="majorBidi"/>
          <w:sz w:val="28"/>
          <w:szCs w:val="28"/>
        </w:rPr>
        <w:t>normal strength concrete</w:t>
      </w:r>
      <w:r w:rsidRPr="00EB3344">
        <w:rPr>
          <w:rFonts w:asciiTheme="majorBidi" w:hAnsiTheme="majorBidi" w:cstheme="majorBidi"/>
          <w:sz w:val="28"/>
          <w:szCs w:val="28"/>
        </w:rPr>
        <w:t>, the process is identical, except no superplasticizer or silica is added. Detailed proportions and steps are presented in Table 3.</w:t>
      </w:r>
    </w:p>
    <w:tbl>
      <w:tblPr>
        <w:tblStyle w:val="1"/>
        <w:tblpPr w:leftFromText="187" w:rightFromText="187" w:vertAnchor="text" w:horzAnchor="page" w:tblpX="1580" w:tblpY="193"/>
        <w:tblOverlap w:val="never"/>
        <w:tblW w:w="9630" w:type="dxa"/>
        <w:tblLayout w:type="fixed"/>
        <w:tblLook w:val="00A0" w:firstRow="1" w:lastRow="0" w:firstColumn="1" w:lastColumn="0" w:noHBand="0" w:noVBand="0"/>
      </w:tblPr>
      <w:tblGrid>
        <w:gridCol w:w="1271"/>
        <w:gridCol w:w="1134"/>
        <w:gridCol w:w="835"/>
        <w:gridCol w:w="720"/>
        <w:gridCol w:w="1564"/>
        <w:gridCol w:w="1559"/>
        <w:gridCol w:w="2547"/>
      </w:tblGrid>
      <w:tr w:rsidR="00EB3344" w:rsidRPr="00A65C61" w14:paraId="4F83AF9E" w14:textId="77777777" w:rsidTr="008E0C79">
        <w:trPr>
          <w:trHeight w:val="288"/>
        </w:trPr>
        <w:tc>
          <w:tcPr>
            <w:tcW w:w="9630" w:type="dxa"/>
            <w:gridSpan w:val="7"/>
          </w:tcPr>
          <w:p w14:paraId="0401AE2D"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b/>
                <w:bCs/>
                <w:sz w:val="28"/>
                <w:szCs w:val="28"/>
              </w:rPr>
              <w:t xml:space="preserve">Table 3. </w:t>
            </w:r>
            <w:r w:rsidRPr="00A65C61">
              <w:rPr>
                <w:rFonts w:asciiTheme="majorBidi" w:hAnsiTheme="majorBidi" w:cstheme="majorBidi"/>
                <w:sz w:val="28"/>
                <w:szCs w:val="28"/>
              </w:rPr>
              <w:t>Mix properties</w:t>
            </w:r>
          </w:p>
        </w:tc>
      </w:tr>
      <w:tr w:rsidR="00EB3344" w:rsidRPr="00A65C61" w14:paraId="5089B319" w14:textId="77777777" w:rsidTr="009A3294">
        <w:trPr>
          <w:trHeight w:val="91"/>
        </w:trPr>
        <w:tc>
          <w:tcPr>
            <w:tcW w:w="1271" w:type="dxa"/>
          </w:tcPr>
          <w:p w14:paraId="09F50DE1"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Cement kg/m</w:t>
            </w:r>
            <w:r w:rsidRPr="00A65C61">
              <w:rPr>
                <w:rFonts w:asciiTheme="majorBidi" w:hAnsiTheme="majorBidi" w:cstheme="majorBidi"/>
                <w:b/>
                <w:bCs/>
                <w:sz w:val="28"/>
                <w:szCs w:val="28"/>
                <w:vertAlign w:val="superscript"/>
                <w:lang w:val="en-GB"/>
              </w:rPr>
              <w:t>3</w:t>
            </w:r>
          </w:p>
        </w:tc>
        <w:tc>
          <w:tcPr>
            <w:tcW w:w="1134" w:type="dxa"/>
          </w:tcPr>
          <w:p w14:paraId="19221D2C"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Gravel kg/m</w:t>
            </w:r>
            <w:r w:rsidRPr="00A65C61">
              <w:rPr>
                <w:rFonts w:asciiTheme="majorBidi" w:hAnsiTheme="majorBidi" w:cstheme="majorBidi"/>
                <w:b/>
                <w:bCs/>
                <w:sz w:val="28"/>
                <w:szCs w:val="28"/>
                <w:vertAlign w:val="superscript"/>
                <w:lang w:val="en-GB"/>
              </w:rPr>
              <w:t>3</w:t>
            </w:r>
          </w:p>
        </w:tc>
        <w:tc>
          <w:tcPr>
            <w:tcW w:w="835" w:type="dxa"/>
          </w:tcPr>
          <w:p w14:paraId="4CC5EFCF"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Sand kg/m</w:t>
            </w:r>
            <w:r w:rsidRPr="00A65C61">
              <w:rPr>
                <w:rFonts w:asciiTheme="majorBidi" w:hAnsiTheme="majorBidi" w:cstheme="majorBidi"/>
                <w:b/>
                <w:bCs/>
                <w:sz w:val="28"/>
                <w:szCs w:val="28"/>
                <w:vertAlign w:val="superscript"/>
                <w:lang w:val="en-GB"/>
              </w:rPr>
              <w:t>3</w:t>
            </w:r>
          </w:p>
        </w:tc>
        <w:tc>
          <w:tcPr>
            <w:tcW w:w="720" w:type="dxa"/>
          </w:tcPr>
          <w:p w14:paraId="608DB555"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 xml:space="preserve">w/c        </w:t>
            </w:r>
          </w:p>
        </w:tc>
        <w:tc>
          <w:tcPr>
            <w:tcW w:w="1564" w:type="dxa"/>
          </w:tcPr>
          <w:p w14:paraId="3772759D"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Super plasticizer (L/m</w:t>
            </w:r>
            <w:r w:rsidRPr="00A65C61">
              <w:rPr>
                <w:rFonts w:asciiTheme="majorBidi" w:hAnsiTheme="majorBidi" w:cstheme="majorBidi"/>
                <w:b/>
                <w:bCs/>
                <w:sz w:val="28"/>
                <w:szCs w:val="28"/>
                <w:vertAlign w:val="superscript"/>
                <w:lang w:val="en-GB"/>
              </w:rPr>
              <w:t>3</w:t>
            </w:r>
            <w:r w:rsidRPr="00A65C61">
              <w:rPr>
                <w:rFonts w:asciiTheme="majorBidi" w:hAnsiTheme="majorBidi" w:cstheme="majorBidi"/>
                <w:b/>
                <w:bCs/>
                <w:sz w:val="28"/>
                <w:szCs w:val="28"/>
                <w:lang w:val="en-GB"/>
              </w:rPr>
              <w:t>)</w:t>
            </w:r>
          </w:p>
        </w:tc>
        <w:tc>
          <w:tcPr>
            <w:tcW w:w="1559" w:type="dxa"/>
          </w:tcPr>
          <w:p w14:paraId="3D16EBEA"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Silica Fume (Kg/m</w:t>
            </w:r>
            <w:r w:rsidRPr="00A65C61">
              <w:rPr>
                <w:rFonts w:asciiTheme="majorBidi" w:hAnsiTheme="majorBidi" w:cstheme="majorBidi"/>
                <w:b/>
                <w:bCs/>
                <w:sz w:val="28"/>
                <w:szCs w:val="28"/>
                <w:vertAlign w:val="superscript"/>
                <w:lang w:val="en-GB"/>
              </w:rPr>
              <w:t>3</w:t>
            </w:r>
            <w:r w:rsidRPr="00A65C61">
              <w:rPr>
                <w:rFonts w:asciiTheme="majorBidi" w:hAnsiTheme="majorBidi" w:cstheme="majorBidi"/>
                <w:b/>
                <w:bCs/>
                <w:sz w:val="28"/>
                <w:szCs w:val="28"/>
                <w:lang w:val="en-GB"/>
              </w:rPr>
              <w:t>)</w:t>
            </w:r>
          </w:p>
        </w:tc>
        <w:tc>
          <w:tcPr>
            <w:tcW w:w="2547" w:type="dxa"/>
          </w:tcPr>
          <w:p w14:paraId="33654EB8" w14:textId="77777777" w:rsidR="00EB3344" w:rsidRPr="00A65C61" w:rsidRDefault="00EB3344" w:rsidP="008E0C79">
            <w:pPr>
              <w:jc w:val="right"/>
              <w:rPr>
                <w:rFonts w:asciiTheme="majorBidi" w:hAnsiTheme="majorBidi" w:cstheme="majorBidi"/>
                <w:b/>
                <w:bCs/>
                <w:sz w:val="28"/>
                <w:szCs w:val="28"/>
                <w:lang w:val="en-GB"/>
              </w:rPr>
            </w:pPr>
            <w:r w:rsidRPr="00A65C61">
              <w:rPr>
                <w:rFonts w:asciiTheme="majorBidi" w:hAnsiTheme="majorBidi" w:cstheme="majorBidi"/>
                <w:b/>
                <w:bCs/>
                <w:sz w:val="28"/>
                <w:szCs w:val="28"/>
                <w:lang w:val="en-GB"/>
              </w:rPr>
              <w:t>Target Strength MPa (</w:t>
            </w:r>
            <w:proofErr w:type="spellStart"/>
            <w:r w:rsidRPr="00A65C61">
              <w:rPr>
                <w:rFonts w:asciiTheme="majorBidi" w:hAnsiTheme="majorBidi" w:cstheme="majorBidi"/>
                <w:b/>
                <w:bCs/>
                <w:sz w:val="28"/>
                <w:szCs w:val="28"/>
                <w:lang w:val="en-GB"/>
              </w:rPr>
              <w:t>f'c</w:t>
            </w:r>
            <w:proofErr w:type="spellEnd"/>
            <w:r w:rsidRPr="00A65C61">
              <w:rPr>
                <w:rFonts w:asciiTheme="majorBidi" w:hAnsiTheme="majorBidi" w:cstheme="majorBidi"/>
                <w:b/>
                <w:bCs/>
                <w:sz w:val="28"/>
                <w:szCs w:val="28"/>
                <w:lang w:val="en-GB"/>
              </w:rPr>
              <w:t>)</w:t>
            </w:r>
          </w:p>
        </w:tc>
      </w:tr>
      <w:tr w:rsidR="00EB3344" w:rsidRPr="00A65C61" w14:paraId="670762AE" w14:textId="77777777" w:rsidTr="009A3294">
        <w:trPr>
          <w:trHeight w:val="77"/>
        </w:trPr>
        <w:tc>
          <w:tcPr>
            <w:tcW w:w="1271" w:type="dxa"/>
          </w:tcPr>
          <w:p w14:paraId="4DA8A025"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sz w:val="28"/>
                <w:szCs w:val="28"/>
                <w:lang w:val="en-GB"/>
              </w:rPr>
              <w:t>400</w:t>
            </w:r>
          </w:p>
        </w:tc>
        <w:tc>
          <w:tcPr>
            <w:tcW w:w="1134" w:type="dxa"/>
          </w:tcPr>
          <w:p w14:paraId="59149204"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1200</w:t>
            </w:r>
          </w:p>
        </w:tc>
        <w:tc>
          <w:tcPr>
            <w:tcW w:w="835" w:type="dxa"/>
          </w:tcPr>
          <w:p w14:paraId="053296D9"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600</w:t>
            </w:r>
          </w:p>
        </w:tc>
        <w:tc>
          <w:tcPr>
            <w:tcW w:w="720" w:type="dxa"/>
          </w:tcPr>
          <w:p w14:paraId="00D1ABD2" w14:textId="6735CB9A"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0.45</w:t>
            </w:r>
          </w:p>
        </w:tc>
        <w:tc>
          <w:tcPr>
            <w:tcW w:w="1564" w:type="dxa"/>
          </w:tcPr>
          <w:p w14:paraId="06B9587B"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rtl/>
                <w:lang w:bidi="ar-IQ"/>
              </w:rPr>
              <w:t>ـــــــ</w:t>
            </w:r>
          </w:p>
        </w:tc>
        <w:tc>
          <w:tcPr>
            <w:tcW w:w="1559" w:type="dxa"/>
          </w:tcPr>
          <w:p w14:paraId="0F841B36"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rtl/>
                <w:lang w:bidi="ar-IQ"/>
              </w:rPr>
              <w:t>ـــــــ</w:t>
            </w:r>
          </w:p>
        </w:tc>
        <w:tc>
          <w:tcPr>
            <w:tcW w:w="2547" w:type="dxa"/>
          </w:tcPr>
          <w:p w14:paraId="5A14B242"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30</w:t>
            </w:r>
          </w:p>
        </w:tc>
      </w:tr>
      <w:tr w:rsidR="00EB3344" w:rsidRPr="00A65C61" w14:paraId="40A3A01F" w14:textId="77777777" w:rsidTr="009A3294">
        <w:trPr>
          <w:trHeight w:val="77"/>
        </w:trPr>
        <w:tc>
          <w:tcPr>
            <w:tcW w:w="1271" w:type="dxa"/>
          </w:tcPr>
          <w:p w14:paraId="2161A77F" w14:textId="77777777" w:rsidR="00EB3344" w:rsidRPr="00A65C61" w:rsidRDefault="00EB3344" w:rsidP="008E0C79">
            <w:pPr>
              <w:jc w:val="center"/>
              <w:rPr>
                <w:rFonts w:asciiTheme="majorBidi" w:hAnsiTheme="majorBidi" w:cstheme="majorBidi"/>
                <w:b/>
                <w:bCs/>
                <w:sz w:val="28"/>
                <w:szCs w:val="28"/>
                <w:lang w:val="en-GB"/>
              </w:rPr>
            </w:pPr>
            <w:r w:rsidRPr="00A65C61">
              <w:rPr>
                <w:rFonts w:asciiTheme="majorBidi" w:hAnsiTheme="majorBidi" w:cstheme="majorBidi"/>
                <w:sz w:val="28"/>
                <w:szCs w:val="28"/>
                <w:lang w:val="en-GB"/>
              </w:rPr>
              <w:t>585</w:t>
            </w:r>
          </w:p>
        </w:tc>
        <w:tc>
          <w:tcPr>
            <w:tcW w:w="1134" w:type="dxa"/>
          </w:tcPr>
          <w:p w14:paraId="3A637766"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1136</w:t>
            </w:r>
          </w:p>
        </w:tc>
        <w:tc>
          <w:tcPr>
            <w:tcW w:w="835" w:type="dxa"/>
          </w:tcPr>
          <w:p w14:paraId="14E849BE"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651</w:t>
            </w:r>
          </w:p>
        </w:tc>
        <w:tc>
          <w:tcPr>
            <w:tcW w:w="720" w:type="dxa"/>
          </w:tcPr>
          <w:p w14:paraId="2E61AEA7"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0.27</w:t>
            </w:r>
          </w:p>
        </w:tc>
        <w:tc>
          <w:tcPr>
            <w:tcW w:w="1564" w:type="dxa"/>
          </w:tcPr>
          <w:p w14:paraId="74761215" w14:textId="77777777" w:rsidR="00EB3344" w:rsidRPr="00A65C61" w:rsidRDefault="00EB3344" w:rsidP="008E0C79">
            <w:pPr>
              <w:jc w:val="center"/>
              <w:rPr>
                <w:rFonts w:asciiTheme="majorBidi" w:hAnsiTheme="majorBidi" w:cstheme="majorBidi"/>
                <w:sz w:val="28"/>
                <w:szCs w:val="28"/>
                <w:rtl/>
                <w:lang w:bidi="ar-IQ"/>
              </w:rPr>
            </w:pPr>
            <w:r w:rsidRPr="00A65C61">
              <w:rPr>
                <w:rFonts w:asciiTheme="majorBidi" w:hAnsiTheme="majorBidi" w:cstheme="majorBidi"/>
                <w:sz w:val="28"/>
                <w:szCs w:val="28"/>
                <w:lang w:val="en-GB"/>
              </w:rPr>
              <w:t>7</w:t>
            </w:r>
          </w:p>
        </w:tc>
        <w:tc>
          <w:tcPr>
            <w:tcW w:w="1559" w:type="dxa"/>
          </w:tcPr>
          <w:p w14:paraId="70A0B287" w14:textId="77777777" w:rsidR="00EB3344" w:rsidRPr="00A65C61" w:rsidRDefault="00EB3344" w:rsidP="008E0C79">
            <w:pPr>
              <w:jc w:val="center"/>
              <w:rPr>
                <w:rFonts w:asciiTheme="majorBidi" w:hAnsiTheme="majorBidi" w:cstheme="majorBidi"/>
                <w:sz w:val="28"/>
                <w:szCs w:val="28"/>
                <w:lang w:val="en-GB"/>
              </w:rPr>
            </w:pPr>
            <w:r w:rsidRPr="00A65C61">
              <w:rPr>
                <w:rFonts w:asciiTheme="majorBidi" w:hAnsiTheme="majorBidi" w:cstheme="majorBidi"/>
                <w:sz w:val="28"/>
                <w:szCs w:val="28"/>
                <w:lang w:val="en-GB"/>
              </w:rPr>
              <w:t>58.42</w:t>
            </w:r>
          </w:p>
        </w:tc>
        <w:tc>
          <w:tcPr>
            <w:tcW w:w="2547" w:type="dxa"/>
          </w:tcPr>
          <w:p w14:paraId="5FEDCB78" w14:textId="77777777" w:rsidR="00EB3344" w:rsidRPr="00A65C61" w:rsidRDefault="00EB3344" w:rsidP="008E0C79">
            <w:pPr>
              <w:jc w:val="center"/>
              <w:rPr>
                <w:rFonts w:asciiTheme="majorBidi" w:hAnsiTheme="majorBidi" w:cstheme="majorBidi"/>
                <w:sz w:val="28"/>
                <w:szCs w:val="28"/>
                <w:lang w:val="en-GB"/>
              </w:rPr>
            </w:pPr>
            <w:r w:rsidRPr="0057429C">
              <w:rPr>
                <w:rFonts w:asciiTheme="majorBidi" w:hAnsiTheme="majorBidi" w:cstheme="majorBidi"/>
                <w:sz w:val="28"/>
                <w:szCs w:val="28"/>
                <w:lang w:val="en-GB"/>
              </w:rPr>
              <w:t>70</w:t>
            </w:r>
          </w:p>
        </w:tc>
      </w:tr>
    </w:tbl>
    <w:p w14:paraId="2D4C367C" w14:textId="77777777" w:rsidR="00AE0547" w:rsidRPr="00A65C61" w:rsidRDefault="00AE0547" w:rsidP="00AE0547">
      <w:pPr>
        <w:bidi w:val="0"/>
        <w:rPr>
          <w:rFonts w:asciiTheme="majorBidi" w:hAnsiTheme="majorBidi" w:cstheme="majorBidi"/>
          <w:sz w:val="28"/>
          <w:szCs w:val="28"/>
        </w:rPr>
      </w:pPr>
    </w:p>
    <w:p w14:paraId="54826E1B" w14:textId="46DBDCBF" w:rsidR="00EB3344" w:rsidRPr="00A65C61" w:rsidRDefault="00EB3344" w:rsidP="00EB334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2.4 Test Arrangement</w:t>
      </w:r>
    </w:p>
    <w:p w14:paraId="03DD1189" w14:textId="71BC7172" w:rsidR="00EB3344" w:rsidRPr="00A65C61" w:rsidRDefault="003F3233" w:rsidP="003F3233">
      <w:pPr>
        <w:bidi w:val="0"/>
        <w:spacing w:after="120"/>
        <w:jc w:val="both"/>
        <w:rPr>
          <w:rFonts w:asciiTheme="majorBidi" w:hAnsiTheme="majorBidi" w:cstheme="majorBidi"/>
          <w:sz w:val="28"/>
          <w:szCs w:val="28"/>
        </w:rPr>
      </w:pPr>
      <w:r w:rsidRPr="00A65C61">
        <w:rPr>
          <w:rFonts w:asciiTheme="majorBidi" w:hAnsiTheme="majorBidi" w:cstheme="majorBidi"/>
          <w:sz w:val="28"/>
          <w:szCs w:val="28"/>
        </w:rPr>
        <w:t xml:space="preserve">The study was conducted in the structural engineering and material construction laboratories at the College of Engineering, Mustansiriyah University. Push-off tests were performed, as illustrated in Figure 3, using a standard hydraulic testing machine with a maximum capacity of 3000 </w:t>
      </w:r>
      <w:proofErr w:type="spellStart"/>
      <w:r w:rsidRPr="00A65C61">
        <w:rPr>
          <w:rFonts w:asciiTheme="majorBidi" w:hAnsiTheme="majorBidi" w:cstheme="majorBidi"/>
          <w:sz w:val="28"/>
          <w:szCs w:val="28"/>
        </w:rPr>
        <w:t>kN.</w:t>
      </w:r>
      <w:proofErr w:type="spellEnd"/>
      <w:r w:rsidRPr="00A65C61">
        <w:rPr>
          <w:rFonts w:asciiTheme="majorBidi" w:hAnsiTheme="majorBidi" w:cstheme="majorBidi"/>
          <w:sz w:val="28"/>
          <w:szCs w:val="28"/>
        </w:rPr>
        <w:t xml:space="preserve"> The load was applied incrementally, increasing by 5 </w:t>
      </w:r>
      <w:proofErr w:type="spellStart"/>
      <w:r w:rsidRPr="00A65C61">
        <w:rPr>
          <w:rFonts w:asciiTheme="majorBidi" w:hAnsiTheme="majorBidi" w:cstheme="majorBidi"/>
          <w:sz w:val="28"/>
          <w:szCs w:val="28"/>
        </w:rPr>
        <w:t>kN</w:t>
      </w:r>
      <w:proofErr w:type="spellEnd"/>
      <w:r w:rsidRPr="00A65C61">
        <w:rPr>
          <w:rFonts w:asciiTheme="majorBidi" w:hAnsiTheme="majorBidi" w:cstheme="majorBidi"/>
          <w:sz w:val="28"/>
          <w:szCs w:val="28"/>
        </w:rPr>
        <w:t xml:space="preserve"> at each step.</w:t>
      </w:r>
    </w:p>
    <w:p w14:paraId="53D31CF0" w14:textId="77777777" w:rsidR="003F3233" w:rsidRPr="00A65C61" w:rsidRDefault="003F3233" w:rsidP="003F3233">
      <w:pPr>
        <w:bidi w:val="0"/>
        <w:rPr>
          <w:rFonts w:asciiTheme="majorBidi" w:hAnsiTheme="majorBidi" w:cstheme="majorBidi"/>
          <w:sz w:val="28"/>
          <w:szCs w:val="28"/>
        </w:rPr>
      </w:pPr>
    </w:p>
    <w:p w14:paraId="4A09350D" w14:textId="5E452011" w:rsidR="003F3233" w:rsidRPr="00A65C61" w:rsidRDefault="003F3233" w:rsidP="003F3233">
      <w:pPr>
        <w:bidi w:val="0"/>
        <w:jc w:val="center"/>
        <w:rPr>
          <w:rFonts w:asciiTheme="majorBidi" w:hAnsiTheme="majorBidi" w:cstheme="majorBidi"/>
          <w:b/>
          <w:bCs/>
          <w:noProof/>
          <w:sz w:val="28"/>
          <w:szCs w:val="28"/>
          <w:rtl/>
        </w:rPr>
      </w:pPr>
      <w:r w:rsidRPr="00A65C61">
        <w:rPr>
          <w:rFonts w:asciiTheme="majorBidi" w:hAnsiTheme="majorBidi" w:cstheme="majorBidi"/>
          <w:b/>
          <w:bCs/>
          <w:noProof/>
          <w:sz w:val="28"/>
          <w:szCs w:val="28"/>
          <w:rtl/>
          <w:lang w:val="en-GB" w:eastAsia="en-GB"/>
        </w:rPr>
        <w:lastRenderedPageBreak/>
        <w:drawing>
          <wp:inline distT="0" distB="0" distL="0" distR="0" wp14:anchorId="1CEC1F0B" wp14:editId="1BD62E94">
            <wp:extent cx="2643723" cy="3611732"/>
            <wp:effectExtent l="133350" t="76200" r="80645" b="1416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4-10_00-45-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180" cy="36150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BFF1F14" w14:textId="1087AC3A" w:rsidR="003F3233" w:rsidRPr="00A65C61" w:rsidRDefault="003F3233" w:rsidP="003F3233">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b/>
          <w:bCs/>
          <w:sz w:val="28"/>
          <w:szCs w:val="28"/>
        </w:rPr>
        <w:t>Figure 3.</w:t>
      </w:r>
      <w:r w:rsidRPr="00A65C61">
        <w:rPr>
          <w:rFonts w:asciiTheme="majorBidi" w:hAnsiTheme="majorBidi" w:cstheme="majorBidi"/>
          <w:sz w:val="28"/>
          <w:szCs w:val="28"/>
        </w:rPr>
        <w:t xml:space="preserve"> </w:t>
      </w:r>
      <w:r w:rsidRPr="00A65C61">
        <w:rPr>
          <w:rFonts w:asciiTheme="majorBidi" w:hAnsiTheme="majorBidi" w:cstheme="majorBidi"/>
          <w:color w:val="000000"/>
          <w:sz w:val="28"/>
          <w:szCs w:val="28"/>
        </w:rPr>
        <w:t>Corbel specimen setup</w:t>
      </w:r>
    </w:p>
    <w:p w14:paraId="52DA871A" w14:textId="5557FBCF" w:rsidR="003F3233" w:rsidRPr="00A65C61" w:rsidRDefault="003F3233" w:rsidP="003F3233">
      <w:pPr>
        <w:tabs>
          <w:tab w:val="left" w:pos="3179"/>
        </w:tabs>
        <w:bidi w:val="0"/>
        <w:rPr>
          <w:rFonts w:asciiTheme="majorBidi" w:hAnsiTheme="majorBidi" w:cstheme="majorBidi"/>
          <w:sz w:val="28"/>
          <w:szCs w:val="28"/>
        </w:rPr>
      </w:pPr>
    </w:p>
    <w:p w14:paraId="17A2E823" w14:textId="77777777" w:rsidR="003F3233" w:rsidRPr="00A65C61" w:rsidRDefault="003F3233" w:rsidP="003F3233">
      <w:pPr>
        <w:tabs>
          <w:tab w:val="left" w:pos="3179"/>
        </w:tabs>
        <w:bidi w:val="0"/>
        <w:rPr>
          <w:rFonts w:asciiTheme="majorBidi" w:hAnsiTheme="majorBidi" w:cstheme="majorBidi"/>
          <w:sz w:val="28"/>
          <w:szCs w:val="28"/>
        </w:rPr>
      </w:pPr>
    </w:p>
    <w:p w14:paraId="2110CC7B" w14:textId="4B1F5190" w:rsidR="004C0032" w:rsidRPr="00A65C61" w:rsidRDefault="004C0032" w:rsidP="004C0032">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3. Results and Discussion</w:t>
      </w:r>
    </w:p>
    <w:p w14:paraId="7CD9FC49" w14:textId="308834E2" w:rsidR="008D7F04" w:rsidRPr="008D7F04" w:rsidRDefault="008D7F04" w:rsidP="008D7F04">
      <w:pPr>
        <w:bidi w:val="0"/>
        <w:spacing w:after="120"/>
        <w:rPr>
          <w:rFonts w:asciiTheme="majorBidi" w:hAnsiTheme="majorBidi" w:cstheme="majorBidi"/>
          <w:sz w:val="28"/>
          <w:szCs w:val="28"/>
          <w:lang w:val="en-AU"/>
        </w:rPr>
      </w:pPr>
      <w:r w:rsidRPr="008D7F04">
        <w:rPr>
          <w:rFonts w:asciiTheme="majorBidi" w:hAnsiTheme="majorBidi" w:cstheme="majorBidi"/>
          <w:sz w:val="28"/>
          <w:szCs w:val="28"/>
          <w:lang w:val="en-AU"/>
        </w:rPr>
        <w:t xml:space="preserve">In the </w:t>
      </w:r>
      <w:r>
        <w:rPr>
          <w:rFonts w:asciiTheme="majorBidi" w:hAnsiTheme="majorBidi" w:cstheme="majorBidi"/>
          <w:sz w:val="28"/>
          <w:szCs w:val="28"/>
          <w:lang w:val="en-AU"/>
        </w:rPr>
        <w:t xml:space="preserve">following sections, the observed </w:t>
      </w:r>
      <w:proofErr w:type="spellStart"/>
      <w:r>
        <w:rPr>
          <w:rFonts w:asciiTheme="majorBidi" w:hAnsiTheme="majorBidi" w:cstheme="majorBidi"/>
          <w:sz w:val="28"/>
          <w:szCs w:val="28"/>
          <w:lang w:val="en-AU"/>
        </w:rPr>
        <w:t>behavior</w:t>
      </w:r>
      <w:proofErr w:type="spellEnd"/>
      <w:r>
        <w:rPr>
          <w:rFonts w:asciiTheme="majorBidi" w:hAnsiTheme="majorBidi" w:cstheme="majorBidi"/>
          <w:sz w:val="28"/>
          <w:szCs w:val="28"/>
          <w:lang w:val="en-AU"/>
        </w:rPr>
        <w:t xml:space="preserve"> and the failure mode results will be discussed. The specimen test results are presented in </w:t>
      </w:r>
      <w:r w:rsidRPr="00A65C61">
        <w:rPr>
          <w:rFonts w:asciiTheme="majorBidi" w:hAnsiTheme="majorBidi" w:cstheme="majorBidi"/>
          <w:sz w:val="28"/>
          <w:szCs w:val="28"/>
        </w:rPr>
        <w:t xml:space="preserve">Table 4 </w:t>
      </w:r>
      <w:r>
        <w:rPr>
          <w:rFonts w:asciiTheme="majorBidi" w:hAnsiTheme="majorBidi" w:cstheme="majorBidi"/>
          <w:sz w:val="28"/>
          <w:szCs w:val="28"/>
        </w:rPr>
        <w:t xml:space="preserve">in </w:t>
      </w:r>
      <w:r w:rsidR="00AE7C1D">
        <w:rPr>
          <w:rFonts w:asciiTheme="majorBidi" w:hAnsiTheme="majorBidi" w:cstheme="majorBidi"/>
          <w:sz w:val="28"/>
          <w:szCs w:val="28"/>
        </w:rPr>
        <w:t xml:space="preserve">the </w:t>
      </w:r>
      <w:r>
        <w:rPr>
          <w:rFonts w:asciiTheme="majorBidi" w:hAnsiTheme="majorBidi" w:cstheme="majorBidi"/>
          <w:sz w:val="28"/>
          <w:szCs w:val="28"/>
        </w:rPr>
        <w:t xml:space="preserve">terms of cracking load </w:t>
      </w:r>
      <w:r w:rsidRPr="008D7F04">
        <w:rPr>
          <w:rFonts w:asciiTheme="majorBidi" w:hAnsiTheme="majorBidi" w:cstheme="majorBidi"/>
          <w:sz w:val="28"/>
          <w:szCs w:val="28"/>
        </w:rPr>
        <w:t>(</w:t>
      </w:r>
      <w:proofErr w:type="spellStart"/>
      <w:r w:rsidRPr="008D7F04">
        <w:rPr>
          <w:rFonts w:asciiTheme="majorBidi" w:eastAsiaTheme="minorEastAsia" w:hAnsiTheme="majorBidi" w:cstheme="majorBidi"/>
          <w:sz w:val="28"/>
          <w:szCs w:val="28"/>
          <w:lang w:val="en-GB"/>
        </w:rPr>
        <w:t>Pcr</w:t>
      </w:r>
      <w:proofErr w:type="spellEnd"/>
      <w:r w:rsidRPr="008D7F04">
        <w:rPr>
          <w:rFonts w:asciiTheme="majorBidi" w:eastAsiaTheme="minorEastAsia" w:hAnsiTheme="majorBidi" w:cstheme="majorBidi"/>
          <w:sz w:val="28"/>
          <w:szCs w:val="28"/>
          <w:lang w:val="en-GB"/>
        </w:rPr>
        <w:t>), ultimate load (Pu) and failure mode.</w:t>
      </w:r>
    </w:p>
    <w:tbl>
      <w:tblPr>
        <w:tblStyle w:val="TableGrid"/>
        <w:tblW w:w="0" w:type="auto"/>
        <w:jc w:val="center"/>
        <w:tblLook w:val="04A0" w:firstRow="1" w:lastRow="0" w:firstColumn="1" w:lastColumn="0" w:noHBand="0" w:noVBand="1"/>
      </w:tblPr>
      <w:tblGrid>
        <w:gridCol w:w="1469"/>
        <w:gridCol w:w="1440"/>
        <w:gridCol w:w="1620"/>
        <w:gridCol w:w="3629"/>
      </w:tblGrid>
      <w:tr w:rsidR="008D7F04" w:rsidRPr="00A65C61" w14:paraId="4BFC668C" w14:textId="77777777" w:rsidTr="008E0C79">
        <w:trPr>
          <w:trHeight w:val="259"/>
          <w:jc w:val="center"/>
        </w:trPr>
        <w:tc>
          <w:tcPr>
            <w:tcW w:w="8158" w:type="dxa"/>
            <w:gridSpan w:val="4"/>
          </w:tcPr>
          <w:p w14:paraId="041F9DFB" w14:textId="77777777" w:rsidR="008D7F04" w:rsidRPr="00A65C61" w:rsidRDefault="008D7F04" w:rsidP="008E0C79">
            <w:pPr>
              <w:jc w:val="center"/>
              <w:rPr>
                <w:rFonts w:asciiTheme="majorBidi" w:hAnsiTheme="majorBidi" w:cstheme="majorBidi"/>
                <w:sz w:val="28"/>
                <w:szCs w:val="28"/>
              </w:rPr>
            </w:pPr>
            <w:r w:rsidRPr="00A65C61">
              <w:rPr>
                <w:rFonts w:asciiTheme="majorBidi" w:hAnsiTheme="majorBidi" w:cstheme="majorBidi"/>
                <w:b/>
                <w:bCs/>
                <w:sz w:val="28"/>
                <w:szCs w:val="28"/>
              </w:rPr>
              <w:t xml:space="preserve">Table 4. </w:t>
            </w:r>
            <w:r w:rsidRPr="00A65C61">
              <w:rPr>
                <w:rFonts w:asciiTheme="majorBidi" w:hAnsiTheme="majorBidi" w:cstheme="majorBidi"/>
                <w:sz w:val="28"/>
                <w:szCs w:val="28"/>
              </w:rPr>
              <w:t xml:space="preserve"> Experimental first cracking and ultimate loads of corbels</w:t>
            </w:r>
          </w:p>
        </w:tc>
      </w:tr>
      <w:tr w:rsidR="008D7F04" w:rsidRPr="00A65C61" w14:paraId="130F4B50" w14:textId="77777777" w:rsidTr="008E0C79">
        <w:trPr>
          <w:trHeight w:val="144"/>
          <w:jc w:val="center"/>
        </w:trPr>
        <w:tc>
          <w:tcPr>
            <w:tcW w:w="1469" w:type="dxa"/>
          </w:tcPr>
          <w:p w14:paraId="2CF6E3D3" w14:textId="77777777" w:rsidR="008D7F04" w:rsidRPr="00794110" w:rsidRDefault="008D7F04" w:rsidP="00794110">
            <w:pPr>
              <w:spacing w:line="259" w:lineRule="auto"/>
              <w:jc w:val="center"/>
              <w:rPr>
                <w:rFonts w:asciiTheme="majorBidi" w:eastAsiaTheme="minorEastAsia" w:hAnsiTheme="majorBidi" w:cstheme="majorBidi"/>
                <w:b/>
                <w:bCs/>
                <w:sz w:val="28"/>
                <w:szCs w:val="28"/>
                <w:lang w:val="en-GB"/>
              </w:rPr>
            </w:pPr>
            <w:r w:rsidRPr="00794110">
              <w:rPr>
                <w:rFonts w:asciiTheme="majorBidi" w:hAnsiTheme="majorBidi" w:cstheme="majorBidi"/>
                <w:b/>
                <w:bCs/>
                <w:color w:val="202124"/>
                <w:sz w:val="28"/>
                <w:szCs w:val="28"/>
              </w:rPr>
              <w:t>Specimen</w:t>
            </w:r>
          </w:p>
        </w:tc>
        <w:tc>
          <w:tcPr>
            <w:tcW w:w="1440" w:type="dxa"/>
          </w:tcPr>
          <w:p w14:paraId="168EDCC3" w14:textId="77777777" w:rsidR="008D7F04" w:rsidRPr="00A65C61" w:rsidRDefault="008D7F04" w:rsidP="00794110">
            <w:pPr>
              <w:spacing w:line="259" w:lineRule="auto"/>
              <w:jc w:val="center"/>
              <w:rPr>
                <w:rFonts w:asciiTheme="majorBidi" w:hAnsiTheme="majorBidi" w:cstheme="majorBidi"/>
                <w:sz w:val="28"/>
                <w:szCs w:val="28"/>
              </w:rPr>
            </w:pPr>
            <w:proofErr w:type="spellStart"/>
            <w:r w:rsidRPr="00A65C61">
              <w:rPr>
                <w:rFonts w:asciiTheme="majorBidi" w:eastAsiaTheme="minorEastAsia" w:hAnsiTheme="majorBidi" w:cstheme="majorBidi"/>
                <w:b/>
                <w:bCs/>
                <w:sz w:val="28"/>
                <w:szCs w:val="28"/>
                <w:lang w:val="en-GB"/>
              </w:rPr>
              <w:t>Pcr</w:t>
            </w:r>
            <w:proofErr w:type="spellEnd"/>
            <w:r w:rsidRPr="00A65C61">
              <w:rPr>
                <w:rFonts w:asciiTheme="majorBidi" w:hAnsiTheme="majorBidi" w:cstheme="majorBidi"/>
                <w:b/>
                <w:bCs/>
                <w:sz w:val="28"/>
                <w:szCs w:val="28"/>
              </w:rPr>
              <w:t xml:space="preserve"> </w:t>
            </w:r>
            <w:r w:rsidRPr="00A65C61">
              <w:rPr>
                <w:rFonts w:asciiTheme="majorBidi" w:eastAsiaTheme="minorEastAsia" w:hAnsiTheme="majorBidi" w:cstheme="majorBidi"/>
                <w:b/>
                <w:bCs/>
                <w:sz w:val="28"/>
                <w:szCs w:val="28"/>
                <w:lang w:val="en-GB"/>
              </w:rPr>
              <w:t>(KN)</w:t>
            </w:r>
          </w:p>
        </w:tc>
        <w:tc>
          <w:tcPr>
            <w:tcW w:w="1620" w:type="dxa"/>
          </w:tcPr>
          <w:p w14:paraId="01B7E6C8" w14:textId="4F5B8F23" w:rsidR="008D7F04" w:rsidRPr="00A65C61" w:rsidRDefault="008D7F04" w:rsidP="00794110">
            <w:pPr>
              <w:pStyle w:val="Default"/>
              <w:jc w:val="center"/>
              <w:rPr>
                <w:rFonts w:asciiTheme="majorBidi" w:eastAsiaTheme="minorEastAsia" w:hAnsiTheme="majorBidi" w:cstheme="majorBidi"/>
                <w:b/>
                <w:bCs/>
                <w:color w:val="000000" w:themeColor="text1" w:themeShade="BF"/>
                <w:sz w:val="28"/>
                <w:szCs w:val="28"/>
                <w:lang w:val="en-GB"/>
              </w:rPr>
            </w:pPr>
            <w:r w:rsidRPr="00A65C61">
              <w:rPr>
                <w:rFonts w:asciiTheme="majorBidi" w:eastAsiaTheme="minorEastAsia" w:hAnsiTheme="majorBidi" w:cstheme="majorBidi"/>
                <w:b/>
                <w:bCs/>
                <w:color w:val="000000" w:themeColor="text1" w:themeShade="BF"/>
                <w:sz w:val="28"/>
                <w:szCs w:val="28"/>
                <w:lang w:val="en-GB"/>
              </w:rPr>
              <w:t>Pu</w:t>
            </w:r>
            <w:r w:rsidR="00794110">
              <w:rPr>
                <w:rFonts w:asciiTheme="majorBidi" w:eastAsiaTheme="minorEastAsia" w:hAnsiTheme="majorBidi" w:cstheme="majorBidi"/>
                <w:b/>
                <w:bCs/>
                <w:color w:val="000000" w:themeColor="text1" w:themeShade="BF"/>
                <w:sz w:val="28"/>
                <w:szCs w:val="28"/>
                <w:lang w:val="en-GB"/>
              </w:rPr>
              <w:t xml:space="preserve"> </w:t>
            </w:r>
            <w:r w:rsidRPr="00A65C61">
              <w:rPr>
                <w:rFonts w:asciiTheme="majorBidi" w:eastAsiaTheme="minorEastAsia" w:hAnsiTheme="majorBidi" w:cstheme="majorBidi"/>
                <w:b/>
                <w:bCs/>
                <w:color w:val="000000" w:themeColor="text1" w:themeShade="BF"/>
                <w:sz w:val="28"/>
                <w:szCs w:val="28"/>
                <w:lang w:val="en-GB"/>
              </w:rPr>
              <w:t>(KN)</w:t>
            </w:r>
          </w:p>
          <w:p w14:paraId="071D3424" w14:textId="068F0989" w:rsidR="008D7F04" w:rsidRPr="00A65C61" w:rsidRDefault="008D7F04" w:rsidP="00794110">
            <w:pPr>
              <w:pStyle w:val="Default"/>
              <w:jc w:val="center"/>
              <w:rPr>
                <w:rFonts w:asciiTheme="majorBidi" w:eastAsiaTheme="minorEastAsia" w:hAnsiTheme="majorBidi" w:cstheme="majorBidi"/>
                <w:b/>
                <w:bCs/>
                <w:sz w:val="28"/>
                <w:szCs w:val="28"/>
                <w:lang w:bidi="ar-IQ"/>
              </w:rPr>
            </w:pPr>
          </w:p>
        </w:tc>
        <w:tc>
          <w:tcPr>
            <w:tcW w:w="3629" w:type="dxa"/>
          </w:tcPr>
          <w:p w14:paraId="06660660" w14:textId="77777777" w:rsidR="008D7F04" w:rsidRPr="00A65C61" w:rsidRDefault="008D7F04" w:rsidP="00794110">
            <w:pPr>
              <w:spacing w:line="259" w:lineRule="auto"/>
              <w:jc w:val="center"/>
              <w:rPr>
                <w:rFonts w:asciiTheme="majorBidi" w:hAnsiTheme="majorBidi" w:cstheme="majorBidi"/>
                <w:sz w:val="28"/>
                <w:szCs w:val="28"/>
                <w:rtl/>
                <w:lang w:bidi="ar-IQ"/>
              </w:rPr>
            </w:pPr>
            <w:r w:rsidRPr="00A65C61">
              <w:rPr>
                <w:rFonts w:asciiTheme="majorBidi" w:eastAsiaTheme="minorEastAsia" w:hAnsiTheme="majorBidi" w:cstheme="majorBidi"/>
                <w:b/>
                <w:bCs/>
                <w:sz w:val="28"/>
                <w:szCs w:val="28"/>
                <w:lang w:val="en-GB"/>
              </w:rPr>
              <w:t>Failure mode</w:t>
            </w:r>
          </w:p>
        </w:tc>
      </w:tr>
      <w:tr w:rsidR="008D7F04" w:rsidRPr="00A65C61" w14:paraId="7C5F6448" w14:textId="77777777" w:rsidTr="008E0C79">
        <w:trPr>
          <w:trHeight w:val="387"/>
          <w:jc w:val="center"/>
        </w:trPr>
        <w:tc>
          <w:tcPr>
            <w:tcW w:w="1469" w:type="dxa"/>
          </w:tcPr>
          <w:p w14:paraId="4CC8FA5B"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CN06M</w:t>
            </w:r>
          </w:p>
        </w:tc>
        <w:tc>
          <w:tcPr>
            <w:tcW w:w="1440" w:type="dxa"/>
          </w:tcPr>
          <w:p w14:paraId="55395424"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101.5</w:t>
            </w:r>
          </w:p>
        </w:tc>
        <w:tc>
          <w:tcPr>
            <w:tcW w:w="1620" w:type="dxa"/>
          </w:tcPr>
          <w:p w14:paraId="135DD62D"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406.5</w:t>
            </w:r>
          </w:p>
        </w:tc>
        <w:tc>
          <w:tcPr>
            <w:tcW w:w="3629" w:type="dxa"/>
          </w:tcPr>
          <w:p w14:paraId="11EE41CF"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Diagonal splitting</w:t>
            </w:r>
          </w:p>
        </w:tc>
      </w:tr>
      <w:tr w:rsidR="008D7F04" w:rsidRPr="00A65C61" w14:paraId="44970304" w14:textId="77777777" w:rsidTr="008E0C79">
        <w:trPr>
          <w:trHeight w:val="20"/>
          <w:jc w:val="center"/>
        </w:trPr>
        <w:tc>
          <w:tcPr>
            <w:tcW w:w="1469" w:type="dxa"/>
          </w:tcPr>
          <w:p w14:paraId="7297264C"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CNS6M</w:t>
            </w:r>
          </w:p>
        </w:tc>
        <w:tc>
          <w:tcPr>
            <w:tcW w:w="1440" w:type="dxa"/>
          </w:tcPr>
          <w:p w14:paraId="2BA53376"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169</w:t>
            </w:r>
          </w:p>
        </w:tc>
        <w:tc>
          <w:tcPr>
            <w:tcW w:w="1620" w:type="dxa"/>
          </w:tcPr>
          <w:p w14:paraId="7BB40776"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507.25</w:t>
            </w:r>
          </w:p>
        </w:tc>
        <w:tc>
          <w:tcPr>
            <w:tcW w:w="3629" w:type="dxa"/>
          </w:tcPr>
          <w:p w14:paraId="448F32A7" w14:textId="386D7BC0"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15987A1B" w14:textId="77777777" w:rsidTr="008E0C79">
        <w:trPr>
          <w:trHeight w:val="458"/>
          <w:jc w:val="center"/>
        </w:trPr>
        <w:tc>
          <w:tcPr>
            <w:tcW w:w="1469" w:type="dxa"/>
          </w:tcPr>
          <w:p w14:paraId="705B7BD4" w14:textId="77777777" w:rsidR="008D7F04" w:rsidRPr="00A65C61" w:rsidRDefault="008D7F04" w:rsidP="00794110">
            <w:pPr>
              <w:spacing w:line="259" w:lineRule="auto"/>
              <w:jc w:val="center"/>
              <w:rPr>
                <w:rFonts w:asciiTheme="majorBidi" w:eastAsiaTheme="minorEastAsia" w:hAnsiTheme="majorBidi" w:cstheme="majorBidi"/>
                <w:b/>
                <w:bCs/>
                <w:sz w:val="28"/>
                <w:szCs w:val="28"/>
                <w:lang w:val="en-GB"/>
              </w:rPr>
            </w:pPr>
            <w:r w:rsidRPr="00A65C61">
              <w:rPr>
                <w:rFonts w:asciiTheme="majorBidi" w:eastAsiaTheme="minorEastAsia" w:hAnsiTheme="majorBidi" w:cstheme="majorBidi"/>
                <w:sz w:val="28"/>
                <w:szCs w:val="28"/>
                <w:lang w:val="en-GB"/>
              </w:rPr>
              <w:t>CNS3M</w:t>
            </w:r>
          </w:p>
        </w:tc>
        <w:tc>
          <w:tcPr>
            <w:tcW w:w="1440" w:type="dxa"/>
          </w:tcPr>
          <w:p w14:paraId="00AA69E2"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207.5</w:t>
            </w:r>
          </w:p>
        </w:tc>
        <w:tc>
          <w:tcPr>
            <w:tcW w:w="1620" w:type="dxa"/>
          </w:tcPr>
          <w:p w14:paraId="24ACABF1"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588.75</w:t>
            </w:r>
          </w:p>
        </w:tc>
        <w:tc>
          <w:tcPr>
            <w:tcW w:w="3629" w:type="dxa"/>
          </w:tcPr>
          <w:p w14:paraId="0F4CEFCE" w14:textId="5B314A51"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6D13768A" w14:textId="77777777" w:rsidTr="008E0C79">
        <w:trPr>
          <w:trHeight w:val="20"/>
          <w:jc w:val="center"/>
        </w:trPr>
        <w:tc>
          <w:tcPr>
            <w:tcW w:w="1469" w:type="dxa"/>
          </w:tcPr>
          <w:p w14:paraId="15912BD9" w14:textId="77777777" w:rsidR="008D7F04" w:rsidRPr="0057429C" w:rsidRDefault="008D7F04" w:rsidP="00794110">
            <w:pPr>
              <w:jc w:val="center"/>
              <w:rPr>
                <w:rFonts w:asciiTheme="majorBidi" w:hAnsiTheme="majorBidi" w:cstheme="majorBidi"/>
                <w:b/>
                <w:bCs/>
                <w:sz w:val="28"/>
                <w:szCs w:val="28"/>
                <w:lang w:bidi="ar-IQ"/>
              </w:rPr>
            </w:pPr>
            <w:r w:rsidRPr="0057429C">
              <w:rPr>
                <w:rFonts w:asciiTheme="majorBidi" w:hAnsiTheme="majorBidi" w:cstheme="majorBidi"/>
                <w:sz w:val="28"/>
                <w:szCs w:val="28"/>
                <w:lang w:bidi="ar-IQ"/>
              </w:rPr>
              <w:t>CHy06M</w:t>
            </w:r>
          </w:p>
        </w:tc>
        <w:tc>
          <w:tcPr>
            <w:tcW w:w="1440" w:type="dxa"/>
          </w:tcPr>
          <w:p w14:paraId="7D4BF158"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152</w:t>
            </w:r>
          </w:p>
        </w:tc>
        <w:tc>
          <w:tcPr>
            <w:tcW w:w="1620" w:type="dxa"/>
          </w:tcPr>
          <w:p w14:paraId="6576A66E" w14:textId="600EA6CC" w:rsidR="008D7F04" w:rsidRPr="00A65C61" w:rsidRDefault="00FB296D" w:rsidP="00794110">
            <w:pPr>
              <w:jc w:val="center"/>
              <w:rPr>
                <w:rFonts w:asciiTheme="majorBidi" w:eastAsiaTheme="minorEastAsia" w:hAnsiTheme="majorBidi" w:cstheme="majorBidi"/>
                <w:sz w:val="28"/>
                <w:szCs w:val="28"/>
                <w:lang w:val="en-GB"/>
              </w:rPr>
            </w:pPr>
            <w:r>
              <w:rPr>
                <w:rFonts w:asciiTheme="majorBidi" w:eastAsiaTheme="minorEastAsia" w:hAnsiTheme="majorBidi" w:cstheme="majorBidi"/>
                <w:sz w:val="28"/>
                <w:szCs w:val="28"/>
                <w:lang w:val="en-GB"/>
              </w:rPr>
              <w:t>497.5</w:t>
            </w:r>
          </w:p>
        </w:tc>
        <w:tc>
          <w:tcPr>
            <w:tcW w:w="3629" w:type="dxa"/>
          </w:tcPr>
          <w:p w14:paraId="13DBA9F2" w14:textId="0CFCEFE7" w:rsidR="008D7F04" w:rsidRPr="00A65C61" w:rsidRDefault="008D7F04" w:rsidP="00794110">
            <w:pPr>
              <w:spacing w:line="259" w:lineRule="auto"/>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Diagonal splitting</w:t>
            </w:r>
          </w:p>
        </w:tc>
      </w:tr>
      <w:tr w:rsidR="008D7F04" w:rsidRPr="00A65C61" w14:paraId="76D533F2" w14:textId="77777777" w:rsidTr="008E0C79">
        <w:trPr>
          <w:trHeight w:val="566"/>
          <w:jc w:val="center"/>
        </w:trPr>
        <w:tc>
          <w:tcPr>
            <w:tcW w:w="1469" w:type="dxa"/>
          </w:tcPr>
          <w:p w14:paraId="1EB76CDE" w14:textId="77777777" w:rsidR="008D7F04" w:rsidRPr="0057429C" w:rsidRDefault="008D7F04" w:rsidP="00794110">
            <w:pPr>
              <w:jc w:val="center"/>
              <w:rPr>
                <w:rFonts w:asciiTheme="majorBidi" w:hAnsiTheme="majorBidi" w:cstheme="majorBidi"/>
                <w:b/>
                <w:bCs/>
                <w:sz w:val="28"/>
                <w:szCs w:val="28"/>
                <w:lang w:val="en-GB"/>
              </w:rPr>
            </w:pPr>
            <w:r w:rsidRPr="0057429C">
              <w:rPr>
                <w:rFonts w:asciiTheme="majorBidi" w:hAnsiTheme="majorBidi" w:cstheme="majorBidi"/>
                <w:sz w:val="28"/>
                <w:szCs w:val="28"/>
                <w:lang w:val="en-GB"/>
              </w:rPr>
              <w:t>CHyS6M</w:t>
            </w:r>
          </w:p>
        </w:tc>
        <w:tc>
          <w:tcPr>
            <w:tcW w:w="1440" w:type="dxa"/>
          </w:tcPr>
          <w:p w14:paraId="7DD8474D"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219.72</w:t>
            </w:r>
          </w:p>
        </w:tc>
        <w:tc>
          <w:tcPr>
            <w:tcW w:w="1620" w:type="dxa"/>
          </w:tcPr>
          <w:p w14:paraId="6D346030" w14:textId="44D82C19" w:rsidR="008D7F04" w:rsidRPr="00A65C61" w:rsidRDefault="00FB296D" w:rsidP="00794110">
            <w:pPr>
              <w:jc w:val="center"/>
              <w:rPr>
                <w:rFonts w:asciiTheme="majorBidi" w:eastAsiaTheme="minorEastAsia" w:hAnsiTheme="majorBidi" w:cstheme="majorBidi"/>
                <w:sz w:val="28"/>
                <w:szCs w:val="28"/>
                <w:lang w:val="en-GB"/>
              </w:rPr>
            </w:pPr>
            <w:r>
              <w:rPr>
                <w:rFonts w:asciiTheme="majorBidi" w:eastAsiaTheme="minorEastAsia" w:hAnsiTheme="majorBidi" w:cstheme="majorBidi"/>
                <w:sz w:val="28"/>
                <w:szCs w:val="28"/>
                <w:lang w:val="en-GB"/>
              </w:rPr>
              <w:t>593.25</w:t>
            </w:r>
          </w:p>
        </w:tc>
        <w:tc>
          <w:tcPr>
            <w:tcW w:w="3629" w:type="dxa"/>
          </w:tcPr>
          <w:p w14:paraId="0D5AFE29" w14:textId="77777777"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r w:rsidR="008D7F04" w:rsidRPr="00A65C61" w14:paraId="0E73264F" w14:textId="77777777" w:rsidTr="008E0C79">
        <w:trPr>
          <w:trHeight w:val="20"/>
          <w:jc w:val="center"/>
        </w:trPr>
        <w:tc>
          <w:tcPr>
            <w:tcW w:w="1469" w:type="dxa"/>
          </w:tcPr>
          <w:p w14:paraId="6C36CEEF" w14:textId="77777777" w:rsidR="008D7F04" w:rsidRPr="0057429C" w:rsidRDefault="008D7F04" w:rsidP="00794110">
            <w:pPr>
              <w:jc w:val="center"/>
              <w:rPr>
                <w:rFonts w:asciiTheme="majorBidi" w:hAnsiTheme="majorBidi" w:cstheme="majorBidi"/>
                <w:b/>
                <w:bCs/>
                <w:sz w:val="28"/>
                <w:szCs w:val="28"/>
                <w:lang w:val="en-GB"/>
              </w:rPr>
            </w:pPr>
            <w:r w:rsidRPr="0057429C">
              <w:rPr>
                <w:rFonts w:asciiTheme="majorBidi" w:hAnsiTheme="majorBidi" w:cstheme="majorBidi"/>
                <w:sz w:val="28"/>
                <w:szCs w:val="28"/>
                <w:lang w:val="en-GB"/>
              </w:rPr>
              <w:t>CHyS3M</w:t>
            </w:r>
          </w:p>
        </w:tc>
        <w:tc>
          <w:tcPr>
            <w:tcW w:w="1440" w:type="dxa"/>
          </w:tcPr>
          <w:p w14:paraId="0DADA921" w14:textId="77777777"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288.6</w:t>
            </w:r>
          </w:p>
        </w:tc>
        <w:tc>
          <w:tcPr>
            <w:tcW w:w="1620" w:type="dxa"/>
          </w:tcPr>
          <w:p w14:paraId="5A3E05AB" w14:textId="24F6E6BF" w:rsidR="008D7F04" w:rsidRPr="00A65C61" w:rsidRDefault="008D7F04" w:rsidP="00794110">
            <w:pPr>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6</w:t>
            </w:r>
            <w:r w:rsidR="00FB296D">
              <w:rPr>
                <w:rFonts w:asciiTheme="majorBidi" w:eastAsiaTheme="minorEastAsia" w:hAnsiTheme="majorBidi" w:cstheme="majorBidi"/>
                <w:sz w:val="28"/>
                <w:szCs w:val="28"/>
                <w:lang w:val="en-GB"/>
              </w:rPr>
              <w:t>64</w:t>
            </w:r>
          </w:p>
        </w:tc>
        <w:tc>
          <w:tcPr>
            <w:tcW w:w="3629" w:type="dxa"/>
          </w:tcPr>
          <w:p w14:paraId="186C512F" w14:textId="5E8C28AA" w:rsidR="008D7F04" w:rsidRPr="00A65C61" w:rsidRDefault="008D7F04" w:rsidP="00794110">
            <w:pPr>
              <w:autoSpaceDE w:val="0"/>
              <w:autoSpaceDN w:val="0"/>
              <w:bidi w:val="0"/>
              <w:adjustRightInd w:val="0"/>
              <w:jc w:val="center"/>
              <w:rPr>
                <w:rFonts w:asciiTheme="majorBidi" w:eastAsiaTheme="minorEastAsia" w:hAnsiTheme="majorBidi" w:cstheme="majorBidi"/>
                <w:sz w:val="28"/>
                <w:szCs w:val="28"/>
                <w:lang w:val="en-GB"/>
              </w:rPr>
            </w:pPr>
            <w:r w:rsidRPr="00A65C61">
              <w:rPr>
                <w:rFonts w:asciiTheme="majorBidi" w:eastAsiaTheme="minorEastAsia" w:hAnsiTheme="majorBidi" w:cstheme="majorBidi"/>
                <w:sz w:val="28"/>
                <w:szCs w:val="28"/>
                <w:lang w:val="en-GB"/>
              </w:rPr>
              <w:t>Flexural</w:t>
            </w:r>
          </w:p>
        </w:tc>
      </w:tr>
    </w:tbl>
    <w:p w14:paraId="5D258EE9" w14:textId="77777777" w:rsidR="008D7F04" w:rsidRPr="008D7F04" w:rsidRDefault="008D7F04" w:rsidP="008D7F04">
      <w:pPr>
        <w:bidi w:val="0"/>
        <w:spacing w:after="120"/>
        <w:rPr>
          <w:rFonts w:asciiTheme="majorBidi" w:hAnsiTheme="majorBidi" w:cstheme="majorBidi"/>
          <w:sz w:val="28"/>
          <w:szCs w:val="28"/>
          <w:lang w:val="en-AU"/>
        </w:rPr>
      </w:pPr>
    </w:p>
    <w:p w14:paraId="05F621F0" w14:textId="6FC65A1E" w:rsidR="004C0032" w:rsidRPr="008D7F04" w:rsidRDefault="004C0032" w:rsidP="008D7F04">
      <w:pPr>
        <w:bidi w:val="0"/>
        <w:spacing w:after="120"/>
        <w:rPr>
          <w:rFonts w:asciiTheme="majorBidi" w:hAnsiTheme="majorBidi" w:cstheme="majorBidi"/>
          <w:b/>
          <w:bCs/>
          <w:sz w:val="28"/>
          <w:szCs w:val="28"/>
        </w:rPr>
      </w:pPr>
      <w:r w:rsidRPr="00A65C61">
        <w:rPr>
          <w:rFonts w:asciiTheme="majorBidi" w:hAnsiTheme="majorBidi" w:cstheme="majorBidi"/>
          <w:b/>
          <w:bCs/>
          <w:sz w:val="28"/>
          <w:szCs w:val="28"/>
        </w:rPr>
        <w:t xml:space="preserve">3.1 Behavior of </w:t>
      </w:r>
      <w:r w:rsidR="002D610F" w:rsidRPr="00A65C61">
        <w:rPr>
          <w:rFonts w:asciiTheme="majorBidi" w:hAnsiTheme="majorBidi" w:cstheme="majorBidi"/>
          <w:b/>
          <w:bCs/>
          <w:sz w:val="28"/>
          <w:szCs w:val="28"/>
        </w:rPr>
        <w:t>Corbel Specimens</w:t>
      </w:r>
    </w:p>
    <w:p w14:paraId="3A3C8DAA" w14:textId="258C3911" w:rsidR="002D610F" w:rsidRPr="002D610F" w:rsidRDefault="002D610F" w:rsidP="002D610F">
      <w:pPr>
        <w:tabs>
          <w:tab w:val="left" w:pos="3179"/>
        </w:tabs>
        <w:bidi w:val="0"/>
        <w:spacing w:after="120"/>
        <w:jc w:val="both"/>
        <w:rPr>
          <w:rFonts w:asciiTheme="majorBidi" w:hAnsiTheme="majorBidi" w:cstheme="majorBidi"/>
          <w:sz w:val="28"/>
          <w:szCs w:val="28"/>
        </w:rPr>
      </w:pPr>
      <w:r w:rsidRPr="00A65C61">
        <w:rPr>
          <w:rFonts w:asciiTheme="majorBidi" w:hAnsiTheme="majorBidi" w:cstheme="majorBidi"/>
          <w:sz w:val="28"/>
          <w:szCs w:val="28"/>
        </w:rPr>
        <w:t>D</w:t>
      </w:r>
      <w:r w:rsidRPr="002D610F">
        <w:rPr>
          <w:rFonts w:asciiTheme="majorBidi" w:hAnsiTheme="majorBidi" w:cstheme="majorBidi"/>
          <w:sz w:val="28"/>
          <w:szCs w:val="28"/>
        </w:rPr>
        <w:t>uring the initial phases of stress application, the specimens exhibit significant stiffness and load resistance until the first crack appears. At this stage, the specimens demonstrate higher rigidity compared to later stages, with minimal vertical displacement and no visible cracks. However, once the first cracks form, the rigidity begins to diminish, and vertical displacement increases. Flexural cracks develop on the tension face of the corbels near the column, with the number and width of cracks growing as the applied load increases until the steel reinforcement yields.</w:t>
      </w:r>
    </w:p>
    <w:p w14:paraId="401378D1" w14:textId="77777777" w:rsidR="002D610F" w:rsidRPr="002D610F" w:rsidRDefault="002D610F" w:rsidP="002D610F">
      <w:pPr>
        <w:tabs>
          <w:tab w:val="left" w:pos="3179"/>
        </w:tabs>
        <w:bidi w:val="0"/>
        <w:spacing w:after="120"/>
        <w:jc w:val="both"/>
        <w:rPr>
          <w:rFonts w:asciiTheme="majorBidi" w:hAnsiTheme="majorBidi" w:cstheme="majorBidi"/>
          <w:sz w:val="28"/>
          <w:szCs w:val="28"/>
        </w:rPr>
      </w:pPr>
      <w:r w:rsidRPr="002D610F">
        <w:rPr>
          <w:rFonts w:asciiTheme="majorBidi" w:hAnsiTheme="majorBidi" w:cstheme="majorBidi"/>
          <w:sz w:val="28"/>
          <w:szCs w:val="28"/>
        </w:rPr>
        <w:t>Following the onset of nonlinear behavior, deflection increases rapidly, indicating a significant reduction in stiffness. In the advanced stages of stress application, diagonal shear cracks appear near the supports and propagate quickly toward the column face. These diagonal cracks are wider and more prominent than the flexural cracks. For most specimens, failure is abrupt and uncontrolled, except in stronger specimens reinforced with steel plates, which exhibit more ductile behavior.</w:t>
      </w:r>
    </w:p>
    <w:p w14:paraId="460EBD65" w14:textId="07D465FB" w:rsidR="002D610F" w:rsidRPr="00A65C61" w:rsidRDefault="002D610F" w:rsidP="002D610F">
      <w:pPr>
        <w:tabs>
          <w:tab w:val="left" w:pos="3179"/>
        </w:tabs>
        <w:bidi w:val="0"/>
        <w:spacing w:after="120"/>
        <w:jc w:val="both"/>
        <w:rPr>
          <w:rFonts w:asciiTheme="majorBidi" w:hAnsiTheme="majorBidi" w:cstheme="majorBidi"/>
          <w:sz w:val="28"/>
          <w:szCs w:val="28"/>
        </w:rPr>
      </w:pPr>
      <w:r w:rsidRPr="002D610F">
        <w:rPr>
          <w:rFonts w:asciiTheme="majorBidi" w:hAnsiTheme="majorBidi" w:cstheme="majorBidi"/>
          <w:sz w:val="28"/>
          <w:szCs w:val="28"/>
        </w:rPr>
        <w:t>The failure mechanism of the steel plate reveals no interfacial shear concentration or stress-dependent decohesion between the corbel surface and the steel plate. For the tested specimens, failure is characterized by an increase in deflection accompanied by a decrease in the applied load</w:t>
      </w:r>
      <w:r w:rsidRPr="00A65C61">
        <w:rPr>
          <w:rFonts w:asciiTheme="majorBidi" w:hAnsiTheme="majorBidi" w:cstheme="majorBidi"/>
          <w:sz w:val="28"/>
          <w:szCs w:val="28"/>
        </w:rPr>
        <w:t>.</w:t>
      </w:r>
    </w:p>
    <w:p w14:paraId="42D84B1F" w14:textId="77777777" w:rsidR="002D610F" w:rsidRPr="002D610F" w:rsidRDefault="002D610F" w:rsidP="002D610F">
      <w:pPr>
        <w:tabs>
          <w:tab w:val="left" w:pos="3179"/>
        </w:tabs>
        <w:bidi w:val="0"/>
        <w:spacing w:after="120"/>
        <w:jc w:val="both"/>
        <w:rPr>
          <w:rFonts w:asciiTheme="majorBidi" w:hAnsiTheme="majorBidi" w:cstheme="majorBidi"/>
          <w:sz w:val="28"/>
          <w:szCs w:val="28"/>
        </w:rPr>
      </w:pPr>
    </w:p>
    <w:p w14:paraId="4FC84ED3" w14:textId="57B14692" w:rsidR="002D610F" w:rsidRPr="002D610F" w:rsidRDefault="002D610F" w:rsidP="002D610F">
      <w:pPr>
        <w:tabs>
          <w:tab w:val="left" w:pos="3179"/>
        </w:tabs>
        <w:bidi w:val="0"/>
        <w:spacing w:after="120"/>
        <w:jc w:val="both"/>
        <w:rPr>
          <w:rFonts w:asciiTheme="majorBidi" w:hAnsiTheme="majorBidi" w:cstheme="majorBidi"/>
          <w:sz w:val="28"/>
          <w:szCs w:val="28"/>
        </w:rPr>
      </w:pPr>
      <w:r w:rsidRPr="00A65C61">
        <w:rPr>
          <w:rFonts w:asciiTheme="majorBidi" w:hAnsiTheme="majorBidi" w:cstheme="majorBidi"/>
          <w:sz w:val="28"/>
          <w:szCs w:val="28"/>
        </w:rPr>
        <w:t>Th</w:t>
      </w:r>
      <w:r w:rsidRPr="002D610F">
        <w:rPr>
          <w:rFonts w:asciiTheme="majorBidi" w:hAnsiTheme="majorBidi" w:cstheme="majorBidi"/>
          <w:sz w:val="28"/>
          <w:szCs w:val="28"/>
        </w:rPr>
        <w:t xml:space="preserve">ree distinct failure modes were observed in the tested model samples, as illustrated in </w:t>
      </w:r>
      <w:r w:rsidR="00F56FCF" w:rsidRPr="00A65C61">
        <w:rPr>
          <w:rFonts w:asciiTheme="majorBidi" w:hAnsiTheme="majorBidi" w:cstheme="majorBidi"/>
          <w:sz w:val="28"/>
          <w:szCs w:val="28"/>
        </w:rPr>
        <w:t>F</w:t>
      </w:r>
      <w:r w:rsidRPr="002D610F">
        <w:rPr>
          <w:rFonts w:asciiTheme="majorBidi" w:hAnsiTheme="majorBidi" w:cstheme="majorBidi"/>
          <w:sz w:val="28"/>
          <w:szCs w:val="28"/>
        </w:rPr>
        <w:t>igure</w:t>
      </w:r>
      <w:r w:rsidR="00F56FCF" w:rsidRPr="00A65C61">
        <w:rPr>
          <w:rFonts w:asciiTheme="majorBidi" w:hAnsiTheme="majorBidi" w:cstheme="majorBidi"/>
          <w:sz w:val="28"/>
          <w:szCs w:val="28"/>
        </w:rPr>
        <w:t xml:space="preserve"> </w:t>
      </w:r>
      <w:r w:rsidR="00655065" w:rsidRPr="00A65C61">
        <w:rPr>
          <w:rFonts w:asciiTheme="majorBidi" w:hAnsiTheme="majorBidi" w:cstheme="majorBidi"/>
          <w:sz w:val="28"/>
          <w:szCs w:val="28"/>
        </w:rPr>
        <w:t>4</w:t>
      </w:r>
      <w:r w:rsidRPr="002D610F">
        <w:rPr>
          <w:rFonts w:asciiTheme="majorBidi" w:hAnsiTheme="majorBidi" w:cstheme="majorBidi"/>
          <w:sz w:val="28"/>
          <w:szCs w:val="28"/>
        </w:rPr>
        <w:t xml:space="preserve"> and detailed in Table 1. Figure </w:t>
      </w:r>
      <w:r w:rsidR="00655065" w:rsidRPr="00A65C61">
        <w:rPr>
          <w:rFonts w:asciiTheme="majorBidi" w:hAnsiTheme="majorBidi" w:cstheme="majorBidi"/>
          <w:sz w:val="28"/>
          <w:szCs w:val="28"/>
        </w:rPr>
        <w:t>4</w:t>
      </w:r>
      <w:r w:rsidRPr="002D610F">
        <w:rPr>
          <w:rFonts w:asciiTheme="majorBidi" w:hAnsiTheme="majorBidi" w:cstheme="majorBidi"/>
          <w:sz w:val="28"/>
          <w:szCs w:val="28"/>
        </w:rPr>
        <w:t xml:space="preserve"> depicts one of the </w:t>
      </w:r>
      <w:r w:rsidR="00F56FCF" w:rsidRPr="00A65C61">
        <w:rPr>
          <w:rFonts w:asciiTheme="majorBidi" w:hAnsiTheme="majorBidi" w:cstheme="majorBidi"/>
          <w:sz w:val="28"/>
          <w:szCs w:val="28"/>
        </w:rPr>
        <w:t xml:space="preserve">following </w:t>
      </w:r>
      <w:r w:rsidRPr="002D610F">
        <w:rPr>
          <w:rFonts w:asciiTheme="majorBidi" w:hAnsiTheme="majorBidi" w:cstheme="majorBidi"/>
          <w:sz w:val="28"/>
          <w:szCs w:val="28"/>
        </w:rPr>
        <w:t>failure conditions:</w:t>
      </w:r>
    </w:p>
    <w:p w14:paraId="5284DEC0" w14:textId="77777777" w:rsidR="002D610F" w:rsidRPr="002D610F" w:rsidRDefault="002D610F" w:rsidP="002D610F">
      <w:pPr>
        <w:numPr>
          <w:ilvl w:val="0"/>
          <w:numId w:val="2"/>
        </w:numPr>
        <w:tabs>
          <w:tab w:val="left" w:pos="3179"/>
        </w:tabs>
        <w:bidi w:val="0"/>
        <w:rPr>
          <w:rFonts w:asciiTheme="majorBidi" w:hAnsiTheme="majorBidi" w:cstheme="majorBidi"/>
          <w:sz w:val="28"/>
          <w:szCs w:val="28"/>
        </w:rPr>
      </w:pPr>
      <w:r w:rsidRPr="002D610F">
        <w:rPr>
          <w:rFonts w:asciiTheme="majorBidi" w:hAnsiTheme="majorBidi" w:cstheme="majorBidi"/>
          <w:b/>
          <w:bCs/>
          <w:sz w:val="28"/>
          <w:szCs w:val="28"/>
        </w:rPr>
        <w:t>Diagonal Partition Failure:</w:t>
      </w:r>
      <w:r w:rsidRPr="002D610F">
        <w:rPr>
          <w:rFonts w:asciiTheme="majorBidi" w:hAnsiTheme="majorBidi" w:cstheme="majorBidi"/>
          <w:sz w:val="28"/>
          <w:szCs w:val="28"/>
        </w:rPr>
        <w:br/>
        <w:t>This failure begins with the development of an initial flexural crack, which eventually leads to diagonal splitting of the concrete. It originates at the bearing plate and extends toward the intersection between the shaft face and the sloping face. Corbels with such cracks are prone to shear failure in the stress zone.</w:t>
      </w:r>
    </w:p>
    <w:p w14:paraId="4E624D62" w14:textId="77777777" w:rsidR="002D610F" w:rsidRPr="002D610F" w:rsidRDefault="002D610F" w:rsidP="002D610F">
      <w:pPr>
        <w:numPr>
          <w:ilvl w:val="0"/>
          <w:numId w:val="2"/>
        </w:numPr>
        <w:tabs>
          <w:tab w:val="left" w:pos="3179"/>
        </w:tabs>
        <w:bidi w:val="0"/>
        <w:rPr>
          <w:rFonts w:asciiTheme="majorBidi" w:hAnsiTheme="majorBidi" w:cstheme="majorBidi"/>
          <w:sz w:val="28"/>
          <w:szCs w:val="28"/>
        </w:rPr>
      </w:pPr>
      <w:r w:rsidRPr="002D610F">
        <w:rPr>
          <w:rFonts w:asciiTheme="majorBidi" w:hAnsiTheme="majorBidi" w:cstheme="majorBidi"/>
          <w:b/>
          <w:bCs/>
          <w:sz w:val="28"/>
          <w:szCs w:val="28"/>
        </w:rPr>
        <w:t>Bending Tension Failure:</w:t>
      </w:r>
      <w:r w:rsidRPr="002D610F">
        <w:rPr>
          <w:rFonts w:asciiTheme="majorBidi" w:hAnsiTheme="majorBidi" w:cstheme="majorBidi"/>
          <w:sz w:val="28"/>
          <w:szCs w:val="28"/>
        </w:rPr>
        <w:br/>
        <w:t>This mode occurs at the intersection between the shaft and the side face, following the pullout of fibers from the concrete matrix. It is characterized by deep vertical cracks with a wide opening, spreading significantly in the tension zone.</w:t>
      </w:r>
    </w:p>
    <w:p w14:paraId="2C3F7614" w14:textId="77777777" w:rsidR="002D610F" w:rsidRPr="002D610F" w:rsidRDefault="002D610F" w:rsidP="002D610F">
      <w:pPr>
        <w:numPr>
          <w:ilvl w:val="0"/>
          <w:numId w:val="2"/>
        </w:numPr>
        <w:tabs>
          <w:tab w:val="left" w:pos="3179"/>
        </w:tabs>
        <w:bidi w:val="0"/>
        <w:rPr>
          <w:rFonts w:asciiTheme="majorBidi" w:hAnsiTheme="majorBidi" w:cstheme="majorBidi"/>
          <w:sz w:val="28"/>
          <w:szCs w:val="28"/>
        </w:rPr>
      </w:pPr>
      <w:r w:rsidRPr="002D610F">
        <w:rPr>
          <w:rFonts w:asciiTheme="majorBidi" w:hAnsiTheme="majorBidi" w:cstheme="majorBidi"/>
          <w:b/>
          <w:bCs/>
          <w:sz w:val="28"/>
          <w:szCs w:val="28"/>
        </w:rPr>
        <w:lastRenderedPageBreak/>
        <w:t>Bending Stress Failure:</w:t>
      </w:r>
      <w:r w:rsidRPr="002D610F">
        <w:rPr>
          <w:rFonts w:asciiTheme="majorBidi" w:hAnsiTheme="majorBidi" w:cstheme="majorBidi"/>
          <w:sz w:val="28"/>
          <w:szCs w:val="28"/>
        </w:rPr>
        <w:br/>
        <w:t>This failure arises at the cross-shaft latitude before the fibers are pulled out. The significant yielding of the tensile reinforcement ensures a gradual failure mechanism, reducing the likelihood of catastrophic shear cracks and preventing abrupt shear failure.</w:t>
      </w:r>
    </w:p>
    <w:p w14:paraId="78EC3BBF" w14:textId="1A9F947E" w:rsidR="00F56FCF" w:rsidRPr="00A65C61" w:rsidRDefault="00F56FCF" w:rsidP="00655065">
      <w:pPr>
        <w:tabs>
          <w:tab w:val="left" w:pos="3179"/>
        </w:tabs>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drawing>
          <wp:inline distT="0" distB="0" distL="0" distR="0" wp14:anchorId="77107498" wp14:editId="07E68724">
            <wp:extent cx="3060939" cy="3239487"/>
            <wp:effectExtent l="133350" t="76200" r="63500" b="13271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066277" cy="32451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29364AC"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(a)</w:t>
      </w:r>
    </w:p>
    <w:p w14:paraId="3D5D625D" w14:textId="77777777" w:rsidR="00655065" w:rsidRPr="00A65C61" w:rsidRDefault="00655065" w:rsidP="00655065">
      <w:pPr>
        <w:bidi w:val="0"/>
        <w:jc w:val="center"/>
        <w:rPr>
          <w:rFonts w:asciiTheme="majorBidi" w:hAnsiTheme="majorBidi" w:cstheme="majorBidi"/>
          <w:sz w:val="28"/>
          <w:szCs w:val="28"/>
          <w:rtl/>
          <w:lang w:bidi="ar-IQ"/>
        </w:rPr>
      </w:pPr>
    </w:p>
    <w:p w14:paraId="4A15FE1F" w14:textId="6C3CFB77" w:rsidR="00655065" w:rsidRPr="00A65C61" w:rsidRDefault="00E60A1C" w:rsidP="00655065">
      <w:pPr>
        <w:bidi w:val="0"/>
        <w:jc w:val="center"/>
        <w:rPr>
          <w:rFonts w:asciiTheme="majorBidi" w:hAnsiTheme="majorBidi" w:cstheme="majorBidi"/>
          <w:noProof/>
          <w:sz w:val="28"/>
          <w:szCs w:val="28"/>
        </w:rPr>
      </w:pPr>
      <w:r>
        <w:rPr>
          <w:rFonts w:asciiTheme="majorBidi" w:hAnsiTheme="majorBidi" w:cstheme="majorBidi"/>
          <w:noProof/>
          <w:sz w:val="28"/>
          <w:szCs w:val="28"/>
          <w:lang w:val="en-GB" w:eastAsia="en-GB"/>
          <w14:ligatures w14:val="standardContextual"/>
        </w:rPr>
        <mc:AlternateContent>
          <mc:Choice Requires="wps">
            <w:drawing>
              <wp:anchor distT="0" distB="0" distL="114300" distR="114300" simplePos="0" relativeHeight="251659264" behindDoc="0" locked="0" layoutInCell="1" allowOverlap="1" wp14:anchorId="7A87F179" wp14:editId="7872C868">
                <wp:simplePos x="0" y="0"/>
                <wp:positionH relativeFrom="column">
                  <wp:posOffset>4246931</wp:posOffset>
                </wp:positionH>
                <wp:positionV relativeFrom="paragraph">
                  <wp:posOffset>633070</wp:posOffset>
                </wp:positionV>
                <wp:extent cx="204825" cy="190195"/>
                <wp:effectExtent l="0" t="0" r="24130" b="19685"/>
                <wp:wrapNone/>
                <wp:docPr id="1422551127" name="Rectangle 1"/>
                <wp:cNvGraphicFramePr/>
                <a:graphic xmlns:a="http://schemas.openxmlformats.org/drawingml/2006/main">
                  <a:graphicData uri="http://schemas.microsoft.com/office/word/2010/wordprocessingShape">
                    <wps:wsp>
                      <wps:cNvSpPr/>
                      <wps:spPr>
                        <a:xfrm>
                          <a:off x="0" y="0"/>
                          <a:ext cx="204825" cy="1901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85EC0" id="Rectangle 1" o:spid="_x0000_s1026" style="position:absolute;margin-left:334.4pt;margin-top:49.85pt;width:16.1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" fillcolor="#156082 [3204]" strokecolor="#030e13 [484]" strokeweight="1pt"/>
            </w:pict>
          </mc:Fallback>
        </mc:AlternateContent>
      </w:r>
      <w:r w:rsidR="00655065" w:rsidRPr="00A65C61">
        <w:rPr>
          <w:rFonts w:asciiTheme="majorBidi" w:hAnsiTheme="majorBidi" w:cstheme="majorBidi"/>
          <w:noProof/>
          <w:sz w:val="28"/>
          <w:szCs w:val="28"/>
          <w:lang w:val="en-GB" w:eastAsia="en-GB"/>
        </w:rPr>
        <w:drawing>
          <wp:inline distT="0" distB="0" distL="0" distR="0" wp14:anchorId="41E29D20" wp14:editId="24B069B1">
            <wp:extent cx="3156115" cy="3296392"/>
            <wp:effectExtent l="133350" t="76200" r="63500" b="132715"/>
            <wp:docPr id="14" name="صورة 18"/>
            <wp:cNvGraphicFramePr/>
            <a:graphic xmlns:a="http://schemas.openxmlformats.org/drawingml/2006/main">
              <a:graphicData uri="http://schemas.openxmlformats.org/drawingml/2006/picture">
                <pic:pic xmlns:pic="http://schemas.openxmlformats.org/drawingml/2006/picture">
                  <pic:nvPicPr>
                    <pic:cNvPr id="19" name="صورة 18"/>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163889" cy="33045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03FBD68"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lastRenderedPageBreak/>
        <w:t>(b)</w:t>
      </w:r>
    </w:p>
    <w:p w14:paraId="68BD662C" w14:textId="77777777" w:rsidR="00655065" w:rsidRPr="00A65C61" w:rsidRDefault="00655065" w:rsidP="00655065">
      <w:pPr>
        <w:bidi w:val="0"/>
        <w:jc w:val="center"/>
        <w:rPr>
          <w:rFonts w:asciiTheme="majorBidi" w:hAnsiTheme="majorBidi" w:cstheme="majorBidi"/>
          <w:noProof/>
          <w:sz w:val="28"/>
          <w:szCs w:val="28"/>
          <w:rtl/>
        </w:rPr>
      </w:pPr>
    </w:p>
    <w:p w14:paraId="51EF3136" w14:textId="14A7142B" w:rsidR="00655065" w:rsidRPr="00A65C61" w:rsidRDefault="00655065" w:rsidP="00655065">
      <w:pPr>
        <w:bidi w:val="0"/>
        <w:jc w:val="center"/>
        <w:rPr>
          <w:rFonts w:asciiTheme="majorBidi" w:hAnsiTheme="majorBidi" w:cstheme="majorBidi"/>
          <w:sz w:val="28"/>
          <w:szCs w:val="28"/>
          <w:lang w:bidi="ar-IQ"/>
        </w:rPr>
      </w:pPr>
      <w:r w:rsidRPr="00A65C61">
        <w:rPr>
          <w:rFonts w:asciiTheme="majorBidi" w:hAnsiTheme="majorBidi" w:cstheme="majorBidi"/>
          <w:noProof/>
          <w:sz w:val="28"/>
          <w:szCs w:val="28"/>
          <w:lang w:val="en-GB" w:eastAsia="en-GB"/>
        </w:rPr>
        <w:drawing>
          <wp:inline distT="0" distB="0" distL="0" distR="0" wp14:anchorId="15C49141" wp14:editId="4E5E59C7">
            <wp:extent cx="3439379" cy="3662115"/>
            <wp:effectExtent l="133350" t="76200" r="85090" b="128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3440576" cy="366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7AB1CB0"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(c)</w:t>
      </w:r>
    </w:p>
    <w:p w14:paraId="7469533C" w14:textId="77777777" w:rsidR="00655065" w:rsidRPr="00A65C61" w:rsidRDefault="00655065" w:rsidP="00655065">
      <w:pPr>
        <w:bidi w:val="0"/>
        <w:jc w:val="center"/>
        <w:rPr>
          <w:rFonts w:asciiTheme="majorBidi" w:hAnsiTheme="majorBidi" w:cstheme="majorBidi"/>
          <w:sz w:val="28"/>
          <w:szCs w:val="28"/>
          <w:rtl/>
          <w:lang w:bidi="ar-IQ"/>
        </w:rPr>
      </w:pPr>
    </w:p>
    <w:p w14:paraId="5712F72C" w14:textId="77777777" w:rsidR="00655065" w:rsidRPr="00A65C61" w:rsidRDefault="00655065" w:rsidP="00655065">
      <w:pPr>
        <w:bidi w:val="0"/>
        <w:jc w:val="center"/>
        <w:rPr>
          <w:rFonts w:asciiTheme="majorBidi" w:hAnsiTheme="majorBidi" w:cstheme="majorBidi"/>
          <w:sz w:val="28"/>
          <w:szCs w:val="28"/>
          <w:rtl/>
          <w:lang w:bidi="ar-IQ"/>
        </w:rPr>
      </w:pPr>
    </w:p>
    <w:p w14:paraId="7DD68E93" w14:textId="2B28A865"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lastRenderedPageBreak/>
        <w:drawing>
          <wp:inline distT="0" distB="0" distL="0" distR="0" wp14:anchorId="51D1026F" wp14:editId="16C1DF66">
            <wp:extent cx="2865429" cy="3725578"/>
            <wp:effectExtent l="133350" t="76200" r="87630" b="141605"/>
            <wp:docPr id="6" name="صورة 20"/>
            <wp:cNvGraphicFramePr/>
            <a:graphic xmlns:a="http://schemas.openxmlformats.org/drawingml/2006/main">
              <a:graphicData uri="http://schemas.openxmlformats.org/drawingml/2006/picture">
                <pic:pic xmlns:pic="http://schemas.openxmlformats.org/drawingml/2006/picture">
                  <pic:nvPicPr>
                    <pic:cNvPr id="21" name="صورة 20"/>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2870349" cy="37319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D1D292E"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(d)</w:t>
      </w:r>
    </w:p>
    <w:p w14:paraId="505EBA47" w14:textId="79AA54A2"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drawing>
          <wp:inline distT="0" distB="0" distL="0" distR="0" wp14:anchorId="167DC104" wp14:editId="1042B7C3">
            <wp:extent cx="3308724" cy="3763714"/>
            <wp:effectExtent l="133350" t="76200" r="82550" b="14160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3310150" cy="3765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29CD8E2" w14:textId="77777777" w:rsidR="00655065" w:rsidRPr="00A65C61" w:rsidRDefault="00655065" w:rsidP="00655065">
      <w:pPr>
        <w:autoSpaceDE w:val="0"/>
        <w:autoSpaceDN w:val="0"/>
        <w:bidi w:val="0"/>
        <w:adjustRightInd w:val="0"/>
        <w:spacing w:after="120"/>
        <w:jc w:val="center"/>
        <w:rPr>
          <w:rFonts w:asciiTheme="majorBidi" w:hAnsiTheme="majorBidi" w:cstheme="majorBidi"/>
          <w:sz w:val="28"/>
          <w:szCs w:val="28"/>
        </w:rPr>
      </w:pPr>
      <w:r w:rsidRPr="00A65C61">
        <w:rPr>
          <w:rFonts w:asciiTheme="majorBidi" w:hAnsiTheme="majorBidi" w:cstheme="majorBidi"/>
          <w:sz w:val="28"/>
          <w:szCs w:val="28"/>
        </w:rPr>
        <w:t>(e)</w:t>
      </w:r>
    </w:p>
    <w:p w14:paraId="000CB588" w14:textId="06E5A0C2" w:rsidR="00655065" w:rsidRPr="00A65C61" w:rsidRDefault="00655065" w:rsidP="00655065">
      <w:pPr>
        <w:bidi w:val="0"/>
        <w:jc w:val="center"/>
        <w:rPr>
          <w:rFonts w:asciiTheme="majorBidi" w:hAnsiTheme="majorBidi" w:cstheme="majorBidi"/>
          <w:noProof/>
          <w:sz w:val="28"/>
          <w:szCs w:val="28"/>
        </w:rPr>
      </w:pPr>
      <w:r w:rsidRPr="00A65C61">
        <w:rPr>
          <w:rFonts w:asciiTheme="majorBidi" w:hAnsiTheme="majorBidi" w:cstheme="majorBidi"/>
          <w:noProof/>
          <w:sz w:val="28"/>
          <w:szCs w:val="28"/>
          <w:lang w:val="en-GB" w:eastAsia="en-GB"/>
        </w:rPr>
        <w:lastRenderedPageBreak/>
        <w:drawing>
          <wp:inline distT="0" distB="0" distL="0" distR="0" wp14:anchorId="3254E2CE" wp14:editId="016FAFC8">
            <wp:extent cx="3336586" cy="349045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744" cy="3500035"/>
                    </a:xfrm>
                    <a:prstGeom prst="rect">
                      <a:avLst/>
                    </a:prstGeom>
                    <a:noFill/>
                  </pic:spPr>
                </pic:pic>
              </a:graphicData>
            </a:graphic>
          </wp:inline>
        </w:drawing>
      </w:r>
    </w:p>
    <w:p w14:paraId="368F8504" w14:textId="3AEECE1C" w:rsidR="00655065" w:rsidRPr="00A65C61" w:rsidRDefault="00655065" w:rsidP="00655065">
      <w:pPr>
        <w:bidi w:val="0"/>
        <w:jc w:val="center"/>
        <w:rPr>
          <w:rFonts w:asciiTheme="majorBidi" w:hAnsiTheme="majorBidi" w:cstheme="majorBidi"/>
          <w:sz w:val="28"/>
          <w:szCs w:val="28"/>
        </w:rPr>
      </w:pPr>
      <w:r w:rsidRPr="00A65C61">
        <w:rPr>
          <w:rFonts w:asciiTheme="majorBidi" w:hAnsiTheme="majorBidi" w:cstheme="majorBidi"/>
          <w:sz w:val="28"/>
          <w:szCs w:val="28"/>
        </w:rPr>
        <w:t>(f)</w:t>
      </w:r>
    </w:p>
    <w:p w14:paraId="325E40B7" w14:textId="1C84D5D0" w:rsidR="00655065" w:rsidRPr="00A65C61" w:rsidRDefault="00655065" w:rsidP="00655065">
      <w:pPr>
        <w:autoSpaceDE w:val="0"/>
        <w:autoSpaceDN w:val="0"/>
        <w:bidi w:val="0"/>
        <w:adjustRightInd w:val="0"/>
        <w:spacing w:after="0" w:line="240" w:lineRule="auto"/>
        <w:rPr>
          <w:rFonts w:asciiTheme="majorBidi" w:hAnsiTheme="majorBidi" w:cstheme="majorBidi"/>
          <w:color w:val="000000"/>
          <w:sz w:val="28"/>
          <w:szCs w:val="28"/>
        </w:rPr>
      </w:pPr>
      <w:r w:rsidRPr="00A65C61">
        <w:rPr>
          <w:rFonts w:asciiTheme="majorBidi" w:hAnsiTheme="majorBidi" w:cstheme="majorBidi"/>
          <w:b/>
          <w:bCs/>
          <w:color w:val="000000"/>
          <w:sz w:val="28"/>
          <w:szCs w:val="28"/>
        </w:rPr>
        <w:t xml:space="preserve">Figure 4. </w:t>
      </w:r>
      <w:r w:rsidRPr="00A65C61">
        <w:rPr>
          <w:rFonts w:asciiTheme="majorBidi" w:hAnsiTheme="majorBidi" w:cstheme="majorBidi"/>
          <w:color w:val="000000"/>
          <w:sz w:val="28"/>
          <w:szCs w:val="28"/>
        </w:rPr>
        <w:t>Cracks patterns of corbels after testing (a) Cracks Patterns of Corbel CNS3M (b) Cracks Patterns of Corbel CHyS3M (c) Cracks Patterns of Corbel CNS6M (d) Cracks Patterns of Corbel CHyS6M (e) Cracks Patterns of Corbel CN06M (</w:t>
      </w:r>
      <w:proofErr w:type="gramStart"/>
      <w:r w:rsidRPr="00A65C61">
        <w:rPr>
          <w:rFonts w:asciiTheme="majorBidi" w:hAnsiTheme="majorBidi" w:cstheme="majorBidi"/>
          <w:color w:val="000000"/>
          <w:sz w:val="28"/>
          <w:szCs w:val="28"/>
        </w:rPr>
        <w:t>f )</w:t>
      </w:r>
      <w:proofErr w:type="gramEnd"/>
      <w:r w:rsidRPr="00A65C61">
        <w:rPr>
          <w:rFonts w:asciiTheme="majorBidi" w:hAnsiTheme="majorBidi" w:cstheme="majorBidi"/>
          <w:color w:val="000000"/>
          <w:sz w:val="28"/>
          <w:szCs w:val="28"/>
        </w:rPr>
        <w:t xml:space="preserve"> Cracks Patterns of Corbel CHy06M</w:t>
      </w:r>
    </w:p>
    <w:p w14:paraId="0176D868" w14:textId="77777777" w:rsidR="00655065" w:rsidRPr="00A65C61" w:rsidRDefault="00655065" w:rsidP="00655065">
      <w:pPr>
        <w:bidi w:val="0"/>
        <w:rPr>
          <w:rFonts w:asciiTheme="majorBidi" w:hAnsiTheme="majorBidi" w:cstheme="majorBidi"/>
          <w:color w:val="000000"/>
          <w:sz w:val="28"/>
          <w:szCs w:val="28"/>
        </w:rPr>
      </w:pPr>
    </w:p>
    <w:p w14:paraId="3E4D20AB" w14:textId="0CF372A9" w:rsidR="00655065" w:rsidRPr="00A65C61" w:rsidRDefault="00655065" w:rsidP="00E834D4">
      <w:pPr>
        <w:autoSpaceDE w:val="0"/>
        <w:autoSpaceDN w:val="0"/>
        <w:bidi w:val="0"/>
        <w:adjustRightInd w:val="0"/>
        <w:spacing w:after="120"/>
        <w:jc w:val="both"/>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3.2 Inﬂuence of Shear Span</w:t>
      </w:r>
      <w:r w:rsidRPr="00A65C61">
        <w:rPr>
          <w:rFonts w:asciiTheme="majorBidi" w:hAnsiTheme="majorBidi" w:cstheme="majorBidi"/>
          <w:color w:val="000000"/>
          <w:sz w:val="28"/>
          <w:szCs w:val="28"/>
        </w:rPr>
        <w:t xml:space="preserve"> </w:t>
      </w:r>
      <w:r w:rsidRPr="00A65C61">
        <w:rPr>
          <w:rFonts w:asciiTheme="majorBidi" w:hAnsiTheme="majorBidi" w:cstheme="majorBidi"/>
          <w:b/>
          <w:bCs/>
          <w:color w:val="000000"/>
          <w:sz w:val="28"/>
          <w:szCs w:val="28"/>
        </w:rPr>
        <w:t>to Eff</w:t>
      </w:r>
      <w:r w:rsidR="00E834D4" w:rsidRPr="00A65C61">
        <w:rPr>
          <w:rFonts w:asciiTheme="majorBidi" w:hAnsiTheme="majorBidi" w:cstheme="majorBidi"/>
          <w:b/>
          <w:bCs/>
          <w:color w:val="000000"/>
          <w:sz w:val="28"/>
          <w:szCs w:val="28"/>
        </w:rPr>
        <w:t>ective</w:t>
      </w:r>
      <w:r w:rsidRPr="00A65C61">
        <w:rPr>
          <w:rFonts w:asciiTheme="majorBidi" w:hAnsiTheme="majorBidi" w:cstheme="majorBidi"/>
          <w:b/>
          <w:bCs/>
          <w:color w:val="000000"/>
          <w:sz w:val="28"/>
          <w:szCs w:val="28"/>
        </w:rPr>
        <w:t xml:space="preserve"> Depth Ratio</w:t>
      </w:r>
    </w:p>
    <w:p w14:paraId="3090CE75" w14:textId="1FEE4571" w:rsidR="00655065" w:rsidRPr="00A65C61" w:rsidRDefault="00CE2F18" w:rsidP="00CE2F18">
      <w:pPr>
        <w:bidi w:val="0"/>
        <w:spacing w:after="120"/>
        <w:jc w:val="both"/>
        <w:rPr>
          <w:rFonts w:asciiTheme="majorBidi" w:hAnsiTheme="majorBidi" w:cstheme="majorBidi"/>
          <w:sz w:val="28"/>
          <w:szCs w:val="28"/>
        </w:rPr>
      </w:pPr>
      <w:r w:rsidRPr="00A65C61">
        <w:rPr>
          <w:rFonts w:asciiTheme="majorBidi" w:hAnsiTheme="majorBidi" w:cstheme="majorBidi"/>
          <w:sz w:val="28"/>
          <w:szCs w:val="28"/>
        </w:rPr>
        <w:t xml:space="preserve">The influence of the shear span-to-effective depth ratio (a/d) on the cracking and ultimate loads for hybrid-strength concrete corbels </w:t>
      </w:r>
      <w:r w:rsidR="009F3A46" w:rsidRPr="00A65C61">
        <w:rPr>
          <w:rFonts w:asciiTheme="majorBidi" w:hAnsiTheme="majorBidi" w:cstheme="majorBidi"/>
          <w:sz w:val="28"/>
          <w:szCs w:val="28"/>
        </w:rPr>
        <w:t>strengthened</w:t>
      </w:r>
      <w:r w:rsidRPr="00A65C61">
        <w:rPr>
          <w:rFonts w:asciiTheme="majorBidi" w:hAnsiTheme="majorBidi" w:cstheme="majorBidi"/>
          <w:sz w:val="28"/>
          <w:szCs w:val="28"/>
        </w:rPr>
        <w:t xml:space="preserve"> with steel plates is significant. As the (a/d) ratio decreases, both the cracking and ultimate loads increase. For instance, reducing the (a/d) ratio from 0.6 to 0.3 leads to an approximately </w:t>
      </w:r>
      <w:r w:rsidRPr="005313A5">
        <w:rPr>
          <w:rFonts w:asciiTheme="majorBidi" w:hAnsiTheme="majorBidi" w:cstheme="majorBidi"/>
          <w:sz w:val="28"/>
          <w:szCs w:val="28"/>
        </w:rPr>
        <w:t>31.</w:t>
      </w:r>
      <w:r w:rsidR="009F3A46" w:rsidRPr="005313A5">
        <w:rPr>
          <w:rFonts w:asciiTheme="majorBidi" w:hAnsiTheme="majorBidi" w:cstheme="majorBidi"/>
          <w:sz w:val="28"/>
          <w:szCs w:val="28"/>
        </w:rPr>
        <w:t>35</w:t>
      </w:r>
      <w:r w:rsidRPr="005313A5">
        <w:rPr>
          <w:rFonts w:asciiTheme="majorBidi" w:hAnsiTheme="majorBidi" w:cstheme="majorBidi"/>
          <w:sz w:val="28"/>
          <w:szCs w:val="28"/>
        </w:rPr>
        <w:t xml:space="preserve">% increase in the cracking load and an </w:t>
      </w:r>
      <w:r w:rsidR="009F3A46" w:rsidRPr="005313A5">
        <w:rPr>
          <w:rFonts w:asciiTheme="majorBidi" w:hAnsiTheme="majorBidi" w:cstheme="majorBidi"/>
          <w:sz w:val="28"/>
          <w:szCs w:val="28"/>
        </w:rPr>
        <w:t>8.55</w:t>
      </w:r>
      <w:r w:rsidRPr="005313A5">
        <w:rPr>
          <w:rFonts w:asciiTheme="majorBidi" w:hAnsiTheme="majorBidi" w:cstheme="majorBidi"/>
          <w:sz w:val="28"/>
          <w:szCs w:val="28"/>
        </w:rPr>
        <w:t>% i</w:t>
      </w:r>
      <w:r w:rsidRPr="00A65C61">
        <w:rPr>
          <w:rFonts w:asciiTheme="majorBidi" w:hAnsiTheme="majorBidi" w:cstheme="majorBidi"/>
          <w:sz w:val="28"/>
          <w:szCs w:val="28"/>
        </w:rPr>
        <w:t>ncrease in the ultimate load. This demonstrates that lowering the (a/d) ratio enhances the structural performance of hybrid-strength concrete corbels, particularly in terms of load-bearing capacity</w:t>
      </w:r>
      <w:r w:rsidR="00E834D4" w:rsidRPr="00A65C61">
        <w:rPr>
          <w:rFonts w:asciiTheme="majorBidi" w:hAnsiTheme="majorBidi" w:cstheme="majorBidi"/>
          <w:sz w:val="28"/>
          <w:szCs w:val="28"/>
        </w:rPr>
        <w:t xml:space="preserve">. </w:t>
      </w:r>
      <w:r w:rsidRPr="00A65C61">
        <w:rPr>
          <w:rFonts w:asciiTheme="majorBidi" w:hAnsiTheme="majorBidi" w:cstheme="majorBidi"/>
          <w:sz w:val="28"/>
          <w:szCs w:val="28"/>
        </w:rPr>
        <w:t>The influence of the shear span-to-effective depth ratio (a/d) on the cracking and ultimate loads for normal-strength concrete corbels strengthened with steel plates is also significant. When the (a/d) ratio is reduced from 0.6 to 0.3, the cracking load increases by approximately 22.78%, and the ultimate load increases by about 16.0</w:t>
      </w:r>
      <w:r w:rsidR="00927757">
        <w:rPr>
          <w:rFonts w:asciiTheme="majorBidi" w:hAnsiTheme="majorBidi" w:cstheme="majorBidi"/>
          <w:sz w:val="28"/>
          <w:szCs w:val="28"/>
        </w:rPr>
        <w:t>7</w:t>
      </w:r>
      <w:r w:rsidRPr="00A65C61">
        <w:rPr>
          <w:rFonts w:asciiTheme="majorBidi" w:hAnsiTheme="majorBidi" w:cstheme="majorBidi"/>
          <w:sz w:val="28"/>
          <w:szCs w:val="28"/>
        </w:rPr>
        <w:t xml:space="preserve">%. This suggests that decreasing the (a/d) ratio improves the load-bearing capacity of normal-strength concrete corbels, especially in terms of both the initial cracking and ultimate failure loads. </w:t>
      </w:r>
      <w:r w:rsidR="00E834D4" w:rsidRPr="00A65C61">
        <w:rPr>
          <w:rFonts w:asciiTheme="majorBidi" w:hAnsiTheme="majorBidi" w:cstheme="majorBidi"/>
          <w:sz w:val="28"/>
          <w:szCs w:val="28"/>
        </w:rPr>
        <w:t>The effects are clearly illustrated in Figures 5 and 6 [17].</w:t>
      </w:r>
    </w:p>
    <w:p w14:paraId="497F1D35" w14:textId="77777777" w:rsidR="00E834D4" w:rsidRPr="00A65C61" w:rsidRDefault="00E834D4" w:rsidP="00E834D4">
      <w:pPr>
        <w:bidi w:val="0"/>
        <w:rPr>
          <w:rFonts w:asciiTheme="majorBidi" w:hAnsiTheme="majorBidi" w:cstheme="majorBidi"/>
          <w:sz w:val="28"/>
          <w:szCs w:val="28"/>
        </w:rPr>
      </w:pPr>
    </w:p>
    <w:p w14:paraId="3A8930C7" w14:textId="7BD9D9DF" w:rsidR="00E834D4" w:rsidRPr="00A65C61" w:rsidRDefault="00E834D4" w:rsidP="00E834D4">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lastRenderedPageBreak/>
        <w:drawing>
          <wp:inline distT="0" distB="0" distL="0" distR="0" wp14:anchorId="6F8829F5" wp14:editId="55BE9636">
            <wp:extent cx="4599432" cy="2724912"/>
            <wp:effectExtent l="0" t="0" r="10795" b="1841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E5F5C1" w14:textId="4E0EC5F0" w:rsidR="00E834D4" w:rsidRPr="00A65C61" w:rsidRDefault="00E834D4" w:rsidP="00E834D4">
      <w:pPr>
        <w:tabs>
          <w:tab w:val="left" w:pos="1010"/>
        </w:tabs>
        <w:bidi w:val="0"/>
        <w:jc w:val="center"/>
        <w:rPr>
          <w:rFonts w:asciiTheme="majorBidi" w:hAnsiTheme="majorBidi" w:cstheme="majorBidi"/>
          <w:sz w:val="28"/>
          <w:szCs w:val="28"/>
        </w:rPr>
      </w:pPr>
      <w:r w:rsidRPr="00A65C61">
        <w:rPr>
          <w:rFonts w:asciiTheme="majorBidi" w:hAnsiTheme="majorBidi" w:cstheme="majorBidi"/>
          <w:b/>
          <w:bCs/>
          <w:sz w:val="28"/>
          <w:szCs w:val="28"/>
        </w:rPr>
        <w:t>Figure 5.</w:t>
      </w:r>
      <w:r w:rsidRPr="00A65C61">
        <w:rPr>
          <w:rFonts w:asciiTheme="majorBidi" w:hAnsiTheme="majorBidi" w:cstheme="majorBidi"/>
          <w:sz w:val="28"/>
          <w:szCs w:val="28"/>
        </w:rPr>
        <w:t xml:space="preserve"> The Inﬂuence of (a/d) ratio on cracking and final loads for hybrid strength concrete corbels</w:t>
      </w:r>
      <w:r w:rsidRPr="00A65C61">
        <w:rPr>
          <w:rFonts w:asciiTheme="majorBidi" w:hAnsiTheme="majorBidi" w:cstheme="majorBidi"/>
          <w:sz w:val="28"/>
          <w:szCs w:val="28"/>
          <w:rtl/>
        </w:rPr>
        <w:t xml:space="preserve"> </w:t>
      </w:r>
      <w:r w:rsidRPr="00A65C61">
        <w:rPr>
          <w:rFonts w:asciiTheme="majorBidi" w:hAnsiTheme="majorBidi" w:cstheme="majorBidi"/>
          <w:sz w:val="28"/>
          <w:szCs w:val="28"/>
        </w:rPr>
        <w:t>strengthened with steel plate.</w:t>
      </w:r>
    </w:p>
    <w:p w14:paraId="171E4C72" w14:textId="77777777" w:rsidR="00E834D4" w:rsidRPr="00A65C61" w:rsidRDefault="00E834D4" w:rsidP="00E834D4">
      <w:pPr>
        <w:bidi w:val="0"/>
        <w:rPr>
          <w:rFonts w:asciiTheme="majorBidi" w:hAnsiTheme="majorBidi" w:cstheme="majorBidi"/>
          <w:sz w:val="28"/>
          <w:szCs w:val="28"/>
        </w:rPr>
      </w:pPr>
    </w:p>
    <w:p w14:paraId="19304518" w14:textId="548299B8" w:rsidR="00E834D4" w:rsidRPr="00A65C61" w:rsidRDefault="00E834D4" w:rsidP="00094F6D">
      <w:pPr>
        <w:tabs>
          <w:tab w:val="left" w:pos="2076"/>
        </w:tabs>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13AEBA80" wp14:editId="31357D58">
            <wp:extent cx="4599432" cy="2724912"/>
            <wp:effectExtent l="0" t="0" r="10795" b="18415"/>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F1C81A" w14:textId="77777777" w:rsidR="00E834D4" w:rsidRPr="00A65C61" w:rsidRDefault="00E834D4" w:rsidP="00E834D4">
      <w:pPr>
        <w:bidi w:val="0"/>
        <w:rPr>
          <w:rFonts w:asciiTheme="majorBidi" w:hAnsiTheme="majorBidi" w:cstheme="majorBidi"/>
          <w:sz w:val="28"/>
          <w:szCs w:val="28"/>
        </w:rPr>
      </w:pPr>
    </w:p>
    <w:p w14:paraId="1D740C74" w14:textId="52884D6D" w:rsidR="00E834D4" w:rsidRPr="00A65C61" w:rsidRDefault="00E834D4" w:rsidP="00E834D4">
      <w:pPr>
        <w:autoSpaceDE w:val="0"/>
        <w:autoSpaceDN w:val="0"/>
        <w:bidi w:val="0"/>
        <w:adjustRightInd w:val="0"/>
        <w:spacing w:after="0"/>
        <w:jc w:val="center"/>
        <w:rPr>
          <w:rFonts w:asciiTheme="majorBidi" w:hAnsiTheme="majorBidi" w:cstheme="majorBidi"/>
          <w:sz w:val="28"/>
          <w:szCs w:val="28"/>
        </w:rPr>
      </w:pPr>
      <w:r w:rsidRPr="00A65C61">
        <w:rPr>
          <w:rFonts w:asciiTheme="majorBidi" w:hAnsiTheme="majorBidi" w:cstheme="majorBidi"/>
          <w:b/>
          <w:bCs/>
          <w:sz w:val="28"/>
          <w:szCs w:val="28"/>
        </w:rPr>
        <w:t xml:space="preserve">Figure </w:t>
      </w:r>
      <w:r w:rsidR="00CE2F18" w:rsidRPr="00A65C61">
        <w:rPr>
          <w:rFonts w:asciiTheme="majorBidi" w:hAnsiTheme="majorBidi" w:cstheme="majorBidi"/>
          <w:b/>
          <w:bCs/>
          <w:sz w:val="28"/>
          <w:szCs w:val="28"/>
        </w:rPr>
        <w:t>6.</w:t>
      </w:r>
      <w:r w:rsidRPr="00A65C61">
        <w:rPr>
          <w:rFonts w:asciiTheme="majorBidi" w:hAnsiTheme="majorBidi" w:cstheme="majorBidi"/>
          <w:sz w:val="28"/>
          <w:szCs w:val="28"/>
        </w:rPr>
        <w:t xml:space="preserve"> The Inﬂuence of (a/d) ratio on cracking and final loads for normal strength concrete corbels </w:t>
      </w:r>
      <w:r w:rsidR="00CE2F18" w:rsidRPr="00A65C61">
        <w:rPr>
          <w:rFonts w:asciiTheme="majorBidi" w:hAnsiTheme="majorBidi" w:cstheme="majorBidi"/>
          <w:sz w:val="28"/>
          <w:szCs w:val="28"/>
        </w:rPr>
        <w:t>s</w:t>
      </w:r>
      <w:r w:rsidRPr="00A65C61">
        <w:rPr>
          <w:rFonts w:asciiTheme="majorBidi" w:hAnsiTheme="majorBidi" w:cstheme="majorBidi"/>
          <w:sz w:val="28"/>
          <w:szCs w:val="28"/>
        </w:rPr>
        <w:t>trengthened with steel plate</w:t>
      </w:r>
      <w:r w:rsidR="00CE2F18" w:rsidRPr="00A65C61">
        <w:rPr>
          <w:rFonts w:asciiTheme="majorBidi" w:hAnsiTheme="majorBidi" w:cstheme="majorBidi"/>
          <w:sz w:val="28"/>
          <w:szCs w:val="28"/>
        </w:rPr>
        <w:t>.</w:t>
      </w:r>
    </w:p>
    <w:p w14:paraId="48130A04" w14:textId="77777777" w:rsidR="00E834D4" w:rsidRPr="00A65C61" w:rsidRDefault="00E834D4" w:rsidP="00E834D4">
      <w:pPr>
        <w:bidi w:val="0"/>
        <w:rPr>
          <w:rFonts w:asciiTheme="majorBidi" w:hAnsiTheme="majorBidi" w:cstheme="majorBidi"/>
          <w:sz w:val="28"/>
          <w:szCs w:val="28"/>
        </w:rPr>
      </w:pPr>
    </w:p>
    <w:p w14:paraId="461DD77F" w14:textId="478053FA" w:rsidR="00094F6D" w:rsidRPr="00A65C61" w:rsidRDefault="00094F6D" w:rsidP="00094F6D">
      <w:pPr>
        <w:autoSpaceDE w:val="0"/>
        <w:autoSpaceDN w:val="0"/>
        <w:bidi w:val="0"/>
        <w:adjustRightInd w:val="0"/>
        <w:spacing w:after="120"/>
        <w:jc w:val="both"/>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3.3 Inﬂuence of Concrete Compressive Strength</w:t>
      </w:r>
    </w:p>
    <w:p w14:paraId="40ABF335" w14:textId="09567AF2" w:rsidR="00094F6D" w:rsidRDefault="00094F6D" w:rsidP="00094F6D">
      <w:pPr>
        <w:autoSpaceDE w:val="0"/>
        <w:autoSpaceDN w:val="0"/>
        <w:bidi w:val="0"/>
        <w:adjustRightInd w:val="0"/>
        <w:spacing w:after="120"/>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The compressive strength of concrete, along with other factors such as section size and reinforcement ratio, plays a crucial role in determining the capacity of the specimen. A comparison of the specimens in this study clearly highlights the positive </w:t>
      </w:r>
      <w:r w:rsidRPr="00A65C61">
        <w:rPr>
          <w:rFonts w:asciiTheme="majorBidi" w:hAnsiTheme="majorBidi" w:cstheme="majorBidi"/>
          <w:color w:val="000000"/>
          <w:sz w:val="28"/>
          <w:szCs w:val="28"/>
        </w:rPr>
        <w:lastRenderedPageBreak/>
        <w:t xml:space="preserve">impact of compressive strength. </w:t>
      </w:r>
      <w:r w:rsidRPr="00251CE6">
        <w:rPr>
          <w:rFonts w:asciiTheme="majorBidi" w:hAnsiTheme="majorBidi" w:cstheme="majorBidi"/>
          <w:sz w:val="28"/>
          <w:szCs w:val="28"/>
        </w:rPr>
        <w:t xml:space="preserve">The ultimate </w:t>
      </w:r>
      <w:r w:rsidR="006D3734" w:rsidRPr="00251CE6">
        <w:rPr>
          <w:rFonts w:asciiTheme="majorBidi" w:hAnsiTheme="majorBidi" w:cstheme="majorBidi"/>
          <w:sz w:val="28"/>
          <w:szCs w:val="28"/>
        </w:rPr>
        <w:t xml:space="preserve">load for hybrid </w:t>
      </w:r>
      <w:r w:rsidR="00AE44CC" w:rsidRPr="00251CE6">
        <w:rPr>
          <w:rFonts w:asciiTheme="majorBidi" w:hAnsiTheme="majorBidi" w:cstheme="majorBidi"/>
          <w:sz w:val="28"/>
          <w:szCs w:val="28"/>
        </w:rPr>
        <w:t xml:space="preserve">strength </w:t>
      </w:r>
      <w:r w:rsidR="006D3734" w:rsidRPr="00251CE6">
        <w:rPr>
          <w:rFonts w:asciiTheme="majorBidi" w:hAnsiTheme="majorBidi" w:cstheme="majorBidi"/>
          <w:sz w:val="28"/>
          <w:szCs w:val="28"/>
        </w:rPr>
        <w:t>concrete specimen CHy06M</w:t>
      </w:r>
      <w:r w:rsidRPr="00251CE6">
        <w:rPr>
          <w:rFonts w:asciiTheme="majorBidi" w:hAnsiTheme="majorBidi" w:cstheme="majorBidi"/>
          <w:sz w:val="28"/>
          <w:szCs w:val="28"/>
        </w:rPr>
        <w:t xml:space="preserve"> increase</w:t>
      </w:r>
      <w:r w:rsidR="006D3734" w:rsidRPr="00251CE6">
        <w:rPr>
          <w:rFonts w:asciiTheme="majorBidi" w:hAnsiTheme="majorBidi" w:cstheme="majorBidi"/>
          <w:sz w:val="28"/>
          <w:szCs w:val="28"/>
        </w:rPr>
        <w:t>d</w:t>
      </w:r>
      <w:r w:rsidRPr="00251CE6">
        <w:rPr>
          <w:rFonts w:asciiTheme="majorBidi" w:hAnsiTheme="majorBidi" w:cstheme="majorBidi"/>
          <w:sz w:val="28"/>
          <w:szCs w:val="28"/>
        </w:rPr>
        <w:t xml:space="preserve"> by </w:t>
      </w:r>
      <w:r w:rsidR="00251CE6" w:rsidRPr="00251CE6">
        <w:rPr>
          <w:rFonts w:asciiTheme="majorBidi" w:hAnsiTheme="majorBidi" w:cstheme="majorBidi"/>
          <w:sz w:val="28"/>
          <w:szCs w:val="28"/>
          <w:lang w:val="en-AU"/>
        </w:rPr>
        <w:t>22.39</w:t>
      </w:r>
      <w:r w:rsidRPr="00251CE6">
        <w:rPr>
          <w:rFonts w:asciiTheme="majorBidi" w:hAnsiTheme="majorBidi" w:cstheme="majorBidi"/>
          <w:sz w:val="28"/>
          <w:szCs w:val="28"/>
        </w:rPr>
        <w:t xml:space="preserve">% compared to </w:t>
      </w:r>
      <w:r w:rsidR="006D3734" w:rsidRPr="00251CE6">
        <w:rPr>
          <w:rFonts w:asciiTheme="majorBidi" w:hAnsiTheme="majorBidi" w:cstheme="majorBidi"/>
          <w:sz w:val="28"/>
          <w:szCs w:val="28"/>
        </w:rPr>
        <w:t xml:space="preserve">normal </w:t>
      </w:r>
      <w:r w:rsidR="00AE44CC" w:rsidRPr="00251CE6">
        <w:rPr>
          <w:rFonts w:asciiTheme="majorBidi" w:hAnsiTheme="majorBidi" w:cstheme="majorBidi"/>
          <w:sz w:val="28"/>
          <w:szCs w:val="28"/>
        </w:rPr>
        <w:t xml:space="preserve">strength </w:t>
      </w:r>
      <w:r w:rsidR="006D3734" w:rsidRPr="00251CE6">
        <w:rPr>
          <w:rFonts w:asciiTheme="majorBidi" w:hAnsiTheme="majorBidi" w:cstheme="majorBidi"/>
          <w:sz w:val="28"/>
          <w:szCs w:val="28"/>
        </w:rPr>
        <w:t>concrete</w:t>
      </w:r>
      <w:r w:rsidRPr="00251CE6">
        <w:rPr>
          <w:rFonts w:asciiTheme="majorBidi" w:hAnsiTheme="majorBidi" w:cstheme="majorBidi"/>
          <w:sz w:val="28"/>
          <w:szCs w:val="28"/>
        </w:rPr>
        <w:t xml:space="preserve"> specimen </w:t>
      </w:r>
      <w:r w:rsidR="006D3734" w:rsidRPr="00251CE6">
        <w:rPr>
          <w:rFonts w:asciiTheme="majorBidi" w:hAnsiTheme="majorBidi" w:cstheme="majorBidi"/>
          <w:sz w:val="28"/>
          <w:szCs w:val="28"/>
        </w:rPr>
        <w:t>CN06M</w:t>
      </w:r>
      <w:r w:rsidRPr="00251CE6">
        <w:rPr>
          <w:rFonts w:asciiTheme="majorBidi" w:hAnsiTheme="majorBidi" w:cstheme="majorBidi"/>
          <w:sz w:val="28"/>
          <w:szCs w:val="28"/>
        </w:rPr>
        <w:t xml:space="preserve">, by 16.95% for </w:t>
      </w:r>
      <w:r w:rsidR="006D3734" w:rsidRPr="00251CE6">
        <w:rPr>
          <w:rFonts w:asciiTheme="majorBidi" w:hAnsiTheme="majorBidi" w:cstheme="majorBidi"/>
          <w:sz w:val="28"/>
          <w:szCs w:val="28"/>
        </w:rPr>
        <w:t xml:space="preserve">CHyS6M </w:t>
      </w:r>
      <w:r w:rsidRPr="00251CE6">
        <w:rPr>
          <w:rFonts w:asciiTheme="majorBidi" w:hAnsiTheme="majorBidi" w:cstheme="majorBidi"/>
          <w:sz w:val="28"/>
          <w:szCs w:val="28"/>
        </w:rPr>
        <w:t>compared to</w:t>
      </w:r>
      <w:r w:rsidR="006D3734" w:rsidRPr="00251CE6">
        <w:rPr>
          <w:rFonts w:asciiTheme="majorBidi" w:hAnsiTheme="majorBidi" w:cstheme="majorBidi"/>
          <w:sz w:val="28"/>
          <w:szCs w:val="28"/>
        </w:rPr>
        <w:t xml:space="preserve"> CNS6M</w:t>
      </w:r>
      <w:r w:rsidRPr="00251CE6">
        <w:rPr>
          <w:rFonts w:asciiTheme="majorBidi" w:hAnsiTheme="majorBidi" w:cstheme="majorBidi"/>
          <w:sz w:val="28"/>
          <w:szCs w:val="28"/>
        </w:rPr>
        <w:t>, and by 1</w:t>
      </w:r>
      <w:r w:rsidR="00251CE6" w:rsidRPr="00251CE6">
        <w:rPr>
          <w:rFonts w:asciiTheme="majorBidi" w:hAnsiTheme="majorBidi" w:cstheme="majorBidi"/>
          <w:sz w:val="28"/>
          <w:szCs w:val="28"/>
        </w:rPr>
        <w:t>2.78</w:t>
      </w:r>
      <w:r w:rsidRPr="00251CE6">
        <w:rPr>
          <w:rFonts w:asciiTheme="majorBidi" w:hAnsiTheme="majorBidi" w:cstheme="majorBidi"/>
          <w:sz w:val="28"/>
          <w:szCs w:val="28"/>
        </w:rPr>
        <w:t xml:space="preserve">% for </w:t>
      </w:r>
      <w:r w:rsidR="006D3734" w:rsidRPr="00251CE6">
        <w:rPr>
          <w:rFonts w:asciiTheme="majorBidi" w:hAnsiTheme="majorBidi" w:cstheme="majorBidi"/>
          <w:sz w:val="28"/>
          <w:szCs w:val="28"/>
        </w:rPr>
        <w:t xml:space="preserve">CHyS3M </w:t>
      </w:r>
      <w:r w:rsidRPr="00251CE6">
        <w:rPr>
          <w:rFonts w:asciiTheme="majorBidi" w:hAnsiTheme="majorBidi" w:cstheme="majorBidi"/>
          <w:sz w:val="28"/>
          <w:szCs w:val="28"/>
        </w:rPr>
        <w:t>compared to</w:t>
      </w:r>
      <w:r w:rsidR="006D3734" w:rsidRPr="00251CE6">
        <w:rPr>
          <w:rFonts w:asciiTheme="majorBidi" w:hAnsiTheme="majorBidi" w:cstheme="majorBidi"/>
          <w:sz w:val="28"/>
          <w:szCs w:val="28"/>
        </w:rPr>
        <w:t xml:space="preserve"> CNS3M</w:t>
      </w:r>
      <w:r w:rsidRPr="00251CE6">
        <w:rPr>
          <w:rFonts w:asciiTheme="majorBidi" w:hAnsiTheme="majorBidi" w:cstheme="majorBidi"/>
          <w:sz w:val="28"/>
          <w:szCs w:val="28"/>
        </w:rPr>
        <w:t xml:space="preserve">. Increasing the compressive strength of the concrete enhances the flexural stiffness of the component, significantly improving the cracking capacity and delaying the onset of the first crack. Figures 7, 8, and 9 show that the improvement in cracking </w:t>
      </w:r>
      <w:r w:rsidR="00B90A1B">
        <w:rPr>
          <w:rFonts w:asciiTheme="majorBidi" w:hAnsiTheme="majorBidi" w:cstheme="majorBidi"/>
          <w:sz w:val="28"/>
          <w:szCs w:val="28"/>
        </w:rPr>
        <w:t>load</w:t>
      </w:r>
      <w:r w:rsidRPr="00251CE6">
        <w:rPr>
          <w:rFonts w:asciiTheme="majorBidi" w:hAnsiTheme="majorBidi" w:cstheme="majorBidi"/>
          <w:sz w:val="28"/>
          <w:szCs w:val="28"/>
        </w:rPr>
        <w:t xml:space="preserve"> is approximately </w:t>
      </w:r>
      <w:r w:rsidR="00251CE6" w:rsidRPr="00251CE6">
        <w:rPr>
          <w:rFonts w:asciiTheme="majorBidi" w:hAnsiTheme="majorBidi" w:cstheme="majorBidi"/>
          <w:sz w:val="28"/>
          <w:szCs w:val="28"/>
        </w:rPr>
        <w:t>49.75</w:t>
      </w:r>
      <w:r w:rsidRPr="00251CE6">
        <w:rPr>
          <w:rFonts w:asciiTheme="majorBidi" w:hAnsiTheme="majorBidi" w:cstheme="majorBidi"/>
          <w:sz w:val="28"/>
          <w:szCs w:val="28"/>
        </w:rPr>
        <w:t xml:space="preserve">%, 30.01%, and </w:t>
      </w:r>
      <w:r w:rsidR="00251CE6" w:rsidRPr="00251CE6">
        <w:rPr>
          <w:rFonts w:asciiTheme="majorBidi" w:hAnsiTheme="majorBidi" w:cstheme="majorBidi"/>
          <w:sz w:val="28"/>
          <w:szCs w:val="28"/>
        </w:rPr>
        <w:t>39.08</w:t>
      </w:r>
      <w:r w:rsidRPr="00251CE6">
        <w:rPr>
          <w:rFonts w:asciiTheme="majorBidi" w:hAnsiTheme="majorBidi" w:cstheme="majorBidi"/>
          <w:sz w:val="28"/>
          <w:szCs w:val="28"/>
        </w:rPr>
        <w:t xml:space="preserve">% for </w:t>
      </w:r>
      <w:r w:rsidR="00AE44CC" w:rsidRPr="00251CE6">
        <w:rPr>
          <w:rFonts w:asciiTheme="majorBidi" w:hAnsiTheme="majorBidi" w:cstheme="majorBidi"/>
          <w:sz w:val="28"/>
          <w:szCs w:val="28"/>
        </w:rPr>
        <w:t xml:space="preserve">hybrid strength concrete </w:t>
      </w:r>
      <w:r w:rsidRPr="00251CE6">
        <w:rPr>
          <w:rFonts w:asciiTheme="majorBidi" w:hAnsiTheme="majorBidi" w:cstheme="majorBidi"/>
          <w:sz w:val="28"/>
          <w:szCs w:val="28"/>
        </w:rPr>
        <w:t xml:space="preserve">specimens CHy06M, CHyS6M, and CHyS3M, compared to </w:t>
      </w:r>
      <w:r w:rsidR="00AE44CC" w:rsidRPr="00251CE6">
        <w:rPr>
          <w:rFonts w:asciiTheme="majorBidi" w:hAnsiTheme="majorBidi" w:cstheme="majorBidi"/>
          <w:sz w:val="28"/>
          <w:szCs w:val="28"/>
        </w:rPr>
        <w:t>normal strength concrete</w:t>
      </w:r>
      <w:r w:rsidRPr="00251CE6">
        <w:rPr>
          <w:rFonts w:asciiTheme="majorBidi" w:hAnsiTheme="majorBidi" w:cstheme="majorBidi"/>
          <w:sz w:val="28"/>
          <w:szCs w:val="28"/>
        </w:rPr>
        <w:t xml:space="preserve"> specimens CN06M, CNS6M, and CNS3M</w:t>
      </w:r>
      <w:r w:rsidR="00AE44CC" w:rsidRPr="00251CE6">
        <w:rPr>
          <w:rFonts w:asciiTheme="majorBidi" w:hAnsiTheme="majorBidi" w:cstheme="majorBidi"/>
          <w:sz w:val="28"/>
          <w:szCs w:val="28"/>
        </w:rPr>
        <w:t xml:space="preserve"> respectively </w:t>
      </w:r>
      <w:r w:rsidRPr="00A65C61">
        <w:rPr>
          <w:rFonts w:asciiTheme="majorBidi" w:hAnsiTheme="majorBidi" w:cstheme="majorBidi"/>
          <w:color w:val="000000"/>
          <w:sz w:val="28"/>
          <w:szCs w:val="28"/>
        </w:rPr>
        <w:t>[18, 19, 20].</w:t>
      </w:r>
    </w:p>
    <w:p w14:paraId="5ACF11A6" w14:textId="77777777" w:rsidR="00AE44CC" w:rsidRPr="00A65C61" w:rsidRDefault="00AE44CC" w:rsidP="00AE44CC">
      <w:pPr>
        <w:autoSpaceDE w:val="0"/>
        <w:autoSpaceDN w:val="0"/>
        <w:bidi w:val="0"/>
        <w:adjustRightInd w:val="0"/>
        <w:spacing w:after="120"/>
        <w:jc w:val="both"/>
        <w:rPr>
          <w:rFonts w:asciiTheme="majorBidi" w:hAnsiTheme="majorBidi" w:cstheme="majorBidi"/>
          <w:color w:val="000000"/>
          <w:sz w:val="28"/>
          <w:szCs w:val="28"/>
        </w:rPr>
      </w:pPr>
    </w:p>
    <w:p w14:paraId="77F42CB5" w14:textId="3DDE46FF" w:rsidR="00094F6D" w:rsidRPr="00A65C61" w:rsidRDefault="00094F6D" w:rsidP="00094F6D">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noProof/>
          <w:sz w:val="28"/>
          <w:szCs w:val="28"/>
          <w:lang w:val="en-GB" w:eastAsia="en-GB"/>
        </w:rPr>
        <w:drawing>
          <wp:inline distT="0" distB="0" distL="0" distR="0" wp14:anchorId="135689B8" wp14:editId="79EE0C97">
            <wp:extent cx="4572000" cy="2743200"/>
            <wp:effectExtent l="0" t="0" r="19050" b="19050"/>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498CB9" w14:textId="48857C21"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b/>
          <w:bCs/>
          <w:sz w:val="28"/>
          <w:szCs w:val="28"/>
        </w:rPr>
        <w:t xml:space="preserve">Figure 7. </w:t>
      </w:r>
      <w:r w:rsidRPr="00A65C61">
        <w:rPr>
          <w:rFonts w:asciiTheme="majorBidi" w:hAnsiTheme="majorBidi" w:cstheme="majorBidi"/>
          <w:sz w:val="28"/>
          <w:szCs w:val="28"/>
        </w:rPr>
        <w:t xml:space="preserve">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 for corbels strengthened with steel plate</w:t>
      </w:r>
      <w:r w:rsidR="00761A79" w:rsidRPr="00A65C61">
        <w:rPr>
          <w:rFonts w:asciiTheme="majorBidi" w:hAnsiTheme="majorBidi" w:cstheme="majorBidi"/>
          <w:sz w:val="28"/>
          <w:szCs w:val="28"/>
        </w:rPr>
        <w:t xml:space="preserve">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0.3</w:t>
      </w:r>
    </w:p>
    <w:p w14:paraId="417A32FC" w14:textId="77777777" w:rsidR="00094F6D" w:rsidRPr="00A65C61" w:rsidRDefault="00094F6D" w:rsidP="00094F6D">
      <w:pPr>
        <w:bidi w:val="0"/>
        <w:spacing w:after="0"/>
        <w:jc w:val="center"/>
        <w:rPr>
          <w:rFonts w:asciiTheme="majorBidi" w:hAnsiTheme="majorBidi" w:cstheme="majorBidi"/>
          <w:sz w:val="28"/>
          <w:szCs w:val="28"/>
        </w:rPr>
      </w:pPr>
    </w:p>
    <w:p w14:paraId="6DAAD281" w14:textId="7F4E0CB2"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704A0532" wp14:editId="62B63032">
            <wp:extent cx="4572000" cy="2743200"/>
            <wp:effectExtent l="0" t="0" r="19050" b="19050"/>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227CE4" w14:textId="1883F625" w:rsidR="00094F6D" w:rsidRPr="00A65C61" w:rsidRDefault="00094F6D" w:rsidP="00AE44CC">
      <w:pPr>
        <w:bidi w:val="0"/>
        <w:spacing w:after="0"/>
        <w:jc w:val="center"/>
        <w:rPr>
          <w:rFonts w:asciiTheme="majorBidi" w:hAnsiTheme="majorBidi" w:cstheme="majorBidi"/>
          <w:sz w:val="28"/>
          <w:szCs w:val="28"/>
          <w:rtl/>
          <w:lang w:bidi="ar-IQ"/>
        </w:rPr>
      </w:pPr>
      <w:r w:rsidRPr="00A65C61">
        <w:rPr>
          <w:rFonts w:asciiTheme="majorBidi" w:hAnsiTheme="majorBidi" w:cstheme="majorBidi"/>
          <w:b/>
          <w:bCs/>
          <w:sz w:val="28"/>
          <w:szCs w:val="28"/>
        </w:rPr>
        <w:lastRenderedPageBreak/>
        <w:t>Figure 8.</w:t>
      </w:r>
      <w:r w:rsidRPr="00A65C61">
        <w:rPr>
          <w:rFonts w:asciiTheme="majorBidi" w:hAnsiTheme="majorBidi" w:cstheme="majorBidi"/>
          <w:sz w:val="28"/>
          <w:szCs w:val="28"/>
        </w:rPr>
        <w:t xml:space="preserve"> 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w:t>
      </w:r>
      <w:r w:rsidR="00761A79" w:rsidRPr="00A65C61">
        <w:rPr>
          <w:rFonts w:asciiTheme="majorBidi" w:hAnsiTheme="majorBidi" w:cstheme="majorBidi"/>
          <w:sz w:val="28"/>
          <w:szCs w:val="28"/>
        </w:rPr>
        <w:t xml:space="preserve"> for corbels without strengthening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0.6</w:t>
      </w:r>
    </w:p>
    <w:p w14:paraId="74A230CB" w14:textId="516527FA" w:rsidR="00094F6D" w:rsidRPr="00A65C61" w:rsidRDefault="00094F6D" w:rsidP="00094F6D">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30BB796A" wp14:editId="232D97F3">
            <wp:extent cx="4572000" cy="2743200"/>
            <wp:effectExtent l="0" t="0" r="19050" b="19050"/>
            <wp:docPr id="36"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CFB74C" w14:textId="5CDCCDEE" w:rsidR="00094F6D" w:rsidRPr="00A65C61" w:rsidRDefault="00094F6D" w:rsidP="00094F6D">
      <w:pPr>
        <w:bidi w:val="0"/>
        <w:spacing w:after="0"/>
        <w:jc w:val="center"/>
        <w:rPr>
          <w:rFonts w:asciiTheme="majorBidi" w:hAnsiTheme="majorBidi" w:cstheme="majorBidi"/>
          <w:sz w:val="28"/>
          <w:szCs w:val="28"/>
        </w:rPr>
      </w:pPr>
      <w:r w:rsidRPr="00A65C61">
        <w:rPr>
          <w:rFonts w:asciiTheme="majorBidi" w:hAnsiTheme="majorBidi" w:cstheme="majorBidi"/>
          <w:b/>
          <w:bCs/>
          <w:sz w:val="28"/>
          <w:szCs w:val="28"/>
        </w:rPr>
        <w:t>Figure 9.</w:t>
      </w:r>
      <w:r w:rsidRPr="00A65C61">
        <w:rPr>
          <w:rFonts w:asciiTheme="majorBidi" w:hAnsiTheme="majorBidi" w:cstheme="majorBidi"/>
          <w:sz w:val="28"/>
          <w:szCs w:val="28"/>
        </w:rPr>
        <w:t xml:space="preserve"> The Inﬂuence of concrete compressive strength on corbels cracking and </w:t>
      </w:r>
      <w:r w:rsidR="002E312D">
        <w:rPr>
          <w:rFonts w:asciiTheme="majorBidi" w:hAnsiTheme="majorBidi" w:cstheme="majorBidi"/>
          <w:sz w:val="28"/>
          <w:szCs w:val="28"/>
        </w:rPr>
        <w:t>ultimate</w:t>
      </w:r>
      <w:r w:rsidRPr="00A65C61">
        <w:rPr>
          <w:rFonts w:asciiTheme="majorBidi" w:hAnsiTheme="majorBidi" w:cstheme="majorBidi"/>
          <w:sz w:val="28"/>
          <w:szCs w:val="28"/>
        </w:rPr>
        <w:t xml:space="preserve"> loads </w:t>
      </w:r>
      <w:r w:rsidR="00761A79" w:rsidRPr="00A65C61">
        <w:rPr>
          <w:rFonts w:asciiTheme="majorBidi" w:hAnsiTheme="majorBidi" w:cstheme="majorBidi"/>
          <w:sz w:val="28"/>
          <w:szCs w:val="28"/>
        </w:rPr>
        <w:t xml:space="preserve">for corbels strengthened with steel plate and </w:t>
      </w:r>
      <w:r w:rsidR="005A34E5">
        <w:rPr>
          <w:rFonts w:asciiTheme="majorBidi" w:hAnsiTheme="majorBidi" w:cstheme="majorBidi"/>
          <w:sz w:val="28"/>
          <w:szCs w:val="28"/>
        </w:rPr>
        <w:t>(</w:t>
      </w:r>
      <w:r w:rsidR="00761A79" w:rsidRPr="00A65C61">
        <w:rPr>
          <w:rFonts w:asciiTheme="majorBidi" w:hAnsiTheme="majorBidi" w:cstheme="majorBidi"/>
          <w:sz w:val="28"/>
          <w:szCs w:val="28"/>
        </w:rPr>
        <w:t>a/d</w:t>
      </w:r>
      <w:r w:rsidR="005A34E5">
        <w:rPr>
          <w:rFonts w:asciiTheme="majorBidi" w:hAnsiTheme="majorBidi" w:cstheme="majorBidi"/>
          <w:sz w:val="28"/>
          <w:szCs w:val="28"/>
        </w:rPr>
        <w:t>)</w:t>
      </w:r>
      <w:r w:rsidR="00761A79" w:rsidRPr="00A65C61">
        <w:rPr>
          <w:rFonts w:asciiTheme="majorBidi" w:hAnsiTheme="majorBidi" w:cstheme="majorBidi"/>
          <w:sz w:val="28"/>
          <w:szCs w:val="28"/>
        </w:rPr>
        <w:t xml:space="preserve"> ratio of 0.6</w:t>
      </w:r>
    </w:p>
    <w:p w14:paraId="0DB397B5" w14:textId="77777777" w:rsidR="00094F6D" w:rsidRPr="00A65C61" w:rsidRDefault="00094F6D" w:rsidP="00094F6D">
      <w:pPr>
        <w:bidi w:val="0"/>
        <w:rPr>
          <w:rFonts w:asciiTheme="majorBidi" w:hAnsiTheme="majorBidi" w:cstheme="majorBidi"/>
          <w:sz w:val="28"/>
          <w:szCs w:val="28"/>
        </w:rPr>
      </w:pPr>
    </w:p>
    <w:p w14:paraId="0D4CB190" w14:textId="1EB95D91" w:rsidR="00BD43D4" w:rsidRPr="000D6E84" w:rsidRDefault="00BD43D4" w:rsidP="00BD43D4">
      <w:pPr>
        <w:autoSpaceDE w:val="0"/>
        <w:autoSpaceDN w:val="0"/>
        <w:bidi w:val="0"/>
        <w:adjustRightInd w:val="0"/>
        <w:spacing w:after="120"/>
        <w:jc w:val="both"/>
        <w:rPr>
          <w:rFonts w:asciiTheme="majorBidi" w:hAnsiTheme="majorBidi" w:cstheme="majorBidi"/>
          <w:b/>
          <w:bCs/>
          <w:sz w:val="28"/>
          <w:szCs w:val="28"/>
        </w:rPr>
      </w:pPr>
      <w:r w:rsidRPr="000D6E84">
        <w:rPr>
          <w:rFonts w:asciiTheme="majorBidi" w:hAnsiTheme="majorBidi" w:cstheme="majorBidi"/>
          <w:b/>
          <w:bCs/>
          <w:sz w:val="28"/>
          <w:szCs w:val="28"/>
        </w:rPr>
        <w:t>3.4 Inﬂuence of Steel Plate</w:t>
      </w:r>
      <w:r w:rsidR="000D6E84" w:rsidRPr="000D6E84">
        <w:rPr>
          <w:rFonts w:asciiTheme="majorBidi" w:hAnsiTheme="majorBidi" w:cstheme="majorBidi"/>
          <w:b/>
          <w:bCs/>
          <w:sz w:val="28"/>
          <w:szCs w:val="28"/>
        </w:rPr>
        <w:t>s</w:t>
      </w:r>
      <w:r w:rsidRPr="000D6E84">
        <w:rPr>
          <w:rFonts w:asciiTheme="majorBidi" w:hAnsiTheme="majorBidi" w:cstheme="majorBidi"/>
          <w:b/>
          <w:bCs/>
          <w:sz w:val="28"/>
          <w:szCs w:val="28"/>
        </w:rPr>
        <w:t xml:space="preserve"> on Cracking and Ultimate Loads</w:t>
      </w:r>
    </w:p>
    <w:p w14:paraId="6FDB3FAF" w14:textId="1C1B299C" w:rsidR="00B83DFE" w:rsidRPr="009A1892" w:rsidRDefault="005A34E5" w:rsidP="00B83DFE">
      <w:pPr>
        <w:pStyle w:val="NormalWeb"/>
        <w:jc w:val="both"/>
        <w:rPr>
          <w:rFonts w:asciiTheme="majorBidi" w:hAnsiTheme="majorBidi" w:cstheme="majorBidi"/>
          <w:sz w:val="28"/>
          <w:szCs w:val="28"/>
        </w:rPr>
      </w:pPr>
      <w:r w:rsidRPr="009A1892">
        <w:rPr>
          <w:rFonts w:asciiTheme="majorBidi" w:hAnsiTheme="majorBidi" w:cstheme="majorBidi"/>
          <w:sz w:val="28"/>
          <w:szCs w:val="28"/>
        </w:rPr>
        <w:t>Strengthening</w:t>
      </w:r>
      <w:r w:rsidR="00B83DFE" w:rsidRPr="009A1892">
        <w:rPr>
          <w:rFonts w:asciiTheme="majorBidi" w:hAnsiTheme="majorBidi" w:cstheme="majorBidi"/>
          <w:sz w:val="28"/>
          <w:szCs w:val="28"/>
        </w:rPr>
        <w:t xml:space="preserve"> concrete corbels with steel plates significantly enhances their performance and strength, leading to a notable increase in their ultimate load capacity</w:t>
      </w:r>
      <w:r w:rsidR="00397BC4" w:rsidRPr="009A1892">
        <w:rPr>
          <w:rFonts w:asciiTheme="majorBidi" w:hAnsiTheme="majorBidi" w:cstheme="majorBidi"/>
          <w:sz w:val="28"/>
          <w:szCs w:val="28"/>
        </w:rPr>
        <w:t xml:space="preserve"> regardless of concrete type used</w:t>
      </w:r>
      <w:r w:rsidR="00B83DFE" w:rsidRPr="009A1892">
        <w:rPr>
          <w:rFonts w:asciiTheme="majorBidi" w:hAnsiTheme="majorBidi" w:cstheme="majorBidi"/>
          <w:sz w:val="28"/>
          <w:szCs w:val="28"/>
        </w:rPr>
        <w:t xml:space="preserve">. Additionally, </w:t>
      </w:r>
      <w:r w:rsidR="000D6E84" w:rsidRPr="009A1892">
        <w:rPr>
          <w:rFonts w:asciiTheme="majorBidi" w:hAnsiTheme="majorBidi" w:cstheme="majorBidi"/>
          <w:sz w:val="28"/>
          <w:szCs w:val="28"/>
        </w:rPr>
        <w:t>these strengthening delays</w:t>
      </w:r>
      <w:r w:rsidR="00B83DFE" w:rsidRPr="009A1892">
        <w:rPr>
          <w:rFonts w:asciiTheme="majorBidi" w:hAnsiTheme="majorBidi" w:cstheme="majorBidi"/>
          <w:sz w:val="28"/>
          <w:szCs w:val="28"/>
        </w:rPr>
        <w:t xml:space="preserve"> the appearance of the first crack, further demonstrating its effectiveness [17]. The results indicate improvements in ultimate loads of approximately 24.78% </w:t>
      </w:r>
      <w:r w:rsidR="00B1358C" w:rsidRPr="009A1892">
        <w:rPr>
          <w:rFonts w:asciiTheme="majorBidi" w:hAnsiTheme="majorBidi" w:cstheme="majorBidi"/>
          <w:sz w:val="28"/>
          <w:szCs w:val="28"/>
        </w:rPr>
        <w:t xml:space="preserve">for specimen CNS6M compared to CN06M, </w:t>
      </w:r>
      <w:r w:rsidR="00B83DFE" w:rsidRPr="009A1892">
        <w:rPr>
          <w:rFonts w:asciiTheme="majorBidi" w:hAnsiTheme="majorBidi" w:cstheme="majorBidi"/>
          <w:sz w:val="28"/>
          <w:szCs w:val="28"/>
        </w:rPr>
        <w:t>and 19.24%</w:t>
      </w:r>
      <w:r w:rsidR="00B1358C" w:rsidRPr="009A1892">
        <w:rPr>
          <w:rFonts w:asciiTheme="majorBidi" w:hAnsiTheme="majorBidi" w:cstheme="majorBidi"/>
          <w:sz w:val="28"/>
          <w:szCs w:val="28"/>
        </w:rPr>
        <w:t xml:space="preserve"> for specimen</w:t>
      </w:r>
      <w:r w:rsidR="0081177B" w:rsidRPr="009A1892">
        <w:rPr>
          <w:rFonts w:asciiTheme="majorBidi" w:hAnsiTheme="majorBidi" w:cstheme="majorBidi"/>
          <w:sz w:val="28"/>
          <w:szCs w:val="28"/>
        </w:rPr>
        <w:t>s</w:t>
      </w:r>
      <w:r w:rsidR="00B1358C" w:rsidRPr="009A1892">
        <w:rPr>
          <w:rFonts w:asciiTheme="majorBidi" w:hAnsiTheme="majorBidi" w:cstheme="majorBidi"/>
          <w:sz w:val="28"/>
          <w:szCs w:val="28"/>
        </w:rPr>
        <w:t xml:space="preserve"> CHyS6M compared to CHy06M. C</w:t>
      </w:r>
      <w:r w:rsidR="00B83DFE" w:rsidRPr="009A1892">
        <w:rPr>
          <w:rFonts w:asciiTheme="majorBidi" w:hAnsiTheme="majorBidi" w:cstheme="majorBidi"/>
          <w:sz w:val="28"/>
          <w:szCs w:val="28"/>
        </w:rPr>
        <w:t>racking load</w:t>
      </w:r>
      <w:r w:rsidR="00B1358C" w:rsidRPr="009A1892">
        <w:rPr>
          <w:rFonts w:asciiTheme="majorBidi" w:hAnsiTheme="majorBidi" w:cstheme="majorBidi"/>
          <w:sz w:val="28"/>
          <w:szCs w:val="28"/>
        </w:rPr>
        <w:t>s al</w:t>
      </w:r>
      <w:r w:rsidR="0081177B" w:rsidRPr="009A1892">
        <w:rPr>
          <w:rFonts w:asciiTheme="majorBidi" w:hAnsiTheme="majorBidi" w:cstheme="majorBidi"/>
          <w:sz w:val="28"/>
          <w:szCs w:val="28"/>
        </w:rPr>
        <w:t xml:space="preserve">so </w:t>
      </w:r>
      <w:r w:rsidR="00B1358C" w:rsidRPr="009A1892">
        <w:rPr>
          <w:rFonts w:asciiTheme="majorBidi" w:hAnsiTheme="majorBidi" w:cstheme="majorBidi"/>
          <w:sz w:val="28"/>
          <w:szCs w:val="28"/>
        </w:rPr>
        <w:t>increase</w:t>
      </w:r>
      <w:r w:rsidR="0081177B" w:rsidRPr="009A1892">
        <w:rPr>
          <w:rFonts w:asciiTheme="majorBidi" w:hAnsiTheme="majorBidi" w:cstheme="majorBidi"/>
          <w:sz w:val="28"/>
          <w:szCs w:val="28"/>
        </w:rPr>
        <w:t>d</w:t>
      </w:r>
      <w:r w:rsidR="00B1358C" w:rsidRPr="009A1892">
        <w:rPr>
          <w:rFonts w:asciiTheme="majorBidi" w:hAnsiTheme="majorBidi" w:cstheme="majorBidi"/>
          <w:sz w:val="28"/>
          <w:szCs w:val="28"/>
        </w:rPr>
        <w:t xml:space="preserve"> </w:t>
      </w:r>
      <w:r w:rsidR="00B83DFE" w:rsidRPr="009A1892">
        <w:rPr>
          <w:rFonts w:asciiTheme="majorBidi" w:hAnsiTheme="majorBidi" w:cstheme="majorBidi"/>
          <w:sz w:val="28"/>
          <w:szCs w:val="28"/>
        </w:rPr>
        <w:t>around 66.</w:t>
      </w:r>
      <w:r w:rsidR="0081177B" w:rsidRPr="009A1892">
        <w:rPr>
          <w:rFonts w:asciiTheme="majorBidi" w:hAnsiTheme="majorBidi" w:cstheme="majorBidi"/>
          <w:sz w:val="28"/>
          <w:szCs w:val="28"/>
        </w:rPr>
        <w:t>5</w:t>
      </w:r>
      <w:r w:rsidR="00B83DFE" w:rsidRPr="009A1892">
        <w:rPr>
          <w:rFonts w:asciiTheme="majorBidi" w:hAnsiTheme="majorBidi" w:cstheme="majorBidi"/>
          <w:sz w:val="28"/>
          <w:szCs w:val="28"/>
        </w:rPr>
        <w:t>% and 44.5</w:t>
      </w:r>
      <w:r w:rsidR="0081177B" w:rsidRPr="009A1892">
        <w:rPr>
          <w:rFonts w:asciiTheme="majorBidi" w:hAnsiTheme="majorBidi" w:cstheme="majorBidi"/>
          <w:sz w:val="28"/>
          <w:szCs w:val="28"/>
        </w:rPr>
        <w:t>5</w:t>
      </w:r>
      <w:r w:rsidR="00B83DFE" w:rsidRPr="009A1892">
        <w:rPr>
          <w:rFonts w:asciiTheme="majorBidi" w:hAnsiTheme="majorBidi" w:cstheme="majorBidi"/>
          <w:sz w:val="28"/>
          <w:szCs w:val="28"/>
        </w:rPr>
        <w:t>%, for specimens CN</w:t>
      </w:r>
      <w:r w:rsidR="0081177B" w:rsidRPr="009A1892">
        <w:rPr>
          <w:rFonts w:asciiTheme="majorBidi" w:hAnsiTheme="majorBidi" w:cstheme="majorBidi"/>
          <w:sz w:val="28"/>
          <w:szCs w:val="28"/>
        </w:rPr>
        <w:t>S</w:t>
      </w:r>
      <w:r w:rsidR="00B83DFE" w:rsidRPr="009A1892">
        <w:rPr>
          <w:rFonts w:asciiTheme="majorBidi" w:hAnsiTheme="majorBidi" w:cstheme="majorBidi"/>
          <w:sz w:val="28"/>
          <w:szCs w:val="28"/>
        </w:rPr>
        <w:t>6M</w:t>
      </w:r>
      <w:r w:rsidR="0081177B" w:rsidRPr="009A1892">
        <w:rPr>
          <w:rFonts w:asciiTheme="majorBidi" w:hAnsiTheme="majorBidi" w:cstheme="majorBidi"/>
          <w:sz w:val="28"/>
          <w:szCs w:val="28"/>
        </w:rPr>
        <w:t xml:space="preserve"> and CHyS6M</w:t>
      </w:r>
      <w:r w:rsidR="00B83DFE" w:rsidRPr="009A1892">
        <w:rPr>
          <w:rFonts w:asciiTheme="majorBidi" w:hAnsiTheme="majorBidi" w:cstheme="majorBidi"/>
          <w:sz w:val="28"/>
          <w:szCs w:val="28"/>
        </w:rPr>
        <w:t xml:space="preserve">, </w:t>
      </w:r>
      <w:r w:rsidR="0081177B" w:rsidRPr="009A1892">
        <w:rPr>
          <w:rFonts w:asciiTheme="majorBidi" w:hAnsiTheme="majorBidi" w:cstheme="majorBidi"/>
          <w:sz w:val="28"/>
          <w:szCs w:val="28"/>
        </w:rPr>
        <w:t xml:space="preserve">compared to specimens CN06M and CHy06M, </w:t>
      </w:r>
      <w:r w:rsidR="00B83DFE" w:rsidRPr="009A1892">
        <w:rPr>
          <w:rFonts w:asciiTheme="majorBidi" w:hAnsiTheme="majorBidi" w:cstheme="majorBidi"/>
          <w:sz w:val="28"/>
          <w:szCs w:val="28"/>
        </w:rPr>
        <w:t>respectively, as illustrated in Figures 10 and 11.</w:t>
      </w:r>
    </w:p>
    <w:p w14:paraId="49270373" w14:textId="0CAD5B76" w:rsidR="00B83DFE" w:rsidRPr="00B83DFE" w:rsidRDefault="00B83DFE" w:rsidP="00B83DFE">
      <w:pPr>
        <w:pStyle w:val="NormalWeb"/>
        <w:jc w:val="both"/>
        <w:rPr>
          <w:rFonts w:asciiTheme="majorBidi" w:hAnsiTheme="majorBidi" w:cstheme="majorBidi"/>
          <w:sz w:val="28"/>
          <w:szCs w:val="28"/>
        </w:rPr>
      </w:pPr>
      <w:r w:rsidRPr="00B83DFE">
        <w:rPr>
          <w:rFonts w:asciiTheme="majorBidi" w:hAnsiTheme="majorBidi" w:cstheme="majorBidi"/>
          <w:sz w:val="28"/>
          <w:szCs w:val="28"/>
        </w:rPr>
        <w:t xml:space="preserve">Given the affordability of steel plates and their ease of application to concrete compared to other materials, </w:t>
      </w:r>
      <w:r w:rsidR="0098055D" w:rsidRPr="00A65C61">
        <w:rPr>
          <w:rFonts w:asciiTheme="majorBidi" w:hAnsiTheme="majorBidi" w:cstheme="majorBidi"/>
          <w:sz w:val="28"/>
          <w:szCs w:val="28"/>
        </w:rPr>
        <w:t>the authors</w:t>
      </w:r>
      <w:r w:rsidRPr="00B83DFE">
        <w:rPr>
          <w:rFonts w:asciiTheme="majorBidi" w:hAnsiTheme="majorBidi" w:cstheme="majorBidi"/>
          <w:sz w:val="28"/>
          <w:szCs w:val="28"/>
        </w:rPr>
        <w:t xml:space="preserve"> recommend their use for strengthening corbel models in future research and practical applications.</w:t>
      </w:r>
    </w:p>
    <w:p w14:paraId="1271512A" w14:textId="78BC3BC0" w:rsidR="003620BB" w:rsidRPr="00A65C61" w:rsidRDefault="003620BB" w:rsidP="003620BB">
      <w:pPr>
        <w:pStyle w:val="NormalWeb"/>
        <w:jc w:val="both"/>
        <w:rPr>
          <w:rFonts w:asciiTheme="majorBidi" w:hAnsiTheme="majorBidi" w:cstheme="majorBidi"/>
          <w:color w:val="252525"/>
          <w:sz w:val="28"/>
          <w:szCs w:val="28"/>
        </w:rPr>
      </w:pPr>
    </w:p>
    <w:p w14:paraId="75656FF4" w14:textId="3BB824DC" w:rsidR="00BD43D4" w:rsidRPr="00A65C61" w:rsidRDefault="003620BB" w:rsidP="003620BB">
      <w:pPr>
        <w:autoSpaceDE w:val="0"/>
        <w:autoSpaceDN w:val="0"/>
        <w:bidi w:val="0"/>
        <w:adjustRightInd w:val="0"/>
        <w:spacing w:after="120"/>
        <w:jc w:val="center"/>
        <w:rPr>
          <w:rFonts w:asciiTheme="majorBidi" w:hAnsiTheme="majorBidi" w:cstheme="majorBidi"/>
          <w:color w:val="000000"/>
          <w:sz w:val="28"/>
          <w:szCs w:val="28"/>
        </w:rPr>
      </w:pPr>
      <w:r w:rsidRPr="00A65C61">
        <w:rPr>
          <w:rFonts w:asciiTheme="majorBidi" w:hAnsiTheme="majorBidi" w:cstheme="majorBidi"/>
          <w:noProof/>
          <w:sz w:val="28"/>
          <w:szCs w:val="28"/>
          <w:lang w:val="en-GB" w:eastAsia="en-GB"/>
        </w:rPr>
        <w:lastRenderedPageBreak/>
        <w:drawing>
          <wp:inline distT="0" distB="0" distL="0" distR="0" wp14:anchorId="226AD1AF" wp14:editId="76FADE2B">
            <wp:extent cx="4599432" cy="2724912"/>
            <wp:effectExtent l="0" t="0" r="10795" b="18415"/>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F08E85" w14:textId="37B6906B"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10.</w:t>
      </w:r>
      <w:r w:rsidRPr="00A65C61">
        <w:rPr>
          <w:rFonts w:asciiTheme="majorBidi" w:hAnsiTheme="majorBidi" w:cstheme="majorBidi"/>
          <w:sz w:val="28"/>
          <w:szCs w:val="28"/>
        </w:rPr>
        <w:t xml:space="preserve"> The Inﬂuence of steel plate on cracking and </w:t>
      </w:r>
      <w:r w:rsidR="005313A5">
        <w:rPr>
          <w:rFonts w:asciiTheme="majorBidi" w:hAnsiTheme="majorBidi" w:cstheme="majorBidi"/>
          <w:sz w:val="28"/>
          <w:szCs w:val="28"/>
        </w:rPr>
        <w:t>ultimate</w:t>
      </w:r>
      <w:r w:rsidRPr="00A65C61">
        <w:rPr>
          <w:rFonts w:asciiTheme="majorBidi" w:hAnsiTheme="majorBidi" w:cstheme="majorBidi"/>
          <w:sz w:val="28"/>
          <w:szCs w:val="28"/>
        </w:rPr>
        <w:t xml:space="preserve"> loads for hybrid strength concrete corbels</w:t>
      </w:r>
    </w:p>
    <w:p w14:paraId="26DD6E21"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p>
    <w:p w14:paraId="21F9B4AB" w14:textId="30D456B2"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drawing>
          <wp:inline distT="0" distB="0" distL="0" distR="0" wp14:anchorId="5D0EC8B3" wp14:editId="1B36534C">
            <wp:extent cx="4598377" cy="2725616"/>
            <wp:effectExtent l="0" t="0" r="12065" b="17780"/>
            <wp:docPr id="34" name="مخطط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A5775C"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b/>
          <w:bCs/>
          <w:sz w:val="28"/>
          <w:szCs w:val="28"/>
        </w:rPr>
      </w:pPr>
    </w:p>
    <w:p w14:paraId="3D66BE54" w14:textId="35E7034B"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11.</w:t>
      </w:r>
      <w:r w:rsidRPr="00A65C61">
        <w:rPr>
          <w:rFonts w:asciiTheme="majorBidi" w:hAnsiTheme="majorBidi" w:cstheme="majorBidi"/>
          <w:sz w:val="28"/>
          <w:szCs w:val="28"/>
        </w:rPr>
        <w:t xml:space="preserve"> The Inﬂuence of steel plate on cracking and </w:t>
      </w:r>
      <w:r w:rsidR="005313A5">
        <w:rPr>
          <w:rFonts w:asciiTheme="majorBidi" w:hAnsiTheme="majorBidi" w:cstheme="majorBidi"/>
          <w:sz w:val="28"/>
          <w:szCs w:val="28"/>
        </w:rPr>
        <w:t>ultimate</w:t>
      </w:r>
      <w:r w:rsidRPr="00A65C61">
        <w:rPr>
          <w:rFonts w:asciiTheme="majorBidi" w:hAnsiTheme="majorBidi" w:cstheme="majorBidi"/>
          <w:sz w:val="28"/>
          <w:szCs w:val="28"/>
        </w:rPr>
        <w:t xml:space="preserve"> loads for normal strength concrete corbels</w:t>
      </w:r>
    </w:p>
    <w:p w14:paraId="499CEB32" w14:textId="77777777" w:rsidR="003620BB" w:rsidRPr="00A65C61" w:rsidRDefault="003620BB" w:rsidP="003620BB">
      <w:pPr>
        <w:autoSpaceDE w:val="0"/>
        <w:autoSpaceDN w:val="0"/>
        <w:bidi w:val="0"/>
        <w:adjustRightInd w:val="0"/>
        <w:spacing w:after="0" w:line="240" w:lineRule="auto"/>
        <w:jc w:val="center"/>
        <w:rPr>
          <w:rFonts w:asciiTheme="majorBidi" w:hAnsiTheme="majorBidi" w:cstheme="majorBidi"/>
          <w:sz w:val="28"/>
          <w:szCs w:val="28"/>
        </w:rPr>
      </w:pPr>
    </w:p>
    <w:p w14:paraId="54B66CF1" w14:textId="505A1A1F" w:rsidR="0049297C" w:rsidRPr="00A65C61" w:rsidRDefault="003620BB" w:rsidP="0049297C">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3.5 Load Deflection Relationship</w:t>
      </w:r>
    </w:p>
    <w:p w14:paraId="52386699" w14:textId="01EE7F0F" w:rsidR="00AA40B7" w:rsidRPr="00A65C61" w:rsidRDefault="0098055D" w:rsidP="00AA40B7">
      <w:pPr>
        <w:autoSpaceDE w:val="0"/>
        <w:autoSpaceDN w:val="0"/>
        <w:bidi w:val="0"/>
        <w:adjustRightInd w:val="0"/>
        <w:spacing w:after="0"/>
        <w:jc w:val="both"/>
        <w:rPr>
          <w:rFonts w:asciiTheme="majorBidi" w:hAnsiTheme="majorBidi" w:cstheme="majorBidi"/>
          <w:sz w:val="28"/>
          <w:szCs w:val="28"/>
        </w:rPr>
      </w:pPr>
      <w:r w:rsidRPr="00A65C61">
        <w:rPr>
          <w:rFonts w:asciiTheme="majorBidi" w:hAnsiTheme="majorBidi" w:cstheme="majorBidi"/>
          <w:sz w:val="28"/>
          <w:szCs w:val="28"/>
        </w:rPr>
        <w:t>The</w:t>
      </w:r>
      <w:r w:rsidR="00AA40B7" w:rsidRPr="00A65C61">
        <w:rPr>
          <w:rFonts w:asciiTheme="majorBidi" w:hAnsiTheme="majorBidi" w:cstheme="majorBidi"/>
          <w:sz w:val="28"/>
          <w:szCs w:val="28"/>
        </w:rPr>
        <w:t xml:space="preserve"> load-displacement responses for specimens CN06M, CNS6M, CNS3M, CHy06M, CHyS6M, and CHyS3M are presented in Figures 1</w:t>
      </w:r>
      <w:r w:rsidR="00D50AAD">
        <w:rPr>
          <w:rFonts w:asciiTheme="majorBidi" w:hAnsiTheme="majorBidi" w:cstheme="majorBidi"/>
          <w:sz w:val="28"/>
          <w:szCs w:val="28"/>
        </w:rPr>
        <w:t xml:space="preserve">3 and </w:t>
      </w:r>
      <w:r w:rsidR="00AA40B7" w:rsidRPr="00A65C61">
        <w:rPr>
          <w:rFonts w:asciiTheme="majorBidi" w:hAnsiTheme="majorBidi" w:cstheme="majorBidi"/>
          <w:sz w:val="28"/>
          <w:szCs w:val="28"/>
        </w:rPr>
        <w:t xml:space="preserve">16. Testing was terminated when the specimens exhibited failure, as indicated by visible damage, an inability to increase the load further, or a load drop accompanied by increased deflection. The recorded deflection corresponds to the movements of the loading jack, which </w:t>
      </w:r>
      <w:r w:rsidR="008D136F" w:rsidRPr="00A65C61">
        <w:rPr>
          <w:rFonts w:asciiTheme="majorBidi" w:hAnsiTheme="majorBidi" w:cstheme="majorBidi"/>
          <w:sz w:val="28"/>
          <w:szCs w:val="28"/>
        </w:rPr>
        <w:t>reflects</w:t>
      </w:r>
      <w:r w:rsidR="00AA40B7" w:rsidRPr="00A65C61">
        <w:rPr>
          <w:rFonts w:asciiTheme="majorBidi" w:hAnsiTheme="majorBidi" w:cstheme="majorBidi"/>
          <w:sz w:val="28"/>
          <w:szCs w:val="28"/>
        </w:rPr>
        <w:t xml:space="preserve"> the deflection at the center of the column supporting the double corbels.</w:t>
      </w:r>
    </w:p>
    <w:p w14:paraId="5FBC267A" w14:textId="77777777" w:rsidR="0098055D" w:rsidRPr="0098055D" w:rsidRDefault="0098055D" w:rsidP="0098055D">
      <w:pPr>
        <w:autoSpaceDE w:val="0"/>
        <w:autoSpaceDN w:val="0"/>
        <w:bidi w:val="0"/>
        <w:adjustRightInd w:val="0"/>
        <w:spacing w:after="0"/>
        <w:jc w:val="both"/>
        <w:rPr>
          <w:rFonts w:asciiTheme="majorBidi" w:eastAsia="Times New Roman" w:hAnsiTheme="majorBidi" w:cstheme="majorBidi"/>
          <w:sz w:val="28"/>
          <w:szCs w:val="28"/>
        </w:rPr>
      </w:pPr>
      <w:r w:rsidRPr="0098055D">
        <w:rPr>
          <w:rFonts w:asciiTheme="majorBidi" w:eastAsia="Times New Roman" w:hAnsiTheme="majorBidi" w:cstheme="majorBidi"/>
          <w:sz w:val="28"/>
          <w:szCs w:val="28"/>
        </w:rPr>
        <w:lastRenderedPageBreak/>
        <w:t>The corresponding displacement curves exhibited a linear shape with a nearly constant slope in the initial stages of loading, consistent with the specimens being in their elastic phase. As the first cracks formed, the curves transitioned to a nonlinear shape with varying slopes. This nonlinear behavior persisted as the load increased until failure occurred.</w:t>
      </w:r>
    </w:p>
    <w:p w14:paraId="501D1134" w14:textId="35C8EF56" w:rsidR="0098055D" w:rsidRPr="0098055D" w:rsidRDefault="0098055D" w:rsidP="0098055D">
      <w:pPr>
        <w:autoSpaceDE w:val="0"/>
        <w:autoSpaceDN w:val="0"/>
        <w:bidi w:val="0"/>
        <w:adjustRightInd w:val="0"/>
        <w:spacing w:after="0"/>
        <w:jc w:val="both"/>
        <w:rPr>
          <w:rFonts w:asciiTheme="majorBidi" w:eastAsia="Times New Roman" w:hAnsiTheme="majorBidi" w:cstheme="majorBidi"/>
          <w:sz w:val="28"/>
          <w:szCs w:val="28"/>
        </w:rPr>
      </w:pPr>
      <w:r w:rsidRPr="0098055D">
        <w:rPr>
          <w:rFonts w:asciiTheme="majorBidi" w:eastAsia="Times New Roman" w:hAnsiTheme="majorBidi" w:cstheme="majorBidi"/>
          <w:sz w:val="28"/>
          <w:szCs w:val="28"/>
        </w:rPr>
        <w:t>Figures 1</w:t>
      </w:r>
      <w:r w:rsidR="00D50AAD">
        <w:rPr>
          <w:rFonts w:asciiTheme="majorBidi" w:eastAsia="Times New Roman" w:hAnsiTheme="majorBidi" w:cstheme="majorBidi"/>
          <w:sz w:val="28"/>
          <w:szCs w:val="28"/>
        </w:rPr>
        <w:t>2</w:t>
      </w:r>
      <w:r w:rsidRPr="0098055D">
        <w:rPr>
          <w:rFonts w:asciiTheme="majorBidi" w:eastAsia="Times New Roman" w:hAnsiTheme="majorBidi" w:cstheme="majorBidi"/>
          <w:sz w:val="28"/>
          <w:szCs w:val="28"/>
        </w:rPr>
        <w:t>, 14, and 1</w:t>
      </w:r>
      <w:r w:rsidR="00D50AAD">
        <w:rPr>
          <w:rFonts w:asciiTheme="majorBidi" w:eastAsia="Times New Roman" w:hAnsiTheme="majorBidi" w:cstheme="majorBidi"/>
          <w:sz w:val="28"/>
          <w:szCs w:val="28"/>
        </w:rPr>
        <w:t>5</w:t>
      </w:r>
      <w:r w:rsidRPr="0098055D">
        <w:rPr>
          <w:rFonts w:asciiTheme="majorBidi" w:eastAsia="Times New Roman" w:hAnsiTheme="majorBidi" w:cstheme="majorBidi"/>
          <w:sz w:val="28"/>
          <w:szCs w:val="28"/>
        </w:rPr>
        <w:t xml:space="preserve"> illustrate the effects of concrete type, steel plate reinforcement, and the shear span-to-effective depth ratio (a/d) on the performance and behavior of the corbels.</w:t>
      </w:r>
    </w:p>
    <w:p w14:paraId="035CCFE2" w14:textId="77777777" w:rsidR="00A77F05" w:rsidRPr="00A65C61" w:rsidRDefault="00A77F05" w:rsidP="00A77F05">
      <w:pPr>
        <w:autoSpaceDE w:val="0"/>
        <w:autoSpaceDN w:val="0"/>
        <w:adjustRightInd w:val="0"/>
        <w:spacing w:after="0" w:line="240" w:lineRule="auto"/>
        <w:jc w:val="center"/>
        <w:rPr>
          <w:rFonts w:asciiTheme="majorBidi" w:hAnsiTheme="majorBidi" w:cstheme="majorBidi"/>
          <w:b/>
          <w:bCs/>
          <w:sz w:val="28"/>
          <w:szCs w:val="28"/>
        </w:rPr>
      </w:pPr>
      <w:r w:rsidRPr="00A65C61">
        <w:rPr>
          <w:rFonts w:asciiTheme="majorBidi" w:hAnsiTheme="majorBidi" w:cstheme="majorBidi"/>
          <w:b/>
          <w:bCs/>
          <w:noProof/>
          <w:color w:val="000000"/>
          <w:sz w:val="28"/>
          <w:szCs w:val="28"/>
          <w:lang w:val="en-GB" w:eastAsia="en-GB"/>
        </w:rPr>
        <w:drawing>
          <wp:inline distT="0" distB="0" distL="0" distR="0" wp14:anchorId="609424A5" wp14:editId="338FEABF">
            <wp:extent cx="4097216" cy="3121269"/>
            <wp:effectExtent l="0" t="0" r="17780" b="317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65C61">
        <w:rPr>
          <w:rFonts w:asciiTheme="majorBidi" w:hAnsiTheme="majorBidi" w:cstheme="majorBidi"/>
          <w:sz w:val="28"/>
          <w:szCs w:val="28"/>
          <w:rtl/>
        </w:rPr>
        <w:br w:type="textWrapping" w:clear="all"/>
      </w:r>
    </w:p>
    <w:p w14:paraId="5F2B24A9" w14:textId="54B45400"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Figure 12.</w:t>
      </w:r>
      <w:r w:rsidRPr="00A65C61">
        <w:rPr>
          <w:rFonts w:asciiTheme="majorBidi" w:hAnsiTheme="majorBidi" w:cstheme="majorBidi"/>
          <w:sz w:val="28"/>
          <w:szCs w:val="28"/>
        </w:rPr>
        <w:t xml:space="preserve"> The Inﬂuence of type of concrete on the load deflection response for corbels strengthened with steel plate and (a/d) ratio of 0.3</w:t>
      </w:r>
    </w:p>
    <w:p w14:paraId="152A444F" w14:textId="77777777"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p>
    <w:p w14:paraId="344ED8A4" w14:textId="77EE0CFE" w:rsidR="00A77F05" w:rsidRPr="00A65C61" w:rsidRDefault="00A77F05" w:rsidP="00A77F05">
      <w:pPr>
        <w:bidi w:val="0"/>
        <w:jc w:val="center"/>
        <w:rPr>
          <w:rFonts w:asciiTheme="majorBidi" w:hAnsiTheme="majorBidi" w:cstheme="majorBidi"/>
          <w:b/>
          <w:bCs/>
          <w:noProof/>
          <w:color w:val="000000"/>
          <w:sz w:val="28"/>
          <w:szCs w:val="28"/>
        </w:rPr>
      </w:pPr>
      <w:r w:rsidRPr="00A65C61">
        <w:rPr>
          <w:rFonts w:asciiTheme="majorBidi" w:hAnsiTheme="majorBidi" w:cstheme="majorBidi"/>
          <w:b/>
          <w:bCs/>
          <w:noProof/>
          <w:color w:val="000000"/>
          <w:sz w:val="28"/>
          <w:szCs w:val="28"/>
          <w:lang w:val="en-GB" w:eastAsia="en-GB"/>
        </w:rPr>
        <w:drawing>
          <wp:inline distT="0" distB="0" distL="0" distR="0" wp14:anchorId="027555DA" wp14:editId="5182A741">
            <wp:extent cx="4378569" cy="3121270"/>
            <wp:effectExtent l="57150" t="0" r="60325" b="117475"/>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673F9" w14:textId="0781D625" w:rsidR="00A77F05" w:rsidRPr="00A65C61" w:rsidRDefault="00A77F05" w:rsidP="00836483">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lastRenderedPageBreak/>
        <w:t>Figure 13.</w:t>
      </w:r>
      <w:r w:rsidRPr="00A65C61">
        <w:rPr>
          <w:rFonts w:asciiTheme="majorBidi" w:hAnsiTheme="majorBidi" w:cstheme="majorBidi"/>
          <w:sz w:val="28"/>
          <w:szCs w:val="28"/>
        </w:rPr>
        <w:t xml:space="preserve"> The Inﬂuence of (a/d) ratio on load- deflection response for normal strength concrete corbels strengthened with steel plate</w:t>
      </w:r>
    </w:p>
    <w:p w14:paraId="33FA9CFB" w14:textId="30651311" w:rsidR="00A77F05" w:rsidRPr="00A65C61" w:rsidRDefault="00A77F05" w:rsidP="00A77F05">
      <w:pPr>
        <w:bidi w:val="0"/>
        <w:jc w:val="center"/>
        <w:rPr>
          <w:rFonts w:asciiTheme="majorBidi" w:hAnsiTheme="majorBidi" w:cstheme="majorBidi"/>
          <w:sz w:val="28"/>
          <w:szCs w:val="28"/>
        </w:rPr>
      </w:pPr>
      <w:r w:rsidRPr="00A65C61">
        <w:rPr>
          <w:rFonts w:asciiTheme="majorBidi" w:hAnsiTheme="majorBidi" w:cstheme="majorBidi"/>
          <w:b/>
          <w:bCs/>
          <w:noProof/>
          <w:color w:val="000000"/>
          <w:sz w:val="28"/>
          <w:szCs w:val="28"/>
          <w:lang w:val="en-GB" w:eastAsia="en-GB"/>
        </w:rPr>
        <w:drawing>
          <wp:inline distT="0" distB="0" distL="0" distR="0" wp14:anchorId="30994167" wp14:editId="0A513DC6">
            <wp:extent cx="4167554" cy="3217984"/>
            <wp:effectExtent l="0" t="0" r="4445" b="1905"/>
            <wp:docPr id="27" name="مخطط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E4A7C0" w14:textId="20104022" w:rsidR="00A77F05" w:rsidRPr="00A65C61" w:rsidRDefault="00A77F05" w:rsidP="00A77F05">
      <w:pPr>
        <w:tabs>
          <w:tab w:val="left" w:pos="1047"/>
        </w:tabs>
        <w:bidi w:val="0"/>
        <w:jc w:val="center"/>
        <w:rPr>
          <w:rFonts w:asciiTheme="majorBidi" w:hAnsiTheme="majorBidi" w:cstheme="majorBidi"/>
          <w:sz w:val="28"/>
          <w:szCs w:val="28"/>
        </w:rPr>
      </w:pPr>
      <w:r w:rsidRPr="00A65C61">
        <w:rPr>
          <w:rFonts w:asciiTheme="majorBidi" w:hAnsiTheme="majorBidi" w:cstheme="majorBidi"/>
          <w:b/>
          <w:bCs/>
          <w:sz w:val="28"/>
          <w:szCs w:val="28"/>
        </w:rPr>
        <w:t>Figure 14.</w:t>
      </w:r>
      <w:r w:rsidRPr="00A65C61">
        <w:rPr>
          <w:rFonts w:asciiTheme="majorBidi" w:hAnsiTheme="majorBidi" w:cstheme="majorBidi"/>
          <w:sz w:val="28"/>
          <w:szCs w:val="28"/>
        </w:rPr>
        <w:t xml:space="preserve"> The Inﬂuence of type of concrete on the load deflection response for corbels strengthened with steel plate and (a/d) ratio of 0.6</w:t>
      </w:r>
    </w:p>
    <w:p w14:paraId="38262793" w14:textId="77777777" w:rsidR="00A77F05" w:rsidRPr="00A65C61" w:rsidRDefault="00A77F05" w:rsidP="00A77F05">
      <w:pPr>
        <w:bidi w:val="0"/>
        <w:rPr>
          <w:rFonts w:asciiTheme="majorBidi" w:hAnsiTheme="majorBidi" w:cstheme="majorBidi"/>
          <w:sz w:val="28"/>
          <w:szCs w:val="28"/>
        </w:rPr>
      </w:pPr>
    </w:p>
    <w:p w14:paraId="7AE51ADA" w14:textId="10E3CC1A" w:rsidR="00A77F05" w:rsidRPr="00A65C61" w:rsidRDefault="00A77F05" w:rsidP="00A77F05">
      <w:pPr>
        <w:tabs>
          <w:tab w:val="left" w:pos="4226"/>
        </w:tabs>
        <w:bidi w:val="0"/>
        <w:jc w:val="center"/>
        <w:rPr>
          <w:rFonts w:asciiTheme="majorBidi" w:hAnsiTheme="majorBidi" w:cstheme="majorBidi"/>
          <w:b/>
          <w:bCs/>
          <w:noProof/>
          <w:color w:val="000000"/>
          <w:sz w:val="28"/>
          <w:szCs w:val="28"/>
        </w:rPr>
      </w:pPr>
      <w:r w:rsidRPr="00A65C61">
        <w:rPr>
          <w:rFonts w:asciiTheme="majorBidi" w:hAnsiTheme="majorBidi" w:cstheme="majorBidi"/>
          <w:b/>
          <w:bCs/>
          <w:noProof/>
          <w:color w:val="000000"/>
          <w:sz w:val="28"/>
          <w:szCs w:val="28"/>
          <w:lang w:val="en-GB" w:eastAsia="en-GB"/>
        </w:rPr>
        <w:drawing>
          <wp:inline distT="0" distB="0" distL="0" distR="0" wp14:anchorId="78C5A84B" wp14:editId="57A07994">
            <wp:extent cx="4334608" cy="3024554"/>
            <wp:effectExtent l="0" t="0" r="8890" b="4445"/>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F436AB" w14:textId="76D26061"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b/>
          <w:bCs/>
          <w:sz w:val="28"/>
          <w:szCs w:val="28"/>
        </w:rPr>
        <w:t xml:space="preserve">Figure 15. </w:t>
      </w:r>
      <w:r w:rsidRPr="00A65C61">
        <w:rPr>
          <w:rFonts w:asciiTheme="majorBidi" w:hAnsiTheme="majorBidi" w:cstheme="majorBidi"/>
          <w:sz w:val="28"/>
          <w:szCs w:val="28"/>
        </w:rPr>
        <w:t>The Inﬂuence of type of concrete on the load deflection response for corbels with (a/d) ratio of 0.6</w:t>
      </w:r>
    </w:p>
    <w:p w14:paraId="4E3F06C9" w14:textId="77777777" w:rsidR="00A77F05" w:rsidRPr="00A65C61" w:rsidRDefault="00A77F05" w:rsidP="00A77F05">
      <w:pPr>
        <w:bidi w:val="0"/>
        <w:jc w:val="center"/>
        <w:rPr>
          <w:rFonts w:asciiTheme="majorBidi" w:hAnsiTheme="majorBidi" w:cstheme="majorBidi"/>
          <w:sz w:val="28"/>
          <w:szCs w:val="28"/>
        </w:rPr>
      </w:pPr>
    </w:p>
    <w:p w14:paraId="421368B2" w14:textId="7DA4413D" w:rsidR="00A77F05" w:rsidRPr="00A65C61" w:rsidRDefault="00A77F05" w:rsidP="00A77F05">
      <w:pPr>
        <w:bidi w:val="0"/>
        <w:jc w:val="center"/>
        <w:rPr>
          <w:rFonts w:asciiTheme="majorBidi" w:hAnsiTheme="majorBidi" w:cstheme="majorBidi"/>
          <w:sz w:val="28"/>
          <w:szCs w:val="28"/>
        </w:rPr>
      </w:pPr>
      <w:r w:rsidRPr="00A65C61">
        <w:rPr>
          <w:rFonts w:asciiTheme="majorBidi" w:hAnsiTheme="majorBidi" w:cstheme="majorBidi"/>
          <w:noProof/>
          <w:sz w:val="28"/>
          <w:szCs w:val="28"/>
          <w:lang w:val="en-GB" w:eastAsia="en-GB"/>
        </w:rPr>
        <w:lastRenderedPageBreak/>
        <w:drawing>
          <wp:inline distT="0" distB="0" distL="0" distR="0" wp14:anchorId="2167B36E" wp14:editId="3CC03EFC">
            <wp:extent cx="4396154" cy="3666393"/>
            <wp:effectExtent l="0" t="0" r="4445" b="10795"/>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424DD9" w14:textId="7F839F32" w:rsidR="00A77F05" w:rsidRPr="00A65C61" w:rsidRDefault="00A77F05" w:rsidP="00A77F05">
      <w:pPr>
        <w:autoSpaceDE w:val="0"/>
        <w:autoSpaceDN w:val="0"/>
        <w:adjustRightInd w:val="0"/>
        <w:spacing w:after="0" w:line="240" w:lineRule="auto"/>
        <w:jc w:val="center"/>
        <w:rPr>
          <w:rFonts w:asciiTheme="majorBidi" w:hAnsiTheme="majorBidi" w:cstheme="majorBidi"/>
          <w:sz w:val="28"/>
          <w:szCs w:val="28"/>
        </w:rPr>
      </w:pPr>
      <w:r w:rsidRPr="00A65C61">
        <w:rPr>
          <w:rFonts w:asciiTheme="majorBidi" w:hAnsiTheme="majorBidi" w:cstheme="majorBidi"/>
          <w:sz w:val="28"/>
          <w:szCs w:val="28"/>
        </w:rPr>
        <w:tab/>
      </w:r>
      <w:r w:rsidRPr="00A65C61">
        <w:rPr>
          <w:rFonts w:asciiTheme="majorBidi" w:hAnsiTheme="majorBidi" w:cstheme="majorBidi"/>
          <w:b/>
          <w:bCs/>
          <w:sz w:val="28"/>
          <w:szCs w:val="28"/>
        </w:rPr>
        <w:t>Figure 16.</w:t>
      </w:r>
      <w:r w:rsidRPr="00A65C61">
        <w:rPr>
          <w:rFonts w:asciiTheme="majorBidi" w:hAnsiTheme="majorBidi" w:cstheme="majorBidi"/>
          <w:sz w:val="28"/>
          <w:szCs w:val="28"/>
        </w:rPr>
        <w:t xml:space="preserve"> The Inﬂuence of (a/d) ratio on load- deflection response for hybrid strength concrete corbels strengthened with steel plate</w:t>
      </w:r>
    </w:p>
    <w:p w14:paraId="59093CF1" w14:textId="77777777" w:rsidR="00A77F05" w:rsidRPr="00A65C61" w:rsidRDefault="00A77F05" w:rsidP="00A77F05">
      <w:pPr>
        <w:tabs>
          <w:tab w:val="left" w:pos="3965"/>
        </w:tabs>
        <w:bidi w:val="0"/>
        <w:rPr>
          <w:rFonts w:asciiTheme="majorBidi" w:hAnsiTheme="majorBidi" w:cstheme="majorBidi"/>
          <w:sz w:val="28"/>
          <w:szCs w:val="28"/>
        </w:rPr>
      </w:pPr>
    </w:p>
    <w:p w14:paraId="6E964794" w14:textId="627CF91F" w:rsidR="00A77F05" w:rsidRPr="00A65C61" w:rsidRDefault="00A77F05" w:rsidP="00A77F05">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4. Conclusions</w:t>
      </w:r>
    </w:p>
    <w:p w14:paraId="262DB560" w14:textId="2A94CCCE" w:rsidR="0098055D" w:rsidRPr="0098055D" w:rsidRDefault="00B83DFE" w:rsidP="00A65C61">
      <w:pPr>
        <w:bidi w:val="0"/>
        <w:rPr>
          <w:rFonts w:asciiTheme="majorBidi" w:hAnsiTheme="majorBidi" w:cstheme="majorBidi"/>
          <w:color w:val="FF0000"/>
          <w:sz w:val="28"/>
          <w:szCs w:val="28"/>
          <w:lang w:val="en-AU"/>
        </w:rPr>
      </w:pPr>
      <w:r w:rsidRPr="00A65C61">
        <w:rPr>
          <w:rFonts w:asciiTheme="majorBidi" w:hAnsiTheme="majorBidi" w:cstheme="majorBidi"/>
          <w:sz w:val="28"/>
          <w:szCs w:val="28"/>
        </w:rPr>
        <w:t xml:space="preserve">The primary objective of this </w:t>
      </w:r>
      <w:r w:rsidR="00A65C61" w:rsidRPr="00A65C61">
        <w:rPr>
          <w:rFonts w:asciiTheme="majorBidi" w:hAnsiTheme="majorBidi" w:cstheme="majorBidi"/>
          <w:sz w:val="28"/>
          <w:szCs w:val="28"/>
        </w:rPr>
        <w:t>research</w:t>
      </w:r>
      <w:r w:rsidRPr="00A65C61">
        <w:rPr>
          <w:rFonts w:asciiTheme="majorBidi" w:hAnsiTheme="majorBidi" w:cstheme="majorBidi"/>
          <w:sz w:val="28"/>
          <w:szCs w:val="28"/>
        </w:rPr>
        <w:t xml:space="preserve"> was to </w:t>
      </w:r>
      <w:r w:rsidR="00A65C61" w:rsidRPr="00A65C61">
        <w:rPr>
          <w:rFonts w:asciiTheme="majorBidi" w:hAnsiTheme="majorBidi" w:cstheme="majorBidi"/>
          <w:sz w:val="28"/>
          <w:szCs w:val="28"/>
        </w:rPr>
        <w:t>study</w:t>
      </w:r>
      <w:r w:rsidRPr="00A65C61">
        <w:rPr>
          <w:rFonts w:asciiTheme="majorBidi" w:hAnsiTheme="majorBidi" w:cstheme="majorBidi"/>
          <w:sz w:val="28"/>
          <w:szCs w:val="28"/>
        </w:rPr>
        <w:t xml:space="preserve"> </w:t>
      </w:r>
      <w:r w:rsidR="00A65C61" w:rsidRPr="00A65C61">
        <w:rPr>
          <w:rFonts w:asciiTheme="majorBidi" w:hAnsiTheme="majorBidi" w:cstheme="majorBidi"/>
          <w:sz w:val="28"/>
          <w:szCs w:val="28"/>
        </w:rPr>
        <w:t xml:space="preserve">the </w:t>
      </w:r>
      <w:r w:rsidR="00A65C61" w:rsidRPr="00A65C61">
        <w:rPr>
          <w:rFonts w:asciiTheme="majorBidi" w:eastAsia="Calibri" w:hAnsiTheme="majorBidi" w:cstheme="majorBidi"/>
          <w:sz w:val="28"/>
          <w:szCs w:val="28"/>
          <w:lang w:bidi="ar-IQ"/>
        </w:rPr>
        <w:t xml:space="preserve">behavior </w:t>
      </w:r>
      <w:r w:rsidR="00A65C61" w:rsidRPr="00A65C61">
        <w:rPr>
          <w:rFonts w:asciiTheme="majorBidi" w:eastAsia="Calibri" w:hAnsiTheme="majorBidi" w:cstheme="majorBidi"/>
          <w:color w:val="000000"/>
          <w:sz w:val="28"/>
          <w:szCs w:val="28"/>
          <w:lang w:bidi="ar-IQ"/>
        </w:rPr>
        <w:t xml:space="preserve">of </w:t>
      </w:r>
      <w:r w:rsidR="00A65C61">
        <w:rPr>
          <w:rFonts w:asciiTheme="majorBidi" w:eastAsia="Calibri" w:hAnsiTheme="majorBidi" w:cstheme="majorBidi"/>
          <w:color w:val="000000"/>
          <w:sz w:val="28"/>
          <w:szCs w:val="28"/>
          <w:lang w:bidi="ar-IQ"/>
        </w:rPr>
        <w:t>n</w:t>
      </w:r>
      <w:r w:rsidR="00A65C61" w:rsidRPr="00A65C61">
        <w:rPr>
          <w:rFonts w:asciiTheme="majorBidi" w:eastAsia="Calibri" w:hAnsiTheme="majorBidi" w:cstheme="majorBidi"/>
          <w:color w:val="000000"/>
          <w:sz w:val="28"/>
          <w:szCs w:val="28"/>
          <w:lang w:bidi="ar-IQ"/>
        </w:rPr>
        <w:t xml:space="preserve">ormal and </w:t>
      </w:r>
      <w:r w:rsidR="00A65C61">
        <w:rPr>
          <w:rFonts w:asciiTheme="majorBidi" w:eastAsia="Calibri" w:hAnsiTheme="majorBidi" w:cstheme="majorBidi"/>
          <w:color w:val="000000"/>
          <w:sz w:val="28"/>
          <w:szCs w:val="28"/>
          <w:lang w:bidi="ar-IQ"/>
        </w:rPr>
        <w:t>h</w:t>
      </w:r>
      <w:r w:rsidR="00A65C61" w:rsidRPr="00A65C61">
        <w:rPr>
          <w:rFonts w:asciiTheme="majorBidi" w:eastAsia="Calibri" w:hAnsiTheme="majorBidi" w:cstheme="majorBidi"/>
          <w:color w:val="000000"/>
          <w:sz w:val="28"/>
          <w:szCs w:val="28"/>
          <w:lang w:bidi="ar-IQ"/>
        </w:rPr>
        <w:t xml:space="preserve">ybrid </w:t>
      </w:r>
      <w:r w:rsidR="00A65C61">
        <w:rPr>
          <w:rFonts w:asciiTheme="majorBidi" w:eastAsia="Calibri" w:hAnsiTheme="majorBidi" w:cstheme="majorBidi"/>
          <w:color w:val="000000"/>
          <w:sz w:val="28"/>
          <w:szCs w:val="28"/>
          <w:lang w:bidi="ar-IQ"/>
        </w:rPr>
        <w:t>s</w:t>
      </w:r>
      <w:r w:rsidR="00A65C61" w:rsidRPr="00A65C61">
        <w:rPr>
          <w:rFonts w:asciiTheme="majorBidi" w:eastAsia="Calibri" w:hAnsiTheme="majorBidi" w:cstheme="majorBidi"/>
          <w:color w:val="000000"/>
          <w:sz w:val="28"/>
          <w:szCs w:val="28"/>
          <w:lang w:bidi="ar-IQ"/>
        </w:rPr>
        <w:t>treng</w:t>
      </w:r>
      <w:r w:rsidR="00A65C61" w:rsidRPr="00A65C61">
        <w:rPr>
          <w:rFonts w:asciiTheme="majorBidi" w:eastAsia="Calibri" w:hAnsiTheme="majorBidi" w:cstheme="majorBidi"/>
          <w:sz w:val="28"/>
          <w:szCs w:val="28"/>
          <w:lang w:bidi="ar-IQ"/>
        </w:rPr>
        <w:t xml:space="preserve">th </w:t>
      </w:r>
      <w:r w:rsidR="00A65C61">
        <w:rPr>
          <w:rFonts w:asciiTheme="majorBidi" w:eastAsia="Calibri" w:hAnsiTheme="majorBidi" w:cstheme="majorBidi"/>
          <w:sz w:val="28"/>
          <w:szCs w:val="28"/>
          <w:lang w:bidi="ar-IQ"/>
        </w:rPr>
        <w:t>r</w:t>
      </w:r>
      <w:r w:rsidR="00A65C61" w:rsidRPr="00A65C61">
        <w:rPr>
          <w:rFonts w:asciiTheme="majorBidi" w:eastAsia="Calibri" w:hAnsiTheme="majorBidi" w:cstheme="majorBidi"/>
          <w:sz w:val="28"/>
          <w:szCs w:val="28"/>
          <w:lang w:bidi="ar-IQ"/>
        </w:rPr>
        <w:t xml:space="preserve">einforced </w:t>
      </w:r>
      <w:r w:rsidR="00A65C61">
        <w:rPr>
          <w:rFonts w:asciiTheme="majorBidi" w:eastAsia="Calibri" w:hAnsiTheme="majorBidi" w:cstheme="majorBidi"/>
          <w:sz w:val="28"/>
          <w:szCs w:val="28"/>
          <w:lang w:bidi="ar-IQ"/>
        </w:rPr>
        <w:t>c</w:t>
      </w:r>
      <w:r w:rsidR="00A65C61" w:rsidRPr="00A65C61">
        <w:rPr>
          <w:rFonts w:asciiTheme="majorBidi" w:eastAsia="Calibri" w:hAnsiTheme="majorBidi" w:cstheme="majorBidi"/>
          <w:sz w:val="28"/>
          <w:szCs w:val="28"/>
          <w:lang w:bidi="ar-IQ"/>
        </w:rPr>
        <w:t xml:space="preserve">oncrete </w:t>
      </w:r>
      <w:r w:rsidR="00A65C61">
        <w:rPr>
          <w:rFonts w:asciiTheme="majorBidi" w:eastAsia="Calibri" w:hAnsiTheme="majorBidi" w:cstheme="majorBidi"/>
          <w:sz w:val="28"/>
          <w:szCs w:val="28"/>
          <w:lang w:bidi="ar-IQ"/>
        </w:rPr>
        <w:t>c</w:t>
      </w:r>
      <w:r w:rsidR="00A65C61" w:rsidRPr="00A65C61">
        <w:rPr>
          <w:rFonts w:asciiTheme="majorBidi" w:eastAsia="Calibri" w:hAnsiTheme="majorBidi" w:cstheme="majorBidi"/>
          <w:sz w:val="28"/>
          <w:szCs w:val="28"/>
          <w:lang w:bidi="ar-IQ"/>
        </w:rPr>
        <w:t>orbels</w:t>
      </w:r>
      <w:r w:rsidR="00A65C61" w:rsidRPr="00A65C61">
        <w:rPr>
          <w:rFonts w:asciiTheme="majorBidi" w:eastAsia="Calibri" w:hAnsiTheme="majorBidi" w:cstheme="majorBidi"/>
          <w:color w:val="000000"/>
          <w:sz w:val="28"/>
          <w:szCs w:val="28"/>
          <w:lang w:bidi="ar-IQ"/>
        </w:rPr>
        <w:t xml:space="preserve"> </w:t>
      </w:r>
      <w:r w:rsidR="00A65C61">
        <w:rPr>
          <w:rFonts w:asciiTheme="majorBidi" w:eastAsia="Calibri" w:hAnsiTheme="majorBidi" w:cstheme="majorBidi"/>
          <w:color w:val="000000"/>
          <w:sz w:val="28"/>
          <w:szCs w:val="28"/>
          <w:lang w:bidi="ar-IQ"/>
        </w:rPr>
        <w:t>s</w:t>
      </w:r>
      <w:r w:rsidR="00A65C61" w:rsidRPr="00A65C61">
        <w:rPr>
          <w:rFonts w:asciiTheme="majorBidi" w:eastAsia="Calibri" w:hAnsiTheme="majorBidi" w:cstheme="majorBidi"/>
          <w:color w:val="000000"/>
          <w:sz w:val="28"/>
          <w:szCs w:val="28"/>
          <w:lang w:bidi="ar-IQ"/>
        </w:rPr>
        <w:t>trengthened</w:t>
      </w:r>
      <w:r w:rsidR="00A65C61" w:rsidRPr="00A65C61">
        <w:rPr>
          <w:rFonts w:asciiTheme="majorBidi" w:eastAsia="Calibri" w:hAnsiTheme="majorBidi" w:cstheme="majorBidi"/>
          <w:sz w:val="28"/>
          <w:szCs w:val="28"/>
          <w:lang w:bidi="ar-IQ"/>
        </w:rPr>
        <w:t xml:space="preserve"> with </w:t>
      </w:r>
      <w:r w:rsidR="00A65C61">
        <w:rPr>
          <w:rFonts w:asciiTheme="majorBidi" w:eastAsia="Calibri" w:hAnsiTheme="majorBidi" w:cstheme="majorBidi"/>
          <w:sz w:val="28"/>
          <w:szCs w:val="28"/>
          <w:lang w:bidi="ar-IQ"/>
        </w:rPr>
        <w:t>s</w:t>
      </w:r>
      <w:r w:rsidR="00A65C61" w:rsidRPr="00A65C61">
        <w:rPr>
          <w:rFonts w:asciiTheme="majorBidi" w:eastAsia="Calibri" w:hAnsiTheme="majorBidi" w:cstheme="majorBidi"/>
          <w:sz w:val="28"/>
          <w:szCs w:val="28"/>
          <w:lang w:bidi="ar-IQ"/>
        </w:rPr>
        <w:t xml:space="preserve">teel </w:t>
      </w:r>
      <w:r w:rsidR="00A65C61">
        <w:rPr>
          <w:rFonts w:asciiTheme="majorBidi" w:eastAsia="Calibri" w:hAnsiTheme="majorBidi" w:cstheme="majorBidi"/>
          <w:sz w:val="28"/>
          <w:szCs w:val="28"/>
          <w:lang w:bidi="ar-IQ"/>
        </w:rPr>
        <w:t>p</w:t>
      </w:r>
      <w:r w:rsidR="00A65C61" w:rsidRPr="00A65C61">
        <w:rPr>
          <w:rFonts w:asciiTheme="majorBidi" w:eastAsia="Calibri" w:hAnsiTheme="majorBidi" w:cstheme="majorBidi"/>
          <w:sz w:val="28"/>
          <w:szCs w:val="28"/>
          <w:lang w:bidi="ar-IQ"/>
        </w:rPr>
        <w:t>late.</w:t>
      </w:r>
      <w:r w:rsidR="00A65C61">
        <w:rPr>
          <w:rFonts w:asciiTheme="majorBidi" w:hAnsiTheme="majorBidi" w:cstheme="majorBidi"/>
          <w:color w:val="FF0000"/>
          <w:sz w:val="28"/>
          <w:szCs w:val="28"/>
          <w:lang w:val="en-AU"/>
        </w:rPr>
        <w:t xml:space="preserve"> </w:t>
      </w:r>
      <w:r w:rsidR="0098055D" w:rsidRPr="0098055D">
        <w:rPr>
          <w:rFonts w:asciiTheme="majorBidi" w:hAnsiTheme="majorBidi" w:cstheme="majorBidi"/>
          <w:sz w:val="28"/>
          <w:szCs w:val="28"/>
        </w:rPr>
        <w:t>Based on the experimental results and discussions, the following conclusions can be drawn:</w:t>
      </w:r>
    </w:p>
    <w:p w14:paraId="4293F253" w14:textId="32A2C2DA" w:rsidR="0098055D" w:rsidRPr="0098055D" w:rsidRDefault="00215E7C" w:rsidP="0098055D">
      <w:pPr>
        <w:numPr>
          <w:ilvl w:val="0"/>
          <w:numId w:val="4"/>
        </w:numPr>
        <w:tabs>
          <w:tab w:val="left" w:pos="3965"/>
        </w:tabs>
        <w:bidi w:val="0"/>
        <w:rPr>
          <w:rFonts w:asciiTheme="majorBidi" w:hAnsiTheme="majorBidi" w:cstheme="majorBidi"/>
          <w:sz w:val="28"/>
          <w:szCs w:val="28"/>
        </w:rPr>
      </w:pPr>
      <w:r>
        <w:rPr>
          <w:rFonts w:asciiTheme="majorBidi" w:hAnsiTheme="majorBidi" w:cstheme="majorBidi"/>
          <w:sz w:val="28"/>
          <w:szCs w:val="28"/>
        </w:rPr>
        <w:t>Strengthening</w:t>
      </w:r>
      <w:r w:rsidR="0098055D" w:rsidRPr="0098055D">
        <w:rPr>
          <w:rFonts w:asciiTheme="majorBidi" w:hAnsiTheme="majorBidi" w:cstheme="majorBidi"/>
          <w:sz w:val="28"/>
          <w:szCs w:val="28"/>
        </w:rPr>
        <w:t xml:space="preserve"> corbels with steel plates significantly improves their performance by increasing both the cracking and ultimate loads. The results demonstrated enhancements of up to 24.78% in ultimate load and 66.</w:t>
      </w:r>
      <w:r w:rsidR="000F0C17" w:rsidRPr="000F0C17">
        <w:rPr>
          <w:rFonts w:asciiTheme="majorBidi" w:hAnsiTheme="majorBidi" w:cstheme="majorBidi"/>
          <w:sz w:val="28"/>
          <w:szCs w:val="28"/>
        </w:rPr>
        <w:t>5</w:t>
      </w:r>
      <w:r w:rsidR="0098055D" w:rsidRPr="0098055D">
        <w:rPr>
          <w:rFonts w:asciiTheme="majorBidi" w:hAnsiTheme="majorBidi" w:cstheme="majorBidi"/>
          <w:sz w:val="28"/>
          <w:szCs w:val="28"/>
        </w:rPr>
        <w:t>% in cracking load for certain specimens. Furthermore, steel plate reinforcement delayed the onset of the first crack, contributing to the improved structural integrity of the corbels.</w:t>
      </w:r>
    </w:p>
    <w:p w14:paraId="40C43ACF" w14:textId="253C9F59" w:rsidR="0098055D" w:rsidRPr="0098055D" w:rsidRDefault="0098055D" w:rsidP="0098055D">
      <w:pPr>
        <w:numPr>
          <w:ilvl w:val="0"/>
          <w:numId w:val="4"/>
        </w:num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t xml:space="preserve">The compressive strength of concrete was a key factor influencing specimen capacity. Higher compressive strength improved flexural stiffness, delayed cracking, and increased both cracking and ultimate loads. For example, ultimate load capacities increased by </w:t>
      </w:r>
      <w:r w:rsidR="00A5693B" w:rsidRPr="00A5693B">
        <w:rPr>
          <w:rFonts w:asciiTheme="majorBidi" w:hAnsiTheme="majorBidi" w:cstheme="majorBidi"/>
          <w:sz w:val="28"/>
          <w:szCs w:val="28"/>
        </w:rPr>
        <w:t>22.39</w:t>
      </w:r>
      <w:r w:rsidRPr="0098055D">
        <w:rPr>
          <w:rFonts w:asciiTheme="majorBidi" w:hAnsiTheme="majorBidi" w:cstheme="majorBidi"/>
          <w:sz w:val="28"/>
          <w:szCs w:val="28"/>
        </w:rPr>
        <w:t>%, 16.95%, and 1</w:t>
      </w:r>
      <w:r w:rsidR="00A5693B" w:rsidRPr="00A5693B">
        <w:rPr>
          <w:rFonts w:asciiTheme="majorBidi" w:hAnsiTheme="majorBidi" w:cstheme="majorBidi"/>
          <w:sz w:val="28"/>
          <w:szCs w:val="28"/>
        </w:rPr>
        <w:t>2.78</w:t>
      </w:r>
      <w:r w:rsidRPr="0098055D">
        <w:rPr>
          <w:rFonts w:asciiTheme="majorBidi" w:hAnsiTheme="majorBidi" w:cstheme="majorBidi"/>
          <w:sz w:val="28"/>
          <w:szCs w:val="28"/>
        </w:rPr>
        <w:t xml:space="preserve">% for </w:t>
      </w:r>
      <w:r w:rsidR="00A5693B" w:rsidRPr="00A5693B">
        <w:rPr>
          <w:rFonts w:asciiTheme="majorBidi" w:hAnsiTheme="majorBidi" w:cstheme="majorBidi"/>
          <w:sz w:val="28"/>
          <w:szCs w:val="28"/>
        </w:rPr>
        <w:t xml:space="preserve">hybrid strength concrete </w:t>
      </w:r>
      <w:r w:rsidRPr="0098055D">
        <w:rPr>
          <w:rFonts w:asciiTheme="majorBidi" w:hAnsiTheme="majorBidi" w:cstheme="majorBidi"/>
          <w:sz w:val="28"/>
          <w:szCs w:val="28"/>
        </w:rPr>
        <w:t>specimens C</w:t>
      </w:r>
      <w:r w:rsidR="00A5693B" w:rsidRPr="00A5693B">
        <w:rPr>
          <w:rFonts w:asciiTheme="majorBidi" w:hAnsiTheme="majorBidi" w:cstheme="majorBidi"/>
          <w:sz w:val="28"/>
          <w:szCs w:val="28"/>
        </w:rPr>
        <w:t>Hy</w:t>
      </w:r>
      <w:r w:rsidRPr="0098055D">
        <w:rPr>
          <w:rFonts w:asciiTheme="majorBidi" w:hAnsiTheme="majorBidi" w:cstheme="majorBidi"/>
          <w:sz w:val="28"/>
          <w:szCs w:val="28"/>
        </w:rPr>
        <w:t>06M, C</w:t>
      </w:r>
      <w:r w:rsidR="00A5693B" w:rsidRPr="00A5693B">
        <w:rPr>
          <w:rFonts w:asciiTheme="majorBidi" w:hAnsiTheme="majorBidi" w:cstheme="majorBidi"/>
          <w:sz w:val="28"/>
          <w:szCs w:val="28"/>
        </w:rPr>
        <w:t>Hy</w:t>
      </w:r>
      <w:r w:rsidRPr="0098055D">
        <w:rPr>
          <w:rFonts w:asciiTheme="majorBidi" w:hAnsiTheme="majorBidi" w:cstheme="majorBidi"/>
          <w:sz w:val="28"/>
          <w:szCs w:val="28"/>
        </w:rPr>
        <w:t>S6M, and C</w:t>
      </w:r>
      <w:r w:rsidR="00A5693B" w:rsidRPr="00A5693B">
        <w:rPr>
          <w:rFonts w:asciiTheme="majorBidi" w:hAnsiTheme="majorBidi" w:cstheme="majorBidi"/>
          <w:sz w:val="28"/>
          <w:szCs w:val="28"/>
        </w:rPr>
        <w:t>Hy</w:t>
      </w:r>
      <w:r w:rsidRPr="0098055D">
        <w:rPr>
          <w:rFonts w:asciiTheme="majorBidi" w:hAnsiTheme="majorBidi" w:cstheme="majorBidi"/>
          <w:sz w:val="28"/>
          <w:szCs w:val="28"/>
        </w:rPr>
        <w:t xml:space="preserve">S3M compared to their </w:t>
      </w:r>
      <w:r w:rsidR="00A5693B">
        <w:rPr>
          <w:rFonts w:asciiTheme="majorBidi" w:hAnsiTheme="majorBidi" w:cstheme="majorBidi"/>
          <w:sz w:val="28"/>
          <w:szCs w:val="28"/>
        </w:rPr>
        <w:t xml:space="preserve">normal </w:t>
      </w:r>
      <w:r w:rsidRPr="0098055D">
        <w:rPr>
          <w:rFonts w:asciiTheme="majorBidi" w:hAnsiTheme="majorBidi" w:cstheme="majorBidi"/>
          <w:sz w:val="28"/>
          <w:szCs w:val="28"/>
        </w:rPr>
        <w:t>strength counterparts.</w:t>
      </w:r>
    </w:p>
    <w:p w14:paraId="4310FD2D" w14:textId="7C717A4F" w:rsidR="0098055D" w:rsidRPr="0098055D" w:rsidRDefault="0098055D" w:rsidP="0098055D">
      <w:pPr>
        <w:numPr>
          <w:ilvl w:val="0"/>
          <w:numId w:val="4"/>
        </w:num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lastRenderedPageBreak/>
        <w:t xml:space="preserve">Reducing the </w:t>
      </w:r>
      <w:r w:rsidR="00215E7C">
        <w:rPr>
          <w:rFonts w:asciiTheme="majorBidi" w:hAnsiTheme="majorBidi" w:cstheme="majorBidi"/>
          <w:sz w:val="28"/>
          <w:szCs w:val="28"/>
        </w:rPr>
        <w:t>(</w:t>
      </w:r>
      <w:r w:rsidRPr="0098055D">
        <w:rPr>
          <w:rFonts w:asciiTheme="majorBidi" w:hAnsiTheme="majorBidi" w:cstheme="majorBidi"/>
          <w:sz w:val="28"/>
          <w:szCs w:val="28"/>
        </w:rPr>
        <w:t>a/d</w:t>
      </w:r>
      <w:r w:rsidR="00215E7C">
        <w:rPr>
          <w:rFonts w:asciiTheme="majorBidi" w:hAnsiTheme="majorBidi" w:cstheme="majorBidi"/>
          <w:sz w:val="28"/>
          <w:szCs w:val="28"/>
        </w:rPr>
        <w:t>)</w:t>
      </w:r>
      <w:r w:rsidRPr="0098055D">
        <w:rPr>
          <w:rFonts w:asciiTheme="majorBidi" w:hAnsiTheme="majorBidi" w:cstheme="majorBidi"/>
          <w:sz w:val="28"/>
          <w:szCs w:val="28"/>
        </w:rPr>
        <w:t xml:space="preserve"> ratio enhanced both cracking and ultimate load capacities. For normal</w:t>
      </w:r>
      <w:r w:rsidR="00897F03">
        <w:rPr>
          <w:rFonts w:asciiTheme="majorBidi" w:hAnsiTheme="majorBidi" w:cstheme="majorBidi"/>
          <w:sz w:val="28"/>
          <w:szCs w:val="28"/>
        </w:rPr>
        <w:t xml:space="preserve"> </w:t>
      </w:r>
      <w:r w:rsidRPr="0098055D">
        <w:rPr>
          <w:rFonts w:asciiTheme="majorBidi" w:hAnsiTheme="majorBidi" w:cstheme="majorBidi"/>
          <w:sz w:val="28"/>
          <w:szCs w:val="28"/>
        </w:rPr>
        <w:t xml:space="preserve">strength concrete corbels reinforced with steel plates, decreasing the </w:t>
      </w:r>
      <w:r w:rsidR="00215E7C">
        <w:rPr>
          <w:rFonts w:asciiTheme="majorBidi" w:hAnsiTheme="majorBidi" w:cstheme="majorBidi"/>
          <w:sz w:val="28"/>
          <w:szCs w:val="28"/>
        </w:rPr>
        <w:t>(</w:t>
      </w:r>
      <w:r w:rsidRPr="0098055D">
        <w:rPr>
          <w:rFonts w:asciiTheme="majorBidi" w:hAnsiTheme="majorBidi" w:cstheme="majorBidi"/>
          <w:sz w:val="28"/>
          <w:szCs w:val="28"/>
        </w:rPr>
        <w:t>a/d</w:t>
      </w:r>
      <w:r w:rsidR="00215E7C">
        <w:rPr>
          <w:rFonts w:asciiTheme="majorBidi" w:hAnsiTheme="majorBidi" w:cstheme="majorBidi"/>
          <w:sz w:val="28"/>
          <w:szCs w:val="28"/>
        </w:rPr>
        <w:t>)</w:t>
      </w:r>
      <w:r w:rsidRPr="0098055D">
        <w:rPr>
          <w:rFonts w:asciiTheme="majorBidi" w:hAnsiTheme="majorBidi" w:cstheme="majorBidi"/>
          <w:sz w:val="28"/>
          <w:szCs w:val="28"/>
        </w:rPr>
        <w:t xml:space="preserve"> ratio from 0.6 to 0.3 increased the cracking load by approximately 22.78% and the ultimate load by 16.06%. Similarly, for hybrid</w:t>
      </w:r>
      <w:r w:rsidR="00897F03" w:rsidRPr="00897F03">
        <w:rPr>
          <w:rFonts w:asciiTheme="majorBidi" w:hAnsiTheme="majorBidi" w:cstheme="majorBidi"/>
          <w:sz w:val="28"/>
          <w:szCs w:val="28"/>
        </w:rPr>
        <w:t xml:space="preserve"> </w:t>
      </w:r>
      <w:r w:rsidRPr="0098055D">
        <w:rPr>
          <w:rFonts w:asciiTheme="majorBidi" w:hAnsiTheme="majorBidi" w:cstheme="majorBidi"/>
          <w:sz w:val="28"/>
          <w:szCs w:val="28"/>
        </w:rPr>
        <w:t>strength corbels, the cracking and ultimate loads increased by 31.</w:t>
      </w:r>
      <w:r w:rsidR="00897F03" w:rsidRPr="00897F03">
        <w:rPr>
          <w:rFonts w:asciiTheme="majorBidi" w:hAnsiTheme="majorBidi" w:cstheme="majorBidi"/>
          <w:sz w:val="28"/>
          <w:szCs w:val="28"/>
        </w:rPr>
        <w:t>35</w:t>
      </w:r>
      <w:r w:rsidRPr="0098055D">
        <w:rPr>
          <w:rFonts w:asciiTheme="majorBidi" w:hAnsiTheme="majorBidi" w:cstheme="majorBidi"/>
          <w:sz w:val="28"/>
          <w:szCs w:val="28"/>
        </w:rPr>
        <w:t xml:space="preserve">% and </w:t>
      </w:r>
      <w:r w:rsidR="00897F03" w:rsidRPr="00897F03">
        <w:rPr>
          <w:rFonts w:asciiTheme="majorBidi" w:hAnsiTheme="majorBidi" w:cstheme="majorBidi"/>
          <w:sz w:val="28"/>
          <w:szCs w:val="28"/>
        </w:rPr>
        <w:t>8.55</w:t>
      </w:r>
      <w:r w:rsidRPr="0098055D">
        <w:rPr>
          <w:rFonts w:asciiTheme="majorBidi" w:hAnsiTheme="majorBidi" w:cstheme="majorBidi"/>
          <w:sz w:val="28"/>
          <w:szCs w:val="28"/>
        </w:rPr>
        <w:t>%, respectively.</w:t>
      </w:r>
    </w:p>
    <w:p w14:paraId="7DCD895A" w14:textId="14EA18AE" w:rsidR="0098055D" w:rsidRPr="0098055D" w:rsidRDefault="0098055D" w:rsidP="0098055D">
      <w:pPr>
        <w:numPr>
          <w:ilvl w:val="0"/>
          <w:numId w:val="4"/>
        </w:num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t>The load-displacement curves were linear in the elastic stage, with a nearly constant slope, transitioning to nonlinear behavior after the first cracks appeared. Nonlinear behavior persisted until failure, with larger deflections observed for specimens with higher loads and ductility.</w:t>
      </w:r>
    </w:p>
    <w:p w14:paraId="511B3203" w14:textId="7CA2EC73" w:rsidR="0098055D" w:rsidRPr="0098055D" w:rsidRDefault="0098055D" w:rsidP="0098055D">
      <w:pPr>
        <w:numPr>
          <w:ilvl w:val="0"/>
          <w:numId w:val="4"/>
        </w:num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t>Three primary failure modes were identified: diagonal partition failure, bending tension failure, and bending stress failure. Steel plate reinforcement contributed to more ductile failures, reducing the likelihood of catastrophic shear failures.</w:t>
      </w:r>
    </w:p>
    <w:p w14:paraId="7A2F4782" w14:textId="67B30842" w:rsidR="0098055D" w:rsidRPr="0098055D" w:rsidRDefault="0098055D" w:rsidP="00215E7C">
      <w:pPr>
        <w:numPr>
          <w:ilvl w:val="0"/>
          <w:numId w:val="4"/>
        </w:num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t>The use of steel plates as a reinforcement method is highly effective and cost-efficient. The ease of application and the significant performance improvements make steel plates a practical choice for strengthening corbels in both research and real-world construction scenarios.</w:t>
      </w:r>
    </w:p>
    <w:p w14:paraId="02D73400" w14:textId="77777777" w:rsidR="0098055D" w:rsidRDefault="0098055D" w:rsidP="0098055D">
      <w:pPr>
        <w:tabs>
          <w:tab w:val="left" w:pos="3965"/>
        </w:tabs>
        <w:bidi w:val="0"/>
        <w:rPr>
          <w:rFonts w:asciiTheme="majorBidi" w:hAnsiTheme="majorBidi" w:cstheme="majorBidi"/>
          <w:sz w:val="28"/>
          <w:szCs w:val="28"/>
        </w:rPr>
      </w:pPr>
      <w:r w:rsidRPr="0098055D">
        <w:rPr>
          <w:rFonts w:asciiTheme="majorBidi" w:hAnsiTheme="majorBidi" w:cstheme="majorBidi"/>
          <w:sz w:val="28"/>
          <w:szCs w:val="28"/>
        </w:rPr>
        <w:t>These findings demonstrate the importance of material selection, reinforcement strategies, and design parameters in enhancing the structural performance of reinforced concrete corbels.</w:t>
      </w:r>
    </w:p>
    <w:p w14:paraId="2EFF1BC0" w14:textId="77777777" w:rsidR="00395691" w:rsidRDefault="00395691" w:rsidP="00395691">
      <w:pPr>
        <w:tabs>
          <w:tab w:val="left" w:pos="3965"/>
        </w:tabs>
        <w:bidi w:val="0"/>
        <w:rPr>
          <w:rFonts w:asciiTheme="majorBidi" w:hAnsiTheme="majorBidi" w:cstheme="majorBidi"/>
          <w:sz w:val="28"/>
          <w:szCs w:val="28"/>
        </w:rPr>
      </w:pPr>
    </w:p>
    <w:p w14:paraId="08BE4C8A" w14:textId="77777777" w:rsidR="00395691" w:rsidRDefault="00395691" w:rsidP="00395691">
      <w:pPr>
        <w:tabs>
          <w:tab w:val="left" w:pos="3965"/>
        </w:tabs>
        <w:bidi w:val="0"/>
        <w:rPr>
          <w:rFonts w:asciiTheme="majorBidi" w:hAnsiTheme="majorBidi" w:cstheme="majorBidi"/>
          <w:sz w:val="28"/>
          <w:szCs w:val="28"/>
        </w:rPr>
      </w:pPr>
    </w:p>
    <w:p w14:paraId="437B6073" w14:textId="77777777" w:rsidR="00395691" w:rsidRPr="00395691" w:rsidRDefault="00395691" w:rsidP="00395691">
      <w:pPr>
        <w:tabs>
          <w:tab w:val="left" w:pos="3965"/>
        </w:tabs>
        <w:bidi w:val="0"/>
        <w:rPr>
          <w:rFonts w:asciiTheme="majorBidi" w:hAnsiTheme="majorBidi" w:cstheme="majorBidi"/>
          <w:sz w:val="28"/>
          <w:szCs w:val="28"/>
        </w:rPr>
      </w:pPr>
      <w:r w:rsidRPr="00395691">
        <w:rPr>
          <w:rFonts w:asciiTheme="majorBidi" w:hAnsiTheme="majorBidi" w:cstheme="majorBidi"/>
          <w:sz w:val="28"/>
          <w:szCs w:val="28"/>
        </w:rPr>
        <w:t>COMPETING INTERESTS DISCLAIMER:</w:t>
      </w:r>
    </w:p>
    <w:p w14:paraId="7C04A643" w14:textId="6F2FFA1C" w:rsidR="00395691" w:rsidRDefault="00395691" w:rsidP="00395691">
      <w:pPr>
        <w:tabs>
          <w:tab w:val="left" w:pos="3965"/>
        </w:tabs>
        <w:bidi w:val="0"/>
        <w:rPr>
          <w:rFonts w:asciiTheme="majorBidi" w:hAnsiTheme="majorBidi" w:cstheme="majorBidi"/>
          <w:sz w:val="28"/>
          <w:szCs w:val="28"/>
        </w:rPr>
      </w:pPr>
      <w:r w:rsidRPr="00395691">
        <w:rPr>
          <w:rFonts w:asciiTheme="majorBidi" w:hAnsiTheme="majorBidi" w:cstheme="majorBidi"/>
          <w:sz w:val="28"/>
          <w:szCs w:val="28"/>
        </w:rPr>
        <w:t>Authors have declared that they have no known competing financial interests OR non-financial interests OR personal relationships that could have appeared to influence the work reported in this paper.</w:t>
      </w:r>
    </w:p>
    <w:p w14:paraId="033120B4" w14:textId="77777777" w:rsidR="00395691" w:rsidRDefault="00395691" w:rsidP="00395691">
      <w:pPr>
        <w:tabs>
          <w:tab w:val="left" w:pos="3965"/>
        </w:tabs>
        <w:bidi w:val="0"/>
        <w:rPr>
          <w:rFonts w:asciiTheme="majorBidi" w:hAnsiTheme="majorBidi" w:cstheme="majorBidi"/>
          <w:sz w:val="28"/>
          <w:szCs w:val="28"/>
        </w:rPr>
      </w:pPr>
    </w:p>
    <w:p w14:paraId="3B34549A" w14:textId="57DEAE2E" w:rsidR="005677EF" w:rsidRPr="00A65C61" w:rsidRDefault="005677EF" w:rsidP="005677EF">
      <w:pPr>
        <w:bidi w:val="0"/>
        <w:rPr>
          <w:rFonts w:asciiTheme="majorBidi" w:hAnsiTheme="majorBidi" w:cstheme="majorBidi"/>
          <w:b/>
          <w:bCs/>
          <w:color w:val="000000"/>
          <w:sz w:val="28"/>
          <w:szCs w:val="28"/>
        </w:rPr>
      </w:pPr>
      <w:r w:rsidRPr="00A65C61">
        <w:rPr>
          <w:rFonts w:asciiTheme="majorBidi" w:hAnsiTheme="majorBidi" w:cstheme="majorBidi"/>
          <w:b/>
          <w:bCs/>
          <w:color w:val="000000"/>
          <w:sz w:val="28"/>
          <w:szCs w:val="28"/>
        </w:rPr>
        <w:t>5. References</w:t>
      </w:r>
    </w:p>
    <w:p w14:paraId="628C12A5" w14:textId="77777777" w:rsidR="005677EF" w:rsidRPr="00A65C61" w:rsidRDefault="005677EF" w:rsidP="005677EF">
      <w:pPr>
        <w:pStyle w:val="ListParagraph"/>
        <w:numPr>
          <w:ilvl w:val="0"/>
          <w:numId w:val="5"/>
        </w:numPr>
        <w:bidi w:val="0"/>
        <w:spacing w:after="0"/>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ACI committee 318M-19 </w:t>
      </w:r>
      <w:r w:rsidRPr="00A65C61">
        <w:rPr>
          <w:rFonts w:asciiTheme="majorBidi" w:hAnsiTheme="majorBidi" w:cstheme="majorBidi"/>
          <w:i/>
          <w:iCs/>
          <w:color w:val="000000"/>
          <w:sz w:val="28"/>
          <w:szCs w:val="28"/>
        </w:rPr>
        <w:t>(2019). “Metric building code requirements for structural concrete and commentary”</w:t>
      </w:r>
      <w:r w:rsidRPr="00A65C61">
        <w:rPr>
          <w:rFonts w:asciiTheme="majorBidi" w:hAnsiTheme="majorBidi" w:cstheme="majorBidi"/>
          <w:color w:val="000000"/>
          <w:sz w:val="28"/>
          <w:szCs w:val="28"/>
        </w:rPr>
        <w:t xml:space="preserve">. American Concrete Institute. </w:t>
      </w:r>
      <w:r w:rsidRPr="00A65C61">
        <w:rPr>
          <w:rFonts w:asciiTheme="majorBidi" w:hAnsiTheme="majorBidi" w:cstheme="majorBidi"/>
          <w:color w:val="156082" w:themeColor="accent1"/>
          <w:sz w:val="28"/>
          <w:szCs w:val="28"/>
        </w:rPr>
        <w:t>www.concrete.org.</w:t>
      </w:r>
    </w:p>
    <w:p w14:paraId="32B4421F"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lastRenderedPageBreak/>
        <w:t xml:space="preserve">Khaleel, S. I., Ali, B. A., and Othman, Z. S. (2017). </w:t>
      </w:r>
      <w:r w:rsidRPr="00A65C61">
        <w:rPr>
          <w:rFonts w:asciiTheme="majorBidi" w:hAnsiTheme="majorBidi" w:cstheme="majorBidi"/>
          <w:i/>
          <w:iCs/>
          <w:color w:val="000000"/>
          <w:sz w:val="28"/>
          <w:szCs w:val="28"/>
        </w:rPr>
        <w:t>“Shear strength and behavior of reinforced concrete corbels containing either carbon fibers or stirrups”</w:t>
      </w:r>
      <w:r w:rsidRPr="00A65C61">
        <w:rPr>
          <w:rFonts w:asciiTheme="majorBidi" w:hAnsiTheme="majorBidi" w:cstheme="majorBidi"/>
          <w:color w:val="000000"/>
          <w:sz w:val="28"/>
          <w:szCs w:val="28"/>
        </w:rPr>
        <w:t xml:space="preserve">. (Zanco Journal of Pure and Applied Sciences, Vol. 29, No. 5, pp. 10-21. </w:t>
      </w:r>
      <w:r w:rsidRPr="00A65C61">
        <w:rPr>
          <w:rFonts w:asciiTheme="majorBidi" w:hAnsiTheme="majorBidi" w:cstheme="majorBidi"/>
          <w:color w:val="156082" w:themeColor="accent1"/>
          <w:sz w:val="28"/>
          <w:szCs w:val="28"/>
        </w:rPr>
        <w:t>https://doi.org/10.21271/zjpas.29.5.2.</w:t>
      </w:r>
    </w:p>
    <w:p w14:paraId="4859749B"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Yang, J. M., Lee, J. H., Yoon, Y. S., Cook, W. D., and Mitchell, D. (2012). “</w:t>
      </w:r>
      <w:r w:rsidRPr="00A65C61">
        <w:rPr>
          <w:rFonts w:asciiTheme="majorBidi" w:hAnsiTheme="majorBidi" w:cstheme="majorBidi"/>
          <w:i/>
          <w:iCs/>
          <w:color w:val="000000"/>
          <w:sz w:val="28"/>
          <w:szCs w:val="28"/>
        </w:rPr>
        <w:t>Influence of steel fibers and headed bars on the serviceability of high-strength concrete corbels”</w:t>
      </w:r>
      <w:r w:rsidRPr="00A65C61">
        <w:rPr>
          <w:rFonts w:asciiTheme="majorBidi" w:hAnsiTheme="majorBidi" w:cstheme="majorBidi"/>
          <w:color w:val="000000"/>
          <w:sz w:val="28"/>
          <w:szCs w:val="28"/>
        </w:rPr>
        <w:t>. Journal of Structural Engineering, Vol. 138, No. 1, pp. 123–129.</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https://doi.org/10.1061/(asce)0733-9445(2008)134:3(448)</w:t>
      </w:r>
    </w:p>
    <w:p w14:paraId="2ADB33E1"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000000"/>
          <w:sz w:val="28"/>
          <w:szCs w:val="28"/>
        </w:rPr>
      </w:pPr>
      <w:proofErr w:type="spellStart"/>
      <w:r w:rsidRPr="00A65C61">
        <w:rPr>
          <w:rFonts w:asciiTheme="majorBidi" w:hAnsiTheme="majorBidi" w:cstheme="majorBidi"/>
          <w:color w:val="000000"/>
          <w:sz w:val="28"/>
          <w:szCs w:val="28"/>
        </w:rPr>
        <w:t>FattuhiI</w:t>
      </w:r>
      <w:proofErr w:type="spellEnd"/>
      <w:r w:rsidRPr="00A65C61">
        <w:rPr>
          <w:rFonts w:asciiTheme="majorBidi" w:hAnsiTheme="majorBidi" w:cstheme="majorBidi"/>
          <w:color w:val="000000"/>
          <w:sz w:val="28"/>
          <w:szCs w:val="28"/>
        </w:rPr>
        <w:t>, N. I. (1989). “</w:t>
      </w:r>
      <w:r w:rsidRPr="00A65C61">
        <w:rPr>
          <w:rFonts w:asciiTheme="majorBidi" w:hAnsiTheme="majorBidi" w:cstheme="majorBidi"/>
          <w:i/>
          <w:iCs/>
          <w:color w:val="000000"/>
          <w:sz w:val="28"/>
          <w:szCs w:val="28"/>
        </w:rPr>
        <w:t>Reinforced steel fiber concrete corbels with various shear span- to-depth ratios”</w:t>
      </w:r>
      <w:r w:rsidRPr="00A65C61">
        <w:rPr>
          <w:rFonts w:asciiTheme="majorBidi" w:hAnsiTheme="majorBidi" w:cstheme="majorBidi"/>
          <w:color w:val="000000"/>
          <w:sz w:val="28"/>
          <w:szCs w:val="28"/>
        </w:rPr>
        <w:t xml:space="preserve">. American Concrete Institute, Vol. 86, No. 6, pp. 590–596. </w:t>
      </w:r>
      <w:r w:rsidRPr="00A65C61">
        <w:rPr>
          <w:rFonts w:asciiTheme="majorBidi" w:hAnsiTheme="majorBidi" w:cstheme="majorBidi"/>
          <w:color w:val="156082" w:themeColor="accent1"/>
          <w:sz w:val="28"/>
          <w:szCs w:val="28"/>
        </w:rPr>
        <w:t>https://doi.org/10.14359/2243.</w:t>
      </w:r>
    </w:p>
    <w:p w14:paraId="366202D9"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proofErr w:type="spellStart"/>
      <w:r w:rsidRPr="00A65C61">
        <w:rPr>
          <w:rFonts w:asciiTheme="majorBidi" w:hAnsiTheme="majorBidi" w:cstheme="majorBidi"/>
          <w:color w:val="000000"/>
          <w:sz w:val="28"/>
          <w:szCs w:val="28"/>
        </w:rPr>
        <w:t>Fattuhi</w:t>
      </w:r>
      <w:proofErr w:type="spellEnd"/>
      <w:r w:rsidRPr="00A65C61">
        <w:rPr>
          <w:rFonts w:asciiTheme="majorBidi" w:hAnsiTheme="majorBidi" w:cstheme="majorBidi"/>
          <w:color w:val="000000"/>
          <w:sz w:val="28"/>
          <w:szCs w:val="28"/>
        </w:rPr>
        <w:t>, N. I. (1990). “</w:t>
      </w:r>
      <w:r w:rsidRPr="00A65C61">
        <w:rPr>
          <w:rFonts w:asciiTheme="majorBidi" w:hAnsiTheme="majorBidi" w:cstheme="majorBidi"/>
          <w:i/>
          <w:iCs/>
          <w:color w:val="000000"/>
          <w:sz w:val="28"/>
          <w:szCs w:val="28"/>
        </w:rPr>
        <w:t xml:space="preserve">Strength of SFRC corbels subjected to vertical load”. </w:t>
      </w:r>
      <w:r w:rsidRPr="00A65C61">
        <w:rPr>
          <w:rFonts w:asciiTheme="majorBidi" w:hAnsiTheme="majorBidi" w:cstheme="majorBidi"/>
          <w:color w:val="000000"/>
          <w:sz w:val="28"/>
          <w:szCs w:val="28"/>
        </w:rPr>
        <w:t xml:space="preserve">Journal of Structural Engineering, Vol. 116, No. 3, pp. 701–718. </w:t>
      </w:r>
      <w:r w:rsidRPr="00A65C61">
        <w:rPr>
          <w:rFonts w:asciiTheme="majorBidi" w:hAnsiTheme="majorBidi" w:cstheme="majorBidi"/>
          <w:color w:val="156082" w:themeColor="accent1"/>
          <w:sz w:val="28"/>
          <w:szCs w:val="28"/>
        </w:rPr>
        <w:t>https://doi.org/10.1061/(asce)0733-9445(1990)116:3(701).</w:t>
      </w:r>
    </w:p>
    <w:p w14:paraId="69141CF1"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Walid </w:t>
      </w:r>
      <w:proofErr w:type="spellStart"/>
      <w:r w:rsidRPr="00A65C61">
        <w:rPr>
          <w:rFonts w:asciiTheme="majorBidi" w:hAnsiTheme="majorBidi" w:cstheme="majorBidi"/>
          <w:color w:val="000000"/>
          <w:sz w:val="28"/>
          <w:szCs w:val="28"/>
        </w:rPr>
        <w:t>Elkamash</w:t>
      </w:r>
      <w:proofErr w:type="spellEnd"/>
      <w:r w:rsidRPr="00A65C61">
        <w:rPr>
          <w:rFonts w:asciiTheme="majorBidi" w:hAnsiTheme="majorBidi" w:cstheme="majorBidi"/>
          <w:color w:val="000000"/>
          <w:sz w:val="28"/>
          <w:szCs w:val="28"/>
        </w:rPr>
        <w:t xml:space="preserve">, C.H.,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Numerical Study of R.C. Beams Strengthening by External Steel Plate</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w:t>
      </w:r>
      <w:r w:rsidRPr="00A65C61">
        <w:rPr>
          <w:rFonts w:asciiTheme="majorBidi" w:hAnsiTheme="majorBidi" w:cstheme="majorBidi"/>
          <w:color w:val="000000"/>
          <w:sz w:val="28"/>
          <w:szCs w:val="28"/>
        </w:rPr>
        <w:t xml:space="preserve"> AJER</w:t>
      </w:r>
      <w:r w:rsidRPr="00A65C61">
        <w:rPr>
          <w:rFonts w:asciiTheme="majorBidi" w:hAnsiTheme="majorBidi" w:cstheme="majorBidi"/>
          <w:color w:val="000000"/>
          <w:sz w:val="28"/>
          <w:szCs w:val="28"/>
          <w:rtl/>
        </w:rPr>
        <w:t xml:space="preserve"> </w:t>
      </w:r>
      <w:r w:rsidRPr="00A65C61">
        <w:rPr>
          <w:rFonts w:asciiTheme="majorBidi" w:hAnsiTheme="majorBidi" w:cstheme="majorBidi"/>
          <w:color w:val="000000"/>
          <w:sz w:val="28"/>
          <w:szCs w:val="28"/>
        </w:rPr>
        <w:t xml:space="preserve">Journal, Vol. </w:t>
      </w:r>
      <w:r w:rsidRPr="00A65C61">
        <w:rPr>
          <w:rFonts w:asciiTheme="majorBidi" w:hAnsiTheme="majorBidi" w:cstheme="majorBidi"/>
          <w:color w:val="000000"/>
          <w:sz w:val="28"/>
          <w:szCs w:val="28"/>
          <w:rtl/>
        </w:rPr>
        <w:t>6</w:t>
      </w:r>
      <w:r w:rsidRPr="00A65C61">
        <w:rPr>
          <w:rFonts w:asciiTheme="majorBidi" w:hAnsiTheme="majorBidi" w:cstheme="majorBidi"/>
          <w:color w:val="000000"/>
          <w:sz w:val="28"/>
          <w:szCs w:val="28"/>
        </w:rPr>
        <w:t>, No.</w:t>
      </w:r>
      <w:r w:rsidRPr="00A65C61">
        <w:rPr>
          <w:rFonts w:asciiTheme="majorBidi" w:hAnsiTheme="majorBidi" w:cstheme="majorBidi"/>
          <w:color w:val="000000"/>
          <w:sz w:val="28"/>
          <w:szCs w:val="28"/>
          <w:rtl/>
        </w:rPr>
        <w:t>3</w:t>
      </w:r>
      <w:r w:rsidRPr="00A65C61">
        <w:rPr>
          <w:rFonts w:asciiTheme="majorBidi" w:hAnsiTheme="majorBidi" w:cstheme="majorBidi"/>
          <w:color w:val="000000"/>
          <w:sz w:val="28"/>
          <w:szCs w:val="28"/>
        </w:rPr>
        <w:t>, Feb.,</w:t>
      </w:r>
      <w:r w:rsidRPr="00A65C61">
        <w:rPr>
          <w:rFonts w:asciiTheme="majorBidi" w:hAnsiTheme="majorBidi" w:cstheme="majorBidi"/>
          <w:color w:val="000000"/>
          <w:sz w:val="28"/>
          <w:szCs w:val="28"/>
          <w:rtl/>
        </w:rPr>
        <w:t>2017</w:t>
      </w:r>
      <w:r w:rsidRPr="00A65C61">
        <w:rPr>
          <w:rFonts w:asciiTheme="majorBidi" w:hAnsiTheme="majorBidi" w:cstheme="majorBidi"/>
          <w:color w:val="000000"/>
          <w:sz w:val="28"/>
          <w:szCs w:val="28"/>
        </w:rPr>
        <w:t>, pp.</w:t>
      </w:r>
      <w:r w:rsidRPr="00A65C61">
        <w:rPr>
          <w:rFonts w:asciiTheme="majorBidi" w:hAnsiTheme="majorBidi" w:cstheme="majorBidi"/>
          <w:color w:val="000000"/>
          <w:sz w:val="28"/>
          <w:szCs w:val="28"/>
          <w:rtl/>
        </w:rPr>
        <w:t>48</w:t>
      </w:r>
      <w:r w:rsidRPr="00A65C61">
        <w:rPr>
          <w:rFonts w:asciiTheme="majorBidi" w:hAnsiTheme="majorBidi" w:cstheme="majorBidi"/>
          <w:color w:val="000000"/>
          <w:sz w:val="28"/>
          <w:szCs w:val="28"/>
        </w:rPr>
        <w:t>-</w:t>
      </w:r>
      <w:r w:rsidRPr="00A65C61">
        <w:rPr>
          <w:rFonts w:asciiTheme="majorBidi" w:hAnsiTheme="majorBidi" w:cstheme="majorBidi"/>
          <w:color w:val="000000"/>
          <w:sz w:val="28"/>
          <w:szCs w:val="28"/>
          <w:rtl/>
        </w:rPr>
        <w:t>56</w:t>
      </w:r>
      <w:r w:rsidRPr="00A65C61">
        <w:rPr>
          <w:rFonts w:asciiTheme="majorBidi" w:hAnsiTheme="majorBidi" w:cstheme="majorBidi"/>
          <w:color w:val="000000"/>
          <w:sz w:val="28"/>
          <w:szCs w:val="28"/>
        </w:rPr>
        <w:t>.</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http://www.ajer.org.</w:t>
      </w:r>
    </w:p>
    <w:p w14:paraId="43A728C9"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000000"/>
          <w:sz w:val="28"/>
          <w:szCs w:val="28"/>
        </w:rPr>
      </w:pPr>
      <w:r w:rsidRPr="00A65C61">
        <w:rPr>
          <w:rFonts w:asciiTheme="majorBidi" w:hAnsiTheme="majorBidi" w:cstheme="majorBidi"/>
          <w:color w:val="000000"/>
          <w:sz w:val="28"/>
          <w:szCs w:val="28"/>
        </w:rPr>
        <w:t xml:space="preserve"> Paul </w:t>
      </w:r>
      <w:proofErr w:type="spellStart"/>
      <w:r w:rsidRPr="00A65C61">
        <w:rPr>
          <w:rFonts w:asciiTheme="majorBidi" w:hAnsiTheme="majorBidi" w:cstheme="majorBidi"/>
          <w:color w:val="000000"/>
          <w:sz w:val="28"/>
          <w:szCs w:val="28"/>
        </w:rPr>
        <w:t>ciobanu</w:t>
      </w:r>
      <w:proofErr w:type="spellEnd"/>
      <w:r w:rsidRPr="00A65C61">
        <w:rPr>
          <w:rFonts w:asciiTheme="majorBidi" w:hAnsiTheme="majorBidi" w:cstheme="majorBidi"/>
          <w:color w:val="000000"/>
          <w:sz w:val="28"/>
          <w:szCs w:val="28"/>
        </w:rPr>
        <w:t xml:space="preserve">, Nicolae </w:t>
      </w:r>
      <w:proofErr w:type="spellStart"/>
      <w:r w:rsidRPr="00A65C61">
        <w:rPr>
          <w:rFonts w:asciiTheme="majorBidi" w:hAnsiTheme="majorBidi" w:cstheme="majorBidi"/>
          <w:color w:val="000000"/>
          <w:sz w:val="28"/>
          <w:szCs w:val="28"/>
        </w:rPr>
        <w:t>ţăranu</w:t>
      </w:r>
      <w:proofErr w:type="spellEnd"/>
      <w:r w:rsidRPr="00A65C61">
        <w:rPr>
          <w:rFonts w:asciiTheme="majorBidi" w:hAnsiTheme="majorBidi" w:cstheme="majorBidi"/>
          <w:color w:val="000000"/>
          <w:sz w:val="28"/>
          <w:szCs w:val="28"/>
        </w:rPr>
        <w:t xml:space="preserve">, Sergiu </w:t>
      </w:r>
      <w:proofErr w:type="spellStart"/>
      <w:r w:rsidRPr="00A65C61">
        <w:rPr>
          <w:rFonts w:asciiTheme="majorBidi" w:hAnsiTheme="majorBidi" w:cstheme="majorBidi"/>
          <w:color w:val="000000"/>
          <w:sz w:val="28"/>
          <w:szCs w:val="28"/>
        </w:rPr>
        <w:t>popoaei</w:t>
      </w:r>
      <w:proofErr w:type="spellEnd"/>
      <w:r w:rsidRPr="00A65C61">
        <w:rPr>
          <w:rFonts w:asciiTheme="majorBidi" w:hAnsiTheme="majorBidi" w:cstheme="majorBidi"/>
          <w:color w:val="000000"/>
          <w:sz w:val="28"/>
          <w:szCs w:val="28"/>
        </w:rPr>
        <w:t xml:space="preserve"> and </w:t>
      </w:r>
      <w:proofErr w:type="spellStart"/>
      <w:r w:rsidRPr="00A65C61">
        <w:rPr>
          <w:rFonts w:asciiTheme="majorBidi" w:hAnsiTheme="majorBidi" w:cstheme="majorBidi"/>
          <w:color w:val="000000"/>
          <w:sz w:val="28"/>
          <w:szCs w:val="28"/>
        </w:rPr>
        <w:t>Dragoş</w:t>
      </w:r>
      <w:proofErr w:type="spellEnd"/>
      <w:r w:rsidRPr="00A65C61">
        <w:rPr>
          <w:rFonts w:asciiTheme="majorBidi" w:hAnsiTheme="majorBidi" w:cstheme="majorBidi"/>
          <w:color w:val="000000"/>
          <w:sz w:val="28"/>
          <w:szCs w:val="28"/>
        </w:rPr>
        <w:t xml:space="preserve"> Banu</w:t>
      </w:r>
      <w:r w:rsidRPr="00A65C61">
        <w:rPr>
          <w:rFonts w:asciiTheme="majorBidi" w:hAnsiTheme="majorBidi" w:cstheme="majorBidi"/>
          <w:i/>
          <w:iCs/>
          <w:color w:val="000000"/>
          <w:sz w:val="28"/>
          <w:szCs w:val="28"/>
        </w:rPr>
        <w:t>, "Structural response of reinforced concrete beams strengthened in flexure with near surface mounted fiber</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w:t>
      </w:r>
      <w:r w:rsidRPr="00A65C61">
        <w:rPr>
          <w:rFonts w:asciiTheme="majorBidi" w:hAnsiTheme="majorBidi" w:cstheme="majorBidi"/>
          <w:color w:val="000000"/>
          <w:sz w:val="28"/>
          <w:szCs w:val="28"/>
        </w:rPr>
        <w:t xml:space="preserve"> Research submitted to the </w:t>
      </w:r>
      <w:proofErr w:type="spellStart"/>
      <w:r w:rsidRPr="00A65C61">
        <w:rPr>
          <w:rFonts w:asciiTheme="majorBidi" w:hAnsiTheme="majorBidi" w:cstheme="majorBidi"/>
          <w:color w:val="000000"/>
          <w:sz w:val="28"/>
          <w:szCs w:val="28"/>
        </w:rPr>
        <w:t>Universitatea</w:t>
      </w:r>
      <w:proofErr w:type="spellEnd"/>
      <w:r w:rsidRPr="00A65C61">
        <w:rPr>
          <w:rFonts w:asciiTheme="majorBidi" w:hAnsiTheme="majorBidi" w:cstheme="majorBidi"/>
          <w:color w:val="000000"/>
          <w:sz w:val="28"/>
          <w:szCs w:val="28"/>
        </w:rPr>
        <w:t xml:space="preserve"> </w:t>
      </w:r>
      <w:proofErr w:type="spellStart"/>
      <w:r w:rsidRPr="00A65C61">
        <w:rPr>
          <w:rFonts w:asciiTheme="majorBidi" w:hAnsiTheme="majorBidi" w:cstheme="majorBidi"/>
          <w:color w:val="000000"/>
          <w:sz w:val="28"/>
          <w:szCs w:val="28"/>
        </w:rPr>
        <w:t>Tehnică</w:t>
      </w:r>
      <w:proofErr w:type="spellEnd"/>
      <w:r w:rsidRPr="00A65C61">
        <w:rPr>
          <w:rFonts w:asciiTheme="majorBidi" w:hAnsiTheme="majorBidi" w:cstheme="majorBidi"/>
          <w:color w:val="000000"/>
          <w:sz w:val="28"/>
          <w:szCs w:val="28"/>
        </w:rPr>
        <w:t xml:space="preserve"> "Gheorghe </w:t>
      </w:r>
      <w:proofErr w:type="spellStart"/>
      <w:r w:rsidRPr="00A65C61">
        <w:rPr>
          <w:rFonts w:asciiTheme="majorBidi" w:hAnsiTheme="majorBidi" w:cstheme="majorBidi"/>
          <w:color w:val="000000"/>
          <w:sz w:val="28"/>
          <w:szCs w:val="28"/>
        </w:rPr>
        <w:t>Asachi</w:t>
      </w:r>
      <w:proofErr w:type="spellEnd"/>
      <w:r w:rsidRPr="00A65C61">
        <w:rPr>
          <w:rFonts w:asciiTheme="majorBidi" w:hAnsiTheme="majorBidi" w:cstheme="majorBidi"/>
          <w:color w:val="000000"/>
          <w:sz w:val="28"/>
          <w:szCs w:val="28"/>
        </w:rPr>
        <w:t xml:space="preserve">” din </w:t>
      </w:r>
      <w:proofErr w:type="spellStart"/>
      <w:r w:rsidRPr="00A65C61">
        <w:rPr>
          <w:rFonts w:asciiTheme="majorBidi" w:hAnsiTheme="majorBidi" w:cstheme="majorBidi"/>
          <w:color w:val="000000"/>
          <w:sz w:val="28"/>
          <w:szCs w:val="28"/>
        </w:rPr>
        <w:t>Iaşi</w:t>
      </w:r>
      <w:proofErr w:type="spellEnd"/>
      <w:r w:rsidRPr="00A65C61">
        <w:rPr>
          <w:rFonts w:asciiTheme="majorBidi" w:hAnsiTheme="majorBidi" w:cstheme="majorBidi"/>
          <w:color w:val="000000"/>
          <w:sz w:val="28"/>
          <w:szCs w:val="28"/>
        </w:rPr>
        <w:t>, 29-9-2012.</w:t>
      </w:r>
    </w:p>
    <w:p w14:paraId="7ED47BAF"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Ivanova, I. and </w:t>
      </w:r>
      <w:proofErr w:type="spellStart"/>
      <w:r w:rsidRPr="00A65C61">
        <w:rPr>
          <w:rFonts w:asciiTheme="majorBidi" w:hAnsiTheme="majorBidi" w:cstheme="majorBidi"/>
          <w:color w:val="000000"/>
          <w:sz w:val="28"/>
          <w:szCs w:val="28"/>
        </w:rPr>
        <w:t>Assih</w:t>
      </w:r>
      <w:proofErr w:type="spellEnd"/>
      <w:r w:rsidRPr="00A65C61">
        <w:rPr>
          <w:rFonts w:asciiTheme="majorBidi" w:hAnsiTheme="majorBidi" w:cstheme="majorBidi"/>
          <w:color w:val="000000"/>
          <w:sz w:val="28"/>
          <w:szCs w:val="28"/>
        </w:rPr>
        <w:t xml:space="preserve">, J.,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Experimental Study of Local Behavior of Strengthened Reinforced Concrete Short Corbel by Bonding Carbon Fiber Fabrics</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w:t>
      </w:r>
      <w:r w:rsidRPr="00A65C61">
        <w:rPr>
          <w:rFonts w:asciiTheme="majorBidi" w:hAnsiTheme="majorBidi" w:cstheme="majorBidi"/>
          <w:color w:val="000000"/>
          <w:sz w:val="28"/>
          <w:szCs w:val="28"/>
        </w:rPr>
        <w:t xml:space="preserve"> International Journal of Structural and Civil Engineering </w:t>
      </w:r>
      <w:proofErr w:type="gramStart"/>
      <w:r w:rsidRPr="00A65C61">
        <w:rPr>
          <w:rFonts w:asciiTheme="majorBidi" w:hAnsiTheme="majorBidi" w:cstheme="majorBidi"/>
          <w:color w:val="000000"/>
          <w:sz w:val="28"/>
          <w:szCs w:val="28"/>
        </w:rPr>
        <w:t>Researches,vol.</w:t>
      </w:r>
      <w:proofErr w:type="gramEnd"/>
      <w:r w:rsidRPr="00A65C61">
        <w:rPr>
          <w:rFonts w:asciiTheme="majorBidi" w:hAnsiTheme="majorBidi" w:cstheme="majorBidi"/>
          <w:color w:val="000000"/>
          <w:sz w:val="28"/>
          <w:szCs w:val="28"/>
        </w:rPr>
        <w:t>4, no.1,February, 2015.</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http://dx.doi.org/10.18178/ijscer.</w:t>
      </w:r>
    </w:p>
    <w:p w14:paraId="3899F285"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Kim, S.M., Cho, Y.K., and Pkar, B.K</w:t>
      </w:r>
      <w:r w:rsidRPr="00A65C61">
        <w:rPr>
          <w:rFonts w:asciiTheme="majorBidi" w:hAnsiTheme="majorBidi" w:cstheme="majorBidi"/>
          <w:i/>
          <w:iCs/>
          <w:color w:val="000000"/>
          <w:sz w:val="28"/>
          <w:szCs w:val="28"/>
        </w:rPr>
        <w:t xml:space="preserve">.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color w:val="000000"/>
          <w:sz w:val="28"/>
          <w:szCs w:val="28"/>
        </w:rPr>
        <w:t xml:space="preserve">Experimental and Numerical Evaluation </w:t>
      </w:r>
      <w:proofErr w:type="gramStart"/>
      <w:r w:rsidRPr="00A65C61">
        <w:rPr>
          <w:rFonts w:asciiTheme="majorBidi" w:hAnsiTheme="majorBidi" w:cstheme="majorBidi"/>
          <w:i/>
          <w:iCs/>
          <w:color w:val="000000"/>
          <w:sz w:val="28"/>
          <w:szCs w:val="28"/>
        </w:rPr>
        <w:t>of  Reinforced</w:t>
      </w:r>
      <w:proofErr w:type="gramEnd"/>
      <w:r w:rsidRPr="00A65C61">
        <w:rPr>
          <w:rFonts w:asciiTheme="majorBidi" w:hAnsiTheme="majorBidi" w:cstheme="majorBidi"/>
          <w:i/>
          <w:iCs/>
          <w:color w:val="000000"/>
          <w:sz w:val="28"/>
          <w:szCs w:val="28"/>
        </w:rPr>
        <w:t xml:space="preserve"> Concrete Bracket Design for Supporting Middle Slap in double-Deck Tunnel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color w:val="000000"/>
          <w:sz w:val="28"/>
          <w:szCs w:val="28"/>
        </w:rPr>
        <w:t>Journal. KSCEN., Vol. 23, No.8, March 2019, ISSN 3682- 3693.</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https://doi.org/10.1007/s12205-019-0112-4.</w:t>
      </w:r>
    </w:p>
    <w:p w14:paraId="04F99B3B"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156082" w:themeColor="accent1"/>
          <w:sz w:val="28"/>
          <w:szCs w:val="28"/>
        </w:rPr>
      </w:pPr>
      <w:r w:rsidRPr="00A65C61">
        <w:rPr>
          <w:rFonts w:asciiTheme="majorBidi" w:hAnsiTheme="majorBidi" w:cstheme="majorBidi"/>
          <w:color w:val="000000"/>
          <w:sz w:val="28"/>
          <w:szCs w:val="28"/>
        </w:rPr>
        <w:t xml:space="preserve">Khalifa, E. S., </w:t>
      </w:r>
      <w:r w:rsidRPr="00A65C61">
        <w:rPr>
          <w:rFonts w:asciiTheme="majorBidi" w:hAnsiTheme="majorBidi" w:cstheme="majorBidi"/>
          <w:i/>
          <w:iCs/>
          <w:color w:val="000000"/>
          <w:sz w:val="28"/>
          <w:szCs w:val="28"/>
        </w:rPr>
        <w:t xml:space="preserve">“Macro-mechanical Strut and Tie Model for Analysis of Fibrous High-Strength Concrete Corbels”, </w:t>
      </w:r>
      <w:r w:rsidRPr="00A65C61">
        <w:rPr>
          <w:rFonts w:asciiTheme="majorBidi" w:hAnsiTheme="majorBidi" w:cstheme="majorBidi"/>
          <w:color w:val="000000"/>
          <w:sz w:val="28"/>
          <w:szCs w:val="28"/>
        </w:rPr>
        <w:t>Ain Shams Engineering Journal, V. 3, Issue 4, December 2012, Pages 359–365.</w:t>
      </w:r>
      <w:r w:rsidRPr="00A65C61">
        <w:rPr>
          <w:rFonts w:asciiTheme="majorBidi" w:hAnsiTheme="majorBidi" w:cstheme="majorBidi"/>
          <w:sz w:val="28"/>
          <w:szCs w:val="28"/>
        </w:rPr>
        <w:t xml:space="preserve"> </w:t>
      </w:r>
      <w:r w:rsidRPr="00A65C61">
        <w:rPr>
          <w:rFonts w:asciiTheme="majorBidi" w:hAnsiTheme="majorBidi" w:cstheme="majorBidi"/>
          <w:color w:val="156082" w:themeColor="accent1"/>
          <w:sz w:val="28"/>
          <w:szCs w:val="28"/>
        </w:rPr>
        <w:t>https://doi.org/10.1016/j.asej.2012.04.004.</w:t>
      </w:r>
    </w:p>
    <w:p w14:paraId="76C4E1C6" w14:textId="77777777" w:rsidR="005677EF" w:rsidRPr="00A65C61" w:rsidRDefault="005677EF" w:rsidP="005677EF">
      <w:pPr>
        <w:autoSpaceDE w:val="0"/>
        <w:autoSpaceDN w:val="0"/>
        <w:bidi w:val="0"/>
        <w:adjustRightInd w:val="0"/>
        <w:spacing w:after="0" w:line="240" w:lineRule="auto"/>
        <w:jc w:val="both"/>
        <w:rPr>
          <w:rFonts w:asciiTheme="majorBidi" w:hAnsiTheme="majorBidi" w:cstheme="majorBidi"/>
          <w:color w:val="000000"/>
          <w:sz w:val="28"/>
          <w:szCs w:val="28"/>
        </w:rPr>
      </w:pPr>
    </w:p>
    <w:p w14:paraId="7A1663BC" w14:textId="77777777" w:rsidR="005677EF" w:rsidRPr="00A65C61" w:rsidRDefault="005677EF" w:rsidP="005677EF">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t xml:space="preserve">Central Organization for Standardization and Quality Control (1984).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Ordinary Portland cement</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 xml:space="preserve"> Iraqi </w:t>
      </w:r>
      <w:proofErr w:type="gramStart"/>
      <w:r w:rsidRPr="00A65C61">
        <w:rPr>
          <w:rFonts w:asciiTheme="majorBidi" w:hAnsiTheme="majorBidi" w:cstheme="majorBidi"/>
          <w:sz w:val="28"/>
          <w:szCs w:val="28"/>
        </w:rPr>
        <w:t>Standard</w:t>
      </w:r>
      <w:r w:rsidRPr="00A65C61">
        <w:rPr>
          <w:rFonts w:asciiTheme="majorBidi" w:hAnsiTheme="majorBidi" w:cstheme="majorBidi"/>
          <w:sz w:val="28"/>
          <w:szCs w:val="28"/>
          <w:rtl/>
        </w:rPr>
        <w:t xml:space="preserve"> </w:t>
      </w:r>
      <w:r w:rsidRPr="00A65C61">
        <w:rPr>
          <w:rFonts w:asciiTheme="majorBidi" w:hAnsiTheme="majorBidi" w:cstheme="majorBidi"/>
          <w:sz w:val="28"/>
          <w:szCs w:val="28"/>
        </w:rPr>
        <w:t xml:space="preserve"> Specification</w:t>
      </w:r>
      <w:proofErr w:type="gramEnd"/>
      <w:r w:rsidRPr="00A65C61">
        <w:rPr>
          <w:rFonts w:asciiTheme="majorBidi" w:hAnsiTheme="majorBidi" w:cstheme="majorBidi"/>
          <w:sz w:val="28"/>
          <w:szCs w:val="28"/>
        </w:rPr>
        <w:t xml:space="preserve"> (IQS). No.5/1984, Baghdad, Iraq.</w:t>
      </w:r>
    </w:p>
    <w:p w14:paraId="47FD1869" w14:textId="77777777" w:rsidR="005677EF" w:rsidRPr="00A65C61" w:rsidRDefault="005677EF" w:rsidP="005677EF">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t xml:space="preserve">Central Organization for Standardization and Quality Control (1984).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Ordinary Portland cement</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 xml:space="preserve"> Iraqi </w:t>
      </w:r>
      <w:proofErr w:type="gramStart"/>
      <w:r w:rsidRPr="00A65C61">
        <w:rPr>
          <w:rFonts w:asciiTheme="majorBidi" w:hAnsiTheme="majorBidi" w:cstheme="majorBidi"/>
          <w:sz w:val="28"/>
          <w:szCs w:val="28"/>
        </w:rPr>
        <w:t>Standard</w:t>
      </w:r>
      <w:r w:rsidRPr="00A65C61">
        <w:rPr>
          <w:rFonts w:asciiTheme="majorBidi" w:hAnsiTheme="majorBidi" w:cstheme="majorBidi"/>
          <w:sz w:val="28"/>
          <w:szCs w:val="28"/>
          <w:rtl/>
        </w:rPr>
        <w:t xml:space="preserve"> </w:t>
      </w:r>
      <w:r w:rsidRPr="00A65C61">
        <w:rPr>
          <w:rFonts w:asciiTheme="majorBidi" w:hAnsiTheme="majorBidi" w:cstheme="majorBidi"/>
          <w:sz w:val="28"/>
          <w:szCs w:val="28"/>
        </w:rPr>
        <w:t xml:space="preserve"> Specification</w:t>
      </w:r>
      <w:proofErr w:type="gramEnd"/>
      <w:r w:rsidRPr="00A65C61">
        <w:rPr>
          <w:rFonts w:asciiTheme="majorBidi" w:hAnsiTheme="majorBidi" w:cstheme="majorBidi"/>
          <w:sz w:val="28"/>
          <w:szCs w:val="28"/>
        </w:rPr>
        <w:t xml:space="preserve"> (IQS). No.5/1984, Baghdad, Iraq.</w:t>
      </w:r>
    </w:p>
    <w:p w14:paraId="539E4A63" w14:textId="77777777" w:rsidR="005677EF" w:rsidRPr="00A65C61" w:rsidRDefault="005677EF" w:rsidP="005677EF">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t xml:space="preserve">Central Organization for Standardization and Quality Control (1984). Iraqi Standard Specification (IQS).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Natural Aggregate</w:t>
      </w:r>
      <w:proofErr w:type="gramStart"/>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No.</w:t>
      </w:r>
      <w:proofErr w:type="gramEnd"/>
      <w:r w:rsidRPr="00A65C61">
        <w:rPr>
          <w:rFonts w:asciiTheme="majorBidi" w:hAnsiTheme="majorBidi" w:cstheme="majorBidi"/>
          <w:sz w:val="28"/>
          <w:szCs w:val="28"/>
        </w:rPr>
        <w:t>45/ 1984, Baghdad, Iraq.</w:t>
      </w:r>
    </w:p>
    <w:p w14:paraId="7A98946C" w14:textId="77777777" w:rsidR="005677EF" w:rsidRPr="00A65C61" w:rsidRDefault="005677EF" w:rsidP="005677EF">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lastRenderedPageBreak/>
        <w:t>ASTM C370-05</w:t>
      </w:r>
    </w:p>
    <w:p w14:paraId="4A82F8FB" w14:textId="77777777" w:rsidR="005677EF" w:rsidRPr="00A65C61" w:rsidRDefault="005677EF" w:rsidP="005677EF">
      <w:pPr>
        <w:pStyle w:val="ListParagraph"/>
        <w:numPr>
          <w:ilvl w:val="0"/>
          <w:numId w:val="5"/>
        </w:numPr>
        <w:autoSpaceDE w:val="0"/>
        <w:autoSpaceDN w:val="0"/>
        <w:bidi w:val="0"/>
        <w:adjustRightInd w:val="0"/>
        <w:spacing w:after="27" w:line="240" w:lineRule="auto"/>
        <w:jc w:val="both"/>
        <w:rPr>
          <w:rFonts w:asciiTheme="majorBidi" w:hAnsiTheme="majorBidi" w:cstheme="majorBidi"/>
          <w:sz w:val="28"/>
          <w:szCs w:val="28"/>
        </w:rPr>
      </w:pPr>
      <w:r w:rsidRPr="00A65C61">
        <w:rPr>
          <w:rFonts w:asciiTheme="majorBidi" w:hAnsiTheme="majorBidi" w:cstheme="majorBidi"/>
          <w:sz w:val="28"/>
          <w:szCs w:val="28"/>
        </w:rPr>
        <w:t xml:space="preserve">ASTM C1240-04,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Standard Specification for the Use of Silica Fume as a Mineral Admixture in Hydraulic Cement Concrete, Mortar and Grout</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 xml:space="preserve">, </w:t>
      </w:r>
      <w:r w:rsidRPr="00A65C61">
        <w:rPr>
          <w:rFonts w:asciiTheme="majorBidi" w:hAnsiTheme="majorBidi" w:cstheme="majorBidi"/>
          <w:sz w:val="28"/>
          <w:szCs w:val="28"/>
        </w:rPr>
        <w:t>ASTM International, West Conshohocken, PA,2004.</w:t>
      </w:r>
    </w:p>
    <w:p w14:paraId="1D9697DE" w14:textId="77777777" w:rsidR="005677EF" w:rsidRPr="00A65C61" w:rsidRDefault="005677EF" w:rsidP="005677EF">
      <w:pPr>
        <w:pStyle w:val="ListParagraph"/>
        <w:bidi w:val="0"/>
        <w:spacing w:after="0"/>
        <w:ind w:left="900"/>
        <w:jc w:val="both"/>
        <w:rPr>
          <w:rFonts w:asciiTheme="majorBidi" w:hAnsiTheme="majorBidi" w:cstheme="majorBidi"/>
          <w:color w:val="156082" w:themeColor="accent1"/>
          <w:sz w:val="28"/>
          <w:szCs w:val="28"/>
        </w:rPr>
      </w:pPr>
      <w:r w:rsidRPr="00A65C61">
        <w:rPr>
          <w:rFonts w:asciiTheme="majorBidi" w:hAnsiTheme="majorBidi" w:cstheme="majorBidi"/>
          <w:color w:val="156082" w:themeColor="accent1"/>
          <w:sz w:val="28"/>
          <w:szCs w:val="28"/>
        </w:rPr>
        <w:t>DOI: 10.1520/C1240-04.</w:t>
      </w:r>
    </w:p>
    <w:p w14:paraId="354CDB98" w14:textId="77777777" w:rsidR="005677EF" w:rsidRPr="00A65C61" w:rsidRDefault="005677EF" w:rsidP="005677EF">
      <w:pPr>
        <w:pStyle w:val="ListParagraph"/>
        <w:numPr>
          <w:ilvl w:val="0"/>
          <w:numId w:val="5"/>
        </w:numPr>
        <w:bidi w:val="0"/>
        <w:spacing w:after="0"/>
        <w:jc w:val="both"/>
        <w:rPr>
          <w:rFonts w:asciiTheme="majorBidi" w:hAnsiTheme="majorBidi" w:cstheme="majorBidi"/>
          <w:sz w:val="28"/>
          <w:szCs w:val="28"/>
        </w:rPr>
      </w:pPr>
      <w:r w:rsidRPr="00A65C61">
        <w:rPr>
          <w:rFonts w:asciiTheme="majorBidi" w:hAnsiTheme="majorBidi" w:cstheme="majorBidi"/>
          <w:sz w:val="28"/>
          <w:szCs w:val="28"/>
        </w:rPr>
        <w:t xml:space="preserve">ASTM C494/C494M-16,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Standard Specification for Chemical Admixtures for Concrete</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 xml:space="preserve">, </w:t>
      </w:r>
      <w:r w:rsidRPr="00A65C61">
        <w:rPr>
          <w:rFonts w:asciiTheme="majorBidi" w:hAnsiTheme="majorBidi" w:cstheme="majorBidi"/>
          <w:sz w:val="28"/>
          <w:szCs w:val="28"/>
        </w:rPr>
        <w:t>Vol. 04.02, 20p. 2016.</w:t>
      </w:r>
    </w:p>
    <w:p w14:paraId="609115AE" w14:textId="77777777" w:rsidR="005677EF" w:rsidRPr="00A65C61" w:rsidRDefault="005677EF" w:rsidP="005677EF">
      <w:pPr>
        <w:pStyle w:val="ListParagraph"/>
        <w:bidi w:val="0"/>
        <w:spacing w:after="0"/>
        <w:ind w:left="900"/>
        <w:jc w:val="both"/>
        <w:rPr>
          <w:rFonts w:asciiTheme="majorBidi" w:hAnsiTheme="majorBidi" w:cstheme="majorBidi"/>
          <w:sz w:val="28"/>
          <w:szCs w:val="28"/>
        </w:rPr>
      </w:pPr>
      <w:r w:rsidRPr="00A65C61">
        <w:rPr>
          <w:rFonts w:asciiTheme="majorBidi" w:hAnsiTheme="majorBidi" w:cstheme="majorBidi"/>
          <w:color w:val="156082" w:themeColor="accent1"/>
          <w:sz w:val="28"/>
          <w:szCs w:val="28"/>
        </w:rPr>
        <w:t>https://webstore.ansi.org</w:t>
      </w:r>
      <w:r w:rsidRPr="00A65C61">
        <w:rPr>
          <w:rFonts w:asciiTheme="majorBidi" w:hAnsiTheme="majorBidi" w:cstheme="majorBidi"/>
          <w:sz w:val="28"/>
          <w:szCs w:val="28"/>
        </w:rPr>
        <w:t>.</w:t>
      </w:r>
    </w:p>
    <w:p w14:paraId="38F9AEA5" w14:textId="77777777" w:rsidR="005677EF" w:rsidRPr="00A65C61" w:rsidRDefault="005677EF" w:rsidP="005677EF">
      <w:pPr>
        <w:pStyle w:val="ListParagraph"/>
        <w:numPr>
          <w:ilvl w:val="0"/>
          <w:numId w:val="5"/>
        </w:numPr>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sz w:val="28"/>
          <w:szCs w:val="28"/>
        </w:rPr>
        <w:t xml:space="preserve">Siao, W. B.,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Shear Strength of Short Reinforced Concrete Walls, Corbels, and Deep Beams</w:t>
      </w:r>
      <w:proofErr w:type="gramStart"/>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ACI</w:t>
      </w:r>
      <w:proofErr w:type="gramEnd"/>
      <w:r w:rsidRPr="00A65C61">
        <w:rPr>
          <w:rFonts w:asciiTheme="majorBidi" w:hAnsiTheme="majorBidi" w:cstheme="majorBidi"/>
          <w:sz w:val="28"/>
          <w:szCs w:val="28"/>
        </w:rPr>
        <w:t xml:space="preserve"> Structural Journal, V. 91, No. 2, Mar.-Apr., 1994, pp. 123- 132.</w:t>
      </w:r>
    </w:p>
    <w:p w14:paraId="5DADC223"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color w:val="156082" w:themeColor="accent1"/>
          <w:sz w:val="28"/>
          <w:szCs w:val="28"/>
        </w:rPr>
        <w:t>https://doi.org/10.14359/4556.</w:t>
      </w:r>
    </w:p>
    <w:p w14:paraId="6DFD9C84"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i/>
          <w:iCs/>
          <w:sz w:val="28"/>
          <w:szCs w:val="28"/>
        </w:rPr>
      </w:pPr>
      <w:r w:rsidRPr="00A65C61">
        <w:rPr>
          <w:rFonts w:asciiTheme="majorBidi" w:hAnsiTheme="majorBidi" w:cstheme="majorBidi"/>
          <w:sz w:val="28"/>
          <w:szCs w:val="28"/>
        </w:rPr>
        <w:t xml:space="preserve">Young, Y. K., McCloskey, D. H., and </w:t>
      </w:r>
      <w:proofErr w:type="spellStart"/>
      <w:r w:rsidRPr="00A65C61">
        <w:rPr>
          <w:rFonts w:asciiTheme="majorBidi" w:hAnsiTheme="majorBidi" w:cstheme="majorBidi"/>
          <w:sz w:val="28"/>
          <w:szCs w:val="28"/>
        </w:rPr>
        <w:t>Nawy</w:t>
      </w:r>
      <w:proofErr w:type="spellEnd"/>
      <w:r w:rsidRPr="00A65C61">
        <w:rPr>
          <w:rFonts w:asciiTheme="majorBidi" w:hAnsiTheme="majorBidi" w:cstheme="majorBidi"/>
          <w:sz w:val="28"/>
          <w:szCs w:val="28"/>
        </w:rPr>
        <w:t xml:space="preserve">, E. G.,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Reinforced Corbels</w:t>
      </w:r>
    </w:p>
    <w:p w14:paraId="356A720F"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i/>
          <w:iCs/>
          <w:sz w:val="28"/>
          <w:szCs w:val="28"/>
        </w:rPr>
        <w:t>of High-Strength Concrete</w:t>
      </w:r>
      <w:proofErr w:type="gramStart"/>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sz w:val="28"/>
          <w:szCs w:val="28"/>
        </w:rPr>
        <w:t>,High</w:t>
      </w:r>
      <w:proofErr w:type="gramEnd"/>
      <w:r w:rsidRPr="00A65C61">
        <w:rPr>
          <w:rFonts w:asciiTheme="majorBidi" w:hAnsiTheme="majorBidi" w:cstheme="majorBidi"/>
          <w:sz w:val="28"/>
          <w:szCs w:val="28"/>
        </w:rPr>
        <w:t>-Strength Concrete, SP-87, American</w:t>
      </w:r>
    </w:p>
    <w:p w14:paraId="4FA677E6"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sz w:val="28"/>
          <w:szCs w:val="28"/>
        </w:rPr>
        <w:t>Concrete Institute, Detroit, 1985, pp. 197- 212.</w:t>
      </w:r>
    </w:p>
    <w:p w14:paraId="40529336" w14:textId="77777777" w:rsidR="005677EF" w:rsidRPr="00A65C61" w:rsidRDefault="005677EF" w:rsidP="005677EF">
      <w:pPr>
        <w:pStyle w:val="ListParagraph"/>
        <w:autoSpaceDE w:val="0"/>
        <w:autoSpaceDN w:val="0"/>
        <w:bidi w:val="0"/>
        <w:adjustRightInd w:val="0"/>
        <w:spacing w:after="0" w:line="240" w:lineRule="auto"/>
        <w:ind w:left="907"/>
        <w:jc w:val="both"/>
        <w:rPr>
          <w:rFonts w:asciiTheme="majorBidi" w:hAnsiTheme="majorBidi" w:cstheme="majorBidi"/>
          <w:sz w:val="28"/>
          <w:szCs w:val="28"/>
        </w:rPr>
      </w:pPr>
      <w:r w:rsidRPr="00A65C61">
        <w:rPr>
          <w:rFonts w:asciiTheme="majorBidi" w:hAnsiTheme="majorBidi" w:cstheme="majorBidi"/>
          <w:color w:val="156082" w:themeColor="accent1"/>
          <w:sz w:val="28"/>
          <w:szCs w:val="28"/>
        </w:rPr>
        <w:t>https://www.concrete.org</w:t>
      </w:r>
      <w:r w:rsidRPr="00A65C61">
        <w:rPr>
          <w:rFonts w:asciiTheme="majorBidi" w:hAnsiTheme="majorBidi" w:cstheme="majorBidi"/>
          <w:sz w:val="28"/>
          <w:szCs w:val="28"/>
        </w:rPr>
        <w:t>.</w:t>
      </w:r>
    </w:p>
    <w:p w14:paraId="3AE66498"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sz w:val="28"/>
          <w:szCs w:val="28"/>
        </w:rPr>
      </w:pPr>
      <w:proofErr w:type="spellStart"/>
      <w:r w:rsidRPr="00A65C61">
        <w:rPr>
          <w:rFonts w:asciiTheme="majorBidi" w:hAnsiTheme="majorBidi" w:cstheme="majorBidi"/>
          <w:sz w:val="28"/>
          <w:szCs w:val="28"/>
        </w:rPr>
        <w:t>Alliewi</w:t>
      </w:r>
      <w:proofErr w:type="spellEnd"/>
      <w:r w:rsidRPr="00A65C61">
        <w:rPr>
          <w:rFonts w:asciiTheme="majorBidi" w:hAnsiTheme="majorBidi" w:cstheme="majorBidi"/>
          <w:sz w:val="28"/>
          <w:szCs w:val="28"/>
        </w:rPr>
        <w:t xml:space="preserve"> J. M</w:t>
      </w:r>
      <w:r w:rsidRPr="00A65C61">
        <w:rPr>
          <w:rFonts w:asciiTheme="majorBidi" w:hAnsiTheme="majorBidi" w:cstheme="majorBidi"/>
          <w:i/>
          <w:iCs/>
          <w:sz w:val="28"/>
          <w:szCs w:val="28"/>
        </w:rPr>
        <w:t xml:space="preserve">., </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Behavior and Strength of Self- Compacting Fiber Reinforced Concrete Corbels</w:t>
      </w:r>
      <w:r w:rsidRPr="00A65C61">
        <w:rPr>
          <w:rFonts w:asciiTheme="majorBidi" w:eastAsia="Times New Roman" w:hAnsiTheme="majorBidi" w:cstheme="majorBidi"/>
          <w:i/>
          <w:iCs/>
          <w:sz w:val="28"/>
          <w:szCs w:val="28"/>
          <w:lang w:val="en-GB" w:bidi="ar-IQ"/>
        </w:rPr>
        <w:t>”</w:t>
      </w:r>
      <w:r w:rsidRPr="00A65C61">
        <w:rPr>
          <w:rFonts w:asciiTheme="majorBidi" w:hAnsiTheme="majorBidi" w:cstheme="majorBidi"/>
          <w:i/>
          <w:iCs/>
          <w:sz w:val="28"/>
          <w:szCs w:val="28"/>
        </w:rPr>
        <w:t>,</w:t>
      </w:r>
      <w:r w:rsidRPr="00A65C61">
        <w:rPr>
          <w:rFonts w:asciiTheme="majorBidi" w:hAnsiTheme="majorBidi" w:cstheme="majorBidi"/>
          <w:sz w:val="28"/>
          <w:szCs w:val="28"/>
        </w:rPr>
        <w:t xml:space="preserve"> Ph.D. Thesis, University of Al-Mustansiriyah Iraq, 2013, pp. 219.</w:t>
      </w:r>
    </w:p>
    <w:p w14:paraId="33ADFD3A"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i/>
          <w:iCs/>
          <w:sz w:val="28"/>
          <w:szCs w:val="28"/>
        </w:rPr>
      </w:pPr>
      <w:proofErr w:type="spellStart"/>
      <w:r w:rsidRPr="00A65C61">
        <w:rPr>
          <w:rFonts w:asciiTheme="majorBidi" w:hAnsiTheme="majorBidi" w:cstheme="majorBidi"/>
          <w:sz w:val="28"/>
          <w:szCs w:val="28"/>
        </w:rPr>
        <w:t>Zrar</w:t>
      </w:r>
      <w:proofErr w:type="spellEnd"/>
      <w:r w:rsidRPr="00A65C61">
        <w:rPr>
          <w:rFonts w:asciiTheme="majorBidi" w:hAnsiTheme="majorBidi" w:cstheme="majorBidi"/>
          <w:sz w:val="28"/>
          <w:szCs w:val="28"/>
        </w:rPr>
        <w:t xml:space="preserve">, S. O., </w:t>
      </w:r>
      <w:r w:rsidRPr="00A65C61">
        <w:rPr>
          <w:rFonts w:asciiTheme="majorBidi" w:hAnsiTheme="majorBidi" w:cstheme="majorBidi"/>
          <w:i/>
          <w:iCs/>
          <w:sz w:val="28"/>
          <w:szCs w:val="28"/>
        </w:rPr>
        <w:t>“Shear Strength and Behavior of Reinforced High Strength</w:t>
      </w:r>
    </w:p>
    <w:p w14:paraId="34D86407" w14:textId="77777777" w:rsidR="005677EF" w:rsidRPr="00A65C61" w:rsidRDefault="005677EF" w:rsidP="005677EF">
      <w:pPr>
        <w:pStyle w:val="ListParagraph"/>
        <w:autoSpaceDE w:val="0"/>
        <w:autoSpaceDN w:val="0"/>
        <w:bidi w:val="0"/>
        <w:adjustRightInd w:val="0"/>
        <w:spacing w:after="0" w:line="240" w:lineRule="auto"/>
        <w:ind w:left="900"/>
        <w:jc w:val="both"/>
        <w:rPr>
          <w:rFonts w:asciiTheme="majorBidi" w:hAnsiTheme="majorBidi" w:cstheme="majorBidi"/>
          <w:sz w:val="28"/>
          <w:szCs w:val="28"/>
        </w:rPr>
      </w:pPr>
      <w:r w:rsidRPr="00A65C61">
        <w:rPr>
          <w:rFonts w:asciiTheme="majorBidi" w:hAnsiTheme="majorBidi" w:cstheme="majorBidi"/>
          <w:i/>
          <w:iCs/>
          <w:sz w:val="28"/>
          <w:szCs w:val="28"/>
        </w:rPr>
        <w:t xml:space="preserve">Concrete Corbels”, </w:t>
      </w:r>
      <w:r w:rsidRPr="00A65C61">
        <w:rPr>
          <w:rFonts w:asciiTheme="majorBidi" w:hAnsiTheme="majorBidi" w:cstheme="majorBidi"/>
          <w:sz w:val="28"/>
          <w:szCs w:val="28"/>
        </w:rPr>
        <w:t>M.Sc. Thesis, University of Salahaddin, 2005, pp. 101.</w:t>
      </w:r>
    </w:p>
    <w:p w14:paraId="6C821EBB" w14:textId="77777777" w:rsidR="005677EF" w:rsidRPr="00A65C61" w:rsidRDefault="005677EF" w:rsidP="005677EF">
      <w:pPr>
        <w:pStyle w:val="ListParagraph"/>
        <w:numPr>
          <w:ilvl w:val="0"/>
          <w:numId w:val="5"/>
        </w:numPr>
        <w:autoSpaceDE w:val="0"/>
        <w:autoSpaceDN w:val="0"/>
        <w:bidi w:val="0"/>
        <w:adjustRightInd w:val="0"/>
        <w:spacing w:after="0" w:line="240" w:lineRule="auto"/>
        <w:jc w:val="both"/>
        <w:rPr>
          <w:rFonts w:asciiTheme="majorBidi" w:hAnsiTheme="majorBidi" w:cstheme="majorBidi"/>
          <w:i/>
          <w:iCs/>
          <w:sz w:val="28"/>
          <w:szCs w:val="28"/>
        </w:rPr>
      </w:pPr>
      <w:proofErr w:type="spellStart"/>
      <w:r w:rsidRPr="00A65C61">
        <w:rPr>
          <w:rFonts w:asciiTheme="majorBidi" w:hAnsiTheme="majorBidi" w:cstheme="majorBidi"/>
          <w:sz w:val="28"/>
          <w:szCs w:val="28"/>
        </w:rPr>
        <w:t>Heidayet</w:t>
      </w:r>
      <w:proofErr w:type="spellEnd"/>
      <w:r w:rsidRPr="00A65C61">
        <w:rPr>
          <w:rFonts w:asciiTheme="majorBidi" w:hAnsiTheme="majorBidi" w:cstheme="majorBidi"/>
          <w:sz w:val="28"/>
          <w:szCs w:val="28"/>
        </w:rPr>
        <w:t xml:space="preserve"> A., Ramadhan A. and </w:t>
      </w:r>
      <w:proofErr w:type="spellStart"/>
      <w:r w:rsidRPr="00A65C61">
        <w:rPr>
          <w:rFonts w:asciiTheme="majorBidi" w:hAnsiTheme="majorBidi" w:cstheme="majorBidi"/>
          <w:sz w:val="28"/>
          <w:szCs w:val="28"/>
        </w:rPr>
        <w:t>Qarani</w:t>
      </w:r>
      <w:proofErr w:type="spellEnd"/>
      <w:r w:rsidRPr="00A65C61">
        <w:rPr>
          <w:rFonts w:asciiTheme="majorBidi" w:hAnsiTheme="majorBidi" w:cstheme="majorBidi"/>
          <w:sz w:val="28"/>
          <w:szCs w:val="28"/>
        </w:rPr>
        <w:t xml:space="preserve"> O. </w:t>
      </w:r>
      <w:r w:rsidRPr="00A65C61">
        <w:rPr>
          <w:rFonts w:asciiTheme="majorBidi" w:hAnsiTheme="majorBidi" w:cstheme="majorBidi"/>
          <w:i/>
          <w:iCs/>
          <w:sz w:val="28"/>
          <w:szCs w:val="28"/>
        </w:rPr>
        <w:t>“Repairing of Damaged</w:t>
      </w:r>
    </w:p>
    <w:p w14:paraId="56E1E2FE" w14:textId="77777777" w:rsidR="005677EF" w:rsidRPr="00A65C61" w:rsidRDefault="005677EF" w:rsidP="005677EF">
      <w:pPr>
        <w:pStyle w:val="ListParagraph"/>
        <w:autoSpaceDE w:val="0"/>
        <w:autoSpaceDN w:val="0"/>
        <w:bidi w:val="0"/>
        <w:adjustRightInd w:val="0"/>
        <w:spacing w:after="0" w:line="240" w:lineRule="auto"/>
        <w:ind w:left="900"/>
        <w:jc w:val="both"/>
        <w:rPr>
          <w:rFonts w:asciiTheme="majorBidi" w:hAnsiTheme="majorBidi" w:cstheme="majorBidi"/>
          <w:sz w:val="28"/>
          <w:szCs w:val="28"/>
        </w:rPr>
      </w:pPr>
      <w:r w:rsidRPr="00A65C61">
        <w:rPr>
          <w:rFonts w:asciiTheme="majorBidi" w:hAnsiTheme="majorBidi" w:cstheme="majorBidi"/>
          <w:i/>
          <w:iCs/>
          <w:sz w:val="28"/>
          <w:szCs w:val="28"/>
        </w:rPr>
        <w:t xml:space="preserve">Reinforced Concrete Corbels </w:t>
      </w:r>
      <w:proofErr w:type="gramStart"/>
      <w:r w:rsidRPr="00A65C61">
        <w:rPr>
          <w:rFonts w:asciiTheme="majorBidi" w:hAnsiTheme="majorBidi" w:cstheme="majorBidi"/>
          <w:i/>
          <w:iCs/>
          <w:sz w:val="28"/>
          <w:szCs w:val="28"/>
        </w:rPr>
        <w:t>By</w:t>
      </w:r>
      <w:proofErr w:type="gramEnd"/>
      <w:r w:rsidRPr="00A65C61">
        <w:rPr>
          <w:rFonts w:asciiTheme="majorBidi" w:hAnsiTheme="majorBidi" w:cstheme="majorBidi"/>
          <w:i/>
          <w:iCs/>
          <w:sz w:val="28"/>
          <w:szCs w:val="28"/>
        </w:rPr>
        <w:t xml:space="preserve"> Externally Bonded Steel Plate</w:t>
      </w:r>
      <w:r w:rsidRPr="00A65C61">
        <w:rPr>
          <w:rFonts w:asciiTheme="majorBidi" w:hAnsiTheme="majorBidi" w:cstheme="majorBidi"/>
          <w:sz w:val="28"/>
          <w:szCs w:val="28"/>
        </w:rPr>
        <w:t>”, Zanko-Salahassin, Vol. 16, No.1, 2004</w:t>
      </w:r>
    </w:p>
    <w:p w14:paraId="71DB0009" w14:textId="77777777" w:rsidR="004103C7" w:rsidRPr="00A65C61" w:rsidRDefault="004103C7" w:rsidP="004103C7">
      <w:pPr>
        <w:tabs>
          <w:tab w:val="left" w:pos="3965"/>
        </w:tabs>
        <w:bidi w:val="0"/>
        <w:rPr>
          <w:rFonts w:asciiTheme="majorBidi" w:hAnsiTheme="majorBidi" w:cstheme="majorBidi"/>
          <w:sz w:val="28"/>
          <w:szCs w:val="28"/>
          <w:lang w:val="en-AU" w:bidi="ar-IQ"/>
        </w:rPr>
      </w:pPr>
    </w:p>
    <w:p w14:paraId="2C82FC2C" w14:textId="77777777" w:rsidR="009C1568" w:rsidRPr="00A65C61" w:rsidRDefault="009C1568" w:rsidP="009C1568">
      <w:pPr>
        <w:tabs>
          <w:tab w:val="left" w:pos="3965"/>
        </w:tabs>
        <w:bidi w:val="0"/>
        <w:rPr>
          <w:rFonts w:asciiTheme="majorBidi" w:hAnsiTheme="majorBidi" w:cstheme="majorBidi"/>
          <w:sz w:val="28"/>
          <w:szCs w:val="28"/>
          <w:lang w:val="en-AU" w:bidi="ar-IQ"/>
        </w:rPr>
      </w:pPr>
    </w:p>
    <w:p w14:paraId="1C54C3FC" w14:textId="77777777" w:rsidR="005B384B" w:rsidRPr="00A65C61" w:rsidRDefault="005B384B" w:rsidP="005B384B">
      <w:pPr>
        <w:bidi w:val="0"/>
        <w:rPr>
          <w:rFonts w:asciiTheme="majorBidi" w:hAnsiTheme="majorBidi" w:cstheme="majorBidi"/>
          <w:i/>
          <w:iCs/>
          <w:sz w:val="28"/>
          <w:szCs w:val="28"/>
          <w:lang w:bidi="ar-IQ"/>
        </w:rPr>
      </w:pPr>
    </w:p>
    <w:p w14:paraId="41352C36" w14:textId="77777777" w:rsidR="00D82E43" w:rsidRPr="00A65C61" w:rsidRDefault="00D82E43" w:rsidP="00D82E43">
      <w:pPr>
        <w:bidi w:val="0"/>
        <w:rPr>
          <w:rFonts w:asciiTheme="majorBidi" w:hAnsiTheme="majorBidi" w:cstheme="majorBidi"/>
          <w:sz w:val="28"/>
          <w:szCs w:val="28"/>
          <w:lang w:bidi="ar-IQ"/>
        </w:rPr>
      </w:pPr>
    </w:p>
    <w:p w14:paraId="79731B94" w14:textId="77777777" w:rsidR="00D82E43" w:rsidRPr="00A65C61" w:rsidRDefault="00D82E43" w:rsidP="00D82E43">
      <w:pPr>
        <w:bidi w:val="0"/>
        <w:rPr>
          <w:rFonts w:asciiTheme="majorBidi" w:hAnsiTheme="majorBidi" w:cstheme="majorBidi"/>
          <w:sz w:val="28"/>
          <w:szCs w:val="28"/>
          <w:lang w:val="en-AU" w:bidi="ar-IQ"/>
        </w:rPr>
      </w:pPr>
    </w:p>
    <w:sectPr w:rsidR="00D82E43" w:rsidRPr="00A65C61" w:rsidSect="00CF11EA">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96C24" w14:textId="77777777" w:rsidR="00563E33" w:rsidRDefault="00563E33" w:rsidP="00655065">
      <w:pPr>
        <w:spacing w:after="0" w:line="240" w:lineRule="auto"/>
      </w:pPr>
      <w:r>
        <w:separator/>
      </w:r>
    </w:p>
  </w:endnote>
  <w:endnote w:type="continuationSeparator" w:id="0">
    <w:p w14:paraId="126858DD" w14:textId="77777777" w:rsidR="00563E33" w:rsidRDefault="00563E33" w:rsidP="0065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A333" w14:textId="77777777" w:rsidR="004924CD" w:rsidRDefault="0049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28714516"/>
      <w:docPartObj>
        <w:docPartGallery w:val="Page Numbers (Bottom of Page)"/>
        <w:docPartUnique/>
      </w:docPartObj>
    </w:sdtPr>
    <w:sdtEndPr>
      <w:rPr>
        <w:noProof/>
      </w:rPr>
    </w:sdtEndPr>
    <w:sdtContent>
      <w:p w14:paraId="73325D07" w14:textId="0A0BE8E1" w:rsidR="00930D9F" w:rsidRDefault="00930D9F">
        <w:pPr>
          <w:pStyle w:val="Footer"/>
          <w:jc w:val="center"/>
        </w:pPr>
        <w:r>
          <w:fldChar w:fldCharType="begin"/>
        </w:r>
        <w:r>
          <w:instrText xml:space="preserve"> PAGE   \* MERGEFORMAT </w:instrText>
        </w:r>
        <w:r>
          <w:fldChar w:fldCharType="separate"/>
        </w:r>
        <w:r>
          <w:rPr>
            <w:noProof/>
            <w:rtl/>
          </w:rPr>
          <w:t>17</w:t>
        </w:r>
        <w:r>
          <w:rPr>
            <w:noProof/>
          </w:rPr>
          <w:fldChar w:fldCharType="end"/>
        </w:r>
      </w:p>
    </w:sdtContent>
  </w:sdt>
  <w:p w14:paraId="5250AF42" w14:textId="77777777" w:rsidR="00930D9F" w:rsidRDefault="00930D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07013" w14:textId="77777777" w:rsidR="004924CD" w:rsidRDefault="0049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9FDAA" w14:textId="77777777" w:rsidR="00563E33" w:rsidRDefault="00563E33" w:rsidP="00655065">
      <w:pPr>
        <w:spacing w:after="0" w:line="240" w:lineRule="auto"/>
      </w:pPr>
      <w:r>
        <w:separator/>
      </w:r>
    </w:p>
  </w:footnote>
  <w:footnote w:type="continuationSeparator" w:id="0">
    <w:p w14:paraId="43BCBAF5" w14:textId="77777777" w:rsidR="00563E33" w:rsidRDefault="00563E33" w:rsidP="00655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0103" w14:textId="2F407384" w:rsidR="004924CD" w:rsidRDefault="004924CD">
    <w:pPr>
      <w:pStyle w:val="Header"/>
    </w:pPr>
    <w:r>
      <w:rPr>
        <w:noProof/>
      </w:rPr>
      <w:pict w14:anchorId="771D0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79" o:spid="_x0000_s2050" type="#_x0000_t136" style="position:absolute;left:0;text-align:left;margin-left:0;margin-top:0;width:611.55pt;height:67.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84C6" w14:textId="009FD270" w:rsidR="004924CD" w:rsidRDefault="004924CD">
    <w:pPr>
      <w:pStyle w:val="Header"/>
    </w:pPr>
    <w:r>
      <w:rPr>
        <w:noProof/>
      </w:rPr>
      <w:pict w14:anchorId="42A2F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80" o:spid="_x0000_s2051" type="#_x0000_t136" style="position:absolute;left:0;text-align:left;margin-left:0;margin-top:0;width:611.55pt;height:67.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14571" w14:textId="01E2E23D" w:rsidR="004924CD" w:rsidRDefault="004924CD">
    <w:pPr>
      <w:pStyle w:val="Header"/>
    </w:pPr>
    <w:r>
      <w:rPr>
        <w:noProof/>
      </w:rPr>
      <w:pict w14:anchorId="638F0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823578" o:spid="_x0000_s2049" type="#_x0000_t136" style="position:absolute;left:0;text-align:left;margin-left:0;margin-top:0;width:611.55pt;height:67.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D31"/>
    <w:multiLevelType w:val="multilevel"/>
    <w:tmpl w:val="74BA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622FA"/>
    <w:multiLevelType w:val="multilevel"/>
    <w:tmpl w:val="29BED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6CB6"/>
    <w:multiLevelType w:val="hybridMultilevel"/>
    <w:tmpl w:val="80EC4986"/>
    <w:lvl w:ilvl="0" w:tplc="B2C84710">
      <w:start w:val="1"/>
      <w:numFmt w:val="decimal"/>
      <w:lvlText w:val="%1."/>
      <w:lvlJc w:val="left"/>
      <w:pPr>
        <w:ind w:left="720" w:hanging="360"/>
      </w:pPr>
      <w:rPr>
        <w:rFonts w:cstheme="maj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31DB8"/>
    <w:multiLevelType w:val="multilevel"/>
    <w:tmpl w:val="92DED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21970"/>
    <w:multiLevelType w:val="multilevel"/>
    <w:tmpl w:val="4BE88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C2FBF"/>
    <w:multiLevelType w:val="hybridMultilevel"/>
    <w:tmpl w:val="2AD804A4"/>
    <w:lvl w:ilvl="0" w:tplc="CDA4BA3C">
      <w:start w:val="1"/>
      <w:numFmt w:val="decimal"/>
      <w:lvlText w:val="%1."/>
      <w:lvlJc w:val="left"/>
      <w:pPr>
        <w:ind w:left="90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437FC"/>
    <w:multiLevelType w:val="multilevel"/>
    <w:tmpl w:val="1DB8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260D59"/>
    <w:multiLevelType w:val="multilevel"/>
    <w:tmpl w:val="AF18C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C35934"/>
    <w:multiLevelType w:val="multilevel"/>
    <w:tmpl w:val="F49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052F79"/>
    <w:multiLevelType w:val="multilevel"/>
    <w:tmpl w:val="07046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17053A"/>
    <w:multiLevelType w:val="multilevel"/>
    <w:tmpl w:val="8858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3B2AE1"/>
    <w:multiLevelType w:val="multilevel"/>
    <w:tmpl w:val="8932B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7A6604"/>
    <w:multiLevelType w:val="multilevel"/>
    <w:tmpl w:val="E3E4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7F554E"/>
    <w:multiLevelType w:val="multilevel"/>
    <w:tmpl w:val="CA245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B81C7A"/>
    <w:multiLevelType w:val="multilevel"/>
    <w:tmpl w:val="7898F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B57065"/>
    <w:multiLevelType w:val="multilevel"/>
    <w:tmpl w:val="4B52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0"/>
  </w:num>
  <w:num w:numId="4">
    <w:abstractNumId w:val="15"/>
  </w:num>
  <w:num w:numId="5">
    <w:abstractNumId w:val="5"/>
  </w:num>
  <w:num w:numId="6">
    <w:abstractNumId w:val="9"/>
  </w:num>
  <w:num w:numId="7">
    <w:abstractNumId w:val="8"/>
  </w:num>
  <w:num w:numId="8">
    <w:abstractNumId w:val="11"/>
  </w:num>
  <w:num w:numId="9">
    <w:abstractNumId w:val="3"/>
  </w:num>
  <w:num w:numId="10">
    <w:abstractNumId w:val="1"/>
  </w:num>
  <w:num w:numId="11">
    <w:abstractNumId w:val="4"/>
  </w:num>
  <w:num w:numId="12">
    <w:abstractNumId w:val="7"/>
  </w:num>
  <w:num w:numId="13">
    <w:abstractNumId w:val="14"/>
  </w:num>
  <w:num w:numId="14">
    <w:abstractNumId w:val="10"/>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1EB"/>
    <w:rsid w:val="000146F1"/>
    <w:rsid w:val="00047493"/>
    <w:rsid w:val="00094F6D"/>
    <w:rsid w:val="000C77A6"/>
    <w:rsid w:val="000D6E84"/>
    <w:rsid w:val="000E7EBC"/>
    <w:rsid w:val="000F0C17"/>
    <w:rsid w:val="00123EC5"/>
    <w:rsid w:val="001504CE"/>
    <w:rsid w:val="00162142"/>
    <w:rsid w:val="0016767D"/>
    <w:rsid w:val="001B3735"/>
    <w:rsid w:val="001D2007"/>
    <w:rsid w:val="001E42E9"/>
    <w:rsid w:val="00215E7C"/>
    <w:rsid w:val="002161FF"/>
    <w:rsid w:val="00251CE6"/>
    <w:rsid w:val="00293A2F"/>
    <w:rsid w:val="002D610F"/>
    <w:rsid w:val="002E14F0"/>
    <w:rsid w:val="002E312D"/>
    <w:rsid w:val="0030010A"/>
    <w:rsid w:val="00311D87"/>
    <w:rsid w:val="00312B48"/>
    <w:rsid w:val="003200E0"/>
    <w:rsid w:val="00340FCF"/>
    <w:rsid w:val="003620BB"/>
    <w:rsid w:val="00395691"/>
    <w:rsid w:val="00397BC4"/>
    <w:rsid w:val="003C1D79"/>
    <w:rsid w:val="003C6E15"/>
    <w:rsid w:val="003F3233"/>
    <w:rsid w:val="00402CB6"/>
    <w:rsid w:val="004103C7"/>
    <w:rsid w:val="004827E7"/>
    <w:rsid w:val="004924CD"/>
    <w:rsid w:val="0049297C"/>
    <w:rsid w:val="004B151C"/>
    <w:rsid w:val="004C0032"/>
    <w:rsid w:val="004F5204"/>
    <w:rsid w:val="005313A5"/>
    <w:rsid w:val="00541E75"/>
    <w:rsid w:val="00563E33"/>
    <w:rsid w:val="005677EF"/>
    <w:rsid w:val="0057429C"/>
    <w:rsid w:val="005A34E5"/>
    <w:rsid w:val="005B384B"/>
    <w:rsid w:val="005D0AD6"/>
    <w:rsid w:val="0064633A"/>
    <w:rsid w:val="00651659"/>
    <w:rsid w:val="00655065"/>
    <w:rsid w:val="00672D8E"/>
    <w:rsid w:val="00676760"/>
    <w:rsid w:val="0069509F"/>
    <w:rsid w:val="006D3734"/>
    <w:rsid w:val="006F340C"/>
    <w:rsid w:val="00700F34"/>
    <w:rsid w:val="00701AA9"/>
    <w:rsid w:val="0074376C"/>
    <w:rsid w:val="00761A79"/>
    <w:rsid w:val="00794110"/>
    <w:rsid w:val="007E162D"/>
    <w:rsid w:val="007E5807"/>
    <w:rsid w:val="007E7D83"/>
    <w:rsid w:val="0081177B"/>
    <w:rsid w:val="008359E1"/>
    <w:rsid w:val="00836483"/>
    <w:rsid w:val="00897F03"/>
    <w:rsid w:val="008A1F28"/>
    <w:rsid w:val="008D136F"/>
    <w:rsid w:val="008D7F04"/>
    <w:rsid w:val="008F2BCF"/>
    <w:rsid w:val="00927757"/>
    <w:rsid w:val="00930D9F"/>
    <w:rsid w:val="00936962"/>
    <w:rsid w:val="00961A41"/>
    <w:rsid w:val="0098055D"/>
    <w:rsid w:val="009A1892"/>
    <w:rsid w:val="009A3294"/>
    <w:rsid w:val="009B36BC"/>
    <w:rsid w:val="009C1568"/>
    <w:rsid w:val="009F3A46"/>
    <w:rsid w:val="00A238F2"/>
    <w:rsid w:val="00A5693B"/>
    <w:rsid w:val="00A65C61"/>
    <w:rsid w:val="00A76972"/>
    <w:rsid w:val="00A77F05"/>
    <w:rsid w:val="00AA40B7"/>
    <w:rsid w:val="00AE02DB"/>
    <w:rsid w:val="00AE0547"/>
    <w:rsid w:val="00AE44CC"/>
    <w:rsid w:val="00AE7C1D"/>
    <w:rsid w:val="00B1358C"/>
    <w:rsid w:val="00B70BB7"/>
    <w:rsid w:val="00B731EB"/>
    <w:rsid w:val="00B75878"/>
    <w:rsid w:val="00B83DFE"/>
    <w:rsid w:val="00B90A1B"/>
    <w:rsid w:val="00BD43D4"/>
    <w:rsid w:val="00BF5D43"/>
    <w:rsid w:val="00C043AC"/>
    <w:rsid w:val="00C07394"/>
    <w:rsid w:val="00CE2F18"/>
    <w:rsid w:val="00CF11EA"/>
    <w:rsid w:val="00D50AAD"/>
    <w:rsid w:val="00D510F6"/>
    <w:rsid w:val="00D705AE"/>
    <w:rsid w:val="00D82E43"/>
    <w:rsid w:val="00D85DDE"/>
    <w:rsid w:val="00DB4DFA"/>
    <w:rsid w:val="00E07711"/>
    <w:rsid w:val="00E518AC"/>
    <w:rsid w:val="00E60A1C"/>
    <w:rsid w:val="00E834D4"/>
    <w:rsid w:val="00E8453B"/>
    <w:rsid w:val="00EB3344"/>
    <w:rsid w:val="00EB4B40"/>
    <w:rsid w:val="00F50386"/>
    <w:rsid w:val="00F56FCF"/>
    <w:rsid w:val="00F60541"/>
    <w:rsid w:val="00FB296D"/>
    <w:rsid w:val="00FD05A3"/>
    <w:rsid w:val="00FE4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7EF392"/>
  <w15:docId w15:val="{584F3676-F1AE-7B4A-ACF6-D65BE16B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29C"/>
    <w:pPr>
      <w:bidi/>
      <w:spacing w:after="200" w:line="276" w:lineRule="auto"/>
    </w:pPr>
    <w:rPr>
      <w:kern w:val="0"/>
      <w14:ligatures w14:val="none"/>
    </w:rPr>
  </w:style>
  <w:style w:type="paragraph" w:styleId="Heading1">
    <w:name w:val="heading 1"/>
    <w:basedOn w:val="Normal"/>
    <w:next w:val="Normal"/>
    <w:link w:val="Heading1Char"/>
    <w:uiPriority w:val="9"/>
    <w:qFormat/>
    <w:rsid w:val="00B731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1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1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1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1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1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1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1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1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1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31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31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31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31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31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1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1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1EB"/>
    <w:rPr>
      <w:rFonts w:eastAsiaTheme="majorEastAsia" w:cstheme="majorBidi"/>
      <w:color w:val="272727" w:themeColor="text1" w:themeTint="D8"/>
    </w:rPr>
  </w:style>
  <w:style w:type="paragraph" w:styleId="Title">
    <w:name w:val="Title"/>
    <w:basedOn w:val="Normal"/>
    <w:next w:val="Normal"/>
    <w:link w:val="TitleChar"/>
    <w:uiPriority w:val="10"/>
    <w:qFormat/>
    <w:rsid w:val="00B731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1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1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1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1EB"/>
    <w:pPr>
      <w:spacing w:before="160"/>
      <w:jc w:val="center"/>
    </w:pPr>
    <w:rPr>
      <w:i/>
      <w:iCs/>
      <w:color w:val="404040" w:themeColor="text1" w:themeTint="BF"/>
    </w:rPr>
  </w:style>
  <w:style w:type="character" w:customStyle="1" w:styleId="QuoteChar">
    <w:name w:val="Quote Char"/>
    <w:basedOn w:val="DefaultParagraphFont"/>
    <w:link w:val="Quote"/>
    <w:uiPriority w:val="29"/>
    <w:rsid w:val="00B731EB"/>
    <w:rPr>
      <w:i/>
      <w:iCs/>
      <w:color w:val="404040" w:themeColor="text1" w:themeTint="BF"/>
    </w:rPr>
  </w:style>
  <w:style w:type="paragraph" w:styleId="ListParagraph">
    <w:name w:val="List Paragraph"/>
    <w:basedOn w:val="Normal"/>
    <w:uiPriority w:val="34"/>
    <w:qFormat/>
    <w:rsid w:val="00B731EB"/>
    <w:pPr>
      <w:ind w:left="720"/>
      <w:contextualSpacing/>
    </w:pPr>
  </w:style>
  <w:style w:type="character" w:styleId="IntenseEmphasis">
    <w:name w:val="Intense Emphasis"/>
    <w:basedOn w:val="DefaultParagraphFont"/>
    <w:uiPriority w:val="21"/>
    <w:qFormat/>
    <w:rsid w:val="00B731EB"/>
    <w:rPr>
      <w:i/>
      <w:iCs/>
      <w:color w:val="0F4761" w:themeColor="accent1" w:themeShade="BF"/>
    </w:rPr>
  </w:style>
  <w:style w:type="paragraph" w:styleId="IntenseQuote">
    <w:name w:val="Intense Quote"/>
    <w:basedOn w:val="Normal"/>
    <w:next w:val="Normal"/>
    <w:link w:val="IntenseQuoteChar"/>
    <w:uiPriority w:val="30"/>
    <w:qFormat/>
    <w:rsid w:val="00B731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1EB"/>
    <w:rPr>
      <w:i/>
      <w:iCs/>
      <w:color w:val="0F4761" w:themeColor="accent1" w:themeShade="BF"/>
    </w:rPr>
  </w:style>
  <w:style w:type="character" w:styleId="IntenseReference">
    <w:name w:val="Intense Reference"/>
    <w:basedOn w:val="DefaultParagraphFont"/>
    <w:uiPriority w:val="32"/>
    <w:qFormat/>
    <w:rsid w:val="00B731EB"/>
    <w:rPr>
      <w:b/>
      <w:bCs/>
      <w:smallCaps/>
      <w:color w:val="0F4761" w:themeColor="accent1" w:themeShade="BF"/>
      <w:spacing w:val="5"/>
    </w:rPr>
  </w:style>
  <w:style w:type="character" w:styleId="Strong">
    <w:name w:val="Strong"/>
    <w:basedOn w:val="DefaultParagraphFont"/>
    <w:uiPriority w:val="22"/>
    <w:qFormat/>
    <w:rsid w:val="00B731EB"/>
    <w:rPr>
      <w:b/>
      <w:bCs/>
    </w:rPr>
  </w:style>
  <w:style w:type="table" w:customStyle="1" w:styleId="LightShading1">
    <w:name w:val="Light Shading1"/>
    <w:basedOn w:val="TableNormal"/>
    <w:next w:val="LightShading"/>
    <w:uiPriority w:val="60"/>
    <w:rsid w:val="00C043AC"/>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C043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
    <w:name w:val="شبكة جدول1"/>
    <w:basedOn w:val="TableNormal"/>
    <w:next w:val="TableGrid"/>
    <w:uiPriority w:val="59"/>
    <w:rsid w:val="00EB33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B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003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655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65"/>
    <w:rPr>
      <w:kern w:val="0"/>
      <w14:ligatures w14:val="none"/>
    </w:rPr>
  </w:style>
  <w:style w:type="paragraph" w:styleId="Footer">
    <w:name w:val="footer"/>
    <w:basedOn w:val="Normal"/>
    <w:link w:val="FooterChar"/>
    <w:uiPriority w:val="99"/>
    <w:unhideWhenUsed/>
    <w:rsid w:val="00655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65"/>
    <w:rPr>
      <w:kern w:val="0"/>
      <w14:ligatures w14:val="none"/>
    </w:rPr>
  </w:style>
  <w:style w:type="paragraph" w:styleId="NormalWeb">
    <w:name w:val="Normal (Web)"/>
    <w:basedOn w:val="Normal"/>
    <w:uiPriority w:val="99"/>
    <w:unhideWhenUsed/>
    <w:rsid w:val="003620B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03C7"/>
    <w:rPr>
      <w:color w:val="467886" w:themeColor="hyperlink"/>
      <w:u w:val="single"/>
    </w:rPr>
  </w:style>
  <w:style w:type="character" w:customStyle="1" w:styleId="10">
    <w:name w:val="إشارة لم يتم حلها1"/>
    <w:basedOn w:val="DefaultParagraphFont"/>
    <w:uiPriority w:val="99"/>
    <w:semiHidden/>
    <w:unhideWhenUsed/>
    <w:rsid w:val="004103C7"/>
    <w:rPr>
      <w:color w:val="605E5C"/>
      <w:shd w:val="clear" w:color="auto" w:fill="E1DFDD"/>
    </w:rPr>
  </w:style>
  <w:style w:type="character" w:styleId="FollowedHyperlink">
    <w:name w:val="FollowedHyperlink"/>
    <w:basedOn w:val="DefaultParagraphFont"/>
    <w:uiPriority w:val="99"/>
    <w:semiHidden/>
    <w:unhideWhenUsed/>
    <w:rsid w:val="00D82E43"/>
    <w:rPr>
      <w:color w:val="96607D" w:themeColor="followedHyperlink"/>
      <w:u w:val="single"/>
    </w:rPr>
  </w:style>
  <w:style w:type="paragraph" w:styleId="BalloonText">
    <w:name w:val="Balloon Text"/>
    <w:basedOn w:val="Normal"/>
    <w:link w:val="BalloonTextChar"/>
    <w:uiPriority w:val="99"/>
    <w:semiHidden/>
    <w:unhideWhenUsed/>
    <w:rsid w:val="00835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9E1"/>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86676">
      <w:bodyDiv w:val="1"/>
      <w:marLeft w:val="0"/>
      <w:marRight w:val="0"/>
      <w:marTop w:val="0"/>
      <w:marBottom w:val="0"/>
      <w:divBdr>
        <w:top w:val="none" w:sz="0" w:space="0" w:color="auto"/>
        <w:left w:val="none" w:sz="0" w:space="0" w:color="auto"/>
        <w:bottom w:val="none" w:sz="0" w:space="0" w:color="auto"/>
        <w:right w:val="none" w:sz="0" w:space="0" w:color="auto"/>
      </w:divBdr>
    </w:div>
    <w:div w:id="188642061">
      <w:bodyDiv w:val="1"/>
      <w:marLeft w:val="0"/>
      <w:marRight w:val="0"/>
      <w:marTop w:val="0"/>
      <w:marBottom w:val="0"/>
      <w:divBdr>
        <w:top w:val="none" w:sz="0" w:space="0" w:color="auto"/>
        <w:left w:val="none" w:sz="0" w:space="0" w:color="auto"/>
        <w:bottom w:val="none" w:sz="0" w:space="0" w:color="auto"/>
        <w:right w:val="none" w:sz="0" w:space="0" w:color="auto"/>
      </w:divBdr>
      <w:divsChild>
        <w:div w:id="391003534">
          <w:marLeft w:val="0"/>
          <w:marRight w:val="0"/>
          <w:marTop w:val="0"/>
          <w:marBottom w:val="0"/>
          <w:divBdr>
            <w:top w:val="none" w:sz="0" w:space="0" w:color="auto"/>
            <w:left w:val="none" w:sz="0" w:space="0" w:color="auto"/>
            <w:bottom w:val="none" w:sz="0" w:space="0" w:color="auto"/>
            <w:right w:val="none" w:sz="0" w:space="0" w:color="auto"/>
          </w:divBdr>
          <w:divsChild>
            <w:div w:id="1478298956">
              <w:marLeft w:val="0"/>
              <w:marRight w:val="0"/>
              <w:marTop w:val="0"/>
              <w:marBottom w:val="0"/>
              <w:divBdr>
                <w:top w:val="none" w:sz="0" w:space="0" w:color="auto"/>
                <w:left w:val="none" w:sz="0" w:space="0" w:color="auto"/>
                <w:bottom w:val="none" w:sz="0" w:space="0" w:color="auto"/>
                <w:right w:val="none" w:sz="0" w:space="0" w:color="auto"/>
              </w:divBdr>
              <w:divsChild>
                <w:div w:id="1922833602">
                  <w:marLeft w:val="0"/>
                  <w:marRight w:val="0"/>
                  <w:marTop w:val="0"/>
                  <w:marBottom w:val="0"/>
                  <w:divBdr>
                    <w:top w:val="none" w:sz="0" w:space="0" w:color="auto"/>
                    <w:left w:val="none" w:sz="0" w:space="0" w:color="auto"/>
                    <w:bottom w:val="none" w:sz="0" w:space="0" w:color="auto"/>
                    <w:right w:val="none" w:sz="0" w:space="0" w:color="auto"/>
                  </w:divBdr>
                  <w:divsChild>
                    <w:div w:id="16737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373">
      <w:bodyDiv w:val="1"/>
      <w:marLeft w:val="0"/>
      <w:marRight w:val="0"/>
      <w:marTop w:val="0"/>
      <w:marBottom w:val="0"/>
      <w:divBdr>
        <w:top w:val="none" w:sz="0" w:space="0" w:color="auto"/>
        <w:left w:val="none" w:sz="0" w:space="0" w:color="auto"/>
        <w:bottom w:val="none" w:sz="0" w:space="0" w:color="auto"/>
        <w:right w:val="none" w:sz="0" w:space="0" w:color="auto"/>
      </w:divBdr>
    </w:div>
    <w:div w:id="307784082">
      <w:bodyDiv w:val="1"/>
      <w:marLeft w:val="0"/>
      <w:marRight w:val="0"/>
      <w:marTop w:val="0"/>
      <w:marBottom w:val="0"/>
      <w:divBdr>
        <w:top w:val="none" w:sz="0" w:space="0" w:color="auto"/>
        <w:left w:val="none" w:sz="0" w:space="0" w:color="auto"/>
        <w:bottom w:val="none" w:sz="0" w:space="0" w:color="auto"/>
        <w:right w:val="none" w:sz="0" w:space="0" w:color="auto"/>
      </w:divBdr>
    </w:div>
    <w:div w:id="324364068">
      <w:bodyDiv w:val="1"/>
      <w:marLeft w:val="0"/>
      <w:marRight w:val="0"/>
      <w:marTop w:val="0"/>
      <w:marBottom w:val="0"/>
      <w:divBdr>
        <w:top w:val="none" w:sz="0" w:space="0" w:color="auto"/>
        <w:left w:val="none" w:sz="0" w:space="0" w:color="auto"/>
        <w:bottom w:val="none" w:sz="0" w:space="0" w:color="auto"/>
        <w:right w:val="none" w:sz="0" w:space="0" w:color="auto"/>
      </w:divBdr>
    </w:div>
    <w:div w:id="354161463">
      <w:bodyDiv w:val="1"/>
      <w:marLeft w:val="0"/>
      <w:marRight w:val="0"/>
      <w:marTop w:val="0"/>
      <w:marBottom w:val="0"/>
      <w:divBdr>
        <w:top w:val="none" w:sz="0" w:space="0" w:color="auto"/>
        <w:left w:val="none" w:sz="0" w:space="0" w:color="auto"/>
        <w:bottom w:val="none" w:sz="0" w:space="0" w:color="auto"/>
        <w:right w:val="none" w:sz="0" w:space="0" w:color="auto"/>
      </w:divBdr>
    </w:div>
    <w:div w:id="449864253">
      <w:bodyDiv w:val="1"/>
      <w:marLeft w:val="0"/>
      <w:marRight w:val="0"/>
      <w:marTop w:val="0"/>
      <w:marBottom w:val="0"/>
      <w:divBdr>
        <w:top w:val="none" w:sz="0" w:space="0" w:color="auto"/>
        <w:left w:val="none" w:sz="0" w:space="0" w:color="auto"/>
        <w:bottom w:val="none" w:sz="0" w:space="0" w:color="auto"/>
        <w:right w:val="none" w:sz="0" w:space="0" w:color="auto"/>
      </w:divBdr>
    </w:div>
    <w:div w:id="522867519">
      <w:bodyDiv w:val="1"/>
      <w:marLeft w:val="0"/>
      <w:marRight w:val="0"/>
      <w:marTop w:val="0"/>
      <w:marBottom w:val="0"/>
      <w:divBdr>
        <w:top w:val="none" w:sz="0" w:space="0" w:color="auto"/>
        <w:left w:val="none" w:sz="0" w:space="0" w:color="auto"/>
        <w:bottom w:val="none" w:sz="0" w:space="0" w:color="auto"/>
        <w:right w:val="none" w:sz="0" w:space="0" w:color="auto"/>
      </w:divBdr>
    </w:div>
    <w:div w:id="570847687">
      <w:bodyDiv w:val="1"/>
      <w:marLeft w:val="0"/>
      <w:marRight w:val="0"/>
      <w:marTop w:val="0"/>
      <w:marBottom w:val="0"/>
      <w:divBdr>
        <w:top w:val="none" w:sz="0" w:space="0" w:color="auto"/>
        <w:left w:val="none" w:sz="0" w:space="0" w:color="auto"/>
        <w:bottom w:val="none" w:sz="0" w:space="0" w:color="auto"/>
        <w:right w:val="none" w:sz="0" w:space="0" w:color="auto"/>
      </w:divBdr>
    </w:div>
    <w:div w:id="572813632">
      <w:bodyDiv w:val="1"/>
      <w:marLeft w:val="0"/>
      <w:marRight w:val="0"/>
      <w:marTop w:val="0"/>
      <w:marBottom w:val="0"/>
      <w:divBdr>
        <w:top w:val="none" w:sz="0" w:space="0" w:color="auto"/>
        <w:left w:val="none" w:sz="0" w:space="0" w:color="auto"/>
        <w:bottom w:val="none" w:sz="0" w:space="0" w:color="auto"/>
        <w:right w:val="none" w:sz="0" w:space="0" w:color="auto"/>
      </w:divBdr>
    </w:div>
    <w:div w:id="590818330">
      <w:bodyDiv w:val="1"/>
      <w:marLeft w:val="0"/>
      <w:marRight w:val="0"/>
      <w:marTop w:val="0"/>
      <w:marBottom w:val="0"/>
      <w:divBdr>
        <w:top w:val="none" w:sz="0" w:space="0" w:color="auto"/>
        <w:left w:val="none" w:sz="0" w:space="0" w:color="auto"/>
        <w:bottom w:val="none" w:sz="0" w:space="0" w:color="auto"/>
        <w:right w:val="none" w:sz="0" w:space="0" w:color="auto"/>
      </w:divBdr>
    </w:div>
    <w:div w:id="665207356">
      <w:bodyDiv w:val="1"/>
      <w:marLeft w:val="0"/>
      <w:marRight w:val="0"/>
      <w:marTop w:val="0"/>
      <w:marBottom w:val="0"/>
      <w:divBdr>
        <w:top w:val="none" w:sz="0" w:space="0" w:color="auto"/>
        <w:left w:val="none" w:sz="0" w:space="0" w:color="auto"/>
        <w:bottom w:val="none" w:sz="0" w:space="0" w:color="auto"/>
        <w:right w:val="none" w:sz="0" w:space="0" w:color="auto"/>
      </w:divBdr>
    </w:div>
    <w:div w:id="667756957">
      <w:bodyDiv w:val="1"/>
      <w:marLeft w:val="0"/>
      <w:marRight w:val="0"/>
      <w:marTop w:val="0"/>
      <w:marBottom w:val="0"/>
      <w:divBdr>
        <w:top w:val="none" w:sz="0" w:space="0" w:color="auto"/>
        <w:left w:val="none" w:sz="0" w:space="0" w:color="auto"/>
        <w:bottom w:val="none" w:sz="0" w:space="0" w:color="auto"/>
        <w:right w:val="none" w:sz="0" w:space="0" w:color="auto"/>
      </w:divBdr>
    </w:div>
    <w:div w:id="733940269">
      <w:bodyDiv w:val="1"/>
      <w:marLeft w:val="0"/>
      <w:marRight w:val="0"/>
      <w:marTop w:val="0"/>
      <w:marBottom w:val="0"/>
      <w:divBdr>
        <w:top w:val="none" w:sz="0" w:space="0" w:color="auto"/>
        <w:left w:val="none" w:sz="0" w:space="0" w:color="auto"/>
        <w:bottom w:val="none" w:sz="0" w:space="0" w:color="auto"/>
        <w:right w:val="none" w:sz="0" w:space="0" w:color="auto"/>
      </w:divBdr>
    </w:div>
    <w:div w:id="865412419">
      <w:bodyDiv w:val="1"/>
      <w:marLeft w:val="0"/>
      <w:marRight w:val="0"/>
      <w:marTop w:val="0"/>
      <w:marBottom w:val="0"/>
      <w:divBdr>
        <w:top w:val="none" w:sz="0" w:space="0" w:color="auto"/>
        <w:left w:val="none" w:sz="0" w:space="0" w:color="auto"/>
        <w:bottom w:val="none" w:sz="0" w:space="0" w:color="auto"/>
        <w:right w:val="none" w:sz="0" w:space="0" w:color="auto"/>
      </w:divBdr>
    </w:div>
    <w:div w:id="977802207">
      <w:bodyDiv w:val="1"/>
      <w:marLeft w:val="0"/>
      <w:marRight w:val="0"/>
      <w:marTop w:val="0"/>
      <w:marBottom w:val="0"/>
      <w:divBdr>
        <w:top w:val="none" w:sz="0" w:space="0" w:color="auto"/>
        <w:left w:val="none" w:sz="0" w:space="0" w:color="auto"/>
        <w:bottom w:val="none" w:sz="0" w:space="0" w:color="auto"/>
        <w:right w:val="none" w:sz="0" w:space="0" w:color="auto"/>
      </w:divBdr>
      <w:divsChild>
        <w:div w:id="2079479991">
          <w:marLeft w:val="0"/>
          <w:marRight w:val="0"/>
          <w:marTop w:val="0"/>
          <w:marBottom w:val="0"/>
          <w:divBdr>
            <w:top w:val="none" w:sz="0" w:space="0" w:color="auto"/>
            <w:left w:val="none" w:sz="0" w:space="0" w:color="auto"/>
            <w:bottom w:val="none" w:sz="0" w:space="0" w:color="auto"/>
            <w:right w:val="none" w:sz="0" w:space="0" w:color="auto"/>
          </w:divBdr>
        </w:div>
        <w:div w:id="373819236">
          <w:marLeft w:val="0"/>
          <w:marRight w:val="0"/>
          <w:marTop w:val="0"/>
          <w:marBottom w:val="0"/>
          <w:divBdr>
            <w:top w:val="none" w:sz="0" w:space="0" w:color="auto"/>
            <w:left w:val="none" w:sz="0" w:space="0" w:color="auto"/>
            <w:bottom w:val="none" w:sz="0" w:space="0" w:color="auto"/>
            <w:right w:val="none" w:sz="0" w:space="0" w:color="auto"/>
          </w:divBdr>
        </w:div>
        <w:div w:id="118761488">
          <w:marLeft w:val="0"/>
          <w:marRight w:val="0"/>
          <w:marTop w:val="0"/>
          <w:marBottom w:val="0"/>
          <w:divBdr>
            <w:top w:val="none" w:sz="0" w:space="0" w:color="auto"/>
            <w:left w:val="none" w:sz="0" w:space="0" w:color="auto"/>
            <w:bottom w:val="none" w:sz="0" w:space="0" w:color="auto"/>
            <w:right w:val="none" w:sz="0" w:space="0" w:color="auto"/>
          </w:divBdr>
        </w:div>
        <w:div w:id="2116289365">
          <w:marLeft w:val="0"/>
          <w:marRight w:val="0"/>
          <w:marTop w:val="0"/>
          <w:marBottom w:val="0"/>
          <w:divBdr>
            <w:top w:val="none" w:sz="0" w:space="0" w:color="auto"/>
            <w:left w:val="none" w:sz="0" w:space="0" w:color="auto"/>
            <w:bottom w:val="none" w:sz="0" w:space="0" w:color="auto"/>
            <w:right w:val="none" w:sz="0" w:space="0" w:color="auto"/>
          </w:divBdr>
        </w:div>
        <w:div w:id="1678574013">
          <w:marLeft w:val="0"/>
          <w:marRight w:val="0"/>
          <w:marTop w:val="0"/>
          <w:marBottom w:val="0"/>
          <w:divBdr>
            <w:top w:val="none" w:sz="0" w:space="0" w:color="auto"/>
            <w:left w:val="none" w:sz="0" w:space="0" w:color="auto"/>
            <w:bottom w:val="none" w:sz="0" w:space="0" w:color="auto"/>
            <w:right w:val="none" w:sz="0" w:space="0" w:color="auto"/>
          </w:divBdr>
        </w:div>
      </w:divsChild>
    </w:div>
    <w:div w:id="985670961">
      <w:bodyDiv w:val="1"/>
      <w:marLeft w:val="0"/>
      <w:marRight w:val="0"/>
      <w:marTop w:val="0"/>
      <w:marBottom w:val="0"/>
      <w:divBdr>
        <w:top w:val="none" w:sz="0" w:space="0" w:color="auto"/>
        <w:left w:val="none" w:sz="0" w:space="0" w:color="auto"/>
        <w:bottom w:val="none" w:sz="0" w:space="0" w:color="auto"/>
        <w:right w:val="none" w:sz="0" w:space="0" w:color="auto"/>
      </w:divBdr>
    </w:div>
    <w:div w:id="1179540801">
      <w:bodyDiv w:val="1"/>
      <w:marLeft w:val="0"/>
      <w:marRight w:val="0"/>
      <w:marTop w:val="0"/>
      <w:marBottom w:val="0"/>
      <w:divBdr>
        <w:top w:val="none" w:sz="0" w:space="0" w:color="auto"/>
        <w:left w:val="none" w:sz="0" w:space="0" w:color="auto"/>
        <w:bottom w:val="none" w:sz="0" w:space="0" w:color="auto"/>
        <w:right w:val="none" w:sz="0" w:space="0" w:color="auto"/>
      </w:divBdr>
    </w:div>
    <w:div w:id="1238442035">
      <w:bodyDiv w:val="1"/>
      <w:marLeft w:val="0"/>
      <w:marRight w:val="0"/>
      <w:marTop w:val="0"/>
      <w:marBottom w:val="0"/>
      <w:divBdr>
        <w:top w:val="none" w:sz="0" w:space="0" w:color="auto"/>
        <w:left w:val="none" w:sz="0" w:space="0" w:color="auto"/>
        <w:bottom w:val="none" w:sz="0" w:space="0" w:color="auto"/>
        <w:right w:val="none" w:sz="0" w:space="0" w:color="auto"/>
      </w:divBdr>
    </w:div>
    <w:div w:id="1257714611">
      <w:bodyDiv w:val="1"/>
      <w:marLeft w:val="0"/>
      <w:marRight w:val="0"/>
      <w:marTop w:val="0"/>
      <w:marBottom w:val="0"/>
      <w:divBdr>
        <w:top w:val="none" w:sz="0" w:space="0" w:color="auto"/>
        <w:left w:val="none" w:sz="0" w:space="0" w:color="auto"/>
        <w:bottom w:val="none" w:sz="0" w:space="0" w:color="auto"/>
        <w:right w:val="none" w:sz="0" w:space="0" w:color="auto"/>
      </w:divBdr>
      <w:divsChild>
        <w:div w:id="457258191">
          <w:marLeft w:val="0"/>
          <w:marRight w:val="0"/>
          <w:marTop w:val="0"/>
          <w:marBottom w:val="0"/>
          <w:divBdr>
            <w:top w:val="none" w:sz="0" w:space="0" w:color="auto"/>
            <w:left w:val="none" w:sz="0" w:space="0" w:color="auto"/>
            <w:bottom w:val="none" w:sz="0" w:space="0" w:color="auto"/>
            <w:right w:val="none" w:sz="0" w:space="0" w:color="auto"/>
          </w:divBdr>
        </w:div>
        <w:div w:id="45570018">
          <w:marLeft w:val="0"/>
          <w:marRight w:val="0"/>
          <w:marTop w:val="0"/>
          <w:marBottom w:val="0"/>
          <w:divBdr>
            <w:top w:val="none" w:sz="0" w:space="0" w:color="auto"/>
            <w:left w:val="none" w:sz="0" w:space="0" w:color="auto"/>
            <w:bottom w:val="none" w:sz="0" w:space="0" w:color="auto"/>
            <w:right w:val="none" w:sz="0" w:space="0" w:color="auto"/>
          </w:divBdr>
        </w:div>
        <w:div w:id="288820904">
          <w:marLeft w:val="0"/>
          <w:marRight w:val="0"/>
          <w:marTop w:val="0"/>
          <w:marBottom w:val="0"/>
          <w:divBdr>
            <w:top w:val="none" w:sz="0" w:space="0" w:color="auto"/>
            <w:left w:val="none" w:sz="0" w:space="0" w:color="auto"/>
            <w:bottom w:val="none" w:sz="0" w:space="0" w:color="auto"/>
            <w:right w:val="none" w:sz="0" w:space="0" w:color="auto"/>
          </w:divBdr>
        </w:div>
        <w:div w:id="1586844229">
          <w:marLeft w:val="0"/>
          <w:marRight w:val="0"/>
          <w:marTop w:val="0"/>
          <w:marBottom w:val="0"/>
          <w:divBdr>
            <w:top w:val="none" w:sz="0" w:space="0" w:color="auto"/>
            <w:left w:val="none" w:sz="0" w:space="0" w:color="auto"/>
            <w:bottom w:val="none" w:sz="0" w:space="0" w:color="auto"/>
            <w:right w:val="none" w:sz="0" w:space="0" w:color="auto"/>
          </w:divBdr>
        </w:div>
        <w:div w:id="1370186681">
          <w:marLeft w:val="0"/>
          <w:marRight w:val="0"/>
          <w:marTop w:val="0"/>
          <w:marBottom w:val="0"/>
          <w:divBdr>
            <w:top w:val="none" w:sz="0" w:space="0" w:color="auto"/>
            <w:left w:val="none" w:sz="0" w:space="0" w:color="auto"/>
            <w:bottom w:val="none" w:sz="0" w:space="0" w:color="auto"/>
            <w:right w:val="none" w:sz="0" w:space="0" w:color="auto"/>
          </w:divBdr>
        </w:div>
      </w:divsChild>
    </w:div>
    <w:div w:id="1413314362">
      <w:bodyDiv w:val="1"/>
      <w:marLeft w:val="0"/>
      <w:marRight w:val="0"/>
      <w:marTop w:val="0"/>
      <w:marBottom w:val="0"/>
      <w:divBdr>
        <w:top w:val="none" w:sz="0" w:space="0" w:color="auto"/>
        <w:left w:val="none" w:sz="0" w:space="0" w:color="auto"/>
        <w:bottom w:val="none" w:sz="0" w:space="0" w:color="auto"/>
        <w:right w:val="none" w:sz="0" w:space="0" w:color="auto"/>
      </w:divBdr>
    </w:div>
    <w:div w:id="1797680778">
      <w:bodyDiv w:val="1"/>
      <w:marLeft w:val="0"/>
      <w:marRight w:val="0"/>
      <w:marTop w:val="0"/>
      <w:marBottom w:val="0"/>
      <w:divBdr>
        <w:top w:val="none" w:sz="0" w:space="0" w:color="auto"/>
        <w:left w:val="none" w:sz="0" w:space="0" w:color="auto"/>
        <w:bottom w:val="none" w:sz="0" w:space="0" w:color="auto"/>
        <w:right w:val="none" w:sz="0" w:space="0" w:color="auto"/>
      </w:divBdr>
    </w:div>
    <w:div w:id="1880048545">
      <w:bodyDiv w:val="1"/>
      <w:marLeft w:val="0"/>
      <w:marRight w:val="0"/>
      <w:marTop w:val="0"/>
      <w:marBottom w:val="0"/>
      <w:divBdr>
        <w:top w:val="none" w:sz="0" w:space="0" w:color="auto"/>
        <w:left w:val="none" w:sz="0" w:space="0" w:color="auto"/>
        <w:bottom w:val="none" w:sz="0" w:space="0" w:color="auto"/>
        <w:right w:val="none" w:sz="0" w:space="0" w:color="auto"/>
      </w:divBdr>
    </w:div>
    <w:div w:id="2027710383">
      <w:bodyDiv w:val="1"/>
      <w:marLeft w:val="0"/>
      <w:marRight w:val="0"/>
      <w:marTop w:val="0"/>
      <w:marBottom w:val="0"/>
      <w:divBdr>
        <w:top w:val="none" w:sz="0" w:space="0" w:color="auto"/>
        <w:left w:val="none" w:sz="0" w:space="0" w:color="auto"/>
        <w:bottom w:val="none" w:sz="0" w:space="0" w:color="auto"/>
        <w:right w:val="none" w:sz="0" w:space="0" w:color="auto"/>
      </w:divBdr>
      <w:divsChild>
        <w:div w:id="1740781705">
          <w:marLeft w:val="0"/>
          <w:marRight w:val="0"/>
          <w:marTop w:val="0"/>
          <w:marBottom w:val="0"/>
          <w:divBdr>
            <w:top w:val="none" w:sz="0" w:space="0" w:color="auto"/>
            <w:left w:val="none" w:sz="0" w:space="0" w:color="auto"/>
            <w:bottom w:val="none" w:sz="0" w:space="0" w:color="auto"/>
            <w:right w:val="none" w:sz="0" w:space="0" w:color="auto"/>
          </w:divBdr>
          <w:divsChild>
            <w:div w:id="26415571">
              <w:marLeft w:val="0"/>
              <w:marRight w:val="0"/>
              <w:marTop w:val="0"/>
              <w:marBottom w:val="0"/>
              <w:divBdr>
                <w:top w:val="none" w:sz="0" w:space="0" w:color="auto"/>
                <w:left w:val="none" w:sz="0" w:space="0" w:color="auto"/>
                <w:bottom w:val="none" w:sz="0" w:space="0" w:color="auto"/>
                <w:right w:val="none" w:sz="0" w:space="0" w:color="auto"/>
              </w:divBdr>
              <w:divsChild>
                <w:div w:id="288315865">
                  <w:marLeft w:val="0"/>
                  <w:marRight w:val="0"/>
                  <w:marTop w:val="0"/>
                  <w:marBottom w:val="0"/>
                  <w:divBdr>
                    <w:top w:val="none" w:sz="0" w:space="0" w:color="auto"/>
                    <w:left w:val="none" w:sz="0" w:space="0" w:color="auto"/>
                    <w:bottom w:val="none" w:sz="0" w:space="0" w:color="auto"/>
                    <w:right w:val="none" w:sz="0" w:space="0" w:color="auto"/>
                  </w:divBdr>
                  <w:divsChild>
                    <w:div w:id="3616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38300">
      <w:bodyDiv w:val="1"/>
      <w:marLeft w:val="0"/>
      <w:marRight w:val="0"/>
      <w:marTop w:val="0"/>
      <w:marBottom w:val="0"/>
      <w:divBdr>
        <w:top w:val="none" w:sz="0" w:space="0" w:color="auto"/>
        <w:left w:val="none" w:sz="0" w:space="0" w:color="auto"/>
        <w:bottom w:val="none" w:sz="0" w:space="0" w:color="auto"/>
        <w:right w:val="none" w:sz="0" w:space="0" w:color="auto"/>
      </w:divBdr>
    </w:div>
    <w:div w:id="21131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chart" Target="charts/chart8.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jpeg"/></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jpeg"/></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1.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11.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11.jpe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Pu</c:v>
          </c:tx>
          <c:dLbls>
            <c:dLbl>
              <c:idx val="0"/>
              <c:tx>
                <c:rich>
                  <a:bodyPr/>
                  <a:lstStyle/>
                  <a:p>
                    <a:r>
                      <a:rPr lang="en-US"/>
                      <a:t>CHyS6M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6-49CC-910A-411D451F059E}"/>
                </c:ext>
              </c:extLst>
            </c:dLbl>
            <c:dLbl>
              <c:idx val="1"/>
              <c:tx>
                <c:rich>
                  <a:bodyPr/>
                  <a:lstStyle/>
                  <a:p>
                    <a:r>
                      <a:rPr lang="en-US"/>
                      <a:t>CHyS3M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6-49CC-910A-411D451F059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ورقة1!$G$12:$G$13</c:f>
              <c:numCache>
                <c:formatCode>General</c:formatCode>
                <c:ptCount val="2"/>
                <c:pt idx="0">
                  <c:v>593.25</c:v>
                </c:pt>
                <c:pt idx="1">
                  <c:v>664</c:v>
                </c:pt>
              </c:numCache>
            </c:numRef>
          </c:yVal>
          <c:smooth val="1"/>
          <c:extLst>
            <c:ext xmlns:c16="http://schemas.microsoft.com/office/drawing/2014/chart" uri="{C3380CC4-5D6E-409C-BE32-E72D297353CC}">
              <c16:uniqueId val="{00000002-E166-49CC-910A-411D451F059E}"/>
            </c:ext>
          </c:extLst>
        </c:ser>
        <c:ser>
          <c:idx val="1"/>
          <c:order val="1"/>
          <c:tx>
            <c:v>Pcr</c:v>
          </c:tx>
          <c:dLbls>
            <c:dLbl>
              <c:idx val="0"/>
              <c:tx>
                <c:rich>
                  <a:bodyPr/>
                  <a:lstStyle/>
                  <a:p>
                    <a:r>
                      <a:rPr lang="en-US"/>
                      <a:t>CHyS6M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6-49CC-910A-411D451F059E}"/>
                </c:ext>
              </c:extLst>
            </c:dLbl>
            <c:dLbl>
              <c:idx val="1"/>
              <c:tx>
                <c:rich>
                  <a:bodyPr/>
                  <a:lstStyle/>
                  <a:p>
                    <a:r>
                      <a:rPr lang="en-US"/>
                      <a:t>CHyS3M</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6-49CC-910A-411D451F059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ورقة1!$F$12:$F$13</c:f>
              <c:numCache>
                <c:formatCode>General</c:formatCode>
                <c:ptCount val="2"/>
                <c:pt idx="0">
                  <c:v>219.7</c:v>
                </c:pt>
                <c:pt idx="1">
                  <c:v>288.60000000000002</c:v>
                </c:pt>
              </c:numCache>
            </c:numRef>
          </c:yVal>
          <c:smooth val="1"/>
          <c:extLst>
            <c:ext xmlns:c16="http://schemas.microsoft.com/office/drawing/2014/chart" uri="{C3380CC4-5D6E-409C-BE32-E72D297353CC}">
              <c16:uniqueId val="{00000005-E166-49CC-910A-411D451F059E}"/>
            </c:ext>
          </c:extLst>
        </c:ser>
        <c:dLbls>
          <c:showLegendKey val="0"/>
          <c:showVal val="0"/>
          <c:showCatName val="0"/>
          <c:showSerName val="0"/>
          <c:showPercent val="0"/>
          <c:showBubbleSize val="0"/>
        </c:dLbls>
        <c:axId val="452532096"/>
        <c:axId val="452533632"/>
      </c:scatterChart>
      <c:valAx>
        <c:axId val="452532096"/>
        <c:scaling>
          <c:orientation val="minMax"/>
          <c:max val="1"/>
        </c:scaling>
        <c:delete val="0"/>
        <c:axPos val="b"/>
        <c:numFmt formatCode="General" sourceLinked="1"/>
        <c:majorTickMark val="out"/>
        <c:minorTickMark val="none"/>
        <c:tickLblPos val="nextTo"/>
        <c:crossAx val="452533632"/>
        <c:crosses val="autoZero"/>
        <c:crossBetween val="midCat"/>
        <c:majorUnit val="0.1"/>
      </c:valAx>
      <c:valAx>
        <c:axId val="452533632"/>
        <c:scaling>
          <c:orientation val="minMax"/>
          <c:max val="900"/>
        </c:scaling>
        <c:delete val="0"/>
        <c:axPos val="l"/>
        <c:majorGridlines/>
        <c:numFmt formatCode="General" sourceLinked="1"/>
        <c:majorTickMark val="out"/>
        <c:minorTickMark val="none"/>
        <c:tickLblPos val="nextTo"/>
        <c:crossAx val="452532096"/>
        <c:crosses val="autoZero"/>
        <c:crossBetween val="midCat"/>
        <c:majorUnit val="100"/>
        <c:minorUnit val="20"/>
      </c:valAx>
    </c:plotArea>
    <c:legend>
      <c:legendPos val="r"/>
      <c:layout>
        <c:manualLayout>
          <c:xMode val="edge"/>
          <c:yMode val="edge"/>
          <c:x val="0.83384946203828636"/>
          <c:y val="4.0080226513284503E-3"/>
          <c:w val="0.15502208714074553"/>
          <c:h val="0.23934304734894699"/>
        </c:manualLayout>
      </c:layout>
      <c:overlay val="0"/>
    </c:legend>
    <c:plotVisOnly val="1"/>
    <c:dispBlanksAs val="gap"/>
    <c:showDLblsOverMax val="0"/>
  </c:chart>
  <c:spPr>
    <a:pattFill prst="pct90">
      <a:fgClr>
        <a:schemeClr val="accent3">
          <a:lumMod val="60000"/>
          <a:lumOff val="40000"/>
        </a:schemeClr>
      </a:fgClr>
      <a:bgClr>
        <a:schemeClr val="bg1"/>
      </a:bgClr>
    </a:patt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57608156833277"/>
          <c:y val="3.9794551971474641E-2"/>
          <c:w val="0.61873512685914256"/>
          <c:h val="0.7632483960338291"/>
        </c:manualLayout>
      </c:layout>
      <c:scatterChart>
        <c:scatterStyle val="smoothMarker"/>
        <c:varyColors val="0"/>
        <c:ser>
          <c:idx val="1"/>
          <c:order val="0"/>
          <c:tx>
            <c:v>CNS6M</c:v>
          </c:tx>
          <c:xVal>
            <c:numRef>
              <c:f>ورقة1!$A$32:$A$43</c:f>
              <c:numCache>
                <c:formatCode>General</c:formatCode>
                <c:ptCount val="12"/>
                <c:pt idx="0">
                  <c:v>0</c:v>
                </c:pt>
                <c:pt idx="1">
                  <c:v>0.26</c:v>
                </c:pt>
                <c:pt idx="2">
                  <c:v>0.44</c:v>
                </c:pt>
                <c:pt idx="3">
                  <c:v>0.66</c:v>
                </c:pt>
                <c:pt idx="4">
                  <c:v>0.85</c:v>
                </c:pt>
                <c:pt idx="5">
                  <c:v>1</c:v>
                </c:pt>
                <c:pt idx="6">
                  <c:v>1.1299999999999999</c:v>
                </c:pt>
                <c:pt idx="7">
                  <c:v>1.3</c:v>
                </c:pt>
                <c:pt idx="8">
                  <c:v>1.48</c:v>
                </c:pt>
                <c:pt idx="9">
                  <c:v>1.7</c:v>
                </c:pt>
                <c:pt idx="10">
                  <c:v>2.02</c:v>
                </c:pt>
                <c:pt idx="11">
                  <c:v>2.4</c:v>
                </c:pt>
              </c:numCache>
            </c:numRef>
          </c:xVal>
          <c:yVal>
            <c:numRef>
              <c:f>ورقة1!$B$32:$B$43</c:f>
              <c:numCache>
                <c:formatCode>General</c:formatCode>
                <c:ptCount val="12"/>
                <c:pt idx="0">
                  <c:v>0</c:v>
                </c:pt>
                <c:pt idx="1">
                  <c:v>50</c:v>
                </c:pt>
                <c:pt idx="2">
                  <c:v>100</c:v>
                </c:pt>
                <c:pt idx="3">
                  <c:v>150</c:v>
                </c:pt>
                <c:pt idx="4">
                  <c:v>200</c:v>
                </c:pt>
                <c:pt idx="5">
                  <c:v>250</c:v>
                </c:pt>
                <c:pt idx="6">
                  <c:v>300</c:v>
                </c:pt>
                <c:pt idx="7">
                  <c:v>350</c:v>
                </c:pt>
                <c:pt idx="8">
                  <c:v>400</c:v>
                </c:pt>
                <c:pt idx="9">
                  <c:v>450</c:v>
                </c:pt>
                <c:pt idx="10">
                  <c:v>500</c:v>
                </c:pt>
                <c:pt idx="11">
                  <c:v>507.25</c:v>
                </c:pt>
              </c:numCache>
            </c:numRef>
          </c:yVal>
          <c:smooth val="1"/>
          <c:extLst>
            <c:ext xmlns:c16="http://schemas.microsoft.com/office/drawing/2014/chart" uri="{C3380CC4-5D6E-409C-BE32-E72D297353CC}">
              <c16:uniqueId val="{00000000-7D9C-48EB-A9C9-AE9E729DF146}"/>
            </c:ext>
          </c:extLst>
        </c:ser>
        <c:ser>
          <c:idx val="2"/>
          <c:order val="1"/>
          <c:tx>
            <c:v>CHyS6M</c:v>
          </c:tx>
          <c:xVal>
            <c:numRef>
              <c:f>ورقة1!$A$19:$A$31</c:f>
              <c:numCache>
                <c:formatCode>General</c:formatCode>
                <c:ptCount val="13"/>
                <c:pt idx="0">
                  <c:v>0</c:v>
                </c:pt>
                <c:pt idx="1">
                  <c:v>0.2</c:v>
                </c:pt>
                <c:pt idx="2">
                  <c:v>0.35</c:v>
                </c:pt>
                <c:pt idx="3">
                  <c:v>0.5</c:v>
                </c:pt>
                <c:pt idx="4">
                  <c:v>0.66</c:v>
                </c:pt>
                <c:pt idx="5">
                  <c:v>0.84</c:v>
                </c:pt>
                <c:pt idx="6">
                  <c:v>1</c:v>
                </c:pt>
                <c:pt idx="7">
                  <c:v>1.1499999999999999</c:v>
                </c:pt>
                <c:pt idx="8">
                  <c:v>1.29</c:v>
                </c:pt>
                <c:pt idx="9">
                  <c:v>1.46</c:v>
                </c:pt>
                <c:pt idx="10">
                  <c:v>1.69</c:v>
                </c:pt>
                <c:pt idx="11">
                  <c:v>1.99</c:v>
                </c:pt>
                <c:pt idx="12">
                  <c:v>2.41</c:v>
                </c:pt>
              </c:numCache>
            </c:numRef>
          </c:xVal>
          <c:yVal>
            <c:numRef>
              <c:f>ورقة1!$B$19:$B$31</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593.25</c:v>
                </c:pt>
              </c:numCache>
            </c:numRef>
          </c:yVal>
          <c:smooth val="1"/>
          <c:extLst>
            <c:ext xmlns:c16="http://schemas.microsoft.com/office/drawing/2014/chart" uri="{C3380CC4-5D6E-409C-BE32-E72D297353CC}">
              <c16:uniqueId val="{00000001-7D9C-48EB-A9C9-AE9E729DF146}"/>
            </c:ext>
          </c:extLst>
        </c:ser>
        <c:dLbls>
          <c:showLegendKey val="0"/>
          <c:showVal val="0"/>
          <c:showCatName val="0"/>
          <c:showSerName val="0"/>
          <c:showPercent val="0"/>
          <c:showBubbleSize val="0"/>
        </c:dLbls>
        <c:axId val="448599936"/>
        <c:axId val="448606208"/>
      </c:scatterChart>
      <c:valAx>
        <c:axId val="448599936"/>
        <c:scaling>
          <c:orientation val="minMax"/>
        </c:scaling>
        <c:delete val="0"/>
        <c:axPos val="b"/>
        <c:majorGridlines/>
        <c:title>
          <c:tx>
            <c:rich>
              <a:bodyPr/>
              <a:lstStyle/>
              <a:p>
                <a:pPr>
                  <a:defRPr sz="1200" b="1" i="0" baseline="0">
                    <a:solidFill>
                      <a:schemeClr val="tx1"/>
                    </a:solidFill>
                    <a:latin typeface="Arial" pitchFamily="34" charset="0"/>
                  </a:defRPr>
                </a:pPr>
                <a:r>
                  <a:rPr lang="en-US" sz="1200" b="1" i="0" baseline="0">
                    <a:solidFill>
                      <a:schemeClr val="tx1"/>
                    </a:solidFill>
                    <a:latin typeface="Arial" pitchFamily="34" charset="0"/>
                  </a:rPr>
                  <a:t>Deflaction (mm)</a:t>
                </a:r>
              </a:p>
            </c:rich>
          </c:tx>
          <c:layout>
            <c:manualLayout>
              <c:xMode val="edge"/>
              <c:yMode val="edge"/>
              <c:x val="0.35950281106733828"/>
              <c:y val="0.88457822498342997"/>
            </c:manualLayout>
          </c:layout>
          <c:overlay val="0"/>
          <c:spPr>
            <a:ln w="31750">
              <a:noFill/>
            </a:ln>
          </c:spPr>
        </c:title>
        <c:numFmt formatCode="General" sourceLinked="1"/>
        <c:majorTickMark val="out"/>
        <c:minorTickMark val="out"/>
        <c:tickLblPos val="nextTo"/>
        <c:crossAx val="448606208"/>
        <c:crosses val="autoZero"/>
        <c:crossBetween val="midCat"/>
      </c:valAx>
      <c:valAx>
        <c:axId val="448606208"/>
        <c:scaling>
          <c:orientation val="minMax"/>
          <c:max val="900"/>
        </c:scaling>
        <c:delete val="0"/>
        <c:axPos val="l"/>
        <c:majorGridlines/>
        <c:title>
          <c:tx>
            <c:rich>
              <a:bodyPr rot="-5400000" vert="horz"/>
              <a:lstStyle/>
              <a:p>
                <a:pPr>
                  <a:defRPr sz="1200" b="1" i="0" baseline="0">
                    <a:latin typeface="Arial" pitchFamily="34" charset="0"/>
                  </a:defRPr>
                </a:pPr>
                <a:r>
                  <a:rPr lang="en-US" sz="1200" b="1" i="0" baseline="0">
                    <a:latin typeface="Arial" pitchFamily="34" charset="0"/>
                  </a:rPr>
                  <a:t>Applied Load (kN)</a:t>
                </a:r>
              </a:p>
            </c:rich>
          </c:tx>
          <c:layout>
            <c:manualLayout>
              <c:xMode val="edge"/>
              <c:yMode val="edge"/>
              <c:x val="5.8809767474784065E-2"/>
              <c:y val="0.18920574537419058"/>
            </c:manualLayout>
          </c:layout>
          <c:overlay val="0"/>
        </c:title>
        <c:numFmt formatCode="General" sourceLinked="1"/>
        <c:majorTickMark val="out"/>
        <c:minorTickMark val="out"/>
        <c:tickLblPos val="nextTo"/>
        <c:crossAx val="448599936"/>
        <c:crosses val="autoZero"/>
        <c:crossBetween val="midCat"/>
      </c:valAx>
      <c:spPr>
        <a:solidFill>
          <a:sysClr val="window" lastClr="FFFFFF"/>
        </a:solidFill>
      </c:spPr>
    </c:plotArea>
    <c:legend>
      <c:legendPos val="r"/>
      <c:layout>
        <c:manualLayout>
          <c:xMode val="edge"/>
          <c:yMode val="edge"/>
          <c:x val="0.7852257217847769"/>
          <c:y val="0"/>
          <c:w val="0.21285323709536311"/>
          <c:h val="0.21054899387576553"/>
        </c:manualLayout>
      </c:layout>
      <c:overlay val="0"/>
      <c:spPr>
        <a:solidFill>
          <a:schemeClr val="bg1"/>
        </a:solidFill>
      </c:spPr>
      <c:txPr>
        <a:bodyPr/>
        <a:lstStyle/>
        <a:p>
          <a:pPr>
            <a:defRPr sz="1200" baseline="0"/>
          </a:pPr>
          <a:endParaRPr lang="en-US"/>
        </a:p>
      </c:txPr>
    </c:legend>
    <c:plotVisOnly val="1"/>
    <c:dispBlanksAs val="gap"/>
    <c:showDLblsOverMax val="0"/>
  </c:chart>
  <c:spPr>
    <a:pattFill prst="pct90">
      <a:fgClr>
        <a:schemeClr val="accent5">
          <a:lumMod val="60000"/>
          <a:lumOff val="40000"/>
        </a:schemeClr>
      </a:fgClr>
      <a:bgClr>
        <a:schemeClr val="bg1"/>
      </a:bgClr>
    </a:patt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5.1400554097404488E-2"/>
          <c:w val="0.68194203849518809"/>
          <c:h val="0.78537401574803145"/>
        </c:manualLayout>
      </c:layout>
      <c:scatterChart>
        <c:scatterStyle val="smoothMarker"/>
        <c:varyColors val="0"/>
        <c:ser>
          <c:idx val="0"/>
          <c:order val="0"/>
          <c:tx>
            <c:v>CN06M</c:v>
          </c:tx>
          <c:xVal>
            <c:numRef>
              <c:f>ورقة1!$A$28:$A$37</c:f>
              <c:numCache>
                <c:formatCode>General</c:formatCode>
                <c:ptCount val="10"/>
                <c:pt idx="0">
                  <c:v>0</c:v>
                </c:pt>
                <c:pt idx="1">
                  <c:v>0.35</c:v>
                </c:pt>
                <c:pt idx="2">
                  <c:v>0.64</c:v>
                </c:pt>
                <c:pt idx="3">
                  <c:v>0.82</c:v>
                </c:pt>
                <c:pt idx="4">
                  <c:v>1.02</c:v>
                </c:pt>
                <c:pt idx="5">
                  <c:v>1.25</c:v>
                </c:pt>
                <c:pt idx="6">
                  <c:v>1.5</c:v>
                </c:pt>
                <c:pt idx="7">
                  <c:v>1.69</c:v>
                </c:pt>
                <c:pt idx="8">
                  <c:v>2.02</c:v>
                </c:pt>
                <c:pt idx="9">
                  <c:v>2.2200000000000002</c:v>
                </c:pt>
              </c:numCache>
            </c:numRef>
          </c:xVal>
          <c:yVal>
            <c:numRef>
              <c:f>ورقة1!$B$28:$B$37</c:f>
              <c:numCache>
                <c:formatCode>General</c:formatCode>
                <c:ptCount val="10"/>
                <c:pt idx="0">
                  <c:v>0</c:v>
                </c:pt>
                <c:pt idx="1">
                  <c:v>50</c:v>
                </c:pt>
                <c:pt idx="2">
                  <c:v>100</c:v>
                </c:pt>
                <c:pt idx="3">
                  <c:v>150</c:v>
                </c:pt>
                <c:pt idx="4">
                  <c:v>200</c:v>
                </c:pt>
                <c:pt idx="5">
                  <c:v>250</c:v>
                </c:pt>
                <c:pt idx="6">
                  <c:v>300</c:v>
                </c:pt>
                <c:pt idx="7">
                  <c:v>350</c:v>
                </c:pt>
                <c:pt idx="8">
                  <c:v>400</c:v>
                </c:pt>
                <c:pt idx="9">
                  <c:v>406.5</c:v>
                </c:pt>
              </c:numCache>
            </c:numRef>
          </c:yVal>
          <c:smooth val="1"/>
          <c:extLst>
            <c:ext xmlns:c16="http://schemas.microsoft.com/office/drawing/2014/chart" uri="{C3380CC4-5D6E-409C-BE32-E72D297353CC}">
              <c16:uniqueId val="{00000000-947C-448F-BB89-EB1B963FAC14}"/>
            </c:ext>
          </c:extLst>
        </c:ser>
        <c:ser>
          <c:idx val="2"/>
          <c:order val="1"/>
          <c:tx>
            <c:v>CHy06M</c:v>
          </c:tx>
          <c:xVal>
            <c:numRef>
              <c:f>ورقة1!$A$17:$A$27</c:f>
              <c:numCache>
                <c:formatCode>General</c:formatCode>
                <c:ptCount val="11"/>
                <c:pt idx="0">
                  <c:v>0</c:v>
                </c:pt>
                <c:pt idx="1">
                  <c:v>0.28000000000000003</c:v>
                </c:pt>
                <c:pt idx="2">
                  <c:v>0.48</c:v>
                </c:pt>
                <c:pt idx="3">
                  <c:v>0.64</c:v>
                </c:pt>
                <c:pt idx="4">
                  <c:v>0.84</c:v>
                </c:pt>
                <c:pt idx="5">
                  <c:v>0.95</c:v>
                </c:pt>
                <c:pt idx="6">
                  <c:v>1.1299999999999999</c:v>
                </c:pt>
                <c:pt idx="7">
                  <c:v>1.3</c:v>
                </c:pt>
                <c:pt idx="8">
                  <c:v>1.57</c:v>
                </c:pt>
                <c:pt idx="9">
                  <c:v>1.8</c:v>
                </c:pt>
                <c:pt idx="10">
                  <c:v>2.2400000000000002</c:v>
                </c:pt>
              </c:numCache>
            </c:numRef>
          </c:xVal>
          <c:yVal>
            <c:numRef>
              <c:f>ورقة1!$B$17:$B$27</c:f>
              <c:numCache>
                <c:formatCode>General</c:formatCode>
                <c:ptCount val="11"/>
                <c:pt idx="0">
                  <c:v>0</c:v>
                </c:pt>
                <c:pt idx="1">
                  <c:v>50</c:v>
                </c:pt>
                <c:pt idx="2">
                  <c:v>100</c:v>
                </c:pt>
                <c:pt idx="3">
                  <c:v>150</c:v>
                </c:pt>
                <c:pt idx="4">
                  <c:v>200</c:v>
                </c:pt>
                <c:pt idx="5">
                  <c:v>250</c:v>
                </c:pt>
                <c:pt idx="6">
                  <c:v>300</c:v>
                </c:pt>
                <c:pt idx="7">
                  <c:v>350</c:v>
                </c:pt>
                <c:pt idx="8">
                  <c:v>400</c:v>
                </c:pt>
                <c:pt idx="9">
                  <c:v>450</c:v>
                </c:pt>
                <c:pt idx="10">
                  <c:v>497.5</c:v>
                </c:pt>
              </c:numCache>
            </c:numRef>
          </c:yVal>
          <c:smooth val="1"/>
          <c:extLst>
            <c:ext xmlns:c16="http://schemas.microsoft.com/office/drawing/2014/chart" uri="{C3380CC4-5D6E-409C-BE32-E72D297353CC}">
              <c16:uniqueId val="{00000001-947C-448F-BB89-EB1B963FAC14}"/>
            </c:ext>
          </c:extLst>
        </c:ser>
        <c:dLbls>
          <c:showLegendKey val="0"/>
          <c:showVal val="0"/>
          <c:showCatName val="0"/>
          <c:showSerName val="0"/>
          <c:showPercent val="0"/>
          <c:showBubbleSize val="0"/>
        </c:dLbls>
        <c:axId val="448636416"/>
        <c:axId val="448638336"/>
      </c:scatterChart>
      <c:valAx>
        <c:axId val="448636416"/>
        <c:scaling>
          <c:orientation val="minMax"/>
        </c:scaling>
        <c:delete val="0"/>
        <c:axPos val="b"/>
        <c:majorGridlines/>
        <c:title>
          <c:tx>
            <c:rich>
              <a:bodyPr/>
              <a:lstStyle/>
              <a:p>
                <a:pPr>
                  <a:defRPr sz="1400" baseline="0"/>
                </a:pPr>
                <a:r>
                  <a:rPr lang="en-US" sz="1400" baseline="0"/>
                  <a:t>Deflection (mm)</a:t>
                </a:r>
              </a:p>
            </c:rich>
          </c:tx>
          <c:overlay val="0"/>
        </c:title>
        <c:numFmt formatCode="General" sourceLinked="1"/>
        <c:majorTickMark val="out"/>
        <c:minorTickMark val="out"/>
        <c:tickLblPos val="nextTo"/>
        <c:crossAx val="448638336"/>
        <c:crosses val="autoZero"/>
        <c:crossBetween val="midCat"/>
        <c:majorUnit val="0.5"/>
      </c:valAx>
      <c:valAx>
        <c:axId val="448638336"/>
        <c:scaling>
          <c:orientation val="minMax"/>
          <c:max val="900"/>
        </c:scaling>
        <c:delete val="0"/>
        <c:axPos val="l"/>
        <c:majorGridlines/>
        <c:title>
          <c:tx>
            <c:rich>
              <a:bodyPr rot="-5400000" vert="horz"/>
              <a:lstStyle/>
              <a:p>
                <a:pPr>
                  <a:defRPr/>
                </a:pPr>
                <a:r>
                  <a:rPr lang="en-US" sz="1400" baseline="0"/>
                  <a:t>Applied Load (kN)</a:t>
                </a:r>
              </a:p>
            </c:rich>
          </c:tx>
          <c:overlay val="0"/>
        </c:title>
        <c:numFmt formatCode="General" sourceLinked="1"/>
        <c:majorTickMark val="out"/>
        <c:minorTickMark val="out"/>
        <c:tickLblPos val="nextTo"/>
        <c:crossAx val="448636416"/>
        <c:crosses val="autoZero"/>
        <c:crossBetween val="midCat"/>
      </c:valAx>
      <c:spPr>
        <a:solidFill>
          <a:sysClr val="window" lastClr="FFFFFF"/>
        </a:solidFill>
      </c:spPr>
    </c:plotArea>
    <c:legend>
      <c:legendPos val="r"/>
      <c:layout>
        <c:manualLayout>
          <c:xMode val="edge"/>
          <c:yMode val="edge"/>
          <c:x val="0.82006933508311464"/>
          <c:y val="4.0536599591717831E-3"/>
          <c:w val="0.17993066491688539"/>
          <c:h val="0.25115157480314959"/>
        </c:manualLayout>
      </c:layout>
      <c:overlay val="0"/>
      <c:spPr>
        <a:solidFill>
          <a:schemeClr val="bg1"/>
        </a:solidFill>
      </c:spPr>
    </c:legend>
    <c:plotVisOnly val="1"/>
    <c:dispBlanksAs val="gap"/>
    <c:showDLblsOverMax val="0"/>
  </c:chart>
  <c:spPr>
    <a:pattFill prst="pct90">
      <a:fgClr>
        <a:schemeClr val="accent5">
          <a:lumMod val="60000"/>
          <a:lumOff val="40000"/>
        </a:schemeClr>
      </a:fgClr>
      <a:bgClr>
        <a:schemeClr val="bg1"/>
      </a:bgClr>
    </a:patt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6.9919072615923006E-2"/>
          <c:w val="0.66937248468941379"/>
          <c:h val="0.71592957130358703"/>
        </c:manualLayout>
      </c:layout>
      <c:scatterChart>
        <c:scatterStyle val="smoothMarker"/>
        <c:varyColors val="0"/>
        <c:ser>
          <c:idx val="0"/>
          <c:order val="0"/>
          <c:tx>
            <c:v>CHy06m</c:v>
          </c:tx>
          <c:marker>
            <c:symbol val="diamond"/>
            <c:size val="4"/>
          </c:marker>
          <c:xVal>
            <c:numRef>
              <c:f>'[المخطط في Microsoft Word]ورقة1'!$A$2:$A$12</c:f>
              <c:numCache>
                <c:formatCode>General</c:formatCode>
                <c:ptCount val="11"/>
                <c:pt idx="0">
                  <c:v>0</c:v>
                </c:pt>
                <c:pt idx="1">
                  <c:v>0.28000000000000003</c:v>
                </c:pt>
                <c:pt idx="2">
                  <c:v>0.48</c:v>
                </c:pt>
                <c:pt idx="3">
                  <c:v>0.64</c:v>
                </c:pt>
                <c:pt idx="4">
                  <c:v>0.84</c:v>
                </c:pt>
                <c:pt idx="5">
                  <c:v>0.95</c:v>
                </c:pt>
                <c:pt idx="6">
                  <c:v>1.1299999999999999</c:v>
                </c:pt>
                <c:pt idx="7">
                  <c:v>1.3</c:v>
                </c:pt>
                <c:pt idx="8">
                  <c:v>1.53</c:v>
                </c:pt>
                <c:pt idx="9">
                  <c:v>1.8</c:v>
                </c:pt>
                <c:pt idx="10">
                  <c:v>2.2400000000000002</c:v>
                </c:pt>
              </c:numCache>
            </c:numRef>
          </c:xVal>
          <c:yVal>
            <c:numRef>
              <c:f>'[المخطط في Microsoft Word]ورقة1'!$B$2:$B$12</c:f>
              <c:numCache>
                <c:formatCode>General</c:formatCode>
                <c:ptCount val="11"/>
                <c:pt idx="0">
                  <c:v>0</c:v>
                </c:pt>
                <c:pt idx="1">
                  <c:v>50</c:v>
                </c:pt>
                <c:pt idx="2">
                  <c:v>100</c:v>
                </c:pt>
                <c:pt idx="3">
                  <c:v>150</c:v>
                </c:pt>
                <c:pt idx="4">
                  <c:v>200</c:v>
                </c:pt>
                <c:pt idx="5">
                  <c:v>250</c:v>
                </c:pt>
                <c:pt idx="6">
                  <c:v>300</c:v>
                </c:pt>
                <c:pt idx="7">
                  <c:v>350</c:v>
                </c:pt>
                <c:pt idx="8">
                  <c:v>400</c:v>
                </c:pt>
                <c:pt idx="9">
                  <c:v>450</c:v>
                </c:pt>
                <c:pt idx="10">
                  <c:v>497.5</c:v>
                </c:pt>
              </c:numCache>
            </c:numRef>
          </c:yVal>
          <c:smooth val="1"/>
          <c:extLst>
            <c:ext xmlns:c16="http://schemas.microsoft.com/office/drawing/2014/chart" uri="{C3380CC4-5D6E-409C-BE32-E72D297353CC}">
              <c16:uniqueId val="{00000000-C400-4299-8F41-8DD9D67C98A2}"/>
            </c:ext>
          </c:extLst>
        </c:ser>
        <c:ser>
          <c:idx val="1"/>
          <c:order val="1"/>
          <c:tx>
            <c:v>CHyS6M</c:v>
          </c:tx>
          <c:marker>
            <c:symbol val="square"/>
            <c:size val="4"/>
          </c:marker>
          <c:xVal>
            <c:numRef>
              <c:f>'[المخطط في Microsoft Word]ورقة1'!$A$13:$A$25</c:f>
              <c:numCache>
                <c:formatCode>General</c:formatCode>
                <c:ptCount val="13"/>
                <c:pt idx="0">
                  <c:v>0</c:v>
                </c:pt>
                <c:pt idx="1">
                  <c:v>0.2</c:v>
                </c:pt>
                <c:pt idx="2">
                  <c:v>0.35</c:v>
                </c:pt>
                <c:pt idx="3">
                  <c:v>0.5</c:v>
                </c:pt>
                <c:pt idx="4">
                  <c:v>0.66</c:v>
                </c:pt>
                <c:pt idx="5">
                  <c:v>0.84</c:v>
                </c:pt>
                <c:pt idx="6">
                  <c:v>1</c:v>
                </c:pt>
                <c:pt idx="7">
                  <c:v>1.1499999999999999</c:v>
                </c:pt>
                <c:pt idx="8">
                  <c:v>1.29</c:v>
                </c:pt>
                <c:pt idx="9">
                  <c:v>1.46</c:v>
                </c:pt>
                <c:pt idx="10">
                  <c:v>1.69</c:v>
                </c:pt>
                <c:pt idx="11">
                  <c:v>1.99</c:v>
                </c:pt>
                <c:pt idx="12">
                  <c:v>2.41</c:v>
                </c:pt>
              </c:numCache>
            </c:numRef>
          </c:xVal>
          <c:yVal>
            <c:numRef>
              <c:f>'[المخطط في Microsoft Word]ورقة1'!$B$13:$B$25</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593.25</c:v>
                </c:pt>
              </c:numCache>
            </c:numRef>
          </c:yVal>
          <c:smooth val="1"/>
          <c:extLst>
            <c:ext xmlns:c16="http://schemas.microsoft.com/office/drawing/2014/chart" uri="{C3380CC4-5D6E-409C-BE32-E72D297353CC}">
              <c16:uniqueId val="{00000001-C400-4299-8F41-8DD9D67C98A2}"/>
            </c:ext>
          </c:extLst>
        </c:ser>
        <c:ser>
          <c:idx val="2"/>
          <c:order val="2"/>
          <c:tx>
            <c:v>CHyS3M</c:v>
          </c:tx>
          <c:marker>
            <c:symbol val="triangle"/>
            <c:size val="4"/>
          </c:marker>
          <c:xVal>
            <c:numRef>
              <c:f>'[المخطط في Microsoft Word]ورقة1'!$A$26:$A$40</c:f>
              <c:numCache>
                <c:formatCode>General</c:formatCode>
                <c:ptCount val="15"/>
                <c:pt idx="0">
                  <c:v>0</c:v>
                </c:pt>
                <c:pt idx="1">
                  <c:v>0.17</c:v>
                </c:pt>
                <c:pt idx="2">
                  <c:v>0.33</c:v>
                </c:pt>
                <c:pt idx="3">
                  <c:v>0.48</c:v>
                </c:pt>
                <c:pt idx="4">
                  <c:v>0.6</c:v>
                </c:pt>
                <c:pt idx="5">
                  <c:v>0.76</c:v>
                </c:pt>
                <c:pt idx="6">
                  <c:v>0.9</c:v>
                </c:pt>
                <c:pt idx="7">
                  <c:v>1.05</c:v>
                </c:pt>
                <c:pt idx="8">
                  <c:v>1.1399999999999999</c:v>
                </c:pt>
                <c:pt idx="9">
                  <c:v>1.27</c:v>
                </c:pt>
                <c:pt idx="10">
                  <c:v>1.39</c:v>
                </c:pt>
                <c:pt idx="11">
                  <c:v>1.55</c:v>
                </c:pt>
                <c:pt idx="12">
                  <c:v>1.7</c:v>
                </c:pt>
                <c:pt idx="13">
                  <c:v>1.89</c:v>
                </c:pt>
                <c:pt idx="14">
                  <c:v>2.11</c:v>
                </c:pt>
              </c:numCache>
            </c:numRef>
          </c:xVal>
          <c:yVal>
            <c:numRef>
              <c:f>'[المخطط في Microsoft Word]ورقة1'!$B$26:$B$40</c:f>
              <c:numCache>
                <c:formatCode>General</c:formatCode>
                <c:ptCount val="15"/>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664</c:v>
                </c:pt>
              </c:numCache>
            </c:numRef>
          </c:yVal>
          <c:smooth val="1"/>
          <c:extLst>
            <c:ext xmlns:c16="http://schemas.microsoft.com/office/drawing/2014/chart" uri="{C3380CC4-5D6E-409C-BE32-E72D297353CC}">
              <c16:uniqueId val="{00000002-C400-4299-8F41-8DD9D67C98A2}"/>
            </c:ext>
          </c:extLst>
        </c:ser>
        <c:dLbls>
          <c:showLegendKey val="0"/>
          <c:showVal val="0"/>
          <c:showCatName val="0"/>
          <c:showSerName val="0"/>
          <c:showPercent val="0"/>
          <c:showBubbleSize val="0"/>
        </c:dLbls>
        <c:axId val="448727296"/>
        <c:axId val="448737664"/>
      </c:scatterChart>
      <c:valAx>
        <c:axId val="448727296"/>
        <c:scaling>
          <c:orientation val="minMax"/>
          <c:max val="3"/>
        </c:scaling>
        <c:delete val="0"/>
        <c:axPos val="b"/>
        <c:majorGridlines/>
        <c:title>
          <c:tx>
            <c:rich>
              <a:bodyPr/>
              <a:lstStyle/>
              <a:p>
                <a:pPr>
                  <a:defRPr/>
                </a:pPr>
                <a:r>
                  <a:rPr lang="en-US"/>
                  <a:t>Deflection(mm)</a:t>
                </a:r>
              </a:p>
            </c:rich>
          </c:tx>
          <c:overlay val="0"/>
        </c:title>
        <c:numFmt formatCode="General" sourceLinked="1"/>
        <c:majorTickMark val="out"/>
        <c:minorTickMark val="out"/>
        <c:tickLblPos val="nextTo"/>
        <c:crossAx val="448737664"/>
        <c:crosses val="autoZero"/>
        <c:crossBetween val="midCat"/>
        <c:majorUnit val="0.25"/>
      </c:valAx>
      <c:valAx>
        <c:axId val="448737664"/>
        <c:scaling>
          <c:orientation val="minMax"/>
          <c:max val="900"/>
        </c:scaling>
        <c:delete val="0"/>
        <c:axPos val="l"/>
        <c:majorGridlines/>
        <c:title>
          <c:tx>
            <c:rich>
              <a:bodyPr rot="-5400000" vert="horz"/>
              <a:lstStyle/>
              <a:p>
                <a:pPr>
                  <a:defRPr/>
                </a:pPr>
                <a:r>
                  <a:rPr lang="en-US"/>
                  <a:t>Applied Load (kN)</a:t>
                </a:r>
              </a:p>
            </c:rich>
          </c:tx>
          <c:overlay val="0"/>
        </c:title>
        <c:numFmt formatCode="General" sourceLinked="1"/>
        <c:majorTickMark val="out"/>
        <c:minorTickMark val="out"/>
        <c:tickLblPos val="nextTo"/>
        <c:crossAx val="448727296"/>
        <c:crosses val="autoZero"/>
        <c:crossBetween val="midCat"/>
      </c:valAx>
      <c:spPr>
        <a:solidFill>
          <a:sysClr val="window" lastClr="FFFFFF"/>
        </a:solidFill>
        <a:ln>
          <a:solidFill>
            <a:schemeClr val="tx1"/>
          </a:solidFill>
        </a:ln>
      </c:spPr>
    </c:plotArea>
    <c:legend>
      <c:legendPos val="r"/>
      <c:layout>
        <c:manualLayout>
          <c:xMode val="edge"/>
          <c:yMode val="edge"/>
          <c:x val="0.82138867016622918"/>
          <c:y val="4.0536599591717831E-3"/>
          <c:w val="0.17861132983377079"/>
          <c:h val="0.25115157480314959"/>
        </c:manualLayout>
      </c:layout>
      <c:overlay val="0"/>
      <c:spPr>
        <a:solidFill>
          <a:schemeClr val="bg1"/>
        </a:solidFill>
      </c:spPr>
    </c:legend>
    <c:plotVisOnly val="1"/>
    <c:dispBlanksAs val="gap"/>
    <c:showDLblsOverMax val="0"/>
  </c:chart>
  <c:spPr>
    <a:pattFill prst="pct90">
      <a:fgClr>
        <a:schemeClr val="accent5">
          <a:lumMod val="60000"/>
          <a:lumOff val="40000"/>
        </a:schemeClr>
      </a:fgClr>
      <a:bgClr>
        <a:schemeClr val="bg1"/>
      </a:bgClr>
    </a:patt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Pu</c:v>
          </c:tx>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C3-479C-B3C7-37DFF3DF7C8B}"/>
                </c:ext>
              </c:extLst>
            </c:dLbl>
            <c:dLbl>
              <c:idx val="1"/>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C3-479C-B3C7-37DFF3DF7C8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ورقة1!$E$12:$E$13</c:f>
              <c:numCache>
                <c:formatCode>General</c:formatCode>
                <c:ptCount val="2"/>
                <c:pt idx="0">
                  <c:v>507.25</c:v>
                </c:pt>
                <c:pt idx="1">
                  <c:v>588.75</c:v>
                </c:pt>
              </c:numCache>
            </c:numRef>
          </c:yVal>
          <c:smooth val="1"/>
          <c:extLst>
            <c:ext xmlns:c16="http://schemas.microsoft.com/office/drawing/2014/chart" uri="{C3380CC4-5D6E-409C-BE32-E72D297353CC}">
              <c16:uniqueId val="{00000002-D8C3-479C-B3C7-37DFF3DF7C8B}"/>
            </c:ext>
          </c:extLst>
        </c:ser>
        <c:ser>
          <c:idx val="1"/>
          <c:order val="1"/>
          <c:tx>
            <c:v>Pcr</c:v>
          </c:tx>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C3-479C-B3C7-37DFF3DF7C8B}"/>
                </c:ext>
              </c:extLst>
            </c:dLbl>
            <c:dLbl>
              <c:idx val="1"/>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C3-479C-B3C7-37DFF3DF7C8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ورقة1!$C$12:$C$13</c:f>
              <c:numCache>
                <c:formatCode>General</c:formatCode>
                <c:ptCount val="2"/>
                <c:pt idx="0">
                  <c:v>0.6</c:v>
                </c:pt>
                <c:pt idx="1">
                  <c:v>0.3</c:v>
                </c:pt>
              </c:numCache>
            </c:numRef>
          </c:xVal>
          <c:yVal>
            <c:numRef>
              <c:f>ورقة1!$D$12:$D$13</c:f>
              <c:numCache>
                <c:formatCode>General</c:formatCode>
                <c:ptCount val="2"/>
                <c:pt idx="0">
                  <c:v>169</c:v>
                </c:pt>
                <c:pt idx="1">
                  <c:v>207.5</c:v>
                </c:pt>
              </c:numCache>
            </c:numRef>
          </c:yVal>
          <c:smooth val="1"/>
          <c:extLst>
            <c:ext xmlns:c16="http://schemas.microsoft.com/office/drawing/2014/chart" uri="{C3380CC4-5D6E-409C-BE32-E72D297353CC}">
              <c16:uniqueId val="{00000005-D8C3-479C-B3C7-37DFF3DF7C8B}"/>
            </c:ext>
          </c:extLst>
        </c:ser>
        <c:dLbls>
          <c:showLegendKey val="0"/>
          <c:showVal val="0"/>
          <c:showCatName val="0"/>
          <c:showSerName val="0"/>
          <c:showPercent val="0"/>
          <c:showBubbleSize val="0"/>
        </c:dLbls>
        <c:axId val="452353024"/>
        <c:axId val="452481792"/>
      </c:scatterChart>
      <c:valAx>
        <c:axId val="452353024"/>
        <c:scaling>
          <c:orientation val="minMax"/>
          <c:max val="1"/>
        </c:scaling>
        <c:delete val="0"/>
        <c:axPos val="b"/>
        <c:numFmt formatCode="General" sourceLinked="1"/>
        <c:majorTickMark val="out"/>
        <c:minorTickMark val="none"/>
        <c:tickLblPos val="nextTo"/>
        <c:crossAx val="452481792"/>
        <c:crosses val="autoZero"/>
        <c:crossBetween val="midCat"/>
        <c:majorUnit val="0.1"/>
      </c:valAx>
      <c:valAx>
        <c:axId val="452481792"/>
        <c:scaling>
          <c:orientation val="minMax"/>
          <c:max val="900"/>
        </c:scaling>
        <c:delete val="0"/>
        <c:axPos val="l"/>
        <c:majorGridlines/>
        <c:numFmt formatCode="General" sourceLinked="1"/>
        <c:majorTickMark val="out"/>
        <c:minorTickMark val="none"/>
        <c:tickLblPos val="nextTo"/>
        <c:crossAx val="452353024"/>
        <c:crosses val="autoZero"/>
        <c:crossBetween val="midCat"/>
      </c:valAx>
    </c:plotArea>
    <c:legend>
      <c:legendPos val="r"/>
      <c:layout>
        <c:manualLayout>
          <c:xMode val="edge"/>
          <c:yMode val="edge"/>
          <c:x val="0.81673578942905511"/>
          <c:y val="2.7393919510061246E-2"/>
          <c:w val="0.15826412903688711"/>
          <c:h val="0.22298993875765533"/>
        </c:manualLayout>
      </c:layout>
      <c:overlay val="0"/>
    </c:legend>
    <c:plotVisOnly val="1"/>
    <c:dispBlanksAs val="gap"/>
    <c:showDLblsOverMax val="0"/>
  </c:chart>
  <c:spPr>
    <a:pattFill prst="pct90">
      <a:fgClr>
        <a:schemeClr val="accent3">
          <a:lumMod val="60000"/>
          <a:lumOff val="40000"/>
        </a:schemeClr>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scatterChart>
        <c:scatterStyle val="smoothMarker"/>
        <c:varyColors val="0"/>
        <c:ser>
          <c:idx val="0"/>
          <c:order val="0"/>
          <c:tx>
            <c:v>pu</c:v>
          </c:tx>
          <c:spPr>
            <a:ln>
              <a:solidFill>
                <a:schemeClr val="accent5">
                  <a:lumMod val="75000"/>
                </a:schemeClr>
              </a:solidFill>
            </a:ln>
          </c:spPr>
          <c:dLbls>
            <c:dLbl>
              <c:idx val="0"/>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90-4A42-8ED8-01426C0AC846}"/>
                </c:ext>
              </c:extLst>
            </c:dLbl>
            <c:dLbl>
              <c:idx val="1"/>
              <c:tx>
                <c:rich>
                  <a:bodyPr/>
                  <a:lstStyle/>
                  <a:p>
                    <a:r>
                      <a:rPr lang="en-US"/>
                      <a:t>CHyS3M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90-4A42-8ED8-01426C0AC846}"/>
                </c:ext>
              </c:extLst>
            </c:dLbl>
            <c:dLbl>
              <c:idx val="2"/>
              <c:tx>
                <c:rich>
                  <a:bodyPr/>
                  <a:lstStyle/>
                  <a:p>
                    <a:r>
                      <a:rPr lang="en-US"/>
                      <a:t>CHS3M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90-4A42-8ED8-01426C0AC84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Word]ورقة1'!$M$17:$M$19</c:f>
              <c:numCache>
                <c:formatCode>General</c:formatCode>
                <c:ptCount val="3"/>
                <c:pt idx="0">
                  <c:v>30</c:v>
                </c:pt>
                <c:pt idx="1">
                  <c:v>52</c:v>
                </c:pt>
              </c:numCache>
            </c:numRef>
          </c:xVal>
          <c:yVal>
            <c:numRef>
              <c:f>'[المخطط في Microsoft Word]ورقة1'!$N$17:$N$19</c:f>
              <c:numCache>
                <c:formatCode>General</c:formatCode>
                <c:ptCount val="3"/>
                <c:pt idx="0">
                  <c:v>588.75</c:v>
                </c:pt>
                <c:pt idx="1">
                  <c:v>664</c:v>
                </c:pt>
              </c:numCache>
            </c:numRef>
          </c:yVal>
          <c:smooth val="1"/>
          <c:extLst>
            <c:ext xmlns:c16="http://schemas.microsoft.com/office/drawing/2014/chart" uri="{C3380CC4-5D6E-409C-BE32-E72D297353CC}">
              <c16:uniqueId val="{00000003-0390-4A42-8ED8-01426C0AC846}"/>
            </c:ext>
          </c:extLst>
        </c:ser>
        <c:ser>
          <c:idx val="1"/>
          <c:order val="1"/>
          <c:tx>
            <c:v>pcr</c:v>
          </c:tx>
          <c:spPr>
            <a:ln>
              <a:solidFill>
                <a:schemeClr val="accent3">
                  <a:lumMod val="75000"/>
                </a:schemeClr>
              </a:solidFill>
            </a:ln>
          </c:spPr>
          <c:dLbls>
            <c:dLbl>
              <c:idx val="0"/>
              <c:tx>
                <c:rich>
                  <a:bodyPr/>
                  <a:lstStyle/>
                  <a:p>
                    <a:r>
                      <a:rPr lang="en-US"/>
                      <a:t>CNS3M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90-4A42-8ED8-01426C0AC846}"/>
                </c:ext>
              </c:extLst>
            </c:dLbl>
            <c:dLbl>
              <c:idx val="1"/>
              <c:tx>
                <c:rich>
                  <a:bodyPr/>
                  <a:lstStyle/>
                  <a:p>
                    <a:r>
                      <a:rPr lang="en-US"/>
                      <a:t>CHyS3M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90-4A42-8ED8-01426C0AC846}"/>
                </c:ext>
              </c:extLst>
            </c:dLbl>
            <c:dLbl>
              <c:idx val="2"/>
              <c:tx>
                <c:rich>
                  <a:bodyPr/>
                  <a:lstStyle/>
                  <a:p>
                    <a:r>
                      <a:rPr lang="en-US"/>
                      <a:t>CHS3M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90-4A42-8ED8-01426C0AC84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Word]ورقة1'!$P$17:$P$19</c:f>
              <c:numCache>
                <c:formatCode>General</c:formatCode>
                <c:ptCount val="3"/>
                <c:pt idx="0">
                  <c:v>30</c:v>
                </c:pt>
                <c:pt idx="1">
                  <c:v>52</c:v>
                </c:pt>
              </c:numCache>
            </c:numRef>
          </c:xVal>
          <c:yVal>
            <c:numRef>
              <c:f>'[المخطط في Microsoft Word]ورقة1'!$Q$17:$Q$19</c:f>
              <c:numCache>
                <c:formatCode>General</c:formatCode>
                <c:ptCount val="3"/>
                <c:pt idx="0">
                  <c:v>207.5</c:v>
                </c:pt>
                <c:pt idx="1">
                  <c:v>288.60000000000002</c:v>
                </c:pt>
              </c:numCache>
            </c:numRef>
          </c:yVal>
          <c:smooth val="1"/>
          <c:extLst>
            <c:ext xmlns:c16="http://schemas.microsoft.com/office/drawing/2014/chart" uri="{C3380CC4-5D6E-409C-BE32-E72D297353CC}">
              <c16:uniqueId val="{00000007-0390-4A42-8ED8-01426C0AC846}"/>
            </c:ext>
          </c:extLst>
        </c:ser>
        <c:dLbls>
          <c:showLegendKey val="0"/>
          <c:showVal val="0"/>
          <c:showCatName val="0"/>
          <c:showSerName val="0"/>
          <c:showPercent val="0"/>
          <c:showBubbleSize val="0"/>
        </c:dLbls>
        <c:axId val="452650112"/>
        <c:axId val="452652032"/>
      </c:scatterChart>
      <c:valAx>
        <c:axId val="452650112"/>
        <c:scaling>
          <c:orientation val="minMax"/>
        </c:scaling>
        <c:delete val="0"/>
        <c:axPos val="b"/>
        <c:minorGridlines/>
        <c:title>
          <c:tx>
            <c:rich>
              <a:bodyPr/>
              <a:lstStyle/>
              <a:p>
                <a:pPr>
                  <a:defRPr/>
                </a:pPr>
                <a:r>
                  <a:rPr lang="en-US"/>
                  <a:t>fc'(MPa)</a:t>
                </a:r>
              </a:p>
            </c:rich>
          </c:tx>
          <c:overlay val="0"/>
        </c:title>
        <c:numFmt formatCode="General" sourceLinked="1"/>
        <c:majorTickMark val="out"/>
        <c:minorTickMark val="none"/>
        <c:tickLblPos val="nextTo"/>
        <c:txPr>
          <a:bodyPr/>
          <a:lstStyle/>
          <a:p>
            <a:pPr>
              <a:defRPr b="1" i="0" baseline="0"/>
            </a:pPr>
            <a:endParaRPr lang="en-US"/>
          </a:p>
        </c:txPr>
        <c:crossAx val="452652032"/>
        <c:crosses val="autoZero"/>
        <c:crossBetween val="midCat"/>
        <c:majorUnit val="10"/>
        <c:minorUnit val="5"/>
      </c:valAx>
      <c:valAx>
        <c:axId val="452652032"/>
        <c:scaling>
          <c:orientation val="minMax"/>
          <c:max val="900"/>
        </c:scaling>
        <c:delete val="0"/>
        <c:axPos val="l"/>
        <c:majorGridlines/>
        <c:title>
          <c:tx>
            <c:rich>
              <a:bodyPr rot="-5400000" vert="horz"/>
              <a:lstStyle/>
              <a:p>
                <a:pPr>
                  <a:defRPr/>
                </a:pPr>
                <a:r>
                  <a:rPr lang="en-US"/>
                  <a:t>Load (KN)</a:t>
                </a:r>
              </a:p>
            </c:rich>
          </c:tx>
          <c:overlay val="0"/>
        </c:title>
        <c:numFmt formatCode="General" sourceLinked="1"/>
        <c:majorTickMark val="out"/>
        <c:minorTickMark val="none"/>
        <c:tickLblPos val="nextTo"/>
        <c:txPr>
          <a:bodyPr/>
          <a:lstStyle/>
          <a:p>
            <a:pPr>
              <a:defRPr b="1" i="0" baseline="0"/>
            </a:pPr>
            <a:endParaRPr lang="en-US"/>
          </a:p>
        </c:txPr>
        <c:crossAx val="452650112"/>
        <c:crosses val="autoZero"/>
        <c:crossBetween val="midCat"/>
      </c:valAx>
    </c:plotArea>
    <c:legend>
      <c:legendPos val="r"/>
      <c:layout>
        <c:manualLayout>
          <c:xMode val="edge"/>
          <c:yMode val="edge"/>
          <c:x val="0.82508311461067363"/>
          <c:y val="3.6653178769320505E-2"/>
          <c:w val="0.11936132983377078"/>
          <c:h val="0.16743438320209975"/>
        </c:manualLayout>
      </c:layout>
      <c:overlay val="0"/>
      <c:spPr>
        <a:pattFill prst="pct90">
          <a:fgClr>
            <a:schemeClr val="accent6">
              <a:lumMod val="40000"/>
              <a:lumOff val="60000"/>
            </a:schemeClr>
          </a:fgClr>
          <a:bgClr>
            <a:schemeClr val="bg1"/>
          </a:bgClr>
        </a:pattFill>
      </c:sp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scatterChart>
        <c:scatterStyle val="smoothMarker"/>
        <c:varyColors val="0"/>
        <c:ser>
          <c:idx val="0"/>
          <c:order val="0"/>
          <c:tx>
            <c:v>pu</c:v>
          </c:tx>
          <c:spPr>
            <a:ln>
              <a:solidFill>
                <a:schemeClr val="accent5">
                  <a:lumMod val="75000"/>
                </a:schemeClr>
              </a:solidFill>
            </a:ln>
          </c:spPr>
          <c:dLbls>
            <c:dLbl>
              <c:idx val="0"/>
              <c:tx>
                <c:rich>
                  <a:bodyPr/>
                  <a:lstStyle/>
                  <a:p>
                    <a:r>
                      <a:rPr lang="en-US"/>
                      <a:t>CN06M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6-41C0-A6B4-7488FB849816}"/>
                </c:ext>
              </c:extLst>
            </c:dLbl>
            <c:dLbl>
              <c:idx val="1"/>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86-41C0-A6B4-7488FB849816}"/>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86-41C0-A6B4-7488FB84981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Word]ورقة1'!$M$11:$M$13</c:f>
              <c:numCache>
                <c:formatCode>General</c:formatCode>
                <c:ptCount val="3"/>
                <c:pt idx="0">
                  <c:v>30</c:v>
                </c:pt>
                <c:pt idx="1">
                  <c:v>52</c:v>
                </c:pt>
              </c:numCache>
            </c:numRef>
          </c:xVal>
          <c:yVal>
            <c:numRef>
              <c:f>'[المخطط في Microsoft Word]ورقة1'!$N$11:$N$13</c:f>
              <c:numCache>
                <c:formatCode>General</c:formatCode>
                <c:ptCount val="3"/>
                <c:pt idx="0">
                  <c:v>406.5</c:v>
                </c:pt>
                <c:pt idx="1">
                  <c:v>497.5</c:v>
                </c:pt>
              </c:numCache>
            </c:numRef>
          </c:yVal>
          <c:smooth val="1"/>
          <c:extLst>
            <c:ext xmlns:c16="http://schemas.microsoft.com/office/drawing/2014/chart" uri="{C3380CC4-5D6E-409C-BE32-E72D297353CC}">
              <c16:uniqueId val="{00000003-8A86-41C0-A6B4-7488FB849816}"/>
            </c:ext>
          </c:extLst>
        </c:ser>
        <c:ser>
          <c:idx val="1"/>
          <c:order val="1"/>
          <c:tx>
            <c:v>pcr</c:v>
          </c:tx>
          <c:spPr>
            <a:ln>
              <a:solidFill>
                <a:schemeClr val="accent3">
                  <a:lumMod val="75000"/>
                </a:schemeClr>
              </a:solidFill>
            </a:ln>
          </c:spPr>
          <c:dLbls>
            <c:dLbl>
              <c:idx val="0"/>
              <c:tx>
                <c:rich>
                  <a:bodyPr/>
                  <a:lstStyle/>
                  <a:p>
                    <a:r>
                      <a:rPr lang="en-US"/>
                      <a:t>CN06M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86-41C0-A6B4-7488FB849816}"/>
                </c:ext>
              </c:extLst>
            </c:dLbl>
            <c:dLbl>
              <c:idx val="1"/>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86-41C0-A6B4-7488FB849816}"/>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86-41C0-A6B4-7488FB84981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Word]ورقة1'!$P$11:$P$13</c:f>
              <c:numCache>
                <c:formatCode>General</c:formatCode>
                <c:ptCount val="3"/>
                <c:pt idx="0">
                  <c:v>30</c:v>
                </c:pt>
                <c:pt idx="1">
                  <c:v>52</c:v>
                </c:pt>
              </c:numCache>
            </c:numRef>
          </c:xVal>
          <c:yVal>
            <c:numRef>
              <c:f>'[المخطط في Microsoft Word]ورقة1'!$Q$11:$Q$13</c:f>
              <c:numCache>
                <c:formatCode>General</c:formatCode>
                <c:ptCount val="3"/>
                <c:pt idx="0">
                  <c:v>101.3</c:v>
                </c:pt>
                <c:pt idx="1">
                  <c:v>152</c:v>
                </c:pt>
              </c:numCache>
            </c:numRef>
          </c:yVal>
          <c:smooth val="1"/>
          <c:extLst>
            <c:ext xmlns:c16="http://schemas.microsoft.com/office/drawing/2014/chart" uri="{C3380CC4-5D6E-409C-BE32-E72D297353CC}">
              <c16:uniqueId val="{00000007-8A86-41C0-A6B4-7488FB849816}"/>
            </c:ext>
          </c:extLst>
        </c:ser>
        <c:dLbls>
          <c:showLegendKey val="0"/>
          <c:showVal val="0"/>
          <c:showCatName val="0"/>
          <c:showSerName val="0"/>
          <c:showPercent val="0"/>
          <c:showBubbleSize val="0"/>
        </c:dLbls>
        <c:axId val="453751168"/>
        <c:axId val="453753088"/>
      </c:scatterChart>
      <c:valAx>
        <c:axId val="453751168"/>
        <c:scaling>
          <c:orientation val="minMax"/>
        </c:scaling>
        <c:delete val="0"/>
        <c:axPos val="b"/>
        <c:minorGridlines/>
        <c:title>
          <c:tx>
            <c:rich>
              <a:bodyPr/>
              <a:lstStyle/>
              <a:p>
                <a:pPr>
                  <a:defRPr/>
                </a:pPr>
                <a:r>
                  <a:rPr lang="en-US"/>
                  <a:t>fc'(MPa)</a:t>
                </a:r>
              </a:p>
            </c:rich>
          </c:tx>
          <c:overlay val="0"/>
        </c:title>
        <c:numFmt formatCode="General" sourceLinked="1"/>
        <c:majorTickMark val="out"/>
        <c:minorTickMark val="none"/>
        <c:tickLblPos val="nextTo"/>
        <c:txPr>
          <a:bodyPr/>
          <a:lstStyle/>
          <a:p>
            <a:pPr>
              <a:defRPr b="1" i="0" baseline="0"/>
            </a:pPr>
            <a:endParaRPr lang="en-US"/>
          </a:p>
        </c:txPr>
        <c:crossAx val="453753088"/>
        <c:crosses val="autoZero"/>
        <c:crossBetween val="midCat"/>
        <c:majorUnit val="10"/>
        <c:minorUnit val="5"/>
      </c:valAx>
      <c:valAx>
        <c:axId val="453753088"/>
        <c:scaling>
          <c:orientation val="minMax"/>
          <c:max val="900"/>
        </c:scaling>
        <c:delete val="0"/>
        <c:axPos val="l"/>
        <c:majorGridlines/>
        <c:title>
          <c:tx>
            <c:rich>
              <a:bodyPr rot="-5400000" vert="horz"/>
              <a:lstStyle/>
              <a:p>
                <a:pPr>
                  <a:defRPr/>
                </a:pPr>
                <a:r>
                  <a:rPr lang="en-US"/>
                  <a:t>Load (KN)</a:t>
                </a:r>
              </a:p>
            </c:rich>
          </c:tx>
          <c:overlay val="0"/>
        </c:title>
        <c:numFmt formatCode="General" sourceLinked="1"/>
        <c:majorTickMark val="out"/>
        <c:minorTickMark val="none"/>
        <c:tickLblPos val="nextTo"/>
        <c:txPr>
          <a:bodyPr/>
          <a:lstStyle/>
          <a:p>
            <a:pPr>
              <a:defRPr b="1" i="0" baseline="0"/>
            </a:pPr>
            <a:endParaRPr lang="en-US"/>
          </a:p>
        </c:txPr>
        <c:crossAx val="453751168"/>
        <c:crosses val="autoZero"/>
        <c:crossBetween val="midCat"/>
      </c:valAx>
    </c:plotArea>
    <c:legend>
      <c:legendPos val="r"/>
      <c:layout>
        <c:manualLayout>
          <c:xMode val="edge"/>
          <c:yMode val="edge"/>
          <c:x val="0.82508311461067363"/>
          <c:y val="3.6653178769320505E-2"/>
          <c:w val="0.11936132983377078"/>
          <c:h val="0.16743438320209975"/>
        </c:manualLayout>
      </c:layout>
      <c:overlay val="0"/>
      <c:spPr>
        <a:pattFill prst="pct90">
          <a:fgClr>
            <a:schemeClr val="accent6">
              <a:lumMod val="40000"/>
              <a:lumOff val="60000"/>
            </a:schemeClr>
          </a:fgClr>
          <a:bgClr>
            <a:schemeClr val="bg1"/>
          </a:bgClr>
        </a:pattFill>
      </c:sp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scatterChart>
        <c:scatterStyle val="smoothMarker"/>
        <c:varyColors val="0"/>
        <c:ser>
          <c:idx val="0"/>
          <c:order val="0"/>
          <c:tx>
            <c:v>pu</c:v>
          </c:tx>
          <c:spPr>
            <a:ln>
              <a:solidFill>
                <a:schemeClr val="accent5">
                  <a:lumMod val="75000"/>
                </a:schemeClr>
              </a:solidFill>
            </a:ln>
          </c:spPr>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FF-4520-BC35-DDA870C07384}"/>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FF-4520-BC35-DDA870C07384}"/>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FF-4520-BC35-DDA870C073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Word]ورقة1'!$M$14:$M$16</c:f>
              <c:numCache>
                <c:formatCode>General</c:formatCode>
                <c:ptCount val="3"/>
                <c:pt idx="0">
                  <c:v>30</c:v>
                </c:pt>
                <c:pt idx="1">
                  <c:v>52</c:v>
                </c:pt>
              </c:numCache>
            </c:numRef>
          </c:xVal>
          <c:yVal>
            <c:numRef>
              <c:f>'[المخطط في Microsoft Word]ورقة1'!$N$14:$N$16</c:f>
              <c:numCache>
                <c:formatCode>General</c:formatCode>
                <c:ptCount val="3"/>
                <c:pt idx="0">
                  <c:v>507.25</c:v>
                </c:pt>
                <c:pt idx="1">
                  <c:v>593.25</c:v>
                </c:pt>
              </c:numCache>
            </c:numRef>
          </c:yVal>
          <c:smooth val="1"/>
          <c:extLst>
            <c:ext xmlns:c16="http://schemas.microsoft.com/office/drawing/2014/chart" uri="{C3380CC4-5D6E-409C-BE32-E72D297353CC}">
              <c16:uniqueId val="{00000003-C4FF-4520-BC35-DDA870C07384}"/>
            </c:ext>
          </c:extLst>
        </c:ser>
        <c:ser>
          <c:idx val="1"/>
          <c:order val="1"/>
          <c:tx>
            <c:v>pcr</c:v>
          </c:tx>
          <c:spPr>
            <a:ln>
              <a:solidFill>
                <a:schemeClr val="accent3">
                  <a:lumMod val="75000"/>
                </a:schemeClr>
              </a:solidFill>
            </a:ln>
          </c:spPr>
          <c:dLbls>
            <c:dLbl>
              <c:idx val="0"/>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F-4520-BC35-DDA870C07384}"/>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F-4520-BC35-DDA870C07384}"/>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FF-4520-BC35-DDA870C073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'[المخطط في Microsoft Word]ورقة1'!$P$14:$P$16</c:f>
              <c:numCache>
                <c:formatCode>General</c:formatCode>
                <c:ptCount val="3"/>
                <c:pt idx="0">
                  <c:v>30</c:v>
                </c:pt>
                <c:pt idx="1">
                  <c:v>52</c:v>
                </c:pt>
              </c:numCache>
            </c:numRef>
          </c:xVal>
          <c:yVal>
            <c:numRef>
              <c:f>'[المخطط في Microsoft Word]ورقة1'!$Q$14:$Q$16</c:f>
              <c:numCache>
                <c:formatCode>General</c:formatCode>
                <c:ptCount val="3"/>
                <c:pt idx="0">
                  <c:v>169</c:v>
                </c:pt>
                <c:pt idx="1">
                  <c:v>219.7</c:v>
                </c:pt>
              </c:numCache>
            </c:numRef>
          </c:yVal>
          <c:smooth val="1"/>
          <c:extLst>
            <c:ext xmlns:c16="http://schemas.microsoft.com/office/drawing/2014/chart" uri="{C3380CC4-5D6E-409C-BE32-E72D297353CC}">
              <c16:uniqueId val="{00000007-C4FF-4520-BC35-DDA870C07384}"/>
            </c:ext>
          </c:extLst>
        </c:ser>
        <c:dLbls>
          <c:showLegendKey val="0"/>
          <c:showVal val="0"/>
          <c:showCatName val="0"/>
          <c:showSerName val="0"/>
          <c:showPercent val="0"/>
          <c:showBubbleSize val="0"/>
        </c:dLbls>
        <c:axId val="448109952"/>
        <c:axId val="448120320"/>
      </c:scatterChart>
      <c:valAx>
        <c:axId val="448109952"/>
        <c:scaling>
          <c:orientation val="minMax"/>
        </c:scaling>
        <c:delete val="0"/>
        <c:axPos val="b"/>
        <c:minorGridlines/>
        <c:title>
          <c:tx>
            <c:rich>
              <a:bodyPr/>
              <a:lstStyle/>
              <a:p>
                <a:pPr>
                  <a:defRPr/>
                </a:pPr>
                <a:r>
                  <a:rPr lang="en-US"/>
                  <a:t>fc'(MPa)</a:t>
                </a:r>
              </a:p>
            </c:rich>
          </c:tx>
          <c:overlay val="0"/>
        </c:title>
        <c:numFmt formatCode="General" sourceLinked="1"/>
        <c:majorTickMark val="out"/>
        <c:minorTickMark val="none"/>
        <c:tickLblPos val="nextTo"/>
        <c:txPr>
          <a:bodyPr/>
          <a:lstStyle/>
          <a:p>
            <a:pPr>
              <a:defRPr b="1" i="0" baseline="0"/>
            </a:pPr>
            <a:endParaRPr lang="en-US"/>
          </a:p>
        </c:txPr>
        <c:crossAx val="448120320"/>
        <c:crosses val="autoZero"/>
        <c:crossBetween val="midCat"/>
        <c:majorUnit val="10"/>
        <c:minorUnit val="5"/>
      </c:valAx>
      <c:valAx>
        <c:axId val="448120320"/>
        <c:scaling>
          <c:orientation val="minMax"/>
          <c:max val="900"/>
        </c:scaling>
        <c:delete val="0"/>
        <c:axPos val="l"/>
        <c:majorGridlines/>
        <c:title>
          <c:tx>
            <c:rich>
              <a:bodyPr rot="-5400000" vert="horz"/>
              <a:lstStyle/>
              <a:p>
                <a:pPr>
                  <a:defRPr/>
                </a:pPr>
                <a:r>
                  <a:rPr lang="en-US"/>
                  <a:t>Load (KN)</a:t>
                </a:r>
              </a:p>
            </c:rich>
          </c:tx>
          <c:overlay val="0"/>
        </c:title>
        <c:numFmt formatCode="General" sourceLinked="1"/>
        <c:majorTickMark val="out"/>
        <c:minorTickMark val="none"/>
        <c:tickLblPos val="nextTo"/>
        <c:txPr>
          <a:bodyPr/>
          <a:lstStyle/>
          <a:p>
            <a:pPr>
              <a:defRPr b="1" i="0" baseline="0"/>
            </a:pPr>
            <a:endParaRPr lang="en-US"/>
          </a:p>
        </c:txPr>
        <c:crossAx val="448109952"/>
        <c:crosses val="autoZero"/>
        <c:crossBetween val="midCat"/>
      </c:valAx>
    </c:plotArea>
    <c:legend>
      <c:legendPos val="r"/>
      <c:layout>
        <c:manualLayout>
          <c:xMode val="edge"/>
          <c:yMode val="edge"/>
          <c:x val="0.82508311461067363"/>
          <c:y val="3.6653178769320505E-2"/>
          <c:w val="0.11936132983377078"/>
          <c:h val="0.16743438320209975"/>
        </c:manualLayout>
      </c:layout>
      <c:overlay val="0"/>
      <c:spPr>
        <a:pattFill prst="pct90">
          <a:fgClr>
            <a:schemeClr val="accent6">
              <a:lumMod val="40000"/>
              <a:lumOff val="60000"/>
            </a:schemeClr>
          </a:fgClr>
          <a:bgClr>
            <a:schemeClr val="bg1"/>
          </a:bgClr>
        </a:pattFill>
      </c:sp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lineChart>
        <c:grouping val="standard"/>
        <c:varyColors val="0"/>
        <c:ser>
          <c:idx val="0"/>
          <c:order val="0"/>
          <c:tx>
            <c:v>pu</c:v>
          </c:tx>
          <c:spPr>
            <a:ln>
              <a:solidFill>
                <a:schemeClr val="accent5">
                  <a:lumMod val="75000"/>
                </a:schemeClr>
              </a:solidFill>
            </a:ln>
          </c:spPr>
          <c:dLbls>
            <c:dLbl>
              <c:idx val="0"/>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E8-4CDF-A0F9-6E0A28CE7733}"/>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E8-4CDF-A0F9-6E0A28CE7733}"/>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E8-4CDF-A0F9-6E0A28CE773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ورقة1!$M$11:$M$13</c:f>
              <c:numCache>
                <c:formatCode>General</c:formatCode>
                <c:ptCount val="3"/>
                <c:pt idx="0">
                  <c:v>30</c:v>
                </c:pt>
                <c:pt idx="1">
                  <c:v>52</c:v>
                </c:pt>
                <c:pt idx="2">
                  <c:v>70</c:v>
                </c:pt>
              </c:numCache>
            </c:numRef>
          </c:cat>
          <c:val>
            <c:numRef>
              <c:f>ورقة1!$H$14:$H$15</c:f>
              <c:numCache>
                <c:formatCode>General</c:formatCode>
                <c:ptCount val="2"/>
                <c:pt idx="0">
                  <c:v>497.5</c:v>
                </c:pt>
                <c:pt idx="1">
                  <c:v>593.25</c:v>
                </c:pt>
              </c:numCache>
            </c:numRef>
          </c:val>
          <c:smooth val="1"/>
          <c:extLst>
            <c:ext xmlns:c16="http://schemas.microsoft.com/office/drawing/2014/chart" uri="{C3380CC4-5D6E-409C-BE32-E72D297353CC}">
              <c16:uniqueId val="{00000003-29E8-4CDF-A0F9-6E0A28CE7733}"/>
            </c:ext>
          </c:extLst>
        </c:ser>
        <c:ser>
          <c:idx val="1"/>
          <c:order val="1"/>
          <c:tx>
            <c:v>pcr</c:v>
          </c:tx>
          <c:spPr>
            <a:ln>
              <a:solidFill>
                <a:schemeClr val="accent3">
                  <a:lumMod val="75000"/>
                </a:schemeClr>
              </a:solidFill>
            </a:ln>
          </c:spPr>
          <c:dLbls>
            <c:dLbl>
              <c:idx val="0"/>
              <c:tx>
                <c:rich>
                  <a:bodyPr/>
                  <a:lstStyle/>
                  <a:p>
                    <a:r>
                      <a:rPr lang="en-US"/>
                      <a:t>CHy06M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8-4CDF-A0F9-6E0A28CE7733}"/>
                </c:ext>
              </c:extLst>
            </c:dLbl>
            <c:dLbl>
              <c:idx val="1"/>
              <c:tx>
                <c:rich>
                  <a:bodyPr/>
                  <a:lstStyle/>
                  <a:p>
                    <a:r>
                      <a:rPr lang="en-US"/>
                      <a:t>CHyS6M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E8-4CDF-A0F9-6E0A28CE7733}"/>
                </c:ext>
              </c:extLst>
            </c:dLbl>
            <c:dLbl>
              <c:idx val="2"/>
              <c:tx>
                <c:rich>
                  <a:bodyPr/>
                  <a:lstStyle/>
                  <a:p>
                    <a:r>
                      <a:rPr lang="en-US"/>
                      <a:t>CH06M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E8-4CDF-A0F9-6E0A28CE773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ورقة1!$P$11:$P$13</c:f>
              <c:numCache>
                <c:formatCode>General</c:formatCode>
                <c:ptCount val="3"/>
                <c:pt idx="0">
                  <c:v>30</c:v>
                </c:pt>
                <c:pt idx="1">
                  <c:v>52</c:v>
                </c:pt>
                <c:pt idx="2">
                  <c:v>70</c:v>
                </c:pt>
              </c:numCache>
            </c:numRef>
          </c:cat>
          <c:val>
            <c:numRef>
              <c:f>ورقة1!$I$14:$I$15</c:f>
              <c:numCache>
                <c:formatCode>General</c:formatCode>
                <c:ptCount val="2"/>
                <c:pt idx="0">
                  <c:v>152</c:v>
                </c:pt>
                <c:pt idx="1">
                  <c:v>219.7</c:v>
                </c:pt>
              </c:numCache>
            </c:numRef>
          </c:val>
          <c:smooth val="1"/>
          <c:extLst>
            <c:ext xmlns:c16="http://schemas.microsoft.com/office/drawing/2014/chart" uri="{C3380CC4-5D6E-409C-BE32-E72D297353CC}">
              <c16:uniqueId val="{00000007-29E8-4CDF-A0F9-6E0A28CE7733}"/>
            </c:ext>
          </c:extLst>
        </c:ser>
        <c:dLbls>
          <c:showLegendKey val="0"/>
          <c:showVal val="0"/>
          <c:showCatName val="0"/>
          <c:showSerName val="0"/>
          <c:showPercent val="0"/>
          <c:showBubbleSize val="0"/>
        </c:dLbls>
        <c:marker val="1"/>
        <c:smooth val="0"/>
        <c:axId val="448387712"/>
        <c:axId val="452600192"/>
      </c:lineChart>
      <c:catAx>
        <c:axId val="448387712"/>
        <c:scaling>
          <c:orientation val="minMax"/>
        </c:scaling>
        <c:delete val="0"/>
        <c:axPos val="b"/>
        <c:minorGridlines/>
        <c:numFmt formatCode="General" sourceLinked="1"/>
        <c:majorTickMark val="out"/>
        <c:minorTickMark val="none"/>
        <c:tickLblPos val="nextTo"/>
        <c:txPr>
          <a:bodyPr/>
          <a:lstStyle/>
          <a:p>
            <a:pPr>
              <a:defRPr b="1" i="0" baseline="0"/>
            </a:pPr>
            <a:endParaRPr lang="en-US"/>
          </a:p>
        </c:txPr>
        <c:crossAx val="452600192"/>
        <c:crosses val="autoZero"/>
        <c:auto val="1"/>
        <c:lblAlgn val="ctr"/>
        <c:lblOffset val="100"/>
        <c:tickLblSkip val="10"/>
        <c:tickMarkSkip val="5"/>
        <c:noMultiLvlLbl val="1"/>
      </c:catAx>
      <c:valAx>
        <c:axId val="452600192"/>
        <c:scaling>
          <c:orientation val="minMax"/>
          <c:max val="900"/>
        </c:scaling>
        <c:delete val="0"/>
        <c:axPos val="l"/>
        <c:majorGridlines/>
        <c:title>
          <c:tx>
            <c:rich>
              <a:bodyPr rot="-5400000" vert="horz"/>
              <a:lstStyle/>
              <a:p>
                <a:pPr>
                  <a:defRPr/>
                </a:pPr>
                <a:r>
                  <a:rPr lang="en-US"/>
                  <a:t>Load (KN)</a:t>
                </a:r>
              </a:p>
            </c:rich>
          </c:tx>
          <c:overlay val="0"/>
        </c:title>
        <c:numFmt formatCode="General" sourceLinked="1"/>
        <c:majorTickMark val="out"/>
        <c:minorTickMark val="none"/>
        <c:tickLblPos val="nextTo"/>
        <c:txPr>
          <a:bodyPr/>
          <a:lstStyle/>
          <a:p>
            <a:pPr>
              <a:defRPr b="1" i="0" baseline="0"/>
            </a:pPr>
            <a:endParaRPr lang="en-US"/>
          </a:p>
        </c:txPr>
        <c:crossAx val="448387712"/>
        <c:crosses val="autoZero"/>
        <c:crossBetween val="between"/>
      </c:valAx>
    </c:plotArea>
    <c:legend>
      <c:legendPos val="r"/>
      <c:layout>
        <c:manualLayout>
          <c:xMode val="edge"/>
          <c:yMode val="edge"/>
          <c:x val="0.82508311461067363"/>
          <c:y val="3.6653178769320505E-2"/>
          <c:w val="0.11936132983377078"/>
          <c:h val="0.16743438320209975"/>
        </c:manualLayout>
      </c:layout>
      <c:overlay val="0"/>
      <c:spPr>
        <a:pattFill prst="pct90">
          <a:fgClr>
            <a:schemeClr val="accent6">
              <a:lumMod val="40000"/>
              <a:lumOff val="60000"/>
            </a:schemeClr>
          </a:fgClr>
          <a:bgClr>
            <a:schemeClr val="bg1"/>
          </a:bgClr>
        </a:pattFill>
      </c:sp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ar-IQ"/>
          </a:p>
        </c:rich>
      </c:tx>
      <c:overlay val="0"/>
    </c:title>
    <c:autoTitleDeleted val="0"/>
    <c:plotArea>
      <c:layout/>
      <c:lineChart>
        <c:grouping val="standard"/>
        <c:varyColors val="0"/>
        <c:ser>
          <c:idx val="0"/>
          <c:order val="0"/>
          <c:tx>
            <c:v>pu</c:v>
          </c:tx>
          <c:spPr>
            <a:ln>
              <a:solidFill>
                <a:schemeClr val="accent5">
                  <a:lumMod val="75000"/>
                </a:schemeClr>
              </a:solidFill>
            </a:ln>
          </c:spPr>
          <c:dLbls>
            <c:dLbl>
              <c:idx val="0"/>
              <c:tx>
                <c:rich>
                  <a:bodyPr/>
                  <a:lstStyle/>
                  <a:p>
                    <a:r>
                      <a:rPr lang="en-US"/>
                      <a:t>CNO6M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14-4120-A835-4F2DBFC53790}"/>
                </c:ext>
              </c:extLst>
            </c:dLbl>
            <c:dLbl>
              <c:idx val="1"/>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14-4120-A835-4F2DBFC53790}"/>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14-4120-A835-4F2DBFC5379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ورقة1!$M$14:$M$16</c:f>
              <c:numCache>
                <c:formatCode>General</c:formatCode>
                <c:ptCount val="3"/>
                <c:pt idx="0">
                  <c:v>30</c:v>
                </c:pt>
                <c:pt idx="1">
                  <c:v>52</c:v>
                </c:pt>
                <c:pt idx="2">
                  <c:v>70</c:v>
                </c:pt>
              </c:numCache>
            </c:numRef>
          </c:cat>
          <c:val>
            <c:numRef>
              <c:f>ورقة1!$E$14:$E$15</c:f>
              <c:numCache>
                <c:formatCode>General</c:formatCode>
                <c:ptCount val="2"/>
                <c:pt idx="0">
                  <c:v>406.5</c:v>
                </c:pt>
                <c:pt idx="1">
                  <c:v>507.25</c:v>
                </c:pt>
              </c:numCache>
            </c:numRef>
          </c:val>
          <c:smooth val="1"/>
          <c:extLst>
            <c:ext xmlns:c16="http://schemas.microsoft.com/office/drawing/2014/chart" uri="{C3380CC4-5D6E-409C-BE32-E72D297353CC}">
              <c16:uniqueId val="{00000003-7D14-4120-A835-4F2DBFC53790}"/>
            </c:ext>
          </c:extLst>
        </c:ser>
        <c:ser>
          <c:idx val="1"/>
          <c:order val="1"/>
          <c:tx>
            <c:v>pcr</c:v>
          </c:tx>
          <c:spPr>
            <a:ln>
              <a:solidFill>
                <a:schemeClr val="accent3">
                  <a:lumMod val="75000"/>
                </a:schemeClr>
              </a:solidFill>
            </a:ln>
          </c:spPr>
          <c:dLbls>
            <c:dLbl>
              <c:idx val="0"/>
              <c:tx>
                <c:rich>
                  <a:bodyPr/>
                  <a:lstStyle/>
                  <a:p>
                    <a:r>
                      <a:rPr lang="en-US"/>
                      <a:t>CNO6M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14-4120-A835-4F2DBFC53790}"/>
                </c:ext>
              </c:extLst>
            </c:dLbl>
            <c:dLbl>
              <c:idx val="1"/>
              <c:tx>
                <c:rich>
                  <a:bodyPr/>
                  <a:lstStyle/>
                  <a:p>
                    <a:r>
                      <a:rPr lang="en-US"/>
                      <a:t>CNS6M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14-4120-A835-4F2DBFC53790}"/>
                </c:ext>
              </c:extLst>
            </c:dLbl>
            <c:dLbl>
              <c:idx val="2"/>
              <c:tx>
                <c:rich>
                  <a:bodyPr/>
                  <a:lstStyle/>
                  <a:p>
                    <a:r>
                      <a:rPr lang="en-US"/>
                      <a:t>CHS6M</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14-4120-A835-4F2DBFC5379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ورقة1!$P$14:$P$16</c:f>
              <c:numCache>
                <c:formatCode>General</c:formatCode>
                <c:ptCount val="3"/>
                <c:pt idx="0">
                  <c:v>30</c:v>
                </c:pt>
                <c:pt idx="1">
                  <c:v>52</c:v>
                </c:pt>
                <c:pt idx="2">
                  <c:v>70</c:v>
                </c:pt>
              </c:numCache>
            </c:numRef>
          </c:cat>
          <c:val>
            <c:numRef>
              <c:f>ورقة1!$F$14:$F$15</c:f>
              <c:numCache>
                <c:formatCode>General</c:formatCode>
                <c:ptCount val="2"/>
                <c:pt idx="0">
                  <c:v>101.3</c:v>
                </c:pt>
                <c:pt idx="1">
                  <c:v>169</c:v>
                </c:pt>
              </c:numCache>
            </c:numRef>
          </c:val>
          <c:smooth val="1"/>
          <c:extLst>
            <c:ext xmlns:c16="http://schemas.microsoft.com/office/drawing/2014/chart" uri="{C3380CC4-5D6E-409C-BE32-E72D297353CC}">
              <c16:uniqueId val="{00000007-7D14-4120-A835-4F2DBFC53790}"/>
            </c:ext>
          </c:extLst>
        </c:ser>
        <c:dLbls>
          <c:showLegendKey val="0"/>
          <c:showVal val="0"/>
          <c:showCatName val="0"/>
          <c:showSerName val="0"/>
          <c:showPercent val="0"/>
          <c:showBubbleSize val="0"/>
        </c:dLbls>
        <c:marker val="1"/>
        <c:smooth val="0"/>
        <c:axId val="448484864"/>
        <c:axId val="448486400"/>
      </c:lineChart>
      <c:catAx>
        <c:axId val="448484864"/>
        <c:scaling>
          <c:orientation val="minMax"/>
        </c:scaling>
        <c:delete val="1"/>
        <c:axPos val="b"/>
        <c:minorGridlines/>
        <c:numFmt formatCode="General" sourceLinked="1"/>
        <c:majorTickMark val="out"/>
        <c:minorTickMark val="none"/>
        <c:tickLblPos val="nextTo"/>
        <c:crossAx val="448486400"/>
        <c:crosses val="autoZero"/>
        <c:auto val="1"/>
        <c:lblAlgn val="ctr"/>
        <c:lblOffset val="100"/>
        <c:tickLblSkip val="10"/>
        <c:tickMarkSkip val="5"/>
        <c:noMultiLvlLbl val="1"/>
      </c:catAx>
      <c:valAx>
        <c:axId val="448486400"/>
        <c:scaling>
          <c:orientation val="minMax"/>
          <c:max val="900"/>
        </c:scaling>
        <c:delete val="0"/>
        <c:axPos val="l"/>
        <c:majorGridlines/>
        <c:title>
          <c:tx>
            <c:rich>
              <a:bodyPr rot="-5400000" vert="horz"/>
              <a:lstStyle/>
              <a:p>
                <a:pPr>
                  <a:defRPr/>
                </a:pPr>
                <a:r>
                  <a:rPr lang="en-US"/>
                  <a:t>Load (KN)</a:t>
                </a:r>
              </a:p>
            </c:rich>
          </c:tx>
          <c:overlay val="0"/>
        </c:title>
        <c:numFmt formatCode="General" sourceLinked="1"/>
        <c:majorTickMark val="out"/>
        <c:minorTickMark val="none"/>
        <c:tickLblPos val="nextTo"/>
        <c:txPr>
          <a:bodyPr/>
          <a:lstStyle/>
          <a:p>
            <a:pPr>
              <a:defRPr b="1" i="0" baseline="0"/>
            </a:pPr>
            <a:endParaRPr lang="en-US"/>
          </a:p>
        </c:txPr>
        <c:crossAx val="448484864"/>
        <c:crosses val="autoZero"/>
        <c:crossBetween val="between"/>
      </c:valAx>
    </c:plotArea>
    <c:legend>
      <c:legendPos val="r"/>
      <c:layout>
        <c:manualLayout>
          <c:xMode val="edge"/>
          <c:yMode val="edge"/>
          <c:x val="0.82508311461067363"/>
          <c:y val="3.6653178769320505E-2"/>
          <c:w val="0.11936132983377078"/>
          <c:h val="0.16743438320209975"/>
        </c:manualLayout>
      </c:layout>
      <c:overlay val="0"/>
      <c:spPr>
        <a:pattFill prst="pct90">
          <a:fgClr>
            <a:schemeClr val="accent6">
              <a:lumMod val="40000"/>
              <a:lumOff val="60000"/>
            </a:schemeClr>
          </a:fgClr>
          <a:bgClr>
            <a:schemeClr val="bg1"/>
          </a:bgClr>
        </a:pattFill>
      </c:sp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5.1400554097404488E-2"/>
          <c:w val="0.67576137357830268"/>
          <c:h val="0.76685549722951296"/>
        </c:manualLayout>
      </c:layout>
      <c:scatterChart>
        <c:scatterStyle val="smoothMarker"/>
        <c:varyColors val="0"/>
        <c:ser>
          <c:idx val="1"/>
          <c:order val="0"/>
          <c:tx>
            <c:v>CNS3M</c:v>
          </c:tx>
          <c:xVal>
            <c:numRef>
              <c:f>ورقة1!$A$2:$A$14</c:f>
              <c:numCache>
                <c:formatCode>General</c:formatCode>
                <c:ptCount val="13"/>
                <c:pt idx="0">
                  <c:v>0</c:v>
                </c:pt>
                <c:pt idx="1">
                  <c:v>0.2</c:v>
                </c:pt>
                <c:pt idx="2">
                  <c:v>0.36</c:v>
                </c:pt>
                <c:pt idx="3">
                  <c:v>0.52</c:v>
                </c:pt>
                <c:pt idx="4">
                  <c:v>0.7</c:v>
                </c:pt>
                <c:pt idx="5">
                  <c:v>0.84</c:v>
                </c:pt>
                <c:pt idx="6">
                  <c:v>0.97</c:v>
                </c:pt>
                <c:pt idx="7">
                  <c:v>1.1000000000000001</c:v>
                </c:pt>
                <c:pt idx="8">
                  <c:v>1.24</c:v>
                </c:pt>
                <c:pt idx="9">
                  <c:v>1.41</c:v>
                </c:pt>
                <c:pt idx="10">
                  <c:v>1.55</c:v>
                </c:pt>
                <c:pt idx="11">
                  <c:v>1.76</c:v>
                </c:pt>
                <c:pt idx="12">
                  <c:v>2.2200000000000002</c:v>
                </c:pt>
              </c:numCache>
            </c:numRef>
          </c:xVal>
          <c:yVal>
            <c:numRef>
              <c:f>ورقة1!$B$2:$B$14</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588.75</c:v>
                </c:pt>
              </c:numCache>
            </c:numRef>
          </c:yVal>
          <c:smooth val="1"/>
          <c:extLst>
            <c:ext xmlns:c16="http://schemas.microsoft.com/office/drawing/2014/chart" uri="{C3380CC4-5D6E-409C-BE32-E72D297353CC}">
              <c16:uniqueId val="{00000000-6F0A-463A-A47C-8199A95D014F}"/>
            </c:ext>
          </c:extLst>
        </c:ser>
        <c:ser>
          <c:idx val="2"/>
          <c:order val="1"/>
          <c:tx>
            <c:v>CHy3M</c:v>
          </c:tx>
          <c:xVal>
            <c:numRef>
              <c:f>ورقة1!$A$33:$A$47</c:f>
              <c:numCache>
                <c:formatCode>General</c:formatCode>
                <c:ptCount val="15"/>
                <c:pt idx="0">
                  <c:v>0</c:v>
                </c:pt>
                <c:pt idx="1">
                  <c:v>0.17</c:v>
                </c:pt>
                <c:pt idx="2">
                  <c:v>0.33</c:v>
                </c:pt>
                <c:pt idx="3">
                  <c:v>0.48</c:v>
                </c:pt>
                <c:pt idx="4">
                  <c:v>0.6</c:v>
                </c:pt>
                <c:pt idx="5">
                  <c:v>0.76</c:v>
                </c:pt>
                <c:pt idx="6">
                  <c:v>0.9</c:v>
                </c:pt>
                <c:pt idx="7">
                  <c:v>1.05</c:v>
                </c:pt>
                <c:pt idx="8">
                  <c:v>1.1399999999999999</c:v>
                </c:pt>
                <c:pt idx="9">
                  <c:v>1.27</c:v>
                </c:pt>
                <c:pt idx="10">
                  <c:v>1.39</c:v>
                </c:pt>
                <c:pt idx="11">
                  <c:v>1.55</c:v>
                </c:pt>
                <c:pt idx="12">
                  <c:v>1.7</c:v>
                </c:pt>
                <c:pt idx="13">
                  <c:v>1.89</c:v>
                </c:pt>
                <c:pt idx="14">
                  <c:v>2.11</c:v>
                </c:pt>
              </c:numCache>
            </c:numRef>
          </c:xVal>
          <c:yVal>
            <c:numRef>
              <c:f>ورقة1!$B$33:$B$47</c:f>
              <c:numCache>
                <c:formatCode>General</c:formatCode>
                <c:ptCount val="15"/>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664</c:v>
                </c:pt>
              </c:numCache>
            </c:numRef>
          </c:yVal>
          <c:smooth val="1"/>
          <c:extLst>
            <c:ext xmlns:c16="http://schemas.microsoft.com/office/drawing/2014/chart" uri="{C3380CC4-5D6E-409C-BE32-E72D297353CC}">
              <c16:uniqueId val="{00000001-6F0A-463A-A47C-8199A95D014F}"/>
            </c:ext>
          </c:extLst>
        </c:ser>
        <c:dLbls>
          <c:showLegendKey val="0"/>
          <c:showVal val="0"/>
          <c:showCatName val="0"/>
          <c:showSerName val="0"/>
          <c:showPercent val="0"/>
          <c:showBubbleSize val="0"/>
        </c:dLbls>
        <c:axId val="448550016"/>
        <c:axId val="448551936"/>
      </c:scatterChart>
      <c:valAx>
        <c:axId val="448550016"/>
        <c:scaling>
          <c:orientation val="minMax"/>
          <c:max val="3"/>
        </c:scaling>
        <c:delete val="0"/>
        <c:axPos val="b"/>
        <c:majorGridlines/>
        <c:title>
          <c:tx>
            <c:rich>
              <a:bodyPr/>
              <a:lstStyle/>
              <a:p>
                <a:pPr>
                  <a:defRPr sz="1200" baseline="0"/>
                </a:pPr>
                <a:r>
                  <a:rPr lang="en-US" sz="1200" baseline="0"/>
                  <a:t>Deflection (mm)</a:t>
                </a:r>
              </a:p>
            </c:rich>
          </c:tx>
          <c:overlay val="0"/>
        </c:title>
        <c:numFmt formatCode="General" sourceLinked="1"/>
        <c:majorTickMark val="out"/>
        <c:minorTickMark val="out"/>
        <c:tickLblPos val="nextTo"/>
        <c:crossAx val="448551936"/>
        <c:crosses val="autoZero"/>
        <c:crossBetween val="midCat"/>
      </c:valAx>
      <c:valAx>
        <c:axId val="448551936"/>
        <c:scaling>
          <c:orientation val="minMax"/>
        </c:scaling>
        <c:delete val="0"/>
        <c:axPos val="l"/>
        <c:majorGridlines/>
        <c:title>
          <c:tx>
            <c:rich>
              <a:bodyPr rot="-5400000" vert="horz"/>
              <a:lstStyle/>
              <a:p>
                <a:pPr>
                  <a:defRPr sz="1200" baseline="0"/>
                </a:pPr>
                <a:r>
                  <a:rPr lang="en-US" sz="1200" baseline="0"/>
                  <a:t>Applied Load (kN)</a:t>
                </a:r>
              </a:p>
            </c:rich>
          </c:tx>
          <c:overlay val="0"/>
        </c:title>
        <c:numFmt formatCode="General" sourceLinked="1"/>
        <c:majorTickMark val="out"/>
        <c:minorTickMark val="out"/>
        <c:tickLblPos val="nextTo"/>
        <c:crossAx val="448550016"/>
        <c:crosses val="autoZero"/>
        <c:crossBetween val="midCat"/>
      </c:valAx>
      <c:spPr>
        <a:solidFill>
          <a:sysClr val="window" lastClr="FFFFFF"/>
        </a:solidFill>
      </c:spPr>
    </c:plotArea>
    <c:legend>
      <c:legendPos val="r"/>
      <c:layout>
        <c:manualLayout>
          <c:xMode val="edge"/>
          <c:yMode val="edge"/>
          <c:x val="0.79025779713059741"/>
          <c:y val="4.05365995917177E-3"/>
          <c:w val="0.2069645742515292"/>
          <c:h val="0.25115157480314959"/>
        </c:manualLayout>
      </c:layout>
      <c:overlay val="0"/>
      <c:spPr>
        <a:solidFill>
          <a:schemeClr val="bg1"/>
        </a:solidFill>
      </c:spPr>
    </c:legend>
    <c:plotVisOnly val="1"/>
    <c:dispBlanksAs val="gap"/>
    <c:showDLblsOverMax val="0"/>
  </c:chart>
  <c:spPr>
    <a:pattFill prst="pct90">
      <a:fgClr>
        <a:schemeClr val="accent5">
          <a:lumMod val="60000"/>
          <a:lumOff val="40000"/>
        </a:schemeClr>
      </a:fgClr>
      <a:bgClr>
        <a:schemeClr val="bg1"/>
      </a:bgClr>
    </a:patt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55736127673826"/>
          <c:y val="2.2381996457759852E-2"/>
          <c:w val="0.66550768669760396"/>
          <c:h val="0.77949110527850685"/>
        </c:manualLayout>
      </c:layout>
      <c:scatterChart>
        <c:scatterStyle val="smoothMarker"/>
        <c:varyColors val="0"/>
        <c:ser>
          <c:idx val="0"/>
          <c:order val="0"/>
          <c:tx>
            <c:v>CNS3M</c:v>
          </c:tx>
          <c:marker>
            <c:symbol val="diamond"/>
            <c:size val="4"/>
          </c:marker>
          <c:xVal>
            <c:numRef>
              <c:f>'[المخطط في Microsoft Word]ورقة1'!$A$2:$A$14</c:f>
              <c:numCache>
                <c:formatCode>General</c:formatCode>
                <c:ptCount val="13"/>
                <c:pt idx="0">
                  <c:v>0</c:v>
                </c:pt>
                <c:pt idx="1">
                  <c:v>0.2</c:v>
                </c:pt>
                <c:pt idx="2">
                  <c:v>0.36</c:v>
                </c:pt>
                <c:pt idx="3">
                  <c:v>0.52</c:v>
                </c:pt>
                <c:pt idx="4">
                  <c:v>0.7</c:v>
                </c:pt>
                <c:pt idx="5">
                  <c:v>0.84</c:v>
                </c:pt>
                <c:pt idx="6">
                  <c:v>0.97</c:v>
                </c:pt>
                <c:pt idx="7">
                  <c:v>1.1000000000000001</c:v>
                </c:pt>
                <c:pt idx="8">
                  <c:v>1.24</c:v>
                </c:pt>
                <c:pt idx="9">
                  <c:v>1.41</c:v>
                </c:pt>
                <c:pt idx="10">
                  <c:v>1.55</c:v>
                </c:pt>
                <c:pt idx="11">
                  <c:v>1.76</c:v>
                </c:pt>
                <c:pt idx="12">
                  <c:v>2.2200000000000002</c:v>
                </c:pt>
              </c:numCache>
            </c:numRef>
          </c:xVal>
          <c:yVal>
            <c:numRef>
              <c:f>'[المخطط في Microsoft Word]ورقة1'!$B$2:$B$14</c:f>
              <c:numCache>
                <c:formatCode>General</c:formatCode>
                <c:ptCount val="13"/>
                <c:pt idx="0">
                  <c:v>0</c:v>
                </c:pt>
                <c:pt idx="1">
                  <c:v>50</c:v>
                </c:pt>
                <c:pt idx="2">
                  <c:v>100</c:v>
                </c:pt>
                <c:pt idx="3">
                  <c:v>150</c:v>
                </c:pt>
                <c:pt idx="4">
                  <c:v>200</c:v>
                </c:pt>
                <c:pt idx="5">
                  <c:v>250</c:v>
                </c:pt>
                <c:pt idx="6">
                  <c:v>300</c:v>
                </c:pt>
                <c:pt idx="7">
                  <c:v>350</c:v>
                </c:pt>
                <c:pt idx="8">
                  <c:v>400</c:v>
                </c:pt>
                <c:pt idx="9">
                  <c:v>450</c:v>
                </c:pt>
                <c:pt idx="10">
                  <c:v>500</c:v>
                </c:pt>
                <c:pt idx="11">
                  <c:v>550</c:v>
                </c:pt>
                <c:pt idx="12">
                  <c:v>588.75</c:v>
                </c:pt>
              </c:numCache>
            </c:numRef>
          </c:yVal>
          <c:smooth val="1"/>
          <c:extLst>
            <c:ext xmlns:c16="http://schemas.microsoft.com/office/drawing/2014/chart" uri="{C3380CC4-5D6E-409C-BE32-E72D297353CC}">
              <c16:uniqueId val="{00000000-30B8-4C8E-9E7B-36E319286E77}"/>
            </c:ext>
          </c:extLst>
        </c:ser>
        <c:ser>
          <c:idx val="1"/>
          <c:order val="1"/>
          <c:tx>
            <c:v>CN06M</c:v>
          </c:tx>
          <c:marker>
            <c:symbol val="square"/>
            <c:size val="4"/>
          </c:marker>
          <c:xVal>
            <c:numRef>
              <c:f>'[المخطط في Microsoft Word]ورقة1'!$A$15:$A$24</c:f>
              <c:numCache>
                <c:formatCode>General</c:formatCode>
                <c:ptCount val="10"/>
                <c:pt idx="0">
                  <c:v>0</c:v>
                </c:pt>
                <c:pt idx="1">
                  <c:v>0.35</c:v>
                </c:pt>
                <c:pt idx="2">
                  <c:v>0.64</c:v>
                </c:pt>
                <c:pt idx="3">
                  <c:v>0.82</c:v>
                </c:pt>
                <c:pt idx="4">
                  <c:v>1.02</c:v>
                </c:pt>
                <c:pt idx="5">
                  <c:v>1.25</c:v>
                </c:pt>
                <c:pt idx="6">
                  <c:v>1.48</c:v>
                </c:pt>
                <c:pt idx="7">
                  <c:v>1.69</c:v>
                </c:pt>
                <c:pt idx="8">
                  <c:v>2.02</c:v>
                </c:pt>
                <c:pt idx="9">
                  <c:v>2.2200000000000002</c:v>
                </c:pt>
              </c:numCache>
            </c:numRef>
          </c:xVal>
          <c:yVal>
            <c:numRef>
              <c:f>'[المخطط في Microsoft Word]ورقة1'!$B$15:$B$24</c:f>
              <c:numCache>
                <c:formatCode>General</c:formatCode>
                <c:ptCount val="10"/>
                <c:pt idx="0">
                  <c:v>0</c:v>
                </c:pt>
                <c:pt idx="1">
                  <c:v>50</c:v>
                </c:pt>
                <c:pt idx="2">
                  <c:v>100</c:v>
                </c:pt>
                <c:pt idx="3">
                  <c:v>150</c:v>
                </c:pt>
                <c:pt idx="4">
                  <c:v>200</c:v>
                </c:pt>
                <c:pt idx="5">
                  <c:v>250</c:v>
                </c:pt>
                <c:pt idx="6">
                  <c:v>300</c:v>
                </c:pt>
                <c:pt idx="7">
                  <c:v>350</c:v>
                </c:pt>
                <c:pt idx="8">
                  <c:v>400</c:v>
                </c:pt>
                <c:pt idx="9">
                  <c:v>406.5</c:v>
                </c:pt>
              </c:numCache>
            </c:numRef>
          </c:yVal>
          <c:smooth val="1"/>
          <c:extLst>
            <c:ext xmlns:c16="http://schemas.microsoft.com/office/drawing/2014/chart" uri="{C3380CC4-5D6E-409C-BE32-E72D297353CC}">
              <c16:uniqueId val="{00000001-30B8-4C8E-9E7B-36E319286E77}"/>
            </c:ext>
          </c:extLst>
        </c:ser>
        <c:ser>
          <c:idx val="2"/>
          <c:order val="2"/>
          <c:tx>
            <c:v>CNS6M</c:v>
          </c:tx>
          <c:marker>
            <c:symbol val="triangle"/>
            <c:size val="4"/>
          </c:marker>
          <c:xVal>
            <c:numRef>
              <c:f>'[المخطط في Microsoft Word]ورقة1'!$A$25:$A$36</c:f>
              <c:numCache>
                <c:formatCode>General</c:formatCode>
                <c:ptCount val="12"/>
                <c:pt idx="0">
                  <c:v>0</c:v>
                </c:pt>
                <c:pt idx="1">
                  <c:v>0.26</c:v>
                </c:pt>
                <c:pt idx="2">
                  <c:v>0.44</c:v>
                </c:pt>
                <c:pt idx="3">
                  <c:v>0.66</c:v>
                </c:pt>
                <c:pt idx="4">
                  <c:v>0.85</c:v>
                </c:pt>
                <c:pt idx="5">
                  <c:v>1</c:v>
                </c:pt>
                <c:pt idx="6">
                  <c:v>1.1299999999999999</c:v>
                </c:pt>
                <c:pt idx="7">
                  <c:v>1.3</c:v>
                </c:pt>
                <c:pt idx="8">
                  <c:v>1.48</c:v>
                </c:pt>
                <c:pt idx="9">
                  <c:v>1.7</c:v>
                </c:pt>
                <c:pt idx="10">
                  <c:v>2.02</c:v>
                </c:pt>
                <c:pt idx="11">
                  <c:v>2.4</c:v>
                </c:pt>
              </c:numCache>
            </c:numRef>
          </c:xVal>
          <c:yVal>
            <c:numRef>
              <c:f>'[المخطط في Microsoft Word]ورقة1'!$B$25:$B$36</c:f>
              <c:numCache>
                <c:formatCode>General</c:formatCode>
                <c:ptCount val="12"/>
                <c:pt idx="0">
                  <c:v>0</c:v>
                </c:pt>
                <c:pt idx="1">
                  <c:v>50</c:v>
                </c:pt>
                <c:pt idx="2">
                  <c:v>100</c:v>
                </c:pt>
                <c:pt idx="3">
                  <c:v>150</c:v>
                </c:pt>
                <c:pt idx="4">
                  <c:v>200</c:v>
                </c:pt>
                <c:pt idx="5">
                  <c:v>250</c:v>
                </c:pt>
                <c:pt idx="6">
                  <c:v>300</c:v>
                </c:pt>
                <c:pt idx="7">
                  <c:v>350</c:v>
                </c:pt>
                <c:pt idx="8">
                  <c:v>400</c:v>
                </c:pt>
                <c:pt idx="9">
                  <c:v>450</c:v>
                </c:pt>
                <c:pt idx="10">
                  <c:v>500</c:v>
                </c:pt>
                <c:pt idx="11">
                  <c:v>507.25</c:v>
                </c:pt>
              </c:numCache>
            </c:numRef>
          </c:yVal>
          <c:smooth val="1"/>
          <c:extLst>
            <c:ext xmlns:c16="http://schemas.microsoft.com/office/drawing/2014/chart" uri="{C3380CC4-5D6E-409C-BE32-E72D297353CC}">
              <c16:uniqueId val="{00000002-30B8-4C8E-9E7B-36E319286E77}"/>
            </c:ext>
          </c:extLst>
        </c:ser>
        <c:dLbls>
          <c:showLegendKey val="0"/>
          <c:showVal val="0"/>
          <c:showCatName val="0"/>
          <c:showSerName val="0"/>
          <c:showPercent val="0"/>
          <c:showBubbleSize val="0"/>
        </c:dLbls>
        <c:axId val="448829312"/>
        <c:axId val="448835584"/>
      </c:scatterChart>
      <c:valAx>
        <c:axId val="448829312"/>
        <c:scaling>
          <c:orientation val="minMax"/>
          <c:max val="3"/>
        </c:scaling>
        <c:delete val="0"/>
        <c:axPos val="b"/>
        <c:majorGridlines/>
        <c:title>
          <c:tx>
            <c:rich>
              <a:bodyPr/>
              <a:lstStyle/>
              <a:p>
                <a:pPr>
                  <a:defRPr/>
                </a:pPr>
                <a:r>
                  <a:rPr lang="en-US"/>
                  <a:t>Deflectin (mm)</a:t>
                </a:r>
              </a:p>
            </c:rich>
          </c:tx>
          <c:overlay val="0"/>
        </c:title>
        <c:numFmt formatCode="General" sourceLinked="1"/>
        <c:majorTickMark val="out"/>
        <c:minorTickMark val="out"/>
        <c:tickLblPos val="nextTo"/>
        <c:crossAx val="448835584"/>
        <c:crosses val="autoZero"/>
        <c:crossBetween val="midCat"/>
      </c:valAx>
      <c:valAx>
        <c:axId val="448835584"/>
        <c:scaling>
          <c:orientation val="minMax"/>
          <c:max val="900"/>
        </c:scaling>
        <c:delete val="0"/>
        <c:axPos val="l"/>
        <c:majorGridlines/>
        <c:title>
          <c:tx>
            <c:rich>
              <a:bodyPr rot="-5400000" vert="horz"/>
              <a:lstStyle/>
              <a:p>
                <a:pPr>
                  <a:defRPr/>
                </a:pPr>
                <a:r>
                  <a:rPr lang="en-US"/>
                  <a:t>Applied Load (kN)</a:t>
                </a:r>
              </a:p>
            </c:rich>
          </c:tx>
          <c:layout>
            <c:manualLayout>
              <c:xMode val="edge"/>
              <c:yMode val="edge"/>
              <c:x val="3.0238814448081262E-2"/>
              <c:y val="0.24704031787693206"/>
            </c:manualLayout>
          </c:layout>
          <c:overlay val="0"/>
        </c:title>
        <c:numFmt formatCode="General" sourceLinked="1"/>
        <c:majorTickMark val="out"/>
        <c:minorTickMark val="out"/>
        <c:tickLblPos val="nextTo"/>
        <c:crossAx val="448829312"/>
        <c:crosses val="autoZero"/>
        <c:crossBetween val="midCat"/>
        <c:majorUnit val="100"/>
      </c:valAx>
      <c:spPr>
        <a:solidFill>
          <a:sysClr val="window" lastClr="FFFFFF"/>
        </a:solidFill>
      </c:spPr>
    </c:plotArea>
    <c:legend>
      <c:legendPos val="r"/>
      <c:layout>
        <c:manualLayout>
          <c:xMode val="edge"/>
          <c:yMode val="edge"/>
          <c:x val="0.81043160864023733"/>
          <c:y val="2.9582554952249625E-3"/>
          <c:w val="0.18920384951881017"/>
          <c:h val="0.22519539224263635"/>
        </c:manualLayout>
      </c:layout>
      <c:overlay val="0"/>
      <c:spPr>
        <a:solidFill>
          <a:schemeClr val="bg1"/>
        </a:solidFill>
      </c:spPr>
    </c:legend>
    <c:plotVisOnly val="1"/>
    <c:dispBlanksAs val="gap"/>
    <c:showDLblsOverMax val="0"/>
  </c:chart>
  <c:spPr>
    <a:pattFill prst="pct90">
      <a:fgClr>
        <a:schemeClr val="accent5">
          <a:lumMod val="60000"/>
          <a:lumOff val="40000"/>
        </a:schemeClr>
      </a:fgClr>
      <a:bgClr>
        <a:schemeClr val="bg1"/>
      </a:bgClr>
    </a:pattFill>
    <a:ln>
      <a:solidFill>
        <a:schemeClr val="accent5">
          <a:lumMod val="60000"/>
          <a:lumOff val="40000"/>
        </a:schemeClr>
      </a:solidFill>
    </a:ln>
    <a:effectLst>
      <a:outerShdw blurRad="50800" dist="50800" dir="5400000" algn="ctr" rotWithShape="0">
        <a:schemeClr val="accent5">
          <a:lumMod val="60000"/>
          <a:lumOff val="40000"/>
        </a:schemeClr>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22</Pages>
  <Words>3851</Words>
  <Characters>21953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REDHA SALEEM GRAYTEE</dc:creator>
  <cp:lastModifiedBy>SDI 1084</cp:lastModifiedBy>
  <cp:revision>15</cp:revision>
  <dcterms:created xsi:type="dcterms:W3CDTF">2025-07-31T16:09:00Z</dcterms:created>
  <dcterms:modified xsi:type="dcterms:W3CDTF">2025-08-05T07:22:00Z</dcterms:modified>
</cp:coreProperties>
</file>