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F3387" w14:textId="77777777" w:rsidR="00846E64" w:rsidRDefault="00846E64" w:rsidP="00794028">
      <w:pPr>
        <w:spacing w:after="160" w:line="360" w:lineRule="auto"/>
        <w:ind w:left="0" w:firstLine="0"/>
        <w:jc w:val="center"/>
        <w:rPr>
          <w:rFonts w:ascii="Arial" w:hAnsi="Arial" w:cs="Arial"/>
          <w:b/>
          <w:bCs/>
          <w:color w:val="auto"/>
          <w:sz w:val="36"/>
          <w:szCs w:val="36"/>
        </w:rPr>
      </w:pPr>
      <w:bookmarkStart w:id="0" w:name="_Toc152599395"/>
      <w:bookmarkStart w:id="1" w:name="_Toc169185756"/>
      <w:r w:rsidRPr="00846E64">
        <w:rPr>
          <w:rFonts w:ascii="Arial" w:hAnsi="Arial" w:cs="Arial"/>
          <w:b/>
          <w:bCs/>
          <w:color w:val="auto"/>
          <w:sz w:val="36"/>
          <w:szCs w:val="36"/>
        </w:rPr>
        <w:t>Original Research Article</w:t>
      </w:r>
    </w:p>
    <w:p w14:paraId="712D08F5" w14:textId="64594A2B" w:rsidR="00930047" w:rsidRDefault="00930047" w:rsidP="00794028">
      <w:pPr>
        <w:spacing w:after="160" w:line="360" w:lineRule="auto"/>
        <w:ind w:left="0" w:firstLine="0"/>
        <w:jc w:val="center"/>
        <w:rPr>
          <w:rFonts w:ascii="Arial" w:hAnsi="Arial" w:cs="Arial"/>
          <w:b/>
          <w:bCs/>
          <w:color w:val="auto"/>
          <w:sz w:val="36"/>
          <w:szCs w:val="36"/>
        </w:rPr>
      </w:pPr>
      <w:r w:rsidRPr="00930047">
        <w:rPr>
          <w:rFonts w:ascii="Arial" w:hAnsi="Arial" w:cs="Arial"/>
          <w:b/>
          <w:bCs/>
          <w:color w:val="auto"/>
          <w:sz w:val="36"/>
          <w:szCs w:val="36"/>
        </w:rPr>
        <w:t xml:space="preserve">Evaluating Coastal Communities' Sea Level Rise Adaptation Plans in Nigeria's Niger Delta </w:t>
      </w:r>
    </w:p>
    <w:p w14:paraId="7E58C5A5" w14:textId="77777777" w:rsidR="0061053D" w:rsidRPr="00794028" w:rsidRDefault="0061053D" w:rsidP="00794028">
      <w:pPr>
        <w:pStyle w:val="BodyText"/>
        <w:spacing w:line="360" w:lineRule="auto"/>
        <w:jc w:val="center"/>
        <w:rPr>
          <w:rFonts w:ascii="Arial" w:hAnsi="Arial" w:cs="Arial"/>
          <w:sz w:val="20"/>
          <w:szCs w:val="20"/>
        </w:rPr>
      </w:pPr>
    </w:p>
    <w:p w14:paraId="7E58C5A6" w14:textId="77777777" w:rsidR="00AC2E6E" w:rsidRPr="00794028" w:rsidRDefault="00AC2E6E" w:rsidP="00794028">
      <w:pPr>
        <w:spacing w:after="160" w:line="360" w:lineRule="auto"/>
        <w:ind w:left="0" w:firstLine="0"/>
        <w:rPr>
          <w:rFonts w:ascii="Arial" w:hAnsi="Arial" w:cs="Arial"/>
          <w:b/>
          <w:color w:val="auto"/>
          <w:sz w:val="22"/>
        </w:rPr>
      </w:pPr>
      <w:r w:rsidRPr="00794028">
        <w:rPr>
          <w:rFonts w:ascii="Arial" w:hAnsi="Arial" w:cs="Arial"/>
          <w:b/>
          <w:color w:val="auto"/>
          <w:sz w:val="22"/>
        </w:rPr>
        <w:t>ABSTRACT</w:t>
      </w:r>
    </w:p>
    <w:p w14:paraId="03E4F8BC" w14:textId="3AD01DC6" w:rsidR="005475DD" w:rsidRPr="005475DD" w:rsidRDefault="005475DD" w:rsidP="005475DD">
      <w:pPr>
        <w:spacing w:before="100" w:beforeAutospacing="1" w:after="100" w:afterAutospacing="1" w:line="276" w:lineRule="auto"/>
        <w:ind w:left="0" w:firstLine="0"/>
        <w:rPr>
          <w:rFonts w:ascii="Arial" w:eastAsia="Times New Roman" w:hAnsi="Arial" w:cs="Arial"/>
          <w:color w:val="auto"/>
          <w:szCs w:val="20"/>
          <w:lang w:eastAsia="zh-CN"/>
        </w:rPr>
      </w:pPr>
      <w:bookmarkStart w:id="2" w:name="_Toc152599396"/>
      <w:bookmarkStart w:id="3" w:name="_Toc169185757"/>
      <w:bookmarkEnd w:id="0"/>
      <w:bookmarkEnd w:id="1"/>
      <w:r w:rsidRPr="005475DD">
        <w:rPr>
          <w:rFonts w:ascii="Arial" w:eastAsia="Times New Roman" w:hAnsi="Arial" w:cs="Arial"/>
          <w:color w:val="auto"/>
          <w:szCs w:val="20"/>
          <w:lang w:eastAsia="zh-CN"/>
        </w:rPr>
        <w:t>With a focus on Opobo/Nkoro communities, this study examines the adaptation tactics used by coastal communities in Nigeria's Niger Delta Region in response to sea level rise. Nigeria's low-lying coastal areas are increasingly at risk from sea level rise, but little is known about how the local population will adjust. Assessing shoreline changes over time and evaluating community-level responses to the continuous effects of coastal erosion and inundation were the objectives of the study. Using a combination of physical, socioeconomic, and participatory GIS data, a qualitative research methodology was chosen. Shoreline evolution over both short-term (2015–2020) and long-term (1984–2020) periods was evaluated using remotely sensed imagery.</w:t>
      </w:r>
      <w:r>
        <w:rPr>
          <w:rFonts w:ascii="Arial" w:eastAsia="Times New Roman" w:hAnsi="Arial" w:cs="Arial"/>
          <w:color w:val="auto"/>
          <w:szCs w:val="20"/>
          <w:lang w:eastAsia="zh-CN"/>
        </w:rPr>
        <w:t xml:space="preserve"> </w:t>
      </w:r>
      <w:r w:rsidRPr="005475DD">
        <w:rPr>
          <w:rFonts w:ascii="Arial" w:eastAsia="Times New Roman" w:hAnsi="Arial" w:cs="Arial"/>
          <w:color w:val="auto"/>
          <w:szCs w:val="20"/>
          <w:lang w:eastAsia="zh-CN"/>
        </w:rPr>
        <w:t>With a total average linear regression rate (LRR) of -2.7 ± 0.18 m/year from 1984 to 2020 and -3.94 ± 1.28 m/year between 2015 and 2020, the shoreline change analysis's findings showed steady erosional trends. These results support the idea that sea level rise is to blame for the gradual coastal retreat. Furthermore, survey information was gathered from 384 randomly chosen household heads in various residential densiti</w:t>
      </w:r>
      <w:bookmarkStart w:id="4" w:name="_GoBack"/>
      <w:bookmarkEnd w:id="4"/>
      <w:r w:rsidRPr="005475DD">
        <w:rPr>
          <w:rFonts w:ascii="Arial" w:eastAsia="Times New Roman" w:hAnsi="Arial" w:cs="Arial"/>
          <w:color w:val="auto"/>
          <w:szCs w:val="20"/>
          <w:lang w:eastAsia="zh-CN"/>
        </w:rPr>
        <w:t>es in order to investigate socioeconomic characteristics, awareness levels, and adaptation tactics. According to the analysis, residents took a variety of actions, such as moving away from high-risk areas, fixing or replacing damaged property, and urging the government and neighborhood organizations to build more drainage systems. According to the study, these adaptation techniques differed greatly depending on socioeconomic status and residential density. The results highlight how urgently localized, integrated climate change adaptation policies are needed. To improve the absorptive, adaptive, and transformative capacities of coastal households in the area, policymakers are advised to give priority to awareness campaigns and the execution of community-based adaptation measures.</w:t>
      </w:r>
    </w:p>
    <w:p w14:paraId="67846B4C" w14:textId="02270315" w:rsidR="008A7396" w:rsidRPr="008A7396" w:rsidRDefault="008A7396" w:rsidP="008A7396">
      <w:pPr>
        <w:spacing w:before="100" w:beforeAutospacing="1" w:after="100" w:afterAutospacing="1" w:line="276" w:lineRule="auto"/>
        <w:ind w:left="0" w:firstLine="0"/>
        <w:rPr>
          <w:rFonts w:ascii="Arial" w:eastAsia="Times New Roman" w:hAnsi="Arial" w:cs="Arial"/>
          <w:color w:val="auto"/>
          <w:szCs w:val="20"/>
          <w:lang w:eastAsia="zh-CN"/>
        </w:rPr>
      </w:pPr>
      <w:r w:rsidRPr="008A7396">
        <w:rPr>
          <w:rFonts w:ascii="Arial" w:eastAsia="Times New Roman" w:hAnsi="Arial" w:cs="Arial"/>
          <w:b/>
          <w:bCs/>
          <w:color w:val="auto"/>
          <w:szCs w:val="20"/>
          <w:lang w:eastAsia="zh-CN"/>
        </w:rPr>
        <w:t>Keywords:</w:t>
      </w:r>
      <w:r w:rsidRPr="008A7396">
        <w:rPr>
          <w:rFonts w:ascii="Arial" w:eastAsia="Times New Roman" w:hAnsi="Arial" w:cs="Arial"/>
          <w:color w:val="auto"/>
          <w:szCs w:val="20"/>
          <w:lang w:eastAsia="zh-CN"/>
        </w:rPr>
        <w:t xml:space="preserve"> sea level rise, adaptation strategies, shoreline erosion, Niger Delta, coastal communities, climate resilience, Opobo/Nkoro</w:t>
      </w:r>
      <w:r>
        <w:rPr>
          <w:rFonts w:ascii="Arial" w:eastAsia="Times New Roman" w:hAnsi="Arial" w:cs="Arial"/>
          <w:color w:val="auto"/>
          <w:szCs w:val="20"/>
          <w:lang w:eastAsia="zh-CN"/>
        </w:rPr>
        <w:t>.</w:t>
      </w:r>
    </w:p>
    <w:p w14:paraId="7E58C5AB" w14:textId="6C26BDD9" w:rsidR="0082219D" w:rsidRPr="004F036D" w:rsidRDefault="0082219D" w:rsidP="00794028">
      <w:pPr>
        <w:pStyle w:val="Heading1"/>
        <w:numPr>
          <w:ilvl w:val="0"/>
          <w:numId w:val="10"/>
        </w:numPr>
        <w:spacing w:line="360" w:lineRule="auto"/>
        <w:rPr>
          <w:rFonts w:ascii="Arial" w:hAnsi="Arial" w:cs="Arial"/>
          <w:b/>
          <w:color w:val="auto"/>
          <w:sz w:val="22"/>
          <w:szCs w:val="22"/>
        </w:rPr>
      </w:pPr>
      <w:r w:rsidRPr="004F036D">
        <w:rPr>
          <w:rFonts w:ascii="Arial" w:hAnsi="Arial" w:cs="Arial"/>
          <w:b/>
          <w:color w:val="auto"/>
          <w:sz w:val="22"/>
          <w:szCs w:val="22"/>
        </w:rPr>
        <w:t>INTRODUCTION</w:t>
      </w:r>
      <w:bookmarkEnd w:id="2"/>
      <w:bookmarkEnd w:id="3"/>
    </w:p>
    <w:p w14:paraId="2880DA28" w14:textId="685F286B" w:rsidR="005475DD" w:rsidRPr="005475DD" w:rsidRDefault="005475DD" w:rsidP="005475DD">
      <w:pPr>
        <w:spacing w:after="0" w:line="360" w:lineRule="auto"/>
        <w:ind w:left="0" w:firstLine="0"/>
        <w:rPr>
          <w:rFonts w:ascii="Arial" w:eastAsia="Times New Roman" w:hAnsi="Arial" w:cs="Arial"/>
          <w:color w:val="auto"/>
          <w:szCs w:val="20"/>
          <w:lang w:val="en-US" w:eastAsia="en-US"/>
        </w:rPr>
      </w:pPr>
      <w:bookmarkStart w:id="5" w:name="_Toc152599420"/>
      <w:bookmarkStart w:id="6" w:name="_Toc169185814"/>
      <w:r w:rsidRPr="005475DD">
        <w:rPr>
          <w:rFonts w:ascii="Arial" w:eastAsia="Times New Roman" w:hAnsi="Arial" w:cs="Arial"/>
          <w:color w:val="auto"/>
          <w:szCs w:val="20"/>
          <w:lang w:val="en-US" w:eastAsia="en-US"/>
        </w:rPr>
        <w:t>The Niger Delta is the area where the River Niger splits into numerous tributaries, and it is located on the Atlantic Coast of southern Nigeria. With a littoral that stretches for about 450 kilometers and ends at the Imo River's entrance, it is the second-longest delta in the world (Awosika, 2015). With an area of over 20,000 square kilometers, the wetland is the largest in Africa and among the three largest worldwide (CLO, 2018). The Niger Delta region is made up of about 8,600 square kilometers of stagnant swamps and 2,370 square kilometers of rivers, waterways, and estuaries. With a total area of about 1900 square kilometers, the delta is home to the largest mangrove wetlands in Africa (Awosika, 2015).</w:t>
      </w:r>
      <w:r w:rsidRPr="005475DD">
        <w:t xml:space="preserve"> </w:t>
      </w:r>
      <w:r w:rsidRPr="005475DD">
        <w:rPr>
          <w:rFonts w:ascii="Arial" w:eastAsia="Times New Roman" w:hAnsi="Arial" w:cs="Arial"/>
          <w:color w:val="auto"/>
          <w:szCs w:val="20"/>
          <w:lang w:val="en-US" w:eastAsia="en-US"/>
        </w:rPr>
        <w:t xml:space="preserve">The delta is part of the tropical rain forest zone. The ecosystem of the area is extremely diverse and supports a wide range of aquatic and terrestrial plants and animals in addition to human life. </w:t>
      </w:r>
    </w:p>
    <w:p w14:paraId="723E0246" w14:textId="77777777" w:rsidR="005475DD" w:rsidRPr="005475DD" w:rsidRDefault="005475DD" w:rsidP="005475DD">
      <w:pPr>
        <w:spacing w:after="0" w:line="360" w:lineRule="auto"/>
        <w:ind w:left="0" w:firstLine="0"/>
        <w:rPr>
          <w:rFonts w:ascii="Arial" w:eastAsia="Times New Roman" w:hAnsi="Arial" w:cs="Arial"/>
          <w:color w:val="auto"/>
          <w:szCs w:val="20"/>
          <w:lang w:val="en-US" w:eastAsia="en-US"/>
        </w:rPr>
      </w:pPr>
      <w:r w:rsidRPr="005475DD">
        <w:rPr>
          <w:rFonts w:ascii="Arial" w:eastAsia="Times New Roman" w:hAnsi="Arial" w:cs="Arial"/>
          <w:color w:val="auto"/>
          <w:szCs w:val="20"/>
          <w:lang w:val="en-US" w:eastAsia="en-US"/>
        </w:rPr>
        <w:t xml:space="preserve">The Niger Delta is particularly susceptible to the negative environmental changes brought about by climate change because of its location in the world's littoral region. The littoral geology, vegetation, and drainage system define the coastal zone, which is an area where terrestrial and marine processes coexist. Ajao (2014) states that it can be broadly described as a zone of variable width that includes the </w:t>
      </w:r>
      <w:r w:rsidRPr="005475DD">
        <w:rPr>
          <w:rFonts w:ascii="Arial" w:eastAsia="Times New Roman" w:hAnsi="Arial" w:cs="Arial"/>
          <w:color w:val="auto"/>
          <w:szCs w:val="20"/>
          <w:lang w:val="en-US" w:eastAsia="en-US"/>
        </w:rPr>
        <w:lastRenderedPageBreak/>
        <w:t>littoral and stretches to the seaward limit of terrestrial influence and the landward limit of marine influence.</w:t>
      </w:r>
    </w:p>
    <w:p w14:paraId="0207657A" w14:textId="77777777" w:rsidR="00A5513E" w:rsidRDefault="005475DD" w:rsidP="00794028">
      <w:pPr>
        <w:spacing w:after="0" w:line="360" w:lineRule="auto"/>
        <w:ind w:left="0" w:firstLine="0"/>
        <w:rPr>
          <w:rFonts w:ascii="Arial" w:eastAsia="Times New Roman" w:hAnsi="Arial" w:cs="Arial"/>
          <w:color w:val="auto"/>
          <w:szCs w:val="20"/>
          <w:lang w:val="en-US" w:eastAsia="en-US"/>
        </w:rPr>
      </w:pPr>
      <w:r w:rsidRPr="005475DD">
        <w:rPr>
          <w:rFonts w:ascii="Arial" w:eastAsia="Times New Roman" w:hAnsi="Arial" w:cs="Arial"/>
          <w:color w:val="auto"/>
          <w:szCs w:val="20"/>
          <w:lang w:val="en-US" w:eastAsia="en-US"/>
        </w:rPr>
        <w:t>It is a crucial area that produces biological and mineral resources necessary for the economic development of many countries, including Nigeria. Because of its ecological and economic significance, the Nigerian littoral zone is experiencing daily increases in human population pressure. Given the wealth of its fisheries and petroleum resources in Sub-Saharan Africa, the Niger Delta region of Nigeria is, in fact, essential (Akande et al., 2017). However, the sustainability and integrity of the coastal zone are at risk due to anthropogenic pressure and climate change. Allen (2016) states that sea level rise may occur in 2050, possibly submerging all coastal cities in the Niger Delta region and a greater portion of Lagos, as confirmed by the Model for the Assessment of Greenhouse Gas Induced Climate Change (MAGICC-SCENGEN) and geographical information system (GIS) interpolation techniques.</w:t>
      </w:r>
      <w:r>
        <w:rPr>
          <w:rFonts w:ascii="Arial" w:eastAsia="Times New Roman" w:hAnsi="Arial" w:cs="Arial"/>
          <w:color w:val="auto"/>
          <w:szCs w:val="20"/>
          <w:lang w:val="en-US" w:eastAsia="en-US"/>
        </w:rPr>
        <w:t xml:space="preserve"> </w:t>
      </w:r>
      <w:r w:rsidRPr="005475DD">
        <w:rPr>
          <w:rFonts w:ascii="Arial" w:eastAsia="Times New Roman" w:hAnsi="Arial" w:cs="Arial"/>
          <w:color w:val="auto"/>
          <w:szCs w:val="20"/>
          <w:lang w:val="en-US" w:eastAsia="en-US"/>
        </w:rPr>
        <w:t xml:space="preserve">Sea level rise and the height of water above a reference level are two factors contributing to the flooding of low-lying coastal areas. It is one of the most common geological hazards and affects people and property more than any other hazard. Any significant rise in sea level causes the littoral zone to erode (Bell, 2014). The tectonic environment, shoreline materials, and wave energy all influence the littoral and coastal zone's character. </w:t>
      </w:r>
      <w:r w:rsidR="00A5513E" w:rsidRPr="00A5513E">
        <w:rPr>
          <w:rFonts w:ascii="Arial" w:eastAsia="Times New Roman" w:hAnsi="Arial" w:cs="Arial"/>
          <w:color w:val="auto"/>
          <w:szCs w:val="20"/>
          <w:lang w:val="en-US" w:eastAsia="en-US"/>
        </w:rPr>
        <w:t xml:space="preserve">The most vulnerable sediments to coastal erosion are the brittle, loose sediments. The equilibrium of the beach profile, lithospheric uplift and/or subsidence, wave and current forces, and sediment supply are all necessary for a progradation or erosion environment to predominate. Human activity and erosion are at odds in the coastal zone, and infrastructure development has increased vulnerability, calling for better planning and management of the coastal zone (Bell, 2014). </w:t>
      </w:r>
    </w:p>
    <w:p w14:paraId="154E8B1C" w14:textId="77777777" w:rsidR="00A5513E" w:rsidRDefault="00A5513E" w:rsidP="00794028">
      <w:pPr>
        <w:spacing w:after="0" w:line="360" w:lineRule="auto"/>
        <w:ind w:left="0" w:firstLine="0"/>
        <w:rPr>
          <w:rFonts w:ascii="Arial" w:eastAsia="Times New Roman" w:hAnsi="Arial" w:cs="Arial"/>
          <w:color w:val="auto"/>
          <w:szCs w:val="20"/>
          <w:lang w:val="en-US" w:eastAsia="en-US"/>
        </w:rPr>
      </w:pPr>
      <w:r w:rsidRPr="00A5513E">
        <w:rPr>
          <w:rFonts w:ascii="Arial" w:eastAsia="Times New Roman" w:hAnsi="Arial" w:cs="Arial"/>
          <w:color w:val="auto"/>
          <w:szCs w:val="20"/>
          <w:lang w:val="en-US" w:eastAsia="en-US"/>
        </w:rPr>
        <w:t xml:space="preserve">The most vulnerable sediments to coastal erosion are the brittle, loose sediments. The equilibrium of the beach profile, lithospheric uplift and/or subsidence, wave and current forces, and sediment supply are all necessary for a progradation or erosion environment to predominate. Human activity and erosion are at odds in the coastal zone, and infrastructure development has increased vulnerability, calling for better planning and management of the coastal zone (Bell, 2014). According to researchers like Li et al. (2018), Okunola (2019), and Huq et al. (2020), differences in the socioecological nature of hazards in different parts of the world may affect the frequency and severity of future environmental and sea level rise. However, according to most models (IPCC 2001; Hertel et al. 2010; Tejedor et al. 2021), environmental and sea level rises would be more severe near the equator and, consequently, in Sub-Saharan Africa than in most other major parts of the world. Nigeria is therefore extremely vulnerable to the effects of climate change, just like other nations in Sub-Saharan Africa (Haider 2019; </w:t>
      </w:r>
      <w:proofErr w:type="spellStart"/>
      <w:r w:rsidRPr="00A5513E">
        <w:rPr>
          <w:rFonts w:ascii="Arial" w:eastAsia="Times New Roman" w:hAnsi="Arial" w:cs="Arial"/>
          <w:color w:val="auto"/>
          <w:szCs w:val="20"/>
          <w:lang w:val="en-US" w:eastAsia="en-US"/>
        </w:rPr>
        <w:t>Onwutuebe</w:t>
      </w:r>
      <w:proofErr w:type="spellEnd"/>
      <w:r w:rsidRPr="00A5513E">
        <w:rPr>
          <w:rFonts w:ascii="Arial" w:eastAsia="Times New Roman" w:hAnsi="Arial" w:cs="Arial"/>
          <w:color w:val="auto"/>
          <w:szCs w:val="20"/>
          <w:lang w:val="en-US" w:eastAsia="en-US"/>
        </w:rPr>
        <w:t xml:space="preserve"> 2019).</w:t>
      </w:r>
      <w:r w:rsidR="007F7424" w:rsidRPr="00794028">
        <w:rPr>
          <w:rFonts w:ascii="Arial" w:eastAsia="Times New Roman" w:hAnsi="Arial" w:cs="Arial"/>
          <w:color w:val="auto"/>
          <w:szCs w:val="20"/>
          <w:lang w:val="en-US" w:eastAsia="en-US"/>
        </w:rPr>
        <w:t xml:space="preserve"> </w:t>
      </w:r>
      <w:r w:rsidRPr="00A5513E">
        <w:rPr>
          <w:rFonts w:ascii="Arial" w:eastAsia="Times New Roman" w:hAnsi="Arial" w:cs="Arial"/>
          <w:color w:val="auto"/>
          <w:szCs w:val="20"/>
          <w:lang w:val="en-US" w:eastAsia="en-US"/>
        </w:rPr>
        <w:t xml:space="preserve">The World Bank (2021) states that Nigeria's poor and vulnerable populations are particularly vulnerable to climate change because of the country's aridity, rising temperatures, flooding, and soil erosion. This is especially true for both urban and rural communities. Stakeholders must take into account both known and unknown risks. Since local </w:t>
      </w:r>
      <w:proofErr w:type="gramStart"/>
      <w:r w:rsidRPr="00A5513E">
        <w:rPr>
          <w:rFonts w:ascii="Arial" w:eastAsia="Times New Roman" w:hAnsi="Arial" w:cs="Arial"/>
          <w:color w:val="auto"/>
          <w:szCs w:val="20"/>
          <w:lang w:val="en-US" w:eastAsia="en-US"/>
        </w:rPr>
        <w:t>communities</w:t>
      </w:r>
      <w:proofErr w:type="gramEnd"/>
      <w:r w:rsidRPr="00A5513E">
        <w:rPr>
          <w:rFonts w:ascii="Arial" w:eastAsia="Times New Roman" w:hAnsi="Arial" w:cs="Arial"/>
          <w:color w:val="auto"/>
          <w:szCs w:val="20"/>
          <w:lang w:val="en-US" w:eastAsia="en-US"/>
        </w:rPr>
        <w:t xml:space="preserve"> view climate as having a significant emotional, spiritual, and physical component, it is imperative to take into account their understanding of climate change, adaptation strategies, and the factors that influence their level of adaptation to climate change risks in order to address the issue appropriately (Wang et al. 2018).</w:t>
      </w:r>
      <w:r>
        <w:rPr>
          <w:rFonts w:ascii="Arial" w:eastAsia="Times New Roman" w:hAnsi="Arial" w:cs="Arial"/>
          <w:color w:val="auto"/>
          <w:szCs w:val="20"/>
          <w:lang w:val="en-US" w:eastAsia="en-US"/>
        </w:rPr>
        <w:t xml:space="preserve"> </w:t>
      </w:r>
      <w:r w:rsidRPr="00A5513E">
        <w:rPr>
          <w:rFonts w:ascii="Arial" w:eastAsia="Times New Roman" w:hAnsi="Arial" w:cs="Arial"/>
          <w:color w:val="auto"/>
          <w:szCs w:val="20"/>
          <w:lang w:val="en-US" w:eastAsia="en-US"/>
        </w:rPr>
        <w:t xml:space="preserve">Numerous noteworthy studies have looked at how people and households in the Global South and North have adapted to climatic events (Kreibich et al. 2005, 2011; </w:t>
      </w:r>
      <w:proofErr w:type="spellStart"/>
      <w:r w:rsidRPr="00A5513E">
        <w:rPr>
          <w:rFonts w:ascii="Arial" w:eastAsia="Times New Roman" w:hAnsi="Arial" w:cs="Arial"/>
          <w:color w:val="auto"/>
          <w:szCs w:val="20"/>
          <w:lang w:val="en-US" w:eastAsia="en-US"/>
        </w:rPr>
        <w:t>Botzen</w:t>
      </w:r>
      <w:proofErr w:type="spellEnd"/>
      <w:r w:rsidRPr="00A5513E">
        <w:rPr>
          <w:rFonts w:ascii="Arial" w:eastAsia="Times New Roman" w:hAnsi="Arial" w:cs="Arial"/>
          <w:color w:val="auto"/>
          <w:szCs w:val="20"/>
          <w:lang w:val="en-US" w:eastAsia="en-US"/>
        </w:rPr>
        <w:t xml:space="preserve"> et al. 2013; Stojanov et al. 2016). The restoration of damaged properties, as opposed to the implementation of expensive adaptation measures, is the most </w:t>
      </w:r>
      <w:r w:rsidRPr="00A5513E">
        <w:rPr>
          <w:rFonts w:ascii="Arial" w:eastAsia="Times New Roman" w:hAnsi="Arial" w:cs="Arial"/>
          <w:color w:val="auto"/>
          <w:szCs w:val="20"/>
          <w:lang w:val="en-US" w:eastAsia="en-US"/>
        </w:rPr>
        <w:lastRenderedPageBreak/>
        <w:t xml:space="preserve">common household adaptation to climate change in the North-Eastern region of the Czech Republic, according to Stojanov et al. (2016). Kreibich and associates (2005) </w:t>
      </w:r>
      <w:r w:rsidR="007F7424" w:rsidRPr="00794028">
        <w:rPr>
          <w:rFonts w:ascii="Arial" w:eastAsia="Times New Roman" w:hAnsi="Arial" w:cs="Arial"/>
          <w:color w:val="auto"/>
          <w:szCs w:val="20"/>
          <w:lang w:val="en-US" w:eastAsia="en-US"/>
        </w:rPr>
        <w:t xml:space="preserve">and </w:t>
      </w:r>
      <w:r w:rsidRPr="00A5513E">
        <w:rPr>
          <w:rFonts w:ascii="Arial" w:eastAsia="Times New Roman" w:hAnsi="Arial" w:cs="Arial"/>
          <w:color w:val="auto"/>
          <w:szCs w:val="20"/>
          <w:lang w:val="en-US" w:eastAsia="en-US"/>
        </w:rPr>
        <w:t>Kreibich et al. (2011) also divided domestic adaptation strategies into three cost categories: low, medium, and high. These low-cost strategies include helping residents impacted by climate change events, gathering information about preventive measures, and moving vulnerable properties from the ground floor to safer locations (Dey et al. 2016; Okunola and Bako, 2021). According to Kreibich et al. (2011), flood insurance, interior adaptation (such as replacing floors), and the protection of flood embankments and barriers are examples of medium adaptation strategies to the effects of climate change. On the other hand, the expensive flood adaptation measures included building small flood barriers on the nearby lands, strengthening the building's foundations and substructure, using sturdy, water-resistant materials, and sealing off important parts of the house (Daramola et al. 2016). This study also looked into the variables that affect the methods locals use to adjust to the consequences of climate change.</w:t>
      </w:r>
      <w:r>
        <w:rPr>
          <w:rFonts w:ascii="Arial" w:eastAsia="Times New Roman" w:hAnsi="Arial" w:cs="Arial"/>
          <w:color w:val="auto"/>
          <w:szCs w:val="20"/>
          <w:lang w:val="en-US" w:eastAsia="en-US"/>
        </w:rPr>
        <w:t xml:space="preserve"> </w:t>
      </w:r>
    </w:p>
    <w:p w14:paraId="399AE4FE" w14:textId="77777777" w:rsidR="00A5513E" w:rsidRPr="00A5513E" w:rsidRDefault="00A5513E" w:rsidP="00A5513E">
      <w:pPr>
        <w:spacing w:after="0" w:line="360" w:lineRule="auto"/>
        <w:ind w:left="0" w:firstLine="0"/>
        <w:rPr>
          <w:rFonts w:ascii="Arial" w:eastAsia="Times New Roman" w:hAnsi="Arial" w:cs="Arial"/>
          <w:color w:val="auto"/>
          <w:szCs w:val="20"/>
          <w:lang w:val="en-US" w:eastAsia="en-US"/>
        </w:rPr>
      </w:pPr>
      <w:r w:rsidRPr="00A5513E">
        <w:rPr>
          <w:rFonts w:ascii="Arial" w:eastAsia="Times New Roman" w:hAnsi="Arial" w:cs="Arial"/>
          <w:color w:val="auto"/>
          <w:szCs w:val="20"/>
          <w:lang w:val="en-US" w:eastAsia="en-US"/>
        </w:rPr>
        <w:t xml:space="preserve">The factors influencing household participation in the process of recovering from significant trauma were examined in studies by Grothmann and Patt (2003) and Ekegren et al. (2020). These authors showed that perceived ability and self-motivation are important variables that affect how well people and households adjust to major disasters. Additionally, the authors claimed that self-motivation is typically necessary for households or individuals to take preventative actions in order to adapt and manage the risks of climate change, without necessarily depending on outside motivation to protect themselves from climatic hazards. In Leeds, the United Kingdom, </w:t>
      </w:r>
      <w:proofErr w:type="spellStart"/>
      <w:r w:rsidRPr="00A5513E">
        <w:rPr>
          <w:rFonts w:ascii="Arial" w:eastAsia="Times New Roman" w:hAnsi="Arial" w:cs="Arial"/>
          <w:color w:val="auto"/>
          <w:szCs w:val="20"/>
          <w:lang w:val="en-US" w:eastAsia="en-US"/>
        </w:rPr>
        <w:t>Ihemezie</w:t>
      </w:r>
      <w:proofErr w:type="spellEnd"/>
      <w:r w:rsidRPr="00A5513E">
        <w:rPr>
          <w:rFonts w:ascii="Arial" w:eastAsia="Times New Roman" w:hAnsi="Arial" w:cs="Arial"/>
          <w:color w:val="auto"/>
          <w:szCs w:val="20"/>
          <w:lang w:val="en-US" w:eastAsia="en-US"/>
        </w:rPr>
        <w:t xml:space="preserve"> et al. (2018) emphasized that income, house type, and house ownership are important factors that affect how well households and individuals adapt to the effects of climate change. Such studies are rare in the West African Subregion, especially in Port Harcourt, Nigeria.</w:t>
      </w:r>
    </w:p>
    <w:p w14:paraId="3CB7A5D6" w14:textId="77777777" w:rsidR="00EB2EE0" w:rsidRPr="00EB2EE0" w:rsidRDefault="00A5513E" w:rsidP="00EB2EE0">
      <w:pPr>
        <w:spacing w:after="0" w:line="360" w:lineRule="auto"/>
        <w:ind w:left="0" w:firstLine="0"/>
        <w:rPr>
          <w:rFonts w:ascii="Arial" w:eastAsia="Times New Roman" w:hAnsi="Arial" w:cs="Arial"/>
          <w:color w:val="auto"/>
          <w:szCs w:val="20"/>
          <w:lang w:eastAsia="en-US"/>
        </w:rPr>
      </w:pPr>
      <w:r w:rsidRPr="00A5513E">
        <w:rPr>
          <w:rFonts w:ascii="Arial" w:eastAsia="Times New Roman" w:hAnsi="Arial" w:cs="Arial"/>
          <w:color w:val="auto"/>
          <w:szCs w:val="20"/>
          <w:lang w:val="en-US" w:eastAsia="en-US"/>
        </w:rPr>
        <w:t xml:space="preserve">Many studies have examined how households in sub-Saharan Africa are adapting to climate change (Belay et al. 2017; Yaméogo et al. 2018; </w:t>
      </w:r>
      <w:proofErr w:type="spellStart"/>
      <w:r w:rsidRPr="00A5513E">
        <w:rPr>
          <w:rFonts w:ascii="Arial" w:eastAsia="Times New Roman" w:hAnsi="Arial" w:cs="Arial"/>
          <w:color w:val="auto"/>
          <w:szCs w:val="20"/>
          <w:lang w:val="en-US" w:eastAsia="en-US"/>
        </w:rPr>
        <w:t>Chete</w:t>
      </w:r>
      <w:proofErr w:type="spellEnd"/>
      <w:r w:rsidRPr="00A5513E">
        <w:rPr>
          <w:rFonts w:ascii="Arial" w:eastAsia="Times New Roman" w:hAnsi="Arial" w:cs="Arial"/>
          <w:color w:val="auto"/>
          <w:szCs w:val="20"/>
          <w:lang w:val="en-US" w:eastAsia="en-US"/>
        </w:rPr>
        <w:t xml:space="preserve"> 2019). For instance, Belay et al. (2017) showed that farmers' access to climate information and extension, markets, livestock production, income, household demographics, and farm size all have a significant impact on the adaptation strategies they choose in Ethiopia's Central Rift Valley. Similarly, in a study in Osun state, Nigeria, </w:t>
      </w:r>
      <w:proofErr w:type="spellStart"/>
      <w:r w:rsidRPr="00A5513E">
        <w:rPr>
          <w:rFonts w:ascii="Arial" w:eastAsia="Times New Roman" w:hAnsi="Arial" w:cs="Arial"/>
          <w:color w:val="auto"/>
          <w:szCs w:val="20"/>
          <w:lang w:val="en-US" w:eastAsia="en-US"/>
        </w:rPr>
        <w:t>Chete</w:t>
      </w:r>
      <w:proofErr w:type="spellEnd"/>
      <w:r w:rsidRPr="00A5513E">
        <w:rPr>
          <w:rFonts w:ascii="Arial" w:eastAsia="Times New Roman" w:hAnsi="Arial" w:cs="Arial"/>
          <w:color w:val="auto"/>
          <w:szCs w:val="20"/>
          <w:lang w:val="en-US" w:eastAsia="en-US"/>
        </w:rPr>
        <w:t xml:space="preserve"> (2019) found that farmers' choice of climate change adaptation strategies is influenced by household size, farm income, access to credit and extension agents, and climate change information. Nonetheless, these studies' main focus was on the variables that affected farmers' choices to adjust to sea level rise in Sub-Saharan Africa's rural areas.</w:t>
      </w:r>
      <w:r>
        <w:rPr>
          <w:rFonts w:ascii="Arial" w:eastAsia="Times New Roman" w:hAnsi="Arial" w:cs="Arial"/>
          <w:color w:val="auto"/>
          <w:szCs w:val="20"/>
          <w:lang w:val="en-US" w:eastAsia="en-US"/>
        </w:rPr>
        <w:t xml:space="preserve"> </w:t>
      </w:r>
      <w:r w:rsidRPr="00A5513E">
        <w:rPr>
          <w:rFonts w:ascii="Arial" w:eastAsia="Times New Roman" w:hAnsi="Arial" w:cs="Arial"/>
          <w:color w:val="auto"/>
          <w:szCs w:val="20"/>
          <w:lang w:val="en-US" w:eastAsia="en-US"/>
        </w:rPr>
        <w:t>In order to address the effects of climate change, researchers like Weru et al. (2017) and Jabeen et al. (2010) examined household resilience strategies in sub-Saharan African cities' informal settlements. These studies showed that in the informal settlements of Dhaka and Nairobi, the resilience of households to the effects of climate change has been significantly influenced by the provision of funds to low-income households for the construction of improved housing, barriers to keep floodwater from entering homes, house designs that reduce high temperatures, food stores on top of high furniture or shelves, and electrical wiring. The official settlements of these cities were not taken into consideration in these investigations, though.</w:t>
      </w:r>
      <w:r w:rsidR="00EB2EE0">
        <w:rPr>
          <w:rFonts w:ascii="Arial" w:eastAsia="Times New Roman" w:hAnsi="Arial" w:cs="Arial"/>
          <w:color w:val="auto"/>
          <w:szCs w:val="20"/>
          <w:lang w:val="en-US" w:eastAsia="en-US"/>
        </w:rPr>
        <w:t xml:space="preserve"> </w:t>
      </w:r>
      <w:r w:rsidR="00EB2EE0" w:rsidRPr="00EB2EE0">
        <w:rPr>
          <w:rFonts w:ascii="Arial" w:eastAsia="Times New Roman" w:hAnsi="Arial" w:cs="Arial"/>
          <w:color w:val="auto"/>
          <w:szCs w:val="20"/>
          <w:lang w:eastAsia="en-US"/>
        </w:rPr>
        <w:t>Therefore, the goal of this study is to add to the body of literature by investigating how households and individuals in a particular coastal community in Nigeria's Niger Delta have adapted to the rising sea level.</w:t>
      </w:r>
    </w:p>
    <w:p w14:paraId="52B0D30B" w14:textId="6C61D8AF" w:rsidR="00A5513E" w:rsidRDefault="00A5513E" w:rsidP="00A5513E">
      <w:pPr>
        <w:spacing w:after="0" w:line="360" w:lineRule="auto"/>
        <w:ind w:left="0" w:firstLine="0"/>
        <w:rPr>
          <w:rFonts w:ascii="Arial" w:eastAsia="Times New Roman" w:hAnsi="Arial" w:cs="Arial"/>
          <w:color w:val="auto"/>
          <w:szCs w:val="20"/>
          <w:lang w:val="en-US" w:eastAsia="en-US"/>
        </w:rPr>
      </w:pPr>
    </w:p>
    <w:p w14:paraId="7E58C5B2" w14:textId="74CD8A47" w:rsidR="00BC52E8" w:rsidRPr="00A5513E" w:rsidRDefault="00BC52E8" w:rsidP="00A5513E">
      <w:pPr>
        <w:pStyle w:val="ListParagraph"/>
        <w:numPr>
          <w:ilvl w:val="0"/>
          <w:numId w:val="10"/>
        </w:numPr>
        <w:spacing w:after="0" w:line="360" w:lineRule="auto"/>
        <w:rPr>
          <w:rFonts w:ascii="Arial" w:hAnsi="Arial" w:cs="Arial"/>
          <w:b/>
          <w:color w:val="auto"/>
          <w:sz w:val="22"/>
        </w:rPr>
      </w:pPr>
      <w:r w:rsidRPr="00A5513E">
        <w:rPr>
          <w:rFonts w:ascii="Arial" w:hAnsi="Arial" w:cs="Arial"/>
          <w:b/>
          <w:color w:val="auto"/>
          <w:sz w:val="22"/>
        </w:rPr>
        <w:t>METHODOLOGY</w:t>
      </w:r>
      <w:bookmarkEnd w:id="5"/>
      <w:bookmarkEnd w:id="6"/>
    </w:p>
    <w:p w14:paraId="0882B1AF" w14:textId="77777777" w:rsidR="00535FF2" w:rsidRDefault="00535FF2" w:rsidP="00535FF2">
      <w:pPr>
        <w:pStyle w:val="NormalWeb"/>
        <w:spacing w:line="360" w:lineRule="auto"/>
        <w:jc w:val="both"/>
        <w:rPr>
          <w:rFonts w:ascii="Arial" w:hAnsi="Arial" w:cs="Arial"/>
          <w:sz w:val="20"/>
          <w:szCs w:val="20"/>
        </w:rPr>
      </w:pPr>
      <w:r w:rsidRPr="00535FF2">
        <w:rPr>
          <w:rFonts w:ascii="Arial" w:hAnsi="Arial" w:cs="Arial"/>
          <w:sz w:val="20"/>
          <w:szCs w:val="20"/>
        </w:rPr>
        <w:lastRenderedPageBreak/>
        <w:t xml:space="preserve">The study was conducted in the Kingdom of Opobo. Five thousand residents of the Opobo Local Government Area made up the study's population. 540 residents of the Opobo Local Government Area, or 10.8% of the total population, made up the study's sample. The sample size was chosen using a non-stratified random sampling technique. Both primary and secondary data were used in the study. A questionnaire and GIS data were used as the study's data collection tools. The researcher created the instrument. There were two parts to it: A and B. The demographic information was in Section A, and the items used to measure the construct were in Section B. Strongly Agree (SA), Agree (A), Disagree (D), and strongly Disagree (SD) are the four responses on a modified four-point Likert scale that was used in the instrument. The data obtained from the questionnaires was </w:t>
      </w:r>
      <w:proofErr w:type="spellStart"/>
      <w:r w:rsidRPr="00535FF2">
        <w:rPr>
          <w:rFonts w:ascii="Arial" w:hAnsi="Arial" w:cs="Arial"/>
          <w:sz w:val="20"/>
          <w:szCs w:val="20"/>
        </w:rPr>
        <w:t>analyzed</w:t>
      </w:r>
      <w:proofErr w:type="spellEnd"/>
      <w:r w:rsidRPr="00535FF2">
        <w:rPr>
          <w:rFonts w:ascii="Arial" w:hAnsi="Arial" w:cs="Arial"/>
          <w:sz w:val="20"/>
          <w:szCs w:val="20"/>
        </w:rPr>
        <w:t xml:space="preserve"> using percentage, mean, and standard deviation; the data obtained from the field survey will be </w:t>
      </w:r>
      <w:proofErr w:type="spellStart"/>
      <w:r w:rsidRPr="00535FF2">
        <w:rPr>
          <w:rFonts w:ascii="Arial" w:hAnsi="Arial" w:cs="Arial"/>
          <w:sz w:val="20"/>
          <w:szCs w:val="20"/>
        </w:rPr>
        <w:t>analyzed</w:t>
      </w:r>
      <w:proofErr w:type="spellEnd"/>
      <w:r w:rsidRPr="00535FF2">
        <w:rPr>
          <w:rFonts w:ascii="Arial" w:hAnsi="Arial" w:cs="Arial"/>
          <w:sz w:val="20"/>
          <w:szCs w:val="20"/>
        </w:rPr>
        <w:t xml:space="preserve"> using R, GIS, DSAS, and ArcGIS.</w:t>
      </w:r>
    </w:p>
    <w:p w14:paraId="76190A80" w14:textId="35FB65F1" w:rsidR="004F036D" w:rsidRPr="004F036D" w:rsidRDefault="004E73AB" w:rsidP="00535FF2">
      <w:pPr>
        <w:pStyle w:val="NormalWeb"/>
        <w:numPr>
          <w:ilvl w:val="0"/>
          <w:numId w:val="10"/>
        </w:numPr>
        <w:spacing w:line="360" w:lineRule="auto"/>
        <w:jc w:val="both"/>
        <w:rPr>
          <w:rFonts w:ascii="Arial" w:hAnsi="Arial" w:cs="Arial"/>
          <w:b/>
          <w:sz w:val="22"/>
          <w:lang w:val="en-US"/>
        </w:rPr>
      </w:pPr>
      <w:r w:rsidRPr="004F036D">
        <w:rPr>
          <w:rFonts w:ascii="Arial" w:hAnsi="Arial" w:cs="Arial"/>
          <w:b/>
          <w:sz w:val="22"/>
          <w:lang w:val="en-US"/>
        </w:rPr>
        <w:t>RESULT AND DISCUSSION</w:t>
      </w:r>
    </w:p>
    <w:p w14:paraId="76E76832" w14:textId="3E9F0895" w:rsidR="004F036D" w:rsidRPr="004F036D" w:rsidRDefault="004F036D" w:rsidP="004F036D">
      <w:pPr>
        <w:tabs>
          <w:tab w:val="num" w:pos="720"/>
        </w:tabs>
        <w:spacing w:line="360" w:lineRule="auto"/>
        <w:ind w:left="0" w:firstLine="0"/>
        <w:rPr>
          <w:rFonts w:ascii="Arial" w:hAnsi="Arial" w:cs="Arial"/>
          <w:b/>
          <w:color w:val="auto"/>
          <w:sz w:val="22"/>
          <w:lang w:val="en-US"/>
        </w:rPr>
      </w:pPr>
      <w:r w:rsidRPr="004F036D">
        <w:rPr>
          <w:rFonts w:ascii="Arial" w:hAnsi="Arial" w:cs="Arial"/>
          <w:b/>
          <w:color w:val="auto"/>
          <w:sz w:val="22"/>
          <w:lang w:val="en-US"/>
        </w:rPr>
        <w:t>3.1 Results</w:t>
      </w:r>
    </w:p>
    <w:p w14:paraId="7E58C5B6" w14:textId="463DCDE3" w:rsidR="004E73AB" w:rsidRPr="00794028" w:rsidRDefault="00535FF2" w:rsidP="00794028">
      <w:pPr>
        <w:pStyle w:val="BodyText"/>
        <w:spacing w:line="360" w:lineRule="auto"/>
        <w:ind w:left="100"/>
        <w:rPr>
          <w:rFonts w:ascii="Arial" w:hAnsi="Arial" w:cs="Arial"/>
          <w:sz w:val="20"/>
          <w:szCs w:val="20"/>
        </w:rPr>
      </w:pPr>
      <w:r w:rsidRPr="00535FF2">
        <w:rPr>
          <w:rFonts w:ascii="Arial" w:hAnsi="Arial" w:cs="Arial"/>
          <w:sz w:val="20"/>
          <w:szCs w:val="20"/>
        </w:rPr>
        <w:t xml:space="preserve">Four susceptibility classes were created from the shoreline change result derived from the linear regression rate (1984-2020), with class 4 being the most vulnerable to shoreline changes and class 1 being the least. Murali et al. (2013) served as the basis for the rank classification, which classifies accretion &gt; 2m as very low susceptibility, accretion &lt; 2m as low susceptibility, erosion &lt; 2m as high susceptibility, and erosion &gt; 2m as very high susceptibility. Figure 1 shows the spatial distribution according to the </w:t>
      </w:r>
      <w:proofErr w:type="spellStart"/>
      <w:r w:rsidRPr="00535FF2">
        <w:rPr>
          <w:rFonts w:ascii="Arial" w:hAnsi="Arial" w:cs="Arial"/>
          <w:sz w:val="20"/>
          <w:szCs w:val="20"/>
        </w:rPr>
        <w:t>studycoast's</w:t>
      </w:r>
      <w:proofErr w:type="spellEnd"/>
      <w:r w:rsidRPr="00535FF2">
        <w:rPr>
          <w:rFonts w:ascii="Arial" w:hAnsi="Arial" w:cs="Arial"/>
          <w:sz w:val="20"/>
          <w:szCs w:val="20"/>
        </w:rPr>
        <w:t xml:space="preserve"> vulnerability to shoreline changes.</w:t>
      </w:r>
      <w:r w:rsidR="00922D8B" w:rsidRPr="00794028">
        <w:rPr>
          <w:rFonts w:ascii="Arial" w:hAnsi="Arial" w:cs="Arial"/>
          <w:noProof/>
          <w:sz w:val="20"/>
          <w:szCs w:val="20"/>
        </w:rPr>
        <w:drawing>
          <wp:inline distT="0" distB="0" distL="0" distR="0" wp14:anchorId="7E58C6FB" wp14:editId="7E58C6FC">
            <wp:extent cx="5734050" cy="2700622"/>
            <wp:effectExtent l="0" t="0" r="0" b="5080"/>
            <wp:docPr id="10" name="Picture 10" descr="C:\Users\PROBOOK\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BOOK\Pictures\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700622"/>
                    </a:xfrm>
                    <a:prstGeom prst="rect">
                      <a:avLst/>
                    </a:prstGeom>
                    <a:noFill/>
                    <a:ln>
                      <a:noFill/>
                    </a:ln>
                  </pic:spPr>
                </pic:pic>
              </a:graphicData>
            </a:graphic>
          </wp:inline>
        </w:drawing>
      </w:r>
    </w:p>
    <w:p w14:paraId="4F35413C" w14:textId="54D94898" w:rsidR="00794028" w:rsidRDefault="00D97635" w:rsidP="00794028">
      <w:pPr>
        <w:spacing w:before="167" w:line="360" w:lineRule="auto"/>
        <w:ind w:left="100" w:right="309" w:firstLine="0"/>
        <w:rPr>
          <w:rFonts w:ascii="Arial" w:hAnsi="Arial" w:cs="Arial"/>
          <w:b/>
          <w:color w:val="auto"/>
          <w:szCs w:val="20"/>
        </w:rPr>
      </w:pPr>
      <w:bookmarkStart w:id="7" w:name="_bookmark106"/>
      <w:bookmarkEnd w:id="7"/>
      <w:r w:rsidRPr="00794028">
        <w:rPr>
          <w:rFonts w:ascii="Arial" w:hAnsi="Arial" w:cs="Arial"/>
          <w:b/>
          <w:color w:val="auto"/>
          <w:szCs w:val="20"/>
        </w:rPr>
        <w:t>Figure</w:t>
      </w:r>
      <w:r w:rsidR="00794028" w:rsidRPr="00794028">
        <w:rPr>
          <w:rFonts w:ascii="Arial" w:hAnsi="Arial" w:cs="Arial"/>
          <w:b/>
          <w:color w:val="auto"/>
          <w:szCs w:val="20"/>
        </w:rPr>
        <w:t xml:space="preserve"> 1.</w:t>
      </w:r>
      <w:r w:rsidR="004E73AB" w:rsidRPr="00794028">
        <w:rPr>
          <w:rFonts w:ascii="Arial" w:hAnsi="Arial" w:cs="Arial"/>
          <w:b/>
          <w:color w:val="auto"/>
          <w:szCs w:val="20"/>
        </w:rPr>
        <w:t xml:space="preserve"> Map shows the spatial distribution of the susceptibility of the </w:t>
      </w:r>
      <w:r w:rsidR="00407855" w:rsidRPr="00794028">
        <w:rPr>
          <w:rFonts w:ascii="Arial" w:hAnsi="Arial" w:cs="Arial"/>
          <w:b/>
          <w:color w:val="auto"/>
          <w:szCs w:val="20"/>
        </w:rPr>
        <w:t>Opobo</w:t>
      </w:r>
      <w:r w:rsidR="004E73AB" w:rsidRPr="00794028">
        <w:rPr>
          <w:rFonts w:ascii="Arial" w:hAnsi="Arial" w:cs="Arial"/>
          <w:b/>
          <w:color w:val="auto"/>
          <w:szCs w:val="20"/>
        </w:rPr>
        <w:t xml:space="preserve"> coast to coastal erosion of the study area.</w:t>
      </w:r>
      <w:bookmarkStart w:id="8" w:name="_bookmark107"/>
      <w:bookmarkEnd w:id="8"/>
    </w:p>
    <w:p w14:paraId="28D3A8E7" w14:textId="77777777" w:rsidR="004F036D" w:rsidRDefault="004F036D" w:rsidP="00794028">
      <w:pPr>
        <w:spacing w:before="167" w:line="360" w:lineRule="auto"/>
        <w:ind w:left="100" w:right="309" w:firstLine="0"/>
        <w:rPr>
          <w:rFonts w:ascii="Arial" w:hAnsi="Arial" w:cs="Arial"/>
          <w:b/>
          <w:color w:val="auto"/>
          <w:szCs w:val="20"/>
        </w:rPr>
      </w:pPr>
    </w:p>
    <w:p w14:paraId="7E58C5B8" w14:textId="02DE64F4" w:rsidR="004E73AB" w:rsidRPr="00794028" w:rsidRDefault="004E73AB" w:rsidP="00794028">
      <w:pPr>
        <w:spacing w:before="167" w:line="360" w:lineRule="auto"/>
        <w:ind w:left="100" w:right="309" w:firstLine="0"/>
        <w:rPr>
          <w:rFonts w:ascii="Arial" w:hAnsi="Arial" w:cs="Arial"/>
          <w:b/>
          <w:color w:val="auto"/>
          <w:szCs w:val="20"/>
        </w:rPr>
      </w:pPr>
      <w:r w:rsidRPr="00794028">
        <w:rPr>
          <w:rFonts w:ascii="Arial" w:hAnsi="Arial" w:cs="Arial"/>
          <w:b/>
          <w:color w:val="auto"/>
          <w:szCs w:val="20"/>
        </w:rPr>
        <w:t>Table</w:t>
      </w:r>
      <w:r w:rsidRPr="00794028">
        <w:rPr>
          <w:rFonts w:ascii="Arial" w:hAnsi="Arial" w:cs="Arial"/>
          <w:b/>
          <w:color w:val="auto"/>
          <w:spacing w:val="-8"/>
          <w:szCs w:val="20"/>
        </w:rPr>
        <w:t xml:space="preserve"> </w:t>
      </w:r>
      <w:r w:rsidR="00794028" w:rsidRPr="00794028">
        <w:rPr>
          <w:rFonts w:ascii="Arial" w:hAnsi="Arial" w:cs="Arial"/>
          <w:b/>
          <w:color w:val="auto"/>
          <w:szCs w:val="20"/>
        </w:rPr>
        <w:t>1.</w:t>
      </w:r>
      <w:r w:rsidR="00794028">
        <w:rPr>
          <w:rFonts w:ascii="Arial" w:hAnsi="Arial" w:cs="Arial"/>
          <w:b/>
          <w:color w:val="auto"/>
          <w:szCs w:val="20"/>
        </w:rPr>
        <w:t xml:space="preserve"> </w:t>
      </w:r>
      <w:r w:rsidRPr="00794028">
        <w:rPr>
          <w:rFonts w:ascii="Arial" w:hAnsi="Arial" w:cs="Arial"/>
          <w:b/>
          <w:color w:val="auto"/>
          <w:szCs w:val="20"/>
        </w:rPr>
        <w:t>Shoreline</w:t>
      </w:r>
      <w:r w:rsidRPr="00794028">
        <w:rPr>
          <w:rFonts w:ascii="Arial" w:hAnsi="Arial" w:cs="Arial"/>
          <w:b/>
          <w:color w:val="auto"/>
          <w:spacing w:val="-6"/>
          <w:szCs w:val="20"/>
        </w:rPr>
        <w:t xml:space="preserve"> </w:t>
      </w:r>
      <w:r w:rsidRPr="00794028">
        <w:rPr>
          <w:rFonts w:ascii="Arial" w:hAnsi="Arial" w:cs="Arial"/>
          <w:b/>
          <w:color w:val="auto"/>
          <w:szCs w:val="20"/>
        </w:rPr>
        <w:t>change</w:t>
      </w:r>
      <w:r w:rsidRPr="00794028">
        <w:rPr>
          <w:rFonts w:ascii="Arial" w:hAnsi="Arial" w:cs="Arial"/>
          <w:b/>
          <w:color w:val="auto"/>
          <w:spacing w:val="-8"/>
          <w:szCs w:val="20"/>
        </w:rPr>
        <w:t xml:space="preserve"> </w:t>
      </w:r>
      <w:r w:rsidRPr="00794028">
        <w:rPr>
          <w:rFonts w:ascii="Arial" w:hAnsi="Arial" w:cs="Arial"/>
          <w:b/>
          <w:color w:val="auto"/>
          <w:szCs w:val="20"/>
        </w:rPr>
        <w:t>susceptibility</w:t>
      </w:r>
      <w:r w:rsidRPr="00794028">
        <w:rPr>
          <w:rFonts w:ascii="Arial" w:hAnsi="Arial" w:cs="Arial"/>
          <w:b/>
          <w:color w:val="auto"/>
          <w:spacing w:val="-6"/>
          <w:szCs w:val="20"/>
        </w:rPr>
        <w:t xml:space="preserve"> </w:t>
      </w:r>
      <w:r w:rsidRPr="00794028">
        <w:rPr>
          <w:rFonts w:ascii="Arial" w:hAnsi="Arial" w:cs="Arial"/>
          <w:b/>
          <w:color w:val="auto"/>
          <w:spacing w:val="-2"/>
          <w:szCs w:val="20"/>
        </w:rPr>
        <w:t>ranking</w:t>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2713"/>
        <w:gridCol w:w="1389"/>
        <w:gridCol w:w="1492"/>
        <w:gridCol w:w="1476"/>
        <w:gridCol w:w="1960"/>
      </w:tblGrid>
      <w:tr w:rsidR="004E73AB" w:rsidRPr="00794028" w14:paraId="7E58C5BC" w14:textId="77777777" w:rsidTr="004F036D">
        <w:trPr>
          <w:trHeight w:val="653"/>
        </w:trPr>
        <w:tc>
          <w:tcPr>
            <w:tcW w:w="1503" w:type="pct"/>
          </w:tcPr>
          <w:p w14:paraId="7E58C5BA" w14:textId="77777777" w:rsidR="004E73AB" w:rsidRPr="00794028" w:rsidRDefault="004E73AB" w:rsidP="00794028">
            <w:pPr>
              <w:pStyle w:val="TableParagraph"/>
              <w:spacing w:before="81" w:line="360" w:lineRule="auto"/>
              <w:ind w:left="119"/>
              <w:rPr>
                <w:rFonts w:ascii="Arial" w:hAnsi="Arial" w:cs="Arial"/>
                <w:b/>
                <w:sz w:val="20"/>
                <w:szCs w:val="20"/>
              </w:rPr>
            </w:pPr>
            <w:r w:rsidRPr="00794028">
              <w:rPr>
                <w:rFonts w:ascii="Arial" w:hAnsi="Arial" w:cs="Arial"/>
                <w:b/>
                <w:spacing w:val="-2"/>
                <w:sz w:val="20"/>
                <w:szCs w:val="20"/>
              </w:rPr>
              <w:t>Parameter</w:t>
            </w:r>
          </w:p>
        </w:tc>
        <w:tc>
          <w:tcPr>
            <w:tcW w:w="3497" w:type="pct"/>
            <w:gridSpan w:val="4"/>
          </w:tcPr>
          <w:p w14:paraId="7E58C5BB" w14:textId="77777777" w:rsidR="004E73AB" w:rsidRPr="00794028" w:rsidRDefault="004E73AB" w:rsidP="00794028">
            <w:pPr>
              <w:pStyle w:val="TableParagraph"/>
              <w:spacing w:before="81" w:line="360" w:lineRule="auto"/>
              <w:ind w:left="1348"/>
              <w:rPr>
                <w:rFonts w:ascii="Arial" w:hAnsi="Arial" w:cs="Arial"/>
                <w:b/>
                <w:sz w:val="20"/>
                <w:szCs w:val="20"/>
              </w:rPr>
            </w:pPr>
            <w:r w:rsidRPr="00794028">
              <w:rPr>
                <w:rFonts w:ascii="Arial" w:hAnsi="Arial" w:cs="Arial"/>
                <w:b/>
                <w:sz w:val="20"/>
                <w:szCs w:val="20"/>
              </w:rPr>
              <w:t>Shoreline</w:t>
            </w:r>
            <w:r w:rsidRPr="00794028">
              <w:rPr>
                <w:rFonts w:ascii="Arial" w:hAnsi="Arial" w:cs="Arial"/>
                <w:b/>
                <w:spacing w:val="-8"/>
                <w:sz w:val="20"/>
                <w:szCs w:val="20"/>
              </w:rPr>
              <w:t xml:space="preserve"> </w:t>
            </w:r>
            <w:r w:rsidRPr="00794028">
              <w:rPr>
                <w:rFonts w:ascii="Arial" w:hAnsi="Arial" w:cs="Arial"/>
                <w:b/>
                <w:sz w:val="20"/>
                <w:szCs w:val="20"/>
              </w:rPr>
              <w:t>change</w:t>
            </w:r>
            <w:r w:rsidRPr="00794028">
              <w:rPr>
                <w:rFonts w:ascii="Arial" w:hAnsi="Arial" w:cs="Arial"/>
                <w:b/>
                <w:spacing w:val="-8"/>
                <w:sz w:val="20"/>
                <w:szCs w:val="20"/>
              </w:rPr>
              <w:t xml:space="preserve"> </w:t>
            </w:r>
            <w:r w:rsidRPr="00794028">
              <w:rPr>
                <w:rFonts w:ascii="Arial" w:hAnsi="Arial" w:cs="Arial"/>
                <w:b/>
                <w:sz w:val="20"/>
                <w:szCs w:val="20"/>
              </w:rPr>
              <w:t>Susceptibility</w:t>
            </w:r>
            <w:r w:rsidRPr="00794028">
              <w:rPr>
                <w:rFonts w:ascii="Arial" w:hAnsi="Arial" w:cs="Arial"/>
                <w:b/>
                <w:spacing w:val="-6"/>
                <w:sz w:val="20"/>
                <w:szCs w:val="20"/>
              </w:rPr>
              <w:t xml:space="preserve"> </w:t>
            </w:r>
            <w:r w:rsidRPr="00794028">
              <w:rPr>
                <w:rFonts w:ascii="Arial" w:hAnsi="Arial" w:cs="Arial"/>
                <w:b/>
                <w:spacing w:val="-2"/>
                <w:sz w:val="20"/>
                <w:szCs w:val="20"/>
              </w:rPr>
              <w:t>ranking</w:t>
            </w:r>
          </w:p>
        </w:tc>
      </w:tr>
      <w:tr w:rsidR="004E73AB" w:rsidRPr="00794028" w14:paraId="7E58C5C2" w14:textId="77777777" w:rsidTr="004F036D">
        <w:trPr>
          <w:trHeight w:val="507"/>
        </w:trPr>
        <w:tc>
          <w:tcPr>
            <w:tcW w:w="1503" w:type="pct"/>
            <w:tcBorders>
              <w:bottom w:val="single" w:sz="4" w:space="0" w:color="auto"/>
            </w:tcBorders>
          </w:tcPr>
          <w:p w14:paraId="7E58C5BD" w14:textId="77777777" w:rsidR="004E73AB" w:rsidRPr="00794028" w:rsidRDefault="004E73AB" w:rsidP="00794028">
            <w:pPr>
              <w:pStyle w:val="TableParagraph"/>
              <w:spacing w:line="360" w:lineRule="auto"/>
              <w:rPr>
                <w:rFonts w:ascii="Arial" w:hAnsi="Arial" w:cs="Arial"/>
                <w:sz w:val="20"/>
                <w:szCs w:val="20"/>
              </w:rPr>
            </w:pPr>
          </w:p>
        </w:tc>
        <w:tc>
          <w:tcPr>
            <w:tcW w:w="769" w:type="pct"/>
            <w:tcBorders>
              <w:bottom w:val="single" w:sz="4" w:space="0" w:color="auto"/>
            </w:tcBorders>
            <w:shd w:val="clear" w:color="auto" w:fill="9CC2E4"/>
          </w:tcPr>
          <w:p w14:paraId="7E58C5BE" w14:textId="77777777" w:rsidR="004E73AB" w:rsidRPr="00794028" w:rsidRDefault="004E73AB" w:rsidP="00794028">
            <w:pPr>
              <w:pStyle w:val="TableParagraph"/>
              <w:spacing w:before="4" w:line="360" w:lineRule="auto"/>
              <w:ind w:left="119"/>
              <w:rPr>
                <w:rFonts w:ascii="Arial" w:hAnsi="Arial" w:cs="Arial"/>
                <w:b/>
                <w:sz w:val="20"/>
                <w:szCs w:val="20"/>
              </w:rPr>
            </w:pPr>
            <w:r w:rsidRPr="00794028">
              <w:rPr>
                <w:rFonts w:ascii="Arial" w:hAnsi="Arial" w:cs="Arial"/>
                <w:b/>
                <w:sz w:val="20"/>
                <w:szCs w:val="20"/>
              </w:rPr>
              <w:t>Very</w:t>
            </w:r>
            <w:r w:rsidRPr="00794028">
              <w:rPr>
                <w:rFonts w:ascii="Arial" w:hAnsi="Arial" w:cs="Arial"/>
                <w:b/>
                <w:spacing w:val="-3"/>
                <w:sz w:val="20"/>
                <w:szCs w:val="20"/>
              </w:rPr>
              <w:t xml:space="preserve"> </w:t>
            </w:r>
            <w:r w:rsidRPr="00794028">
              <w:rPr>
                <w:rFonts w:ascii="Arial" w:hAnsi="Arial" w:cs="Arial"/>
                <w:b/>
                <w:sz w:val="20"/>
                <w:szCs w:val="20"/>
              </w:rPr>
              <w:t>low</w:t>
            </w:r>
            <w:r w:rsidRPr="00794028">
              <w:rPr>
                <w:rFonts w:ascii="Arial" w:hAnsi="Arial" w:cs="Arial"/>
                <w:b/>
                <w:spacing w:val="-4"/>
                <w:sz w:val="20"/>
                <w:szCs w:val="20"/>
              </w:rPr>
              <w:t xml:space="preserve"> </w:t>
            </w:r>
            <w:r w:rsidRPr="00794028">
              <w:rPr>
                <w:rFonts w:ascii="Arial" w:hAnsi="Arial" w:cs="Arial"/>
                <w:b/>
                <w:spacing w:val="-5"/>
                <w:sz w:val="20"/>
                <w:szCs w:val="20"/>
              </w:rPr>
              <w:t>(1)</w:t>
            </w:r>
          </w:p>
        </w:tc>
        <w:tc>
          <w:tcPr>
            <w:tcW w:w="826" w:type="pct"/>
            <w:tcBorders>
              <w:bottom w:val="single" w:sz="4" w:space="0" w:color="auto"/>
            </w:tcBorders>
            <w:shd w:val="clear" w:color="auto" w:fill="92D050"/>
          </w:tcPr>
          <w:p w14:paraId="7E58C5BF" w14:textId="77777777" w:rsidR="004E73AB" w:rsidRPr="00794028" w:rsidRDefault="004E73AB" w:rsidP="00794028">
            <w:pPr>
              <w:pStyle w:val="TableParagraph"/>
              <w:spacing w:before="4" w:line="360" w:lineRule="auto"/>
              <w:ind w:left="118"/>
              <w:rPr>
                <w:rFonts w:ascii="Arial" w:hAnsi="Arial" w:cs="Arial"/>
                <w:b/>
                <w:sz w:val="20"/>
                <w:szCs w:val="20"/>
              </w:rPr>
            </w:pPr>
            <w:r w:rsidRPr="00794028">
              <w:rPr>
                <w:rFonts w:ascii="Arial" w:hAnsi="Arial" w:cs="Arial"/>
                <w:b/>
                <w:sz w:val="20"/>
                <w:szCs w:val="20"/>
              </w:rPr>
              <w:t>Low</w:t>
            </w:r>
            <w:r w:rsidRPr="00794028">
              <w:rPr>
                <w:rFonts w:ascii="Arial" w:hAnsi="Arial" w:cs="Arial"/>
                <w:b/>
                <w:spacing w:val="-4"/>
                <w:sz w:val="20"/>
                <w:szCs w:val="20"/>
              </w:rPr>
              <w:t xml:space="preserve"> </w:t>
            </w:r>
            <w:r w:rsidRPr="00794028">
              <w:rPr>
                <w:rFonts w:ascii="Arial" w:hAnsi="Arial" w:cs="Arial"/>
                <w:b/>
                <w:spacing w:val="-5"/>
                <w:sz w:val="20"/>
                <w:szCs w:val="20"/>
              </w:rPr>
              <w:t>(2)</w:t>
            </w:r>
          </w:p>
        </w:tc>
        <w:tc>
          <w:tcPr>
            <w:tcW w:w="817" w:type="pct"/>
            <w:tcBorders>
              <w:bottom w:val="single" w:sz="4" w:space="0" w:color="auto"/>
            </w:tcBorders>
            <w:shd w:val="clear" w:color="auto" w:fill="FFC000"/>
          </w:tcPr>
          <w:p w14:paraId="7E58C5C0" w14:textId="77777777" w:rsidR="004E73AB" w:rsidRPr="00794028" w:rsidRDefault="004E73AB" w:rsidP="00794028">
            <w:pPr>
              <w:pStyle w:val="TableParagraph"/>
              <w:spacing w:before="4" w:line="360" w:lineRule="auto"/>
              <w:ind w:left="118"/>
              <w:rPr>
                <w:rFonts w:ascii="Arial" w:hAnsi="Arial" w:cs="Arial"/>
                <w:b/>
                <w:sz w:val="20"/>
                <w:szCs w:val="20"/>
              </w:rPr>
            </w:pPr>
            <w:r w:rsidRPr="00794028">
              <w:rPr>
                <w:rFonts w:ascii="Arial" w:hAnsi="Arial" w:cs="Arial"/>
                <w:b/>
                <w:sz w:val="20"/>
                <w:szCs w:val="20"/>
              </w:rPr>
              <w:t>High</w:t>
            </w:r>
            <w:r w:rsidRPr="00794028">
              <w:rPr>
                <w:rFonts w:ascii="Arial" w:hAnsi="Arial" w:cs="Arial"/>
                <w:b/>
                <w:spacing w:val="-6"/>
                <w:sz w:val="20"/>
                <w:szCs w:val="20"/>
              </w:rPr>
              <w:t xml:space="preserve"> </w:t>
            </w:r>
            <w:r w:rsidRPr="00794028">
              <w:rPr>
                <w:rFonts w:ascii="Arial" w:hAnsi="Arial" w:cs="Arial"/>
                <w:b/>
                <w:spacing w:val="-5"/>
                <w:sz w:val="20"/>
                <w:szCs w:val="20"/>
              </w:rPr>
              <w:t>(3)</w:t>
            </w:r>
          </w:p>
        </w:tc>
        <w:tc>
          <w:tcPr>
            <w:tcW w:w="1084" w:type="pct"/>
            <w:tcBorders>
              <w:bottom w:val="single" w:sz="4" w:space="0" w:color="auto"/>
            </w:tcBorders>
            <w:shd w:val="clear" w:color="auto" w:fill="FF0000"/>
          </w:tcPr>
          <w:p w14:paraId="7E58C5C1" w14:textId="77777777" w:rsidR="004E73AB" w:rsidRPr="00794028" w:rsidRDefault="004E73AB" w:rsidP="00794028">
            <w:pPr>
              <w:pStyle w:val="TableParagraph"/>
              <w:spacing w:before="4" w:line="360" w:lineRule="auto"/>
              <w:ind w:left="117"/>
              <w:rPr>
                <w:rFonts w:ascii="Arial" w:hAnsi="Arial" w:cs="Arial"/>
                <w:b/>
                <w:sz w:val="20"/>
                <w:szCs w:val="20"/>
              </w:rPr>
            </w:pPr>
            <w:r w:rsidRPr="00794028">
              <w:rPr>
                <w:rFonts w:ascii="Arial" w:hAnsi="Arial" w:cs="Arial"/>
                <w:b/>
                <w:sz w:val="20"/>
                <w:szCs w:val="20"/>
              </w:rPr>
              <w:t>Very</w:t>
            </w:r>
            <w:r w:rsidRPr="00794028">
              <w:rPr>
                <w:rFonts w:ascii="Arial" w:hAnsi="Arial" w:cs="Arial"/>
                <w:b/>
                <w:spacing w:val="-4"/>
                <w:sz w:val="20"/>
                <w:szCs w:val="20"/>
              </w:rPr>
              <w:t xml:space="preserve"> </w:t>
            </w:r>
            <w:r w:rsidRPr="00794028">
              <w:rPr>
                <w:rFonts w:ascii="Arial" w:hAnsi="Arial" w:cs="Arial"/>
                <w:b/>
                <w:sz w:val="20"/>
                <w:szCs w:val="20"/>
              </w:rPr>
              <w:t>High</w:t>
            </w:r>
            <w:r w:rsidRPr="00794028">
              <w:rPr>
                <w:rFonts w:ascii="Arial" w:hAnsi="Arial" w:cs="Arial"/>
                <w:b/>
                <w:spacing w:val="-5"/>
                <w:sz w:val="20"/>
                <w:szCs w:val="20"/>
              </w:rPr>
              <w:t xml:space="preserve"> (4)</w:t>
            </w:r>
          </w:p>
        </w:tc>
      </w:tr>
      <w:tr w:rsidR="004E73AB" w:rsidRPr="00794028" w14:paraId="7E58C5C8" w14:textId="77777777" w:rsidTr="004F036D">
        <w:trPr>
          <w:trHeight w:val="522"/>
        </w:trPr>
        <w:tc>
          <w:tcPr>
            <w:tcW w:w="1503" w:type="pct"/>
            <w:tcBorders>
              <w:top w:val="single" w:sz="4" w:space="0" w:color="auto"/>
              <w:bottom w:val="nil"/>
            </w:tcBorders>
          </w:tcPr>
          <w:p w14:paraId="7E58C5C3" w14:textId="77777777" w:rsidR="004E73AB" w:rsidRPr="00794028" w:rsidRDefault="004E73AB" w:rsidP="00794028">
            <w:pPr>
              <w:pStyle w:val="TableParagraph"/>
              <w:spacing w:before="19" w:line="360" w:lineRule="auto"/>
              <w:ind w:left="119"/>
              <w:rPr>
                <w:rFonts w:ascii="Arial" w:hAnsi="Arial" w:cs="Arial"/>
                <w:b/>
                <w:sz w:val="20"/>
                <w:szCs w:val="20"/>
              </w:rPr>
            </w:pPr>
            <w:r w:rsidRPr="00794028">
              <w:rPr>
                <w:rFonts w:ascii="Arial" w:hAnsi="Arial" w:cs="Arial"/>
                <w:b/>
                <w:sz w:val="20"/>
                <w:szCs w:val="20"/>
              </w:rPr>
              <w:t>Shoreline</w:t>
            </w:r>
            <w:r w:rsidRPr="00794028">
              <w:rPr>
                <w:rFonts w:ascii="Arial" w:hAnsi="Arial" w:cs="Arial"/>
                <w:b/>
                <w:spacing w:val="-8"/>
                <w:sz w:val="20"/>
                <w:szCs w:val="20"/>
              </w:rPr>
              <w:t xml:space="preserve"> </w:t>
            </w:r>
            <w:r w:rsidRPr="00794028">
              <w:rPr>
                <w:rFonts w:ascii="Arial" w:hAnsi="Arial" w:cs="Arial"/>
                <w:b/>
                <w:sz w:val="20"/>
                <w:szCs w:val="20"/>
              </w:rPr>
              <w:t>change</w:t>
            </w:r>
            <w:r w:rsidRPr="00794028">
              <w:rPr>
                <w:rFonts w:ascii="Arial" w:hAnsi="Arial" w:cs="Arial"/>
                <w:b/>
                <w:spacing w:val="-7"/>
                <w:sz w:val="20"/>
                <w:szCs w:val="20"/>
              </w:rPr>
              <w:t xml:space="preserve"> </w:t>
            </w:r>
            <w:r w:rsidRPr="00794028">
              <w:rPr>
                <w:rFonts w:ascii="Arial" w:hAnsi="Arial" w:cs="Arial"/>
                <w:b/>
                <w:spacing w:val="-2"/>
                <w:sz w:val="20"/>
                <w:szCs w:val="20"/>
              </w:rPr>
              <w:t>(m/yr)</w:t>
            </w:r>
          </w:p>
        </w:tc>
        <w:tc>
          <w:tcPr>
            <w:tcW w:w="769" w:type="pct"/>
            <w:tcBorders>
              <w:top w:val="single" w:sz="4" w:space="0" w:color="auto"/>
              <w:bottom w:val="nil"/>
            </w:tcBorders>
          </w:tcPr>
          <w:p w14:paraId="7E58C5C4" w14:textId="77777777" w:rsidR="004E73AB" w:rsidRPr="00794028" w:rsidRDefault="004E73AB" w:rsidP="00794028">
            <w:pPr>
              <w:pStyle w:val="TableParagraph"/>
              <w:spacing w:before="19" w:line="360" w:lineRule="auto"/>
              <w:ind w:left="119"/>
              <w:rPr>
                <w:rFonts w:ascii="Arial" w:hAnsi="Arial" w:cs="Arial"/>
                <w:sz w:val="20"/>
                <w:szCs w:val="20"/>
              </w:rPr>
            </w:pPr>
            <w:r w:rsidRPr="00794028">
              <w:rPr>
                <w:rFonts w:ascii="Arial" w:hAnsi="Arial" w:cs="Arial"/>
                <w:sz w:val="20"/>
                <w:szCs w:val="20"/>
              </w:rPr>
              <w:t>Accretion</w:t>
            </w:r>
            <w:r w:rsidRPr="00794028">
              <w:rPr>
                <w:rFonts w:ascii="Arial" w:hAnsi="Arial" w:cs="Arial"/>
                <w:spacing w:val="-6"/>
                <w:sz w:val="20"/>
                <w:szCs w:val="20"/>
              </w:rPr>
              <w:t xml:space="preserve"> </w:t>
            </w:r>
            <w:r w:rsidRPr="00794028">
              <w:rPr>
                <w:rFonts w:ascii="Arial" w:hAnsi="Arial" w:cs="Arial"/>
                <w:spacing w:val="-5"/>
                <w:sz w:val="20"/>
                <w:szCs w:val="20"/>
              </w:rPr>
              <w:t>&gt;2</w:t>
            </w:r>
          </w:p>
        </w:tc>
        <w:tc>
          <w:tcPr>
            <w:tcW w:w="826" w:type="pct"/>
            <w:tcBorders>
              <w:top w:val="single" w:sz="4" w:space="0" w:color="auto"/>
              <w:bottom w:val="nil"/>
            </w:tcBorders>
          </w:tcPr>
          <w:p w14:paraId="7E58C5C5" w14:textId="77777777" w:rsidR="004E73AB" w:rsidRPr="00794028" w:rsidRDefault="004E73AB" w:rsidP="00794028">
            <w:pPr>
              <w:pStyle w:val="TableParagraph"/>
              <w:spacing w:before="19" w:line="360" w:lineRule="auto"/>
              <w:ind w:left="118"/>
              <w:rPr>
                <w:rFonts w:ascii="Arial" w:hAnsi="Arial" w:cs="Arial"/>
                <w:sz w:val="20"/>
                <w:szCs w:val="20"/>
              </w:rPr>
            </w:pPr>
            <w:r w:rsidRPr="00794028">
              <w:rPr>
                <w:rFonts w:ascii="Arial" w:hAnsi="Arial" w:cs="Arial"/>
                <w:sz w:val="20"/>
                <w:szCs w:val="20"/>
              </w:rPr>
              <w:t>Accretion</w:t>
            </w:r>
            <w:r w:rsidRPr="00794028">
              <w:rPr>
                <w:rFonts w:ascii="Arial" w:hAnsi="Arial" w:cs="Arial"/>
                <w:spacing w:val="-4"/>
                <w:sz w:val="20"/>
                <w:szCs w:val="20"/>
              </w:rPr>
              <w:t xml:space="preserve"> </w:t>
            </w:r>
            <w:r w:rsidRPr="00794028">
              <w:rPr>
                <w:rFonts w:ascii="Arial" w:hAnsi="Arial" w:cs="Arial"/>
                <w:sz w:val="20"/>
                <w:szCs w:val="20"/>
              </w:rPr>
              <w:t>&lt;</w:t>
            </w:r>
            <w:r w:rsidRPr="00794028">
              <w:rPr>
                <w:rFonts w:ascii="Arial" w:hAnsi="Arial" w:cs="Arial"/>
                <w:spacing w:val="-4"/>
                <w:sz w:val="20"/>
                <w:szCs w:val="20"/>
              </w:rPr>
              <w:t xml:space="preserve"> </w:t>
            </w:r>
            <w:r w:rsidRPr="00794028">
              <w:rPr>
                <w:rFonts w:ascii="Arial" w:hAnsi="Arial" w:cs="Arial"/>
                <w:spacing w:val="-10"/>
                <w:sz w:val="20"/>
                <w:szCs w:val="20"/>
              </w:rPr>
              <w:t>2</w:t>
            </w:r>
          </w:p>
        </w:tc>
        <w:tc>
          <w:tcPr>
            <w:tcW w:w="817" w:type="pct"/>
            <w:tcBorders>
              <w:top w:val="single" w:sz="4" w:space="0" w:color="auto"/>
              <w:bottom w:val="nil"/>
            </w:tcBorders>
          </w:tcPr>
          <w:p w14:paraId="7E58C5C6" w14:textId="77777777" w:rsidR="004E73AB" w:rsidRPr="00794028" w:rsidRDefault="004E73AB" w:rsidP="00794028">
            <w:pPr>
              <w:pStyle w:val="TableParagraph"/>
              <w:spacing w:before="19" w:line="360" w:lineRule="auto"/>
              <w:ind w:left="118"/>
              <w:rPr>
                <w:rFonts w:ascii="Arial" w:hAnsi="Arial" w:cs="Arial"/>
                <w:sz w:val="20"/>
                <w:szCs w:val="20"/>
              </w:rPr>
            </w:pPr>
            <w:r w:rsidRPr="00794028">
              <w:rPr>
                <w:rFonts w:ascii="Arial" w:hAnsi="Arial" w:cs="Arial"/>
                <w:sz w:val="20"/>
                <w:szCs w:val="20"/>
              </w:rPr>
              <w:t>Erosion</w:t>
            </w:r>
            <w:r w:rsidRPr="00794028">
              <w:rPr>
                <w:rFonts w:ascii="Arial" w:hAnsi="Arial" w:cs="Arial"/>
                <w:spacing w:val="46"/>
                <w:sz w:val="20"/>
                <w:szCs w:val="20"/>
              </w:rPr>
              <w:t xml:space="preserve"> </w:t>
            </w:r>
            <w:r w:rsidRPr="00794028">
              <w:rPr>
                <w:rFonts w:ascii="Arial" w:hAnsi="Arial" w:cs="Arial"/>
                <w:sz w:val="20"/>
                <w:szCs w:val="20"/>
              </w:rPr>
              <w:t>&lt;</w:t>
            </w:r>
            <w:r w:rsidRPr="00794028">
              <w:rPr>
                <w:rFonts w:ascii="Arial" w:hAnsi="Arial" w:cs="Arial"/>
                <w:spacing w:val="-5"/>
                <w:sz w:val="20"/>
                <w:szCs w:val="20"/>
              </w:rPr>
              <w:t xml:space="preserve"> </w:t>
            </w:r>
            <w:r w:rsidRPr="00794028">
              <w:rPr>
                <w:rFonts w:ascii="Arial" w:hAnsi="Arial" w:cs="Arial"/>
                <w:spacing w:val="-10"/>
                <w:sz w:val="20"/>
                <w:szCs w:val="20"/>
              </w:rPr>
              <w:t>2</w:t>
            </w:r>
          </w:p>
        </w:tc>
        <w:tc>
          <w:tcPr>
            <w:tcW w:w="1084" w:type="pct"/>
            <w:tcBorders>
              <w:top w:val="single" w:sz="4" w:space="0" w:color="auto"/>
              <w:bottom w:val="nil"/>
            </w:tcBorders>
          </w:tcPr>
          <w:p w14:paraId="7E58C5C7" w14:textId="77777777" w:rsidR="004E73AB" w:rsidRPr="00794028" w:rsidRDefault="004E73AB" w:rsidP="00794028">
            <w:pPr>
              <w:pStyle w:val="TableParagraph"/>
              <w:spacing w:before="19" w:line="360" w:lineRule="auto"/>
              <w:ind w:left="117"/>
              <w:rPr>
                <w:rFonts w:ascii="Arial" w:hAnsi="Arial" w:cs="Arial"/>
                <w:sz w:val="20"/>
                <w:szCs w:val="20"/>
              </w:rPr>
            </w:pPr>
            <w:r w:rsidRPr="00794028">
              <w:rPr>
                <w:rFonts w:ascii="Arial" w:hAnsi="Arial" w:cs="Arial"/>
                <w:sz w:val="20"/>
                <w:szCs w:val="20"/>
              </w:rPr>
              <w:t>Erosion</w:t>
            </w:r>
            <w:r w:rsidRPr="00794028">
              <w:rPr>
                <w:rFonts w:ascii="Arial" w:hAnsi="Arial" w:cs="Arial"/>
                <w:spacing w:val="-3"/>
                <w:sz w:val="20"/>
                <w:szCs w:val="20"/>
              </w:rPr>
              <w:t xml:space="preserve"> </w:t>
            </w:r>
            <w:r w:rsidRPr="00794028">
              <w:rPr>
                <w:rFonts w:ascii="Arial" w:hAnsi="Arial" w:cs="Arial"/>
                <w:sz w:val="20"/>
                <w:szCs w:val="20"/>
              </w:rPr>
              <w:t>&gt;</w:t>
            </w:r>
            <w:r w:rsidRPr="00794028">
              <w:rPr>
                <w:rFonts w:ascii="Arial" w:hAnsi="Arial" w:cs="Arial"/>
                <w:spacing w:val="-4"/>
                <w:sz w:val="20"/>
                <w:szCs w:val="20"/>
              </w:rPr>
              <w:t xml:space="preserve"> </w:t>
            </w:r>
            <w:r w:rsidRPr="00794028">
              <w:rPr>
                <w:rFonts w:ascii="Arial" w:hAnsi="Arial" w:cs="Arial"/>
                <w:spacing w:val="-10"/>
                <w:sz w:val="20"/>
                <w:szCs w:val="20"/>
              </w:rPr>
              <w:t>2</w:t>
            </w:r>
          </w:p>
        </w:tc>
      </w:tr>
      <w:tr w:rsidR="004E73AB" w:rsidRPr="00794028" w14:paraId="7E58C5CE" w14:textId="77777777" w:rsidTr="004F036D">
        <w:trPr>
          <w:trHeight w:val="522"/>
        </w:trPr>
        <w:tc>
          <w:tcPr>
            <w:tcW w:w="1503" w:type="pct"/>
            <w:tcBorders>
              <w:top w:val="nil"/>
            </w:tcBorders>
          </w:tcPr>
          <w:p w14:paraId="7E58C5C9" w14:textId="77777777" w:rsidR="004E73AB" w:rsidRPr="00794028" w:rsidRDefault="004E73AB" w:rsidP="00794028">
            <w:pPr>
              <w:pStyle w:val="TableParagraph"/>
              <w:spacing w:before="19" w:line="360" w:lineRule="auto"/>
              <w:ind w:left="119"/>
              <w:rPr>
                <w:rFonts w:ascii="Arial" w:hAnsi="Arial" w:cs="Arial"/>
                <w:b/>
                <w:sz w:val="20"/>
                <w:szCs w:val="20"/>
              </w:rPr>
            </w:pPr>
            <w:r w:rsidRPr="00794028">
              <w:rPr>
                <w:rFonts w:ascii="Arial" w:hAnsi="Arial" w:cs="Arial"/>
                <w:b/>
                <w:sz w:val="20"/>
                <w:szCs w:val="20"/>
              </w:rPr>
              <w:t>%</w:t>
            </w:r>
            <w:r w:rsidRPr="00794028">
              <w:rPr>
                <w:rFonts w:ascii="Arial" w:hAnsi="Arial" w:cs="Arial"/>
                <w:b/>
                <w:spacing w:val="-2"/>
                <w:sz w:val="20"/>
                <w:szCs w:val="20"/>
              </w:rPr>
              <w:t xml:space="preserve"> coverage</w:t>
            </w:r>
          </w:p>
        </w:tc>
        <w:tc>
          <w:tcPr>
            <w:tcW w:w="769" w:type="pct"/>
            <w:tcBorders>
              <w:top w:val="nil"/>
            </w:tcBorders>
          </w:tcPr>
          <w:p w14:paraId="7E58C5CA" w14:textId="77777777" w:rsidR="004E73AB" w:rsidRPr="00794028" w:rsidRDefault="004E73AB" w:rsidP="00794028">
            <w:pPr>
              <w:pStyle w:val="TableParagraph"/>
              <w:spacing w:before="19" w:line="360" w:lineRule="auto"/>
              <w:ind w:left="119"/>
              <w:rPr>
                <w:rFonts w:ascii="Arial" w:hAnsi="Arial" w:cs="Arial"/>
                <w:sz w:val="20"/>
                <w:szCs w:val="20"/>
              </w:rPr>
            </w:pPr>
            <w:r w:rsidRPr="00794028">
              <w:rPr>
                <w:rFonts w:ascii="Arial" w:hAnsi="Arial" w:cs="Arial"/>
                <w:spacing w:val="-4"/>
                <w:sz w:val="20"/>
                <w:szCs w:val="20"/>
              </w:rPr>
              <w:t>4.01</w:t>
            </w:r>
          </w:p>
        </w:tc>
        <w:tc>
          <w:tcPr>
            <w:tcW w:w="826" w:type="pct"/>
            <w:tcBorders>
              <w:top w:val="nil"/>
            </w:tcBorders>
          </w:tcPr>
          <w:p w14:paraId="7E58C5CB" w14:textId="77777777" w:rsidR="004E73AB" w:rsidRPr="00794028" w:rsidRDefault="004E73AB" w:rsidP="00794028">
            <w:pPr>
              <w:pStyle w:val="TableParagraph"/>
              <w:spacing w:before="19" w:line="360" w:lineRule="auto"/>
              <w:ind w:left="118"/>
              <w:rPr>
                <w:rFonts w:ascii="Arial" w:hAnsi="Arial" w:cs="Arial"/>
                <w:sz w:val="20"/>
                <w:szCs w:val="20"/>
              </w:rPr>
            </w:pPr>
            <w:r w:rsidRPr="00794028">
              <w:rPr>
                <w:rFonts w:ascii="Arial" w:hAnsi="Arial" w:cs="Arial"/>
                <w:spacing w:val="-2"/>
                <w:sz w:val="20"/>
                <w:szCs w:val="20"/>
              </w:rPr>
              <w:t>19.81</w:t>
            </w:r>
          </w:p>
        </w:tc>
        <w:tc>
          <w:tcPr>
            <w:tcW w:w="817" w:type="pct"/>
            <w:tcBorders>
              <w:top w:val="nil"/>
            </w:tcBorders>
          </w:tcPr>
          <w:p w14:paraId="7E58C5CC" w14:textId="77777777" w:rsidR="004E73AB" w:rsidRPr="00794028" w:rsidRDefault="004E73AB" w:rsidP="00794028">
            <w:pPr>
              <w:pStyle w:val="TableParagraph"/>
              <w:spacing w:before="19" w:line="360" w:lineRule="auto"/>
              <w:ind w:left="118"/>
              <w:rPr>
                <w:rFonts w:ascii="Arial" w:hAnsi="Arial" w:cs="Arial"/>
                <w:sz w:val="20"/>
                <w:szCs w:val="20"/>
              </w:rPr>
            </w:pPr>
            <w:r w:rsidRPr="00794028">
              <w:rPr>
                <w:rFonts w:ascii="Arial" w:hAnsi="Arial" w:cs="Arial"/>
                <w:spacing w:val="-2"/>
                <w:sz w:val="20"/>
                <w:szCs w:val="20"/>
              </w:rPr>
              <w:t>22.73</w:t>
            </w:r>
          </w:p>
        </w:tc>
        <w:tc>
          <w:tcPr>
            <w:tcW w:w="1084" w:type="pct"/>
            <w:tcBorders>
              <w:top w:val="nil"/>
            </w:tcBorders>
          </w:tcPr>
          <w:p w14:paraId="7E58C5CD" w14:textId="77777777" w:rsidR="004E73AB" w:rsidRPr="00794028" w:rsidRDefault="004E73AB" w:rsidP="00794028">
            <w:pPr>
              <w:pStyle w:val="TableParagraph"/>
              <w:spacing w:before="19" w:line="360" w:lineRule="auto"/>
              <w:ind w:left="117"/>
              <w:rPr>
                <w:rFonts w:ascii="Arial" w:hAnsi="Arial" w:cs="Arial"/>
                <w:sz w:val="20"/>
                <w:szCs w:val="20"/>
              </w:rPr>
            </w:pPr>
            <w:r w:rsidRPr="00794028">
              <w:rPr>
                <w:rFonts w:ascii="Arial" w:hAnsi="Arial" w:cs="Arial"/>
                <w:spacing w:val="-2"/>
                <w:sz w:val="20"/>
                <w:szCs w:val="20"/>
              </w:rPr>
              <w:t>53.45</w:t>
            </w:r>
          </w:p>
        </w:tc>
      </w:tr>
      <w:tr w:rsidR="004E73AB" w:rsidRPr="00794028" w14:paraId="7E58C5D2" w14:textId="77777777" w:rsidTr="004F036D">
        <w:trPr>
          <w:trHeight w:val="522"/>
        </w:trPr>
        <w:tc>
          <w:tcPr>
            <w:tcW w:w="1503" w:type="pct"/>
          </w:tcPr>
          <w:p w14:paraId="7E58C5CF" w14:textId="77777777" w:rsidR="004E73AB" w:rsidRPr="00794028" w:rsidRDefault="004E73AB" w:rsidP="00794028">
            <w:pPr>
              <w:pStyle w:val="TableParagraph"/>
              <w:spacing w:before="17" w:line="360" w:lineRule="auto"/>
              <w:ind w:left="119"/>
              <w:rPr>
                <w:rFonts w:ascii="Arial" w:hAnsi="Arial" w:cs="Arial"/>
                <w:b/>
                <w:sz w:val="20"/>
                <w:szCs w:val="20"/>
              </w:rPr>
            </w:pPr>
            <w:r w:rsidRPr="00794028">
              <w:rPr>
                <w:rFonts w:ascii="Arial" w:hAnsi="Arial" w:cs="Arial"/>
                <w:b/>
                <w:spacing w:val="-2"/>
                <w:sz w:val="20"/>
                <w:szCs w:val="20"/>
              </w:rPr>
              <w:t>Total</w:t>
            </w:r>
          </w:p>
        </w:tc>
        <w:tc>
          <w:tcPr>
            <w:tcW w:w="1595" w:type="pct"/>
            <w:gridSpan w:val="2"/>
          </w:tcPr>
          <w:p w14:paraId="7E58C5D0" w14:textId="77777777" w:rsidR="004E73AB" w:rsidRPr="00794028" w:rsidRDefault="004E73AB" w:rsidP="00794028">
            <w:pPr>
              <w:pStyle w:val="TableParagraph"/>
              <w:spacing w:before="17" w:line="360" w:lineRule="auto"/>
              <w:ind w:left="14"/>
              <w:jc w:val="center"/>
              <w:rPr>
                <w:rFonts w:ascii="Arial" w:hAnsi="Arial" w:cs="Arial"/>
                <w:sz w:val="20"/>
                <w:szCs w:val="20"/>
              </w:rPr>
            </w:pPr>
            <w:r w:rsidRPr="00794028">
              <w:rPr>
                <w:rFonts w:ascii="Arial" w:hAnsi="Arial" w:cs="Arial"/>
                <w:spacing w:val="-2"/>
                <w:sz w:val="20"/>
                <w:szCs w:val="20"/>
              </w:rPr>
              <w:t>23.82%</w:t>
            </w:r>
          </w:p>
        </w:tc>
        <w:tc>
          <w:tcPr>
            <w:tcW w:w="1901" w:type="pct"/>
            <w:gridSpan w:val="2"/>
          </w:tcPr>
          <w:p w14:paraId="7E58C5D1" w14:textId="77777777" w:rsidR="004E73AB" w:rsidRPr="00794028" w:rsidRDefault="004E73AB" w:rsidP="00794028">
            <w:pPr>
              <w:pStyle w:val="TableParagraph"/>
              <w:spacing w:before="17" w:line="360" w:lineRule="auto"/>
              <w:ind w:left="14"/>
              <w:jc w:val="center"/>
              <w:rPr>
                <w:rFonts w:ascii="Arial" w:hAnsi="Arial" w:cs="Arial"/>
                <w:sz w:val="20"/>
                <w:szCs w:val="20"/>
              </w:rPr>
            </w:pPr>
            <w:r w:rsidRPr="00794028">
              <w:rPr>
                <w:rFonts w:ascii="Arial" w:hAnsi="Arial" w:cs="Arial"/>
                <w:spacing w:val="-2"/>
                <w:sz w:val="20"/>
                <w:szCs w:val="20"/>
              </w:rPr>
              <w:t>76.18%</w:t>
            </w:r>
          </w:p>
        </w:tc>
      </w:tr>
    </w:tbl>
    <w:p w14:paraId="7E58C5D3" w14:textId="77777777" w:rsidR="004E73AB" w:rsidRPr="00794028" w:rsidRDefault="004E73AB" w:rsidP="00794028">
      <w:pPr>
        <w:pStyle w:val="BodyText"/>
        <w:spacing w:line="360" w:lineRule="auto"/>
        <w:rPr>
          <w:rFonts w:ascii="Arial" w:hAnsi="Arial" w:cs="Arial"/>
          <w:sz w:val="20"/>
          <w:szCs w:val="20"/>
        </w:rPr>
      </w:pPr>
    </w:p>
    <w:p w14:paraId="15D8BFCA" w14:textId="77777777" w:rsidR="00535FF2" w:rsidRDefault="00535FF2" w:rsidP="004F036D">
      <w:pPr>
        <w:pStyle w:val="BodyText"/>
        <w:spacing w:before="1" w:line="360" w:lineRule="auto"/>
        <w:ind w:right="294"/>
        <w:jc w:val="both"/>
        <w:rPr>
          <w:rFonts w:ascii="Arial" w:hAnsi="Arial" w:cs="Arial"/>
          <w:sz w:val="20"/>
          <w:szCs w:val="20"/>
        </w:rPr>
      </w:pPr>
      <w:bookmarkStart w:id="9" w:name="_Toc169185831"/>
      <w:r w:rsidRPr="00535FF2">
        <w:rPr>
          <w:rFonts w:ascii="Arial" w:hAnsi="Arial" w:cs="Arial"/>
          <w:sz w:val="20"/>
          <w:szCs w:val="20"/>
        </w:rPr>
        <w:t>According to Table 1, 23.82% of the coast is vulnerable to accretion and 76.18% is vulnerable to erosion. It implies that, from 1984 to 2020, coastal erosion will be the most noticeable process along the coast. Even though erosion predominates, 23.82% of the coast has accreted, meaning that land has been added there over the course of 36 years.</w:t>
      </w:r>
    </w:p>
    <w:p w14:paraId="067D6799" w14:textId="77777777" w:rsidR="00535FF2" w:rsidRDefault="00535FF2" w:rsidP="004F036D">
      <w:pPr>
        <w:pStyle w:val="BodyText"/>
        <w:spacing w:before="1" w:line="360" w:lineRule="auto"/>
        <w:ind w:right="294"/>
        <w:jc w:val="both"/>
        <w:rPr>
          <w:rFonts w:ascii="Arial" w:hAnsi="Arial" w:cs="Arial"/>
          <w:sz w:val="20"/>
          <w:szCs w:val="20"/>
        </w:rPr>
      </w:pPr>
    </w:p>
    <w:p w14:paraId="7E58C5D6" w14:textId="52A19BDB" w:rsidR="004E73AB" w:rsidRPr="004F036D" w:rsidRDefault="004F036D" w:rsidP="004F036D">
      <w:pPr>
        <w:pStyle w:val="BodyText"/>
        <w:spacing w:before="1" w:line="360" w:lineRule="auto"/>
        <w:ind w:right="294"/>
        <w:jc w:val="both"/>
        <w:rPr>
          <w:rFonts w:ascii="Arial" w:hAnsi="Arial" w:cs="Arial"/>
          <w:b/>
          <w:bCs/>
          <w:sz w:val="22"/>
          <w:szCs w:val="22"/>
        </w:rPr>
      </w:pPr>
      <w:r w:rsidRPr="004F036D">
        <w:rPr>
          <w:rFonts w:ascii="Arial" w:hAnsi="Arial" w:cs="Arial"/>
          <w:b/>
          <w:bCs/>
          <w:sz w:val="22"/>
          <w:szCs w:val="22"/>
        </w:rPr>
        <w:t xml:space="preserve">3.1.1 </w:t>
      </w:r>
      <w:r w:rsidR="004E73AB" w:rsidRPr="004F036D">
        <w:rPr>
          <w:rFonts w:ascii="Arial" w:hAnsi="Arial" w:cs="Arial"/>
          <w:b/>
          <w:bCs/>
          <w:sz w:val="22"/>
          <w:szCs w:val="22"/>
        </w:rPr>
        <w:t>Erosion</w:t>
      </w:r>
      <w:r w:rsidR="004E73AB" w:rsidRPr="004F036D">
        <w:rPr>
          <w:rFonts w:ascii="Arial" w:hAnsi="Arial" w:cs="Arial"/>
          <w:b/>
          <w:bCs/>
          <w:spacing w:val="-2"/>
          <w:sz w:val="22"/>
          <w:szCs w:val="22"/>
        </w:rPr>
        <w:t xml:space="preserve"> </w:t>
      </w:r>
      <w:r w:rsidR="004E73AB" w:rsidRPr="004F036D">
        <w:rPr>
          <w:rFonts w:ascii="Arial" w:hAnsi="Arial" w:cs="Arial"/>
          <w:b/>
          <w:bCs/>
          <w:sz w:val="22"/>
          <w:szCs w:val="22"/>
        </w:rPr>
        <w:t>and</w:t>
      </w:r>
      <w:r w:rsidR="004E73AB" w:rsidRPr="004F036D">
        <w:rPr>
          <w:rFonts w:ascii="Arial" w:hAnsi="Arial" w:cs="Arial"/>
          <w:b/>
          <w:bCs/>
          <w:spacing w:val="-3"/>
          <w:sz w:val="22"/>
          <w:szCs w:val="22"/>
        </w:rPr>
        <w:t xml:space="preserve"> </w:t>
      </w:r>
      <w:r w:rsidR="004E73AB" w:rsidRPr="004F036D">
        <w:rPr>
          <w:rFonts w:ascii="Arial" w:hAnsi="Arial" w:cs="Arial"/>
          <w:b/>
          <w:bCs/>
          <w:sz w:val="22"/>
          <w:szCs w:val="22"/>
        </w:rPr>
        <w:t>Accretion</w:t>
      </w:r>
      <w:r w:rsidR="004E73AB" w:rsidRPr="004F036D">
        <w:rPr>
          <w:rFonts w:ascii="Arial" w:hAnsi="Arial" w:cs="Arial"/>
          <w:b/>
          <w:bCs/>
          <w:spacing w:val="-3"/>
          <w:sz w:val="22"/>
          <w:szCs w:val="22"/>
        </w:rPr>
        <w:t xml:space="preserve"> </w:t>
      </w:r>
      <w:r w:rsidR="004E73AB" w:rsidRPr="004F036D">
        <w:rPr>
          <w:rFonts w:ascii="Arial" w:hAnsi="Arial" w:cs="Arial"/>
          <w:b/>
          <w:bCs/>
          <w:sz w:val="22"/>
          <w:szCs w:val="22"/>
        </w:rPr>
        <w:t>‘Hot</w:t>
      </w:r>
      <w:r w:rsidR="004E73AB" w:rsidRPr="004F036D">
        <w:rPr>
          <w:rFonts w:ascii="Arial" w:hAnsi="Arial" w:cs="Arial"/>
          <w:b/>
          <w:bCs/>
          <w:spacing w:val="-4"/>
          <w:sz w:val="22"/>
          <w:szCs w:val="22"/>
        </w:rPr>
        <w:t xml:space="preserve"> </w:t>
      </w:r>
      <w:r w:rsidR="004E73AB" w:rsidRPr="004F036D">
        <w:rPr>
          <w:rFonts w:ascii="Arial" w:hAnsi="Arial" w:cs="Arial"/>
          <w:b/>
          <w:bCs/>
          <w:sz w:val="22"/>
          <w:szCs w:val="22"/>
        </w:rPr>
        <w:t>Spot’</w:t>
      </w:r>
      <w:r w:rsidR="004E73AB" w:rsidRPr="004F036D">
        <w:rPr>
          <w:rFonts w:ascii="Arial" w:hAnsi="Arial" w:cs="Arial"/>
          <w:b/>
          <w:bCs/>
          <w:spacing w:val="-4"/>
          <w:sz w:val="22"/>
          <w:szCs w:val="22"/>
        </w:rPr>
        <w:t xml:space="preserve"> </w:t>
      </w:r>
      <w:r w:rsidR="004E73AB" w:rsidRPr="004F036D">
        <w:rPr>
          <w:rFonts w:ascii="Arial" w:hAnsi="Arial" w:cs="Arial"/>
          <w:b/>
          <w:bCs/>
          <w:spacing w:val="-2"/>
          <w:sz w:val="22"/>
          <w:szCs w:val="22"/>
        </w:rPr>
        <w:t>Assessment</w:t>
      </w:r>
      <w:bookmarkEnd w:id="9"/>
    </w:p>
    <w:p w14:paraId="649298C0" w14:textId="77777777" w:rsidR="00535FF2" w:rsidRDefault="00535FF2" w:rsidP="004F036D">
      <w:pPr>
        <w:pStyle w:val="BodyText"/>
        <w:spacing w:before="9" w:line="360" w:lineRule="auto"/>
        <w:rPr>
          <w:rFonts w:ascii="Arial" w:hAnsi="Arial" w:cs="Arial"/>
          <w:sz w:val="20"/>
          <w:szCs w:val="20"/>
        </w:rPr>
      </w:pPr>
      <w:r w:rsidRPr="00794028">
        <w:rPr>
          <w:rFonts w:ascii="Arial" w:hAnsi="Arial" w:cs="Arial"/>
          <w:noProof/>
          <w:sz w:val="20"/>
          <w:szCs w:val="20"/>
        </w:rPr>
        <w:drawing>
          <wp:anchor distT="0" distB="0" distL="114300" distR="114300" simplePos="0" relativeHeight="251658240" behindDoc="0" locked="0" layoutInCell="1" allowOverlap="1" wp14:anchorId="7E58C6FD" wp14:editId="0B14434E">
            <wp:simplePos x="0" y="0"/>
            <wp:positionH relativeFrom="column">
              <wp:posOffset>50800</wp:posOffset>
            </wp:positionH>
            <wp:positionV relativeFrom="paragraph">
              <wp:posOffset>1176655</wp:posOffset>
            </wp:positionV>
            <wp:extent cx="5638800" cy="2802255"/>
            <wp:effectExtent l="0" t="0" r="0" b="0"/>
            <wp:wrapSquare wrapText="bothSides"/>
            <wp:docPr id="11" name="Picture 11" descr="C:\Users\PROBOOK\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BOOK\Pictures\1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280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5FF2">
        <w:rPr>
          <w:rFonts w:ascii="Arial" w:hAnsi="Arial" w:cs="Arial"/>
          <w:sz w:val="20"/>
          <w:szCs w:val="20"/>
        </w:rPr>
        <w:t>The results from the LRR statistics in the long-term change (1984-2020) results were used to identify both accretion and erosion hotspots. Figure 2 depicts the erosion and accretion changes along the Opobo coast over a 36-year period. It identifies hot spot accretion hot spots with rates &gt; 2 m/yr along 23.82% of the studied coast and hot spot erosion hot spots with rates &gt; 2 m/yr along 53.45% of the coast.</w:t>
      </w:r>
      <w:bookmarkStart w:id="10" w:name="_bookmark108"/>
      <w:bookmarkEnd w:id="10"/>
    </w:p>
    <w:p w14:paraId="08105E3B" w14:textId="77777777" w:rsidR="00535FF2" w:rsidRDefault="00535FF2" w:rsidP="004F036D">
      <w:pPr>
        <w:pStyle w:val="BodyText"/>
        <w:spacing w:before="9" w:line="360" w:lineRule="auto"/>
        <w:rPr>
          <w:rFonts w:ascii="Arial" w:hAnsi="Arial" w:cs="Arial"/>
          <w:b/>
          <w:sz w:val="20"/>
          <w:szCs w:val="20"/>
        </w:rPr>
      </w:pPr>
    </w:p>
    <w:p w14:paraId="7E58C5D9" w14:textId="21A9BEFB" w:rsidR="004E73AB" w:rsidRPr="00794028" w:rsidRDefault="004E73AB" w:rsidP="004F036D">
      <w:pPr>
        <w:pStyle w:val="BodyText"/>
        <w:spacing w:before="9" w:line="360" w:lineRule="auto"/>
        <w:rPr>
          <w:rFonts w:ascii="Arial" w:hAnsi="Arial" w:cs="Arial"/>
          <w:b/>
          <w:sz w:val="20"/>
          <w:szCs w:val="20"/>
        </w:rPr>
      </w:pPr>
      <w:r w:rsidRPr="00794028">
        <w:rPr>
          <w:rFonts w:ascii="Arial" w:hAnsi="Arial" w:cs="Arial"/>
          <w:b/>
          <w:sz w:val="20"/>
          <w:szCs w:val="20"/>
        </w:rPr>
        <w:t>Figure</w:t>
      </w:r>
      <w:r w:rsidR="00794028" w:rsidRPr="00794028">
        <w:rPr>
          <w:rFonts w:ascii="Arial" w:hAnsi="Arial" w:cs="Arial"/>
          <w:b/>
          <w:szCs w:val="20"/>
        </w:rPr>
        <w:t xml:space="preserve"> 2. </w:t>
      </w:r>
      <w:r w:rsidRPr="00794028">
        <w:rPr>
          <w:rFonts w:ascii="Arial" w:hAnsi="Arial" w:cs="Arial"/>
          <w:b/>
          <w:sz w:val="20"/>
          <w:szCs w:val="20"/>
        </w:rPr>
        <w:t>Erosion and Accretion map generated from the extracted shorelines (19</w:t>
      </w:r>
      <w:r w:rsidR="00C14BBF" w:rsidRPr="00794028">
        <w:rPr>
          <w:rFonts w:ascii="Arial" w:hAnsi="Arial" w:cs="Arial"/>
          <w:b/>
          <w:sz w:val="20"/>
          <w:szCs w:val="20"/>
        </w:rPr>
        <w:t>84-2020) of the study area.</w:t>
      </w:r>
    </w:p>
    <w:p w14:paraId="324F61CB" w14:textId="72E5150D" w:rsidR="00535FF2" w:rsidRDefault="00535FF2" w:rsidP="00794028">
      <w:pPr>
        <w:spacing w:after="0" w:line="360" w:lineRule="auto"/>
        <w:ind w:left="0" w:firstLine="0"/>
        <w:rPr>
          <w:rFonts w:ascii="Arial" w:eastAsia="Times New Roman" w:hAnsi="Arial" w:cs="Arial"/>
          <w:color w:val="auto"/>
          <w:szCs w:val="20"/>
          <w:lang w:val="en-US" w:eastAsia="en-US"/>
        </w:rPr>
      </w:pPr>
      <w:r w:rsidRPr="00535FF2">
        <w:rPr>
          <w:rFonts w:ascii="Arial" w:eastAsia="Times New Roman" w:hAnsi="Arial" w:cs="Arial"/>
          <w:color w:val="auto"/>
          <w:szCs w:val="20"/>
          <w:lang w:val="en-US" w:eastAsia="en-US"/>
        </w:rPr>
        <w:t xml:space="preserve">Both desktop analysis and fieldwork were used in this study to assess the changes along the coast. Four sites were chosen to serve as a guide for the ground truthing of the research area after an initial desktop GIS analysis was done to identify the zones with the highest human densities before the fieldwork began. The final hot spots selected to evaluate vulnerability at a much local scale are areas with the largest coastal human settlements, significant erosion, and areas where sufficient social data was generated through focus group discussions (FGD), interviews, and participatory GIS (PGIS), as this study takes an interdisciplinary mixed-approach and focuses on the vulnerability of the people in </w:t>
      </w:r>
      <w:r w:rsidRPr="00535FF2">
        <w:rPr>
          <w:rFonts w:ascii="Arial" w:eastAsia="Times New Roman" w:hAnsi="Arial" w:cs="Arial"/>
          <w:color w:val="auto"/>
          <w:szCs w:val="20"/>
          <w:lang w:val="en-US" w:eastAsia="en-US"/>
        </w:rPr>
        <w:lastRenderedPageBreak/>
        <w:t>the study area. These sites were then used for field research in order to</w:t>
      </w:r>
      <w:r>
        <w:rPr>
          <w:rFonts w:ascii="Arial" w:eastAsia="Times New Roman" w:hAnsi="Arial" w:cs="Arial"/>
          <w:color w:val="auto"/>
          <w:szCs w:val="20"/>
          <w:lang w:val="en-US" w:eastAsia="en-US"/>
        </w:rPr>
        <w:t xml:space="preserve"> </w:t>
      </w:r>
      <w:r w:rsidRPr="00535FF2">
        <w:rPr>
          <w:rFonts w:ascii="Arial" w:eastAsia="Times New Roman" w:hAnsi="Arial" w:cs="Arial"/>
          <w:color w:val="auto"/>
          <w:szCs w:val="20"/>
          <w:lang w:val="en-US" w:eastAsia="en-US"/>
        </w:rPr>
        <w:t>produce data through firsthand field observations and local knowledge.</w:t>
      </w:r>
    </w:p>
    <w:p w14:paraId="7E58C5E3" w14:textId="3512EE5E" w:rsidR="00811CA8" w:rsidRDefault="004F036D" w:rsidP="00794028">
      <w:pPr>
        <w:spacing w:after="0" w:line="360" w:lineRule="auto"/>
        <w:ind w:left="0" w:firstLine="0"/>
        <w:rPr>
          <w:rFonts w:ascii="Arial" w:hAnsi="Arial" w:cs="Arial"/>
          <w:b/>
          <w:color w:val="auto"/>
          <w:sz w:val="22"/>
        </w:rPr>
      </w:pPr>
      <w:r w:rsidRPr="004F036D">
        <w:rPr>
          <w:rFonts w:ascii="Arial" w:hAnsi="Arial" w:cs="Arial"/>
          <w:b/>
          <w:color w:val="auto"/>
          <w:sz w:val="22"/>
        </w:rPr>
        <w:t xml:space="preserve">3.1.2 </w:t>
      </w:r>
      <w:r w:rsidR="00C206F7" w:rsidRPr="004F036D">
        <w:rPr>
          <w:rFonts w:ascii="Arial" w:hAnsi="Arial" w:cs="Arial"/>
          <w:b/>
          <w:color w:val="auto"/>
          <w:sz w:val="22"/>
        </w:rPr>
        <w:t xml:space="preserve">SEA LEVEL RISE </w:t>
      </w:r>
      <w:r w:rsidR="0003038D" w:rsidRPr="004F036D">
        <w:rPr>
          <w:rFonts w:ascii="Arial" w:hAnsi="Arial" w:cs="Arial"/>
          <w:b/>
          <w:color w:val="auto"/>
          <w:sz w:val="22"/>
        </w:rPr>
        <w:t xml:space="preserve">ADAPTABILITY STRATEGIES </w:t>
      </w:r>
    </w:p>
    <w:p w14:paraId="1807DE43" w14:textId="77777777" w:rsidR="00535FF2" w:rsidRPr="00535FF2" w:rsidRDefault="00535FF2" w:rsidP="00535FF2">
      <w:pPr>
        <w:spacing w:after="0" w:line="360" w:lineRule="auto"/>
        <w:ind w:left="0" w:firstLine="0"/>
        <w:rPr>
          <w:rFonts w:ascii="Arial" w:hAnsi="Arial" w:cs="Arial"/>
          <w:spacing w:val="-2"/>
          <w:szCs w:val="20"/>
        </w:rPr>
      </w:pPr>
      <w:r w:rsidRPr="00535FF2">
        <w:rPr>
          <w:rFonts w:ascii="Arial" w:hAnsi="Arial" w:cs="Arial"/>
          <w:spacing w:val="-2"/>
          <w:szCs w:val="20"/>
        </w:rPr>
        <w:t>Table 2 displays the socioeconomic characteristics of the study participants. Opobo/Nkoro L.G.A. residents' reactions to sea level rise are influenced by a number of factors, including age, income, education, household size, and length of residence.</w:t>
      </w:r>
    </w:p>
    <w:p w14:paraId="7E58C5E4" w14:textId="664364B8" w:rsidR="00811CA8" w:rsidRPr="004F036D" w:rsidRDefault="00811CA8" w:rsidP="004F036D">
      <w:pPr>
        <w:spacing w:after="0" w:line="360" w:lineRule="auto"/>
        <w:ind w:left="0" w:firstLine="0"/>
        <w:rPr>
          <w:rFonts w:ascii="Arial" w:hAnsi="Arial" w:cs="Arial"/>
          <w:b/>
          <w:color w:val="auto"/>
          <w:szCs w:val="20"/>
        </w:rPr>
      </w:pPr>
      <w:r w:rsidRPr="004F036D">
        <w:rPr>
          <w:rFonts w:ascii="Arial" w:hAnsi="Arial" w:cs="Arial"/>
          <w:b/>
          <w:color w:val="auto"/>
          <w:w w:val="85"/>
          <w:szCs w:val="20"/>
        </w:rPr>
        <w:t>Table</w:t>
      </w:r>
      <w:r w:rsidRPr="004F036D">
        <w:rPr>
          <w:rFonts w:ascii="Arial" w:hAnsi="Arial" w:cs="Arial"/>
          <w:b/>
          <w:color w:val="auto"/>
          <w:spacing w:val="7"/>
          <w:szCs w:val="20"/>
        </w:rPr>
        <w:t xml:space="preserve"> </w:t>
      </w:r>
      <w:r w:rsidRPr="004F036D">
        <w:rPr>
          <w:rFonts w:ascii="Arial" w:hAnsi="Arial" w:cs="Arial"/>
          <w:b/>
          <w:color w:val="auto"/>
          <w:w w:val="85"/>
          <w:szCs w:val="20"/>
        </w:rPr>
        <w:t>2.</w:t>
      </w:r>
      <w:r w:rsidRPr="004F036D">
        <w:rPr>
          <w:rFonts w:ascii="Arial" w:hAnsi="Arial" w:cs="Arial"/>
          <w:b/>
          <w:color w:val="auto"/>
          <w:spacing w:val="8"/>
          <w:szCs w:val="20"/>
        </w:rPr>
        <w:t xml:space="preserve"> </w:t>
      </w:r>
      <w:r w:rsidRPr="004F036D">
        <w:rPr>
          <w:rFonts w:ascii="Arial" w:hAnsi="Arial" w:cs="Arial"/>
          <w:b/>
          <w:color w:val="auto"/>
          <w:w w:val="85"/>
          <w:szCs w:val="20"/>
        </w:rPr>
        <w:t>Socioeconomic</w:t>
      </w:r>
      <w:r w:rsidRPr="004F036D">
        <w:rPr>
          <w:rFonts w:ascii="Arial" w:hAnsi="Arial" w:cs="Arial"/>
          <w:b/>
          <w:color w:val="auto"/>
          <w:spacing w:val="3"/>
          <w:szCs w:val="20"/>
        </w:rPr>
        <w:t xml:space="preserve"> </w:t>
      </w:r>
      <w:r w:rsidRPr="004F036D">
        <w:rPr>
          <w:rFonts w:ascii="Arial" w:hAnsi="Arial" w:cs="Arial"/>
          <w:b/>
          <w:color w:val="auto"/>
          <w:w w:val="85"/>
          <w:szCs w:val="20"/>
        </w:rPr>
        <w:t>and</w:t>
      </w:r>
      <w:r w:rsidRPr="004F036D">
        <w:rPr>
          <w:rFonts w:ascii="Arial" w:hAnsi="Arial" w:cs="Arial"/>
          <w:b/>
          <w:color w:val="auto"/>
          <w:spacing w:val="4"/>
          <w:szCs w:val="20"/>
        </w:rPr>
        <w:t xml:space="preserve"> </w:t>
      </w:r>
      <w:r w:rsidRPr="004F036D">
        <w:rPr>
          <w:rFonts w:ascii="Arial" w:hAnsi="Arial" w:cs="Arial"/>
          <w:b/>
          <w:color w:val="auto"/>
          <w:w w:val="85"/>
          <w:szCs w:val="20"/>
        </w:rPr>
        <w:t>demographic</w:t>
      </w:r>
      <w:r w:rsidRPr="004F036D">
        <w:rPr>
          <w:rFonts w:ascii="Arial" w:hAnsi="Arial" w:cs="Arial"/>
          <w:b/>
          <w:color w:val="auto"/>
          <w:spacing w:val="2"/>
          <w:szCs w:val="20"/>
        </w:rPr>
        <w:t xml:space="preserve"> </w:t>
      </w:r>
      <w:r w:rsidRPr="004F036D">
        <w:rPr>
          <w:rFonts w:ascii="Arial" w:hAnsi="Arial" w:cs="Arial"/>
          <w:b/>
          <w:color w:val="auto"/>
          <w:w w:val="85"/>
          <w:szCs w:val="20"/>
        </w:rPr>
        <w:t>characteristic</w:t>
      </w:r>
      <w:r w:rsidRPr="004F036D">
        <w:rPr>
          <w:rFonts w:ascii="Arial" w:hAnsi="Arial" w:cs="Arial"/>
          <w:b/>
          <w:color w:val="auto"/>
          <w:spacing w:val="4"/>
          <w:szCs w:val="20"/>
        </w:rPr>
        <w:t xml:space="preserve"> </w:t>
      </w:r>
      <w:r w:rsidRPr="004F036D">
        <w:rPr>
          <w:rFonts w:ascii="Arial" w:hAnsi="Arial" w:cs="Arial"/>
          <w:b/>
          <w:color w:val="auto"/>
          <w:w w:val="85"/>
          <w:szCs w:val="20"/>
        </w:rPr>
        <w:t>distribution</w:t>
      </w:r>
      <w:r w:rsidRPr="004F036D">
        <w:rPr>
          <w:rFonts w:ascii="Arial" w:hAnsi="Arial" w:cs="Arial"/>
          <w:b/>
          <w:color w:val="auto"/>
          <w:spacing w:val="4"/>
          <w:szCs w:val="20"/>
        </w:rPr>
        <w:t xml:space="preserve"> </w:t>
      </w:r>
      <w:r w:rsidRPr="004F036D">
        <w:rPr>
          <w:rFonts w:ascii="Arial" w:hAnsi="Arial" w:cs="Arial"/>
          <w:b/>
          <w:color w:val="auto"/>
          <w:w w:val="85"/>
          <w:szCs w:val="20"/>
        </w:rPr>
        <w:t>of</w:t>
      </w:r>
      <w:r w:rsidRPr="004F036D">
        <w:rPr>
          <w:rFonts w:ascii="Arial" w:hAnsi="Arial" w:cs="Arial"/>
          <w:b/>
          <w:color w:val="auto"/>
          <w:spacing w:val="3"/>
          <w:szCs w:val="20"/>
        </w:rPr>
        <w:t xml:space="preserve"> </w:t>
      </w:r>
      <w:r w:rsidRPr="004F036D">
        <w:rPr>
          <w:rFonts w:ascii="Arial" w:hAnsi="Arial" w:cs="Arial"/>
          <w:b/>
          <w:color w:val="auto"/>
          <w:w w:val="85"/>
          <w:szCs w:val="20"/>
        </w:rPr>
        <w:t>the</w:t>
      </w:r>
      <w:r w:rsidRPr="004F036D">
        <w:rPr>
          <w:rFonts w:ascii="Arial" w:hAnsi="Arial" w:cs="Arial"/>
          <w:b/>
          <w:color w:val="auto"/>
          <w:spacing w:val="2"/>
          <w:szCs w:val="20"/>
        </w:rPr>
        <w:t xml:space="preserve"> </w:t>
      </w:r>
      <w:r w:rsidRPr="004F036D">
        <w:rPr>
          <w:rFonts w:ascii="Arial" w:hAnsi="Arial" w:cs="Arial"/>
          <w:b/>
          <w:color w:val="auto"/>
          <w:spacing w:val="-2"/>
          <w:w w:val="85"/>
          <w:szCs w:val="20"/>
        </w:rPr>
        <w:t>respondents.</w:t>
      </w:r>
    </w:p>
    <w:tbl>
      <w:tblPr>
        <w:tblW w:w="5000" w:type="pct"/>
        <w:tblCellMar>
          <w:left w:w="0" w:type="dxa"/>
          <w:right w:w="0" w:type="dxa"/>
        </w:tblCellMar>
        <w:tblLook w:val="01E0" w:firstRow="1" w:lastRow="1" w:firstColumn="1" w:lastColumn="1" w:noHBand="0" w:noVBand="0"/>
      </w:tblPr>
      <w:tblGrid>
        <w:gridCol w:w="2286"/>
        <w:gridCol w:w="2265"/>
        <w:gridCol w:w="2328"/>
        <w:gridCol w:w="2151"/>
      </w:tblGrid>
      <w:tr w:rsidR="00D75D22" w:rsidRPr="00794028" w14:paraId="7E58C5EC" w14:textId="77777777" w:rsidTr="00794028">
        <w:trPr>
          <w:trHeight w:val="717"/>
        </w:trPr>
        <w:tc>
          <w:tcPr>
            <w:tcW w:w="1266" w:type="pct"/>
            <w:tcBorders>
              <w:top w:val="single" w:sz="4" w:space="0" w:color="10137D"/>
              <w:bottom w:val="single" w:sz="4" w:space="0" w:color="10137D"/>
            </w:tcBorders>
          </w:tcPr>
          <w:p w14:paraId="7E58C5E5" w14:textId="77777777" w:rsidR="00C14BBF" w:rsidRPr="00794028" w:rsidRDefault="00C14BBF" w:rsidP="00794028">
            <w:pPr>
              <w:pStyle w:val="TableParagraph"/>
              <w:spacing w:line="360" w:lineRule="auto"/>
              <w:rPr>
                <w:rFonts w:ascii="Arial" w:hAnsi="Arial" w:cs="Arial"/>
                <w:sz w:val="20"/>
                <w:szCs w:val="20"/>
              </w:rPr>
            </w:pPr>
          </w:p>
        </w:tc>
        <w:tc>
          <w:tcPr>
            <w:tcW w:w="1254" w:type="pct"/>
            <w:tcBorders>
              <w:top w:val="single" w:sz="4" w:space="0" w:color="10137D"/>
              <w:bottom w:val="single" w:sz="4" w:space="0" w:color="10137D"/>
            </w:tcBorders>
          </w:tcPr>
          <w:p w14:paraId="7E58C5E6" w14:textId="77777777" w:rsidR="00C14BBF" w:rsidRPr="00794028" w:rsidRDefault="00C14BBF" w:rsidP="00794028">
            <w:pPr>
              <w:pStyle w:val="TableParagraph"/>
              <w:spacing w:before="29" w:line="360" w:lineRule="auto"/>
              <w:ind w:left="1" w:right="1"/>
              <w:rPr>
                <w:rFonts w:ascii="Arial" w:hAnsi="Arial" w:cs="Arial"/>
                <w:sz w:val="20"/>
                <w:szCs w:val="20"/>
              </w:rPr>
            </w:pPr>
            <w:r w:rsidRPr="00794028">
              <w:rPr>
                <w:rFonts w:ascii="Arial" w:hAnsi="Arial" w:cs="Arial"/>
                <w:w w:val="90"/>
                <w:sz w:val="20"/>
                <w:szCs w:val="20"/>
              </w:rPr>
              <w:t>High</w:t>
            </w:r>
            <w:r w:rsidRPr="00794028">
              <w:rPr>
                <w:rFonts w:ascii="Arial" w:hAnsi="Arial" w:cs="Arial"/>
                <w:spacing w:val="1"/>
                <w:sz w:val="20"/>
                <w:szCs w:val="20"/>
              </w:rPr>
              <w:t xml:space="preserve"> </w:t>
            </w:r>
            <w:r w:rsidRPr="00794028">
              <w:rPr>
                <w:rFonts w:ascii="Arial" w:hAnsi="Arial" w:cs="Arial"/>
                <w:spacing w:val="-2"/>
                <w:sz w:val="20"/>
                <w:szCs w:val="20"/>
              </w:rPr>
              <w:t>density</w:t>
            </w:r>
          </w:p>
          <w:p w14:paraId="7E58C5E7"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10"/>
                <w:w w:val="125"/>
                <w:sz w:val="20"/>
                <w:szCs w:val="20"/>
              </w:rPr>
              <w:t>%</w:t>
            </w:r>
          </w:p>
        </w:tc>
        <w:tc>
          <w:tcPr>
            <w:tcW w:w="1289" w:type="pct"/>
            <w:tcBorders>
              <w:top w:val="single" w:sz="4" w:space="0" w:color="10137D"/>
              <w:bottom w:val="single" w:sz="4" w:space="0" w:color="10137D"/>
            </w:tcBorders>
          </w:tcPr>
          <w:p w14:paraId="7E58C5E8" w14:textId="77777777" w:rsidR="00C14BBF" w:rsidRPr="00794028" w:rsidRDefault="00C14BBF" w:rsidP="00794028">
            <w:pPr>
              <w:pStyle w:val="TableParagraph"/>
              <w:spacing w:before="29" w:line="360" w:lineRule="auto"/>
              <w:ind w:left="1" w:right="1"/>
              <w:rPr>
                <w:rFonts w:ascii="Arial" w:hAnsi="Arial" w:cs="Arial"/>
                <w:sz w:val="20"/>
                <w:szCs w:val="20"/>
              </w:rPr>
            </w:pPr>
            <w:r w:rsidRPr="00794028">
              <w:rPr>
                <w:rFonts w:ascii="Arial" w:hAnsi="Arial" w:cs="Arial"/>
                <w:w w:val="90"/>
                <w:sz w:val="20"/>
                <w:szCs w:val="20"/>
              </w:rPr>
              <w:t>Medium</w:t>
            </w:r>
            <w:r w:rsidRPr="00794028">
              <w:rPr>
                <w:rFonts w:ascii="Arial" w:hAnsi="Arial" w:cs="Arial"/>
                <w:spacing w:val="7"/>
                <w:sz w:val="20"/>
                <w:szCs w:val="20"/>
              </w:rPr>
              <w:t xml:space="preserve"> </w:t>
            </w:r>
            <w:r w:rsidRPr="00794028">
              <w:rPr>
                <w:rFonts w:ascii="Arial" w:hAnsi="Arial" w:cs="Arial"/>
                <w:spacing w:val="-2"/>
                <w:sz w:val="20"/>
                <w:szCs w:val="20"/>
              </w:rPr>
              <w:t>density</w:t>
            </w:r>
          </w:p>
          <w:p w14:paraId="7E58C5E9"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10"/>
                <w:w w:val="125"/>
                <w:sz w:val="20"/>
                <w:szCs w:val="20"/>
              </w:rPr>
              <w:t>%</w:t>
            </w:r>
          </w:p>
        </w:tc>
        <w:tc>
          <w:tcPr>
            <w:tcW w:w="1192" w:type="pct"/>
            <w:tcBorders>
              <w:top w:val="single" w:sz="4" w:space="0" w:color="10137D"/>
              <w:bottom w:val="single" w:sz="4" w:space="0" w:color="10137D"/>
            </w:tcBorders>
          </w:tcPr>
          <w:p w14:paraId="7E58C5EA" w14:textId="77777777" w:rsidR="00C14BBF" w:rsidRPr="00794028" w:rsidRDefault="00C14BBF" w:rsidP="00794028">
            <w:pPr>
              <w:pStyle w:val="TableParagraph"/>
              <w:spacing w:before="29" w:line="360" w:lineRule="auto"/>
              <w:ind w:left="1" w:right="1"/>
              <w:rPr>
                <w:rFonts w:ascii="Arial" w:hAnsi="Arial" w:cs="Arial"/>
                <w:sz w:val="20"/>
                <w:szCs w:val="20"/>
              </w:rPr>
            </w:pPr>
            <w:r w:rsidRPr="00794028">
              <w:rPr>
                <w:rFonts w:ascii="Arial" w:hAnsi="Arial" w:cs="Arial"/>
                <w:w w:val="90"/>
                <w:sz w:val="20"/>
                <w:szCs w:val="20"/>
              </w:rPr>
              <w:t>Low</w:t>
            </w:r>
            <w:r w:rsidRPr="00794028">
              <w:rPr>
                <w:rFonts w:ascii="Arial" w:hAnsi="Arial" w:cs="Arial"/>
                <w:spacing w:val="-4"/>
                <w:sz w:val="20"/>
                <w:szCs w:val="20"/>
              </w:rPr>
              <w:t xml:space="preserve"> </w:t>
            </w:r>
            <w:r w:rsidRPr="00794028">
              <w:rPr>
                <w:rFonts w:ascii="Arial" w:hAnsi="Arial" w:cs="Arial"/>
                <w:spacing w:val="-2"/>
                <w:sz w:val="20"/>
                <w:szCs w:val="20"/>
              </w:rPr>
              <w:t>density</w:t>
            </w:r>
          </w:p>
          <w:p w14:paraId="7E58C5EB"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10"/>
                <w:w w:val="125"/>
                <w:sz w:val="20"/>
                <w:szCs w:val="20"/>
              </w:rPr>
              <w:t>%</w:t>
            </w:r>
          </w:p>
        </w:tc>
      </w:tr>
      <w:tr w:rsidR="00D75D22" w:rsidRPr="00794028" w14:paraId="7E58C5F5" w14:textId="77777777" w:rsidTr="00794028">
        <w:trPr>
          <w:trHeight w:val="658"/>
        </w:trPr>
        <w:tc>
          <w:tcPr>
            <w:tcW w:w="1266" w:type="pct"/>
            <w:tcBorders>
              <w:top w:val="single" w:sz="4" w:space="0" w:color="10137D"/>
            </w:tcBorders>
          </w:tcPr>
          <w:p w14:paraId="7E58C5ED" w14:textId="77777777" w:rsidR="00C14BBF" w:rsidRPr="00794028" w:rsidRDefault="00C14BBF" w:rsidP="00794028">
            <w:pPr>
              <w:pStyle w:val="TableParagraph"/>
              <w:spacing w:before="17" w:line="360" w:lineRule="auto"/>
              <w:ind w:left="80"/>
              <w:rPr>
                <w:rFonts w:ascii="Arial" w:hAnsi="Arial" w:cs="Arial"/>
                <w:b/>
                <w:sz w:val="20"/>
                <w:szCs w:val="20"/>
              </w:rPr>
            </w:pPr>
            <w:r w:rsidRPr="00794028">
              <w:rPr>
                <w:rFonts w:ascii="Arial" w:hAnsi="Arial" w:cs="Arial"/>
                <w:b/>
                <w:spacing w:val="-2"/>
                <w:w w:val="95"/>
                <w:sz w:val="20"/>
                <w:szCs w:val="20"/>
              </w:rPr>
              <w:t>Gender</w:t>
            </w:r>
          </w:p>
          <w:p w14:paraId="7E58C5EE"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w w:val="95"/>
                <w:sz w:val="20"/>
                <w:szCs w:val="20"/>
              </w:rPr>
              <w:t>Female</w:t>
            </w:r>
          </w:p>
        </w:tc>
        <w:tc>
          <w:tcPr>
            <w:tcW w:w="1254" w:type="pct"/>
            <w:tcBorders>
              <w:top w:val="single" w:sz="4" w:space="0" w:color="10137D"/>
            </w:tcBorders>
          </w:tcPr>
          <w:p w14:paraId="7E58C5EF" w14:textId="77777777" w:rsidR="00C14BBF" w:rsidRPr="00794028" w:rsidRDefault="00C14BBF" w:rsidP="00794028">
            <w:pPr>
              <w:pStyle w:val="TableParagraph"/>
              <w:spacing w:before="12" w:line="360" w:lineRule="auto"/>
              <w:rPr>
                <w:rFonts w:ascii="Arial" w:hAnsi="Arial" w:cs="Arial"/>
                <w:sz w:val="20"/>
                <w:szCs w:val="20"/>
              </w:rPr>
            </w:pPr>
          </w:p>
          <w:p w14:paraId="7E58C5F0"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70.4</w:t>
            </w:r>
          </w:p>
        </w:tc>
        <w:tc>
          <w:tcPr>
            <w:tcW w:w="1289" w:type="pct"/>
            <w:tcBorders>
              <w:top w:val="single" w:sz="4" w:space="0" w:color="10137D"/>
            </w:tcBorders>
          </w:tcPr>
          <w:p w14:paraId="7E58C5F1" w14:textId="77777777" w:rsidR="00C14BBF" w:rsidRPr="00794028" w:rsidRDefault="00C14BBF" w:rsidP="00794028">
            <w:pPr>
              <w:pStyle w:val="TableParagraph"/>
              <w:spacing w:before="12" w:line="360" w:lineRule="auto"/>
              <w:rPr>
                <w:rFonts w:ascii="Arial" w:hAnsi="Arial" w:cs="Arial"/>
                <w:sz w:val="20"/>
                <w:szCs w:val="20"/>
              </w:rPr>
            </w:pPr>
          </w:p>
          <w:p w14:paraId="7E58C5F2"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73.4</w:t>
            </w:r>
          </w:p>
        </w:tc>
        <w:tc>
          <w:tcPr>
            <w:tcW w:w="1192" w:type="pct"/>
            <w:tcBorders>
              <w:top w:val="single" w:sz="4" w:space="0" w:color="10137D"/>
            </w:tcBorders>
          </w:tcPr>
          <w:p w14:paraId="7E58C5F3" w14:textId="77777777" w:rsidR="00C14BBF" w:rsidRPr="00794028" w:rsidRDefault="00C14BBF" w:rsidP="00794028">
            <w:pPr>
              <w:pStyle w:val="TableParagraph"/>
              <w:spacing w:before="12" w:line="360" w:lineRule="auto"/>
              <w:rPr>
                <w:rFonts w:ascii="Arial" w:hAnsi="Arial" w:cs="Arial"/>
                <w:sz w:val="20"/>
                <w:szCs w:val="20"/>
              </w:rPr>
            </w:pPr>
          </w:p>
          <w:p w14:paraId="7E58C5F4"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62.2</w:t>
            </w:r>
          </w:p>
        </w:tc>
      </w:tr>
      <w:tr w:rsidR="00D75D22" w:rsidRPr="00794028" w14:paraId="7E58C5FA" w14:textId="77777777" w:rsidTr="00794028">
        <w:trPr>
          <w:trHeight w:val="353"/>
        </w:trPr>
        <w:tc>
          <w:tcPr>
            <w:tcW w:w="1266" w:type="pct"/>
          </w:tcPr>
          <w:p w14:paraId="7E58C5F6"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4"/>
                <w:sz w:val="20"/>
                <w:szCs w:val="20"/>
              </w:rPr>
              <w:t>Male</w:t>
            </w:r>
          </w:p>
        </w:tc>
        <w:tc>
          <w:tcPr>
            <w:tcW w:w="1254" w:type="pct"/>
          </w:tcPr>
          <w:p w14:paraId="7E58C5F7"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29.6</w:t>
            </w:r>
          </w:p>
        </w:tc>
        <w:tc>
          <w:tcPr>
            <w:tcW w:w="1289" w:type="pct"/>
          </w:tcPr>
          <w:p w14:paraId="7E58C5F8"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26.6</w:t>
            </w:r>
          </w:p>
        </w:tc>
        <w:tc>
          <w:tcPr>
            <w:tcW w:w="1192" w:type="pct"/>
          </w:tcPr>
          <w:p w14:paraId="7E58C5F9"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37.8</w:t>
            </w:r>
          </w:p>
        </w:tc>
      </w:tr>
      <w:tr w:rsidR="00D75D22" w:rsidRPr="00794028" w14:paraId="7E58C603" w14:textId="77777777" w:rsidTr="00794028">
        <w:trPr>
          <w:trHeight w:val="667"/>
        </w:trPr>
        <w:tc>
          <w:tcPr>
            <w:tcW w:w="1266" w:type="pct"/>
          </w:tcPr>
          <w:p w14:paraId="7E58C5FB" w14:textId="77777777" w:rsidR="00C14BBF" w:rsidRPr="00794028" w:rsidRDefault="00C14BBF" w:rsidP="00794028">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Age</w:t>
            </w:r>
            <w:r w:rsidRPr="00794028">
              <w:rPr>
                <w:rFonts w:ascii="Arial" w:hAnsi="Arial" w:cs="Arial"/>
                <w:b/>
                <w:spacing w:val="3"/>
                <w:sz w:val="20"/>
                <w:szCs w:val="20"/>
              </w:rPr>
              <w:t xml:space="preserve"> </w:t>
            </w:r>
            <w:r w:rsidRPr="00794028">
              <w:rPr>
                <w:rFonts w:ascii="Arial" w:hAnsi="Arial" w:cs="Arial"/>
                <w:b/>
                <w:spacing w:val="-2"/>
                <w:sz w:val="20"/>
                <w:szCs w:val="20"/>
              </w:rPr>
              <w:t>group</w:t>
            </w:r>
          </w:p>
          <w:p w14:paraId="7E58C5FC"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sz w:val="20"/>
                <w:szCs w:val="20"/>
              </w:rPr>
              <w:t>19–30</w:t>
            </w:r>
          </w:p>
        </w:tc>
        <w:tc>
          <w:tcPr>
            <w:tcW w:w="1254" w:type="pct"/>
          </w:tcPr>
          <w:p w14:paraId="7E58C5FD" w14:textId="77777777" w:rsidR="00C14BBF" w:rsidRPr="00794028" w:rsidRDefault="00C14BBF" w:rsidP="00794028">
            <w:pPr>
              <w:pStyle w:val="TableParagraph"/>
              <w:spacing w:before="15" w:line="360" w:lineRule="auto"/>
              <w:rPr>
                <w:rFonts w:ascii="Arial" w:hAnsi="Arial" w:cs="Arial"/>
                <w:sz w:val="20"/>
                <w:szCs w:val="20"/>
              </w:rPr>
            </w:pPr>
          </w:p>
          <w:p w14:paraId="7E58C5FE" w14:textId="77777777" w:rsidR="00C14BBF" w:rsidRPr="00794028" w:rsidRDefault="00C14BBF" w:rsidP="00794028">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14.0</w:t>
            </w:r>
          </w:p>
        </w:tc>
        <w:tc>
          <w:tcPr>
            <w:tcW w:w="1289" w:type="pct"/>
          </w:tcPr>
          <w:p w14:paraId="7E58C5FF" w14:textId="77777777" w:rsidR="00C14BBF" w:rsidRPr="00794028" w:rsidRDefault="00C14BBF" w:rsidP="00794028">
            <w:pPr>
              <w:pStyle w:val="TableParagraph"/>
              <w:spacing w:before="15" w:line="360" w:lineRule="auto"/>
              <w:rPr>
                <w:rFonts w:ascii="Arial" w:hAnsi="Arial" w:cs="Arial"/>
                <w:sz w:val="20"/>
                <w:szCs w:val="20"/>
              </w:rPr>
            </w:pPr>
          </w:p>
          <w:p w14:paraId="7E58C600" w14:textId="77777777" w:rsidR="00C14BBF" w:rsidRPr="00794028" w:rsidRDefault="00C14BBF" w:rsidP="00794028">
            <w:pPr>
              <w:pStyle w:val="TableParagraph"/>
              <w:spacing w:before="1" w:line="360" w:lineRule="auto"/>
              <w:ind w:left="1" w:right="1"/>
              <w:rPr>
                <w:rFonts w:ascii="Arial" w:hAnsi="Arial" w:cs="Arial"/>
                <w:sz w:val="20"/>
                <w:szCs w:val="20"/>
              </w:rPr>
            </w:pPr>
            <w:r w:rsidRPr="00794028">
              <w:rPr>
                <w:rFonts w:ascii="Arial" w:hAnsi="Arial" w:cs="Arial"/>
                <w:spacing w:val="-5"/>
                <w:w w:val="90"/>
                <w:sz w:val="20"/>
                <w:szCs w:val="20"/>
              </w:rPr>
              <w:t>5.3</w:t>
            </w:r>
          </w:p>
        </w:tc>
        <w:tc>
          <w:tcPr>
            <w:tcW w:w="1192" w:type="pct"/>
          </w:tcPr>
          <w:p w14:paraId="7E58C601" w14:textId="77777777" w:rsidR="00C14BBF" w:rsidRPr="00794028" w:rsidRDefault="00C14BBF" w:rsidP="00794028">
            <w:pPr>
              <w:pStyle w:val="TableParagraph"/>
              <w:spacing w:before="15" w:line="360" w:lineRule="auto"/>
              <w:rPr>
                <w:rFonts w:ascii="Arial" w:hAnsi="Arial" w:cs="Arial"/>
                <w:sz w:val="20"/>
                <w:szCs w:val="20"/>
              </w:rPr>
            </w:pPr>
          </w:p>
          <w:p w14:paraId="7E58C602" w14:textId="77777777" w:rsidR="00C14BBF" w:rsidRPr="00794028" w:rsidRDefault="00C14BBF" w:rsidP="00794028">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19.7</w:t>
            </w:r>
          </w:p>
        </w:tc>
      </w:tr>
      <w:tr w:rsidR="00D75D22" w:rsidRPr="00794028" w14:paraId="7E58C608" w14:textId="77777777" w:rsidTr="00794028">
        <w:trPr>
          <w:trHeight w:val="303"/>
        </w:trPr>
        <w:tc>
          <w:tcPr>
            <w:tcW w:w="1266" w:type="pct"/>
          </w:tcPr>
          <w:p w14:paraId="7E58C604"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sz w:val="20"/>
                <w:szCs w:val="20"/>
              </w:rPr>
              <w:t>31–55</w:t>
            </w:r>
          </w:p>
        </w:tc>
        <w:tc>
          <w:tcPr>
            <w:tcW w:w="1254" w:type="pct"/>
          </w:tcPr>
          <w:p w14:paraId="7E58C605"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72.9</w:t>
            </w:r>
          </w:p>
        </w:tc>
        <w:tc>
          <w:tcPr>
            <w:tcW w:w="1289" w:type="pct"/>
          </w:tcPr>
          <w:p w14:paraId="7E58C606"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73.4</w:t>
            </w:r>
          </w:p>
        </w:tc>
        <w:tc>
          <w:tcPr>
            <w:tcW w:w="1192" w:type="pct"/>
          </w:tcPr>
          <w:p w14:paraId="7E58C607"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57.4</w:t>
            </w:r>
          </w:p>
        </w:tc>
      </w:tr>
      <w:tr w:rsidR="00D75D22" w:rsidRPr="00794028" w14:paraId="7E58C60D" w14:textId="77777777" w:rsidTr="00794028">
        <w:trPr>
          <w:trHeight w:val="353"/>
        </w:trPr>
        <w:tc>
          <w:tcPr>
            <w:tcW w:w="1266" w:type="pct"/>
          </w:tcPr>
          <w:p w14:paraId="7E58C609"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sz w:val="20"/>
                <w:szCs w:val="20"/>
              </w:rPr>
              <w:t>56–65</w:t>
            </w:r>
          </w:p>
        </w:tc>
        <w:tc>
          <w:tcPr>
            <w:tcW w:w="1254" w:type="pct"/>
          </w:tcPr>
          <w:p w14:paraId="7E58C60A"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13.1</w:t>
            </w:r>
          </w:p>
        </w:tc>
        <w:tc>
          <w:tcPr>
            <w:tcW w:w="1289" w:type="pct"/>
          </w:tcPr>
          <w:p w14:paraId="7E58C60B"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21.3</w:t>
            </w:r>
          </w:p>
        </w:tc>
        <w:tc>
          <w:tcPr>
            <w:tcW w:w="1192" w:type="pct"/>
          </w:tcPr>
          <w:p w14:paraId="7E58C60C"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23.0</w:t>
            </w:r>
          </w:p>
        </w:tc>
      </w:tr>
      <w:tr w:rsidR="00D75D22" w:rsidRPr="00794028" w14:paraId="7E58C616" w14:textId="77777777" w:rsidTr="00794028">
        <w:trPr>
          <w:trHeight w:val="666"/>
        </w:trPr>
        <w:tc>
          <w:tcPr>
            <w:tcW w:w="1266" w:type="pct"/>
          </w:tcPr>
          <w:p w14:paraId="7E58C60E" w14:textId="77777777" w:rsidR="00C14BBF" w:rsidRPr="00794028" w:rsidRDefault="00C14BBF" w:rsidP="00794028">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Income</w:t>
            </w:r>
            <w:r w:rsidRPr="00794028">
              <w:rPr>
                <w:rFonts w:ascii="Arial" w:hAnsi="Arial" w:cs="Arial"/>
                <w:b/>
                <w:spacing w:val="11"/>
                <w:sz w:val="20"/>
                <w:szCs w:val="20"/>
              </w:rPr>
              <w:t xml:space="preserve"> </w:t>
            </w:r>
            <w:r w:rsidRPr="00794028">
              <w:rPr>
                <w:rFonts w:ascii="Arial" w:hAnsi="Arial" w:cs="Arial"/>
                <w:b/>
                <w:spacing w:val="-2"/>
                <w:sz w:val="20"/>
                <w:szCs w:val="20"/>
              </w:rPr>
              <w:t>group</w:t>
            </w:r>
          </w:p>
          <w:p w14:paraId="7E58C60F"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w w:val="90"/>
                <w:sz w:val="20"/>
                <w:szCs w:val="20"/>
              </w:rPr>
              <w:t>Less</w:t>
            </w:r>
            <w:r w:rsidRPr="00794028">
              <w:rPr>
                <w:rFonts w:ascii="Arial" w:hAnsi="Arial" w:cs="Arial"/>
                <w:spacing w:val="-3"/>
                <w:w w:val="90"/>
                <w:sz w:val="20"/>
                <w:szCs w:val="20"/>
              </w:rPr>
              <w:t xml:space="preserve"> </w:t>
            </w:r>
            <w:r w:rsidRPr="00794028">
              <w:rPr>
                <w:rFonts w:ascii="Arial" w:hAnsi="Arial" w:cs="Arial"/>
                <w:w w:val="90"/>
                <w:sz w:val="20"/>
                <w:szCs w:val="20"/>
              </w:rPr>
              <w:t>than</w:t>
            </w:r>
            <w:r w:rsidRPr="00794028">
              <w:rPr>
                <w:rFonts w:ascii="Arial" w:hAnsi="Arial" w:cs="Arial"/>
                <w:spacing w:val="-3"/>
                <w:w w:val="90"/>
                <w:sz w:val="20"/>
                <w:szCs w:val="20"/>
              </w:rPr>
              <w:t xml:space="preserve"> </w:t>
            </w:r>
            <w:r w:rsidRPr="00794028">
              <w:rPr>
                <w:rFonts w:ascii="Arial" w:hAnsi="Arial" w:cs="Arial"/>
                <w:w w:val="90"/>
                <w:sz w:val="20"/>
                <w:szCs w:val="20"/>
              </w:rPr>
              <w:t>N</w:t>
            </w:r>
            <w:r w:rsidRPr="00794028">
              <w:rPr>
                <w:rFonts w:ascii="Arial" w:hAnsi="Arial" w:cs="Arial"/>
                <w:spacing w:val="-3"/>
                <w:w w:val="90"/>
                <w:sz w:val="20"/>
                <w:szCs w:val="20"/>
              </w:rPr>
              <w:t xml:space="preserve"> </w:t>
            </w:r>
            <w:r w:rsidRPr="00794028">
              <w:rPr>
                <w:rFonts w:ascii="Arial" w:hAnsi="Arial" w:cs="Arial"/>
                <w:spacing w:val="-2"/>
                <w:w w:val="90"/>
                <w:sz w:val="20"/>
                <w:szCs w:val="20"/>
              </w:rPr>
              <w:t>30,000</w:t>
            </w:r>
          </w:p>
        </w:tc>
        <w:tc>
          <w:tcPr>
            <w:tcW w:w="1254" w:type="pct"/>
          </w:tcPr>
          <w:p w14:paraId="7E58C610" w14:textId="77777777" w:rsidR="00C14BBF" w:rsidRPr="00794028" w:rsidRDefault="00C14BBF" w:rsidP="00794028">
            <w:pPr>
              <w:pStyle w:val="TableParagraph"/>
              <w:spacing w:before="15" w:line="360" w:lineRule="auto"/>
              <w:rPr>
                <w:rFonts w:ascii="Arial" w:hAnsi="Arial" w:cs="Arial"/>
                <w:sz w:val="20"/>
                <w:szCs w:val="20"/>
              </w:rPr>
            </w:pPr>
          </w:p>
          <w:p w14:paraId="7E58C611" w14:textId="77777777" w:rsidR="00C14BBF" w:rsidRPr="00794028" w:rsidRDefault="00C14BBF" w:rsidP="00794028">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34.5</w:t>
            </w:r>
          </w:p>
        </w:tc>
        <w:tc>
          <w:tcPr>
            <w:tcW w:w="1289" w:type="pct"/>
          </w:tcPr>
          <w:p w14:paraId="7E58C612" w14:textId="77777777" w:rsidR="00C14BBF" w:rsidRPr="00794028" w:rsidRDefault="00C14BBF" w:rsidP="00794028">
            <w:pPr>
              <w:pStyle w:val="TableParagraph"/>
              <w:spacing w:before="15" w:line="360" w:lineRule="auto"/>
              <w:rPr>
                <w:rFonts w:ascii="Arial" w:hAnsi="Arial" w:cs="Arial"/>
                <w:sz w:val="20"/>
                <w:szCs w:val="20"/>
              </w:rPr>
            </w:pPr>
          </w:p>
          <w:p w14:paraId="7E58C613" w14:textId="77777777" w:rsidR="00C14BBF" w:rsidRPr="00794028" w:rsidRDefault="00C14BBF" w:rsidP="00794028">
            <w:pPr>
              <w:pStyle w:val="TableParagraph"/>
              <w:spacing w:before="1" w:line="360" w:lineRule="auto"/>
              <w:ind w:left="1" w:right="1"/>
              <w:rPr>
                <w:rFonts w:ascii="Arial" w:hAnsi="Arial" w:cs="Arial"/>
                <w:sz w:val="20"/>
                <w:szCs w:val="20"/>
              </w:rPr>
            </w:pPr>
            <w:r w:rsidRPr="00794028">
              <w:rPr>
                <w:rFonts w:ascii="Arial" w:hAnsi="Arial" w:cs="Arial"/>
                <w:spacing w:val="-5"/>
                <w:w w:val="90"/>
                <w:sz w:val="20"/>
                <w:szCs w:val="20"/>
              </w:rPr>
              <w:t>8.5</w:t>
            </w:r>
          </w:p>
        </w:tc>
        <w:tc>
          <w:tcPr>
            <w:tcW w:w="1192" w:type="pct"/>
          </w:tcPr>
          <w:p w14:paraId="7E58C614" w14:textId="77777777" w:rsidR="00C14BBF" w:rsidRPr="00794028" w:rsidRDefault="00C14BBF" w:rsidP="00794028">
            <w:pPr>
              <w:pStyle w:val="TableParagraph"/>
              <w:spacing w:before="15" w:line="360" w:lineRule="auto"/>
              <w:rPr>
                <w:rFonts w:ascii="Arial" w:hAnsi="Arial" w:cs="Arial"/>
                <w:sz w:val="20"/>
                <w:szCs w:val="20"/>
              </w:rPr>
            </w:pPr>
          </w:p>
          <w:p w14:paraId="7E58C615" w14:textId="77777777" w:rsidR="00C14BBF" w:rsidRPr="00794028" w:rsidRDefault="00C14BBF" w:rsidP="00794028">
            <w:pPr>
              <w:pStyle w:val="TableParagraph"/>
              <w:spacing w:before="1" w:line="360" w:lineRule="auto"/>
              <w:ind w:left="1" w:right="1"/>
              <w:rPr>
                <w:rFonts w:ascii="Arial" w:hAnsi="Arial" w:cs="Arial"/>
                <w:sz w:val="20"/>
                <w:szCs w:val="20"/>
              </w:rPr>
            </w:pPr>
            <w:r w:rsidRPr="00794028">
              <w:rPr>
                <w:rFonts w:ascii="Arial" w:hAnsi="Arial" w:cs="Arial"/>
                <w:spacing w:val="-5"/>
                <w:w w:val="90"/>
                <w:sz w:val="20"/>
                <w:szCs w:val="20"/>
              </w:rPr>
              <w:t>3.5</w:t>
            </w:r>
          </w:p>
        </w:tc>
      </w:tr>
      <w:tr w:rsidR="00D75D22" w:rsidRPr="00794028" w14:paraId="7E58C61B" w14:textId="77777777" w:rsidTr="00794028">
        <w:trPr>
          <w:trHeight w:val="303"/>
        </w:trPr>
        <w:tc>
          <w:tcPr>
            <w:tcW w:w="1266" w:type="pct"/>
          </w:tcPr>
          <w:p w14:paraId="7E58C617"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w w:val="85"/>
                <w:sz w:val="20"/>
                <w:szCs w:val="20"/>
              </w:rPr>
              <w:t>N30,</w:t>
            </w:r>
            <w:r w:rsidRPr="00794028">
              <w:rPr>
                <w:rFonts w:ascii="Arial" w:hAnsi="Arial" w:cs="Arial"/>
                <w:spacing w:val="-2"/>
                <w:w w:val="95"/>
                <w:sz w:val="20"/>
                <w:szCs w:val="20"/>
              </w:rPr>
              <w:t xml:space="preserve"> 000–150,000</w:t>
            </w:r>
          </w:p>
        </w:tc>
        <w:tc>
          <w:tcPr>
            <w:tcW w:w="1254" w:type="pct"/>
          </w:tcPr>
          <w:p w14:paraId="7E58C618"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38.4</w:t>
            </w:r>
          </w:p>
        </w:tc>
        <w:tc>
          <w:tcPr>
            <w:tcW w:w="1289" w:type="pct"/>
          </w:tcPr>
          <w:p w14:paraId="7E58C619"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48.9</w:t>
            </w:r>
          </w:p>
        </w:tc>
        <w:tc>
          <w:tcPr>
            <w:tcW w:w="1192" w:type="pct"/>
          </w:tcPr>
          <w:p w14:paraId="7E58C61A"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17.5</w:t>
            </w:r>
          </w:p>
        </w:tc>
      </w:tr>
      <w:tr w:rsidR="00D75D22" w:rsidRPr="00794028" w14:paraId="7E58C620" w14:textId="77777777" w:rsidTr="00794028">
        <w:trPr>
          <w:trHeight w:val="353"/>
        </w:trPr>
        <w:tc>
          <w:tcPr>
            <w:tcW w:w="1266" w:type="pct"/>
          </w:tcPr>
          <w:p w14:paraId="7E58C61C"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w w:val="90"/>
                <w:sz w:val="20"/>
                <w:szCs w:val="20"/>
              </w:rPr>
              <w:t>Above</w:t>
            </w:r>
            <w:r w:rsidRPr="00794028">
              <w:rPr>
                <w:rFonts w:ascii="Arial" w:hAnsi="Arial" w:cs="Arial"/>
                <w:sz w:val="20"/>
                <w:szCs w:val="20"/>
              </w:rPr>
              <w:t xml:space="preserve"> </w:t>
            </w:r>
            <w:r w:rsidRPr="00794028">
              <w:rPr>
                <w:rFonts w:ascii="Arial" w:hAnsi="Arial" w:cs="Arial"/>
                <w:spacing w:val="-2"/>
                <w:sz w:val="20"/>
                <w:szCs w:val="20"/>
              </w:rPr>
              <w:t>N150,000</w:t>
            </w:r>
          </w:p>
        </w:tc>
        <w:tc>
          <w:tcPr>
            <w:tcW w:w="1254" w:type="pct"/>
          </w:tcPr>
          <w:p w14:paraId="7E58C61D"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27.1</w:t>
            </w:r>
          </w:p>
        </w:tc>
        <w:tc>
          <w:tcPr>
            <w:tcW w:w="1289" w:type="pct"/>
          </w:tcPr>
          <w:p w14:paraId="7E58C61E"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42.6</w:t>
            </w:r>
          </w:p>
        </w:tc>
        <w:tc>
          <w:tcPr>
            <w:tcW w:w="1192" w:type="pct"/>
          </w:tcPr>
          <w:p w14:paraId="7E58C61F"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79.0</w:t>
            </w:r>
          </w:p>
        </w:tc>
      </w:tr>
      <w:tr w:rsidR="00D75D22" w:rsidRPr="00794028" w14:paraId="7E58C629" w14:textId="77777777" w:rsidTr="00794028">
        <w:trPr>
          <w:trHeight w:val="666"/>
        </w:trPr>
        <w:tc>
          <w:tcPr>
            <w:tcW w:w="1266" w:type="pct"/>
          </w:tcPr>
          <w:p w14:paraId="7E58C621" w14:textId="77777777" w:rsidR="00C14BBF" w:rsidRPr="00794028" w:rsidRDefault="00C14BBF" w:rsidP="00794028">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Education</w:t>
            </w:r>
            <w:r w:rsidRPr="00794028">
              <w:rPr>
                <w:rFonts w:ascii="Arial" w:hAnsi="Arial" w:cs="Arial"/>
                <w:b/>
                <w:spacing w:val="7"/>
                <w:sz w:val="20"/>
                <w:szCs w:val="20"/>
              </w:rPr>
              <w:t xml:space="preserve"> </w:t>
            </w:r>
            <w:r w:rsidRPr="00794028">
              <w:rPr>
                <w:rFonts w:ascii="Arial" w:hAnsi="Arial" w:cs="Arial"/>
                <w:b/>
                <w:spacing w:val="-2"/>
                <w:w w:val="95"/>
                <w:sz w:val="20"/>
                <w:szCs w:val="20"/>
              </w:rPr>
              <w:t>status</w:t>
            </w:r>
          </w:p>
          <w:p w14:paraId="7E58C622"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w w:val="95"/>
                <w:sz w:val="20"/>
                <w:szCs w:val="20"/>
              </w:rPr>
              <w:t>Primary</w:t>
            </w:r>
          </w:p>
        </w:tc>
        <w:tc>
          <w:tcPr>
            <w:tcW w:w="1254" w:type="pct"/>
          </w:tcPr>
          <w:p w14:paraId="7E58C623" w14:textId="77777777" w:rsidR="00C14BBF" w:rsidRPr="00794028" w:rsidRDefault="00C14BBF" w:rsidP="00794028">
            <w:pPr>
              <w:pStyle w:val="TableParagraph"/>
              <w:spacing w:before="15" w:line="360" w:lineRule="auto"/>
              <w:rPr>
                <w:rFonts w:ascii="Arial" w:hAnsi="Arial" w:cs="Arial"/>
                <w:sz w:val="20"/>
                <w:szCs w:val="20"/>
              </w:rPr>
            </w:pPr>
          </w:p>
          <w:p w14:paraId="7E58C624" w14:textId="77777777" w:rsidR="00C14BBF" w:rsidRPr="00794028" w:rsidRDefault="00C14BBF" w:rsidP="00794028">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38.3</w:t>
            </w:r>
          </w:p>
        </w:tc>
        <w:tc>
          <w:tcPr>
            <w:tcW w:w="1289" w:type="pct"/>
          </w:tcPr>
          <w:p w14:paraId="7E58C625" w14:textId="77777777" w:rsidR="00C14BBF" w:rsidRPr="00794028" w:rsidRDefault="00C14BBF" w:rsidP="00794028">
            <w:pPr>
              <w:pStyle w:val="TableParagraph"/>
              <w:spacing w:before="15" w:line="360" w:lineRule="auto"/>
              <w:rPr>
                <w:rFonts w:ascii="Arial" w:hAnsi="Arial" w:cs="Arial"/>
                <w:sz w:val="20"/>
                <w:szCs w:val="20"/>
              </w:rPr>
            </w:pPr>
          </w:p>
          <w:p w14:paraId="7E58C626" w14:textId="77777777" w:rsidR="00C14BBF" w:rsidRPr="00794028" w:rsidRDefault="00C14BBF" w:rsidP="00794028">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21.6</w:t>
            </w:r>
          </w:p>
        </w:tc>
        <w:tc>
          <w:tcPr>
            <w:tcW w:w="1192" w:type="pct"/>
          </w:tcPr>
          <w:p w14:paraId="7E58C627" w14:textId="77777777" w:rsidR="00C14BBF" w:rsidRPr="00794028" w:rsidRDefault="00C14BBF" w:rsidP="00794028">
            <w:pPr>
              <w:pStyle w:val="TableParagraph"/>
              <w:spacing w:before="15" w:line="360" w:lineRule="auto"/>
              <w:rPr>
                <w:rFonts w:ascii="Arial" w:hAnsi="Arial" w:cs="Arial"/>
                <w:sz w:val="20"/>
                <w:szCs w:val="20"/>
              </w:rPr>
            </w:pPr>
          </w:p>
          <w:p w14:paraId="7E58C628" w14:textId="77777777" w:rsidR="00C14BBF" w:rsidRPr="00794028" w:rsidRDefault="00C14BBF" w:rsidP="00794028">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18.4</w:t>
            </w:r>
          </w:p>
        </w:tc>
      </w:tr>
      <w:tr w:rsidR="00D75D22" w:rsidRPr="00794028" w14:paraId="7E58C62E" w14:textId="77777777" w:rsidTr="00794028">
        <w:trPr>
          <w:trHeight w:val="303"/>
        </w:trPr>
        <w:tc>
          <w:tcPr>
            <w:tcW w:w="1266" w:type="pct"/>
          </w:tcPr>
          <w:p w14:paraId="7E58C62A"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sz w:val="20"/>
                <w:szCs w:val="20"/>
              </w:rPr>
              <w:t>Secondary</w:t>
            </w:r>
          </w:p>
        </w:tc>
        <w:tc>
          <w:tcPr>
            <w:tcW w:w="1254" w:type="pct"/>
          </w:tcPr>
          <w:p w14:paraId="7E58C62B"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46.1</w:t>
            </w:r>
          </w:p>
        </w:tc>
        <w:tc>
          <w:tcPr>
            <w:tcW w:w="1289" w:type="pct"/>
          </w:tcPr>
          <w:p w14:paraId="7E58C62C"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35.1</w:t>
            </w:r>
          </w:p>
        </w:tc>
        <w:tc>
          <w:tcPr>
            <w:tcW w:w="1192" w:type="pct"/>
          </w:tcPr>
          <w:p w14:paraId="7E58C62D"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28.9</w:t>
            </w:r>
          </w:p>
        </w:tc>
      </w:tr>
      <w:tr w:rsidR="00D75D22" w:rsidRPr="00794028" w14:paraId="7E58C633" w14:textId="77777777" w:rsidTr="00794028">
        <w:trPr>
          <w:trHeight w:val="353"/>
        </w:trPr>
        <w:tc>
          <w:tcPr>
            <w:tcW w:w="1266" w:type="pct"/>
          </w:tcPr>
          <w:p w14:paraId="7E58C62F"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w w:val="90"/>
                <w:sz w:val="20"/>
                <w:szCs w:val="20"/>
              </w:rPr>
              <w:t>Tertiary</w:t>
            </w:r>
          </w:p>
        </w:tc>
        <w:tc>
          <w:tcPr>
            <w:tcW w:w="1254" w:type="pct"/>
          </w:tcPr>
          <w:p w14:paraId="7E58C630"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15.6</w:t>
            </w:r>
          </w:p>
        </w:tc>
        <w:tc>
          <w:tcPr>
            <w:tcW w:w="1289" w:type="pct"/>
          </w:tcPr>
          <w:p w14:paraId="7E58C631"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43.3</w:t>
            </w:r>
          </w:p>
        </w:tc>
        <w:tc>
          <w:tcPr>
            <w:tcW w:w="1192" w:type="pct"/>
          </w:tcPr>
          <w:p w14:paraId="7E58C632"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52.7</w:t>
            </w:r>
          </w:p>
        </w:tc>
      </w:tr>
      <w:tr w:rsidR="00D75D22" w:rsidRPr="00794028" w14:paraId="7E58C63C" w14:textId="77777777" w:rsidTr="00794028">
        <w:trPr>
          <w:trHeight w:val="666"/>
        </w:trPr>
        <w:tc>
          <w:tcPr>
            <w:tcW w:w="1266" w:type="pct"/>
          </w:tcPr>
          <w:p w14:paraId="7E58C634" w14:textId="77777777" w:rsidR="00C14BBF" w:rsidRPr="00794028" w:rsidRDefault="00C14BBF" w:rsidP="00794028">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Household</w:t>
            </w:r>
            <w:r w:rsidRPr="00794028">
              <w:rPr>
                <w:rFonts w:ascii="Arial" w:hAnsi="Arial" w:cs="Arial"/>
                <w:b/>
                <w:spacing w:val="16"/>
                <w:sz w:val="20"/>
                <w:szCs w:val="20"/>
              </w:rPr>
              <w:t xml:space="preserve"> </w:t>
            </w:r>
            <w:r w:rsidRPr="00794028">
              <w:rPr>
                <w:rFonts w:ascii="Arial" w:hAnsi="Arial" w:cs="Arial"/>
                <w:b/>
                <w:spacing w:val="-4"/>
                <w:w w:val="95"/>
                <w:sz w:val="20"/>
                <w:szCs w:val="20"/>
              </w:rPr>
              <w:t>size</w:t>
            </w:r>
          </w:p>
          <w:p w14:paraId="7E58C635"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w w:val="85"/>
                <w:sz w:val="20"/>
                <w:szCs w:val="20"/>
              </w:rPr>
              <w:t>Small</w:t>
            </w:r>
            <w:r w:rsidRPr="00794028">
              <w:rPr>
                <w:rFonts w:ascii="Arial" w:hAnsi="Arial" w:cs="Arial"/>
                <w:spacing w:val="3"/>
                <w:sz w:val="20"/>
                <w:szCs w:val="20"/>
              </w:rPr>
              <w:t xml:space="preserve"> </w:t>
            </w:r>
            <w:r w:rsidRPr="00794028">
              <w:rPr>
                <w:rFonts w:ascii="Arial" w:hAnsi="Arial" w:cs="Arial"/>
                <w:spacing w:val="-4"/>
                <w:sz w:val="20"/>
                <w:szCs w:val="20"/>
              </w:rPr>
              <w:t>(≤6)</w:t>
            </w:r>
          </w:p>
        </w:tc>
        <w:tc>
          <w:tcPr>
            <w:tcW w:w="1254" w:type="pct"/>
          </w:tcPr>
          <w:p w14:paraId="7E58C636" w14:textId="77777777" w:rsidR="00C14BBF" w:rsidRPr="00794028" w:rsidRDefault="00C14BBF" w:rsidP="00794028">
            <w:pPr>
              <w:pStyle w:val="TableParagraph"/>
              <w:spacing w:before="15" w:line="360" w:lineRule="auto"/>
              <w:rPr>
                <w:rFonts w:ascii="Arial" w:hAnsi="Arial" w:cs="Arial"/>
                <w:sz w:val="20"/>
                <w:szCs w:val="20"/>
              </w:rPr>
            </w:pPr>
          </w:p>
          <w:p w14:paraId="7E58C637" w14:textId="77777777" w:rsidR="00C14BBF" w:rsidRPr="00794028" w:rsidRDefault="00C14BBF" w:rsidP="00794028">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33.7</w:t>
            </w:r>
          </w:p>
        </w:tc>
        <w:tc>
          <w:tcPr>
            <w:tcW w:w="1289" w:type="pct"/>
          </w:tcPr>
          <w:p w14:paraId="7E58C638" w14:textId="77777777" w:rsidR="00C14BBF" w:rsidRPr="00794028" w:rsidRDefault="00C14BBF" w:rsidP="00794028">
            <w:pPr>
              <w:pStyle w:val="TableParagraph"/>
              <w:spacing w:before="15" w:line="360" w:lineRule="auto"/>
              <w:rPr>
                <w:rFonts w:ascii="Arial" w:hAnsi="Arial" w:cs="Arial"/>
                <w:sz w:val="20"/>
                <w:szCs w:val="20"/>
              </w:rPr>
            </w:pPr>
          </w:p>
          <w:p w14:paraId="7E58C639" w14:textId="77777777" w:rsidR="00C14BBF" w:rsidRPr="00794028" w:rsidRDefault="00C14BBF" w:rsidP="00794028">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78.7</w:t>
            </w:r>
          </w:p>
        </w:tc>
        <w:tc>
          <w:tcPr>
            <w:tcW w:w="1192" w:type="pct"/>
          </w:tcPr>
          <w:p w14:paraId="7E58C63A" w14:textId="77777777" w:rsidR="00C14BBF" w:rsidRPr="00794028" w:rsidRDefault="00C14BBF" w:rsidP="00794028">
            <w:pPr>
              <w:pStyle w:val="TableParagraph"/>
              <w:spacing w:before="15" w:line="360" w:lineRule="auto"/>
              <w:rPr>
                <w:rFonts w:ascii="Arial" w:hAnsi="Arial" w:cs="Arial"/>
                <w:sz w:val="20"/>
                <w:szCs w:val="20"/>
              </w:rPr>
            </w:pPr>
          </w:p>
          <w:p w14:paraId="7E58C63B" w14:textId="77777777" w:rsidR="00C14BBF" w:rsidRPr="00794028" w:rsidRDefault="00C14BBF" w:rsidP="00794028">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90.2</w:t>
            </w:r>
          </w:p>
        </w:tc>
      </w:tr>
      <w:tr w:rsidR="00D75D22" w:rsidRPr="00794028" w14:paraId="7E58C641" w14:textId="77777777" w:rsidTr="00794028">
        <w:trPr>
          <w:trHeight w:val="303"/>
        </w:trPr>
        <w:tc>
          <w:tcPr>
            <w:tcW w:w="1266" w:type="pct"/>
          </w:tcPr>
          <w:p w14:paraId="7E58C63D"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w w:val="90"/>
                <w:sz w:val="20"/>
                <w:szCs w:val="20"/>
              </w:rPr>
              <w:t>Medium</w:t>
            </w:r>
            <w:r w:rsidRPr="00794028">
              <w:rPr>
                <w:rFonts w:ascii="Arial" w:hAnsi="Arial" w:cs="Arial"/>
                <w:spacing w:val="7"/>
                <w:sz w:val="20"/>
                <w:szCs w:val="20"/>
              </w:rPr>
              <w:t xml:space="preserve"> </w:t>
            </w:r>
            <w:r w:rsidRPr="00794028">
              <w:rPr>
                <w:rFonts w:ascii="Arial" w:hAnsi="Arial" w:cs="Arial"/>
                <w:spacing w:val="-2"/>
                <w:sz w:val="20"/>
                <w:szCs w:val="20"/>
              </w:rPr>
              <w:t>(7–10)</w:t>
            </w:r>
          </w:p>
        </w:tc>
        <w:tc>
          <w:tcPr>
            <w:tcW w:w="1254" w:type="pct"/>
          </w:tcPr>
          <w:p w14:paraId="7E58C63E"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45.2</w:t>
            </w:r>
          </w:p>
        </w:tc>
        <w:tc>
          <w:tcPr>
            <w:tcW w:w="1289" w:type="pct"/>
          </w:tcPr>
          <w:p w14:paraId="7E58C63F"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21.3</w:t>
            </w:r>
          </w:p>
        </w:tc>
        <w:tc>
          <w:tcPr>
            <w:tcW w:w="1192" w:type="pct"/>
          </w:tcPr>
          <w:p w14:paraId="7E58C640"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5"/>
                <w:w w:val="90"/>
                <w:sz w:val="20"/>
                <w:szCs w:val="20"/>
              </w:rPr>
              <w:t>9.8</w:t>
            </w:r>
          </w:p>
        </w:tc>
      </w:tr>
      <w:tr w:rsidR="00D75D22" w:rsidRPr="00794028" w14:paraId="7E58C646" w14:textId="77777777" w:rsidTr="00794028">
        <w:trPr>
          <w:trHeight w:val="306"/>
        </w:trPr>
        <w:tc>
          <w:tcPr>
            <w:tcW w:w="1266" w:type="pct"/>
          </w:tcPr>
          <w:p w14:paraId="7E58C642"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w w:val="80"/>
                <w:sz w:val="20"/>
                <w:szCs w:val="20"/>
              </w:rPr>
              <w:t>Large</w:t>
            </w:r>
            <w:r w:rsidRPr="00794028">
              <w:rPr>
                <w:rFonts w:ascii="Arial" w:hAnsi="Arial" w:cs="Arial"/>
                <w:spacing w:val="-1"/>
                <w:sz w:val="20"/>
                <w:szCs w:val="20"/>
              </w:rPr>
              <w:t xml:space="preserve"> </w:t>
            </w:r>
            <w:r w:rsidRPr="00794028">
              <w:rPr>
                <w:rFonts w:ascii="Arial" w:hAnsi="Arial" w:cs="Arial"/>
                <w:w w:val="80"/>
                <w:sz w:val="20"/>
                <w:szCs w:val="20"/>
              </w:rPr>
              <w:t>(/</w:t>
            </w:r>
            <w:r w:rsidRPr="00794028">
              <w:rPr>
                <w:rFonts w:ascii="Arial" w:hAnsi="Arial" w:cs="Arial"/>
                <w:spacing w:val="2"/>
                <w:sz w:val="20"/>
                <w:szCs w:val="20"/>
              </w:rPr>
              <w:t xml:space="preserve"> </w:t>
            </w:r>
            <w:r w:rsidRPr="00794028">
              <w:rPr>
                <w:rFonts w:ascii="Arial" w:hAnsi="Arial" w:cs="Arial"/>
                <w:spacing w:val="-5"/>
                <w:w w:val="80"/>
                <w:sz w:val="20"/>
                <w:szCs w:val="20"/>
              </w:rPr>
              <w:t>10)</w:t>
            </w:r>
          </w:p>
        </w:tc>
        <w:tc>
          <w:tcPr>
            <w:tcW w:w="1254" w:type="pct"/>
          </w:tcPr>
          <w:p w14:paraId="7E58C643"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21.1</w:t>
            </w:r>
          </w:p>
        </w:tc>
        <w:tc>
          <w:tcPr>
            <w:tcW w:w="1289" w:type="pct"/>
          </w:tcPr>
          <w:p w14:paraId="7E58C644"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10"/>
                <w:w w:val="135"/>
                <w:sz w:val="20"/>
                <w:szCs w:val="20"/>
              </w:rPr>
              <w:t>–</w:t>
            </w:r>
          </w:p>
        </w:tc>
        <w:tc>
          <w:tcPr>
            <w:tcW w:w="1192" w:type="pct"/>
          </w:tcPr>
          <w:p w14:paraId="7E58C645"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pacing w:val="-10"/>
                <w:w w:val="135"/>
                <w:sz w:val="20"/>
                <w:szCs w:val="20"/>
              </w:rPr>
              <w:t>–</w:t>
            </w:r>
          </w:p>
        </w:tc>
      </w:tr>
      <w:tr w:rsidR="00D75D22" w:rsidRPr="00794028" w14:paraId="7E58C64B" w14:textId="77777777" w:rsidTr="00794028">
        <w:trPr>
          <w:trHeight w:val="334"/>
        </w:trPr>
        <w:tc>
          <w:tcPr>
            <w:tcW w:w="1266" w:type="pct"/>
            <w:tcBorders>
              <w:bottom w:val="single" w:sz="4" w:space="0" w:color="10137D"/>
            </w:tcBorders>
          </w:tcPr>
          <w:p w14:paraId="7E58C647" w14:textId="77777777" w:rsidR="00C14BBF" w:rsidRPr="00794028" w:rsidRDefault="00C14BBF" w:rsidP="00794028">
            <w:pPr>
              <w:pStyle w:val="TableParagraph"/>
              <w:spacing w:line="360" w:lineRule="auto"/>
              <w:ind w:left="80"/>
              <w:rPr>
                <w:rFonts w:ascii="Arial" w:hAnsi="Arial" w:cs="Arial"/>
                <w:sz w:val="20"/>
                <w:szCs w:val="20"/>
              </w:rPr>
            </w:pPr>
            <w:r w:rsidRPr="00794028">
              <w:rPr>
                <w:rFonts w:ascii="Arial" w:hAnsi="Arial" w:cs="Arial"/>
                <w:spacing w:val="-2"/>
                <w:w w:val="90"/>
                <w:sz w:val="20"/>
                <w:szCs w:val="20"/>
              </w:rPr>
              <w:t>Total</w:t>
            </w:r>
          </w:p>
        </w:tc>
        <w:tc>
          <w:tcPr>
            <w:tcW w:w="1254" w:type="pct"/>
            <w:tcBorders>
              <w:bottom w:val="single" w:sz="4" w:space="0" w:color="10137D"/>
            </w:tcBorders>
          </w:tcPr>
          <w:p w14:paraId="7E58C648"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z w:val="20"/>
                <w:szCs w:val="20"/>
              </w:rPr>
              <w:t>n</w:t>
            </w:r>
            <w:r w:rsidRPr="00794028">
              <w:rPr>
                <w:rFonts w:ascii="Arial" w:hAnsi="Arial" w:cs="Arial"/>
                <w:spacing w:val="-11"/>
                <w:sz w:val="20"/>
                <w:szCs w:val="20"/>
              </w:rPr>
              <w:t xml:space="preserve"> </w:t>
            </w:r>
            <w:r w:rsidRPr="00794028">
              <w:rPr>
                <w:rFonts w:ascii="Arial" w:hAnsi="Arial" w:cs="Arial"/>
                <w:sz w:val="20"/>
                <w:szCs w:val="20"/>
              </w:rPr>
              <w:t>=</w:t>
            </w:r>
            <w:r w:rsidRPr="00794028">
              <w:rPr>
                <w:rFonts w:ascii="Arial" w:hAnsi="Arial" w:cs="Arial"/>
                <w:spacing w:val="-10"/>
                <w:sz w:val="20"/>
                <w:szCs w:val="20"/>
              </w:rPr>
              <w:t xml:space="preserve"> </w:t>
            </w:r>
            <w:r w:rsidRPr="00794028">
              <w:rPr>
                <w:rFonts w:ascii="Arial" w:hAnsi="Arial" w:cs="Arial"/>
                <w:sz w:val="20"/>
                <w:szCs w:val="20"/>
              </w:rPr>
              <w:t>229</w:t>
            </w:r>
            <w:r w:rsidRPr="00794028">
              <w:rPr>
                <w:rFonts w:ascii="Arial" w:hAnsi="Arial" w:cs="Arial"/>
                <w:spacing w:val="-10"/>
                <w:sz w:val="20"/>
                <w:szCs w:val="20"/>
              </w:rPr>
              <w:t xml:space="preserve"> </w:t>
            </w:r>
            <w:r w:rsidRPr="00794028">
              <w:rPr>
                <w:rFonts w:ascii="Arial" w:hAnsi="Arial" w:cs="Arial"/>
                <w:spacing w:val="-2"/>
                <w:sz w:val="20"/>
                <w:szCs w:val="20"/>
              </w:rPr>
              <w:t>(100.0)</w:t>
            </w:r>
          </w:p>
        </w:tc>
        <w:tc>
          <w:tcPr>
            <w:tcW w:w="1289" w:type="pct"/>
            <w:tcBorders>
              <w:bottom w:val="single" w:sz="4" w:space="0" w:color="10137D"/>
            </w:tcBorders>
          </w:tcPr>
          <w:p w14:paraId="7E58C649" w14:textId="77777777" w:rsidR="00C14BBF" w:rsidRPr="00794028" w:rsidRDefault="00C14BBF" w:rsidP="00794028">
            <w:pPr>
              <w:pStyle w:val="TableParagraph"/>
              <w:spacing w:line="360" w:lineRule="auto"/>
              <w:ind w:left="1" w:right="1"/>
              <w:rPr>
                <w:rFonts w:ascii="Arial" w:hAnsi="Arial" w:cs="Arial"/>
                <w:sz w:val="20"/>
                <w:szCs w:val="20"/>
              </w:rPr>
            </w:pPr>
            <w:r w:rsidRPr="00794028">
              <w:rPr>
                <w:rFonts w:ascii="Arial" w:hAnsi="Arial" w:cs="Arial"/>
                <w:sz w:val="20"/>
                <w:szCs w:val="20"/>
              </w:rPr>
              <w:t>n</w:t>
            </w:r>
            <w:r w:rsidRPr="00794028">
              <w:rPr>
                <w:rFonts w:ascii="Arial" w:hAnsi="Arial" w:cs="Arial"/>
                <w:spacing w:val="-8"/>
                <w:sz w:val="20"/>
                <w:szCs w:val="20"/>
              </w:rPr>
              <w:t xml:space="preserve"> </w:t>
            </w:r>
            <w:r w:rsidRPr="00794028">
              <w:rPr>
                <w:rFonts w:ascii="Arial" w:hAnsi="Arial" w:cs="Arial"/>
                <w:sz w:val="20"/>
                <w:szCs w:val="20"/>
              </w:rPr>
              <w:t>=</w:t>
            </w:r>
            <w:r w:rsidRPr="00794028">
              <w:rPr>
                <w:rFonts w:ascii="Arial" w:hAnsi="Arial" w:cs="Arial"/>
                <w:spacing w:val="-8"/>
                <w:sz w:val="20"/>
                <w:szCs w:val="20"/>
              </w:rPr>
              <w:t xml:space="preserve"> </w:t>
            </w:r>
            <w:r w:rsidRPr="00794028">
              <w:rPr>
                <w:rFonts w:ascii="Arial" w:hAnsi="Arial" w:cs="Arial"/>
                <w:sz w:val="20"/>
                <w:szCs w:val="20"/>
              </w:rPr>
              <w:t>94</w:t>
            </w:r>
            <w:r w:rsidRPr="00794028">
              <w:rPr>
                <w:rFonts w:ascii="Arial" w:hAnsi="Arial" w:cs="Arial"/>
                <w:spacing w:val="-8"/>
                <w:sz w:val="20"/>
                <w:szCs w:val="20"/>
              </w:rPr>
              <w:t xml:space="preserve"> </w:t>
            </w:r>
            <w:r w:rsidRPr="00794028">
              <w:rPr>
                <w:rFonts w:ascii="Arial" w:hAnsi="Arial" w:cs="Arial"/>
                <w:spacing w:val="-2"/>
                <w:sz w:val="20"/>
                <w:szCs w:val="20"/>
              </w:rPr>
              <w:t>(100.0)</w:t>
            </w:r>
          </w:p>
        </w:tc>
        <w:tc>
          <w:tcPr>
            <w:tcW w:w="1192" w:type="pct"/>
            <w:tcBorders>
              <w:bottom w:val="single" w:sz="4" w:space="0" w:color="10137D"/>
            </w:tcBorders>
          </w:tcPr>
          <w:p w14:paraId="7E58C64A" w14:textId="77777777" w:rsidR="00C14BBF" w:rsidRPr="00794028" w:rsidRDefault="00C14BBF" w:rsidP="00794028">
            <w:pPr>
              <w:pStyle w:val="TableParagraph"/>
              <w:spacing w:line="360" w:lineRule="auto"/>
              <w:ind w:right="1"/>
              <w:rPr>
                <w:rFonts w:ascii="Arial" w:hAnsi="Arial" w:cs="Arial"/>
                <w:sz w:val="20"/>
                <w:szCs w:val="20"/>
              </w:rPr>
            </w:pPr>
            <w:r w:rsidRPr="00794028">
              <w:rPr>
                <w:rFonts w:ascii="Arial" w:hAnsi="Arial" w:cs="Arial"/>
                <w:sz w:val="20"/>
                <w:szCs w:val="20"/>
              </w:rPr>
              <w:t>n</w:t>
            </w:r>
            <w:r w:rsidRPr="00794028">
              <w:rPr>
                <w:rFonts w:ascii="Arial" w:hAnsi="Arial" w:cs="Arial"/>
                <w:spacing w:val="-8"/>
                <w:sz w:val="20"/>
                <w:szCs w:val="20"/>
              </w:rPr>
              <w:t xml:space="preserve"> </w:t>
            </w:r>
            <w:r w:rsidRPr="00794028">
              <w:rPr>
                <w:rFonts w:ascii="Arial" w:hAnsi="Arial" w:cs="Arial"/>
                <w:sz w:val="20"/>
                <w:szCs w:val="20"/>
              </w:rPr>
              <w:t>=</w:t>
            </w:r>
            <w:r w:rsidRPr="00794028">
              <w:rPr>
                <w:rFonts w:ascii="Arial" w:hAnsi="Arial" w:cs="Arial"/>
                <w:spacing w:val="-7"/>
                <w:sz w:val="20"/>
                <w:szCs w:val="20"/>
              </w:rPr>
              <w:t xml:space="preserve"> </w:t>
            </w:r>
            <w:r w:rsidRPr="00794028">
              <w:rPr>
                <w:rFonts w:ascii="Arial" w:hAnsi="Arial" w:cs="Arial"/>
                <w:sz w:val="20"/>
                <w:szCs w:val="20"/>
              </w:rPr>
              <w:t>61</w:t>
            </w:r>
            <w:r w:rsidRPr="00794028">
              <w:rPr>
                <w:rFonts w:ascii="Arial" w:hAnsi="Arial" w:cs="Arial"/>
                <w:spacing w:val="-8"/>
                <w:sz w:val="20"/>
                <w:szCs w:val="20"/>
              </w:rPr>
              <w:t xml:space="preserve"> </w:t>
            </w:r>
            <w:r w:rsidRPr="00794028">
              <w:rPr>
                <w:rFonts w:ascii="Arial" w:hAnsi="Arial" w:cs="Arial"/>
                <w:spacing w:val="-2"/>
                <w:sz w:val="20"/>
                <w:szCs w:val="20"/>
              </w:rPr>
              <w:t>(100.0)</w:t>
            </w:r>
          </w:p>
        </w:tc>
      </w:tr>
    </w:tbl>
    <w:p w14:paraId="7E58C64C" w14:textId="77777777" w:rsidR="00811CA8" w:rsidRPr="00794028" w:rsidRDefault="00811CA8" w:rsidP="00794028">
      <w:pPr>
        <w:pStyle w:val="BodyText"/>
        <w:spacing w:line="360" w:lineRule="auto"/>
        <w:rPr>
          <w:rFonts w:ascii="Arial" w:hAnsi="Arial" w:cs="Arial"/>
          <w:sz w:val="20"/>
          <w:szCs w:val="20"/>
        </w:rPr>
      </w:pPr>
    </w:p>
    <w:p w14:paraId="61CDE307" w14:textId="77777777" w:rsidR="00535FF2" w:rsidRDefault="00535FF2" w:rsidP="00535FF2">
      <w:pPr>
        <w:pStyle w:val="BodyText"/>
        <w:spacing w:before="158" w:line="360" w:lineRule="auto"/>
        <w:ind w:right="119"/>
        <w:jc w:val="both"/>
        <w:rPr>
          <w:rFonts w:ascii="Arial" w:hAnsi="Arial" w:cs="Arial"/>
          <w:spacing w:val="-2"/>
          <w:sz w:val="20"/>
          <w:szCs w:val="20"/>
        </w:rPr>
      </w:pPr>
      <w:r w:rsidRPr="00535FF2">
        <w:rPr>
          <w:rFonts w:ascii="Arial" w:hAnsi="Arial" w:cs="Arial"/>
          <w:w w:val="90"/>
          <w:sz w:val="20"/>
          <w:szCs w:val="20"/>
        </w:rPr>
        <w:t xml:space="preserve">The results showed that 30.2% of the residents were men and 69.8% of the residents were women. This supported Carlsson et al. (2012)'s earlier claim that women are essential in addressing climate change because of their local understanding of sustainable resource management at the home and community levels. Additionally, the three residential densities of </w:t>
      </w:r>
      <w:proofErr w:type="spellStart"/>
      <w:r w:rsidRPr="00535FF2">
        <w:rPr>
          <w:rFonts w:ascii="Arial" w:hAnsi="Arial" w:cs="Arial"/>
          <w:w w:val="90"/>
          <w:sz w:val="20"/>
          <w:szCs w:val="20"/>
        </w:rPr>
        <w:t>Opobo</w:t>
      </w:r>
      <w:proofErr w:type="spellEnd"/>
      <w:r w:rsidRPr="00535FF2">
        <w:rPr>
          <w:rFonts w:ascii="Arial" w:hAnsi="Arial" w:cs="Arial"/>
          <w:w w:val="90"/>
          <w:sz w:val="20"/>
          <w:szCs w:val="20"/>
        </w:rPr>
        <w:t>/</w:t>
      </w:r>
      <w:proofErr w:type="spellStart"/>
      <w:r w:rsidRPr="00535FF2">
        <w:rPr>
          <w:rFonts w:ascii="Arial" w:hAnsi="Arial" w:cs="Arial"/>
          <w:w w:val="90"/>
          <w:sz w:val="20"/>
          <w:szCs w:val="20"/>
        </w:rPr>
        <w:t>Nkoro</w:t>
      </w:r>
      <w:proofErr w:type="spellEnd"/>
      <w:r w:rsidRPr="00535FF2">
        <w:rPr>
          <w:rFonts w:ascii="Arial" w:hAnsi="Arial" w:cs="Arial"/>
          <w:w w:val="90"/>
          <w:sz w:val="20"/>
          <w:szCs w:val="20"/>
        </w:rPr>
        <w:t xml:space="preserve"> L.G.A. were categorized by the age of the head of the household. </w:t>
      </w:r>
      <w:r w:rsidRPr="00535FF2">
        <w:rPr>
          <w:rFonts w:ascii="Arial" w:hAnsi="Arial" w:cs="Arial"/>
          <w:spacing w:val="-10"/>
          <w:sz w:val="20"/>
          <w:szCs w:val="20"/>
        </w:rPr>
        <w:t xml:space="preserve">These were: youths aged 19–30, young adults aged 31–55, and adults aged 56–65 (Okunola 2019). Table 2 made clear that young adults made up the majority of respondents in </w:t>
      </w:r>
      <w:proofErr w:type="spellStart"/>
      <w:r w:rsidRPr="00535FF2">
        <w:rPr>
          <w:rFonts w:ascii="Arial" w:hAnsi="Arial" w:cs="Arial"/>
          <w:spacing w:val="-10"/>
          <w:sz w:val="20"/>
          <w:szCs w:val="20"/>
        </w:rPr>
        <w:t>Opobo</w:t>
      </w:r>
      <w:proofErr w:type="spellEnd"/>
      <w:r w:rsidRPr="00535FF2">
        <w:rPr>
          <w:rFonts w:ascii="Arial" w:hAnsi="Arial" w:cs="Arial"/>
          <w:spacing w:val="-10"/>
          <w:sz w:val="20"/>
          <w:szCs w:val="20"/>
        </w:rPr>
        <w:t>/</w:t>
      </w:r>
      <w:proofErr w:type="spellStart"/>
      <w:r w:rsidRPr="00535FF2">
        <w:rPr>
          <w:rFonts w:ascii="Arial" w:hAnsi="Arial" w:cs="Arial"/>
          <w:spacing w:val="-10"/>
          <w:sz w:val="20"/>
          <w:szCs w:val="20"/>
        </w:rPr>
        <w:t>Nkoro</w:t>
      </w:r>
      <w:proofErr w:type="spellEnd"/>
      <w:r w:rsidRPr="00535FF2">
        <w:rPr>
          <w:rFonts w:ascii="Arial" w:hAnsi="Arial" w:cs="Arial"/>
          <w:spacing w:val="-10"/>
          <w:sz w:val="20"/>
          <w:szCs w:val="20"/>
        </w:rPr>
        <w:t xml:space="preserve"> L.G.A. (70.6%). However, 12.8% of respondents were young people, and 16.7% were adults. According to Dahlgren and Whitehead (2007), this implies that mature adults should have a high level of reasoning regarding sea level rise adaptation, which will enable them to participate in mitigation and adaptation to the effects of climate change.</w:t>
      </w:r>
      <w:r>
        <w:rPr>
          <w:rFonts w:ascii="Arial" w:hAnsi="Arial" w:cs="Arial"/>
          <w:spacing w:val="-10"/>
          <w:sz w:val="20"/>
          <w:szCs w:val="20"/>
        </w:rPr>
        <w:t xml:space="preserve"> </w:t>
      </w:r>
      <w:r w:rsidRPr="00535FF2">
        <w:rPr>
          <w:rFonts w:ascii="Arial" w:hAnsi="Arial" w:cs="Arial"/>
          <w:sz w:val="20"/>
          <w:szCs w:val="20"/>
        </w:rPr>
        <w:t xml:space="preserve">Using the Federal Government of Nigeria's minimum wage as the benchmark (2019), the income group for household </w:t>
      </w:r>
      <w:r w:rsidRPr="00535FF2">
        <w:rPr>
          <w:rFonts w:ascii="Arial" w:hAnsi="Arial" w:cs="Arial"/>
          <w:sz w:val="20"/>
          <w:szCs w:val="20"/>
        </w:rPr>
        <w:lastRenderedPageBreak/>
        <w:t xml:space="preserve">heads in this study was based on the income classification modified from </w:t>
      </w:r>
      <w:proofErr w:type="spellStart"/>
      <w:r w:rsidRPr="00535FF2">
        <w:rPr>
          <w:rFonts w:ascii="Arial" w:hAnsi="Arial" w:cs="Arial"/>
          <w:sz w:val="20"/>
          <w:szCs w:val="20"/>
        </w:rPr>
        <w:t>Ezeah</w:t>
      </w:r>
      <w:proofErr w:type="spellEnd"/>
      <w:r w:rsidRPr="00535FF2">
        <w:rPr>
          <w:rFonts w:ascii="Arial" w:hAnsi="Arial" w:cs="Arial"/>
          <w:sz w:val="20"/>
          <w:szCs w:val="20"/>
        </w:rPr>
        <w:t xml:space="preserve"> (2010). Accordingly, household heads who make less than N30,000 (US$ 1 = 410,25 (Central Bank of Nigeria 2020)) per month are considered low income earners, those who make between 30,000 and 150,000 are considered middle income earners, and those who make more than 150,000 are considered high income earners. </w:t>
      </w:r>
      <w:r w:rsidRPr="00535FF2">
        <w:rPr>
          <w:rFonts w:ascii="Arial" w:hAnsi="Arial" w:cs="Arial"/>
          <w:spacing w:val="-2"/>
          <w:sz w:val="20"/>
          <w:szCs w:val="20"/>
        </w:rPr>
        <w:t xml:space="preserve">Additional results from the examination of the average monthly income in the city showed that the average monthly income in the high, medium, and low residential densities was 38,176.00 K, 94,456.98 K, and 189,653.06 K, respectively. Additionally, it was revealed that 34.5%, 8.5%, and 3.5% of respondents in the high, medium, and low residential densities, respectively, fell into the </w:t>
      </w:r>
      <w:proofErr w:type="gramStart"/>
      <w:r w:rsidRPr="00535FF2">
        <w:rPr>
          <w:rFonts w:ascii="Arial" w:hAnsi="Arial" w:cs="Arial"/>
          <w:spacing w:val="-2"/>
          <w:sz w:val="20"/>
          <w:szCs w:val="20"/>
        </w:rPr>
        <w:t>low income</w:t>
      </w:r>
      <w:proofErr w:type="gramEnd"/>
      <w:r w:rsidRPr="00535FF2">
        <w:rPr>
          <w:rFonts w:ascii="Arial" w:hAnsi="Arial" w:cs="Arial"/>
          <w:spacing w:val="-2"/>
          <w:sz w:val="20"/>
          <w:szCs w:val="20"/>
        </w:rPr>
        <w:t xml:space="preserve"> category. Subsequent investigation showed that, at a 95% confidence level, the respondents' income variation across the three residential densities was statistically significant (F = 183.484 and p = 0.000). This suggested that the three residential densities in the city would have different levels of financial capacity to adapt to climate change.</w:t>
      </w:r>
    </w:p>
    <w:p w14:paraId="6099161D" w14:textId="77777777" w:rsidR="004E2227" w:rsidRDefault="004E2227" w:rsidP="004E2227">
      <w:pPr>
        <w:pStyle w:val="BodyText"/>
        <w:spacing w:before="158" w:line="360" w:lineRule="auto"/>
        <w:ind w:right="119"/>
        <w:jc w:val="both"/>
        <w:rPr>
          <w:rFonts w:ascii="Arial" w:hAnsi="Arial" w:cs="Arial"/>
          <w:sz w:val="20"/>
          <w:szCs w:val="20"/>
        </w:rPr>
      </w:pPr>
      <w:r w:rsidRPr="004E2227">
        <w:rPr>
          <w:rFonts w:ascii="Arial" w:hAnsi="Arial" w:cs="Arial"/>
          <w:sz w:val="20"/>
          <w:szCs w:val="20"/>
        </w:rPr>
        <w:t>Results regarding respondents' educational attainment showed that primary, secondary, and tertiary education were held by 38.3%, 46.1%, and 15.6% of respondents in the high residential area, respectively. It changed to 21.6% for respondents with only a primary education, 35.1% for those with a secondary education, and 43.3% for those with a certificate of tertiary education in the medium density. Additionally, there was a notable improvement in the educational attainment of the respondents in the low residential density, with 18.4% of primary school graduates, 28.9%, and 52.7%, respectively, having secondary and tertiary education. Therefore, the study found that respondents' educational status varied across the three residential densities that were identified.</w:t>
      </w:r>
    </w:p>
    <w:p w14:paraId="011A70B6" w14:textId="3D1E524F" w:rsidR="00794028" w:rsidRDefault="004E2227" w:rsidP="004E2227">
      <w:pPr>
        <w:pStyle w:val="BodyText"/>
        <w:spacing w:before="158" w:line="360" w:lineRule="auto"/>
        <w:ind w:right="119"/>
        <w:jc w:val="both"/>
        <w:rPr>
          <w:rFonts w:ascii="Arial" w:hAnsi="Arial" w:cs="Arial"/>
          <w:szCs w:val="20"/>
        </w:rPr>
      </w:pPr>
      <w:r w:rsidRPr="004E2227">
        <w:rPr>
          <w:rFonts w:ascii="Arial" w:hAnsi="Arial" w:cs="Arial"/>
          <w:w w:val="90"/>
          <w:sz w:val="20"/>
          <w:szCs w:val="20"/>
        </w:rPr>
        <w:t xml:space="preserve">Household size has also been identified as an indicator of how residents are responding to climate change. The household size classification system developed by Afon (2007) and Okunola and Bako (2021) was used in this context and divided into three groups. households with six or fewer people, those with seven to ten people, and those with more than ten people. These were considered small, medium, and large households, respectively. According to Table 2's summary, the majority of respondents with small households lived in areas with low residential densities. </w:t>
      </w:r>
      <w:r w:rsidRPr="004E2227">
        <w:rPr>
          <w:rFonts w:ascii="Arial" w:hAnsi="Arial" w:cs="Arial"/>
          <w:spacing w:val="-6"/>
          <w:sz w:val="20"/>
          <w:szCs w:val="20"/>
        </w:rPr>
        <w:t xml:space="preserve">In </w:t>
      </w:r>
      <w:proofErr w:type="spellStart"/>
      <w:r w:rsidRPr="004E2227">
        <w:rPr>
          <w:rFonts w:ascii="Arial" w:hAnsi="Arial" w:cs="Arial"/>
          <w:spacing w:val="-6"/>
          <w:sz w:val="20"/>
          <w:szCs w:val="20"/>
        </w:rPr>
        <w:t>Opobo</w:t>
      </w:r>
      <w:proofErr w:type="spellEnd"/>
      <w:r w:rsidRPr="004E2227">
        <w:rPr>
          <w:rFonts w:ascii="Arial" w:hAnsi="Arial" w:cs="Arial"/>
          <w:spacing w:val="-6"/>
          <w:sz w:val="20"/>
          <w:szCs w:val="20"/>
        </w:rPr>
        <w:t>/</w:t>
      </w:r>
      <w:proofErr w:type="spellStart"/>
      <w:r w:rsidRPr="004E2227">
        <w:rPr>
          <w:rFonts w:ascii="Arial" w:hAnsi="Arial" w:cs="Arial"/>
          <w:spacing w:val="-6"/>
          <w:sz w:val="20"/>
          <w:szCs w:val="20"/>
        </w:rPr>
        <w:t>Nkoro</w:t>
      </w:r>
      <w:proofErr w:type="spellEnd"/>
      <w:r w:rsidRPr="004E2227">
        <w:rPr>
          <w:rFonts w:ascii="Arial" w:hAnsi="Arial" w:cs="Arial"/>
          <w:spacing w:val="-6"/>
          <w:sz w:val="20"/>
          <w:szCs w:val="20"/>
        </w:rPr>
        <w:t xml:space="preserve"> L.G.A., 90.2% of the households belonged to this group. The percentages of small-sized households in high and medium residential densities were 33.7% and 78.7%, respectively. Additionally, a study of medium-sized households showed that the majority lived in areas with high residential densities. 33.7% of </w:t>
      </w:r>
      <w:proofErr w:type="spellStart"/>
      <w:r w:rsidRPr="004E2227">
        <w:rPr>
          <w:rFonts w:ascii="Arial" w:hAnsi="Arial" w:cs="Arial"/>
          <w:spacing w:val="-6"/>
          <w:sz w:val="20"/>
          <w:szCs w:val="20"/>
        </w:rPr>
        <w:t>Opobo</w:t>
      </w:r>
      <w:proofErr w:type="spellEnd"/>
      <w:r w:rsidRPr="004E2227">
        <w:rPr>
          <w:rFonts w:ascii="Arial" w:hAnsi="Arial" w:cs="Arial"/>
          <w:spacing w:val="-6"/>
          <w:sz w:val="20"/>
          <w:szCs w:val="20"/>
        </w:rPr>
        <w:t>/</w:t>
      </w:r>
      <w:proofErr w:type="spellStart"/>
      <w:r w:rsidRPr="004E2227">
        <w:rPr>
          <w:rFonts w:ascii="Arial" w:hAnsi="Arial" w:cs="Arial"/>
          <w:spacing w:val="-6"/>
          <w:sz w:val="20"/>
          <w:szCs w:val="20"/>
        </w:rPr>
        <w:t>Nkoro</w:t>
      </w:r>
      <w:proofErr w:type="spellEnd"/>
      <w:r w:rsidRPr="004E2227">
        <w:rPr>
          <w:rFonts w:ascii="Arial" w:hAnsi="Arial" w:cs="Arial"/>
          <w:spacing w:val="-6"/>
          <w:sz w:val="20"/>
          <w:szCs w:val="20"/>
        </w:rPr>
        <w:t xml:space="preserve"> L.G.A. was made up of this group. Additionally, the One-Way Analysis of Variance resulted in a confirmation of the household size difference across the three residential densities (F = 4.304; p = 0.014 at 95% confidence level).</w:t>
      </w:r>
      <w:r w:rsidR="00794028">
        <w:rPr>
          <w:rFonts w:ascii="Arial" w:hAnsi="Arial" w:cs="Arial"/>
          <w:szCs w:val="20"/>
        </w:rPr>
        <w:br w:type="page"/>
      </w:r>
    </w:p>
    <w:p w14:paraId="7E58C652" w14:textId="64D4B4B2" w:rsidR="00362420" w:rsidRPr="00794028" w:rsidRDefault="00362420" w:rsidP="00794028">
      <w:pPr>
        <w:pStyle w:val="BodyText"/>
        <w:spacing w:line="360" w:lineRule="auto"/>
        <w:ind w:left="119" w:right="118"/>
        <w:jc w:val="both"/>
        <w:rPr>
          <w:rFonts w:ascii="Arial" w:hAnsi="Arial" w:cs="Arial"/>
          <w:sz w:val="20"/>
          <w:szCs w:val="20"/>
        </w:rPr>
      </w:pPr>
      <w:r w:rsidRPr="00794028">
        <w:rPr>
          <w:rFonts w:ascii="Arial" w:hAnsi="Arial" w:cs="Arial"/>
          <w:b/>
          <w:w w:val="85"/>
          <w:sz w:val="20"/>
          <w:szCs w:val="20"/>
        </w:rPr>
        <w:lastRenderedPageBreak/>
        <w:t>Table</w:t>
      </w:r>
      <w:r w:rsidRPr="00794028">
        <w:rPr>
          <w:rFonts w:ascii="Arial" w:hAnsi="Arial" w:cs="Arial"/>
          <w:b/>
          <w:spacing w:val="4"/>
          <w:sz w:val="20"/>
          <w:szCs w:val="20"/>
        </w:rPr>
        <w:t xml:space="preserve"> </w:t>
      </w:r>
      <w:r w:rsidR="004F036D">
        <w:rPr>
          <w:rFonts w:ascii="Arial" w:hAnsi="Arial" w:cs="Arial"/>
          <w:b/>
          <w:spacing w:val="4"/>
          <w:sz w:val="20"/>
          <w:szCs w:val="20"/>
        </w:rPr>
        <w:t>3</w:t>
      </w:r>
      <w:r w:rsidRPr="00794028">
        <w:rPr>
          <w:rFonts w:ascii="Arial" w:hAnsi="Arial" w:cs="Arial"/>
          <w:b/>
          <w:w w:val="85"/>
          <w:sz w:val="20"/>
          <w:szCs w:val="20"/>
        </w:rPr>
        <w:t>.</w:t>
      </w:r>
      <w:r w:rsidRPr="00794028">
        <w:rPr>
          <w:rFonts w:ascii="Arial" w:hAnsi="Arial" w:cs="Arial"/>
          <w:b/>
          <w:spacing w:val="5"/>
          <w:sz w:val="20"/>
          <w:szCs w:val="20"/>
        </w:rPr>
        <w:t xml:space="preserve"> </w:t>
      </w:r>
      <w:r w:rsidRPr="00794028">
        <w:rPr>
          <w:rFonts w:ascii="Arial" w:hAnsi="Arial" w:cs="Arial"/>
          <w:w w:val="85"/>
          <w:sz w:val="20"/>
          <w:szCs w:val="20"/>
        </w:rPr>
        <w:t>Intra-urban</w:t>
      </w:r>
      <w:r w:rsidRPr="00794028">
        <w:rPr>
          <w:rFonts w:ascii="Arial" w:hAnsi="Arial" w:cs="Arial"/>
          <w:sz w:val="20"/>
          <w:szCs w:val="20"/>
        </w:rPr>
        <w:t xml:space="preserve"> </w:t>
      </w:r>
      <w:r w:rsidRPr="00794028">
        <w:rPr>
          <w:rFonts w:ascii="Arial" w:hAnsi="Arial" w:cs="Arial"/>
          <w:w w:val="85"/>
          <w:sz w:val="20"/>
          <w:szCs w:val="20"/>
        </w:rPr>
        <w:t>responses</w:t>
      </w:r>
      <w:r w:rsidRPr="00794028">
        <w:rPr>
          <w:rFonts w:ascii="Arial" w:hAnsi="Arial" w:cs="Arial"/>
          <w:spacing w:val="1"/>
          <w:sz w:val="20"/>
          <w:szCs w:val="20"/>
        </w:rPr>
        <w:t xml:space="preserve"> </w:t>
      </w:r>
      <w:r w:rsidRPr="00794028">
        <w:rPr>
          <w:rFonts w:ascii="Arial" w:hAnsi="Arial" w:cs="Arial"/>
          <w:w w:val="85"/>
          <w:sz w:val="20"/>
          <w:szCs w:val="20"/>
        </w:rPr>
        <w:t>to</w:t>
      </w:r>
      <w:r w:rsidRPr="00794028">
        <w:rPr>
          <w:rFonts w:ascii="Arial" w:hAnsi="Arial" w:cs="Arial"/>
          <w:sz w:val="20"/>
          <w:szCs w:val="20"/>
        </w:rPr>
        <w:t xml:space="preserve"> </w:t>
      </w:r>
      <w:r w:rsidRPr="00794028">
        <w:rPr>
          <w:rFonts w:ascii="Arial" w:hAnsi="Arial" w:cs="Arial"/>
          <w:w w:val="85"/>
          <w:sz w:val="20"/>
          <w:szCs w:val="20"/>
        </w:rPr>
        <w:t>climate</w:t>
      </w:r>
      <w:r w:rsidRPr="00794028">
        <w:rPr>
          <w:rFonts w:ascii="Arial" w:hAnsi="Arial" w:cs="Arial"/>
          <w:sz w:val="20"/>
          <w:szCs w:val="20"/>
        </w:rPr>
        <w:t xml:space="preserve"> </w:t>
      </w:r>
      <w:r w:rsidRPr="00794028">
        <w:rPr>
          <w:rFonts w:ascii="Arial" w:hAnsi="Arial" w:cs="Arial"/>
          <w:w w:val="85"/>
          <w:sz w:val="20"/>
          <w:szCs w:val="20"/>
        </w:rPr>
        <w:t>change</w:t>
      </w:r>
      <w:r w:rsidRPr="00794028">
        <w:rPr>
          <w:rFonts w:ascii="Arial" w:hAnsi="Arial" w:cs="Arial"/>
          <w:sz w:val="20"/>
          <w:szCs w:val="20"/>
        </w:rPr>
        <w:t xml:space="preserve"> </w:t>
      </w:r>
      <w:r w:rsidRPr="00794028">
        <w:rPr>
          <w:rFonts w:ascii="Arial" w:hAnsi="Arial" w:cs="Arial"/>
          <w:w w:val="85"/>
          <w:sz w:val="20"/>
          <w:szCs w:val="20"/>
        </w:rPr>
        <w:t>in</w:t>
      </w:r>
      <w:r w:rsidRPr="00794028">
        <w:rPr>
          <w:rFonts w:ascii="Arial" w:hAnsi="Arial" w:cs="Arial"/>
          <w:spacing w:val="-1"/>
          <w:sz w:val="20"/>
          <w:szCs w:val="20"/>
        </w:rPr>
        <w:t xml:space="preserve"> </w:t>
      </w:r>
      <w:proofErr w:type="spellStart"/>
      <w:r w:rsidR="00401BE8" w:rsidRPr="00794028">
        <w:rPr>
          <w:rFonts w:ascii="Arial" w:hAnsi="Arial" w:cs="Arial"/>
          <w:w w:val="85"/>
          <w:sz w:val="20"/>
          <w:szCs w:val="20"/>
        </w:rPr>
        <w:t>Opobo</w:t>
      </w:r>
      <w:proofErr w:type="spellEnd"/>
      <w:r w:rsidR="00401BE8" w:rsidRPr="00794028">
        <w:rPr>
          <w:rFonts w:ascii="Arial" w:hAnsi="Arial" w:cs="Arial"/>
          <w:w w:val="85"/>
          <w:sz w:val="20"/>
          <w:szCs w:val="20"/>
        </w:rPr>
        <w:t>/</w:t>
      </w:r>
      <w:proofErr w:type="spellStart"/>
      <w:r w:rsidR="00401BE8" w:rsidRPr="00794028">
        <w:rPr>
          <w:rFonts w:ascii="Arial" w:hAnsi="Arial" w:cs="Arial"/>
          <w:w w:val="85"/>
          <w:sz w:val="20"/>
          <w:szCs w:val="20"/>
        </w:rPr>
        <w:t>Nkoro</w:t>
      </w:r>
      <w:proofErr w:type="spellEnd"/>
      <w:r w:rsidR="00401BE8" w:rsidRPr="00794028">
        <w:rPr>
          <w:rFonts w:ascii="Arial" w:hAnsi="Arial" w:cs="Arial"/>
          <w:w w:val="85"/>
          <w:sz w:val="20"/>
          <w:szCs w:val="20"/>
        </w:rPr>
        <w:t xml:space="preserve"> L.G.A</w:t>
      </w:r>
      <w:r w:rsidRPr="00794028">
        <w:rPr>
          <w:rFonts w:ascii="Arial" w:hAnsi="Arial" w:cs="Arial"/>
          <w:spacing w:val="-2"/>
          <w:w w:val="85"/>
          <w:sz w:val="20"/>
          <w:szCs w:val="20"/>
        </w:rPr>
        <w:t>.</w:t>
      </w:r>
    </w:p>
    <w:tbl>
      <w:tblPr>
        <w:tblpPr w:leftFromText="180" w:rightFromText="180" w:vertAnchor="text" w:horzAnchor="margin" w:tblpY="323"/>
        <w:tblW w:w="9761" w:type="dxa"/>
        <w:tblLayout w:type="fixed"/>
        <w:tblCellMar>
          <w:left w:w="0" w:type="dxa"/>
          <w:right w:w="0" w:type="dxa"/>
        </w:tblCellMar>
        <w:tblLook w:val="01E0" w:firstRow="1" w:lastRow="1" w:firstColumn="1" w:lastColumn="1" w:noHBand="0" w:noVBand="0"/>
      </w:tblPr>
      <w:tblGrid>
        <w:gridCol w:w="7663"/>
        <w:gridCol w:w="592"/>
        <w:gridCol w:w="709"/>
        <w:gridCol w:w="204"/>
        <w:gridCol w:w="593"/>
      </w:tblGrid>
      <w:tr w:rsidR="009A34CE" w:rsidRPr="00794028" w14:paraId="7E58C657" w14:textId="77777777" w:rsidTr="003E7036">
        <w:trPr>
          <w:gridAfter w:val="1"/>
          <w:wAfter w:w="593" w:type="dxa"/>
          <w:trHeight w:val="270"/>
        </w:trPr>
        <w:tc>
          <w:tcPr>
            <w:tcW w:w="7663" w:type="dxa"/>
            <w:tcBorders>
              <w:top w:val="single" w:sz="4" w:space="0" w:color="auto"/>
              <w:bottom w:val="single" w:sz="4" w:space="0" w:color="10137D"/>
            </w:tcBorders>
          </w:tcPr>
          <w:p w14:paraId="7E58C653" w14:textId="77777777" w:rsidR="009A34CE" w:rsidRPr="00794028" w:rsidRDefault="009A34CE" w:rsidP="00794028">
            <w:pPr>
              <w:pStyle w:val="TableParagraph"/>
              <w:spacing w:before="33" w:line="360" w:lineRule="auto"/>
              <w:ind w:left="80"/>
              <w:rPr>
                <w:rFonts w:ascii="Arial" w:hAnsi="Arial" w:cs="Arial"/>
                <w:sz w:val="20"/>
                <w:szCs w:val="20"/>
              </w:rPr>
            </w:pPr>
            <w:r w:rsidRPr="00794028">
              <w:rPr>
                <w:rFonts w:ascii="Arial" w:hAnsi="Arial" w:cs="Arial"/>
                <w:sz w:val="20"/>
                <w:szCs w:val="20"/>
              </w:rPr>
              <w:t>Adaptation Strategies</w:t>
            </w:r>
          </w:p>
        </w:tc>
        <w:tc>
          <w:tcPr>
            <w:tcW w:w="592" w:type="dxa"/>
            <w:tcBorders>
              <w:top w:val="single" w:sz="4" w:space="0" w:color="auto"/>
              <w:bottom w:val="single" w:sz="4" w:space="0" w:color="10137D"/>
            </w:tcBorders>
          </w:tcPr>
          <w:p w14:paraId="7E58C654" w14:textId="77777777" w:rsidR="009A34CE" w:rsidRPr="00794028" w:rsidRDefault="003E7036" w:rsidP="00794028">
            <w:pPr>
              <w:pStyle w:val="TableParagraph"/>
              <w:spacing w:before="33" w:line="360" w:lineRule="auto"/>
              <w:ind w:right="56"/>
              <w:rPr>
                <w:rFonts w:ascii="Arial" w:hAnsi="Arial" w:cs="Arial"/>
                <w:sz w:val="20"/>
                <w:szCs w:val="20"/>
              </w:rPr>
            </w:pPr>
            <w:r w:rsidRPr="00794028">
              <w:rPr>
                <w:rFonts w:ascii="Arial" w:hAnsi="Arial" w:cs="Arial"/>
                <w:sz w:val="20"/>
                <w:szCs w:val="20"/>
              </w:rPr>
              <w:t xml:space="preserve">Mean </w:t>
            </w:r>
          </w:p>
        </w:tc>
        <w:tc>
          <w:tcPr>
            <w:tcW w:w="709" w:type="dxa"/>
            <w:tcBorders>
              <w:top w:val="single" w:sz="4" w:space="0" w:color="auto"/>
              <w:bottom w:val="single" w:sz="4" w:space="0" w:color="10137D"/>
            </w:tcBorders>
          </w:tcPr>
          <w:p w14:paraId="7E58C655" w14:textId="77777777" w:rsidR="009A34CE" w:rsidRPr="00794028" w:rsidRDefault="003E7036" w:rsidP="00794028">
            <w:pPr>
              <w:pStyle w:val="TableParagraph"/>
              <w:spacing w:before="33" w:line="360" w:lineRule="auto"/>
              <w:ind w:left="59"/>
              <w:rPr>
                <w:rFonts w:ascii="Arial" w:hAnsi="Arial" w:cs="Arial"/>
                <w:sz w:val="20"/>
                <w:szCs w:val="20"/>
              </w:rPr>
            </w:pPr>
            <w:r w:rsidRPr="00794028">
              <w:rPr>
                <w:rFonts w:ascii="Arial" w:hAnsi="Arial" w:cs="Arial"/>
                <w:sz w:val="20"/>
                <w:szCs w:val="20"/>
              </w:rPr>
              <w:t>SD</w:t>
            </w:r>
          </w:p>
        </w:tc>
        <w:tc>
          <w:tcPr>
            <w:tcW w:w="204" w:type="dxa"/>
            <w:tcBorders>
              <w:top w:val="single" w:sz="4" w:space="0" w:color="auto"/>
              <w:bottom w:val="single" w:sz="4" w:space="0" w:color="10137D"/>
            </w:tcBorders>
          </w:tcPr>
          <w:p w14:paraId="7E58C656"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5C" w14:textId="77777777" w:rsidTr="005D6D37">
        <w:trPr>
          <w:gridAfter w:val="1"/>
          <w:wAfter w:w="593" w:type="dxa"/>
          <w:trHeight w:val="231"/>
        </w:trPr>
        <w:tc>
          <w:tcPr>
            <w:tcW w:w="7663" w:type="dxa"/>
            <w:tcBorders>
              <w:top w:val="single" w:sz="4" w:space="0" w:color="10137D"/>
            </w:tcBorders>
            <w:vAlign w:val="center"/>
          </w:tcPr>
          <w:p w14:paraId="7E58C658" w14:textId="77777777" w:rsidR="009A34CE" w:rsidRPr="00794028" w:rsidRDefault="009A34CE" w:rsidP="004F036D">
            <w:pPr>
              <w:pStyle w:val="TableParagraph"/>
              <w:spacing w:before="17" w:line="360" w:lineRule="auto"/>
              <w:rPr>
                <w:rFonts w:ascii="Arial" w:hAnsi="Arial" w:cs="Arial"/>
                <w:sz w:val="20"/>
                <w:szCs w:val="20"/>
              </w:rPr>
            </w:pPr>
            <w:r w:rsidRPr="00794028">
              <w:rPr>
                <w:rFonts w:ascii="Arial" w:hAnsi="Arial" w:cs="Arial"/>
                <w:w w:val="85"/>
                <w:sz w:val="20"/>
                <w:szCs w:val="20"/>
              </w:rPr>
              <w:t>Relocation</w:t>
            </w:r>
            <w:r w:rsidRPr="00794028">
              <w:rPr>
                <w:rFonts w:ascii="Arial" w:hAnsi="Arial" w:cs="Arial"/>
                <w:spacing w:val="-1"/>
                <w:w w:val="85"/>
                <w:sz w:val="20"/>
                <w:szCs w:val="20"/>
              </w:rPr>
              <w:t xml:space="preserve"> </w:t>
            </w:r>
            <w:r w:rsidRPr="00794028">
              <w:rPr>
                <w:rFonts w:ascii="Arial" w:hAnsi="Arial" w:cs="Arial"/>
                <w:w w:val="85"/>
                <w:sz w:val="20"/>
                <w:szCs w:val="20"/>
              </w:rPr>
              <w:t>from</w:t>
            </w:r>
            <w:r w:rsidRPr="00794028">
              <w:rPr>
                <w:rFonts w:ascii="Arial" w:hAnsi="Arial" w:cs="Arial"/>
                <w:spacing w:val="-7"/>
                <w:sz w:val="20"/>
                <w:szCs w:val="20"/>
              </w:rPr>
              <w:t xml:space="preserve"> </w:t>
            </w:r>
            <w:r w:rsidRPr="00794028">
              <w:rPr>
                <w:rFonts w:ascii="Arial" w:hAnsi="Arial" w:cs="Arial"/>
                <w:w w:val="85"/>
                <w:sz w:val="20"/>
                <w:szCs w:val="20"/>
              </w:rPr>
              <w:t>sea level rise</w:t>
            </w:r>
            <w:r w:rsidRPr="00794028">
              <w:rPr>
                <w:rFonts w:ascii="Arial" w:hAnsi="Arial" w:cs="Arial"/>
                <w:spacing w:val="-7"/>
                <w:sz w:val="20"/>
                <w:szCs w:val="20"/>
              </w:rPr>
              <w:t xml:space="preserve"> </w:t>
            </w:r>
            <w:r w:rsidRPr="00794028">
              <w:rPr>
                <w:rFonts w:ascii="Arial" w:hAnsi="Arial" w:cs="Arial"/>
                <w:spacing w:val="-2"/>
                <w:w w:val="85"/>
                <w:sz w:val="20"/>
                <w:szCs w:val="20"/>
              </w:rPr>
              <w:t>areas</w:t>
            </w:r>
          </w:p>
        </w:tc>
        <w:tc>
          <w:tcPr>
            <w:tcW w:w="592" w:type="dxa"/>
            <w:tcBorders>
              <w:top w:val="single" w:sz="4" w:space="0" w:color="10137D"/>
            </w:tcBorders>
          </w:tcPr>
          <w:p w14:paraId="7E58C659" w14:textId="77777777" w:rsidR="009A34CE" w:rsidRPr="00794028" w:rsidRDefault="009A34CE" w:rsidP="00794028">
            <w:pPr>
              <w:pStyle w:val="TableParagraph"/>
              <w:spacing w:before="17" w:line="360" w:lineRule="auto"/>
              <w:ind w:right="58"/>
              <w:rPr>
                <w:rFonts w:ascii="Arial" w:hAnsi="Arial" w:cs="Arial"/>
                <w:sz w:val="20"/>
                <w:szCs w:val="20"/>
              </w:rPr>
            </w:pPr>
            <w:r w:rsidRPr="00794028">
              <w:rPr>
                <w:rFonts w:ascii="Arial" w:hAnsi="Arial" w:cs="Arial"/>
                <w:spacing w:val="-4"/>
                <w:w w:val="90"/>
                <w:sz w:val="20"/>
                <w:szCs w:val="20"/>
              </w:rPr>
              <w:t>4.21</w:t>
            </w:r>
          </w:p>
        </w:tc>
        <w:tc>
          <w:tcPr>
            <w:tcW w:w="709" w:type="dxa"/>
            <w:tcBorders>
              <w:top w:val="single" w:sz="4" w:space="0" w:color="10137D"/>
            </w:tcBorders>
          </w:tcPr>
          <w:p w14:paraId="7E58C65A" w14:textId="77777777" w:rsidR="009A34CE" w:rsidRPr="00794028" w:rsidRDefault="009A34CE" w:rsidP="00794028">
            <w:pPr>
              <w:pStyle w:val="TableParagraph"/>
              <w:spacing w:before="17" w:line="360" w:lineRule="auto"/>
              <w:ind w:left="60"/>
              <w:rPr>
                <w:rFonts w:ascii="Arial" w:hAnsi="Arial" w:cs="Arial"/>
                <w:sz w:val="20"/>
                <w:szCs w:val="20"/>
              </w:rPr>
            </w:pPr>
            <w:r w:rsidRPr="00794028">
              <w:rPr>
                <w:rFonts w:ascii="Arial" w:hAnsi="Arial" w:cs="Arial"/>
                <w:spacing w:val="-4"/>
                <w:w w:val="95"/>
                <w:sz w:val="20"/>
                <w:szCs w:val="20"/>
              </w:rPr>
              <w:t>0.50</w:t>
            </w:r>
          </w:p>
        </w:tc>
        <w:tc>
          <w:tcPr>
            <w:tcW w:w="204" w:type="dxa"/>
            <w:tcBorders>
              <w:top w:val="single" w:sz="4" w:space="0" w:color="10137D"/>
            </w:tcBorders>
          </w:tcPr>
          <w:p w14:paraId="7E58C65B"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61" w14:textId="77777777" w:rsidTr="005D6D37">
        <w:trPr>
          <w:gridAfter w:val="1"/>
          <w:wAfter w:w="593" w:type="dxa"/>
          <w:trHeight w:val="200"/>
        </w:trPr>
        <w:tc>
          <w:tcPr>
            <w:tcW w:w="7663" w:type="dxa"/>
            <w:vAlign w:val="center"/>
          </w:tcPr>
          <w:p w14:paraId="7E58C65D"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Repair</w:t>
            </w:r>
            <w:r w:rsidRPr="00794028">
              <w:rPr>
                <w:rFonts w:ascii="Arial" w:hAnsi="Arial" w:cs="Arial"/>
                <w:spacing w:val="3"/>
                <w:sz w:val="20"/>
                <w:szCs w:val="20"/>
              </w:rPr>
              <w:t xml:space="preserve"> </w:t>
            </w:r>
            <w:r w:rsidRPr="00794028">
              <w:rPr>
                <w:rFonts w:ascii="Arial" w:hAnsi="Arial" w:cs="Arial"/>
                <w:w w:val="85"/>
                <w:sz w:val="20"/>
                <w:szCs w:val="20"/>
              </w:rPr>
              <w:t>and</w:t>
            </w:r>
            <w:r w:rsidRPr="00794028">
              <w:rPr>
                <w:rFonts w:ascii="Arial" w:hAnsi="Arial" w:cs="Arial"/>
                <w:spacing w:val="4"/>
                <w:sz w:val="20"/>
                <w:szCs w:val="20"/>
              </w:rPr>
              <w:t xml:space="preserve"> </w:t>
            </w:r>
            <w:r w:rsidRPr="00794028">
              <w:rPr>
                <w:rFonts w:ascii="Arial" w:hAnsi="Arial" w:cs="Arial"/>
                <w:w w:val="85"/>
                <w:sz w:val="20"/>
                <w:szCs w:val="20"/>
              </w:rPr>
              <w:t>replace</w:t>
            </w:r>
            <w:r w:rsidRPr="00794028">
              <w:rPr>
                <w:rFonts w:ascii="Arial" w:hAnsi="Arial" w:cs="Arial"/>
                <w:spacing w:val="2"/>
                <w:sz w:val="20"/>
                <w:szCs w:val="20"/>
              </w:rPr>
              <w:t xml:space="preserve"> </w:t>
            </w:r>
            <w:r w:rsidRPr="00794028">
              <w:rPr>
                <w:rFonts w:ascii="Arial" w:hAnsi="Arial" w:cs="Arial"/>
                <w:w w:val="85"/>
                <w:sz w:val="20"/>
                <w:szCs w:val="20"/>
              </w:rPr>
              <w:t>damaged</w:t>
            </w:r>
            <w:r w:rsidRPr="00794028">
              <w:rPr>
                <w:rFonts w:ascii="Arial" w:hAnsi="Arial" w:cs="Arial"/>
                <w:spacing w:val="5"/>
                <w:sz w:val="20"/>
                <w:szCs w:val="20"/>
              </w:rPr>
              <w:t xml:space="preserve"> </w:t>
            </w:r>
            <w:r w:rsidRPr="00794028">
              <w:rPr>
                <w:rFonts w:ascii="Arial" w:hAnsi="Arial" w:cs="Arial"/>
                <w:spacing w:val="-2"/>
                <w:w w:val="85"/>
                <w:sz w:val="20"/>
                <w:szCs w:val="20"/>
              </w:rPr>
              <w:t>property</w:t>
            </w:r>
          </w:p>
        </w:tc>
        <w:tc>
          <w:tcPr>
            <w:tcW w:w="592" w:type="dxa"/>
          </w:tcPr>
          <w:p w14:paraId="7E58C65E"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4.09</w:t>
            </w:r>
          </w:p>
        </w:tc>
        <w:tc>
          <w:tcPr>
            <w:tcW w:w="709" w:type="dxa"/>
          </w:tcPr>
          <w:p w14:paraId="7E58C65F"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0.38</w:t>
            </w:r>
          </w:p>
        </w:tc>
        <w:tc>
          <w:tcPr>
            <w:tcW w:w="204" w:type="dxa"/>
          </w:tcPr>
          <w:p w14:paraId="7E58C660"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66" w14:textId="77777777" w:rsidTr="005D6D37">
        <w:trPr>
          <w:gridAfter w:val="1"/>
          <w:wAfter w:w="593" w:type="dxa"/>
          <w:trHeight w:val="200"/>
        </w:trPr>
        <w:tc>
          <w:tcPr>
            <w:tcW w:w="7663" w:type="dxa"/>
            <w:vAlign w:val="center"/>
          </w:tcPr>
          <w:p w14:paraId="7E58C662"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Construction</w:t>
            </w:r>
            <w:r w:rsidRPr="00794028">
              <w:rPr>
                <w:rFonts w:ascii="Arial" w:hAnsi="Arial" w:cs="Arial"/>
                <w:spacing w:val="9"/>
                <w:sz w:val="20"/>
                <w:szCs w:val="20"/>
              </w:rPr>
              <w:t xml:space="preserve"> </w:t>
            </w:r>
            <w:r w:rsidRPr="00794028">
              <w:rPr>
                <w:rFonts w:ascii="Arial" w:hAnsi="Arial" w:cs="Arial"/>
                <w:w w:val="85"/>
                <w:sz w:val="20"/>
                <w:szCs w:val="20"/>
              </w:rPr>
              <w:t>of</w:t>
            </w:r>
            <w:r w:rsidRPr="00794028">
              <w:rPr>
                <w:rFonts w:ascii="Arial" w:hAnsi="Arial" w:cs="Arial"/>
                <w:spacing w:val="12"/>
                <w:sz w:val="20"/>
                <w:szCs w:val="20"/>
              </w:rPr>
              <w:t xml:space="preserve"> </w:t>
            </w:r>
            <w:r w:rsidRPr="00794028">
              <w:rPr>
                <w:rFonts w:ascii="Arial" w:hAnsi="Arial" w:cs="Arial"/>
                <w:w w:val="85"/>
                <w:sz w:val="20"/>
                <w:szCs w:val="20"/>
              </w:rPr>
              <w:t>more</w:t>
            </w:r>
            <w:r w:rsidRPr="00794028">
              <w:rPr>
                <w:rFonts w:ascii="Arial" w:hAnsi="Arial" w:cs="Arial"/>
                <w:spacing w:val="10"/>
                <w:sz w:val="20"/>
                <w:szCs w:val="20"/>
              </w:rPr>
              <w:t xml:space="preserve"> </w:t>
            </w:r>
            <w:r w:rsidRPr="00794028">
              <w:rPr>
                <w:rFonts w:ascii="Arial" w:hAnsi="Arial" w:cs="Arial"/>
                <w:w w:val="85"/>
                <w:sz w:val="20"/>
                <w:szCs w:val="20"/>
              </w:rPr>
              <w:t>drainages</w:t>
            </w:r>
            <w:r w:rsidRPr="00794028">
              <w:rPr>
                <w:rFonts w:ascii="Arial" w:hAnsi="Arial" w:cs="Arial"/>
                <w:spacing w:val="11"/>
                <w:sz w:val="20"/>
                <w:szCs w:val="20"/>
              </w:rPr>
              <w:t xml:space="preserve"> </w:t>
            </w:r>
            <w:r w:rsidRPr="00794028">
              <w:rPr>
                <w:rFonts w:ascii="Arial" w:hAnsi="Arial" w:cs="Arial"/>
                <w:w w:val="85"/>
                <w:sz w:val="20"/>
                <w:szCs w:val="20"/>
              </w:rPr>
              <w:t>system</w:t>
            </w:r>
            <w:r w:rsidRPr="00794028">
              <w:rPr>
                <w:rFonts w:ascii="Arial" w:hAnsi="Arial" w:cs="Arial"/>
                <w:spacing w:val="12"/>
                <w:sz w:val="20"/>
                <w:szCs w:val="20"/>
              </w:rPr>
              <w:t xml:space="preserve"> </w:t>
            </w:r>
            <w:r w:rsidRPr="00794028">
              <w:rPr>
                <w:rFonts w:ascii="Arial" w:hAnsi="Arial" w:cs="Arial"/>
                <w:w w:val="85"/>
                <w:sz w:val="20"/>
                <w:szCs w:val="20"/>
              </w:rPr>
              <w:t>by</w:t>
            </w:r>
            <w:r w:rsidRPr="00794028">
              <w:rPr>
                <w:rFonts w:ascii="Arial" w:hAnsi="Arial" w:cs="Arial"/>
                <w:spacing w:val="10"/>
                <w:sz w:val="20"/>
                <w:szCs w:val="20"/>
              </w:rPr>
              <w:t xml:space="preserve"> </w:t>
            </w:r>
            <w:r w:rsidRPr="00794028">
              <w:rPr>
                <w:rFonts w:ascii="Arial" w:hAnsi="Arial" w:cs="Arial"/>
                <w:w w:val="85"/>
                <w:sz w:val="20"/>
                <w:szCs w:val="20"/>
              </w:rPr>
              <w:t>government</w:t>
            </w:r>
            <w:r w:rsidRPr="00794028">
              <w:rPr>
                <w:rFonts w:ascii="Arial" w:hAnsi="Arial" w:cs="Arial"/>
                <w:spacing w:val="11"/>
                <w:sz w:val="20"/>
                <w:szCs w:val="20"/>
              </w:rPr>
              <w:t xml:space="preserve"> </w:t>
            </w:r>
            <w:r w:rsidRPr="00794028">
              <w:rPr>
                <w:rFonts w:ascii="Arial" w:hAnsi="Arial" w:cs="Arial"/>
                <w:spacing w:val="-5"/>
                <w:w w:val="85"/>
                <w:sz w:val="20"/>
                <w:szCs w:val="20"/>
              </w:rPr>
              <w:t>and</w:t>
            </w:r>
          </w:p>
        </w:tc>
        <w:tc>
          <w:tcPr>
            <w:tcW w:w="592" w:type="dxa"/>
          </w:tcPr>
          <w:p w14:paraId="7E58C663"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4.19</w:t>
            </w:r>
          </w:p>
        </w:tc>
        <w:tc>
          <w:tcPr>
            <w:tcW w:w="709" w:type="dxa"/>
          </w:tcPr>
          <w:p w14:paraId="7E58C664"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0.48</w:t>
            </w:r>
          </w:p>
        </w:tc>
        <w:tc>
          <w:tcPr>
            <w:tcW w:w="204" w:type="dxa"/>
          </w:tcPr>
          <w:p w14:paraId="7E58C665"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6B" w14:textId="77777777" w:rsidTr="005D6D37">
        <w:trPr>
          <w:gridAfter w:val="1"/>
          <w:wAfter w:w="593" w:type="dxa"/>
          <w:trHeight w:val="199"/>
        </w:trPr>
        <w:tc>
          <w:tcPr>
            <w:tcW w:w="7663" w:type="dxa"/>
            <w:vAlign w:val="center"/>
          </w:tcPr>
          <w:p w14:paraId="7E58C667"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90"/>
                <w:sz w:val="20"/>
                <w:szCs w:val="20"/>
              </w:rPr>
              <w:t>community</w:t>
            </w:r>
            <w:r w:rsidRPr="00794028">
              <w:rPr>
                <w:rFonts w:ascii="Arial" w:hAnsi="Arial" w:cs="Arial"/>
                <w:spacing w:val="-8"/>
                <w:w w:val="90"/>
                <w:sz w:val="20"/>
                <w:szCs w:val="20"/>
              </w:rPr>
              <w:t xml:space="preserve"> </w:t>
            </w:r>
            <w:r w:rsidRPr="00794028">
              <w:rPr>
                <w:rFonts w:ascii="Arial" w:hAnsi="Arial" w:cs="Arial"/>
                <w:spacing w:val="-2"/>
                <w:w w:val="95"/>
                <w:sz w:val="20"/>
                <w:szCs w:val="20"/>
              </w:rPr>
              <w:t>groups</w:t>
            </w:r>
          </w:p>
        </w:tc>
        <w:tc>
          <w:tcPr>
            <w:tcW w:w="592" w:type="dxa"/>
          </w:tcPr>
          <w:p w14:paraId="7E58C668" w14:textId="77777777" w:rsidR="009A34CE" w:rsidRPr="00794028" w:rsidRDefault="009A34CE" w:rsidP="00794028">
            <w:pPr>
              <w:pStyle w:val="TableParagraph"/>
              <w:spacing w:line="360" w:lineRule="auto"/>
              <w:rPr>
                <w:rFonts w:ascii="Arial" w:hAnsi="Arial" w:cs="Arial"/>
                <w:sz w:val="20"/>
                <w:szCs w:val="20"/>
              </w:rPr>
            </w:pPr>
          </w:p>
        </w:tc>
        <w:tc>
          <w:tcPr>
            <w:tcW w:w="709" w:type="dxa"/>
          </w:tcPr>
          <w:p w14:paraId="7E58C669" w14:textId="77777777" w:rsidR="009A34CE" w:rsidRPr="00794028" w:rsidRDefault="009A34CE" w:rsidP="00794028">
            <w:pPr>
              <w:pStyle w:val="TableParagraph"/>
              <w:spacing w:line="360" w:lineRule="auto"/>
              <w:rPr>
                <w:rFonts w:ascii="Arial" w:hAnsi="Arial" w:cs="Arial"/>
                <w:sz w:val="20"/>
                <w:szCs w:val="20"/>
              </w:rPr>
            </w:pPr>
          </w:p>
        </w:tc>
        <w:tc>
          <w:tcPr>
            <w:tcW w:w="204" w:type="dxa"/>
          </w:tcPr>
          <w:p w14:paraId="7E58C66A"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6F" w14:textId="77777777" w:rsidTr="005D6D37">
        <w:trPr>
          <w:gridAfter w:val="2"/>
          <w:wAfter w:w="797" w:type="dxa"/>
          <w:trHeight w:val="200"/>
        </w:trPr>
        <w:tc>
          <w:tcPr>
            <w:tcW w:w="7663" w:type="dxa"/>
            <w:vAlign w:val="center"/>
          </w:tcPr>
          <w:p w14:paraId="7E58C66C" w14:textId="77777777" w:rsidR="009A34CE" w:rsidRPr="00794028" w:rsidRDefault="009A34CE" w:rsidP="00794028">
            <w:pPr>
              <w:pStyle w:val="TableParagraph"/>
              <w:spacing w:line="360" w:lineRule="auto"/>
              <w:rPr>
                <w:rFonts w:ascii="Arial" w:hAnsi="Arial" w:cs="Arial"/>
                <w:sz w:val="20"/>
                <w:szCs w:val="20"/>
              </w:rPr>
            </w:pPr>
            <w:r w:rsidRPr="00794028">
              <w:rPr>
                <w:rFonts w:ascii="Arial" w:hAnsi="Arial" w:cs="Arial"/>
                <w:w w:val="85"/>
                <w:sz w:val="20"/>
                <w:szCs w:val="20"/>
              </w:rPr>
              <w:t>Cleaning or</w:t>
            </w:r>
            <w:r w:rsidRPr="00794028">
              <w:rPr>
                <w:rFonts w:ascii="Arial" w:hAnsi="Arial" w:cs="Arial"/>
                <w:spacing w:val="1"/>
                <w:sz w:val="20"/>
                <w:szCs w:val="20"/>
              </w:rPr>
              <w:t xml:space="preserve"> </w:t>
            </w:r>
            <w:r w:rsidRPr="00794028">
              <w:rPr>
                <w:rFonts w:ascii="Arial" w:hAnsi="Arial" w:cs="Arial"/>
                <w:w w:val="85"/>
                <w:sz w:val="20"/>
                <w:szCs w:val="20"/>
              </w:rPr>
              <w:t>helping</w:t>
            </w:r>
            <w:r w:rsidRPr="00794028">
              <w:rPr>
                <w:rFonts w:ascii="Arial" w:hAnsi="Arial" w:cs="Arial"/>
                <w:spacing w:val="1"/>
                <w:sz w:val="20"/>
                <w:szCs w:val="20"/>
              </w:rPr>
              <w:t xml:space="preserve"> </w:t>
            </w:r>
            <w:r w:rsidRPr="00794028">
              <w:rPr>
                <w:rFonts w:ascii="Arial" w:hAnsi="Arial" w:cs="Arial"/>
                <w:w w:val="85"/>
                <w:sz w:val="20"/>
                <w:szCs w:val="20"/>
              </w:rPr>
              <w:t>to</w:t>
            </w:r>
            <w:r w:rsidRPr="00794028">
              <w:rPr>
                <w:rFonts w:ascii="Arial" w:hAnsi="Arial" w:cs="Arial"/>
                <w:spacing w:val="1"/>
                <w:sz w:val="20"/>
                <w:szCs w:val="20"/>
              </w:rPr>
              <w:t xml:space="preserve"> </w:t>
            </w:r>
            <w:r w:rsidRPr="00794028">
              <w:rPr>
                <w:rFonts w:ascii="Arial" w:hAnsi="Arial" w:cs="Arial"/>
                <w:w w:val="85"/>
                <w:sz w:val="20"/>
                <w:szCs w:val="20"/>
              </w:rPr>
              <w:t>maintain</w:t>
            </w:r>
            <w:r w:rsidRPr="00794028">
              <w:rPr>
                <w:rFonts w:ascii="Arial" w:hAnsi="Arial" w:cs="Arial"/>
                <w:spacing w:val="1"/>
                <w:sz w:val="20"/>
                <w:szCs w:val="20"/>
              </w:rPr>
              <w:t xml:space="preserve"> </w:t>
            </w:r>
            <w:r w:rsidRPr="00794028">
              <w:rPr>
                <w:rFonts w:ascii="Arial" w:hAnsi="Arial" w:cs="Arial"/>
                <w:w w:val="85"/>
                <w:sz w:val="20"/>
                <w:szCs w:val="20"/>
              </w:rPr>
              <w:t>public</w:t>
            </w:r>
            <w:r w:rsidRPr="00794028">
              <w:rPr>
                <w:rFonts w:ascii="Arial" w:hAnsi="Arial" w:cs="Arial"/>
                <w:spacing w:val="1"/>
                <w:sz w:val="20"/>
                <w:szCs w:val="20"/>
              </w:rPr>
              <w:t xml:space="preserve"> </w:t>
            </w:r>
            <w:r w:rsidRPr="00794028">
              <w:rPr>
                <w:rFonts w:ascii="Arial" w:hAnsi="Arial" w:cs="Arial"/>
                <w:w w:val="85"/>
                <w:sz w:val="20"/>
                <w:szCs w:val="20"/>
              </w:rPr>
              <w:t>drainage</w:t>
            </w:r>
            <w:r w:rsidRPr="00794028">
              <w:rPr>
                <w:rFonts w:ascii="Arial" w:hAnsi="Arial" w:cs="Arial"/>
                <w:spacing w:val="1"/>
                <w:sz w:val="20"/>
                <w:szCs w:val="20"/>
              </w:rPr>
              <w:t xml:space="preserve"> </w:t>
            </w:r>
            <w:r w:rsidRPr="00794028">
              <w:rPr>
                <w:rFonts w:ascii="Arial" w:hAnsi="Arial" w:cs="Arial"/>
                <w:w w:val="85"/>
                <w:sz w:val="20"/>
                <w:szCs w:val="20"/>
              </w:rPr>
              <w:t>systems</w:t>
            </w:r>
            <w:r w:rsidRPr="00794028">
              <w:rPr>
                <w:rFonts w:ascii="Arial" w:hAnsi="Arial" w:cs="Arial"/>
                <w:spacing w:val="3"/>
                <w:sz w:val="20"/>
                <w:szCs w:val="20"/>
              </w:rPr>
              <w:t xml:space="preserve"> </w:t>
            </w:r>
            <w:r w:rsidRPr="00794028">
              <w:rPr>
                <w:rFonts w:ascii="Arial" w:hAnsi="Arial" w:cs="Arial"/>
                <w:spacing w:val="-4"/>
                <w:w w:val="85"/>
                <w:sz w:val="20"/>
                <w:szCs w:val="20"/>
              </w:rPr>
              <w:t>from</w:t>
            </w:r>
          </w:p>
        </w:tc>
        <w:tc>
          <w:tcPr>
            <w:tcW w:w="592" w:type="dxa"/>
          </w:tcPr>
          <w:p w14:paraId="7E58C66D"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3.72</w:t>
            </w:r>
          </w:p>
        </w:tc>
        <w:tc>
          <w:tcPr>
            <w:tcW w:w="709" w:type="dxa"/>
          </w:tcPr>
          <w:p w14:paraId="7E58C66E"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0.01</w:t>
            </w:r>
          </w:p>
        </w:tc>
      </w:tr>
      <w:tr w:rsidR="009A34CE" w:rsidRPr="00794028" w14:paraId="7E58C674" w14:textId="77777777" w:rsidTr="005D6D37">
        <w:trPr>
          <w:gridAfter w:val="1"/>
          <w:wAfter w:w="593" w:type="dxa"/>
          <w:trHeight w:val="200"/>
        </w:trPr>
        <w:tc>
          <w:tcPr>
            <w:tcW w:w="7663" w:type="dxa"/>
            <w:vAlign w:val="center"/>
          </w:tcPr>
          <w:p w14:paraId="7E58C670"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spacing w:val="-2"/>
                <w:w w:val="95"/>
                <w:sz w:val="20"/>
                <w:szCs w:val="20"/>
              </w:rPr>
              <w:t>waste</w:t>
            </w:r>
          </w:p>
        </w:tc>
        <w:tc>
          <w:tcPr>
            <w:tcW w:w="592" w:type="dxa"/>
          </w:tcPr>
          <w:p w14:paraId="7E58C671" w14:textId="77777777" w:rsidR="009A34CE" w:rsidRPr="00794028" w:rsidRDefault="009A34CE" w:rsidP="00794028">
            <w:pPr>
              <w:pStyle w:val="TableParagraph"/>
              <w:spacing w:line="360" w:lineRule="auto"/>
              <w:rPr>
                <w:rFonts w:ascii="Arial" w:hAnsi="Arial" w:cs="Arial"/>
                <w:sz w:val="20"/>
                <w:szCs w:val="20"/>
              </w:rPr>
            </w:pPr>
          </w:p>
        </w:tc>
        <w:tc>
          <w:tcPr>
            <w:tcW w:w="709" w:type="dxa"/>
          </w:tcPr>
          <w:p w14:paraId="7E58C672" w14:textId="77777777" w:rsidR="009A34CE" w:rsidRPr="00794028" w:rsidRDefault="009A34CE" w:rsidP="00794028">
            <w:pPr>
              <w:pStyle w:val="TableParagraph"/>
              <w:spacing w:line="360" w:lineRule="auto"/>
              <w:rPr>
                <w:rFonts w:ascii="Arial" w:hAnsi="Arial" w:cs="Arial"/>
                <w:sz w:val="20"/>
                <w:szCs w:val="20"/>
              </w:rPr>
            </w:pPr>
          </w:p>
        </w:tc>
        <w:tc>
          <w:tcPr>
            <w:tcW w:w="204" w:type="dxa"/>
          </w:tcPr>
          <w:p w14:paraId="7E58C673"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78" w14:textId="77777777" w:rsidTr="005D6D37">
        <w:trPr>
          <w:gridAfter w:val="2"/>
          <w:wAfter w:w="797" w:type="dxa"/>
          <w:trHeight w:val="199"/>
        </w:trPr>
        <w:tc>
          <w:tcPr>
            <w:tcW w:w="7663" w:type="dxa"/>
            <w:vAlign w:val="center"/>
          </w:tcPr>
          <w:p w14:paraId="7E58C675"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Sensitizing</w:t>
            </w:r>
            <w:r w:rsidRPr="00794028">
              <w:rPr>
                <w:rFonts w:ascii="Arial" w:hAnsi="Arial" w:cs="Arial"/>
                <w:spacing w:val="-3"/>
                <w:sz w:val="20"/>
                <w:szCs w:val="20"/>
              </w:rPr>
              <w:t xml:space="preserve"> </w:t>
            </w:r>
            <w:r w:rsidRPr="00794028">
              <w:rPr>
                <w:rFonts w:ascii="Arial" w:hAnsi="Arial" w:cs="Arial"/>
                <w:w w:val="85"/>
                <w:sz w:val="20"/>
                <w:szCs w:val="20"/>
              </w:rPr>
              <w:t>fellow</w:t>
            </w:r>
            <w:r w:rsidRPr="00794028">
              <w:rPr>
                <w:rFonts w:ascii="Arial" w:hAnsi="Arial" w:cs="Arial"/>
                <w:spacing w:val="-3"/>
                <w:sz w:val="20"/>
                <w:szCs w:val="20"/>
              </w:rPr>
              <w:t xml:space="preserve"> </w:t>
            </w:r>
            <w:r w:rsidRPr="00794028">
              <w:rPr>
                <w:rFonts w:ascii="Arial" w:hAnsi="Arial" w:cs="Arial"/>
                <w:w w:val="85"/>
                <w:sz w:val="20"/>
                <w:szCs w:val="20"/>
              </w:rPr>
              <w:t>residents’</w:t>
            </w:r>
            <w:r w:rsidRPr="00794028">
              <w:rPr>
                <w:rFonts w:ascii="Arial" w:hAnsi="Arial" w:cs="Arial"/>
                <w:spacing w:val="-2"/>
                <w:sz w:val="20"/>
                <w:szCs w:val="20"/>
              </w:rPr>
              <w:t xml:space="preserve"> </w:t>
            </w:r>
            <w:r w:rsidRPr="00794028">
              <w:rPr>
                <w:rFonts w:ascii="Arial" w:hAnsi="Arial" w:cs="Arial"/>
                <w:w w:val="85"/>
                <w:sz w:val="20"/>
                <w:szCs w:val="20"/>
              </w:rPr>
              <w:t>about</w:t>
            </w:r>
            <w:r w:rsidRPr="00794028">
              <w:rPr>
                <w:rFonts w:ascii="Arial" w:hAnsi="Arial" w:cs="Arial"/>
                <w:spacing w:val="-4"/>
                <w:sz w:val="20"/>
                <w:szCs w:val="20"/>
              </w:rPr>
              <w:t xml:space="preserve"> </w:t>
            </w:r>
            <w:r w:rsidRPr="00794028">
              <w:rPr>
                <w:rFonts w:ascii="Arial" w:hAnsi="Arial" w:cs="Arial"/>
                <w:w w:val="85"/>
                <w:sz w:val="20"/>
                <w:szCs w:val="20"/>
              </w:rPr>
              <w:t>causes</w:t>
            </w:r>
            <w:r w:rsidRPr="00794028">
              <w:rPr>
                <w:rFonts w:ascii="Arial" w:hAnsi="Arial" w:cs="Arial"/>
                <w:spacing w:val="-2"/>
                <w:sz w:val="20"/>
                <w:szCs w:val="20"/>
              </w:rPr>
              <w:t xml:space="preserve"> </w:t>
            </w:r>
            <w:r w:rsidRPr="00794028">
              <w:rPr>
                <w:rFonts w:ascii="Arial" w:hAnsi="Arial" w:cs="Arial"/>
                <w:w w:val="85"/>
                <w:sz w:val="20"/>
                <w:szCs w:val="20"/>
              </w:rPr>
              <w:t>of</w:t>
            </w:r>
            <w:r w:rsidRPr="00794028">
              <w:rPr>
                <w:rFonts w:ascii="Arial" w:hAnsi="Arial" w:cs="Arial"/>
                <w:spacing w:val="-3"/>
                <w:sz w:val="20"/>
                <w:szCs w:val="20"/>
              </w:rPr>
              <w:t xml:space="preserve"> </w:t>
            </w:r>
            <w:r w:rsidRPr="00794028">
              <w:rPr>
                <w:rFonts w:ascii="Arial" w:hAnsi="Arial" w:cs="Arial"/>
                <w:w w:val="85"/>
                <w:sz w:val="20"/>
                <w:szCs w:val="20"/>
              </w:rPr>
              <w:t>sea level rise</w:t>
            </w:r>
          </w:p>
        </w:tc>
        <w:tc>
          <w:tcPr>
            <w:tcW w:w="592" w:type="dxa"/>
          </w:tcPr>
          <w:p w14:paraId="7E58C676"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3.84</w:t>
            </w:r>
          </w:p>
        </w:tc>
        <w:tc>
          <w:tcPr>
            <w:tcW w:w="709" w:type="dxa"/>
          </w:tcPr>
          <w:p w14:paraId="7E58C677"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0.13</w:t>
            </w:r>
          </w:p>
        </w:tc>
      </w:tr>
      <w:tr w:rsidR="009A34CE" w:rsidRPr="00794028" w14:paraId="7E58C67C" w14:textId="77777777" w:rsidTr="005D6D37">
        <w:trPr>
          <w:gridAfter w:val="2"/>
          <w:wAfter w:w="797" w:type="dxa"/>
          <w:trHeight w:val="199"/>
        </w:trPr>
        <w:tc>
          <w:tcPr>
            <w:tcW w:w="7663" w:type="dxa"/>
            <w:vAlign w:val="center"/>
          </w:tcPr>
          <w:p w14:paraId="7E58C679"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Construction</w:t>
            </w:r>
            <w:r w:rsidRPr="00794028">
              <w:rPr>
                <w:rFonts w:ascii="Arial" w:hAnsi="Arial" w:cs="Arial"/>
                <w:spacing w:val="2"/>
                <w:sz w:val="20"/>
                <w:szCs w:val="20"/>
              </w:rPr>
              <w:t xml:space="preserve"> </w:t>
            </w:r>
            <w:r w:rsidRPr="00794028">
              <w:rPr>
                <w:rFonts w:ascii="Arial" w:hAnsi="Arial" w:cs="Arial"/>
                <w:w w:val="85"/>
                <w:sz w:val="20"/>
                <w:szCs w:val="20"/>
              </w:rPr>
              <w:t>of</w:t>
            </w:r>
            <w:r w:rsidRPr="00794028">
              <w:rPr>
                <w:rFonts w:ascii="Arial" w:hAnsi="Arial" w:cs="Arial"/>
                <w:spacing w:val="5"/>
                <w:sz w:val="20"/>
                <w:szCs w:val="20"/>
              </w:rPr>
              <w:t xml:space="preserve"> </w:t>
            </w:r>
            <w:r w:rsidRPr="00794028">
              <w:rPr>
                <w:rFonts w:ascii="Arial" w:hAnsi="Arial" w:cs="Arial"/>
                <w:w w:val="85"/>
                <w:sz w:val="20"/>
                <w:szCs w:val="20"/>
              </w:rPr>
              <w:t>high</w:t>
            </w:r>
            <w:r w:rsidRPr="00794028">
              <w:rPr>
                <w:rFonts w:ascii="Arial" w:hAnsi="Arial" w:cs="Arial"/>
                <w:spacing w:val="4"/>
                <w:sz w:val="20"/>
                <w:szCs w:val="20"/>
              </w:rPr>
              <w:t xml:space="preserve"> </w:t>
            </w:r>
            <w:r w:rsidRPr="00794028">
              <w:rPr>
                <w:rFonts w:ascii="Arial" w:hAnsi="Arial" w:cs="Arial"/>
                <w:w w:val="85"/>
                <w:sz w:val="20"/>
                <w:szCs w:val="20"/>
              </w:rPr>
              <w:t>wall</w:t>
            </w:r>
            <w:r w:rsidRPr="00794028">
              <w:rPr>
                <w:rFonts w:ascii="Arial" w:hAnsi="Arial" w:cs="Arial"/>
                <w:spacing w:val="3"/>
                <w:sz w:val="20"/>
                <w:szCs w:val="20"/>
              </w:rPr>
              <w:t xml:space="preserve"> </w:t>
            </w:r>
            <w:r w:rsidRPr="00794028">
              <w:rPr>
                <w:rFonts w:ascii="Arial" w:hAnsi="Arial" w:cs="Arial"/>
                <w:w w:val="85"/>
                <w:sz w:val="20"/>
                <w:szCs w:val="20"/>
              </w:rPr>
              <w:t>to</w:t>
            </w:r>
            <w:r w:rsidRPr="00794028">
              <w:rPr>
                <w:rFonts w:ascii="Arial" w:hAnsi="Arial" w:cs="Arial"/>
                <w:spacing w:val="5"/>
                <w:sz w:val="20"/>
                <w:szCs w:val="20"/>
              </w:rPr>
              <w:t xml:space="preserve"> </w:t>
            </w:r>
            <w:r w:rsidRPr="00794028">
              <w:rPr>
                <w:rFonts w:ascii="Arial" w:hAnsi="Arial" w:cs="Arial"/>
                <w:w w:val="85"/>
                <w:sz w:val="20"/>
                <w:szCs w:val="20"/>
              </w:rPr>
              <w:t>prevent</w:t>
            </w:r>
            <w:r w:rsidRPr="00794028">
              <w:rPr>
                <w:rFonts w:ascii="Arial" w:hAnsi="Arial" w:cs="Arial"/>
                <w:spacing w:val="3"/>
                <w:sz w:val="20"/>
                <w:szCs w:val="20"/>
              </w:rPr>
              <w:t xml:space="preserve"> </w:t>
            </w:r>
            <w:r w:rsidRPr="00794028">
              <w:rPr>
                <w:rFonts w:ascii="Arial" w:hAnsi="Arial" w:cs="Arial"/>
                <w:spacing w:val="-2"/>
                <w:w w:val="85"/>
                <w:sz w:val="20"/>
                <w:szCs w:val="20"/>
              </w:rPr>
              <w:t>flood</w:t>
            </w:r>
          </w:p>
        </w:tc>
        <w:tc>
          <w:tcPr>
            <w:tcW w:w="592" w:type="dxa"/>
          </w:tcPr>
          <w:p w14:paraId="7E58C67A"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3.62</w:t>
            </w:r>
          </w:p>
        </w:tc>
        <w:tc>
          <w:tcPr>
            <w:tcW w:w="709" w:type="dxa"/>
          </w:tcPr>
          <w:p w14:paraId="7E58C67B"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−0.09</w:t>
            </w:r>
          </w:p>
        </w:tc>
      </w:tr>
      <w:tr w:rsidR="009A34CE" w:rsidRPr="00794028" w14:paraId="7E58C680" w14:textId="77777777" w:rsidTr="005D6D37">
        <w:trPr>
          <w:gridAfter w:val="2"/>
          <w:wAfter w:w="797" w:type="dxa"/>
          <w:trHeight w:val="200"/>
        </w:trPr>
        <w:tc>
          <w:tcPr>
            <w:tcW w:w="7663" w:type="dxa"/>
            <w:vAlign w:val="center"/>
          </w:tcPr>
          <w:p w14:paraId="7E58C67D"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90"/>
                <w:sz w:val="20"/>
                <w:szCs w:val="20"/>
              </w:rPr>
              <w:t>Shun</w:t>
            </w:r>
            <w:r w:rsidRPr="00794028">
              <w:rPr>
                <w:rFonts w:ascii="Arial" w:hAnsi="Arial" w:cs="Arial"/>
                <w:spacing w:val="-3"/>
                <w:sz w:val="20"/>
                <w:szCs w:val="20"/>
              </w:rPr>
              <w:t xml:space="preserve"> </w:t>
            </w:r>
            <w:r w:rsidRPr="00794028">
              <w:rPr>
                <w:rFonts w:ascii="Arial" w:hAnsi="Arial" w:cs="Arial"/>
                <w:w w:val="90"/>
                <w:sz w:val="20"/>
                <w:szCs w:val="20"/>
              </w:rPr>
              <w:t>haphazard</w:t>
            </w:r>
            <w:r w:rsidRPr="00794028">
              <w:rPr>
                <w:rFonts w:ascii="Arial" w:hAnsi="Arial" w:cs="Arial"/>
                <w:spacing w:val="-3"/>
                <w:sz w:val="20"/>
                <w:szCs w:val="20"/>
              </w:rPr>
              <w:t xml:space="preserve"> </w:t>
            </w:r>
            <w:r w:rsidRPr="00794028">
              <w:rPr>
                <w:rFonts w:ascii="Arial" w:hAnsi="Arial" w:cs="Arial"/>
                <w:w w:val="90"/>
                <w:sz w:val="20"/>
                <w:szCs w:val="20"/>
              </w:rPr>
              <w:t>bush</w:t>
            </w:r>
            <w:r w:rsidRPr="00794028">
              <w:rPr>
                <w:rFonts w:ascii="Arial" w:hAnsi="Arial" w:cs="Arial"/>
                <w:spacing w:val="-4"/>
                <w:sz w:val="20"/>
                <w:szCs w:val="20"/>
              </w:rPr>
              <w:t xml:space="preserve"> </w:t>
            </w:r>
            <w:r w:rsidRPr="00794028">
              <w:rPr>
                <w:rFonts w:ascii="Arial" w:hAnsi="Arial" w:cs="Arial"/>
                <w:spacing w:val="-2"/>
                <w:w w:val="90"/>
                <w:sz w:val="20"/>
                <w:szCs w:val="20"/>
              </w:rPr>
              <w:t>burning</w:t>
            </w:r>
          </w:p>
        </w:tc>
        <w:tc>
          <w:tcPr>
            <w:tcW w:w="592" w:type="dxa"/>
          </w:tcPr>
          <w:p w14:paraId="7E58C67E"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3.79</w:t>
            </w:r>
          </w:p>
        </w:tc>
        <w:tc>
          <w:tcPr>
            <w:tcW w:w="709" w:type="dxa"/>
          </w:tcPr>
          <w:p w14:paraId="7E58C67F"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0.08</w:t>
            </w:r>
          </w:p>
        </w:tc>
      </w:tr>
      <w:tr w:rsidR="009A34CE" w:rsidRPr="00794028" w14:paraId="7E58C684" w14:textId="77777777" w:rsidTr="005D6D37">
        <w:trPr>
          <w:gridAfter w:val="2"/>
          <w:wAfter w:w="797" w:type="dxa"/>
          <w:trHeight w:val="200"/>
        </w:trPr>
        <w:tc>
          <w:tcPr>
            <w:tcW w:w="7663" w:type="dxa"/>
            <w:vAlign w:val="center"/>
          </w:tcPr>
          <w:p w14:paraId="7E58C681"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Listening</w:t>
            </w:r>
            <w:r w:rsidRPr="00794028">
              <w:rPr>
                <w:rFonts w:ascii="Arial" w:hAnsi="Arial" w:cs="Arial"/>
                <w:spacing w:val="1"/>
                <w:sz w:val="20"/>
                <w:szCs w:val="20"/>
              </w:rPr>
              <w:t xml:space="preserve"> </w:t>
            </w:r>
            <w:r w:rsidRPr="00794028">
              <w:rPr>
                <w:rFonts w:ascii="Arial" w:hAnsi="Arial" w:cs="Arial"/>
                <w:w w:val="85"/>
                <w:sz w:val="20"/>
                <w:szCs w:val="20"/>
              </w:rPr>
              <w:t>to</w:t>
            </w:r>
            <w:r w:rsidRPr="00794028">
              <w:rPr>
                <w:rFonts w:ascii="Arial" w:hAnsi="Arial" w:cs="Arial"/>
                <w:spacing w:val="2"/>
                <w:sz w:val="20"/>
                <w:szCs w:val="20"/>
              </w:rPr>
              <w:t xml:space="preserve"> </w:t>
            </w:r>
            <w:r w:rsidRPr="00794028">
              <w:rPr>
                <w:rFonts w:ascii="Arial" w:hAnsi="Arial" w:cs="Arial"/>
                <w:w w:val="85"/>
                <w:sz w:val="20"/>
                <w:szCs w:val="20"/>
              </w:rPr>
              <w:t>information</w:t>
            </w:r>
            <w:r w:rsidRPr="00794028">
              <w:rPr>
                <w:rFonts w:ascii="Arial" w:hAnsi="Arial" w:cs="Arial"/>
                <w:sz w:val="20"/>
                <w:szCs w:val="20"/>
              </w:rPr>
              <w:t xml:space="preserve"> </w:t>
            </w:r>
            <w:r w:rsidRPr="00794028">
              <w:rPr>
                <w:rFonts w:ascii="Arial" w:hAnsi="Arial" w:cs="Arial"/>
                <w:w w:val="85"/>
                <w:sz w:val="20"/>
                <w:szCs w:val="20"/>
              </w:rPr>
              <w:t>on</w:t>
            </w:r>
            <w:r w:rsidRPr="00794028">
              <w:rPr>
                <w:rFonts w:ascii="Arial" w:hAnsi="Arial" w:cs="Arial"/>
                <w:spacing w:val="1"/>
                <w:sz w:val="20"/>
                <w:szCs w:val="20"/>
              </w:rPr>
              <w:t xml:space="preserve"> </w:t>
            </w:r>
            <w:r w:rsidRPr="00794028">
              <w:rPr>
                <w:rFonts w:ascii="Arial" w:hAnsi="Arial" w:cs="Arial"/>
                <w:w w:val="85"/>
                <w:sz w:val="20"/>
                <w:szCs w:val="20"/>
              </w:rPr>
              <w:t>climate</w:t>
            </w:r>
            <w:r w:rsidRPr="00794028">
              <w:rPr>
                <w:rFonts w:ascii="Arial" w:hAnsi="Arial" w:cs="Arial"/>
                <w:spacing w:val="1"/>
                <w:sz w:val="20"/>
                <w:szCs w:val="20"/>
              </w:rPr>
              <w:t xml:space="preserve"> </w:t>
            </w:r>
            <w:r w:rsidRPr="00794028">
              <w:rPr>
                <w:rFonts w:ascii="Arial" w:hAnsi="Arial" w:cs="Arial"/>
                <w:spacing w:val="-2"/>
                <w:w w:val="85"/>
                <w:sz w:val="20"/>
                <w:szCs w:val="20"/>
              </w:rPr>
              <w:t>change</w:t>
            </w:r>
          </w:p>
        </w:tc>
        <w:tc>
          <w:tcPr>
            <w:tcW w:w="592" w:type="dxa"/>
          </w:tcPr>
          <w:p w14:paraId="7E58C682"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3.82</w:t>
            </w:r>
          </w:p>
        </w:tc>
        <w:tc>
          <w:tcPr>
            <w:tcW w:w="709" w:type="dxa"/>
          </w:tcPr>
          <w:p w14:paraId="7E58C683"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0.11</w:t>
            </w:r>
          </w:p>
        </w:tc>
      </w:tr>
      <w:tr w:rsidR="009A34CE" w:rsidRPr="00794028" w14:paraId="7E58C688" w14:textId="77777777" w:rsidTr="005D6D37">
        <w:trPr>
          <w:gridAfter w:val="2"/>
          <w:wAfter w:w="797" w:type="dxa"/>
          <w:trHeight w:val="199"/>
        </w:trPr>
        <w:tc>
          <w:tcPr>
            <w:tcW w:w="7663" w:type="dxa"/>
            <w:vAlign w:val="center"/>
          </w:tcPr>
          <w:p w14:paraId="7E58C685"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Enforcement</w:t>
            </w:r>
            <w:r w:rsidRPr="00794028">
              <w:rPr>
                <w:rFonts w:ascii="Arial" w:hAnsi="Arial" w:cs="Arial"/>
                <w:spacing w:val="1"/>
                <w:sz w:val="20"/>
                <w:szCs w:val="20"/>
              </w:rPr>
              <w:t xml:space="preserve"> </w:t>
            </w:r>
            <w:r w:rsidRPr="00794028">
              <w:rPr>
                <w:rFonts w:ascii="Arial" w:hAnsi="Arial" w:cs="Arial"/>
                <w:w w:val="85"/>
                <w:sz w:val="20"/>
                <w:szCs w:val="20"/>
              </w:rPr>
              <w:t>of</w:t>
            </w:r>
            <w:r w:rsidRPr="00794028">
              <w:rPr>
                <w:rFonts w:ascii="Arial" w:hAnsi="Arial" w:cs="Arial"/>
                <w:spacing w:val="4"/>
                <w:sz w:val="20"/>
                <w:szCs w:val="20"/>
              </w:rPr>
              <w:t xml:space="preserve"> </w:t>
            </w:r>
            <w:r w:rsidRPr="00794028">
              <w:rPr>
                <w:rFonts w:ascii="Arial" w:hAnsi="Arial" w:cs="Arial"/>
                <w:w w:val="85"/>
                <w:sz w:val="20"/>
                <w:szCs w:val="20"/>
              </w:rPr>
              <w:t>building</w:t>
            </w:r>
            <w:r w:rsidRPr="00794028">
              <w:rPr>
                <w:rFonts w:ascii="Arial" w:hAnsi="Arial" w:cs="Arial"/>
                <w:spacing w:val="5"/>
                <w:sz w:val="20"/>
                <w:szCs w:val="20"/>
              </w:rPr>
              <w:t xml:space="preserve"> </w:t>
            </w:r>
            <w:r w:rsidRPr="00794028">
              <w:rPr>
                <w:rFonts w:ascii="Arial" w:hAnsi="Arial" w:cs="Arial"/>
                <w:w w:val="85"/>
                <w:sz w:val="20"/>
                <w:szCs w:val="20"/>
              </w:rPr>
              <w:t>codes/</w:t>
            </w:r>
            <w:r w:rsidRPr="00794028">
              <w:rPr>
                <w:rFonts w:ascii="Arial" w:hAnsi="Arial" w:cs="Arial"/>
                <w:spacing w:val="2"/>
                <w:sz w:val="20"/>
                <w:szCs w:val="20"/>
              </w:rPr>
              <w:t xml:space="preserve"> </w:t>
            </w:r>
            <w:r w:rsidRPr="00794028">
              <w:rPr>
                <w:rFonts w:ascii="Arial" w:hAnsi="Arial" w:cs="Arial"/>
                <w:spacing w:val="-2"/>
                <w:w w:val="85"/>
                <w:sz w:val="20"/>
                <w:szCs w:val="20"/>
              </w:rPr>
              <w:t>guidelines</w:t>
            </w:r>
          </w:p>
        </w:tc>
        <w:tc>
          <w:tcPr>
            <w:tcW w:w="592" w:type="dxa"/>
          </w:tcPr>
          <w:p w14:paraId="7E58C686"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3.41</w:t>
            </w:r>
          </w:p>
        </w:tc>
        <w:tc>
          <w:tcPr>
            <w:tcW w:w="709" w:type="dxa"/>
          </w:tcPr>
          <w:p w14:paraId="7E58C687"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−0.30</w:t>
            </w:r>
          </w:p>
        </w:tc>
      </w:tr>
      <w:tr w:rsidR="009A34CE" w:rsidRPr="00794028" w14:paraId="7E58C68C" w14:textId="77777777" w:rsidTr="005D6D37">
        <w:trPr>
          <w:gridAfter w:val="2"/>
          <w:wAfter w:w="797" w:type="dxa"/>
          <w:trHeight w:val="199"/>
        </w:trPr>
        <w:tc>
          <w:tcPr>
            <w:tcW w:w="7663" w:type="dxa"/>
            <w:vAlign w:val="center"/>
          </w:tcPr>
          <w:p w14:paraId="7E58C689"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Constructing</w:t>
            </w:r>
            <w:r w:rsidRPr="00794028">
              <w:rPr>
                <w:rFonts w:ascii="Arial" w:hAnsi="Arial" w:cs="Arial"/>
                <w:spacing w:val="5"/>
                <w:sz w:val="20"/>
                <w:szCs w:val="20"/>
              </w:rPr>
              <w:t xml:space="preserve"> </w:t>
            </w:r>
            <w:r w:rsidRPr="00794028">
              <w:rPr>
                <w:rFonts w:ascii="Arial" w:hAnsi="Arial" w:cs="Arial"/>
                <w:w w:val="85"/>
                <w:sz w:val="20"/>
                <w:szCs w:val="20"/>
              </w:rPr>
              <w:t>property</w:t>
            </w:r>
            <w:r w:rsidRPr="00794028">
              <w:rPr>
                <w:rFonts w:ascii="Arial" w:hAnsi="Arial" w:cs="Arial"/>
                <w:spacing w:val="5"/>
                <w:sz w:val="20"/>
                <w:szCs w:val="20"/>
              </w:rPr>
              <w:t xml:space="preserve"> </w:t>
            </w:r>
            <w:r w:rsidRPr="00794028">
              <w:rPr>
                <w:rFonts w:ascii="Arial" w:hAnsi="Arial" w:cs="Arial"/>
                <w:w w:val="85"/>
                <w:sz w:val="20"/>
                <w:szCs w:val="20"/>
              </w:rPr>
              <w:t>above</w:t>
            </w:r>
            <w:r w:rsidRPr="00794028">
              <w:rPr>
                <w:rFonts w:ascii="Arial" w:hAnsi="Arial" w:cs="Arial"/>
                <w:spacing w:val="7"/>
                <w:sz w:val="20"/>
                <w:szCs w:val="20"/>
              </w:rPr>
              <w:t xml:space="preserve"> </w:t>
            </w:r>
            <w:r w:rsidRPr="00794028">
              <w:rPr>
                <w:rFonts w:ascii="Arial" w:hAnsi="Arial" w:cs="Arial"/>
                <w:w w:val="85"/>
                <w:sz w:val="20"/>
                <w:szCs w:val="20"/>
              </w:rPr>
              <w:t>flood</w:t>
            </w:r>
            <w:r w:rsidRPr="00794028">
              <w:rPr>
                <w:rFonts w:ascii="Arial" w:hAnsi="Arial" w:cs="Arial"/>
                <w:spacing w:val="5"/>
                <w:sz w:val="20"/>
                <w:szCs w:val="20"/>
              </w:rPr>
              <w:t xml:space="preserve"> </w:t>
            </w:r>
            <w:r w:rsidRPr="00794028">
              <w:rPr>
                <w:rFonts w:ascii="Arial" w:hAnsi="Arial" w:cs="Arial"/>
                <w:spacing w:val="-2"/>
                <w:w w:val="85"/>
                <w:sz w:val="20"/>
                <w:szCs w:val="20"/>
              </w:rPr>
              <w:t>level</w:t>
            </w:r>
          </w:p>
        </w:tc>
        <w:tc>
          <w:tcPr>
            <w:tcW w:w="592" w:type="dxa"/>
          </w:tcPr>
          <w:p w14:paraId="7E58C68A"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3.32</w:t>
            </w:r>
          </w:p>
        </w:tc>
        <w:tc>
          <w:tcPr>
            <w:tcW w:w="709" w:type="dxa"/>
          </w:tcPr>
          <w:p w14:paraId="7E58C68B"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−0.40</w:t>
            </w:r>
          </w:p>
        </w:tc>
      </w:tr>
      <w:tr w:rsidR="009A34CE" w:rsidRPr="00794028" w14:paraId="7E58C690" w14:textId="77777777" w:rsidTr="005D6D37">
        <w:trPr>
          <w:gridAfter w:val="2"/>
          <w:wAfter w:w="797" w:type="dxa"/>
          <w:trHeight w:val="200"/>
        </w:trPr>
        <w:tc>
          <w:tcPr>
            <w:tcW w:w="7663" w:type="dxa"/>
            <w:vAlign w:val="center"/>
          </w:tcPr>
          <w:p w14:paraId="7E58C68D"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Planting</w:t>
            </w:r>
            <w:r w:rsidRPr="00794028">
              <w:rPr>
                <w:rFonts w:ascii="Arial" w:hAnsi="Arial" w:cs="Arial"/>
                <w:spacing w:val="3"/>
                <w:sz w:val="20"/>
                <w:szCs w:val="20"/>
              </w:rPr>
              <w:t xml:space="preserve"> </w:t>
            </w:r>
            <w:r w:rsidRPr="00794028">
              <w:rPr>
                <w:rFonts w:ascii="Arial" w:hAnsi="Arial" w:cs="Arial"/>
                <w:w w:val="85"/>
                <w:sz w:val="20"/>
                <w:szCs w:val="20"/>
              </w:rPr>
              <w:t>of</w:t>
            </w:r>
            <w:r w:rsidRPr="00794028">
              <w:rPr>
                <w:rFonts w:ascii="Arial" w:hAnsi="Arial" w:cs="Arial"/>
                <w:spacing w:val="4"/>
                <w:sz w:val="20"/>
                <w:szCs w:val="20"/>
              </w:rPr>
              <w:t xml:space="preserve"> </w:t>
            </w:r>
            <w:r w:rsidRPr="00794028">
              <w:rPr>
                <w:rFonts w:ascii="Arial" w:hAnsi="Arial" w:cs="Arial"/>
                <w:w w:val="85"/>
                <w:sz w:val="20"/>
                <w:szCs w:val="20"/>
              </w:rPr>
              <w:t>trees</w:t>
            </w:r>
            <w:r w:rsidRPr="00794028">
              <w:rPr>
                <w:rFonts w:ascii="Arial" w:hAnsi="Arial" w:cs="Arial"/>
                <w:spacing w:val="4"/>
                <w:sz w:val="20"/>
                <w:szCs w:val="20"/>
              </w:rPr>
              <w:t xml:space="preserve"> </w:t>
            </w:r>
            <w:r w:rsidRPr="00794028">
              <w:rPr>
                <w:rFonts w:ascii="Arial" w:hAnsi="Arial" w:cs="Arial"/>
                <w:w w:val="85"/>
                <w:sz w:val="20"/>
                <w:szCs w:val="20"/>
              </w:rPr>
              <w:t>for</w:t>
            </w:r>
            <w:r w:rsidRPr="00794028">
              <w:rPr>
                <w:rFonts w:ascii="Arial" w:hAnsi="Arial" w:cs="Arial"/>
                <w:spacing w:val="4"/>
                <w:sz w:val="20"/>
                <w:szCs w:val="20"/>
              </w:rPr>
              <w:t xml:space="preserve"> </w:t>
            </w:r>
            <w:r w:rsidRPr="00794028">
              <w:rPr>
                <w:rFonts w:ascii="Arial" w:hAnsi="Arial" w:cs="Arial"/>
                <w:w w:val="85"/>
                <w:sz w:val="20"/>
                <w:szCs w:val="20"/>
              </w:rPr>
              <w:t>shading</w:t>
            </w:r>
            <w:r w:rsidRPr="00794028">
              <w:rPr>
                <w:rFonts w:ascii="Arial" w:hAnsi="Arial" w:cs="Arial"/>
                <w:spacing w:val="5"/>
                <w:sz w:val="20"/>
                <w:szCs w:val="20"/>
              </w:rPr>
              <w:t xml:space="preserve"> </w:t>
            </w:r>
            <w:r w:rsidRPr="00794028">
              <w:rPr>
                <w:rFonts w:ascii="Arial" w:hAnsi="Arial" w:cs="Arial"/>
                <w:w w:val="85"/>
                <w:sz w:val="20"/>
                <w:szCs w:val="20"/>
              </w:rPr>
              <w:t>from</w:t>
            </w:r>
            <w:r w:rsidRPr="00794028">
              <w:rPr>
                <w:rFonts w:ascii="Arial" w:hAnsi="Arial" w:cs="Arial"/>
                <w:spacing w:val="3"/>
                <w:sz w:val="20"/>
                <w:szCs w:val="20"/>
              </w:rPr>
              <w:t xml:space="preserve"> </w:t>
            </w:r>
            <w:r w:rsidRPr="00794028">
              <w:rPr>
                <w:rFonts w:ascii="Arial" w:hAnsi="Arial" w:cs="Arial"/>
                <w:w w:val="85"/>
                <w:sz w:val="20"/>
                <w:szCs w:val="20"/>
              </w:rPr>
              <w:t>sun</w:t>
            </w:r>
            <w:r w:rsidRPr="00794028">
              <w:rPr>
                <w:rFonts w:ascii="Arial" w:hAnsi="Arial" w:cs="Arial"/>
                <w:spacing w:val="5"/>
                <w:sz w:val="20"/>
                <w:szCs w:val="20"/>
              </w:rPr>
              <w:t xml:space="preserve"> </w:t>
            </w:r>
            <w:r w:rsidRPr="00794028">
              <w:rPr>
                <w:rFonts w:ascii="Arial" w:hAnsi="Arial" w:cs="Arial"/>
                <w:w w:val="85"/>
                <w:sz w:val="20"/>
                <w:szCs w:val="20"/>
              </w:rPr>
              <w:t>heat</w:t>
            </w:r>
            <w:r w:rsidRPr="00794028">
              <w:rPr>
                <w:rFonts w:ascii="Arial" w:hAnsi="Arial" w:cs="Arial"/>
                <w:spacing w:val="3"/>
                <w:sz w:val="20"/>
                <w:szCs w:val="20"/>
              </w:rPr>
              <w:t xml:space="preserve"> </w:t>
            </w:r>
            <w:r w:rsidRPr="00794028">
              <w:rPr>
                <w:rFonts w:ascii="Arial" w:hAnsi="Arial" w:cs="Arial"/>
                <w:w w:val="85"/>
                <w:sz w:val="20"/>
                <w:szCs w:val="20"/>
              </w:rPr>
              <w:t>and</w:t>
            </w:r>
            <w:r w:rsidRPr="00794028">
              <w:rPr>
                <w:rFonts w:ascii="Arial" w:hAnsi="Arial" w:cs="Arial"/>
                <w:spacing w:val="5"/>
                <w:sz w:val="20"/>
                <w:szCs w:val="20"/>
              </w:rPr>
              <w:t xml:space="preserve"> </w:t>
            </w:r>
            <w:r w:rsidRPr="00794028">
              <w:rPr>
                <w:rFonts w:ascii="Arial" w:hAnsi="Arial" w:cs="Arial"/>
                <w:spacing w:val="-2"/>
                <w:w w:val="85"/>
                <w:sz w:val="20"/>
                <w:szCs w:val="20"/>
              </w:rPr>
              <w:t>breaking</w:t>
            </w:r>
          </w:p>
        </w:tc>
        <w:tc>
          <w:tcPr>
            <w:tcW w:w="592" w:type="dxa"/>
          </w:tcPr>
          <w:p w14:paraId="7E58C68E"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3.72</w:t>
            </w:r>
          </w:p>
        </w:tc>
        <w:tc>
          <w:tcPr>
            <w:tcW w:w="709" w:type="dxa"/>
          </w:tcPr>
          <w:p w14:paraId="7E58C68F"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0.01</w:t>
            </w:r>
          </w:p>
        </w:tc>
      </w:tr>
      <w:tr w:rsidR="009A34CE" w:rsidRPr="00794028" w14:paraId="7E58C695" w14:textId="77777777" w:rsidTr="005D6D37">
        <w:trPr>
          <w:gridAfter w:val="1"/>
          <w:wAfter w:w="593" w:type="dxa"/>
          <w:trHeight w:val="200"/>
        </w:trPr>
        <w:tc>
          <w:tcPr>
            <w:tcW w:w="7663" w:type="dxa"/>
            <w:vAlign w:val="center"/>
          </w:tcPr>
          <w:p w14:paraId="7E58C691"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90"/>
                <w:sz w:val="20"/>
                <w:szCs w:val="20"/>
              </w:rPr>
              <w:t>wind</w:t>
            </w:r>
            <w:r w:rsidRPr="00794028">
              <w:rPr>
                <w:rFonts w:ascii="Arial" w:hAnsi="Arial" w:cs="Arial"/>
                <w:spacing w:val="-3"/>
                <w:sz w:val="20"/>
                <w:szCs w:val="20"/>
              </w:rPr>
              <w:t xml:space="preserve"> </w:t>
            </w:r>
            <w:r w:rsidRPr="00794028">
              <w:rPr>
                <w:rFonts w:ascii="Arial" w:hAnsi="Arial" w:cs="Arial"/>
                <w:spacing w:val="-2"/>
                <w:sz w:val="20"/>
                <w:szCs w:val="20"/>
              </w:rPr>
              <w:t>speed</w:t>
            </w:r>
          </w:p>
        </w:tc>
        <w:tc>
          <w:tcPr>
            <w:tcW w:w="592" w:type="dxa"/>
          </w:tcPr>
          <w:p w14:paraId="7E58C692" w14:textId="77777777" w:rsidR="009A34CE" w:rsidRPr="00794028" w:rsidRDefault="009A34CE" w:rsidP="00794028">
            <w:pPr>
              <w:pStyle w:val="TableParagraph"/>
              <w:spacing w:line="360" w:lineRule="auto"/>
              <w:rPr>
                <w:rFonts w:ascii="Arial" w:hAnsi="Arial" w:cs="Arial"/>
                <w:sz w:val="20"/>
                <w:szCs w:val="20"/>
              </w:rPr>
            </w:pPr>
          </w:p>
        </w:tc>
        <w:tc>
          <w:tcPr>
            <w:tcW w:w="709" w:type="dxa"/>
          </w:tcPr>
          <w:p w14:paraId="7E58C693" w14:textId="77777777" w:rsidR="009A34CE" w:rsidRPr="00794028" w:rsidRDefault="009A34CE" w:rsidP="00794028">
            <w:pPr>
              <w:pStyle w:val="TableParagraph"/>
              <w:spacing w:line="360" w:lineRule="auto"/>
              <w:rPr>
                <w:rFonts w:ascii="Arial" w:hAnsi="Arial" w:cs="Arial"/>
                <w:sz w:val="20"/>
                <w:szCs w:val="20"/>
              </w:rPr>
            </w:pPr>
          </w:p>
        </w:tc>
        <w:tc>
          <w:tcPr>
            <w:tcW w:w="204" w:type="dxa"/>
          </w:tcPr>
          <w:p w14:paraId="7E58C694"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99" w14:textId="77777777" w:rsidTr="005D6D37">
        <w:trPr>
          <w:gridAfter w:val="2"/>
          <w:wAfter w:w="797" w:type="dxa"/>
          <w:trHeight w:val="199"/>
        </w:trPr>
        <w:tc>
          <w:tcPr>
            <w:tcW w:w="7663" w:type="dxa"/>
            <w:vAlign w:val="center"/>
          </w:tcPr>
          <w:p w14:paraId="7E58C696"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Provide</w:t>
            </w:r>
            <w:r w:rsidRPr="00794028">
              <w:rPr>
                <w:rFonts w:ascii="Arial" w:hAnsi="Arial" w:cs="Arial"/>
                <w:spacing w:val="-5"/>
                <w:sz w:val="20"/>
                <w:szCs w:val="20"/>
              </w:rPr>
              <w:t xml:space="preserve"> </w:t>
            </w:r>
            <w:r w:rsidRPr="00794028">
              <w:rPr>
                <w:rFonts w:ascii="Arial" w:hAnsi="Arial" w:cs="Arial"/>
                <w:w w:val="85"/>
                <w:sz w:val="20"/>
                <w:szCs w:val="20"/>
              </w:rPr>
              <w:t>efficient</w:t>
            </w:r>
            <w:r w:rsidRPr="00794028">
              <w:rPr>
                <w:rFonts w:ascii="Arial" w:hAnsi="Arial" w:cs="Arial"/>
                <w:spacing w:val="-4"/>
                <w:sz w:val="20"/>
                <w:szCs w:val="20"/>
              </w:rPr>
              <w:t xml:space="preserve"> </w:t>
            </w:r>
            <w:r w:rsidRPr="00794028">
              <w:rPr>
                <w:rFonts w:ascii="Arial" w:hAnsi="Arial" w:cs="Arial"/>
                <w:w w:val="85"/>
                <w:sz w:val="20"/>
                <w:szCs w:val="20"/>
              </w:rPr>
              <w:t>mechanisms</w:t>
            </w:r>
            <w:r w:rsidRPr="00794028">
              <w:rPr>
                <w:rFonts w:ascii="Arial" w:hAnsi="Arial" w:cs="Arial"/>
                <w:spacing w:val="-5"/>
                <w:sz w:val="20"/>
                <w:szCs w:val="20"/>
              </w:rPr>
              <w:t xml:space="preserve"> </w:t>
            </w:r>
            <w:r w:rsidRPr="00794028">
              <w:rPr>
                <w:rFonts w:ascii="Arial" w:hAnsi="Arial" w:cs="Arial"/>
                <w:w w:val="85"/>
                <w:sz w:val="20"/>
                <w:szCs w:val="20"/>
              </w:rPr>
              <w:t>for</w:t>
            </w:r>
            <w:r w:rsidRPr="00794028">
              <w:rPr>
                <w:rFonts w:ascii="Arial" w:hAnsi="Arial" w:cs="Arial"/>
                <w:spacing w:val="-3"/>
                <w:sz w:val="20"/>
                <w:szCs w:val="20"/>
              </w:rPr>
              <w:t xml:space="preserve"> </w:t>
            </w:r>
            <w:r w:rsidRPr="00794028">
              <w:rPr>
                <w:rFonts w:ascii="Arial" w:hAnsi="Arial" w:cs="Arial"/>
                <w:w w:val="85"/>
                <w:sz w:val="20"/>
                <w:szCs w:val="20"/>
              </w:rPr>
              <w:t>disaster</w:t>
            </w:r>
            <w:r w:rsidRPr="00794028">
              <w:rPr>
                <w:rFonts w:ascii="Arial" w:hAnsi="Arial" w:cs="Arial"/>
                <w:spacing w:val="-5"/>
                <w:sz w:val="20"/>
                <w:szCs w:val="20"/>
              </w:rPr>
              <w:t xml:space="preserve"> </w:t>
            </w:r>
            <w:r w:rsidRPr="00794028">
              <w:rPr>
                <w:rFonts w:ascii="Arial" w:hAnsi="Arial" w:cs="Arial"/>
                <w:w w:val="85"/>
                <w:sz w:val="20"/>
                <w:szCs w:val="20"/>
              </w:rPr>
              <w:t>risk</w:t>
            </w:r>
            <w:r w:rsidRPr="00794028">
              <w:rPr>
                <w:rFonts w:ascii="Arial" w:hAnsi="Arial" w:cs="Arial"/>
                <w:spacing w:val="-5"/>
                <w:sz w:val="20"/>
                <w:szCs w:val="20"/>
              </w:rPr>
              <w:t xml:space="preserve"> </w:t>
            </w:r>
            <w:r w:rsidRPr="00794028">
              <w:rPr>
                <w:rFonts w:ascii="Arial" w:hAnsi="Arial" w:cs="Arial"/>
                <w:spacing w:val="-2"/>
                <w:w w:val="85"/>
                <w:sz w:val="20"/>
                <w:szCs w:val="20"/>
              </w:rPr>
              <w:t>reduction</w:t>
            </w:r>
          </w:p>
        </w:tc>
        <w:tc>
          <w:tcPr>
            <w:tcW w:w="592" w:type="dxa"/>
          </w:tcPr>
          <w:p w14:paraId="7E58C697"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3.58</w:t>
            </w:r>
          </w:p>
        </w:tc>
        <w:tc>
          <w:tcPr>
            <w:tcW w:w="709" w:type="dxa"/>
          </w:tcPr>
          <w:p w14:paraId="7E58C698"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−0.13</w:t>
            </w:r>
          </w:p>
        </w:tc>
      </w:tr>
      <w:tr w:rsidR="009A34CE" w:rsidRPr="00794028" w14:paraId="7E58C69D" w14:textId="77777777" w:rsidTr="005D6D37">
        <w:trPr>
          <w:gridAfter w:val="2"/>
          <w:wAfter w:w="797" w:type="dxa"/>
          <w:trHeight w:val="199"/>
        </w:trPr>
        <w:tc>
          <w:tcPr>
            <w:tcW w:w="7663" w:type="dxa"/>
            <w:vAlign w:val="center"/>
          </w:tcPr>
          <w:p w14:paraId="7E58C69A"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Emplacement</w:t>
            </w:r>
            <w:r w:rsidRPr="00794028">
              <w:rPr>
                <w:rFonts w:ascii="Arial" w:hAnsi="Arial" w:cs="Arial"/>
                <w:spacing w:val="6"/>
                <w:sz w:val="20"/>
                <w:szCs w:val="20"/>
              </w:rPr>
              <w:t xml:space="preserve"> </w:t>
            </w:r>
            <w:r w:rsidRPr="00794028">
              <w:rPr>
                <w:rFonts w:ascii="Arial" w:hAnsi="Arial" w:cs="Arial"/>
                <w:w w:val="85"/>
                <w:sz w:val="20"/>
                <w:szCs w:val="20"/>
              </w:rPr>
              <w:t>of</w:t>
            </w:r>
            <w:r w:rsidRPr="00794028">
              <w:rPr>
                <w:rFonts w:ascii="Arial" w:hAnsi="Arial" w:cs="Arial"/>
                <w:spacing w:val="7"/>
                <w:sz w:val="20"/>
                <w:szCs w:val="20"/>
              </w:rPr>
              <w:t xml:space="preserve"> </w:t>
            </w:r>
            <w:r w:rsidRPr="00794028">
              <w:rPr>
                <w:rFonts w:ascii="Arial" w:hAnsi="Arial" w:cs="Arial"/>
                <w:w w:val="85"/>
                <w:sz w:val="20"/>
                <w:szCs w:val="20"/>
              </w:rPr>
              <w:t>storm</w:t>
            </w:r>
            <w:r w:rsidRPr="00794028">
              <w:rPr>
                <w:rFonts w:ascii="Arial" w:hAnsi="Arial" w:cs="Arial"/>
                <w:spacing w:val="8"/>
                <w:sz w:val="20"/>
                <w:szCs w:val="20"/>
              </w:rPr>
              <w:t xml:space="preserve"> </w:t>
            </w:r>
            <w:r w:rsidRPr="00794028">
              <w:rPr>
                <w:rFonts w:ascii="Arial" w:hAnsi="Arial" w:cs="Arial"/>
                <w:w w:val="85"/>
                <w:sz w:val="20"/>
                <w:szCs w:val="20"/>
              </w:rPr>
              <w:t>surge</w:t>
            </w:r>
            <w:r w:rsidRPr="00794028">
              <w:rPr>
                <w:rFonts w:ascii="Arial" w:hAnsi="Arial" w:cs="Arial"/>
                <w:spacing w:val="5"/>
                <w:sz w:val="20"/>
                <w:szCs w:val="20"/>
              </w:rPr>
              <w:t xml:space="preserve"> </w:t>
            </w:r>
            <w:r w:rsidRPr="00794028">
              <w:rPr>
                <w:rFonts w:ascii="Arial" w:hAnsi="Arial" w:cs="Arial"/>
                <w:w w:val="85"/>
                <w:sz w:val="20"/>
                <w:szCs w:val="20"/>
              </w:rPr>
              <w:t>barriers</w:t>
            </w:r>
            <w:r w:rsidRPr="00794028">
              <w:rPr>
                <w:rFonts w:ascii="Arial" w:hAnsi="Arial" w:cs="Arial"/>
                <w:spacing w:val="8"/>
                <w:sz w:val="20"/>
                <w:szCs w:val="20"/>
              </w:rPr>
              <w:t xml:space="preserve"> </w:t>
            </w:r>
            <w:r w:rsidRPr="00794028">
              <w:rPr>
                <w:rFonts w:ascii="Arial" w:hAnsi="Arial" w:cs="Arial"/>
                <w:w w:val="85"/>
                <w:sz w:val="20"/>
                <w:szCs w:val="20"/>
              </w:rPr>
              <w:t>by</w:t>
            </w:r>
            <w:r w:rsidRPr="00794028">
              <w:rPr>
                <w:rFonts w:ascii="Arial" w:hAnsi="Arial" w:cs="Arial"/>
                <w:spacing w:val="5"/>
                <w:sz w:val="20"/>
                <w:szCs w:val="20"/>
              </w:rPr>
              <w:t xml:space="preserve"> </w:t>
            </w:r>
            <w:r w:rsidRPr="00794028">
              <w:rPr>
                <w:rFonts w:ascii="Arial" w:hAnsi="Arial" w:cs="Arial"/>
                <w:w w:val="85"/>
                <w:sz w:val="20"/>
                <w:szCs w:val="20"/>
              </w:rPr>
              <w:t>government</w:t>
            </w:r>
            <w:r w:rsidRPr="00794028">
              <w:rPr>
                <w:rFonts w:ascii="Arial" w:hAnsi="Arial" w:cs="Arial"/>
                <w:spacing w:val="7"/>
                <w:sz w:val="20"/>
                <w:szCs w:val="20"/>
              </w:rPr>
              <w:t xml:space="preserve"> </w:t>
            </w:r>
            <w:r w:rsidRPr="00794028">
              <w:rPr>
                <w:rFonts w:ascii="Arial" w:hAnsi="Arial" w:cs="Arial"/>
                <w:spacing w:val="-5"/>
                <w:w w:val="85"/>
                <w:sz w:val="20"/>
                <w:szCs w:val="20"/>
              </w:rPr>
              <w:t>and</w:t>
            </w:r>
          </w:p>
        </w:tc>
        <w:tc>
          <w:tcPr>
            <w:tcW w:w="592" w:type="dxa"/>
          </w:tcPr>
          <w:p w14:paraId="7E58C69B"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3.79</w:t>
            </w:r>
          </w:p>
        </w:tc>
        <w:tc>
          <w:tcPr>
            <w:tcW w:w="709" w:type="dxa"/>
          </w:tcPr>
          <w:p w14:paraId="7E58C69C" w14:textId="77777777" w:rsidR="009A34CE" w:rsidRPr="00794028" w:rsidRDefault="009A34CE" w:rsidP="00794028">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0.08</w:t>
            </w:r>
          </w:p>
        </w:tc>
      </w:tr>
      <w:tr w:rsidR="009A34CE" w:rsidRPr="00794028" w14:paraId="7E58C6A2" w14:textId="77777777" w:rsidTr="005D6D37">
        <w:trPr>
          <w:gridAfter w:val="1"/>
          <w:wAfter w:w="593" w:type="dxa"/>
          <w:trHeight w:val="200"/>
        </w:trPr>
        <w:tc>
          <w:tcPr>
            <w:tcW w:w="7663" w:type="dxa"/>
            <w:vAlign w:val="center"/>
          </w:tcPr>
          <w:p w14:paraId="7E58C69E"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90"/>
                <w:sz w:val="20"/>
                <w:szCs w:val="20"/>
              </w:rPr>
              <w:t>community</w:t>
            </w:r>
            <w:r w:rsidRPr="00794028">
              <w:rPr>
                <w:rFonts w:ascii="Arial" w:hAnsi="Arial" w:cs="Arial"/>
                <w:spacing w:val="-8"/>
                <w:w w:val="90"/>
                <w:sz w:val="20"/>
                <w:szCs w:val="20"/>
              </w:rPr>
              <w:t xml:space="preserve"> </w:t>
            </w:r>
            <w:r w:rsidRPr="00794028">
              <w:rPr>
                <w:rFonts w:ascii="Arial" w:hAnsi="Arial" w:cs="Arial"/>
                <w:spacing w:val="-2"/>
                <w:w w:val="95"/>
                <w:sz w:val="20"/>
                <w:szCs w:val="20"/>
              </w:rPr>
              <w:t>groups</w:t>
            </w:r>
          </w:p>
        </w:tc>
        <w:tc>
          <w:tcPr>
            <w:tcW w:w="592" w:type="dxa"/>
          </w:tcPr>
          <w:p w14:paraId="7E58C69F" w14:textId="77777777" w:rsidR="009A34CE" w:rsidRPr="00794028" w:rsidRDefault="009A34CE" w:rsidP="00794028">
            <w:pPr>
              <w:pStyle w:val="TableParagraph"/>
              <w:spacing w:line="360" w:lineRule="auto"/>
              <w:rPr>
                <w:rFonts w:ascii="Arial" w:hAnsi="Arial" w:cs="Arial"/>
                <w:sz w:val="20"/>
                <w:szCs w:val="20"/>
              </w:rPr>
            </w:pPr>
          </w:p>
        </w:tc>
        <w:tc>
          <w:tcPr>
            <w:tcW w:w="709" w:type="dxa"/>
          </w:tcPr>
          <w:p w14:paraId="7E58C6A0" w14:textId="77777777" w:rsidR="009A34CE" w:rsidRPr="00794028" w:rsidRDefault="009A34CE" w:rsidP="00794028">
            <w:pPr>
              <w:pStyle w:val="TableParagraph"/>
              <w:spacing w:line="360" w:lineRule="auto"/>
              <w:rPr>
                <w:rFonts w:ascii="Arial" w:hAnsi="Arial" w:cs="Arial"/>
                <w:sz w:val="20"/>
                <w:szCs w:val="20"/>
              </w:rPr>
            </w:pPr>
          </w:p>
        </w:tc>
        <w:tc>
          <w:tcPr>
            <w:tcW w:w="204" w:type="dxa"/>
          </w:tcPr>
          <w:p w14:paraId="7E58C6A1"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A6" w14:textId="77777777" w:rsidTr="005D6D37">
        <w:trPr>
          <w:gridAfter w:val="2"/>
          <w:wAfter w:w="797" w:type="dxa"/>
          <w:trHeight w:val="200"/>
        </w:trPr>
        <w:tc>
          <w:tcPr>
            <w:tcW w:w="7663" w:type="dxa"/>
            <w:vAlign w:val="center"/>
          </w:tcPr>
          <w:p w14:paraId="7E58C6A3"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90"/>
                <w:sz w:val="20"/>
                <w:szCs w:val="20"/>
              </w:rPr>
              <w:t>Adoption</w:t>
            </w:r>
            <w:r w:rsidRPr="00794028">
              <w:rPr>
                <w:rFonts w:ascii="Arial" w:hAnsi="Arial" w:cs="Arial"/>
                <w:spacing w:val="-6"/>
                <w:w w:val="90"/>
                <w:sz w:val="20"/>
                <w:szCs w:val="20"/>
              </w:rPr>
              <w:t xml:space="preserve"> </w:t>
            </w:r>
            <w:r w:rsidRPr="00794028">
              <w:rPr>
                <w:rFonts w:ascii="Arial" w:hAnsi="Arial" w:cs="Arial"/>
                <w:w w:val="90"/>
                <w:sz w:val="20"/>
                <w:szCs w:val="20"/>
              </w:rPr>
              <w:t>of</w:t>
            </w:r>
            <w:r w:rsidRPr="00794028">
              <w:rPr>
                <w:rFonts w:ascii="Arial" w:hAnsi="Arial" w:cs="Arial"/>
                <w:spacing w:val="-5"/>
                <w:w w:val="90"/>
                <w:sz w:val="20"/>
                <w:szCs w:val="20"/>
              </w:rPr>
              <w:t xml:space="preserve"> </w:t>
            </w:r>
            <w:r w:rsidRPr="00794028">
              <w:rPr>
                <w:rFonts w:ascii="Arial" w:hAnsi="Arial" w:cs="Arial"/>
                <w:w w:val="90"/>
                <w:sz w:val="20"/>
                <w:szCs w:val="20"/>
              </w:rPr>
              <w:t>green</w:t>
            </w:r>
            <w:r w:rsidRPr="00794028">
              <w:rPr>
                <w:rFonts w:ascii="Arial" w:hAnsi="Arial" w:cs="Arial"/>
                <w:spacing w:val="-6"/>
                <w:w w:val="90"/>
                <w:sz w:val="20"/>
                <w:szCs w:val="20"/>
              </w:rPr>
              <w:t xml:space="preserve"> </w:t>
            </w:r>
            <w:r w:rsidRPr="00794028">
              <w:rPr>
                <w:rFonts w:ascii="Arial" w:hAnsi="Arial" w:cs="Arial"/>
                <w:w w:val="90"/>
                <w:sz w:val="20"/>
                <w:szCs w:val="20"/>
              </w:rPr>
              <w:t>roofs</w:t>
            </w:r>
            <w:r w:rsidRPr="00794028">
              <w:rPr>
                <w:rFonts w:ascii="Arial" w:hAnsi="Arial" w:cs="Arial"/>
                <w:spacing w:val="-6"/>
                <w:w w:val="90"/>
                <w:sz w:val="20"/>
                <w:szCs w:val="20"/>
              </w:rPr>
              <w:t xml:space="preserve"> </w:t>
            </w:r>
            <w:r w:rsidRPr="00794028">
              <w:rPr>
                <w:rFonts w:ascii="Arial" w:hAnsi="Arial" w:cs="Arial"/>
                <w:w w:val="90"/>
                <w:sz w:val="20"/>
                <w:szCs w:val="20"/>
              </w:rPr>
              <w:t>in</w:t>
            </w:r>
            <w:r w:rsidRPr="00794028">
              <w:rPr>
                <w:rFonts w:ascii="Arial" w:hAnsi="Arial" w:cs="Arial"/>
                <w:spacing w:val="-6"/>
                <w:w w:val="90"/>
                <w:sz w:val="20"/>
                <w:szCs w:val="20"/>
              </w:rPr>
              <w:t xml:space="preserve"> </w:t>
            </w:r>
            <w:r w:rsidRPr="00794028">
              <w:rPr>
                <w:rFonts w:ascii="Arial" w:hAnsi="Arial" w:cs="Arial"/>
                <w:spacing w:val="-2"/>
                <w:w w:val="90"/>
                <w:sz w:val="20"/>
                <w:szCs w:val="20"/>
              </w:rPr>
              <w:t>building</w:t>
            </w:r>
          </w:p>
        </w:tc>
        <w:tc>
          <w:tcPr>
            <w:tcW w:w="592" w:type="dxa"/>
          </w:tcPr>
          <w:p w14:paraId="7E58C6A4"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3.61</w:t>
            </w:r>
          </w:p>
        </w:tc>
        <w:tc>
          <w:tcPr>
            <w:tcW w:w="709" w:type="dxa"/>
          </w:tcPr>
          <w:p w14:paraId="7E58C6A5"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−0.11</w:t>
            </w:r>
          </w:p>
        </w:tc>
      </w:tr>
      <w:tr w:rsidR="009A34CE" w:rsidRPr="00794028" w14:paraId="7E58C6AA" w14:textId="77777777" w:rsidTr="005D6D37">
        <w:trPr>
          <w:gridAfter w:val="2"/>
          <w:wAfter w:w="797" w:type="dxa"/>
          <w:trHeight w:val="199"/>
        </w:trPr>
        <w:tc>
          <w:tcPr>
            <w:tcW w:w="7663" w:type="dxa"/>
            <w:vAlign w:val="center"/>
          </w:tcPr>
          <w:p w14:paraId="7E58C6A7"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Children</w:t>
            </w:r>
            <w:r w:rsidRPr="00794028">
              <w:rPr>
                <w:rFonts w:ascii="Arial" w:hAnsi="Arial" w:cs="Arial"/>
                <w:spacing w:val="3"/>
                <w:sz w:val="20"/>
                <w:szCs w:val="20"/>
              </w:rPr>
              <w:t xml:space="preserve"> </w:t>
            </w:r>
            <w:r w:rsidRPr="00794028">
              <w:rPr>
                <w:rFonts w:ascii="Arial" w:hAnsi="Arial" w:cs="Arial"/>
                <w:w w:val="85"/>
                <w:sz w:val="20"/>
                <w:szCs w:val="20"/>
              </w:rPr>
              <w:t>staying</w:t>
            </w:r>
            <w:r w:rsidRPr="00794028">
              <w:rPr>
                <w:rFonts w:ascii="Arial" w:hAnsi="Arial" w:cs="Arial"/>
                <w:spacing w:val="3"/>
                <w:sz w:val="20"/>
                <w:szCs w:val="20"/>
              </w:rPr>
              <w:t xml:space="preserve"> </w:t>
            </w:r>
            <w:r w:rsidRPr="00794028">
              <w:rPr>
                <w:rFonts w:ascii="Arial" w:hAnsi="Arial" w:cs="Arial"/>
                <w:w w:val="85"/>
                <w:sz w:val="20"/>
                <w:szCs w:val="20"/>
              </w:rPr>
              <w:t>at</w:t>
            </w:r>
            <w:r w:rsidRPr="00794028">
              <w:rPr>
                <w:rFonts w:ascii="Arial" w:hAnsi="Arial" w:cs="Arial"/>
                <w:spacing w:val="5"/>
                <w:sz w:val="20"/>
                <w:szCs w:val="20"/>
              </w:rPr>
              <w:t xml:space="preserve"> </w:t>
            </w:r>
            <w:r w:rsidRPr="00794028">
              <w:rPr>
                <w:rFonts w:ascii="Arial" w:hAnsi="Arial" w:cs="Arial"/>
                <w:w w:val="85"/>
                <w:sz w:val="20"/>
                <w:szCs w:val="20"/>
              </w:rPr>
              <w:t>home</w:t>
            </w:r>
            <w:r w:rsidRPr="00794028">
              <w:rPr>
                <w:rFonts w:ascii="Arial" w:hAnsi="Arial" w:cs="Arial"/>
                <w:spacing w:val="3"/>
                <w:sz w:val="20"/>
                <w:szCs w:val="20"/>
              </w:rPr>
              <w:t xml:space="preserve"> </w:t>
            </w:r>
            <w:r w:rsidRPr="00794028">
              <w:rPr>
                <w:rFonts w:ascii="Arial" w:hAnsi="Arial" w:cs="Arial"/>
                <w:w w:val="85"/>
                <w:sz w:val="20"/>
                <w:szCs w:val="20"/>
              </w:rPr>
              <w:t>until</w:t>
            </w:r>
            <w:r w:rsidRPr="00794028">
              <w:rPr>
                <w:rFonts w:ascii="Arial" w:hAnsi="Arial" w:cs="Arial"/>
                <w:spacing w:val="4"/>
                <w:sz w:val="20"/>
                <w:szCs w:val="20"/>
              </w:rPr>
              <w:t xml:space="preserve"> </w:t>
            </w:r>
            <w:r w:rsidRPr="00794028">
              <w:rPr>
                <w:rFonts w:ascii="Arial" w:hAnsi="Arial" w:cs="Arial"/>
                <w:w w:val="85"/>
                <w:sz w:val="20"/>
                <w:szCs w:val="20"/>
              </w:rPr>
              <w:t>flood</w:t>
            </w:r>
            <w:r w:rsidRPr="00794028">
              <w:rPr>
                <w:rFonts w:ascii="Arial" w:hAnsi="Arial" w:cs="Arial"/>
                <w:spacing w:val="5"/>
                <w:sz w:val="20"/>
                <w:szCs w:val="20"/>
              </w:rPr>
              <w:t xml:space="preserve"> </w:t>
            </w:r>
            <w:r w:rsidRPr="00794028">
              <w:rPr>
                <w:rFonts w:ascii="Arial" w:hAnsi="Arial" w:cs="Arial"/>
                <w:spacing w:val="-2"/>
                <w:w w:val="85"/>
                <w:sz w:val="20"/>
                <w:szCs w:val="20"/>
              </w:rPr>
              <w:t>subsides</w:t>
            </w:r>
          </w:p>
        </w:tc>
        <w:tc>
          <w:tcPr>
            <w:tcW w:w="592" w:type="dxa"/>
          </w:tcPr>
          <w:p w14:paraId="7E58C6A8"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3.65</w:t>
            </w:r>
          </w:p>
        </w:tc>
        <w:tc>
          <w:tcPr>
            <w:tcW w:w="709" w:type="dxa"/>
          </w:tcPr>
          <w:p w14:paraId="7E58C6A9"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−0.06</w:t>
            </w:r>
          </w:p>
        </w:tc>
      </w:tr>
      <w:tr w:rsidR="009A34CE" w:rsidRPr="00794028" w14:paraId="7E58C6AE" w14:textId="77777777" w:rsidTr="005D6D37">
        <w:trPr>
          <w:gridAfter w:val="2"/>
          <w:wAfter w:w="797" w:type="dxa"/>
          <w:trHeight w:val="199"/>
        </w:trPr>
        <w:tc>
          <w:tcPr>
            <w:tcW w:w="7663" w:type="dxa"/>
            <w:vAlign w:val="center"/>
          </w:tcPr>
          <w:p w14:paraId="7E58C6AB"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Use</w:t>
            </w:r>
            <w:r w:rsidRPr="00794028">
              <w:rPr>
                <w:rFonts w:ascii="Arial" w:hAnsi="Arial" w:cs="Arial"/>
                <w:spacing w:val="-2"/>
                <w:sz w:val="20"/>
                <w:szCs w:val="20"/>
              </w:rPr>
              <w:t xml:space="preserve"> </w:t>
            </w:r>
            <w:r w:rsidRPr="00794028">
              <w:rPr>
                <w:rFonts w:ascii="Arial" w:hAnsi="Arial" w:cs="Arial"/>
                <w:w w:val="85"/>
                <w:sz w:val="20"/>
                <w:szCs w:val="20"/>
              </w:rPr>
              <w:t>of</w:t>
            </w:r>
            <w:r w:rsidRPr="00794028">
              <w:rPr>
                <w:rFonts w:ascii="Arial" w:hAnsi="Arial" w:cs="Arial"/>
                <w:spacing w:val="-1"/>
                <w:sz w:val="20"/>
                <w:szCs w:val="20"/>
              </w:rPr>
              <w:t xml:space="preserve"> </w:t>
            </w:r>
            <w:r w:rsidRPr="00794028">
              <w:rPr>
                <w:rFonts w:ascii="Arial" w:hAnsi="Arial" w:cs="Arial"/>
                <w:w w:val="85"/>
                <w:sz w:val="20"/>
                <w:szCs w:val="20"/>
              </w:rPr>
              <w:t>windbreaks/shelter</w:t>
            </w:r>
            <w:r w:rsidRPr="00794028">
              <w:rPr>
                <w:rFonts w:ascii="Arial" w:hAnsi="Arial" w:cs="Arial"/>
                <w:spacing w:val="-1"/>
                <w:sz w:val="20"/>
                <w:szCs w:val="20"/>
              </w:rPr>
              <w:t xml:space="preserve"> </w:t>
            </w:r>
            <w:r w:rsidRPr="00794028">
              <w:rPr>
                <w:rFonts w:ascii="Arial" w:hAnsi="Arial" w:cs="Arial"/>
                <w:spacing w:val="-2"/>
                <w:w w:val="85"/>
                <w:sz w:val="20"/>
                <w:szCs w:val="20"/>
              </w:rPr>
              <w:t>belts</w:t>
            </w:r>
          </w:p>
        </w:tc>
        <w:tc>
          <w:tcPr>
            <w:tcW w:w="592" w:type="dxa"/>
          </w:tcPr>
          <w:p w14:paraId="7E58C6AC"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3.58</w:t>
            </w:r>
          </w:p>
        </w:tc>
        <w:tc>
          <w:tcPr>
            <w:tcW w:w="709" w:type="dxa"/>
          </w:tcPr>
          <w:p w14:paraId="7E58C6AD"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−0.13</w:t>
            </w:r>
          </w:p>
        </w:tc>
      </w:tr>
      <w:tr w:rsidR="009A34CE" w:rsidRPr="00794028" w14:paraId="7E58C6B2" w14:textId="77777777" w:rsidTr="005D6D37">
        <w:trPr>
          <w:gridAfter w:val="2"/>
          <w:wAfter w:w="797" w:type="dxa"/>
          <w:trHeight w:val="200"/>
        </w:trPr>
        <w:tc>
          <w:tcPr>
            <w:tcW w:w="7663" w:type="dxa"/>
            <w:vAlign w:val="center"/>
          </w:tcPr>
          <w:p w14:paraId="7E58C6AF"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Complied</w:t>
            </w:r>
            <w:r w:rsidRPr="00794028">
              <w:rPr>
                <w:rFonts w:ascii="Arial" w:hAnsi="Arial" w:cs="Arial"/>
                <w:spacing w:val="7"/>
                <w:sz w:val="20"/>
                <w:szCs w:val="20"/>
              </w:rPr>
              <w:t xml:space="preserve"> </w:t>
            </w:r>
            <w:r w:rsidRPr="00794028">
              <w:rPr>
                <w:rFonts w:ascii="Arial" w:hAnsi="Arial" w:cs="Arial"/>
                <w:w w:val="85"/>
                <w:sz w:val="20"/>
                <w:szCs w:val="20"/>
              </w:rPr>
              <w:t>with</w:t>
            </w:r>
            <w:r w:rsidRPr="00794028">
              <w:rPr>
                <w:rFonts w:ascii="Arial" w:hAnsi="Arial" w:cs="Arial"/>
                <w:spacing w:val="8"/>
                <w:sz w:val="20"/>
                <w:szCs w:val="20"/>
              </w:rPr>
              <w:t xml:space="preserve"> </w:t>
            </w:r>
            <w:r w:rsidRPr="00794028">
              <w:rPr>
                <w:rFonts w:ascii="Arial" w:hAnsi="Arial" w:cs="Arial"/>
                <w:w w:val="85"/>
                <w:sz w:val="20"/>
                <w:szCs w:val="20"/>
              </w:rPr>
              <w:t>setback</w:t>
            </w:r>
            <w:r w:rsidRPr="00794028">
              <w:rPr>
                <w:rFonts w:ascii="Arial" w:hAnsi="Arial" w:cs="Arial"/>
                <w:spacing w:val="6"/>
                <w:sz w:val="20"/>
                <w:szCs w:val="20"/>
              </w:rPr>
              <w:t xml:space="preserve"> </w:t>
            </w:r>
            <w:r w:rsidRPr="00794028">
              <w:rPr>
                <w:rFonts w:ascii="Arial" w:hAnsi="Arial" w:cs="Arial"/>
                <w:w w:val="85"/>
                <w:sz w:val="20"/>
                <w:szCs w:val="20"/>
              </w:rPr>
              <w:t>during</w:t>
            </w:r>
            <w:r w:rsidRPr="00794028">
              <w:rPr>
                <w:rFonts w:ascii="Arial" w:hAnsi="Arial" w:cs="Arial"/>
                <w:spacing w:val="8"/>
                <w:sz w:val="20"/>
                <w:szCs w:val="20"/>
              </w:rPr>
              <w:t xml:space="preserve"> </w:t>
            </w:r>
            <w:r w:rsidRPr="00794028">
              <w:rPr>
                <w:rFonts w:ascii="Arial" w:hAnsi="Arial" w:cs="Arial"/>
                <w:w w:val="85"/>
                <w:sz w:val="20"/>
                <w:szCs w:val="20"/>
              </w:rPr>
              <w:t>property</w:t>
            </w:r>
            <w:r w:rsidRPr="00794028">
              <w:rPr>
                <w:rFonts w:ascii="Arial" w:hAnsi="Arial" w:cs="Arial"/>
                <w:spacing w:val="7"/>
                <w:sz w:val="20"/>
                <w:szCs w:val="20"/>
              </w:rPr>
              <w:t xml:space="preserve"> </w:t>
            </w:r>
            <w:r w:rsidRPr="00794028">
              <w:rPr>
                <w:rFonts w:ascii="Arial" w:hAnsi="Arial" w:cs="Arial"/>
                <w:spacing w:val="-2"/>
                <w:w w:val="85"/>
                <w:sz w:val="20"/>
                <w:szCs w:val="20"/>
              </w:rPr>
              <w:t>development</w:t>
            </w:r>
          </w:p>
        </w:tc>
        <w:tc>
          <w:tcPr>
            <w:tcW w:w="592" w:type="dxa"/>
          </w:tcPr>
          <w:p w14:paraId="7E58C6B0"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3.48</w:t>
            </w:r>
          </w:p>
        </w:tc>
        <w:tc>
          <w:tcPr>
            <w:tcW w:w="709" w:type="dxa"/>
          </w:tcPr>
          <w:p w14:paraId="7E58C6B1"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−0.23</w:t>
            </w:r>
          </w:p>
        </w:tc>
      </w:tr>
      <w:tr w:rsidR="009A34CE" w:rsidRPr="00794028" w14:paraId="7E58C6B6" w14:textId="77777777" w:rsidTr="005D6D37">
        <w:trPr>
          <w:gridAfter w:val="2"/>
          <w:wAfter w:w="797" w:type="dxa"/>
          <w:trHeight w:val="200"/>
        </w:trPr>
        <w:tc>
          <w:tcPr>
            <w:tcW w:w="7663" w:type="dxa"/>
            <w:vAlign w:val="center"/>
          </w:tcPr>
          <w:p w14:paraId="7E58C6B3"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Restriction</w:t>
            </w:r>
            <w:r w:rsidRPr="00794028">
              <w:rPr>
                <w:rFonts w:ascii="Arial" w:hAnsi="Arial" w:cs="Arial"/>
                <w:spacing w:val="-6"/>
                <w:sz w:val="20"/>
                <w:szCs w:val="20"/>
              </w:rPr>
              <w:t xml:space="preserve"> </w:t>
            </w:r>
            <w:r w:rsidRPr="00794028">
              <w:rPr>
                <w:rFonts w:ascii="Arial" w:hAnsi="Arial" w:cs="Arial"/>
                <w:w w:val="85"/>
                <w:sz w:val="20"/>
                <w:szCs w:val="20"/>
              </w:rPr>
              <w:t>of</w:t>
            </w:r>
            <w:r w:rsidRPr="00794028">
              <w:rPr>
                <w:rFonts w:ascii="Arial" w:hAnsi="Arial" w:cs="Arial"/>
                <w:spacing w:val="-6"/>
                <w:sz w:val="20"/>
                <w:szCs w:val="20"/>
              </w:rPr>
              <w:t xml:space="preserve"> </w:t>
            </w:r>
            <w:r w:rsidRPr="00794028">
              <w:rPr>
                <w:rFonts w:ascii="Arial" w:hAnsi="Arial" w:cs="Arial"/>
                <w:w w:val="85"/>
                <w:sz w:val="20"/>
                <w:szCs w:val="20"/>
              </w:rPr>
              <w:t>land</w:t>
            </w:r>
            <w:r w:rsidRPr="00794028">
              <w:rPr>
                <w:rFonts w:ascii="Arial" w:hAnsi="Arial" w:cs="Arial"/>
                <w:spacing w:val="-6"/>
                <w:sz w:val="20"/>
                <w:szCs w:val="20"/>
              </w:rPr>
              <w:t xml:space="preserve"> </w:t>
            </w:r>
            <w:r w:rsidRPr="00794028">
              <w:rPr>
                <w:rFonts w:ascii="Arial" w:hAnsi="Arial" w:cs="Arial"/>
                <w:w w:val="85"/>
                <w:sz w:val="20"/>
                <w:szCs w:val="20"/>
              </w:rPr>
              <w:t>reclamation</w:t>
            </w:r>
            <w:r w:rsidRPr="00794028">
              <w:rPr>
                <w:rFonts w:ascii="Arial" w:hAnsi="Arial" w:cs="Arial"/>
                <w:spacing w:val="-6"/>
                <w:sz w:val="20"/>
                <w:szCs w:val="20"/>
              </w:rPr>
              <w:t xml:space="preserve"> </w:t>
            </w:r>
            <w:r w:rsidRPr="00794028">
              <w:rPr>
                <w:rFonts w:ascii="Arial" w:hAnsi="Arial" w:cs="Arial"/>
                <w:w w:val="85"/>
                <w:sz w:val="20"/>
                <w:szCs w:val="20"/>
              </w:rPr>
              <w:t>activities</w:t>
            </w:r>
            <w:r w:rsidRPr="00794028">
              <w:rPr>
                <w:rFonts w:ascii="Arial" w:hAnsi="Arial" w:cs="Arial"/>
                <w:spacing w:val="-7"/>
                <w:sz w:val="20"/>
                <w:szCs w:val="20"/>
              </w:rPr>
              <w:t xml:space="preserve"> </w:t>
            </w:r>
            <w:r w:rsidRPr="00794028">
              <w:rPr>
                <w:rFonts w:ascii="Arial" w:hAnsi="Arial" w:cs="Arial"/>
                <w:w w:val="85"/>
                <w:sz w:val="20"/>
                <w:szCs w:val="20"/>
              </w:rPr>
              <w:t>in</w:t>
            </w:r>
            <w:r w:rsidRPr="00794028">
              <w:rPr>
                <w:rFonts w:ascii="Arial" w:hAnsi="Arial" w:cs="Arial"/>
                <w:spacing w:val="-5"/>
                <w:sz w:val="20"/>
                <w:szCs w:val="20"/>
              </w:rPr>
              <w:t xml:space="preserve"> </w:t>
            </w:r>
            <w:r w:rsidRPr="00794028">
              <w:rPr>
                <w:rFonts w:ascii="Arial" w:hAnsi="Arial" w:cs="Arial"/>
                <w:w w:val="85"/>
                <w:sz w:val="20"/>
                <w:szCs w:val="20"/>
              </w:rPr>
              <w:t>newly</w:t>
            </w:r>
            <w:r w:rsidRPr="00794028">
              <w:rPr>
                <w:rFonts w:ascii="Arial" w:hAnsi="Arial" w:cs="Arial"/>
                <w:spacing w:val="-7"/>
                <w:sz w:val="20"/>
                <w:szCs w:val="20"/>
              </w:rPr>
              <w:t xml:space="preserve"> </w:t>
            </w:r>
            <w:r w:rsidRPr="00794028">
              <w:rPr>
                <w:rFonts w:ascii="Arial" w:hAnsi="Arial" w:cs="Arial"/>
                <w:spacing w:val="-2"/>
                <w:w w:val="85"/>
                <w:sz w:val="20"/>
                <w:szCs w:val="20"/>
              </w:rPr>
              <w:t>developed</w:t>
            </w:r>
          </w:p>
        </w:tc>
        <w:tc>
          <w:tcPr>
            <w:tcW w:w="592" w:type="dxa"/>
          </w:tcPr>
          <w:p w14:paraId="7E58C6B4" w14:textId="77777777" w:rsidR="009A34CE" w:rsidRPr="00794028" w:rsidRDefault="009A34CE" w:rsidP="00794028">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3.45</w:t>
            </w:r>
          </w:p>
        </w:tc>
        <w:tc>
          <w:tcPr>
            <w:tcW w:w="709" w:type="dxa"/>
          </w:tcPr>
          <w:p w14:paraId="7E58C6B5" w14:textId="77777777" w:rsidR="009A34CE" w:rsidRPr="00794028" w:rsidRDefault="009A34CE" w:rsidP="00794028">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−0.26</w:t>
            </w:r>
          </w:p>
        </w:tc>
      </w:tr>
      <w:tr w:rsidR="009A34CE" w:rsidRPr="00794028" w14:paraId="7E58C6BC" w14:textId="77777777" w:rsidTr="005D6D37">
        <w:trPr>
          <w:trHeight w:val="200"/>
        </w:trPr>
        <w:tc>
          <w:tcPr>
            <w:tcW w:w="7663" w:type="dxa"/>
            <w:vAlign w:val="center"/>
          </w:tcPr>
          <w:p w14:paraId="7E58C6B7" w14:textId="77777777" w:rsidR="009A34CE" w:rsidRPr="00794028" w:rsidRDefault="009A34CE" w:rsidP="004F036D">
            <w:pPr>
              <w:pStyle w:val="TableParagraph"/>
              <w:spacing w:line="360" w:lineRule="auto"/>
              <w:rPr>
                <w:rFonts w:ascii="Arial" w:hAnsi="Arial" w:cs="Arial"/>
                <w:sz w:val="20"/>
                <w:szCs w:val="20"/>
              </w:rPr>
            </w:pPr>
            <w:r w:rsidRPr="00794028">
              <w:rPr>
                <w:rFonts w:ascii="Arial" w:hAnsi="Arial" w:cs="Arial"/>
                <w:w w:val="85"/>
                <w:sz w:val="20"/>
                <w:szCs w:val="20"/>
              </w:rPr>
              <w:t>areas</w:t>
            </w:r>
            <w:r w:rsidRPr="00794028">
              <w:rPr>
                <w:rFonts w:ascii="Arial" w:hAnsi="Arial" w:cs="Arial"/>
                <w:spacing w:val="-2"/>
                <w:sz w:val="20"/>
                <w:szCs w:val="20"/>
              </w:rPr>
              <w:t xml:space="preserve"> </w:t>
            </w:r>
            <w:r w:rsidRPr="00794028">
              <w:rPr>
                <w:rFonts w:ascii="Arial" w:hAnsi="Arial" w:cs="Arial"/>
                <w:w w:val="85"/>
                <w:sz w:val="20"/>
                <w:szCs w:val="20"/>
              </w:rPr>
              <w:t>by</w:t>
            </w:r>
            <w:r w:rsidRPr="00794028">
              <w:rPr>
                <w:rFonts w:ascii="Arial" w:hAnsi="Arial" w:cs="Arial"/>
                <w:spacing w:val="-2"/>
                <w:sz w:val="20"/>
                <w:szCs w:val="20"/>
              </w:rPr>
              <w:t xml:space="preserve"> </w:t>
            </w:r>
            <w:r w:rsidRPr="00794028">
              <w:rPr>
                <w:rFonts w:ascii="Arial" w:hAnsi="Arial" w:cs="Arial"/>
                <w:spacing w:val="-2"/>
                <w:w w:val="85"/>
                <w:sz w:val="20"/>
                <w:szCs w:val="20"/>
              </w:rPr>
              <w:t>government</w:t>
            </w:r>
          </w:p>
        </w:tc>
        <w:tc>
          <w:tcPr>
            <w:tcW w:w="592" w:type="dxa"/>
          </w:tcPr>
          <w:p w14:paraId="7E58C6B8" w14:textId="77777777" w:rsidR="009A34CE" w:rsidRPr="00794028" w:rsidRDefault="009A34CE" w:rsidP="00794028">
            <w:pPr>
              <w:pStyle w:val="TableParagraph"/>
              <w:spacing w:line="360" w:lineRule="auto"/>
              <w:rPr>
                <w:rFonts w:ascii="Arial" w:hAnsi="Arial" w:cs="Arial"/>
                <w:sz w:val="20"/>
                <w:szCs w:val="20"/>
              </w:rPr>
            </w:pPr>
          </w:p>
        </w:tc>
        <w:tc>
          <w:tcPr>
            <w:tcW w:w="709" w:type="dxa"/>
          </w:tcPr>
          <w:p w14:paraId="7E58C6B9" w14:textId="77777777" w:rsidR="009A34CE" w:rsidRPr="00794028" w:rsidRDefault="009A34CE" w:rsidP="00794028">
            <w:pPr>
              <w:pStyle w:val="TableParagraph"/>
              <w:spacing w:line="360" w:lineRule="auto"/>
              <w:rPr>
                <w:rFonts w:ascii="Arial" w:hAnsi="Arial" w:cs="Arial"/>
                <w:sz w:val="20"/>
                <w:szCs w:val="20"/>
              </w:rPr>
            </w:pPr>
          </w:p>
        </w:tc>
        <w:tc>
          <w:tcPr>
            <w:tcW w:w="204" w:type="dxa"/>
          </w:tcPr>
          <w:p w14:paraId="7E58C6BA" w14:textId="77777777" w:rsidR="009A34CE" w:rsidRPr="00794028" w:rsidRDefault="009A34CE" w:rsidP="00794028">
            <w:pPr>
              <w:pStyle w:val="TableParagraph"/>
              <w:spacing w:line="360" w:lineRule="auto"/>
              <w:rPr>
                <w:rFonts w:ascii="Arial" w:hAnsi="Arial" w:cs="Arial"/>
                <w:sz w:val="20"/>
                <w:szCs w:val="20"/>
              </w:rPr>
            </w:pPr>
          </w:p>
        </w:tc>
        <w:tc>
          <w:tcPr>
            <w:tcW w:w="593" w:type="dxa"/>
          </w:tcPr>
          <w:p w14:paraId="7E58C6BB" w14:textId="77777777" w:rsidR="009A34CE" w:rsidRPr="00794028" w:rsidRDefault="009A34CE" w:rsidP="00794028">
            <w:pPr>
              <w:pStyle w:val="TableParagraph"/>
              <w:spacing w:line="360" w:lineRule="auto"/>
              <w:rPr>
                <w:rFonts w:ascii="Arial" w:hAnsi="Arial" w:cs="Arial"/>
                <w:sz w:val="20"/>
                <w:szCs w:val="20"/>
              </w:rPr>
            </w:pPr>
          </w:p>
        </w:tc>
      </w:tr>
      <w:tr w:rsidR="009A34CE" w:rsidRPr="00794028" w14:paraId="7E58C6C0" w14:textId="77777777" w:rsidTr="009A34CE">
        <w:trPr>
          <w:trHeight w:val="218"/>
        </w:trPr>
        <w:tc>
          <w:tcPr>
            <w:tcW w:w="7663" w:type="dxa"/>
            <w:tcBorders>
              <w:bottom w:val="single" w:sz="4" w:space="0" w:color="10137D"/>
            </w:tcBorders>
          </w:tcPr>
          <w:p w14:paraId="7E58C6BD" w14:textId="77777777" w:rsidR="009A34CE" w:rsidRPr="00794028" w:rsidRDefault="009A34CE" w:rsidP="004F036D">
            <w:pPr>
              <w:pStyle w:val="TableParagraph"/>
              <w:spacing w:line="360" w:lineRule="auto"/>
              <w:rPr>
                <w:rFonts w:ascii="Arial" w:hAnsi="Arial" w:cs="Arial"/>
                <w:b/>
                <w:sz w:val="20"/>
                <w:szCs w:val="20"/>
              </w:rPr>
            </w:pPr>
            <w:r w:rsidRPr="00794028">
              <w:rPr>
                <w:rFonts w:ascii="Arial" w:hAnsi="Arial" w:cs="Arial"/>
                <w:b/>
                <w:w w:val="90"/>
                <w:sz w:val="20"/>
                <w:szCs w:val="20"/>
              </w:rPr>
              <w:t>Mean</w:t>
            </w:r>
            <w:r w:rsidRPr="00794028">
              <w:rPr>
                <w:rFonts w:ascii="Arial" w:hAnsi="Arial" w:cs="Arial"/>
                <w:b/>
                <w:sz w:val="20"/>
                <w:szCs w:val="20"/>
              </w:rPr>
              <w:t xml:space="preserve"> </w:t>
            </w:r>
            <w:r w:rsidRPr="00794028">
              <w:rPr>
                <w:rFonts w:ascii="Arial" w:hAnsi="Arial" w:cs="Arial"/>
                <w:b/>
                <w:spacing w:val="-4"/>
                <w:w w:val="95"/>
                <w:sz w:val="20"/>
                <w:szCs w:val="20"/>
              </w:rPr>
              <w:t>Score</w:t>
            </w:r>
          </w:p>
        </w:tc>
        <w:tc>
          <w:tcPr>
            <w:tcW w:w="592" w:type="dxa"/>
            <w:tcBorders>
              <w:bottom w:val="single" w:sz="4" w:space="0" w:color="10137D"/>
            </w:tcBorders>
          </w:tcPr>
          <w:p w14:paraId="7E58C6BE" w14:textId="77777777" w:rsidR="009A34CE" w:rsidRPr="00794028" w:rsidRDefault="009A34CE" w:rsidP="00794028">
            <w:pPr>
              <w:pStyle w:val="TableParagraph"/>
              <w:spacing w:line="360" w:lineRule="auto"/>
              <w:ind w:right="57"/>
              <w:rPr>
                <w:rFonts w:ascii="Arial" w:hAnsi="Arial" w:cs="Arial"/>
                <w:b/>
                <w:sz w:val="20"/>
                <w:szCs w:val="20"/>
              </w:rPr>
            </w:pPr>
            <w:r w:rsidRPr="00794028">
              <w:rPr>
                <w:rFonts w:ascii="Arial" w:hAnsi="Arial" w:cs="Arial"/>
                <w:b/>
                <w:spacing w:val="-4"/>
                <w:w w:val="90"/>
                <w:sz w:val="20"/>
                <w:szCs w:val="20"/>
              </w:rPr>
              <w:t>3.59</w:t>
            </w:r>
          </w:p>
        </w:tc>
        <w:tc>
          <w:tcPr>
            <w:tcW w:w="1506" w:type="dxa"/>
            <w:gridSpan w:val="3"/>
            <w:tcBorders>
              <w:bottom w:val="single" w:sz="4" w:space="0" w:color="10137D"/>
            </w:tcBorders>
          </w:tcPr>
          <w:p w14:paraId="7E58C6BF" w14:textId="77777777" w:rsidR="009A34CE" w:rsidRPr="00794028" w:rsidRDefault="009A34CE" w:rsidP="00794028">
            <w:pPr>
              <w:pStyle w:val="TableParagraph"/>
              <w:spacing w:line="360" w:lineRule="auto"/>
              <w:rPr>
                <w:rFonts w:ascii="Arial" w:hAnsi="Arial" w:cs="Arial"/>
                <w:b/>
                <w:sz w:val="20"/>
                <w:szCs w:val="20"/>
              </w:rPr>
            </w:pPr>
            <w:r w:rsidRPr="00794028">
              <w:rPr>
                <w:rFonts w:ascii="Arial" w:hAnsi="Arial" w:cs="Arial"/>
                <w:b/>
                <w:spacing w:val="-4"/>
                <w:sz w:val="20"/>
                <w:szCs w:val="20"/>
              </w:rPr>
              <w:t xml:space="preserve"> </w:t>
            </w:r>
            <w:r w:rsidR="004C6625" w:rsidRPr="00794028">
              <w:rPr>
                <w:rFonts w:ascii="Arial" w:hAnsi="Arial" w:cs="Arial"/>
                <w:b/>
                <w:spacing w:val="-4"/>
                <w:sz w:val="20"/>
                <w:szCs w:val="20"/>
              </w:rPr>
              <w:t>0</w:t>
            </w:r>
            <w:r w:rsidRPr="00794028">
              <w:rPr>
                <w:rFonts w:ascii="Arial" w:hAnsi="Arial" w:cs="Arial"/>
                <w:b/>
                <w:spacing w:val="-4"/>
                <w:sz w:val="20"/>
                <w:szCs w:val="20"/>
              </w:rPr>
              <w:t>.69</w:t>
            </w:r>
          </w:p>
        </w:tc>
      </w:tr>
    </w:tbl>
    <w:p w14:paraId="7E58C6C1" w14:textId="77777777" w:rsidR="00362420" w:rsidRPr="00794028" w:rsidRDefault="00362420" w:rsidP="00794028">
      <w:pPr>
        <w:spacing w:after="0" w:line="360" w:lineRule="auto"/>
        <w:ind w:left="0" w:firstLine="0"/>
        <w:rPr>
          <w:rFonts w:ascii="Arial" w:hAnsi="Arial" w:cs="Arial"/>
          <w:b/>
          <w:color w:val="auto"/>
          <w:szCs w:val="20"/>
        </w:rPr>
      </w:pPr>
    </w:p>
    <w:p w14:paraId="2C2AFF4B" w14:textId="70B0F638" w:rsidR="004F036D" w:rsidRDefault="004E2227" w:rsidP="004E2227">
      <w:pPr>
        <w:pStyle w:val="BodyText"/>
        <w:spacing w:before="157" w:line="360" w:lineRule="auto"/>
        <w:ind w:right="116"/>
        <w:jc w:val="both"/>
        <w:rPr>
          <w:rFonts w:ascii="Arial" w:hAnsi="Arial" w:cs="Arial"/>
          <w:spacing w:val="-2"/>
          <w:szCs w:val="20"/>
        </w:rPr>
      </w:pPr>
      <w:r w:rsidRPr="004E2227">
        <w:rPr>
          <w:rFonts w:ascii="Arial" w:hAnsi="Arial" w:cs="Arial"/>
          <w:sz w:val="20"/>
          <w:szCs w:val="20"/>
        </w:rPr>
        <w:t xml:space="preserve">The respondents were asked to rank the adaptation strategies they had adopted on a five-point Likert scale (1 to 5), in order to fulfill the primary goal of this study, which is to identify and evaluate factors influencing individual and household adaptation to climate change in the study area. Relocating away from sea level rise areas was the adaptation strategy with the highest rank (MD = 0.64), according to Table 3, while complying with setbacks during property development was the strategy with the lowest rank (MD = -0.43). Twelve of the 18 adaptation measures were classified as (negative) not important, and six were classified as (positive) important. </w:t>
      </w:r>
      <w:bookmarkStart w:id="11" w:name="_Toc169185832"/>
      <w:r w:rsidRPr="004E2227">
        <w:rPr>
          <w:rFonts w:ascii="Arial" w:hAnsi="Arial" w:cs="Arial"/>
          <w:sz w:val="20"/>
          <w:szCs w:val="20"/>
        </w:rPr>
        <w:t xml:space="preserve">High level adaptation measures included replacing and repairing damaged property, cleaning or assisting in the maintenance of public drainage systems from waste, constructing additional drainage systems by the government and community organizations, moving away from areas affected by sea level rise, avoiding haphazard bush burning, and keeping up with climate change information. </w:t>
      </w:r>
      <w:r w:rsidR="004F036D">
        <w:rPr>
          <w:rFonts w:ascii="Arial" w:hAnsi="Arial" w:cs="Arial"/>
          <w:spacing w:val="-2"/>
          <w:szCs w:val="20"/>
        </w:rPr>
        <w:br w:type="page"/>
      </w:r>
    </w:p>
    <w:p w14:paraId="7E58C6C6" w14:textId="175A9961" w:rsidR="004E73AB" w:rsidRPr="004F036D" w:rsidRDefault="004F036D" w:rsidP="004F036D">
      <w:pPr>
        <w:pStyle w:val="BodyText"/>
        <w:spacing w:before="157" w:line="360" w:lineRule="auto"/>
        <w:ind w:right="116"/>
        <w:jc w:val="both"/>
        <w:rPr>
          <w:rFonts w:ascii="Arial" w:hAnsi="Arial" w:cs="Arial"/>
          <w:b/>
          <w:bCs/>
          <w:sz w:val="22"/>
          <w:szCs w:val="22"/>
        </w:rPr>
      </w:pPr>
      <w:r w:rsidRPr="004F036D">
        <w:rPr>
          <w:rFonts w:ascii="Arial" w:hAnsi="Arial" w:cs="Arial"/>
          <w:b/>
          <w:bCs/>
          <w:spacing w:val="-2"/>
          <w:sz w:val="22"/>
          <w:szCs w:val="22"/>
        </w:rPr>
        <w:lastRenderedPageBreak/>
        <w:t xml:space="preserve">3.2 </w:t>
      </w:r>
      <w:r w:rsidR="004E73AB" w:rsidRPr="004F036D">
        <w:rPr>
          <w:rFonts w:ascii="Arial" w:hAnsi="Arial" w:cs="Arial"/>
          <w:b/>
          <w:bCs/>
          <w:spacing w:val="-2"/>
          <w:sz w:val="22"/>
          <w:szCs w:val="22"/>
        </w:rPr>
        <w:t>Discussion</w:t>
      </w:r>
      <w:bookmarkEnd w:id="11"/>
    </w:p>
    <w:p w14:paraId="4CF73EAF" w14:textId="77777777" w:rsidR="004E2227" w:rsidRDefault="004E2227" w:rsidP="004F036D">
      <w:pPr>
        <w:spacing w:after="0" w:line="360" w:lineRule="auto"/>
        <w:ind w:left="0" w:firstLine="0"/>
        <w:rPr>
          <w:rFonts w:ascii="Arial" w:eastAsia="Times New Roman" w:hAnsi="Arial" w:cs="Arial"/>
          <w:color w:val="auto"/>
          <w:szCs w:val="20"/>
          <w:lang w:val="en-US" w:eastAsia="en-US"/>
        </w:rPr>
      </w:pPr>
      <w:bookmarkStart w:id="12" w:name="_bookmark116"/>
      <w:bookmarkEnd w:id="12"/>
      <w:r w:rsidRPr="004E2227">
        <w:rPr>
          <w:rFonts w:ascii="Arial" w:eastAsia="Times New Roman" w:hAnsi="Arial" w:cs="Arial"/>
          <w:color w:val="auto"/>
          <w:szCs w:val="20"/>
          <w:lang w:val="en-US" w:eastAsia="en-US"/>
        </w:rPr>
        <w:t>Along the Opobo coast, a thorough assessment of the coastal changes between 1984 and 2020 was conducted. This study's shoreline change map is based on findings from the DSAS-LRR change statistical approach, which assessed the rate of accretion and erosion along the coast over 36 years, from 1984 to 2020. Rate of sea level rise-induced geomorphological changes along the coast</w:t>
      </w:r>
    </w:p>
    <w:p w14:paraId="5DCB456D" w14:textId="77777777" w:rsidR="004E2227" w:rsidRDefault="004E2227" w:rsidP="004F036D">
      <w:pPr>
        <w:spacing w:after="0" w:line="360" w:lineRule="auto"/>
        <w:ind w:left="0" w:firstLine="0"/>
        <w:rPr>
          <w:rFonts w:ascii="Arial" w:eastAsia="Times New Roman" w:hAnsi="Arial" w:cs="Arial"/>
          <w:color w:val="auto"/>
          <w:szCs w:val="20"/>
          <w:lang w:val="en-US" w:eastAsia="en-US"/>
        </w:rPr>
      </w:pPr>
      <w:r w:rsidRPr="004E2227">
        <w:rPr>
          <w:rFonts w:ascii="Arial" w:eastAsia="Times New Roman" w:hAnsi="Arial" w:cs="Arial"/>
          <w:color w:val="auto"/>
          <w:szCs w:val="20"/>
          <w:lang w:val="en-US" w:eastAsia="en-US"/>
        </w:rPr>
        <w:t>Using Landsat medium-resolution data (2015–2020) for the short-term coastal change evaluation, the study evaluated the rapid geomorphological changes along the coast. Given the erosional pattern revealed by the long-term analysis along the entire coast, it is imperative to compare and assess the rate of change along the coast. Management choices in the area may be influenced by a more complete knowledge of the shoreline changes made possible by this assessment. To look into these rapid changes, we performed a short-term historical trend study (from 2015 to 2020). The average LRR result for the short-term analysis was -3.94+1.28 m/yr, suggesting that erosion is a frequent occurrence along the shore. There will be a lot of activity along the coast over the next five years, based on the size of the changes observed in the data from 2015 to 2020. In line with the results of the long-term analysis, the short-term overall average LRR along each of the three shoreline segments of the study coast showed an erosional trend. Zone B was the most dynamic section of the coast, with an average LRR of -5.89+3 m/yr, while Zone A was the least dynamic, with an average LRR of -2.23+ 0.75 m/yr. These findings are consistent with the long-term analysis's conclusions as well. However, this study discovered that the recent and rapid erosion of the coastline may be caused by a combination of natural and man-made forces. In the field, there was proof of the consequences of the recent, rapid rates of erosion, which have been exacerbated by human activity. Along with the destruction of homes and farmlands, there were also reports of local fatalities in a number of coastal communities. Wang et al.'s (2019) study of Haikou Village, China, offers a great example of how to successfully integrate indigenous and scientific knowledge in community-based research, which is a result of growing awareness of the importance of indigenous knowledge in scientific research. This study also uses local knowledge to better understand the rate of coastal erosion in the region.</w:t>
      </w:r>
      <w:r>
        <w:rPr>
          <w:rFonts w:ascii="Arial" w:eastAsia="Times New Roman" w:hAnsi="Arial" w:cs="Arial"/>
          <w:color w:val="auto"/>
          <w:szCs w:val="20"/>
          <w:lang w:val="en-US" w:eastAsia="en-US"/>
        </w:rPr>
        <w:t xml:space="preserve"> </w:t>
      </w:r>
    </w:p>
    <w:p w14:paraId="7E58C6CA" w14:textId="67244934" w:rsidR="005500B6" w:rsidRPr="00A80ABA" w:rsidRDefault="006A08D9" w:rsidP="006A08D9">
      <w:pPr>
        <w:spacing w:after="0" w:line="360" w:lineRule="auto"/>
        <w:ind w:left="0" w:firstLine="0"/>
        <w:rPr>
          <w:rFonts w:ascii="Arial" w:hAnsi="Arial" w:cs="Arial"/>
          <w:w w:val="90"/>
          <w:szCs w:val="20"/>
        </w:rPr>
      </w:pPr>
      <w:r w:rsidRPr="006A08D9">
        <w:rPr>
          <w:rFonts w:ascii="Arial" w:hAnsi="Arial" w:cs="Arial"/>
          <w:w w:val="90"/>
          <w:szCs w:val="20"/>
        </w:rPr>
        <w:t xml:space="preserve">In order to cope with the effects of climate change in the study area, respondents used similar reactive or ex-post adaptation strategies, according to an analysis of adaptation strategies used by households in the study area. In order to prevent and adapt to the effects of climate change, they therefore depended more on individual efforts than on government interventions. These coping mechanisms may be categorized as coping responses, according to Porter et al. (2014). </w:t>
      </w:r>
      <w:r w:rsidRPr="006A08D9">
        <w:rPr>
          <w:rFonts w:ascii="Arial" w:hAnsi="Arial" w:cs="Arial"/>
          <w:spacing w:val="-6"/>
          <w:szCs w:val="20"/>
        </w:rPr>
        <w:t xml:space="preserve">It is a </w:t>
      </w:r>
      <w:proofErr w:type="spellStart"/>
      <w:r w:rsidRPr="006A08D9">
        <w:rPr>
          <w:rFonts w:ascii="Arial" w:hAnsi="Arial" w:cs="Arial"/>
          <w:spacing w:val="-6"/>
          <w:szCs w:val="20"/>
        </w:rPr>
        <w:t>behavioral</w:t>
      </w:r>
      <w:proofErr w:type="spellEnd"/>
      <w:r w:rsidRPr="006A08D9">
        <w:rPr>
          <w:rFonts w:ascii="Arial" w:hAnsi="Arial" w:cs="Arial"/>
          <w:spacing w:val="-6"/>
          <w:szCs w:val="20"/>
        </w:rPr>
        <w:t xml:space="preserve"> shift that happens naturally, sometimes after the effects of climate change have been felt, and doesn't require a planned strategy. This result is consistent with a prior study by Mertz et al. (2009) that discovered that households in developing nations frequently take coping response measures in response to extreme climate change events.</w:t>
      </w:r>
    </w:p>
    <w:p w14:paraId="185FDBFE" w14:textId="77777777" w:rsidR="006A08D9" w:rsidRDefault="006A08D9" w:rsidP="006A08D9">
      <w:pPr>
        <w:pStyle w:val="BodyText"/>
        <w:spacing w:line="360" w:lineRule="auto"/>
        <w:ind w:right="118"/>
        <w:jc w:val="both"/>
        <w:rPr>
          <w:rFonts w:ascii="Arial" w:hAnsi="Arial" w:cs="Arial"/>
          <w:w w:val="90"/>
          <w:sz w:val="20"/>
          <w:szCs w:val="20"/>
        </w:rPr>
      </w:pPr>
      <w:r w:rsidRPr="006A08D9">
        <w:rPr>
          <w:rFonts w:ascii="Arial" w:hAnsi="Arial" w:cs="Arial"/>
          <w:w w:val="90"/>
          <w:sz w:val="20"/>
          <w:szCs w:val="20"/>
        </w:rPr>
        <w:t xml:space="preserve">Additionally, the study found that the average monthly income, house type, degree of education, and ownership of a home all have a significant impact on the adaptation strategies that households in the study area choose to use in response to the effects of climate change. This suggested that people's degree of risk and adaptability seem to be more influenced by their formal education. This result further supports the conclusions of earlier research, including Wamsler et al. (2012) and Alexander et al. (2016), which found that education plays a significant role in determining how well a household or individual adapts to the effects of climate change. There is compelling evidence that households in the study area choose sea level rise adaptation strategies based in </w:t>
      </w:r>
      <w:r w:rsidRPr="006A08D9">
        <w:rPr>
          <w:rFonts w:ascii="Arial" w:hAnsi="Arial" w:cs="Arial"/>
          <w:w w:val="90"/>
          <w:sz w:val="20"/>
          <w:szCs w:val="20"/>
        </w:rPr>
        <w:lastRenderedPageBreak/>
        <w:t xml:space="preserve">large part on age. </w:t>
      </w:r>
      <w:r w:rsidRPr="006A08D9">
        <w:rPr>
          <w:rFonts w:ascii="Arial" w:hAnsi="Arial" w:cs="Arial"/>
          <w:sz w:val="20"/>
          <w:szCs w:val="20"/>
        </w:rPr>
        <w:t xml:space="preserve">The need to focus on how the young adults who make up the majority of the residential densities in the study area can contribute innovative adaptation strategies to current and future sea level rises is highlighted by this analysis of age as a factor to be taken into account in adaptation pathways. Because age shapes the positions from which residents negotiate, engage, and evaluate various technical adaptation practices, these findings thus support previous claims by Ng’ang’a and Crane (2020) that adaptation to climate change is a contingent process highly influenced by age. However, in the study area, factors such as gender, family size, and years of residence were found to be statistically insignificant when it came to sea level rise adaptation. </w:t>
      </w:r>
      <w:r w:rsidRPr="006A08D9">
        <w:rPr>
          <w:rFonts w:ascii="Arial" w:hAnsi="Arial" w:cs="Arial"/>
          <w:spacing w:val="-6"/>
          <w:sz w:val="20"/>
          <w:szCs w:val="20"/>
        </w:rPr>
        <w:t xml:space="preserve">The study also found that people who own their homes are more likely to use adaptation strategies to climate change than people who rent apartments. This finding supports the findings of other studies, like </w:t>
      </w:r>
      <w:proofErr w:type="spellStart"/>
      <w:r w:rsidRPr="006A08D9">
        <w:rPr>
          <w:rFonts w:ascii="Arial" w:hAnsi="Arial" w:cs="Arial"/>
          <w:spacing w:val="-6"/>
          <w:sz w:val="20"/>
          <w:szCs w:val="20"/>
        </w:rPr>
        <w:t>Ihemezie</w:t>
      </w:r>
      <w:proofErr w:type="spellEnd"/>
      <w:r w:rsidRPr="006A08D9">
        <w:rPr>
          <w:rFonts w:ascii="Arial" w:hAnsi="Arial" w:cs="Arial"/>
          <w:spacing w:val="-6"/>
          <w:sz w:val="20"/>
          <w:szCs w:val="20"/>
        </w:rPr>
        <w:t xml:space="preserve"> et al. (2018), which found that homeowners are more likely to adopt adaptation strategies as a protective measure against their property than tenants who have little stake or self-interest in the property. Accordingly, the type of home a household lives in may likely influence the level of adaptation strategies that the household adopts to climate change. During field observation and respondent interaction, it was found that households in high-rise buildings, duplexes, and terraced houses adopted more adaptation strategies than households in bungalows and terraced houses.</w:t>
      </w:r>
      <w:r w:rsidR="00401BE8" w:rsidRPr="00794028">
        <w:rPr>
          <w:rFonts w:ascii="Arial" w:hAnsi="Arial" w:cs="Arial"/>
          <w:w w:val="90"/>
          <w:sz w:val="20"/>
          <w:szCs w:val="20"/>
        </w:rPr>
        <w:t xml:space="preserve"> </w:t>
      </w:r>
      <w:r w:rsidRPr="006A08D9">
        <w:rPr>
          <w:rFonts w:ascii="Arial" w:hAnsi="Arial" w:cs="Arial"/>
          <w:w w:val="90"/>
          <w:sz w:val="20"/>
          <w:szCs w:val="20"/>
        </w:rPr>
        <w:t xml:space="preserve">This could be explained by the fact that households in bungalows and terraced houses tend to have lower incomes than those in duplexes and high-rise buildings, which are typically occupied by households with higher incomes. According to Uddin et al. (2014) and </w:t>
      </w:r>
      <w:proofErr w:type="spellStart"/>
      <w:r w:rsidRPr="006A08D9">
        <w:rPr>
          <w:rFonts w:ascii="Arial" w:hAnsi="Arial" w:cs="Arial"/>
          <w:w w:val="90"/>
          <w:sz w:val="20"/>
          <w:szCs w:val="20"/>
        </w:rPr>
        <w:t>Ihemezie</w:t>
      </w:r>
      <w:proofErr w:type="spellEnd"/>
      <w:r w:rsidRPr="006A08D9">
        <w:rPr>
          <w:rFonts w:ascii="Arial" w:hAnsi="Arial" w:cs="Arial"/>
          <w:w w:val="90"/>
          <w:sz w:val="20"/>
          <w:szCs w:val="20"/>
        </w:rPr>
        <w:t xml:space="preserve"> et al. (2018), households with higher incomes are more likely to be able to cope with and adjust to the effects of climate change. This finding further established the significance of income in households' choice of adaptation strategies to these effects.</w:t>
      </w:r>
    </w:p>
    <w:p w14:paraId="0B9509BD" w14:textId="77777777" w:rsidR="00930047" w:rsidRDefault="006A08D9" w:rsidP="00930047">
      <w:pPr>
        <w:pStyle w:val="BodyText"/>
        <w:spacing w:line="360" w:lineRule="auto"/>
        <w:ind w:right="118"/>
        <w:jc w:val="both"/>
        <w:rPr>
          <w:rFonts w:ascii="Arial" w:hAnsi="Arial" w:cs="Arial"/>
          <w:spacing w:val="-6"/>
          <w:sz w:val="20"/>
          <w:szCs w:val="20"/>
        </w:rPr>
      </w:pPr>
      <w:r w:rsidRPr="006A08D9">
        <w:rPr>
          <w:rFonts w:ascii="Arial" w:hAnsi="Arial" w:cs="Arial"/>
          <w:spacing w:val="-2"/>
          <w:sz w:val="20"/>
          <w:szCs w:val="20"/>
        </w:rPr>
        <w:t xml:space="preserve">Additionally, this study found that the income levels of households were positively and statistically significantly impacted by sea level rise adaptation strategies. This result confirms the findings of </w:t>
      </w:r>
      <w:proofErr w:type="spellStart"/>
      <w:r w:rsidRPr="006A08D9">
        <w:rPr>
          <w:rFonts w:ascii="Arial" w:hAnsi="Arial" w:cs="Arial"/>
          <w:spacing w:val="-2"/>
          <w:sz w:val="20"/>
          <w:szCs w:val="20"/>
        </w:rPr>
        <w:t>Ihemezie</w:t>
      </w:r>
      <w:proofErr w:type="spellEnd"/>
      <w:r w:rsidRPr="006A08D9">
        <w:rPr>
          <w:rFonts w:ascii="Arial" w:hAnsi="Arial" w:cs="Arial"/>
          <w:spacing w:val="-2"/>
          <w:sz w:val="20"/>
          <w:szCs w:val="20"/>
        </w:rPr>
        <w:t xml:space="preserve"> et al. (2018) and Berhe et al. (2017) that households or individuals with higher monthly incomes are more likely to adopt more adaptation strategies, particularly the more expensive and technical adaptation measures.</w:t>
      </w:r>
      <w:r>
        <w:rPr>
          <w:rFonts w:ascii="Arial" w:hAnsi="Arial" w:cs="Arial"/>
          <w:spacing w:val="-2"/>
          <w:sz w:val="20"/>
          <w:szCs w:val="20"/>
        </w:rPr>
        <w:t xml:space="preserve"> </w:t>
      </w:r>
      <w:r w:rsidR="00930047" w:rsidRPr="00930047">
        <w:rPr>
          <w:rFonts w:ascii="Arial" w:hAnsi="Arial" w:cs="Arial"/>
          <w:spacing w:val="-6"/>
          <w:sz w:val="20"/>
          <w:szCs w:val="20"/>
        </w:rPr>
        <w:t xml:space="preserve">The implication is that disparities in vulnerability and exposure to the risk of climate change are likely to persist due to income inequality among individuals or households. Furthermore, adaptation responses have the potential to exacerbate already-existing disparities or even generate new ones. Overall, the study's findings support those of </w:t>
      </w:r>
      <w:proofErr w:type="spellStart"/>
      <w:r w:rsidR="00930047" w:rsidRPr="00930047">
        <w:rPr>
          <w:rFonts w:ascii="Arial" w:hAnsi="Arial" w:cs="Arial"/>
          <w:spacing w:val="-6"/>
          <w:sz w:val="20"/>
          <w:szCs w:val="20"/>
        </w:rPr>
        <w:t>Ihemezie</w:t>
      </w:r>
      <w:proofErr w:type="spellEnd"/>
      <w:r w:rsidR="00930047" w:rsidRPr="00930047">
        <w:rPr>
          <w:rFonts w:ascii="Arial" w:hAnsi="Arial" w:cs="Arial"/>
          <w:spacing w:val="-6"/>
          <w:sz w:val="20"/>
          <w:szCs w:val="20"/>
        </w:rPr>
        <w:t xml:space="preserve"> et al. (2018) and Ng'ang'a and Crane (2020), who found that respondents' attitudes and behavior regarding sea level rise adaptation are significantly influenced by their socioeconomic status.</w:t>
      </w:r>
    </w:p>
    <w:p w14:paraId="7E58C6D1" w14:textId="103FD899" w:rsidR="00FA0F1C" w:rsidRPr="008A7396" w:rsidRDefault="00FA0F1C" w:rsidP="00930047">
      <w:pPr>
        <w:pStyle w:val="BodyText"/>
        <w:numPr>
          <w:ilvl w:val="0"/>
          <w:numId w:val="10"/>
        </w:numPr>
        <w:spacing w:line="360" w:lineRule="auto"/>
        <w:ind w:right="118"/>
        <w:jc w:val="both"/>
        <w:rPr>
          <w:rFonts w:ascii="Arial" w:hAnsi="Arial" w:cs="Arial"/>
          <w:b/>
          <w:sz w:val="22"/>
        </w:rPr>
      </w:pPr>
      <w:r w:rsidRPr="008A7396">
        <w:rPr>
          <w:rFonts w:ascii="Arial" w:hAnsi="Arial" w:cs="Arial"/>
          <w:b/>
          <w:sz w:val="22"/>
        </w:rPr>
        <w:t>CONCLUSION</w:t>
      </w:r>
    </w:p>
    <w:p w14:paraId="07262EEE" w14:textId="77777777" w:rsidR="00930047" w:rsidRDefault="00930047" w:rsidP="00930047">
      <w:pPr>
        <w:pStyle w:val="BodyText"/>
        <w:spacing w:before="157" w:line="360" w:lineRule="auto"/>
        <w:ind w:right="116"/>
        <w:jc w:val="both"/>
        <w:rPr>
          <w:rFonts w:ascii="Arial" w:hAnsi="Arial" w:cs="Arial"/>
          <w:sz w:val="20"/>
          <w:szCs w:val="20"/>
        </w:rPr>
      </w:pPr>
      <w:r w:rsidRPr="00930047">
        <w:rPr>
          <w:rFonts w:ascii="Arial" w:hAnsi="Arial" w:cs="Arial"/>
          <w:sz w:val="20"/>
          <w:szCs w:val="20"/>
        </w:rPr>
        <w:t xml:space="preserve">Although the phenomenon of climate change is not new to Earth's history, the remarkable and worrisome climatic variations of this era are the result of human-caused factors, primarily from the world's developed nations. In the Niger Delta, erosion, coastal flooding, and relative sea level rise have all become realities. It is advised to monitor and manage it continuously due to its dynamic nature under the influence of continuous flooding. The findings suggested that respondents in the three residential densities relied more on coping strategies than on proactive ones to deal with the effects of climate change. However, the three adaptation measures that were deemed to be of the least importance were: the government and community groups' installation of storm surge barriers; the provision of effective mechanisms for disaster risk reduction; the use of windbreaks and shelter belts; and the government's restriction of land reclamation activities in recently developed areas. In addition, </w:t>
      </w:r>
      <w:r w:rsidRPr="00930047">
        <w:rPr>
          <w:rFonts w:ascii="Arial" w:hAnsi="Arial" w:cs="Arial"/>
          <w:sz w:val="20"/>
          <w:szCs w:val="20"/>
        </w:rPr>
        <w:lastRenderedPageBreak/>
        <w:t>the study area's average residents' response index (RRI) was 3.67, whereas the RRIs for the high, medium, and low residential densities were 3.59, 3.69, and 3.72, respectively. These answers suggested that as residential densities increased, so did the intensity of responses to the effects of climate change.</w:t>
      </w:r>
    </w:p>
    <w:p w14:paraId="7E58C6D4" w14:textId="645AB6DD" w:rsidR="005E283F" w:rsidRPr="00794028" w:rsidRDefault="00A80ABA" w:rsidP="00930047">
      <w:pPr>
        <w:pStyle w:val="BodyText"/>
        <w:spacing w:before="157" w:line="360" w:lineRule="auto"/>
        <w:ind w:right="116"/>
        <w:jc w:val="both"/>
        <w:rPr>
          <w:rFonts w:ascii="Arial" w:hAnsi="Arial" w:cs="Arial"/>
          <w:b/>
          <w:szCs w:val="20"/>
        </w:rPr>
      </w:pPr>
      <w:r w:rsidRPr="00794028">
        <w:rPr>
          <w:rFonts w:ascii="Arial" w:hAnsi="Arial" w:cs="Arial"/>
          <w:b/>
          <w:szCs w:val="20"/>
        </w:rPr>
        <w:t>RECOMMENDATIONS</w:t>
      </w:r>
    </w:p>
    <w:p w14:paraId="7E58C6D5" w14:textId="77777777" w:rsidR="00405BDE" w:rsidRPr="00794028" w:rsidRDefault="00973D2B" w:rsidP="00794028">
      <w:pPr>
        <w:pStyle w:val="ListParagraph"/>
        <w:numPr>
          <w:ilvl w:val="0"/>
          <w:numId w:val="6"/>
        </w:numPr>
        <w:tabs>
          <w:tab w:val="num" w:pos="720"/>
        </w:tabs>
        <w:spacing w:line="360" w:lineRule="auto"/>
        <w:ind w:hanging="720"/>
        <w:rPr>
          <w:rFonts w:ascii="Arial" w:hAnsi="Arial" w:cs="Arial"/>
          <w:color w:val="auto"/>
          <w:szCs w:val="20"/>
          <w:lang w:val="en-US"/>
        </w:rPr>
      </w:pPr>
      <w:r w:rsidRPr="00794028">
        <w:rPr>
          <w:rFonts w:ascii="Arial" w:hAnsi="Arial" w:cs="Arial"/>
          <w:color w:val="auto"/>
          <w:szCs w:val="20"/>
          <w:lang w:val="en-US"/>
        </w:rPr>
        <w:t>Given the importance of the Nigerian Coastal Zone in Nigerian economy, adequate attention should be made by implementing sustainable mitigation measures which are location specific and guarantee effective adaptation to climate change in the area.</w:t>
      </w:r>
    </w:p>
    <w:p w14:paraId="4B1E1F5C" w14:textId="77777777" w:rsidR="008A7396" w:rsidRDefault="00FB7809" w:rsidP="008A7396">
      <w:pPr>
        <w:pStyle w:val="ListParagraph"/>
        <w:numPr>
          <w:ilvl w:val="0"/>
          <w:numId w:val="6"/>
        </w:numPr>
        <w:tabs>
          <w:tab w:val="num" w:pos="720"/>
        </w:tabs>
        <w:spacing w:line="360" w:lineRule="auto"/>
        <w:ind w:hanging="720"/>
        <w:rPr>
          <w:rFonts w:ascii="Arial" w:hAnsi="Arial" w:cs="Arial"/>
          <w:color w:val="auto"/>
          <w:szCs w:val="20"/>
          <w:lang w:val="en-US"/>
        </w:rPr>
      </w:pPr>
      <w:r w:rsidRPr="00794028">
        <w:rPr>
          <w:rFonts w:ascii="Arial" w:hAnsi="Arial" w:cs="Arial"/>
          <w:color w:val="auto"/>
          <w:szCs w:val="20"/>
          <w:lang w:val="en-US"/>
        </w:rPr>
        <w:t>T</w:t>
      </w:r>
      <w:r w:rsidR="00405BDE" w:rsidRPr="00794028">
        <w:rPr>
          <w:rFonts w:ascii="Arial" w:hAnsi="Arial" w:cs="Arial"/>
          <w:color w:val="auto"/>
          <w:szCs w:val="20"/>
          <w:lang w:val="en-US"/>
        </w:rPr>
        <w:t xml:space="preserve">he state and the federal government of Nigeria, development partners, and the private sector actors under the current climate variation should undertake their designated roles in climate change responses, measures and actions to implement context-specific policies to address impediments to the adoption of advanced </w:t>
      </w:r>
      <w:r w:rsidR="00A17647" w:rsidRPr="00794028">
        <w:rPr>
          <w:rFonts w:ascii="Arial" w:hAnsi="Arial" w:cs="Arial"/>
          <w:color w:val="auto"/>
          <w:szCs w:val="20"/>
          <w:lang w:val="en-US"/>
        </w:rPr>
        <w:t>sea level rise adaptation</w:t>
      </w:r>
      <w:r w:rsidR="00405BDE" w:rsidRPr="00794028">
        <w:rPr>
          <w:rFonts w:ascii="Arial" w:hAnsi="Arial" w:cs="Arial"/>
          <w:color w:val="auto"/>
          <w:szCs w:val="20"/>
          <w:lang w:val="en-US"/>
        </w:rPr>
        <w:t xml:space="preserve"> strategies across different residential densities in </w:t>
      </w:r>
      <w:r w:rsidR="005047B9" w:rsidRPr="00794028">
        <w:rPr>
          <w:rFonts w:ascii="Arial" w:hAnsi="Arial" w:cs="Arial"/>
          <w:color w:val="auto"/>
          <w:szCs w:val="20"/>
          <w:lang w:val="en-US"/>
        </w:rPr>
        <w:t>Opobo</w:t>
      </w:r>
      <w:r w:rsidR="00405BDE" w:rsidRPr="00794028">
        <w:rPr>
          <w:rFonts w:ascii="Arial" w:hAnsi="Arial" w:cs="Arial"/>
          <w:color w:val="auto"/>
          <w:szCs w:val="20"/>
          <w:lang w:val="en-US"/>
        </w:rPr>
        <w:t xml:space="preserve"> and others with similar attributes.</w:t>
      </w:r>
    </w:p>
    <w:p w14:paraId="7E58C6D7" w14:textId="0328B115" w:rsidR="00024B8A" w:rsidRPr="008A7396" w:rsidRDefault="005E7B49" w:rsidP="008A7396">
      <w:pPr>
        <w:pStyle w:val="ListParagraph"/>
        <w:numPr>
          <w:ilvl w:val="0"/>
          <w:numId w:val="6"/>
        </w:numPr>
        <w:tabs>
          <w:tab w:val="num" w:pos="720"/>
        </w:tabs>
        <w:spacing w:line="360" w:lineRule="auto"/>
        <w:ind w:hanging="720"/>
        <w:rPr>
          <w:rFonts w:ascii="Arial" w:hAnsi="Arial" w:cs="Arial"/>
          <w:color w:val="auto"/>
          <w:szCs w:val="20"/>
          <w:lang w:val="en-US"/>
        </w:rPr>
      </w:pPr>
      <w:r w:rsidRPr="008A7396">
        <w:rPr>
          <w:rFonts w:ascii="Arial" w:hAnsi="Arial" w:cs="Arial"/>
          <w:color w:val="auto"/>
          <w:szCs w:val="20"/>
        </w:rPr>
        <w:t xml:space="preserve">Furthermore, it is strongly recommended that stakeholders at all levels must </w:t>
      </w:r>
      <w:proofErr w:type="gramStart"/>
      <w:r w:rsidRPr="008A7396">
        <w:rPr>
          <w:rFonts w:ascii="Arial" w:hAnsi="Arial" w:cs="Arial"/>
          <w:color w:val="auto"/>
          <w:szCs w:val="20"/>
        </w:rPr>
        <w:t>assess,  plan</w:t>
      </w:r>
      <w:proofErr w:type="gramEnd"/>
      <w:r w:rsidRPr="008A7396">
        <w:rPr>
          <w:rFonts w:ascii="Arial" w:hAnsi="Arial" w:cs="Arial"/>
          <w:color w:val="auto"/>
          <w:szCs w:val="20"/>
        </w:rPr>
        <w:t xml:space="preserve"> and implement </w:t>
      </w:r>
      <w:r w:rsidR="00A17647" w:rsidRPr="008A7396">
        <w:rPr>
          <w:rFonts w:ascii="Arial" w:hAnsi="Arial" w:cs="Arial"/>
          <w:color w:val="auto"/>
          <w:szCs w:val="20"/>
        </w:rPr>
        <w:t>sea level rise</w:t>
      </w:r>
      <w:r w:rsidRPr="008A7396">
        <w:rPr>
          <w:rFonts w:ascii="Arial" w:hAnsi="Arial" w:cs="Arial"/>
          <w:color w:val="auto"/>
          <w:szCs w:val="20"/>
        </w:rPr>
        <w:t xml:space="preserve"> reduction measures with the relevant communities to foster collaboration across sectors, addressing the immediate challenge of </w:t>
      </w:r>
      <w:r w:rsidR="00A17647" w:rsidRPr="008A7396">
        <w:rPr>
          <w:rFonts w:ascii="Arial" w:hAnsi="Arial" w:cs="Arial"/>
          <w:color w:val="auto"/>
          <w:szCs w:val="20"/>
        </w:rPr>
        <w:t>sea level rise</w:t>
      </w:r>
      <w:r w:rsidRPr="008A7396">
        <w:rPr>
          <w:rFonts w:ascii="Arial" w:hAnsi="Arial" w:cs="Arial"/>
          <w:color w:val="auto"/>
          <w:szCs w:val="20"/>
        </w:rPr>
        <w:t>s and increasing awareness.</w:t>
      </w:r>
    </w:p>
    <w:p w14:paraId="7E58C6D9" w14:textId="3D1F7B2E" w:rsidR="00024B8A" w:rsidRPr="00794028" w:rsidRDefault="00A80ABA" w:rsidP="00794028">
      <w:pPr>
        <w:pStyle w:val="NormalWeb"/>
        <w:spacing w:line="360" w:lineRule="auto"/>
        <w:rPr>
          <w:rFonts w:ascii="Arial" w:hAnsi="Arial" w:cs="Arial"/>
          <w:sz w:val="20"/>
          <w:szCs w:val="20"/>
          <w:lang w:eastAsia="en-US"/>
        </w:rPr>
      </w:pPr>
      <w:r w:rsidRPr="00794028">
        <w:rPr>
          <w:rStyle w:val="Strong"/>
          <w:rFonts w:ascii="Arial" w:eastAsiaTheme="majorEastAsia" w:hAnsi="Arial" w:cs="Arial"/>
          <w:sz w:val="20"/>
          <w:szCs w:val="20"/>
        </w:rPr>
        <w:t>REFERENCES</w:t>
      </w:r>
    </w:p>
    <w:p w14:paraId="7E58C6DA"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Akande, T. M., </w:t>
      </w:r>
      <w:proofErr w:type="spellStart"/>
      <w:r w:rsidRPr="00794028">
        <w:rPr>
          <w:rFonts w:ascii="Arial" w:hAnsi="Arial" w:cs="Arial"/>
          <w:sz w:val="20"/>
          <w:szCs w:val="20"/>
        </w:rPr>
        <w:t>Olowoporoku</w:t>
      </w:r>
      <w:proofErr w:type="spellEnd"/>
      <w:r w:rsidRPr="00794028">
        <w:rPr>
          <w:rFonts w:ascii="Arial" w:hAnsi="Arial" w:cs="Arial"/>
          <w:sz w:val="20"/>
          <w:szCs w:val="20"/>
        </w:rPr>
        <w:t xml:space="preserve">, A. O., &amp; Adebayo, O. M. (2017). </w:t>
      </w:r>
      <w:r w:rsidRPr="00794028">
        <w:rPr>
          <w:rStyle w:val="Emphasis"/>
          <w:rFonts w:ascii="Arial" w:eastAsiaTheme="majorEastAsia" w:hAnsi="Arial" w:cs="Arial"/>
          <w:sz w:val="20"/>
          <w:szCs w:val="20"/>
        </w:rPr>
        <w:t>The Nigerian coastal environment: Issues, policies and management</w:t>
      </w:r>
      <w:r w:rsidRPr="00794028">
        <w:rPr>
          <w:rFonts w:ascii="Arial" w:hAnsi="Arial" w:cs="Arial"/>
          <w:sz w:val="20"/>
          <w:szCs w:val="20"/>
        </w:rPr>
        <w:t>. Journal of Sustainable Development in Africa, 19(3), 112–125.</w:t>
      </w:r>
    </w:p>
    <w:p w14:paraId="7E58C6DB"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Allen, R. (2016). </w:t>
      </w:r>
      <w:r w:rsidRPr="00794028">
        <w:rPr>
          <w:rStyle w:val="Emphasis"/>
          <w:rFonts w:ascii="Arial" w:eastAsiaTheme="majorEastAsia" w:hAnsi="Arial" w:cs="Arial"/>
          <w:sz w:val="20"/>
          <w:szCs w:val="20"/>
        </w:rPr>
        <w:t>Coastal vulnerability and sea level rise in Nigeria: A geospatial perspective</w:t>
      </w:r>
      <w:r w:rsidRPr="00794028">
        <w:rPr>
          <w:rFonts w:ascii="Arial" w:hAnsi="Arial" w:cs="Arial"/>
          <w:sz w:val="20"/>
          <w:szCs w:val="20"/>
        </w:rPr>
        <w:t>. International Journal of Environmental Science, 8(2), 34–49.</w:t>
      </w:r>
    </w:p>
    <w:p w14:paraId="7E58C6DC"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Awosika, L. F. (2015). </w:t>
      </w:r>
      <w:r w:rsidRPr="00794028">
        <w:rPr>
          <w:rStyle w:val="Emphasis"/>
          <w:rFonts w:ascii="Arial" w:eastAsiaTheme="majorEastAsia" w:hAnsi="Arial" w:cs="Arial"/>
          <w:sz w:val="20"/>
          <w:szCs w:val="20"/>
        </w:rPr>
        <w:t>Impacts of climate change on the Niger Delta: Coastal and marine ecosystems</w:t>
      </w:r>
      <w:r w:rsidRPr="00794028">
        <w:rPr>
          <w:rFonts w:ascii="Arial" w:hAnsi="Arial" w:cs="Arial"/>
          <w:sz w:val="20"/>
          <w:szCs w:val="20"/>
        </w:rPr>
        <w:t>. Nigerian Journal of Environmental Sciences, 13(1), 45–63.</w:t>
      </w:r>
    </w:p>
    <w:p w14:paraId="7E58C6DD"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Bell, F. G. (2014). </w:t>
      </w:r>
      <w:r w:rsidRPr="00794028">
        <w:rPr>
          <w:rStyle w:val="Emphasis"/>
          <w:rFonts w:ascii="Arial" w:eastAsiaTheme="majorEastAsia" w:hAnsi="Arial" w:cs="Arial"/>
          <w:sz w:val="20"/>
          <w:szCs w:val="20"/>
        </w:rPr>
        <w:t>Coastal environments: Processes, geomorphology, and management</w:t>
      </w:r>
      <w:r w:rsidRPr="00794028">
        <w:rPr>
          <w:rFonts w:ascii="Arial" w:hAnsi="Arial" w:cs="Arial"/>
          <w:sz w:val="20"/>
          <w:szCs w:val="20"/>
        </w:rPr>
        <w:t>. Routledge.</w:t>
      </w:r>
    </w:p>
    <w:p w14:paraId="7E58C6DE"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Belay, A., Recha, J. W., </w:t>
      </w:r>
      <w:proofErr w:type="spellStart"/>
      <w:r w:rsidRPr="00794028">
        <w:rPr>
          <w:rFonts w:ascii="Arial" w:hAnsi="Arial" w:cs="Arial"/>
          <w:sz w:val="20"/>
          <w:szCs w:val="20"/>
        </w:rPr>
        <w:t>Woldeamanuel</w:t>
      </w:r>
      <w:proofErr w:type="spellEnd"/>
      <w:r w:rsidRPr="00794028">
        <w:rPr>
          <w:rFonts w:ascii="Arial" w:hAnsi="Arial" w:cs="Arial"/>
          <w:sz w:val="20"/>
          <w:szCs w:val="20"/>
        </w:rPr>
        <w:t xml:space="preserve">, T., &amp; Morton, J. F. (2017). </w:t>
      </w:r>
      <w:r w:rsidRPr="00794028">
        <w:rPr>
          <w:rStyle w:val="Emphasis"/>
          <w:rFonts w:ascii="Arial" w:eastAsiaTheme="majorEastAsia" w:hAnsi="Arial" w:cs="Arial"/>
          <w:sz w:val="20"/>
          <w:szCs w:val="20"/>
        </w:rPr>
        <w:t>Smallholder farmers’ adaptation to climate change and determinants of their adaptation decisions in the Central Rift Valley of Ethiopia</w:t>
      </w:r>
      <w:r w:rsidRPr="00794028">
        <w:rPr>
          <w:rFonts w:ascii="Arial" w:hAnsi="Arial" w:cs="Arial"/>
          <w:sz w:val="20"/>
          <w:szCs w:val="20"/>
        </w:rPr>
        <w:t>. Agriculture &amp; Food Security, 6(1), 24. https://doi.org/10.1186/s40066-017-0100-1</w:t>
      </w:r>
    </w:p>
    <w:p w14:paraId="7E58C6DF"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Birkmann, J., Welle, T., Solecki, W., </w:t>
      </w:r>
      <w:proofErr w:type="spellStart"/>
      <w:r w:rsidRPr="00794028">
        <w:rPr>
          <w:rFonts w:ascii="Arial" w:hAnsi="Arial" w:cs="Arial"/>
          <w:sz w:val="20"/>
          <w:szCs w:val="20"/>
        </w:rPr>
        <w:t>Lwasa</w:t>
      </w:r>
      <w:proofErr w:type="spellEnd"/>
      <w:r w:rsidRPr="00794028">
        <w:rPr>
          <w:rFonts w:ascii="Arial" w:hAnsi="Arial" w:cs="Arial"/>
          <w:sz w:val="20"/>
          <w:szCs w:val="20"/>
        </w:rPr>
        <w:t xml:space="preserve">, S., &amp; </w:t>
      </w:r>
      <w:proofErr w:type="spellStart"/>
      <w:r w:rsidRPr="00794028">
        <w:rPr>
          <w:rFonts w:ascii="Arial" w:hAnsi="Arial" w:cs="Arial"/>
          <w:sz w:val="20"/>
          <w:szCs w:val="20"/>
        </w:rPr>
        <w:t>Garschagen</w:t>
      </w:r>
      <w:proofErr w:type="spellEnd"/>
      <w:r w:rsidRPr="00794028">
        <w:rPr>
          <w:rFonts w:ascii="Arial" w:hAnsi="Arial" w:cs="Arial"/>
          <w:sz w:val="20"/>
          <w:szCs w:val="20"/>
        </w:rPr>
        <w:t xml:space="preserve">, M. (2021). </w:t>
      </w:r>
      <w:r w:rsidRPr="00794028">
        <w:rPr>
          <w:rStyle w:val="Emphasis"/>
          <w:rFonts w:ascii="Arial" w:eastAsiaTheme="majorEastAsia" w:hAnsi="Arial" w:cs="Arial"/>
          <w:sz w:val="20"/>
          <w:szCs w:val="20"/>
        </w:rPr>
        <w:t>Boost resilience of small and mid-sized cities</w:t>
      </w:r>
      <w:r w:rsidRPr="00794028">
        <w:rPr>
          <w:rFonts w:ascii="Arial" w:hAnsi="Arial" w:cs="Arial"/>
          <w:sz w:val="20"/>
          <w:szCs w:val="20"/>
        </w:rPr>
        <w:t>. Nature, 593(7858), 743–745. https://doi.org/10.1038/d41586-021-01582-y</w:t>
      </w:r>
    </w:p>
    <w:p w14:paraId="7E58C6E0" w14:textId="77777777" w:rsidR="00024B8A" w:rsidRPr="00794028" w:rsidRDefault="00024B8A" w:rsidP="00794028">
      <w:pPr>
        <w:pStyle w:val="NormalWeb"/>
        <w:spacing w:line="360" w:lineRule="auto"/>
        <w:jc w:val="both"/>
        <w:rPr>
          <w:rFonts w:ascii="Arial" w:hAnsi="Arial" w:cs="Arial"/>
          <w:sz w:val="20"/>
          <w:szCs w:val="20"/>
        </w:rPr>
      </w:pPr>
      <w:proofErr w:type="spellStart"/>
      <w:r w:rsidRPr="00794028">
        <w:rPr>
          <w:rFonts w:ascii="Arial" w:hAnsi="Arial" w:cs="Arial"/>
          <w:sz w:val="20"/>
          <w:szCs w:val="20"/>
        </w:rPr>
        <w:t>Botzen</w:t>
      </w:r>
      <w:proofErr w:type="spellEnd"/>
      <w:r w:rsidRPr="00794028">
        <w:rPr>
          <w:rFonts w:ascii="Arial" w:hAnsi="Arial" w:cs="Arial"/>
          <w:sz w:val="20"/>
          <w:szCs w:val="20"/>
        </w:rPr>
        <w:t xml:space="preserve">, W. J. W., Aerts, J. C. J. H., &amp; Van den Bergh, J. C. J. M. (2013). </w:t>
      </w:r>
      <w:r w:rsidRPr="00794028">
        <w:rPr>
          <w:rStyle w:val="Emphasis"/>
          <w:rFonts w:ascii="Arial" w:eastAsiaTheme="majorEastAsia" w:hAnsi="Arial" w:cs="Arial"/>
          <w:sz w:val="20"/>
          <w:szCs w:val="20"/>
        </w:rPr>
        <w:t>Individual preferences for reducing flood risk to near zero through elevation</w:t>
      </w:r>
      <w:r w:rsidRPr="00794028">
        <w:rPr>
          <w:rFonts w:ascii="Arial" w:hAnsi="Arial" w:cs="Arial"/>
          <w:sz w:val="20"/>
          <w:szCs w:val="20"/>
        </w:rPr>
        <w:t>. Risk Analysis, 33(8), 1392–1407. https://doi.org/10.1111/risa.12015</w:t>
      </w:r>
    </w:p>
    <w:p w14:paraId="7E58C6E1" w14:textId="77777777" w:rsidR="00024B8A" w:rsidRPr="00794028" w:rsidRDefault="00024B8A" w:rsidP="00794028">
      <w:pPr>
        <w:pStyle w:val="NormalWeb"/>
        <w:spacing w:line="360" w:lineRule="auto"/>
        <w:jc w:val="both"/>
        <w:rPr>
          <w:rFonts w:ascii="Arial" w:hAnsi="Arial" w:cs="Arial"/>
          <w:sz w:val="20"/>
          <w:szCs w:val="20"/>
        </w:rPr>
      </w:pPr>
      <w:proofErr w:type="spellStart"/>
      <w:r w:rsidRPr="00794028">
        <w:rPr>
          <w:rFonts w:ascii="Arial" w:hAnsi="Arial" w:cs="Arial"/>
          <w:sz w:val="20"/>
          <w:szCs w:val="20"/>
        </w:rPr>
        <w:lastRenderedPageBreak/>
        <w:t>Chete</w:t>
      </w:r>
      <w:proofErr w:type="spellEnd"/>
      <w:r w:rsidRPr="00794028">
        <w:rPr>
          <w:rFonts w:ascii="Arial" w:hAnsi="Arial" w:cs="Arial"/>
          <w:sz w:val="20"/>
          <w:szCs w:val="20"/>
        </w:rPr>
        <w:t xml:space="preserve">, L. N. (2019). </w:t>
      </w:r>
      <w:r w:rsidRPr="00794028">
        <w:rPr>
          <w:rStyle w:val="Emphasis"/>
          <w:rFonts w:ascii="Arial" w:eastAsiaTheme="majorEastAsia" w:hAnsi="Arial" w:cs="Arial"/>
          <w:sz w:val="20"/>
          <w:szCs w:val="20"/>
        </w:rPr>
        <w:t>Climate change adaptation strategies among smallholder farmers in Osun State, Nigeria</w:t>
      </w:r>
      <w:r w:rsidRPr="00794028">
        <w:rPr>
          <w:rFonts w:ascii="Arial" w:hAnsi="Arial" w:cs="Arial"/>
          <w:sz w:val="20"/>
          <w:szCs w:val="20"/>
        </w:rPr>
        <w:t>. Nigerian Journal of Agriculture, Food and Environment, 15(4), 93–99.</w:t>
      </w:r>
    </w:p>
    <w:p w14:paraId="7E58C6E2"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Clay, N., &amp; King, B. (2019). </w:t>
      </w:r>
      <w:r w:rsidRPr="00794028">
        <w:rPr>
          <w:rStyle w:val="Emphasis"/>
          <w:rFonts w:ascii="Arial" w:eastAsiaTheme="majorEastAsia" w:hAnsi="Arial" w:cs="Arial"/>
          <w:sz w:val="20"/>
          <w:szCs w:val="20"/>
        </w:rPr>
        <w:t>Smallholders’ uneven capacities to adapt to climate change amid Africa’s “green revolution”</w:t>
      </w:r>
      <w:r w:rsidRPr="00794028">
        <w:rPr>
          <w:rFonts w:ascii="Arial" w:hAnsi="Arial" w:cs="Arial"/>
          <w:sz w:val="20"/>
          <w:szCs w:val="20"/>
        </w:rPr>
        <w:t>. Global Environmental Change, 57, 101944. https://doi.org/10.1016/j.gloenvcha.2019.05.006</w:t>
      </w:r>
    </w:p>
    <w:p w14:paraId="7E58C6E3"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CLO (Civil Liberties Organization). (2018). </w:t>
      </w:r>
      <w:r w:rsidRPr="00794028">
        <w:rPr>
          <w:rStyle w:val="Emphasis"/>
          <w:rFonts w:ascii="Arial" w:eastAsiaTheme="majorEastAsia" w:hAnsi="Arial" w:cs="Arial"/>
          <w:sz w:val="20"/>
          <w:szCs w:val="20"/>
        </w:rPr>
        <w:t>Environmental degradation and its impact on the people of the Niger Delta</w:t>
      </w:r>
      <w:r w:rsidRPr="00794028">
        <w:rPr>
          <w:rFonts w:ascii="Arial" w:hAnsi="Arial" w:cs="Arial"/>
          <w:sz w:val="20"/>
          <w:szCs w:val="20"/>
        </w:rPr>
        <w:t>. Lagos: CLO Publications.</w:t>
      </w:r>
    </w:p>
    <w:p w14:paraId="7E58C6E4"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Daramola, A. Y., </w:t>
      </w:r>
      <w:proofErr w:type="spellStart"/>
      <w:r w:rsidRPr="00794028">
        <w:rPr>
          <w:rFonts w:ascii="Arial" w:hAnsi="Arial" w:cs="Arial"/>
          <w:sz w:val="20"/>
          <w:szCs w:val="20"/>
        </w:rPr>
        <w:t>Onwusah</w:t>
      </w:r>
      <w:proofErr w:type="spellEnd"/>
      <w:r w:rsidRPr="00794028">
        <w:rPr>
          <w:rFonts w:ascii="Arial" w:hAnsi="Arial" w:cs="Arial"/>
          <w:sz w:val="20"/>
          <w:szCs w:val="20"/>
        </w:rPr>
        <w:t xml:space="preserve">, I., &amp; </w:t>
      </w:r>
      <w:proofErr w:type="spellStart"/>
      <w:r w:rsidRPr="00794028">
        <w:rPr>
          <w:rFonts w:ascii="Arial" w:hAnsi="Arial" w:cs="Arial"/>
          <w:sz w:val="20"/>
          <w:szCs w:val="20"/>
        </w:rPr>
        <w:t>Akinbobola</w:t>
      </w:r>
      <w:proofErr w:type="spellEnd"/>
      <w:r w:rsidRPr="00794028">
        <w:rPr>
          <w:rFonts w:ascii="Arial" w:hAnsi="Arial" w:cs="Arial"/>
          <w:sz w:val="20"/>
          <w:szCs w:val="20"/>
        </w:rPr>
        <w:t xml:space="preserve">, A. (2016). </w:t>
      </w:r>
      <w:r w:rsidRPr="00794028">
        <w:rPr>
          <w:rStyle w:val="Emphasis"/>
          <w:rFonts w:ascii="Arial" w:eastAsiaTheme="majorEastAsia" w:hAnsi="Arial" w:cs="Arial"/>
          <w:sz w:val="20"/>
          <w:szCs w:val="20"/>
        </w:rPr>
        <w:t>Flood risk management and adaptation strategies in Nigeria</w:t>
      </w:r>
      <w:r w:rsidRPr="00794028">
        <w:rPr>
          <w:rFonts w:ascii="Arial" w:hAnsi="Arial" w:cs="Arial"/>
          <w:sz w:val="20"/>
          <w:szCs w:val="20"/>
        </w:rPr>
        <w:t>. Journal of Environmental Management, 10(2), 101–110.</w:t>
      </w:r>
    </w:p>
    <w:p w14:paraId="7E58C6E5"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Dey, S., Paul, S., &amp; Hazra, S. (2016). </w:t>
      </w:r>
      <w:r w:rsidRPr="00794028">
        <w:rPr>
          <w:rStyle w:val="Emphasis"/>
          <w:rFonts w:ascii="Arial" w:eastAsiaTheme="majorEastAsia" w:hAnsi="Arial" w:cs="Arial"/>
          <w:sz w:val="20"/>
          <w:szCs w:val="20"/>
        </w:rPr>
        <w:t>Household-level adaptation to climate change in Indian Sundarbans: Lessons from field studies</w:t>
      </w:r>
      <w:r w:rsidRPr="00794028">
        <w:rPr>
          <w:rFonts w:ascii="Arial" w:hAnsi="Arial" w:cs="Arial"/>
          <w:sz w:val="20"/>
          <w:szCs w:val="20"/>
        </w:rPr>
        <w:t>. Indian Journal of Climate Change, 7(1), 33–48.</w:t>
      </w:r>
    </w:p>
    <w:p w14:paraId="7E58C6E6"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Ekegren, M., Petrie, D., </w:t>
      </w:r>
      <w:proofErr w:type="spellStart"/>
      <w:r w:rsidRPr="00794028">
        <w:rPr>
          <w:rFonts w:ascii="Arial" w:hAnsi="Arial" w:cs="Arial"/>
          <w:sz w:val="20"/>
          <w:szCs w:val="20"/>
        </w:rPr>
        <w:t>Gabbe</w:t>
      </w:r>
      <w:proofErr w:type="spellEnd"/>
      <w:r w:rsidRPr="00794028">
        <w:rPr>
          <w:rFonts w:ascii="Arial" w:hAnsi="Arial" w:cs="Arial"/>
          <w:sz w:val="20"/>
          <w:szCs w:val="20"/>
        </w:rPr>
        <w:t xml:space="preserve">, B. J., &amp; Edwards, E. R. (2020). </w:t>
      </w:r>
      <w:r w:rsidRPr="00794028">
        <w:rPr>
          <w:rStyle w:val="Emphasis"/>
          <w:rFonts w:ascii="Arial" w:eastAsiaTheme="majorEastAsia" w:hAnsi="Arial" w:cs="Arial"/>
          <w:sz w:val="20"/>
          <w:szCs w:val="20"/>
        </w:rPr>
        <w:t>Household recovery after trauma: Factors influencing adaptation</w:t>
      </w:r>
      <w:r w:rsidRPr="00794028">
        <w:rPr>
          <w:rFonts w:ascii="Arial" w:hAnsi="Arial" w:cs="Arial"/>
          <w:sz w:val="20"/>
          <w:szCs w:val="20"/>
        </w:rPr>
        <w:t>. BMC Public Health, 20(1), 1244. https://doi.org/10.1186/s12889-020-09352-2</w:t>
      </w:r>
    </w:p>
    <w:p w14:paraId="7E58C6E7" w14:textId="77777777" w:rsidR="00024B8A" w:rsidRPr="00794028" w:rsidRDefault="00024B8A" w:rsidP="00794028">
      <w:pPr>
        <w:pStyle w:val="NormalWeb"/>
        <w:spacing w:line="360" w:lineRule="auto"/>
        <w:jc w:val="both"/>
        <w:rPr>
          <w:rFonts w:ascii="Arial" w:hAnsi="Arial" w:cs="Arial"/>
          <w:sz w:val="20"/>
          <w:szCs w:val="20"/>
        </w:rPr>
      </w:pPr>
      <w:proofErr w:type="spellStart"/>
      <w:r w:rsidRPr="00794028">
        <w:rPr>
          <w:rFonts w:ascii="Arial" w:hAnsi="Arial" w:cs="Arial"/>
          <w:sz w:val="20"/>
          <w:szCs w:val="20"/>
        </w:rPr>
        <w:t>Garschagen</w:t>
      </w:r>
      <w:proofErr w:type="spellEnd"/>
      <w:r w:rsidRPr="00794028">
        <w:rPr>
          <w:rFonts w:ascii="Arial" w:hAnsi="Arial" w:cs="Arial"/>
          <w:sz w:val="20"/>
          <w:szCs w:val="20"/>
        </w:rPr>
        <w:t xml:space="preserve">, M., </w:t>
      </w:r>
      <w:proofErr w:type="spellStart"/>
      <w:r w:rsidRPr="00794028">
        <w:rPr>
          <w:rFonts w:ascii="Arial" w:hAnsi="Arial" w:cs="Arial"/>
          <w:sz w:val="20"/>
          <w:szCs w:val="20"/>
        </w:rPr>
        <w:t>Hagenlocher</w:t>
      </w:r>
      <w:proofErr w:type="spellEnd"/>
      <w:r w:rsidRPr="00794028">
        <w:rPr>
          <w:rFonts w:ascii="Arial" w:hAnsi="Arial" w:cs="Arial"/>
          <w:sz w:val="20"/>
          <w:szCs w:val="20"/>
        </w:rPr>
        <w:t xml:space="preserve">, M., Comes, M., </w:t>
      </w:r>
      <w:proofErr w:type="spellStart"/>
      <w:r w:rsidRPr="00794028">
        <w:rPr>
          <w:rFonts w:ascii="Arial" w:hAnsi="Arial" w:cs="Arial"/>
          <w:sz w:val="20"/>
          <w:szCs w:val="20"/>
        </w:rPr>
        <w:t>Dubbelboer</w:t>
      </w:r>
      <w:proofErr w:type="spellEnd"/>
      <w:r w:rsidRPr="00794028">
        <w:rPr>
          <w:rFonts w:ascii="Arial" w:hAnsi="Arial" w:cs="Arial"/>
          <w:sz w:val="20"/>
          <w:szCs w:val="20"/>
        </w:rPr>
        <w:t xml:space="preserve">, J., </w:t>
      </w:r>
      <w:proofErr w:type="spellStart"/>
      <w:r w:rsidRPr="00794028">
        <w:rPr>
          <w:rFonts w:ascii="Arial" w:hAnsi="Arial" w:cs="Arial"/>
          <w:sz w:val="20"/>
          <w:szCs w:val="20"/>
        </w:rPr>
        <w:t>Sabelfeld</w:t>
      </w:r>
      <w:proofErr w:type="spellEnd"/>
      <w:r w:rsidRPr="00794028">
        <w:rPr>
          <w:rFonts w:ascii="Arial" w:hAnsi="Arial" w:cs="Arial"/>
          <w:sz w:val="20"/>
          <w:szCs w:val="20"/>
        </w:rPr>
        <w:t xml:space="preserve">, R., &amp; Birkmann, J. (2021). </w:t>
      </w:r>
      <w:r w:rsidRPr="00794028">
        <w:rPr>
          <w:rStyle w:val="Emphasis"/>
          <w:rFonts w:ascii="Arial" w:eastAsiaTheme="majorEastAsia" w:hAnsi="Arial" w:cs="Arial"/>
          <w:sz w:val="20"/>
          <w:szCs w:val="20"/>
        </w:rPr>
        <w:t>Systemic climate risk: What does it mean for the adaptation community?</w:t>
      </w:r>
      <w:r w:rsidRPr="00794028">
        <w:rPr>
          <w:rFonts w:ascii="Arial" w:hAnsi="Arial" w:cs="Arial"/>
          <w:sz w:val="20"/>
          <w:szCs w:val="20"/>
        </w:rPr>
        <w:t xml:space="preserve"> Environmental Research Letters, 16(5), 054038. https://doi.org/10.1088/1748-9326/abe3ec</w:t>
      </w:r>
    </w:p>
    <w:p w14:paraId="7E58C6E8"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Grothmann, T., &amp; Patt, A. (2005). </w:t>
      </w:r>
      <w:r w:rsidRPr="00794028">
        <w:rPr>
          <w:rStyle w:val="Emphasis"/>
          <w:rFonts w:ascii="Arial" w:eastAsiaTheme="majorEastAsia" w:hAnsi="Arial" w:cs="Arial"/>
          <w:sz w:val="20"/>
          <w:szCs w:val="20"/>
        </w:rPr>
        <w:t>Adaptive capacity and human cognition: The process of individual adaptation to climate change</w:t>
      </w:r>
      <w:r w:rsidRPr="00794028">
        <w:rPr>
          <w:rFonts w:ascii="Arial" w:hAnsi="Arial" w:cs="Arial"/>
          <w:sz w:val="20"/>
          <w:szCs w:val="20"/>
        </w:rPr>
        <w:t>. Global Environmental Change, 15(3), 199–213. https://doi.org/10.1016/j.gloenvcha.2005.01.002</w:t>
      </w:r>
    </w:p>
    <w:p w14:paraId="7E58C6E9"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Haider, H. (2019). </w:t>
      </w:r>
      <w:r w:rsidRPr="00794028">
        <w:rPr>
          <w:rStyle w:val="Emphasis"/>
          <w:rFonts w:ascii="Arial" w:eastAsiaTheme="majorEastAsia" w:hAnsi="Arial" w:cs="Arial"/>
          <w:sz w:val="20"/>
          <w:szCs w:val="20"/>
        </w:rPr>
        <w:t>Climate change in Nigeria: Impacts and responses</w:t>
      </w:r>
      <w:r w:rsidRPr="00794028">
        <w:rPr>
          <w:rFonts w:ascii="Arial" w:hAnsi="Arial" w:cs="Arial"/>
          <w:sz w:val="20"/>
          <w:szCs w:val="20"/>
        </w:rPr>
        <w:t>. K4D Helpdesk Report. Institute of Development Studies.</w:t>
      </w:r>
    </w:p>
    <w:p w14:paraId="7E58C6EA"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Hertel, T. W., Burke, M. B., &amp; Lobell, D. B. (2010). </w:t>
      </w:r>
      <w:r w:rsidRPr="00794028">
        <w:rPr>
          <w:rStyle w:val="Emphasis"/>
          <w:rFonts w:ascii="Arial" w:eastAsiaTheme="majorEastAsia" w:hAnsi="Arial" w:cs="Arial"/>
          <w:sz w:val="20"/>
          <w:szCs w:val="20"/>
        </w:rPr>
        <w:t>The poverty implications of climate-induced crop yield changes by 2030</w:t>
      </w:r>
      <w:r w:rsidRPr="00794028">
        <w:rPr>
          <w:rFonts w:ascii="Arial" w:hAnsi="Arial" w:cs="Arial"/>
          <w:sz w:val="20"/>
          <w:szCs w:val="20"/>
        </w:rPr>
        <w:t>. Global Environmental Change, 20(4), 577–585.</w:t>
      </w:r>
    </w:p>
    <w:p w14:paraId="7E58C6EB"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Huq, S., Reid, H., &amp; Murray, L. A. (2020). </w:t>
      </w:r>
      <w:r w:rsidRPr="00794028">
        <w:rPr>
          <w:rStyle w:val="Emphasis"/>
          <w:rFonts w:ascii="Arial" w:eastAsiaTheme="majorEastAsia" w:hAnsi="Arial" w:cs="Arial"/>
          <w:sz w:val="20"/>
          <w:szCs w:val="20"/>
        </w:rPr>
        <w:t>Climate change adaptation and development: Transforming paradigms and practices</w:t>
      </w:r>
      <w:r w:rsidRPr="00794028">
        <w:rPr>
          <w:rFonts w:ascii="Arial" w:hAnsi="Arial" w:cs="Arial"/>
          <w:sz w:val="20"/>
          <w:szCs w:val="20"/>
        </w:rPr>
        <w:t>. Routledge.</w:t>
      </w:r>
    </w:p>
    <w:p w14:paraId="7E58C6EC" w14:textId="77777777" w:rsidR="00024B8A" w:rsidRPr="00794028" w:rsidRDefault="00024B8A" w:rsidP="00794028">
      <w:pPr>
        <w:pStyle w:val="NormalWeb"/>
        <w:spacing w:line="360" w:lineRule="auto"/>
        <w:jc w:val="both"/>
        <w:rPr>
          <w:rFonts w:ascii="Arial" w:hAnsi="Arial" w:cs="Arial"/>
          <w:sz w:val="20"/>
          <w:szCs w:val="20"/>
        </w:rPr>
      </w:pPr>
      <w:proofErr w:type="spellStart"/>
      <w:r w:rsidRPr="00794028">
        <w:rPr>
          <w:rFonts w:ascii="Arial" w:hAnsi="Arial" w:cs="Arial"/>
          <w:sz w:val="20"/>
          <w:szCs w:val="20"/>
        </w:rPr>
        <w:t>Ihemezie</w:t>
      </w:r>
      <w:proofErr w:type="spellEnd"/>
      <w:r w:rsidRPr="00794028">
        <w:rPr>
          <w:rFonts w:ascii="Arial" w:hAnsi="Arial" w:cs="Arial"/>
          <w:sz w:val="20"/>
          <w:szCs w:val="20"/>
        </w:rPr>
        <w:t xml:space="preserve">, E. J., Oguejiofor, O. C., &amp; Orji, O. P. (2018). </w:t>
      </w:r>
      <w:r w:rsidRPr="00794028">
        <w:rPr>
          <w:rStyle w:val="Emphasis"/>
          <w:rFonts w:ascii="Arial" w:eastAsiaTheme="majorEastAsia" w:hAnsi="Arial" w:cs="Arial"/>
          <w:sz w:val="20"/>
          <w:szCs w:val="20"/>
        </w:rPr>
        <w:t>Household adaptation to climate change in Leeds, UK: The role of housing types, ownership and income</w:t>
      </w:r>
      <w:r w:rsidRPr="00794028">
        <w:rPr>
          <w:rFonts w:ascii="Arial" w:hAnsi="Arial" w:cs="Arial"/>
          <w:sz w:val="20"/>
          <w:szCs w:val="20"/>
        </w:rPr>
        <w:t>. Environmental Research Journal, 12(2), 77–86.</w:t>
      </w:r>
    </w:p>
    <w:p w14:paraId="7E58C6ED"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IPCC. (2001). </w:t>
      </w:r>
      <w:r w:rsidRPr="00794028">
        <w:rPr>
          <w:rStyle w:val="Emphasis"/>
          <w:rFonts w:ascii="Arial" w:eastAsiaTheme="majorEastAsia" w:hAnsi="Arial" w:cs="Arial"/>
          <w:sz w:val="20"/>
          <w:szCs w:val="20"/>
        </w:rPr>
        <w:t>Climate Change 2001: Impacts, Adaptation, and Vulnerability</w:t>
      </w:r>
      <w:r w:rsidRPr="00794028">
        <w:rPr>
          <w:rFonts w:ascii="Arial" w:hAnsi="Arial" w:cs="Arial"/>
          <w:sz w:val="20"/>
          <w:szCs w:val="20"/>
        </w:rPr>
        <w:t>. Contribution of Working Group II to the Third Assessment Report of the Intergovernmental Panel on Climate Change. Cambridge University Press.</w:t>
      </w:r>
    </w:p>
    <w:p w14:paraId="7E58C6EE"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lastRenderedPageBreak/>
        <w:t xml:space="preserve">Jabeen, H., Johnson, C., &amp; Allen, A. (2010). </w:t>
      </w:r>
      <w:r w:rsidRPr="00794028">
        <w:rPr>
          <w:rStyle w:val="Emphasis"/>
          <w:rFonts w:ascii="Arial" w:eastAsiaTheme="majorEastAsia" w:hAnsi="Arial" w:cs="Arial"/>
          <w:sz w:val="20"/>
          <w:szCs w:val="20"/>
        </w:rPr>
        <w:t>Built-in resilience: Learning from grassroots coping strategies for climate variability</w:t>
      </w:r>
      <w:r w:rsidRPr="00794028">
        <w:rPr>
          <w:rFonts w:ascii="Arial" w:hAnsi="Arial" w:cs="Arial"/>
          <w:sz w:val="20"/>
          <w:szCs w:val="20"/>
        </w:rPr>
        <w:t>. Environment and Urbanization, 22(2), 415–431. https://doi.org/10.1177/0956247810379937</w:t>
      </w:r>
    </w:p>
    <w:p w14:paraId="7E58C6EF"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Kreibich, H., Thieken, A. H., Petrow, T., Müller, M., &amp; Merz, B. (2005). </w:t>
      </w:r>
      <w:r w:rsidRPr="00794028">
        <w:rPr>
          <w:rStyle w:val="Emphasis"/>
          <w:rFonts w:ascii="Arial" w:eastAsiaTheme="majorEastAsia" w:hAnsi="Arial" w:cs="Arial"/>
          <w:sz w:val="20"/>
          <w:szCs w:val="20"/>
        </w:rPr>
        <w:t>Flood loss reduction of private households due to building precautionary measures</w:t>
      </w:r>
      <w:r w:rsidRPr="00794028">
        <w:rPr>
          <w:rFonts w:ascii="Arial" w:hAnsi="Arial" w:cs="Arial"/>
          <w:sz w:val="20"/>
          <w:szCs w:val="20"/>
        </w:rPr>
        <w:t>. Natural Hazards and Earth System Sciences, 5(1), 117–126.</w:t>
      </w:r>
    </w:p>
    <w:p w14:paraId="7E58C6F2"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Okunola, A. M. (2019). </w:t>
      </w:r>
      <w:r w:rsidRPr="00794028">
        <w:rPr>
          <w:rStyle w:val="Emphasis"/>
          <w:rFonts w:ascii="Arial" w:eastAsiaTheme="majorEastAsia" w:hAnsi="Arial" w:cs="Arial"/>
          <w:sz w:val="20"/>
          <w:szCs w:val="20"/>
        </w:rPr>
        <w:t>Perception and adaptation to climate change among rural farmers in South-Western Nigeria</w:t>
      </w:r>
      <w:r w:rsidRPr="00794028">
        <w:rPr>
          <w:rFonts w:ascii="Arial" w:hAnsi="Arial" w:cs="Arial"/>
          <w:sz w:val="20"/>
          <w:szCs w:val="20"/>
        </w:rPr>
        <w:t>. Nigerian Journal of Environmental Sciences, 17(1), 24–38.</w:t>
      </w:r>
    </w:p>
    <w:p w14:paraId="7E58C6F3"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Okunola, A. M., &amp; Bako, H. (2021). </w:t>
      </w:r>
      <w:r w:rsidRPr="00794028">
        <w:rPr>
          <w:rStyle w:val="Emphasis"/>
          <w:rFonts w:ascii="Arial" w:eastAsiaTheme="majorEastAsia" w:hAnsi="Arial" w:cs="Arial"/>
          <w:sz w:val="20"/>
          <w:szCs w:val="20"/>
        </w:rPr>
        <w:t>Low-cost household adaptation strategies to climate risks in Nigeria</w:t>
      </w:r>
      <w:r w:rsidRPr="00794028">
        <w:rPr>
          <w:rFonts w:ascii="Arial" w:hAnsi="Arial" w:cs="Arial"/>
          <w:sz w:val="20"/>
          <w:szCs w:val="20"/>
        </w:rPr>
        <w:t>. Journal of Sustainable Development Studies, 14(2), 111–125.</w:t>
      </w:r>
    </w:p>
    <w:p w14:paraId="7E58C6F4" w14:textId="77777777" w:rsidR="00024B8A" w:rsidRPr="00794028" w:rsidRDefault="00024B8A" w:rsidP="00794028">
      <w:pPr>
        <w:pStyle w:val="NormalWeb"/>
        <w:spacing w:line="360" w:lineRule="auto"/>
        <w:jc w:val="both"/>
        <w:rPr>
          <w:rFonts w:ascii="Arial" w:hAnsi="Arial" w:cs="Arial"/>
          <w:sz w:val="20"/>
          <w:szCs w:val="20"/>
        </w:rPr>
      </w:pPr>
      <w:proofErr w:type="spellStart"/>
      <w:r w:rsidRPr="00794028">
        <w:rPr>
          <w:rFonts w:ascii="Arial" w:hAnsi="Arial" w:cs="Arial"/>
          <w:sz w:val="20"/>
          <w:szCs w:val="20"/>
        </w:rPr>
        <w:t>Onwutuebe</w:t>
      </w:r>
      <w:proofErr w:type="spellEnd"/>
      <w:r w:rsidRPr="00794028">
        <w:rPr>
          <w:rFonts w:ascii="Arial" w:hAnsi="Arial" w:cs="Arial"/>
          <w:sz w:val="20"/>
          <w:szCs w:val="20"/>
        </w:rPr>
        <w:t xml:space="preserve">, C. J. (2019). </w:t>
      </w:r>
      <w:r w:rsidRPr="00794028">
        <w:rPr>
          <w:rStyle w:val="Emphasis"/>
          <w:rFonts w:ascii="Arial" w:eastAsiaTheme="majorEastAsia" w:hAnsi="Arial" w:cs="Arial"/>
          <w:sz w:val="20"/>
          <w:szCs w:val="20"/>
        </w:rPr>
        <w:t>The political ecology of climate change adaptation in Nigeria’s Niger Delta</w:t>
      </w:r>
      <w:r w:rsidRPr="00794028">
        <w:rPr>
          <w:rFonts w:ascii="Arial" w:hAnsi="Arial" w:cs="Arial"/>
          <w:sz w:val="20"/>
          <w:szCs w:val="20"/>
        </w:rPr>
        <w:t>. African Review of Economics and Finance, 11(1), 57–82.</w:t>
      </w:r>
    </w:p>
    <w:p w14:paraId="7E58C6F5"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Stojanov, R., Kelman, I., Shen, S., </w:t>
      </w:r>
      <w:proofErr w:type="spellStart"/>
      <w:r w:rsidRPr="00794028">
        <w:rPr>
          <w:rFonts w:ascii="Arial" w:hAnsi="Arial" w:cs="Arial"/>
          <w:sz w:val="20"/>
          <w:szCs w:val="20"/>
        </w:rPr>
        <w:t>Duží</w:t>
      </w:r>
      <w:proofErr w:type="spellEnd"/>
      <w:r w:rsidRPr="00794028">
        <w:rPr>
          <w:rFonts w:ascii="Arial" w:hAnsi="Arial" w:cs="Arial"/>
          <w:sz w:val="20"/>
          <w:szCs w:val="20"/>
        </w:rPr>
        <w:t xml:space="preserve">, B., Procházka, D., &amp; Němec, D. (2016). </w:t>
      </w:r>
      <w:r w:rsidRPr="00794028">
        <w:rPr>
          <w:rStyle w:val="Emphasis"/>
          <w:rFonts w:ascii="Arial" w:eastAsiaTheme="majorEastAsia" w:hAnsi="Arial" w:cs="Arial"/>
          <w:sz w:val="20"/>
          <w:szCs w:val="20"/>
        </w:rPr>
        <w:t>Local perceptions of climate change impacts and migration patterns in Malé, Maldives</w:t>
      </w:r>
      <w:r w:rsidRPr="00794028">
        <w:rPr>
          <w:rFonts w:ascii="Arial" w:hAnsi="Arial" w:cs="Arial"/>
          <w:sz w:val="20"/>
          <w:szCs w:val="20"/>
        </w:rPr>
        <w:t>. The Geographical Journal, 182(3), 261–271. https://doi.org/10.1111/geoj.12104</w:t>
      </w:r>
    </w:p>
    <w:p w14:paraId="7E58C6F6"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Tejedor, A., </w:t>
      </w:r>
      <w:proofErr w:type="spellStart"/>
      <w:r w:rsidRPr="00794028">
        <w:rPr>
          <w:rFonts w:ascii="Arial" w:hAnsi="Arial" w:cs="Arial"/>
          <w:sz w:val="20"/>
          <w:szCs w:val="20"/>
        </w:rPr>
        <w:t>Longjas</w:t>
      </w:r>
      <w:proofErr w:type="spellEnd"/>
      <w:r w:rsidRPr="00794028">
        <w:rPr>
          <w:rFonts w:ascii="Arial" w:hAnsi="Arial" w:cs="Arial"/>
          <w:sz w:val="20"/>
          <w:szCs w:val="20"/>
        </w:rPr>
        <w:t xml:space="preserve">, A., </w:t>
      </w:r>
      <w:proofErr w:type="spellStart"/>
      <w:r w:rsidRPr="00794028">
        <w:rPr>
          <w:rFonts w:ascii="Arial" w:hAnsi="Arial" w:cs="Arial"/>
          <w:sz w:val="20"/>
          <w:szCs w:val="20"/>
        </w:rPr>
        <w:t>Foufoula</w:t>
      </w:r>
      <w:proofErr w:type="spellEnd"/>
      <w:r w:rsidRPr="00794028">
        <w:rPr>
          <w:rFonts w:ascii="Arial" w:hAnsi="Arial" w:cs="Arial"/>
          <w:sz w:val="20"/>
          <w:szCs w:val="20"/>
        </w:rPr>
        <w:t xml:space="preserve">-Georgiou, E., &amp; </w:t>
      </w:r>
      <w:proofErr w:type="spellStart"/>
      <w:r w:rsidRPr="00794028">
        <w:rPr>
          <w:rFonts w:ascii="Arial" w:hAnsi="Arial" w:cs="Arial"/>
          <w:sz w:val="20"/>
          <w:szCs w:val="20"/>
        </w:rPr>
        <w:t>Zaliapin</w:t>
      </w:r>
      <w:proofErr w:type="spellEnd"/>
      <w:r w:rsidRPr="00794028">
        <w:rPr>
          <w:rFonts w:ascii="Arial" w:hAnsi="Arial" w:cs="Arial"/>
          <w:sz w:val="20"/>
          <w:szCs w:val="20"/>
        </w:rPr>
        <w:t xml:space="preserve">, I. (2021). </w:t>
      </w:r>
      <w:r w:rsidRPr="00794028">
        <w:rPr>
          <w:rStyle w:val="Emphasis"/>
          <w:rFonts w:ascii="Arial" w:eastAsiaTheme="majorEastAsia" w:hAnsi="Arial" w:cs="Arial"/>
          <w:sz w:val="20"/>
          <w:szCs w:val="20"/>
        </w:rPr>
        <w:t>Quantifying resilience to climate change-induced natural hazards</w:t>
      </w:r>
      <w:r w:rsidRPr="00794028">
        <w:rPr>
          <w:rFonts w:ascii="Arial" w:hAnsi="Arial" w:cs="Arial"/>
          <w:sz w:val="20"/>
          <w:szCs w:val="20"/>
        </w:rPr>
        <w:t>. Earth’s Future, 9(3), e2020EF001703. https://doi.org/10.1029/2020EF001703</w:t>
      </w:r>
    </w:p>
    <w:p w14:paraId="7E58C6F7" w14:textId="77777777" w:rsidR="00024B8A" w:rsidRPr="00794028" w:rsidRDefault="00024B8A" w:rsidP="00A80ABA">
      <w:pPr>
        <w:pStyle w:val="NormalWeb"/>
        <w:spacing w:line="360" w:lineRule="auto"/>
        <w:rPr>
          <w:rFonts w:ascii="Arial" w:hAnsi="Arial" w:cs="Arial"/>
          <w:sz w:val="20"/>
          <w:szCs w:val="20"/>
        </w:rPr>
      </w:pPr>
      <w:r w:rsidRPr="00794028">
        <w:rPr>
          <w:rFonts w:ascii="Arial" w:hAnsi="Arial" w:cs="Arial"/>
          <w:sz w:val="20"/>
          <w:szCs w:val="20"/>
        </w:rPr>
        <w:t xml:space="preserve">Wang, S. Y., Lin, Y. C., &amp; Hsu, C. H. (2018). </w:t>
      </w:r>
      <w:r w:rsidRPr="00794028">
        <w:rPr>
          <w:rStyle w:val="Emphasis"/>
          <w:rFonts w:ascii="Arial" w:eastAsiaTheme="majorEastAsia" w:hAnsi="Arial" w:cs="Arial"/>
          <w:sz w:val="20"/>
          <w:szCs w:val="20"/>
        </w:rPr>
        <w:t>Spiritual and emotional dimensions of climate change perception and action in Taiwan</w:t>
      </w:r>
      <w:r w:rsidRPr="00794028">
        <w:rPr>
          <w:rFonts w:ascii="Arial" w:hAnsi="Arial" w:cs="Arial"/>
          <w:sz w:val="20"/>
          <w:szCs w:val="20"/>
        </w:rPr>
        <w:t>. Climatic Change, 148(1-2), 129–141. https://doi.org/10.1007/s10584-018-2175-5</w:t>
      </w:r>
    </w:p>
    <w:p w14:paraId="7E58C6F8" w14:textId="77777777" w:rsidR="00024B8A" w:rsidRPr="00794028" w:rsidRDefault="00024B8A" w:rsidP="00794028">
      <w:pPr>
        <w:pStyle w:val="NormalWeb"/>
        <w:spacing w:line="360" w:lineRule="auto"/>
        <w:jc w:val="both"/>
        <w:rPr>
          <w:rFonts w:ascii="Arial" w:hAnsi="Arial" w:cs="Arial"/>
          <w:sz w:val="20"/>
          <w:szCs w:val="20"/>
        </w:rPr>
      </w:pPr>
      <w:r w:rsidRPr="00794028">
        <w:rPr>
          <w:rFonts w:ascii="Arial" w:hAnsi="Arial" w:cs="Arial"/>
          <w:sz w:val="20"/>
          <w:szCs w:val="20"/>
        </w:rPr>
        <w:t xml:space="preserve">Weru, J., Leach, M., &amp; Scoones, I. (2017). </w:t>
      </w:r>
      <w:r w:rsidRPr="00794028">
        <w:rPr>
          <w:rStyle w:val="Emphasis"/>
          <w:rFonts w:ascii="Arial" w:eastAsiaTheme="majorEastAsia" w:hAnsi="Arial" w:cs="Arial"/>
          <w:sz w:val="20"/>
          <w:szCs w:val="20"/>
        </w:rPr>
        <w:t>Flood adaptation in informal settlements: Evidence from Nairobi</w:t>
      </w:r>
      <w:r w:rsidRPr="00794028">
        <w:rPr>
          <w:rFonts w:ascii="Arial" w:hAnsi="Arial" w:cs="Arial"/>
          <w:sz w:val="20"/>
          <w:szCs w:val="20"/>
        </w:rPr>
        <w:t>. IDS Bulletin, 48(4), 91–104. https://doi.org/10.19088/1968-2017.157</w:t>
      </w:r>
    </w:p>
    <w:p w14:paraId="2F073ED9" w14:textId="4951E6A7" w:rsidR="00A80ABA" w:rsidRPr="00A80ABA" w:rsidRDefault="00024B8A" w:rsidP="00A80ABA">
      <w:pPr>
        <w:pStyle w:val="NormalWeb"/>
        <w:spacing w:line="360" w:lineRule="auto"/>
        <w:jc w:val="both"/>
        <w:rPr>
          <w:rFonts w:ascii="Arial" w:hAnsi="Arial" w:cs="Arial"/>
          <w:spacing w:val="35"/>
          <w:w w:val="92"/>
          <w:sz w:val="20"/>
          <w:szCs w:val="20"/>
        </w:rPr>
      </w:pPr>
      <w:r w:rsidRPr="00A80ABA">
        <w:rPr>
          <w:rFonts w:ascii="Arial" w:hAnsi="Arial" w:cs="Arial"/>
          <w:w w:val="92"/>
          <w:sz w:val="20"/>
          <w:szCs w:val="20"/>
          <w:fitText w:val="3968" w:id="-675694847"/>
        </w:rPr>
        <w:t xml:space="preserve">World Bank. (2021). </w:t>
      </w:r>
      <w:r w:rsidRPr="00A80ABA">
        <w:rPr>
          <w:rStyle w:val="Emphasis"/>
          <w:rFonts w:ascii="Arial" w:eastAsiaTheme="majorEastAsia" w:hAnsi="Arial" w:cs="Arial"/>
          <w:w w:val="92"/>
          <w:sz w:val="20"/>
          <w:szCs w:val="20"/>
          <w:fitText w:val="3968" w:id="-675694847"/>
        </w:rPr>
        <w:t>Climate risk profile: Nigeria</w:t>
      </w:r>
      <w:r w:rsidRPr="00A80ABA">
        <w:rPr>
          <w:rFonts w:ascii="Arial" w:hAnsi="Arial" w:cs="Arial"/>
          <w:spacing w:val="34"/>
          <w:w w:val="92"/>
          <w:sz w:val="20"/>
          <w:szCs w:val="20"/>
          <w:fitText w:val="3968" w:id="-675694847"/>
        </w:rPr>
        <w:t>.</w:t>
      </w:r>
      <w:r w:rsidR="00A80ABA">
        <w:rPr>
          <w:rFonts w:ascii="Arial" w:hAnsi="Arial" w:cs="Arial"/>
          <w:spacing w:val="35"/>
          <w:w w:val="92"/>
          <w:sz w:val="20"/>
          <w:szCs w:val="20"/>
        </w:rPr>
        <w:t xml:space="preserve"> </w:t>
      </w:r>
      <w:hyperlink r:id="rId10" w:history="1">
        <w:r w:rsidR="008A7396" w:rsidRPr="006560EB">
          <w:rPr>
            <w:rStyle w:val="Hyperlink"/>
            <w:rFonts w:ascii="Arial" w:eastAsia="Calibri" w:hAnsi="Arial" w:cs="Arial"/>
            <w:sz w:val="20"/>
            <w:szCs w:val="20"/>
          </w:rPr>
          <w:t>https://climateknowledgeportal.worldbank.org/country/nigeria</w:t>
        </w:r>
      </w:hyperlink>
    </w:p>
    <w:p w14:paraId="7E58C6F9" w14:textId="4402E785" w:rsidR="00024B8A" w:rsidRPr="00794028" w:rsidRDefault="00024B8A" w:rsidP="00794028">
      <w:pPr>
        <w:pStyle w:val="NormalWeb"/>
        <w:spacing w:line="360" w:lineRule="auto"/>
        <w:jc w:val="both"/>
        <w:rPr>
          <w:rFonts w:ascii="Arial" w:hAnsi="Arial" w:cs="Arial"/>
          <w:sz w:val="20"/>
          <w:szCs w:val="20"/>
        </w:rPr>
      </w:pPr>
    </w:p>
    <w:p w14:paraId="7E58C6FA" w14:textId="7BC55BA4" w:rsidR="00024B8A" w:rsidRPr="00794028" w:rsidRDefault="00024B8A" w:rsidP="00794028">
      <w:pPr>
        <w:pStyle w:val="NormalWeb"/>
        <w:spacing w:line="360" w:lineRule="auto"/>
        <w:jc w:val="both"/>
        <w:rPr>
          <w:rFonts w:ascii="Arial" w:hAnsi="Arial" w:cs="Arial"/>
          <w:sz w:val="20"/>
          <w:szCs w:val="20"/>
        </w:rPr>
      </w:pPr>
    </w:p>
    <w:sectPr w:rsidR="00024B8A" w:rsidRPr="00794028" w:rsidSect="008A7396">
      <w:headerReference w:type="even" r:id="rId11"/>
      <w:headerReference w:type="default" r:id="rId12"/>
      <w:footerReference w:type="even" r:id="rId13"/>
      <w:footerReference w:type="default" r:id="rId14"/>
      <w:headerReference w:type="first" r:id="rId15"/>
      <w:footerReference w:type="first" r:id="rId16"/>
      <w:pgSz w:w="11910" w:h="16840" w:code="9"/>
      <w:pgMar w:top="993"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C99A6" w14:textId="77777777" w:rsidR="00DC39A8" w:rsidRDefault="00DC39A8" w:rsidP="003E57C7">
      <w:pPr>
        <w:spacing w:after="0" w:line="240" w:lineRule="auto"/>
      </w:pPr>
      <w:r>
        <w:separator/>
      </w:r>
    </w:p>
  </w:endnote>
  <w:endnote w:type="continuationSeparator" w:id="0">
    <w:p w14:paraId="2BCE5280" w14:textId="77777777" w:rsidR="00DC39A8" w:rsidRDefault="00DC39A8" w:rsidP="003E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1B36" w14:textId="77777777" w:rsidR="004F1A53" w:rsidRDefault="004F1A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8C704" w14:textId="77777777" w:rsidR="00A40187" w:rsidRDefault="00A4018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DA88" w14:textId="77777777" w:rsidR="004F1A53" w:rsidRDefault="004F1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7EA2A" w14:textId="77777777" w:rsidR="00DC39A8" w:rsidRDefault="00DC39A8" w:rsidP="003E57C7">
      <w:pPr>
        <w:spacing w:after="0" w:line="240" w:lineRule="auto"/>
      </w:pPr>
      <w:r>
        <w:separator/>
      </w:r>
    </w:p>
  </w:footnote>
  <w:footnote w:type="continuationSeparator" w:id="0">
    <w:p w14:paraId="65B4C2F0" w14:textId="77777777" w:rsidR="00DC39A8" w:rsidRDefault="00DC39A8" w:rsidP="003E5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AEE07" w14:textId="604FE8FF" w:rsidR="004F1A53" w:rsidRDefault="004F1A53">
    <w:pPr>
      <w:pStyle w:val="Header"/>
    </w:pPr>
    <w:r>
      <w:rPr>
        <w:noProof/>
      </w:rPr>
      <w:pict w14:anchorId="4189D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360344" o:spid="_x0000_s2050" type="#_x0000_t136" style="position:absolute;left:0;text-align:left;margin-left:0;margin-top:0;width:536pt;height:10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A435F" w14:textId="59C7EFD7" w:rsidR="004F1A53" w:rsidRDefault="004F1A53">
    <w:pPr>
      <w:pStyle w:val="Header"/>
    </w:pPr>
    <w:r>
      <w:rPr>
        <w:noProof/>
      </w:rPr>
      <w:pict w14:anchorId="0EF4A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360345" o:spid="_x0000_s2051" type="#_x0000_t136" style="position:absolute;left:0;text-align:left;margin-left:0;margin-top:0;width:536pt;height:10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4216C" w14:textId="67AED7E7" w:rsidR="004F1A53" w:rsidRDefault="004F1A53">
    <w:pPr>
      <w:pStyle w:val="Header"/>
    </w:pPr>
    <w:r>
      <w:rPr>
        <w:noProof/>
      </w:rPr>
      <w:pict w14:anchorId="4E673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360343" o:spid="_x0000_s2049" type="#_x0000_t136" style="position:absolute;left:0;text-align:left;margin-left:0;margin-top:0;width:536pt;height:10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3F09"/>
    <w:multiLevelType w:val="multilevel"/>
    <w:tmpl w:val="43B857BC"/>
    <w:lvl w:ilvl="0">
      <w:start w:val="2"/>
      <w:numFmt w:val="decimal"/>
      <w:lvlText w:val="%1"/>
      <w:lvlJc w:val="left"/>
      <w:pPr>
        <w:ind w:left="519" w:hanging="403"/>
      </w:pPr>
      <w:rPr>
        <w:rFonts w:hint="default"/>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start w:val="1"/>
      <w:numFmt w:val="upperRoman"/>
      <w:lvlText w:val="(%3)"/>
      <w:lvlJc w:val="left"/>
      <w:pPr>
        <w:ind w:left="722" w:hanging="252"/>
        <w:jc w:val="right"/>
      </w:pPr>
      <w:rPr>
        <w:rFonts w:ascii="Trebuchet MS" w:eastAsia="Trebuchet MS" w:hAnsi="Trebuchet MS" w:cs="Trebuchet MS" w:hint="default"/>
        <w:b w:val="0"/>
        <w:bCs w:val="0"/>
        <w:i w:val="0"/>
        <w:iCs w:val="0"/>
        <w:spacing w:val="0"/>
        <w:w w:val="79"/>
        <w:sz w:val="20"/>
        <w:szCs w:val="20"/>
        <w:lang w:val="en-US" w:eastAsia="en-US" w:bidi="ar-SA"/>
      </w:rPr>
    </w:lvl>
    <w:lvl w:ilvl="3">
      <w:numFmt w:val="bullet"/>
      <w:lvlText w:val="•"/>
      <w:lvlJc w:val="left"/>
      <w:pPr>
        <w:ind w:left="2272" w:hanging="252"/>
      </w:pPr>
      <w:rPr>
        <w:rFonts w:hint="default"/>
        <w:lang w:val="en-US" w:eastAsia="en-US" w:bidi="ar-SA"/>
      </w:rPr>
    </w:lvl>
    <w:lvl w:ilvl="4">
      <w:numFmt w:val="bullet"/>
      <w:lvlText w:val="•"/>
      <w:lvlJc w:val="left"/>
      <w:pPr>
        <w:ind w:left="3048" w:hanging="252"/>
      </w:pPr>
      <w:rPr>
        <w:rFonts w:hint="default"/>
        <w:lang w:val="en-US" w:eastAsia="en-US" w:bidi="ar-SA"/>
      </w:rPr>
    </w:lvl>
    <w:lvl w:ilvl="5">
      <w:numFmt w:val="bullet"/>
      <w:lvlText w:val="•"/>
      <w:lvlJc w:val="left"/>
      <w:pPr>
        <w:ind w:left="3824" w:hanging="252"/>
      </w:pPr>
      <w:rPr>
        <w:rFonts w:hint="default"/>
        <w:lang w:val="en-US" w:eastAsia="en-US" w:bidi="ar-SA"/>
      </w:rPr>
    </w:lvl>
    <w:lvl w:ilvl="6">
      <w:numFmt w:val="bullet"/>
      <w:lvlText w:val="•"/>
      <w:lvlJc w:val="left"/>
      <w:pPr>
        <w:ind w:left="4600" w:hanging="252"/>
      </w:pPr>
      <w:rPr>
        <w:rFonts w:hint="default"/>
        <w:lang w:val="en-US" w:eastAsia="en-US" w:bidi="ar-SA"/>
      </w:rPr>
    </w:lvl>
    <w:lvl w:ilvl="7">
      <w:numFmt w:val="bullet"/>
      <w:lvlText w:val="•"/>
      <w:lvlJc w:val="left"/>
      <w:pPr>
        <w:ind w:left="5376" w:hanging="252"/>
      </w:pPr>
      <w:rPr>
        <w:rFonts w:hint="default"/>
        <w:lang w:val="en-US" w:eastAsia="en-US" w:bidi="ar-SA"/>
      </w:rPr>
    </w:lvl>
    <w:lvl w:ilvl="8">
      <w:numFmt w:val="bullet"/>
      <w:lvlText w:val="•"/>
      <w:lvlJc w:val="left"/>
      <w:pPr>
        <w:ind w:left="6152" w:hanging="252"/>
      </w:pPr>
      <w:rPr>
        <w:rFonts w:hint="default"/>
        <w:lang w:val="en-US" w:eastAsia="en-US" w:bidi="ar-SA"/>
      </w:rPr>
    </w:lvl>
  </w:abstractNum>
  <w:abstractNum w:abstractNumId="1" w15:restartNumberingAfterBreak="0">
    <w:nsid w:val="0C4F6E27"/>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2" w15:restartNumberingAfterBreak="0">
    <w:nsid w:val="0FCB0FD4"/>
    <w:multiLevelType w:val="multilevel"/>
    <w:tmpl w:val="221AA202"/>
    <w:lvl w:ilvl="0">
      <w:start w:val="3"/>
      <w:numFmt w:val="decimal"/>
      <w:lvlText w:val="%1."/>
      <w:lvlJc w:val="left"/>
      <w:pPr>
        <w:ind w:left="416" w:hanging="300"/>
      </w:pPr>
      <w:rPr>
        <w:rFonts w:ascii="Tahoma" w:eastAsia="Tahoma" w:hAnsi="Tahoma" w:cs="Tahoma" w:hint="default"/>
        <w:b/>
        <w:bCs/>
        <w:i w:val="0"/>
        <w:iCs w:val="0"/>
        <w:color w:val="10137D"/>
        <w:spacing w:val="0"/>
        <w:w w:val="85"/>
        <w:sz w:val="22"/>
        <w:szCs w:val="22"/>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numFmt w:val="bullet"/>
      <w:lvlText w:val="•"/>
      <w:lvlJc w:val="left"/>
      <w:pPr>
        <w:ind w:left="1318" w:hanging="403"/>
      </w:pPr>
      <w:rPr>
        <w:rFonts w:hint="default"/>
        <w:lang w:val="en-US" w:eastAsia="en-US" w:bidi="ar-SA"/>
      </w:rPr>
    </w:lvl>
    <w:lvl w:ilvl="3">
      <w:numFmt w:val="bullet"/>
      <w:lvlText w:val="•"/>
      <w:lvlJc w:val="left"/>
      <w:pPr>
        <w:ind w:left="2116" w:hanging="403"/>
      </w:pPr>
      <w:rPr>
        <w:rFonts w:hint="default"/>
        <w:lang w:val="en-US" w:eastAsia="en-US" w:bidi="ar-SA"/>
      </w:rPr>
    </w:lvl>
    <w:lvl w:ilvl="4">
      <w:numFmt w:val="bullet"/>
      <w:lvlText w:val="•"/>
      <w:lvlJc w:val="left"/>
      <w:pPr>
        <w:ind w:left="2914" w:hanging="403"/>
      </w:pPr>
      <w:rPr>
        <w:rFonts w:hint="default"/>
        <w:lang w:val="en-US" w:eastAsia="en-US" w:bidi="ar-SA"/>
      </w:rPr>
    </w:lvl>
    <w:lvl w:ilvl="5">
      <w:numFmt w:val="bullet"/>
      <w:lvlText w:val="•"/>
      <w:lvlJc w:val="left"/>
      <w:pPr>
        <w:ind w:left="3713" w:hanging="403"/>
      </w:pPr>
      <w:rPr>
        <w:rFonts w:hint="default"/>
        <w:lang w:val="en-US" w:eastAsia="en-US" w:bidi="ar-SA"/>
      </w:rPr>
    </w:lvl>
    <w:lvl w:ilvl="6">
      <w:numFmt w:val="bullet"/>
      <w:lvlText w:val="•"/>
      <w:lvlJc w:val="left"/>
      <w:pPr>
        <w:ind w:left="4511" w:hanging="403"/>
      </w:pPr>
      <w:rPr>
        <w:rFonts w:hint="default"/>
        <w:lang w:val="en-US" w:eastAsia="en-US" w:bidi="ar-SA"/>
      </w:rPr>
    </w:lvl>
    <w:lvl w:ilvl="7">
      <w:numFmt w:val="bullet"/>
      <w:lvlText w:val="•"/>
      <w:lvlJc w:val="left"/>
      <w:pPr>
        <w:ind w:left="5309" w:hanging="403"/>
      </w:pPr>
      <w:rPr>
        <w:rFonts w:hint="default"/>
        <w:lang w:val="en-US" w:eastAsia="en-US" w:bidi="ar-SA"/>
      </w:rPr>
    </w:lvl>
    <w:lvl w:ilvl="8">
      <w:numFmt w:val="bullet"/>
      <w:lvlText w:val="•"/>
      <w:lvlJc w:val="left"/>
      <w:pPr>
        <w:ind w:left="6108" w:hanging="403"/>
      </w:pPr>
      <w:rPr>
        <w:rFonts w:hint="default"/>
        <w:lang w:val="en-US" w:eastAsia="en-US" w:bidi="ar-SA"/>
      </w:rPr>
    </w:lvl>
  </w:abstractNum>
  <w:abstractNum w:abstractNumId="3" w15:restartNumberingAfterBreak="0">
    <w:nsid w:val="179B4BCF"/>
    <w:multiLevelType w:val="multilevel"/>
    <w:tmpl w:val="8D80E3C2"/>
    <w:lvl w:ilvl="0">
      <w:start w:val="1"/>
      <w:numFmt w:val="lowerRoman"/>
      <w:lvlText w:val="%1."/>
      <w:lvlJc w:val="left"/>
      <w:pPr>
        <w:ind w:left="720" w:hanging="360"/>
      </w:pPr>
      <w:rPr>
        <w:rFonts w:ascii="Times New Roman" w:eastAsiaTheme="minorHAnsi" w:hAnsi="Times New Roman" w:cs="Times New Roman"/>
      </w:rPr>
    </w:lvl>
    <w:lvl w:ilvl="1">
      <w:start w:val="6"/>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DFC64DB"/>
    <w:multiLevelType w:val="hybridMultilevel"/>
    <w:tmpl w:val="B908F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13B22"/>
    <w:multiLevelType w:val="hybridMultilevel"/>
    <w:tmpl w:val="AA843A64"/>
    <w:lvl w:ilvl="0" w:tplc="6B0058F4">
      <w:numFmt w:val="bullet"/>
      <w:lvlText w:val="●"/>
      <w:lvlJc w:val="left"/>
      <w:pPr>
        <w:ind w:left="345" w:hanging="199"/>
      </w:pPr>
      <w:rPr>
        <w:rFonts w:ascii="Times New Roman" w:eastAsia="Times New Roman" w:hAnsi="Times New Roman" w:cs="Times New Roman" w:hint="default"/>
        <w:spacing w:val="0"/>
        <w:w w:val="99"/>
        <w:lang w:val="en-US" w:eastAsia="en-US" w:bidi="ar-SA"/>
      </w:rPr>
    </w:lvl>
    <w:lvl w:ilvl="1" w:tplc="095A3E00">
      <w:numFmt w:val="bullet"/>
      <w:lvlText w:val="•"/>
      <w:lvlJc w:val="left"/>
      <w:pPr>
        <w:ind w:left="1076" w:hanging="199"/>
      </w:pPr>
      <w:rPr>
        <w:rFonts w:hint="default"/>
        <w:lang w:val="en-US" w:eastAsia="en-US" w:bidi="ar-SA"/>
      </w:rPr>
    </w:lvl>
    <w:lvl w:ilvl="2" w:tplc="EE36457E">
      <w:numFmt w:val="bullet"/>
      <w:lvlText w:val="•"/>
      <w:lvlJc w:val="left"/>
      <w:pPr>
        <w:ind w:left="1812" w:hanging="199"/>
      </w:pPr>
      <w:rPr>
        <w:rFonts w:hint="default"/>
        <w:lang w:val="en-US" w:eastAsia="en-US" w:bidi="ar-SA"/>
      </w:rPr>
    </w:lvl>
    <w:lvl w:ilvl="3" w:tplc="65107358">
      <w:numFmt w:val="bullet"/>
      <w:lvlText w:val="•"/>
      <w:lvlJc w:val="left"/>
      <w:pPr>
        <w:ind w:left="2549" w:hanging="199"/>
      </w:pPr>
      <w:rPr>
        <w:rFonts w:hint="default"/>
        <w:lang w:val="en-US" w:eastAsia="en-US" w:bidi="ar-SA"/>
      </w:rPr>
    </w:lvl>
    <w:lvl w:ilvl="4" w:tplc="7472A614">
      <w:numFmt w:val="bullet"/>
      <w:lvlText w:val="•"/>
      <w:lvlJc w:val="left"/>
      <w:pPr>
        <w:ind w:left="3285" w:hanging="199"/>
      </w:pPr>
      <w:rPr>
        <w:rFonts w:hint="default"/>
        <w:lang w:val="en-US" w:eastAsia="en-US" w:bidi="ar-SA"/>
      </w:rPr>
    </w:lvl>
    <w:lvl w:ilvl="5" w:tplc="B8763EC8">
      <w:numFmt w:val="bullet"/>
      <w:lvlText w:val="•"/>
      <w:lvlJc w:val="left"/>
      <w:pPr>
        <w:ind w:left="4022" w:hanging="199"/>
      </w:pPr>
      <w:rPr>
        <w:rFonts w:hint="default"/>
        <w:lang w:val="en-US" w:eastAsia="en-US" w:bidi="ar-SA"/>
      </w:rPr>
    </w:lvl>
    <w:lvl w:ilvl="6" w:tplc="E1204CC4">
      <w:numFmt w:val="bullet"/>
      <w:lvlText w:val="•"/>
      <w:lvlJc w:val="left"/>
      <w:pPr>
        <w:ind w:left="4758" w:hanging="199"/>
      </w:pPr>
      <w:rPr>
        <w:rFonts w:hint="default"/>
        <w:lang w:val="en-US" w:eastAsia="en-US" w:bidi="ar-SA"/>
      </w:rPr>
    </w:lvl>
    <w:lvl w:ilvl="7" w:tplc="7D44062E">
      <w:numFmt w:val="bullet"/>
      <w:lvlText w:val="•"/>
      <w:lvlJc w:val="left"/>
      <w:pPr>
        <w:ind w:left="5495" w:hanging="199"/>
      </w:pPr>
      <w:rPr>
        <w:rFonts w:hint="default"/>
        <w:lang w:val="en-US" w:eastAsia="en-US" w:bidi="ar-SA"/>
      </w:rPr>
    </w:lvl>
    <w:lvl w:ilvl="8" w:tplc="7204A3B0">
      <w:numFmt w:val="bullet"/>
      <w:lvlText w:val="•"/>
      <w:lvlJc w:val="left"/>
      <w:pPr>
        <w:ind w:left="6231" w:hanging="199"/>
      </w:pPr>
      <w:rPr>
        <w:rFonts w:hint="default"/>
        <w:lang w:val="en-US" w:eastAsia="en-US" w:bidi="ar-SA"/>
      </w:rPr>
    </w:lvl>
  </w:abstractNum>
  <w:abstractNum w:abstractNumId="6" w15:restartNumberingAfterBreak="0">
    <w:nsid w:val="53494D0C"/>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7" w15:restartNumberingAfterBreak="0">
    <w:nsid w:val="542266AD"/>
    <w:multiLevelType w:val="multilevel"/>
    <w:tmpl w:val="1CDA3D68"/>
    <w:lvl w:ilvl="0">
      <w:start w:val="3"/>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8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820" w:hanging="720"/>
      </w:pPr>
      <w:rPr>
        <w:rFonts w:hint="default"/>
        <w:lang w:val="en-US" w:eastAsia="en-US" w:bidi="ar-SA"/>
      </w:rPr>
    </w:lvl>
    <w:lvl w:ilvl="5">
      <w:numFmt w:val="bullet"/>
      <w:lvlText w:val="•"/>
      <w:lvlJc w:val="left"/>
      <w:pPr>
        <w:ind w:left="840" w:hanging="720"/>
      </w:pPr>
      <w:rPr>
        <w:rFonts w:hint="default"/>
        <w:lang w:val="en-US" w:eastAsia="en-US" w:bidi="ar-SA"/>
      </w:rPr>
    </w:lvl>
    <w:lvl w:ilvl="6">
      <w:numFmt w:val="bullet"/>
      <w:lvlText w:val="•"/>
      <w:lvlJc w:val="left"/>
      <w:pPr>
        <w:ind w:left="880" w:hanging="720"/>
      </w:pPr>
      <w:rPr>
        <w:rFonts w:hint="default"/>
        <w:lang w:val="en-US" w:eastAsia="en-US" w:bidi="ar-SA"/>
      </w:rPr>
    </w:lvl>
    <w:lvl w:ilvl="7">
      <w:numFmt w:val="bullet"/>
      <w:lvlText w:val="•"/>
      <w:lvlJc w:val="left"/>
      <w:pPr>
        <w:ind w:left="2981" w:hanging="720"/>
      </w:pPr>
      <w:rPr>
        <w:rFonts w:hint="default"/>
        <w:lang w:val="en-US" w:eastAsia="en-US" w:bidi="ar-SA"/>
      </w:rPr>
    </w:lvl>
    <w:lvl w:ilvl="8">
      <w:numFmt w:val="bullet"/>
      <w:lvlText w:val="•"/>
      <w:lvlJc w:val="left"/>
      <w:pPr>
        <w:ind w:left="5083" w:hanging="720"/>
      </w:pPr>
      <w:rPr>
        <w:rFonts w:hint="default"/>
        <w:lang w:val="en-US" w:eastAsia="en-US" w:bidi="ar-SA"/>
      </w:rPr>
    </w:lvl>
  </w:abstractNum>
  <w:abstractNum w:abstractNumId="8" w15:restartNumberingAfterBreak="0">
    <w:nsid w:val="6DE06B4C"/>
    <w:multiLevelType w:val="hybridMultilevel"/>
    <w:tmpl w:val="35EE7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71411F"/>
    <w:multiLevelType w:val="hybridMultilevel"/>
    <w:tmpl w:val="569AD604"/>
    <w:lvl w:ilvl="0" w:tplc="DCBA6E2E">
      <w:start w:val="1"/>
      <w:numFmt w:val="decimal"/>
      <w:lvlText w:val="%1."/>
      <w:lvlJc w:val="left"/>
      <w:pPr>
        <w:ind w:left="577" w:hanging="360"/>
      </w:pPr>
      <w:rPr>
        <w:rFonts w:hint="default"/>
      </w:rPr>
    </w:lvl>
    <w:lvl w:ilvl="1" w:tplc="20000019" w:tentative="1">
      <w:start w:val="1"/>
      <w:numFmt w:val="lowerLetter"/>
      <w:lvlText w:val="%2."/>
      <w:lvlJc w:val="left"/>
      <w:pPr>
        <w:ind w:left="1297" w:hanging="360"/>
      </w:pPr>
    </w:lvl>
    <w:lvl w:ilvl="2" w:tplc="2000001B" w:tentative="1">
      <w:start w:val="1"/>
      <w:numFmt w:val="lowerRoman"/>
      <w:lvlText w:val="%3."/>
      <w:lvlJc w:val="right"/>
      <w:pPr>
        <w:ind w:left="2017" w:hanging="180"/>
      </w:pPr>
    </w:lvl>
    <w:lvl w:ilvl="3" w:tplc="2000000F" w:tentative="1">
      <w:start w:val="1"/>
      <w:numFmt w:val="decimal"/>
      <w:lvlText w:val="%4."/>
      <w:lvlJc w:val="left"/>
      <w:pPr>
        <w:ind w:left="2737" w:hanging="360"/>
      </w:pPr>
    </w:lvl>
    <w:lvl w:ilvl="4" w:tplc="20000019" w:tentative="1">
      <w:start w:val="1"/>
      <w:numFmt w:val="lowerLetter"/>
      <w:lvlText w:val="%5."/>
      <w:lvlJc w:val="left"/>
      <w:pPr>
        <w:ind w:left="3457" w:hanging="360"/>
      </w:pPr>
    </w:lvl>
    <w:lvl w:ilvl="5" w:tplc="2000001B" w:tentative="1">
      <w:start w:val="1"/>
      <w:numFmt w:val="lowerRoman"/>
      <w:lvlText w:val="%6."/>
      <w:lvlJc w:val="right"/>
      <w:pPr>
        <w:ind w:left="4177" w:hanging="180"/>
      </w:pPr>
    </w:lvl>
    <w:lvl w:ilvl="6" w:tplc="2000000F" w:tentative="1">
      <w:start w:val="1"/>
      <w:numFmt w:val="decimal"/>
      <w:lvlText w:val="%7."/>
      <w:lvlJc w:val="left"/>
      <w:pPr>
        <w:ind w:left="4897" w:hanging="360"/>
      </w:pPr>
    </w:lvl>
    <w:lvl w:ilvl="7" w:tplc="20000019" w:tentative="1">
      <w:start w:val="1"/>
      <w:numFmt w:val="lowerLetter"/>
      <w:lvlText w:val="%8."/>
      <w:lvlJc w:val="left"/>
      <w:pPr>
        <w:ind w:left="5617" w:hanging="360"/>
      </w:pPr>
    </w:lvl>
    <w:lvl w:ilvl="8" w:tplc="2000001B" w:tentative="1">
      <w:start w:val="1"/>
      <w:numFmt w:val="lowerRoman"/>
      <w:lvlText w:val="%9."/>
      <w:lvlJc w:val="right"/>
      <w:pPr>
        <w:ind w:left="6337" w:hanging="180"/>
      </w:pPr>
    </w:lvl>
  </w:abstractNum>
  <w:num w:numId="1">
    <w:abstractNumId w:val="8"/>
  </w:num>
  <w:num w:numId="2">
    <w:abstractNumId w:val="3"/>
  </w:num>
  <w:num w:numId="3">
    <w:abstractNumId w:val="1"/>
  </w:num>
  <w:num w:numId="4">
    <w:abstractNumId w:val="7"/>
  </w:num>
  <w:num w:numId="5">
    <w:abstractNumId w:val="6"/>
  </w:num>
  <w:num w:numId="6">
    <w:abstractNumId w:val="4"/>
  </w:num>
  <w:num w:numId="7">
    <w:abstractNumId w:val="2"/>
  </w:num>
  <w:num w:numId="8">
    <w:abstractNumId w:val="5"/>
  </w:num>
  <w:num w:numId="9">
    <w:abstractNumId w:val="0"/>
  </w:num>
  <w:num w:numId="1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9D"/>
    <w:rsid w:val="0000040D"/>
    <w:rsid w:val="00024B8A"/>
    <w:rsid w:val="000262ED"/>
    <w:rsid w:val="0003038D"/>
    <w:rsid w:val="000367E4"/>
    <w:rsid w:val="000437DC"/>
    <w:rsid w:val="000467C1"/>
    <w:rsid w:val="00046B0B"/>
    <w:rsid w:val="00047EB7"/>
    <w:rsid w:val="0005641D"/>
    <w:rsid w:val="00057A97"/>
    <w:rsid w:val="00064199"/>
    <w:rsid w:val="00072C8B"/>
    <w:rsid w:val="000745D6"/>
    <w:rsid w:val="00082986"/>
    <w:rsid w:val="000873D5"/>
    <w:rsid w:val="00091AE7"/>
    <w:rsid w:val="000963B5"/>
    <w:rsid w:val="0009765E"/>
    <w:rsid w:val="000B1221"/>
    <w:rsid w:val="000C1017"/>
    <w:rsid w:val="000D406F"/>
    <w:rsid w:val="000E0EB2"/>
    <w:rsid w:val="000E1AA3"/>
    <w:rsid w:val="000E28FD"/>
    <w:rsid w:val="000E38E8"/>
    <w:rsid w:val="000E66B3"/>
    <w:rsid w:val="000E7BD4"/>
    <w:rsid w:val="00102862"/>
    <w:rsid w:val="001449B6"/>
    <w:rsid w:val="00147A21"/>
    <w:rsid w:val="0015079C"/>
    <w:rsid w:val="001552F1"/>
    <w:rsid w:val="00162627"/>
    <w:rsid w:val="0016510E"/>
    <w:rsid w:val="001678E9"/>
    <w:rsid w:val="0017695B"/>
    <w:rsid w:val="001840F6"/>
    <w:rsid w:val="001845AD"/>
    <w:rsid w:val="00192066"/>
    <w:rsid w:val="0019360A"/>
    <w:rsid w:val="001A543A"/>
    <w:rsid w:val="001B794C"/>
    <w:rsid w:val="001C020F"/>
    <w:rsid w:val="001C665F"/>
    <w:rsid w:val="001C6995"/>
    <w:rsid w:val="001C7452"/>
    <w:rsid w:val="001D2EB1"/>
    <w:rsid w:val="001D43EC"/>
    <w:rsid w:val="001E06D0"/>
    <w:rsid w:val="001E2041"/>
    <w:rsid w:val="001E39E3"/>
    <w:rsid w:val="0022481E"/>
    <w:rsid w:val="00225D81"/>
    <w:rsid w:val="00227703"/>
    <w:rsid w:val="00237DFD"/>
    <w:rsid w:val="00242801"/>
    <w:rsid w:val="0024346D"/>
    <w:rsid w:val="00245984"/>
    <w:rsid w:val="00246612"/>
    <w:rsid w:val="00247432"/>
    <w:rsid w:val="002552B4"/>
    <w:rsid w:val="0026203D"/>
    <w:rsid w:val="00265897"/>
    <w:rsid w:val="00265DE5"/>
    <w:rsid w:val="002704A0"/>
    <w:rsid w:val="002717C2"/>
    <w:rsid w:val="002731CF"/>
    <w:rsid w:val="00273D7D"/>
    <w:rsid w:val="002851F9"/>
    <w:rsid w:val="00285492"/>
    <w:rsid w:val="00285EB4"/>
    <w:rsid w:val="0029666A"/>
    <w:rsid w:val="002D4778"/>
    <w:rsid w:val="002D6E74"/>
    <w:rsid w:val="002E171C"/>
    <w:rsid w:val="002E4903"/>
    <w:rsid w:val="00303A35"/>
    <w:rsid w:val="003110C6"/>
    <w:rsid w:val="00320BF5"/>
    <w:rsid w:val="003234FD"/>
    <w:rsid w:val="003263AD"/>
    <w:rsid w:val="00327809"/>
    <w:rsid w:val="003326FE"/>
    <w:rsid w:val="00334653"/>
    <w:rsid w:val="00342B67"/>
    <w:rsid w:val="00347D9A"/>
    <w:rsid w:val="00351753"/>
    <w:rsid w:val="0035787D"/>
    <w:rsid w:val="00362420"/>
    <w:rsid w:val="00367A00"/>
    <w:rsid w:val="003827FB"/>
    <w:rsid w:val="003D224D"/>
    <w:rsid w:val="003E0A67"/>
    <w:rsid w:val="003E57C7"/>
    <w:rsid w:val="003E7036"/>
    <w:rsid w:val="003F0466"/>
    <w:rsid w:val="003F14BD"/>
    <w:rsid w:val="003F4B4D"/>
    <w:rsid w:val="003F4F8D"/>
    <w:rsid w:val="00401B07"/>
    <w:rsid w:val="00401BE8"/>
    <w:rsid w:val="00405BDE"/>
    <w:rsid w:val="00407855"/>
    <w:rsid w:val="00414D84"/>
    <w:rsid w:val="00415E30"/>
    <w:rsid w:val="00417002"/>
    <w:rsid w:val="004452D3"/>
    <w:rsid w:val="00446D96"/>
    <w:rsid w:val="00461A49"/>
    <w:rsid w:val="00463792"/>
    <w:rsid w:val="004665FC"/>
    <w:rsid w:val="00474FD6"/>
    <w:rsid w:val="00477791"/>
    <w:rsid w:val="00493C28"/>
    <w:rsid w:val="0049499B"/>
    <w:rsid w:val="00497F50"/>
    <w:rsid w:val="004A1528"/>
    <w:rsid w:val="004B2F5E"/>
    <w:rsid w:val="004B6E93"/>
    <w:rsid w:val="004C1254"/>
    <w:rsid w:val="004C629D"/>
    <w:rsid w:val="004C6625"/>
    <w:rsid w:val="004D1B61"/>
    <w:rsid w:val="004E0E34"/>
    <w:rsid w:val="004E2227"/>
    <w:rsid w:val="004E4CD8"/>
    <w:rsid w:val="004E5EE0"/>
    <w:rsid w:val="004E73AB"/>
    <w:rsid w:val="004F036D"/>
    <w:rsid w:val="004F1A53"/>
    <w:rsid w:val="00503449"/>
    <w:rsid w:val="005047B9"/>
    <w:rsid w:val="00506BAE"/>
    <w:rsid w:val="0051477E"/>
    <w:rsid w:val="0052688D"/>
    <w:rsid w:val="00533404"/>
    <w:rsid w:val="00535FF2"/>
    <w:rsid w:val="005475DD"/>
    <w:rsid w:val="005500B6"/>
    <w:rsid w:val="0056572A"/>
    <w:rsid w:val="00584B20"/>
    <w:rsid w:val="005A0F9E"/>
    <w:rsid w:val="005A6E4C"/>
    <w:rsid w:val="005B26D7"/>
    <w:rsid w:val="005B5833"/>
    <w:rsid w:val="005C00F5"/>
    <w:rsid w:val="005C46C7"/>
    <w:rsid w:val="005C4AB2"/>
    <w:rsid w:val="005D35DD"/>
    <w:rsid w:val="005D5326"/>
    <w:rsid w:val="005D6D37"/>
    <w:rsid w:val="005E283F"/>
    <w:rsid w:val="005E6E06"/>
    <w:rsid w:val="005E7B49"/>
    <w:rsid w:val="005F126F"/>
    <w:rsid w:val="0060455E"/>
    <w:rsid w:val="00605286"/>
    <w:rsid w:val="0061053D"/>
    <w:rsid w:val="006129C9"/>
    <w:rsid w:val="00612BEF"/>
    <w:rsid w:val="00622157"/>
    <w:rsid w:val="00626DB0"/>
    <w:rsid w:val="006439C2"/>
    <w:rsid w:val="0064686F"/>
    <w:rsid w:val="0065264E"/>
    <w:rsid w:val="00656124"/>
    <w:rsid w:val="00664AE5"/>
    <w:rsid w:val="00666101"/>
    <w:rsid w:val="00673A7E"/>
    <w:rsid w:val="00687BF6"/>
    <w:rsid w:val="006A08D9"/>
    <w:rsid w:val="006B46A2"/>
    <w:rsid w:val="006B521F"/>
    <w:rsid w:val="006B7676"/>
    <w:rsid w:val="006B7FEF"/>
    <w:rsid w:val="006C1472"/>
    <w:rsid w:val="006C2B94"/>
    <w:rsid w:val="006C5115"/>
    <w:rsid w:val="006C5C95"/>
    <w:rsid w:val="006C6181"/>
    <w:rsid w:val="006D0C5F"/>
    <w:rsid w:val="006D1588"/>
    <w:rsid w:val="006D1643"/>
    <w:rsid w:val="006D1838"/>
    <w:rsid w:val="006D7948"/>
    <w:rsid w:val="006E3196"/>
    <w:rsid w:val="006E48C9"/>
    <w:rsid w:val="006E5633"/>
    <w:rsid w:val="006F2C54"/>
    <w:rsid w:val="00701116"/>
    <w:rsid w:val="00714157"/>
    <w:rsid w:val="00716D9D"/>
    <w:rsid w:val="00717967"/>
    <w:rsid w:val="007200A0"/>
    <w:rsid w:val="00724942"/>
    <w:rsid w:val="007520D2"/>
    <w:rsid w:val="00753097"/>
    <w:rsid w:val="00755278"/>
    <w:rsid w:val="00765775"/>
    <w:rsid w:val="0077260C"/>
    <w:rsid w:val="00773B9C"/>
    <w:rsid w:val="00777B41"/>
    <w:rsid w:val="0078577B"/>
    <w:rsid w:val="007859D9"/>
    <w:rsid w:val="00794028"/>
    <w:rsid w:val="00796FBD"/>
    <w:rsid w:val="007A32E2"/>
    <w:rsid w:val="007A36C1"/>
    <w:rsid w:val="007A3F4F"/>
    <w:rsid w:val="007A4946"/>
    <w:rsid w:val="007A6978"/>
    <w:rsid w:val="007B278A"/>
    <w:rsid w:val="007B50BB"/>
    <w:rsid w:val="007C14E1"/>
    <w:rsid w:val="007C2301"/>
    <w:rsid w:val="007D0F09"/>
    <w:rsid w:val="007E1012"/>
    <w:rsid w:val="007E508A"/>
    <w:rsid w:val="007E5891"/>
    <w:rsid w:val="007E5930"/>
    <w:rsid w:val="007F15A2"/>
    <w:rsid w:val="007F3805"/>
    <w:rsid w:val="007F3C7C"/>
    <w:rsid w:val="007F60A3"/>
    <w:rsid w:val="007F7424"/>
    <w:rsid w:val="0080052F"/>
    <w:rsid w:val="00811CA8"/>
    <w:rsid w:val="008166F2"/>
    <w:rsid w:val="0081695A"/>
    <w:rsid w:val="0082219D"/>
    <w:rsid w:val="00835F24"/>
    <w:rsid w:val="00837B1C"/>
    <w:rsid w:val="00842003"/>
    <w:rsid w:val="00846744"/>
    <w:rsid w:val="00846E64"/>
    <w:rsid w:val="008545DB"/>
    <w:rsid w:val="00855493"/>
    <w:rsid w:val="00865F61"/>
    <w:rsid w:val="00872502"/>
    <w:rsid w:val="00892B9C"/>
    <w:rsid w:val="0089357C"/>
    <w:rsid w:val="00895E35"/>
    <w:rsid w:val="008A64DB"/>
    <w:rsid w:val="008A7396"/>
    <w:rsid w:val="008B21FD"/>
    <w:rsid w:val="008C0EE8"/>
    <w:rsid w:val="008C4FD3"/>
    <w:rsid w:val="008C5166"/>
    <w:rsid w:val="008C7B74"/>
    <w:rsid w:val="008D5323"/>
    <w:rsid w:val="008D5588"/>
    <w:rsid w:val="008E1621"/>
    <w:rsid w:val="008E2F26"/>
    <w:rsid w:val="008E4CA5"/>
    <w:rsid w:val="008F04FA"/>
    <w:rsid w:val="008F2158"/>
    <w:rsid w:val="008F4248"/>
    <w:rsid w:val="008F4ABF"/>
    <w:rsid w:val="009005FE"/>
    <w:rsid w:val="00904171"/>
    <w:rsid w:val="00907C8F"/>
    <w:rsid w:val="00913ED6"/>
    <w:rsid w:val="00922D8B"/>
    <w:rsid w:val="00925C3A"/>
    <w:rsid w:val="00930047"/>
    <w:rsid w:val="009549A3"/>
    <w:rsid w:val="0095730D"/>
    <w:rsid w:val="009706B8"/>
    <w:rsid w:val="00973D2B"/>
    <w:rsid w:val="009809A4"/>
    <w:rsid w:val="0099026E"/>
    <w:rsid w:val="009A34CE"/>
    <w:rsid w:val="009B5DAD"/>
    <w:rsid w:val="009C42D4"/>
    <w:rsid w:val="009C6355"/>
    <w:rsid w:val="009D34A5"/>
    <w:rsid w:val="009F2F20"/>
    <w:rsid w:val="009F6A1C"/>
    <w:rsid w:val="00A11ADF"/>
    <w:rsid w:val="00A17647"/>
    <w:rsid w:val="00A17B97"/>
    <w:rsid w:val="00A17CFF"/>
    <w:rsid w:val="00A2238D"/>
    <w:rsid w:val="00A24A1A"/>
    <w:rsid w:val="00A329DE"/>
    <w:rsid w:val="00A32B3B"/>
    <w:rsid w:val="00A40187"/>
    <w:rsid w:val="00A40DBD"/>
    <w:rsid w:val="00A44687"/>
    <w:rsid w:val="00A45243"/>
    <w:rsid w:val="00A45B64"/>
    <w:rsid w:val="00A51547"/>
    <w:rsid w:val="00A53F03"/>
    <w:rsid w:val="00A5420D"/>
    <w:rsid w:val="00A5513E"/>
    <w:rsid w:val="00A55452"/>
    <w:rsid w:val="00A6265F"/>
    <w:rsid w:val="00A62E47"/>
    <w:rsid w:val="00A77785"/>
    <w:rsid w:val="00A77C4B"/>
    <w:rsid w:val="00A80ABA"/>
    <w:rsid w:val="00A81A02"/>
    <w:rsid w:val="00A95358"/>
    <w:rsid w:val="00AA0DBA"/>
    <w:rsid w:val="00AA6BBB"/>
    <w:rsid w:val="00AB22C7"/>
    <w:rsid w:val="00AB636A"/>
    <w:rsid w:val="00AC022B"/>
    <w:rsid w:val="00AC2E6E"/>
    <w:rsid w:val="00AC6B1E"/>
    <w:rsid w:val="00AD1916"/>
    <w:rsid w:val="00AD512B"/>
    <w:rsid w:val="00AE2744"/>
    <w:rsid w:val="00B05850"/>
    <w:rsid w:val="00B06A19"/>
    <w:rsid w:val="00B1085F"/>
    <w:rsid w:val="00B132CB"/>
    <w:rsid w:val="00B2287D"/>
    <w:rsid w:val="00B25DF9"/>
    <w:rsid w:val="00B320C8"/>
    <w:rsid w:val="00B42853"/>
    <w:rsid w:val="00B44BC9"/>
    <w:rsid w:val="00B74E43"/>
    <w:rsid w:val="00B766AF"/>
    <w:rsid w:val="00B8587A"/>
    <w:rsid w:val="00B86BC2"/>
    <w:rsid w:val="00B8710F"/>
    <w:rsid w:val="00BA17D0"/>
    <w:rsid w:val="00BB2CD0"/>
    <w:rsid w:val="00BB357B"/>
    <w:rsid w:val="00BB63DE"/>
    <w:rsid w:val="00BB64B9"/>
    <w:rsid w:val="00BC52E8"/>
    <w:rsid w:val="00BE03BA"/>
    <w:rsid w:val="00BE7A0A"/>
    <w:rsid w:val="00BF045C"/>
    <w:rsid w:val="00C14BBF"/>
    <w:rsid w:val="00C17482"/>
    <w:rsid w:val="00C178BF"/>
    <w:rsid w:val="00C206F7"/>
    <w:rsid w:val="00C224B8"/>
    <w:rsid w:val="00C30A0F"/>
    <w:rsid w:val="00C33AA0"/>
    <w:rsid w:val="00C34B45"/>
    <w:rsid w:val="00C34CBD"/>
    <w:rsid w:val="00C40215"/>
    <w:rsid w:val="00C42F6F"/>
    <w:rsid w:val="00C50095"/>
    <w:rsid w:val="00C52DBD"/>
    <w:rsid w:val="00C5670C"/>
    <w:rsid w:val="00C61B42"/>
    <w:rsid w:val="00C61BA2"/>
    <w:rsid w:val="00C67E36"/>
    <w:rsid w:val="00C71E97"/>
    <w:rsid w:val="00C732D0"/>
    <w:rsid w:val="00C8395A"/>
    <w:rsid w:val="00C95023"/>
    <w:rsid w:val="00C97557"/>
    <w:rsid w:val="00CB2293"/>
    <w:rsid w:val="00CB397A"/>
    <w:rsid w:val="00CC04A5"/>
    <w:rsid w:val="00CC0A17"/>
    <w:rsid w:val="00CC57F7"/>
    <w:rsid w:val="00CE25F1"/>
    <w:rsid w:val="00CE6548"/>
    <w:rsid w:val="00CE66EA"/>
    <w:rsid w:val="00D0552B"/>
    <w:rsid w:val="00D06F2E"/>
    <w:rsid w:val="00D102A8"/>
    <w:rsid w:val="00D203BF"/>
    <w:rsid w:val="00D237BF"/>
    <w:rsid w:val="00D256BE"/>
    <w:rsid w:val="00D34F3E"/>
    <w:rsid w:val="00D421F1"/>
    <w:rsid w:val="00D537B3"/>
    <w:rsid w:val="00D62F04"/>
    <w:rsid w:val="00D64A36"/>
    <w:rsid w:val="00D74B91"/>
    <w:rsid w:val="00D75D22"/>
    <w:rsid w:val="00D862E2"/>
    <w:rsid w:val="00D92524"/>
    <w:rsid w:val="00D97635"/>
    <w:rsid w:val="00DA3810"/>
    <w:rsid w:val="00DA4A60"/>
    <w:rsid w:val="00DA53B1"/>
    <w:rsid w:val="00DC39A8"/>
    <w:rsid w:val="00DD0BBE"/>
    <w:rsid w:val="00DD194C"/>
    <w:rsid w:val="00DD1DA0"/>
    <w:rsid w:val="00DD4751"/>
    <w:rsid w:val="00DE62F2"/>
    <w:rsid w:val="00DF5CDC"/>
    <w:rsid w:val="00E0362D"/>
    <w:rsid w:val="00E03A32"/>
    <w:rsid w:val="00E04286"/>
    <w:rsid w:val="00E13EC1"/>
    <w:rsid w:val="00E308C4"/>
    <w:rsid w:val="00E40465"/>
    <w:rsid w:val="00E519EE"/>
    <w:rsid w:val="00E51FBB"/>
    <w:rsid w:val="00E535D9"/>
    <w:rsid w:val="00E602B0"/>
    <w:rsid w:val="00E7370C"/>
    <w:rsid w:val="00E75CD9"/>
    <w:rsid w:val="00E92C2A"/>
    <w:rsid w:val="00E97034"/>
    <w:rsid w:val="00EB2EE0"/>
    <w:rsid w:val="00EB3A40"/>
    <w:rsid w:val="00EC1B75"/>
    <w:rsid w:val="00ED5952"/>
    <w:rsid w:val="00EE0519"/>
    <w:rsid w:val="00EE0D84"/>
    <w:rsid w:val="00EE398B"/>
    <w:rsid w:val="00F03DCE"/>
    <w:rsid w:val="00F03FE3"/>
    <w:rsid w:val="00F055E2"/>
    <w:rsid w:val="00F12D37"/>
    <w:rsid w:val="00F12F80"/>
    <w:rsid w:val="00F13B8C"/>
    <w:rsid w:val="00F14560"/>
    <w:rsid w:val="00F65F77"/>
    <w:rsid w:val="00F70825"/>
    <w:rsid w:val="00FA0F1C"/>
    <w:rsid w:val="00FA3CFC"/>
    <w:rsid w:val="00FB1533"/>
    <w:rsid w:val="00FB2000"/>
    <w:rsid w:val="00FB5DED"/>
    <w:rsid w:val="00FB7809"/>
    <w:rsid w:val="00FD3C3D"/>
    <w:rsid w:val="00FF538C"/>
    <w:rsid w:val="00FF5F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58C5A2"/>
  <w15:chartTrackingRefBased/>
  <w15:docId w15:val="{BFE9A9B9-A5EE-4BA2-88B5-C577A3F8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3F03"/>
    <w:pPr>
      <w:spacing w:after="49" w:line="263" w:lineRule="auto"/>
      <w:ind w:left="-13" w:firstLine="230"/>
      <w:jc w:val="both"/>
    </w:pPr>
    <w:rPr>
      <w:rFonts w:ascii="Calibri" w:eastAsia="Calibri" w:hAnsi="Calibri" w:cs="Calibri"/>
      <w:color w:val="000000"/>
      <w:sz w:val="20"/>
      <w:lang w:eastAsia="en-GB"/>
    </w:rPr>
  </w:style>
  <w:style w:type="paragraph" w:styleId="Heading1">
    <w:name w:val="heading 1"/>
    <w:basedOn w:val="Normal"/>
    <w:next w:val="Normal"/>
    <w:link w:val="Heading1Char"/>
    <w:uiPriority w:val="1"/>
    <w:qFormat/>
    <w:rsid w:val="00907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4C1254"/>
    <w:pPr>
      <w:keepNext/>
      <w:keepLines/>
      <w:spacing w:before="400" w:after="360"/>
      <w:jc w:val="center"/>
      <w:outlineLvl w:val="1"/>
    </w:pPr>
    <w:rPr>
      <w:rFonts w:ascii="Times New Roman" w:eastAsiaTheme="majorEastAsia" w:hAnsi="Times New Roman" w:cstheme="majorBidi"/>
      <w:b/>
      <w:color w:val="auto"/>
      <w:sz w:val="28"/>
      <w:szCs w:val="26"/>
    </w:rPr>
  </w:style>
  <w:style w:type="paragraph" w:styleId="Heading3">
    <w:name w:val="heading 3"/>
    <w:basedOn w:val="Normal"/>
    <w:next w:val="Normal"/>
    <w:link w:val="Heading3Char"/>
    <w:autoRedefine/>
    <w:uiPriority w:val="1"/>
    <w:unhideWhenUsed/>
    <w:qFormat/>
    <w:rsid w:val="00C71E97"/>
    <w:pPr>
      <w:keepNext/>
      <w:keepLines/>
      <w:spacing w:before="400" w:after="360"/>
      <w:ind w:left="0" w:firstLine="0"/>
      <w:jc w:val="left"/>
      <w:outlineLvl w:val="2"/>
    </w:pPr>
    <w:rPr>
      <w:rFonts w:ascii="Times New Roman" w:eastAsiaTheme="majorEastAsia" w:hAnsi="Times New Roman" w:cs="Times New Roman"/>
      <w:b/>
      <w:color w:val="auto"/>
      <w:sz w:val="28"/>
      <w:szCs w:val="28"/>
    </w:rPr>
  </w:style>
  <w:style w:type="paragraph" w:styleId="Heading4">
    <w:name w:val="heading 4"/>
    <w:next w:val="Normal"/>
    <w:link w:val="Heading4Char"/>
    <w:uiPriority w:val="1"/>
    <w:unhideWhenUsed/>
    <w:qFormat/>
    <w:rsid w:val="0082219D"/>
    <w:pPr>
      <w:keepNext/>
      <w:keepLines/>
      <w:spacing w:after="4" w:line="234" w:lineRule="auto"/>
      <w:ind w:left="-3" w:right="-1" w:hanging="10"/>
      <w:outlineLvl w:val="3"/>
    </w:pPr>
    <w:rPr>
      <w:rFonts w:ascii="Calibri" w:eastAsia="Calibri" w:hAnsi="Calibri" w:cs="Calibri"/>
      <w:color w:val="000000"/>
      <w:sz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7C8F"/>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1"/>
    <w:rsid w:val="004C1254"/>
    <w:rPr>
      <w:rFonts w:ascii="Times New Roman" w:eastAsiaTheme="majorEastAsia" w:hAnsi="Times New Roman" w:cstheme="majorBidi"/>
      <w:b/>
      <w:sz w:val="28"/>
      <w:szCs w:val="26"/>
      <w:lang w:eastAsia="en-GB"/>
    </w:rPr>
  </w:style>
  <w:style w:type="character" w:customStyle="1" w:styleId="Heading3Char">
    <w:name w:val="Heading 3 Char"/>
    <w:basedOn w:val="DefaultParagraphFont"/>
    <w:link w:val="Heading3"/>
    <w:uiPriority w:val="9"/>
    <w:rsid w:val="00C71E97"/>
    <w:rPr>
      <w:rFonts w:ascii="Times New Roman" w:eastAsiaTheme="majorEastAsia" w:hAnsi="Times New Roman" w:cs="Times New Roman"/>
      <w:b/>
      <w:sz w:val="28"/>
      <w:szCs w:val="28"/>
      <w:lang w:eastAsia="en-GB"/>
    </w:rPr>
  </w:style>
  <w:style w:type="character" w:customStyle="1" w:styleId="Heading4Char">
    <w:name w:val="Heading 4 Char"/>
    <w:basedOn w:val="DefaultParagraphFont"/>
    <w:link w:val="Heading4"/>
    <w:uiPriority w:val="9"/>
    <w:rsid w:val="0082219D"/>
    <w:rPr>
      <w:rFonts w:ascii="Calibri" w:eastAsia="Calibri" w:hAnsi="Calibri" w:cs="Calibri"/>
      <w:color w:val="000000"/>
      <w:sz w:val="16"/>
      <w:lang w:eastAsia="en-GB"/>
    </w:rPr>
  </w:style>
  <w:style w:type="paragraph" w:styleId="ListParagraph">
    <w:name w:val="List Paragraph"/>
    <w:basedOn w:val="Normal"/>
    <w:uiPriority w:val="1"/>
    <w:qFormat/>
    <w:rsid w:val="007A3F4F"/>
    <w:pPr>
      <w:ind w:left="720"/>
      <w:contextualSpacing/>
    </w:pPr>
  </w:style>
  <w:style w:type="table" w:customStyle="1" w:styleId="TableGrid">
    <w:name w:val="TableGrid"/>
    <w:rsid w:val="00907C8F"/>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unhideWhenUsed/>
    <w:rsid w:val="00E75CD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cursor-pointer">
    <w:name w:val="cursor-pointer"/>
    <w:basedOn w:val="DefaultParagraphFont"/>
    <w:rsid w:val="00E75CD9"/>
  </w:style>
  <w:style w:type="character" w:styleId="Hyperlink">
    <w:name w:val="Hyperlink"/>
    <w:basedOn w:val="DefaultParagraphFont"/>
    <w:uiPriority w:val="99"/>
    <w:unhideWhenUsed/>
    <w:rsid w:val="00E75CD9"/>
    <w:rPr>
      <w:color w:val="0000FF"/>
      <w:u w:val="single"/>
    </w:rPr>
  </w:style>
  <w:style w:type="paragraph" w:styleId="Header">
    <w:name w:val="header"/>
    <w:basedOn w:val="Normal"/>
    <w:link w:val="HeaderChar"/>
    <w:uiPriority w:val="99"/>
    <w:unhideWhenUsed/>
    <w:rsid w:val="003E5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7C7"/>
    <w:rPr>
      <w:rFonts w:ascii="Calibri" w:eastAsia="Calibri" w:hAnsi="Calibri" w:cs="Calibri"/>
      <w:color w:val="000000"/>
      <w:sz w:val="20"/>
      <w:lang w:eastAsia="en-GB"/>
    </w:rPr>
  </w:style>
  <w:style w:type="paragraph" w:styleId="Footer">
    <w:name w:val="footer"/>
    <w:basedOn w:val="Normal"/>
    <w:link w:val="FooterChar"/>
    <w:uiPriority w:val="99"/>
    <w:unhideWhenUsed/>
    <w:rsid w:val="003E57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7C7"/>
    <w:rPr>
      <w:rFonts w:ascii="Calibri" w:eastAsia="Calibri" w:hAnsi="Calibri" w:cs="Calibri"/>
      <w:color w:val="000000"/>
      <w:sz w:val="20"/>
      <w:lang w:eastAsia="en-GB"/>
    </w:rPr>
  </w:style>
  <w:style w:type="character" w:styleId="HTMLCite">
    <w:name w:val="HTML Cite"/>
    <w:basedOn w:val="DefaultParagraphFont"/>
    <w:uiPriority w:val="99"/>
    <w:semiHidden/>
    <w:unhideWhenUsed/>
    <w:rsid w:val="004B2F5E"/>
    <w:rPr>
      <w:i/>
      <w:iCs/>
    </w:rPr>
  </w:style>
  <w:style w:type="paragraph" w:styleId="TOC2">
    <w:name w:val="toc 2"/>
    <w:basedOn w:val="Normal"/>
    <w:next w:val="Normal"/>
    <w:autoRedefine/>
    <w:uiPriority w:val="39"/>
    <w:unhideWhenUsed/>
    <w:qFormat/>
    <w:rsid w:val="00265DE5"/>
    <w:pPr>
      <w:tabs>
        <w:tab w:val="left" w:pos="880"/>
        <w:tab w:val="right" w:pos="9016"/>
      </w:tabs>
      <w:spacing w:after="100" w:line="360" w:lineRule="auto"/>
      <w:ind w:left="0" w:firstLine="0"/>
      <w:jc w:val="left"/>
    </w:pPr>
    <w:rPr>
      <w:rFonts w:ascii="Times New Roman" w:hAnsi="Times New Roman" w:cs="Times New Roman"/>
      <w:noProof/>
      <w:color w:val="auto"/>
      <w:sz w:val="24"/>
    </w:rPr>
  </w:style>
  <w:style w:type="paragraph" w:styleId="TOC3">
    <w:name w:val="toc 3"/>
    <w:basedOn w:val="Normal"/>
    <w:next w:val="Normal"/>
    <w:autoRedefine/>
    <w:uiPriority w:val="39"/>
    <w:unhideWhenUsed/>
    <w:qFormat/>
    <w:rsid w:val="00A329DE"/>
    <w:pPr>
      <w:spacing w:after="100"/>
      <w:ind w:left="400"/>
    </w:pPr>
  </w:style>
  <w:style w:type="paragraph" w:styleId="TOC1">
    <w:name w:val="toc 1"/>
    <w:basedOn w:val="Normal"/>
    <w:next w:val="Normal"/>
    <w:autoRedefine/>
    <w:uiPriority w:val="39"/>
    <w:unhideWhenUsed/>
    <w:qFormat/>
    <w:rsid w:val="0049499B"/>
    <w:pPr>
      <w:tabs>
        <w:tab w:val="right" w:pos="9016"/>
      </w:tabs>
      <w:spacing w:after="100" w:line="360" w:lineRule="auto"/>
      <w:ind w:left="0"/>
    </w:pPr>
  </w:style>
  <w:style w:type="paragraph" w:styleId="TOC4">
    <w:name w:val="toc 4"/>
    <w:basedOn w:val="Normal"/>
    <w:uiPriority w:val="39"/>
    <w:qFormat/>
    <w:rsid w:val="00FD3C3D"/>
    <w:pPr>
      <w:widowControl w:val="0"/>
      <w:autoSpaceDE w:val="0"/>
      <w:autoSpaceDN w:val="0"/>
      <w:spacing w:before="183" w:after="0" w:line="240" w:lineRule="auto"/>
      <w:ind w:left="1340" w:hanging="540"/>
      <w:jc w:val="left"/>
    </w:pPr>
    <w:rPr>
      <w:rFonts w:ascii="Times New Roman" w:eastAsia="Times New Roman" w:hAnsi="Times New Roman" w:cs="Times New Roman"/>
      <w:color w:val="auto"/>
      <w:sz w:val="24"/>
      <w:szCs w:val="24"/>
      <w:lang w:val="en-US" w:eastAsia="en-US"/>
    </w:rPr>
  </w:style>
  <w:style w:type="paragraph" w:styleId="BodyText">
    <w:name w:val="Body Text"/>
    <w:basedOn w:val="Normal"/>
    <w:link w:val="BodyTextChar"/>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4"/>
      <w:szCs w:val="24"/>
      <w:lang w:val="en-US" w:eastAsia="en-US"/>
    </w:rPr>
  </w:style>
  <w:style w:type="character" w:customStyle="1" w:styleId="BodyTextChar">
    <w:name w:val="Body Text Char"/>
    <w:basedOn w:val="DefaultParagraphFont"/>
    <w:link w:val="BodyText"/>
    <w:uiPriority w:val="1"/>
    <w:rsid w:val="00FD3C3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2"/>
      <w:lang w:val="en-US" w:eastAsia="en-US"/>
    </w:rPr>
  </w:style>
  <w:style w:type="paragraph" w:styleId="TOC5">
    <w:name w:val="toc 5"/>
    <w:basedOn w:val="Normal"/>
    <w:uiPriority w:val="39"/>
    <w:qFormat/>
    <w:rsid w:val="004E73AB"/>
    <w:pPr>
      <w:widowControl w:val="0"/>
      <w:autoSpaceDE w:val="0"/>
      <w:autoSpaceDN w:val="0"/>
      <w:spacing w:before="929" w:after="0" w:line="240" w:lineRule="auto"/>
      <w:ind w:left="1348" w:firstLine="0"/>
      <w:jc w:val="left"/>
    </w:pPr>
    <w:rPr>
      <w:rFonts w:ascii="Times New Roman" w:eastAsia="Times New Roman" w:hAnsi="Times New Roman" w:cs="Times New Roman"/>
      <w:color w:val="auto"/>
      <w:sz w:val="24"/>
      <w:szCs w:val="24"/>
      <w:lang w:val="en-US" w:eastAsia="en-US"/>
    </w:rPr>
  </w:style>
  <w:style w:type="paragraph" w:styleId="TOC6">
    <w:name w:val="toc 6"/>
    <w:basedOn w:val="Normal"/>
    <w:uiPriority w:val="39"/>
    <w:qFormat/>
    <w:rsid w:val="004E73AB"/>
    <w:pPr>
      <w:widowControl w:val="0"/>
      <w:autoSpaceDE w:val="0"/>
      <w:autoSpaceDN w:val="0"/>
      <w:spacing w:before="276" w:after="0" w:line="240" w:lineRule="auto"/>
      <w:ind w:left="2229" w:hanging="683"/>
      <w:jc w:val="left"/>
    </w:pPr>
    <w:rPr>
      <w:rFonts w:ascii="Times New Roman" w:eastAsia="Times New Roman" w:hAnsi="Times New Roman" w:cs="Times New Roman"/>
      <w:color w:val="auto"/>
      <w:sz w:val="24"/>
      <w:szCs w:val="24"/>
      <w:lang w:val="en-US" w:eastAsia="en-US"/>
    </w:rPr>
  </w:style>
  <w:style w:type="paragraph" w:styleId="TOC7">
    <w:name w:val="toc 7"/>
    <w:basedOn w:val="Normal"/>
    <w:uiPriority w:val="39"/>
    <w:qFormat/>
    <w:rsid w:val="004E73AB"/>
    <w:pPr>
      <w:widowControl w:val="0"/>
      <w:autoSpaceDE w:val="0"/>
      <w:autoSpaceDN w:val="0"/>
      <w:spacing w:before="276" w:after="0" w:line="240" w:lineRule="auto"/>
      <w:ind w:left="2668" w:hanging="920"/>
      <w:jc w:val="left"/>
    </w:pPr>
    <w:rPr>
      <w:rFonts w:ascii="Times New Roman" w:eastAsia="Times New Roman" w:hAnsi="Times New Roman" w:cs="Times New Roman"/>
      <w:color w:val="auto"/>
      <w:sz w:val="24"/>
      <w:szCs w:val="24"/>
      <w:lang w:val="en-US" w:eastAsia="en-US"/>
    </w:rPr>
  </w:style>
  <w:style w:type="paragraph" w:styleId="TOC8">
    <w:name w:val="toc 8"/>
    <w:basedOn w:val="Normal"/>
    <w:uiPriority w:val="39"/>
    <w:qFormat/>
    <w:rsid w:val="004E73AB"/>
    <w:pPr>
      <w:widowControl w:val="0"/>
      <w:autoSpaceDE w:val="0"/>
      <w:autoSpaceDN w:val="0"/>
      <w:spacing w:before="276" w:after="0" w:line="240" w:lineRule="auto"/>
      <w:ind w:left="3168" w:hanging="1161"/>
      <w:jc w:val="left"/>
    </w:pPr>
    <w:rPr>
      <w:rFonts w:ascii="Times New Roman" w:eastAsia="Times New Roman" w:hAnsi="Times New Roman" w:cs="Times New Roman"/>
      <w:color w:val="auto"/>
      <w:sz w:val="24"/>
      <w:szCs w:val="24"/>
      <w:lang w:val="en-US" w:eastAsia="en-US"/>
    </w:rPr>
  </w:style>
  <w:style w:type="paragraph" w:styleId="Title">
    <w:name w:val="Title"/>
    <w:basedOn w:val="Normal"/>
    <w:link w:val="TitleChar"/>
    <w:uiPriority w:val="1"/>
    <w:qFormat/>
    <w:rsid w:val="004E73AB"/>
    <w:pPr>
      <w:widowControl w:val="0"/>
      <w:autoSpaceDE w:val="0"/>
      <w:autoSpaceDN w:val="0"/>
      <w:spacing w:before="206" w:after="0" w:line="240" w:lineRule="auto"/>
      <w:ind w:left="100" w:right="1776" w:firstLine="0"/>
      <w:jc w:val="left"/>
    </w:pPr>
    <w:rPr>
      <w:rFonts w:ascii="Arial MT" w:eastAsia="Arial MT" w:hAnsi="Arial MT" w:cs="Arial MT"/>
      <w:color w:val="auto"/>
      <w:sz w:val="52"/>
      <w:szCs w:val="52"/>
      <w:lang w:val="en-US" w:eastAsia="en-US"/>
    </w:rPr>
  </w:style>
  <w:style w:type="character" w:customStyle="1" w:styleId="TitleChar">
    <w:name w:val="Title Char"/>
    <w:basedOn w:val="DefaultParagraphFont"/>
    <w:link w:val="Title"/>
    <w:uiPriority w:val="1"/>
    <w:rsid w:val="004E73AB"/>
    <w:rPr>
      <w:rFonts w:ascii="Arial MT" w:eastAsia="Arial MT" w:hAnsi="Arial MT" w:cs="Arial MT"/>
      <w:sz w:val="52"/>
      <w:szCs w:val="52"/>
      <w:lang w:val="en-US"/>
    </w:rPr>
  </w:style>
  <w:style w:type="table" w:styleId="TableGrid0">
    <w:name w:val="Table Grid"/>
    <w:basedOn w:val="TableNormal"/>
    <w:uiPriority w:val="59"/>
    <w:rsid w:val="004E73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AA6BBB"/>
  </w:style>
  <w:style w:type="character" w:customStyle="1" w:styleId="mw-editsection-like">
    <w:name w:val="mw-editsection-like"/>
    <w:basedOn w:val="DefaultParagraphFont"/>
    <w:rsid w:val="00AA6BBB"/>
  </w:style>
  <w:style w:type="character" w:customStyle="1" w:styleId="mw-editsection-bracket">
    <w:name w:val="mw-editsection-bracket"/>
    <w:basedOn w:val="DefaultParagraphFont"/>
    <w:rsid w:val="00AA6BBB"/>
  </w:style>
  <w:style w:type="table" w:styleId="TableGridLight">
    <w:name w:val="Grid Table Light"/>
    <w:basedOn w:val="TableNormal"/>
    <w:uiPriority w:val="40"/>
    <w:rsid w:val="007249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30A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B63DE"/>
    <w:pPr>
      <w:spacing w:line="259" w:lineRule="auto"/>
      <w:ind w:left="0" w:firstLine="0"/>
      <w:jc w:val="left"/>
      <w:outlineLvl w:val="9"/>
    </w:pPr>
    <w:rPr>
      <w:lang w:val="en-US" w:eastAsia="en-US"/>
    </w:rPr>
  </w:style>
  <w:style w:type="character" w:styleId="Strong">
    <w:name w:val="Strong"/>
    <w:basedOn w:val="DefaultParagraphFont"/>
    <w:uiPriority w:val="22"/>
    <w:qFormat/>
    <w:rsid w:val="00024B8A"/>
    <w:rPr>
      <w:b/>
      <w:bCs/>
    </w:rPr>
  </w:style>
  <w:style w:type="character" w:styleId="Emphasis">
    <w:name w:val="Emphasis"/>
    <w:basedOn w:val="DefaultParagraphFont"/>
    <w:uiPriority w:val="20"/>
    <w:qFormat/>
    <w:rsid w:val="00024B8A"/>
    <w:rPr>
      <w:i/>
      <w:iCs/>
    </w:rPr>
  </w:style>
  <w:style w:type="character" w:styleId="UnresolvedMention">
    <w:name w:val="Unresolved Mention"/>
    <w:basedOn w:val="DefaultParagraphFont"/>
    <w:uiPriority w:val="99"/>
    <w:semiHidden/>
    <w:unhideWhenUsed/>
    <w:rsid w:val="00A8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62316">
      <w:bodyDiv w:val="1"/>
      <w:marLeft w:val="0"/>
      <w:marRight w:val="0"/>
      <w:marTop w:val="0"/>
      <w:marBottom w:val="0"/>
      <w:divBdr>
        <w:top w:val="none" w:sz="0" w:space="0" w:color="auto"/>
        <w:left w:val="none" w:sz="0" w:space="0" w:color="auto"/>
        <w:bottom w:val="none" w:sz="0" w:space="0" w:color="auto"/>
        <w:right w:val="none" w:sz="0" w:space="0" w:color="auto"/>
      </w:divBdr>
    </w:div>
    <w:div w:id="191890153">
      <w:bodyDiv w:val="1"/>
      <w:marLeft w:val="0"/>
      <w:marRight w:val="0"/>
      <w:marTop w:val="0"/>
      <w:marBottom w:val="0"/>
      <w:divBdr>
        <w:top w:val="none" w:sz="0" w:space="0" w:color="auto"/>
        <w:left w:val="none" w:sz="0" w:space="0" w:color="auto"/>
        <w:bottom w:val="none" w:sz="0" w:space="0" w:color="auto"/>
        <w:right w:val="none" w:sz="0" w:space="0" w:color="auto"/>
      </w:divBdr>
    </w:div>
    <w:div w:id="241066649">
      <w:bodyDiv w:val="1"/>
      <w:marLeft w:val="0"/>
      <w:marRight w:val="0"/>
      <w:marTop w:val="0"/>
      <w:marBottom w:val="0"/>
      <w:divBdr>
        <w:top w:val="none" w:sz="0" w:space="0" w:color="auto"/>
        <w:left w:val="none" w:sz="0" w:space="0" w:color="auto"/>
        <w:bottom w:val="none" w:sz="0" w:space="0" w:color="auto"/>
        <w:right w:val="none" w:sz="0" w:space="0" w:color="auto"/>
      </w:divBdr>
    </w:div>
    <w:div w:id="241718910">
      <w:bodyDiv w:val="1"/>
      <w:marLeft w:val="0"/>
      <w:marRight w:val="0"/>
      <w:marTop w:val="0"/>
      <w:marBottom w:val="0"/>
      <w:divBdr>
        <w:top w:val="none" w:sz="0" w:space="0" w:color="auto"/>
        <w:left w:val="none" w:sz="0" w:space="0" w:color="auto"/>
        <w:bottom w:val="none" w:sz="0" w:space="0" w:color="auto"/>
        <w:right w:val="none" w:sz="0" w:space="0" w:color="auto"/>
      </w:divBdr>
    </w:div>
    <w:div w:id="262810526">
      <w:bodyDiv w:val="1"/>
      <w:marLeft w:val="0"/>
      <w:marRight w:val="0"/>
      <w:marTop w:val="0"/>
      <w:marBottom w:val="0"/>
      <w:divBdr>
        <w:top w:val="none" w:sz="0" w:space="0" w:color="auto"/>
        <w:left w:val="none" w:sz="0" w:space="0" w:color="auto"/>
        <w:bottom w:val="none" w:sz="0" w:space="0" w:color="auto"/>
        <w:right w:val="none" w:sz="0" w:space="0" w:color="auto"/>
      </w:divBdr>
    </w:div>
    <w:div w:id="291863838">
      <w:bodyDiv w:val="1"/>
      <w:marLeft w:val="0"/>
      <w:marRight w:val="0"/>
      <w:marTop w:val="0"/>
      <w:marBottom w:val="0"/>
      <w:divBdr>
        <w:top w:val="none" w:sz="0" w:space="0" w:color="auto"/>
        <w:left w:val="none" w:sz="0" w:space="0" w:color="auto"/>
        <w:bottom w:val="none" w:sz="0" w:space="0" w:color="auto"/>
        <w:right w:val="none" w:sz="0" w:space="0" w:color="auto"/>
      </w:divBdr>
      <w:divsChild>
        <w:div w:id="968703023">
          <w:marLeft w:val="360"/>
          <w:marRight w:val="0"/>
          <w:marTop w:val="200"/>
          <w:marBottom w:val="0"/>
          <w:divBdr>
            <w:top w:val="none" w:sz="0" w:space="0" w:color="auto"/>
            <w:left w:val="none" w:sz="0" w:space="0" w:color="auto"/>
            <w:bottom w:val="none" w:sz="0" w:space="0" w:color="auto"/>
            <w:right w:val="none" w:sz="0" w:space="0" w:color="auto"/>
          </w:divBdr>
        </w:div>
        <w:div w:id="2055346099">
          <w:marLeft w:val="360"/>
          <w:marRight w:val="0"/>
          <w:marTop w:val="200"/>
          <w:marBottom w:val="0"/>
          <w:divBdr>
            <w:top w:val="none" w:sz="0" w:space="0" w:color="auto"/>
            <w:left w:val="none" w:sz="0" w:space="0" w:color="auto"/>
            <w:bottom w:val="none" w:sz="0" w:space="0" w:color="auto"/>
            <w:right w:val="none" w:sz="0" w:space="0" w:color="auto"/>
          </w:divBdr>
        </w:div>
        <w:div w:id="874583492">
          <w:marLeft w:val="360"/>
          <w:marRight w:val="0"/>
          <w:marTop w:val="200"/>
          <w:marBottom w:val="0"/>
          <w:divBdr>
            <w:top w:val="none" w:sz="0" w:space="0" w:color="auto"/>
            <w:left w:val="none" w:sz="0" w:space="0" w:color="auto"/>
            <w:bottom w:val="none" w:sz="0" w:space="0" w:color="auto"/>
            <w:right w:val="none" w:sz="0" w:space="0" w:color="auto"/>
          </w:divBdr>
        </w:div>
        <w:div w:id="226384949">
          <w:marLeft w:val="360"/>
          <w:marRight w:val="0"/>
          <w:marTop w:val="200"/>
          <w:marBottom w:val="0"/>
          <w:divBdr>
            <w:top w:val="none" w:sz="0" w:space="0" w:color="auto"/>
            <w:left w:val="none" w:sz="0" w:space="0" w:color="auto"/>
            <w:bottom w:val="none" w:sz="0" w:space="0" w:color="auto"/>
            <w:right w:val="none" w:sz="0" w:space="0" w:color="auto"/>
          </w:divBdr>
        </w:div>
      </w:divsChild>
    </w:div>
    <w:div w:id="418911577">
      <w:bodyDiv w:val="1"/>
      <w:marLeft w:val="0"/>
      <w:marRight w:val="0"/>
      <w:marTop w:val="0"/>
      <w:marBottom w:val="0"/>
      <w:divBdr>
        <w:top w:val="none" w:sz="0" w:space="0" w:color="auto"/>
        <w:left w:val="none" w:sz="0" w:space="0" w:color="auto"/>
        <w:bottom w:val="none" w:sz="0" w:space="0" w:color="auto"/>
        <w:right w:val="none" w:sz="0" w:space="0" w:color="auto"/>
      </w:divBdr>
    </w:div>
    <w:div w:id="427237050">
      <w:bodyDiv w:val="1"/>
      <w:marLeft w:val="0"/>
      <w:marRight w:val="0"/>
      <w:marTop w:val="0"/>
      <w:marBottom w:val="0"/>
      <w:divBdr>
        <w:top w:val="none" w:sz="0" w:space="0" w:color="auto"/>
        <w:left w:val="none" w:sz="0" w:space="0" w:color="auto"/>
        <w:bottom w:val="none" w:sz="0" w:space="0" w:color="auto"/>
        <w:right w:val="none" w:sz="0" w:space="0" w:color="auto"/>
      </w:divBdr>
    </w:div>
    <w:div w:id="444689053">
      <w:bodyDiv w:val="1"/>
      <w:marLeft w:val="0"/>
      <w:marRight w:val="0"/>
      <w:marTop w:val="0"/>
      <w:marBottom w:val="0"/>
      <w:divBdr>
        <w:top w:val="none" w:sz="0" w:space="0" w:color="auto"/>
        <w:left w:val="none" w:sz="0" w:space="0" w:color="auto"/>
        <w:bottom w:val="none" w:sz="0" w:space="0" w:color="auto"/>
        <w:right w:val="none" w:sz="0" w:space="0" w:color="auto"/>
      </w:divBdr>
    </w:div>
    <w:div w:id="473447528">
      <w:bodyDiv w:val="1"/>
      <w:marLeft w:val="0"/>
      <w:marRight w:val="0"/>
      <w:marTop w:val="0"/>
      <w:marBottom w:val="0"/>
      <w:divBdr>
        <w:top w:val="none" w:sz="0" w:space="0" w:color="auto"/>
        <w:left w:val="none" w:sz="0" w:space="0" w:color="auto"/>
        <w:bottom w:val="none" w:sz="0" w:space="0" w:color="auto"/>
        <w:right w:val="none" w:sz="0" w:space="0" w:color="auto"/>
      </w:divBdr>
    </w:div>
    <w:div w:id="491531144">
      <w:bodyDiv w:val="1"/>
      <w:marLeft w:val="0"/>
      <w:marRight w:val="0"/>
      <w:marTop w:val="0"/>
      <w:marBottom w:val="0"/>
      <w:divBdr>
        <w:top w:val="none" w:sz="0" w:space="0" w:color="auto"/>
        <w:left w:val="none" w:sz="0" w:space="0" w:color="auto"/>
        <w:bottom w:val="none" w:sz="0" w:space="0" w:color="auto"/>
        <w:right w:val="none" w:sz="0" w:space="0" w:color="auto"/>
      </w:divBdr>
    </w:div>
    <w:div w:id="719868060">
      <w:bodyDiv w:val="1"/>
      <w:marLeft w:val="0"/>
      <w:marRight w:val="0"/>
      <w:marTop w:val="0"/>
      <w:marBottom w:val="0"/>
      <w:divBdr>
        <w:top w:val="none" w:sz="0" w:space="0" w:color="auto"/>
        <w:left w:val="none" w:sz="0" w:space="0" w:color="auto"/>
        <w:bottom w:val="none" w:sz="0" w:space="0" w:color="auto"/>
        <w:right w:val="none" w:sz="0" w:space="0" w:color="auto"/>
      </w:divBdr>
    </w:div>
    <w:div w:id="721290036">
      <w:bodyDiv w:val="1"/>
      <w:marLeft w:val="0"/>
      <w:marRight w:val="0"/>
      <w:marTop w:val="0"/>
      <w:marBottom w:val="0"/>
      <w:divBdr>
        <w:top w:val="none" w:sz="0" w:space="0" w:color="auto"/>
        <w:left w:val="none" w:sz="0" w:space="0" w:color="auto"/>
        <w:bottom w:val="none" w:sz="0" w:space="0" w:color="auto"/>
        <w:right w:val="none" w:sz="0" w:space="0" w:color="auto"/>
      </w:divBdr>
    </w:div>
    <w:div w:id="724716355">
      <w:bodyDiv w:val="1"/>
      <w:marLeft w:val="0"/>
      <w:marRight w:val="0"/>
      <w:marTop w:val="0"/>
      <w:marBottom w:val="0"/>
      <w:divBdr>
        <w:top w:val="none" w:sz="0" w:space="0" w:color="auto"/>
        <w:left w:val="none" w:sz="0" w:space="0" w:color="auto"/>
        <w:bottom w:val="none" w:sz="0" w:space="0" w:color="auto"/>
        <w:right w:val="none" w:sz="0" w:space="0" w:color="auto"/>
      </w:divBdr>
    </w:div>
    <w:div w:id="788476289">
      <w:bodyDiv w:val="1"/>
      <w:marLeft w:val="0"/>
      <w:marRight w:val="0"/>
      <w:marTop w:val="0"/>
      <w:marBottom w:val="0"/>
      <w:divBdr>
        <w:top w:val="none" w:sz="0" w:space="0" w:color="auto"/>
        <w:left w:val="none" w:sz="0" w:space="0" w:color="auto"/>
        <w:bottom w:val="none" w:sz="0" w:space="0" w:color="auto"/>
        <w:right w:val="none" w:sz="0" w:space="0" w:color="auto"/>
      </w:divBdr>
    </w:div>
    <w:div w:id="791438841">
      <w:bodyDiv w:val="1"/>
      <w:marLeft w:val="0"/>
      <w:marRight w:val="0"/>
      <w:marTop w:val="0"/>
      <w:marBottom w:val="0"/>
      <w:divBdr>
        <w:top w:val="none" w:sz="0" w:space="0" w:color="auto"/>
        <w:left w:val="none" w:sz="0" w:space="0" w:color="auto"/>
        <w:bottom w:val="none" w:sz="0" w:space="0" w:color="auto"/>
        <w:right w:val="none" w:sz="0" w:space="0" w:color="auto"/>
      </w:divBdr>
    </w:div>
    <w:div w:id="796488950">
      <w:bodyDiv w:val="1"/>
      <w:marLeft w:val="0"/>
      <w:marRight w:val="0"/>
      <w:marTop w:val="0"/>
      <w:marBottom w:val="0"/>
      <w:divBdr>
        <w:top w:val="none" w:sz="0" w:space="0" w:color="auto"/>
        <w:left w:val="none" w:sz="0" w:space="0" w:color="auto"/>
        <w:bottom w:val="none" w:sz="0" w:space="0" w:color="auto"/>
        <w:right w:val="none" w:sz="0" w:space="0" w:color="auto"/>
      </w:divBdr>
    </w:div>
    <w:div w:id="906455669">
      <w:bodyDiv w:val="1"/>
      <w:marLeft w:val="0"/>
      <w:marRight w:val="0"/>
      <w:marTop w:val="0"/>
      <w:marBottom w:val="0"/>
      <w:divBdr>
        <w:top w:val="none" w:sz="0" w:space="0" w:color="auto"/>
        <w:left w:val="none" w:sz="0" w:space="0" w:color="auto"/>
        <w:bottom w:val="none" w:sz="0" w:space="0" w:color="auto"/>
        <w:right w:val="none" w:sz="0" w:space="0" w:color="auto"/>
      </w:divBdr>
    </w:div>
    <w:div w:id="931158463">
      <w:bodyDiv w:val="1"/>
      <w:marLeft w:val="0"/>
      <w:marRight w:val="0"/>
      <w:marTop w:val="0"/>
      <w:marBottom w:val="0"/>
      <w:divBdr>
        <w:top w:val="none" w:sz="0" w:space="0" w:color="auto"/>
        <w:left w:val="none" w:sz="0" w:space="0" w:color="auto"/>
        <w:bottom w:val="none" w:sz="0" w:space="0" w:color="auto"/>
        <w:right w:val="none" w:sz="0" w:space="0" w:color="auto"/>
      </w:divBdr>
    </w:div>
    <w:div w:id="991518767">
      <w:bodyDiv w:val="1"/>
      <w:marLeft w:val="0"/>
      <w:marRight w:val="0"/>
      <w:marTop w:val="0"/>
      <w:marBottom w:val="0"/>
      <w:divBdr>
        <w:top w:val="none" w:sz="0" w:space="0" w:color="auto"/>
        <w:left w:val="none" w:sz="0" w:space="0" w:color="auto"/>
        <w:bottom w:val="none" w:sz="0" w:space="0" w:color="auto"/>
        <w:right w:val="none" w:sz="0" w:space="0" w:color="auto"/>
      </w:divBdr>
    </w:div>
    <w:div w:id="1051463534">
      <w:bodyDiv w:val="1"/>
      <w:marLeft w:val="0"/>
      <w:marRight w:val="0"/>
      <w:marTop w:val="0"/>
      <w:marBottom w:val="0"/>
      <w:divBdr>
        <w:top w:val="none" w:sz="0" w:space="0" w:color="auto"/>
        <w:left w:val="none" w:sz="0" w:space="0" w:color="auto"/>
        <w:bottom w:val="none" w:sz="0" w:space="0" w:color="auto"/>
        <w:right w:val="none" w:sz="0" w:space="0" w:color="auto"/>
      </w:divBdr>
    </w:div>
    <w:div w:id="1134719636">
      <w:bodyDiv w:val="1"/>
      <w:marLeft w:val="0"/>
      <w:marRight w:val="0"/>
      <w:marTop w:val="0"/>
      <w:marBottom w:val="0"/>
      <w:divBdr>
        <w:top w:val="none" w:sz="0" w:space="0" w:color="auto"/>
        <w:left w:val="none" w:sz="0" w:space="0" w:color="auto"/>
        <w:bottom w:val="none" w:sz="0" w:space="0" w:color="auto"/>
        <w:right w:val="none" w:sz="0" w:space="0" w:color="auto"/>
      </w:divBdr>
    </w:div>
    <w:div w:id="1159689390">
      <w:bodyDiv w:val="1"/>
      <w:marLeft w:val="0"/>
      <w:marRight w:val="0"/>
      <w:marTop w:val="0"/>
      <w:marBottom w:val="0"/>
      <w:divBdr>
        <w:top w:val="none" w:sz="0" w:space="0" w:color="auto"/>
        <w:left w:val="none" w:sz="0" w:space="0" w:color="auto"/>
        <w:bottom w:val="none" w:sz="0" w:space="0" w:color="auto"/>
        <w:right w:val="none" w:sz="0" w:space="0" w:color="auto"/>
      </w:divBdr>
    </w:div>
    <w:div w:id="1328901140">
      <w:bodyDiv w:val="1"/>
      <w:marLeft w:val="0"/>
      <w:marRight w:val="0"/>
      <w:marTop w:val="0"/>
      <w:marBottom w:val="0"/>
      <w:divBdr>
        <w:top w:val="none" w:sz="0" w:space="0" w:color="auto"/>
        <w:left w:val="none" w:sz="0" w:space="0" w:color="auto"/>
        <w:bottom w:val="none" w:sz="0" w:space="0" w:color="auto"/>
        <w:right w:val="none" w:sz="0" w:space="0" w:color="auto"/>
      </w:divBdr>
    </w:div>
    <w:div w:id="1339849728">
      <w:bodyDiv w:val="1"/>
      <w:marLeft w:val="0"/>
      <w:marRight w:val="0"/>
      <w:marTop w:val="0"/>
      <w:marBottom w:val="0"/>
      <w:divBdr>
        <w:top w:val="none" w:sz="0" w:space="0" w:color="auto"/>
        <w:left w:val="none" w:sz="0" w:space="0" w:color="auto"/>
        <w:bottom w:val="none" w:sz="0" w:space="0" w:color="auto"/>
        <w:right w:val="none" w:sz="0" w:space="0" w:color="auto"/>
      </w:divBdr>
    </w:div>
    <w:div w:id="1381592391">
      <w:bodyDiv w:val="1"/>
      <w:marLeft w:val="0"/>
      <w:marRight w:val="0"/>
      <w:marTop w:val="0"/>
      <w:marBottom w:val="0"/>
      <w:divBdr>
        <w:top w:val="none" w:sz="0" w:space="0" w:color="auto"/>
        <w:left w:val="none" w:sz="0" w:space="0" w:color="auto"/>
        <w:bottom w:val="none" w:sz="0" w:space="0" w:color="auto"/>
        <w:right w:val="none" w:sz="0" w:space="0" w:color="auto"/>
      </w:divBdr>
    </w:div>
    <w:div w:id="1394307590">
      <w:bodyDiv w:val="1"/>
      <w:marLeft w:val="0"/>
      <w:marRight w:val="0"/>
      <w:marTop w:val="0"/>
      <w:marBottom w:val="0"/>
      <w:divBdr>
        <w:top w:val="none" w:sz="0" w:space="0" w:color="auto"/>
        <w:left w:val="none" w:sz="0" w:space="0" w:color="auto"/>
        <w:bottom w:val="none" w:sz="0" w:space="0" w:color="auto"/>
        <w:right w:val="none" w:sz="0" w:space="0" w:color="auto"/>
      </w:divBdr>
    </w:div>
    <w:div w:id="1484539770">
      <w:bodyDiv w:val="1"/>
      <w:marLeft w:val="0"/>
      <w:marRight w:val="0"/>
      <w:marTop w:val="0"/>
      <w:marBottom w:val="0"/>
      <w:divBdr>
        <w:top w:val="none" w:sz="0" w:space="0" w:color="auto"/>
        <w:left w:val="none" w:sz="0" w:space="0" w:color="auto"/>
        <w:bottom w:val="none" w:sz="0" w:space="0" w:color="auto"/>
        <w:right w:val="none" w:sz="0" w:space="0" w:color="auto"/>
      </w:divBdr>
    </w:div>
    <w:div w:id="1523592394">
      <w:bodyDiv w:val="1"/>
      <w:marLeft w:val="0"/>
      <w:marRight w:val="0"/>
      <w:marTop w:val="0"/>
      <w:marBottom w:val="0"/>
      <w:divBdr>
        <w:top w:val="none" w:sz="0" w:space="0" w:color="auto"/>
        <w:left w:val="none" w:sz="0" w:space="0" w:color="auto"/>
        <w:bottom w:val="none" w:sz="0" w:space="0" w:color="auto"/>
        <w:right w:val="none" w:sz="0" w:space="0" w:color="auto"/>
      </w:divBdr>
    </w:div>
    <w:div w:id="1648047829">
      <w:bodyDiv w:val="1"/>
      <w:marLeft w:val="0"/>
      <w:marRight w:val="0"/>
      <w:marTop w:val="0"/>
      <w:marBottom w:val="0"/>
      <w:divBdr>
        <w:top w:val="none" w:sz="0" w:space="0" w:color="auto"/>
        <w:left w:val="none" w:sz="0" w:space="0" w:color="auto"/>
        <w:bottom w:val="none" w:sz="0" w:space="0" w:color="auto"/>
        <w:right w:val="none" w:sz="0" w:space="0" w:color="auto"/>
      </w:divBdr>
      <w:divsChild>
        <w:div w:id="940604405">
          <w:marLeft w:val="0"/>
          <w:marRight w:val="0"/>
          <w:marTop w:val="0"/>
          <w:marBottom w:val="0"/>
          <w:divBdr>
            <w:top w:val="none" w:sz="0" w:space="0" w:color="auto"/>
            <w:left w:val="none" w:sz="0" w:space="0" w:color="auto"/>
            <w:bottom w:val="none" w:sz="0" w:space="0" w:color="auto"/>
            <w:right w:val="none" w:sz="0" w:space="0" w:color="auto"/>
          </w:divBdr>
        </w:div>
        <w:div w:id="2000571743">
          <w:marLeft w:val="0"/>
          <w:marRight w:val="0"/>
          <w:marTop w:val="0"/>
          <w:marBottom w:val="0"/>
          <w:divBdr>
            <w:top w:val="none" w:sz="0" w:space="0" w:color="auto"/>
            <w:left w:val="none" w:sz="0" w:space="0" w:color="auto"/>
            <w:bottom w:val="none" w:sz="0" w:space="0" w:color="auto"/>
            <w:right w:val="none" w:sz="0" w:space="0" w:color="auto"/>
          </w:divBdr>
          <w:divsChild>
            <w:div w:id="601109034">
              <w:marLeft w:val="0"/>
              <w:marRight w:val="0"/>
              <w:marTop w:val="0"/>
              <w:marBottom w:val="0"/>
              <w:divBdr>
                <w:top w:val="none" w:sz="0" w:space="0" w:color="auto"/>
                <w:left w:val="none" w:sz="0" w:space="0" w:color="auto"/>
                <w:bottom w:val="none" w:sz="0" w:space="0" w:color="auto"/>
                <w:right w:val="none" w:sz="0" w:space="0" w:color="auto"/>
              </w:divBdr>
            </w:div>
            <w:div w:id="4081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5479">
      <w:bodyDiv w:val="1"/>
      <w:marLeft w:val="0"/>
      <w:marRight w:val="0"/>
      <w:marTop w:val="0"/>
      <w:marBottom w:val="0"/>
      <w:divBdr>
        <w:top w:val="none" w:sz="0" w:space="0" w:color="auto"/>
        <w:left w:val="none" w:sz="0" w:space="0" w:color="auto"/>
        <w:bottom w:val="none" w:sz="0" w:space="0" w:color="auto"/>
        <w:right w:val="none" w:sz="0" w:space="0" w:color="auto"/>
      </w:divBdr>
    </w:div>
    <w:div w:id="1749108712">
      <w:bodyDiv w:val="1"/>
      <w:marLeft w:val="0"/>
      <w:marRight w:val="0"/>
      <w:marTop w:val="0"/>
      <w:marBottom w:val="0"/>
      <w:divBdr>
        <w:top w:val="none" w:sz="0" w:space="0" w:color="auto"/>
        <w:left w:val="none" w:sz="0" w:space="0" w:color="auto"/>
        <w:bottom w:val="none" w:sz="0" w:space="0" w:color="auto"/>
        <w:right w:val="none" w:sz="0" w:space="0" w:color="auto"/>
      </w:divBdr>
    </w:div>
    <w:div w:id="1769426424">
      <w:bodyDiv w:val="1"/>
      <w:marLeft w:val="0"/>
      <w:marRight w:val="0"/>
      <w:marTop w:val="0"/>
      <w:marBottom w:val="0"/>
      <w:divBdr>
        <w:top w:val="none" w:sz="0" w:space="0" w:color="auto"/>
        <w:left w:val="none" w:sz="0" w:space="0" w:color="auto"/>
        <w:bottom w:val="none" w:sz="0" w:space="0" w:color="auto"/>
        <w:right w:val="none" w:sz="0" w:space="0" w:color="auto"/>
      </w:divBdr>
    </w:div>
    <w:div w:id="1844203717">
      <w:bodyDiv w:val="1"/>
      <w:marLeft w:val="0"/>
      <w:marRight w:val="0"/>
      <w:marTop w:val="0"/>
      <w:marBottom w:val="0"/>
      <w:divBdr>
        <w:top w:val="none" w:sz="0" w:space="0" w:color="auto"/>
        <w:left w:val="none" w:sz="0" w:space="0" w:color="auto"/>
        <w:bottom w:val="none" w:sz="0" w:space="0" w:color="auto"/>
        <w:right w:val="none" w:sz="0" w:space="0" w:color="auto"/>
      </w:divBdr>
      <w:divsChild>
        <w:div w:id="1766612485">
          <w:marLeft w:val="0"/>
          <w:marRight w:val="0"/>
          <w:marTop w:val="0"/>
          <w:marBottom w:val="0"/>
          <w:divBdr>
            <w:top w:val="none" w:sz="0" w:space="0" w:color="auto"/>
            <w:left w:val="none" w:sz="0" w:space="0" w:color="auto"/>
            <w:bottom w:val="none" w:sz="0" w:space="0" w:color="auto"/>
            <w:right w:val="none" w:sz="0" w:space="0" w:color="auto"/>
          </w:divBdr>
        </w:div>
        <w:div w:id="195242402">
          <w:marLeft w:val="0"/>
          <w:marRight w:val="0"/>
          <w:marTop w:val="0"/>
          <w:marBottom w:val="0"/>
          <w:divBdr>
            <w:top w:val="none" w:sz="0" w:space="0" w:color="auto"/>
            <w:left w:val="none" w:sz="0" w:space="0" w:color="auto"/>
            <w:bottom w:val="none" w:sz="0" w:space="0" w:color="auto"/>
            <w:right w:val="none" w:sz="0" w:space="0" w:color="auto"/>
          </w:divBdr>
          <w:divsChild>
            <w:div w:id="2973469">
              <w:marLeft w:val="0"/>
              <w:marRight w:val="0"/>
              <w:marTop w:val="0"/>
              <w:marBottom w:val="0"/>
              <w:divBdr>
                <w:top w:val="none" w:sz="0" w:space="0" w:color="auto"/>
                <w:left w:val="none" w:sz="0" w:space="0" w:color="auto"/>
                <w:bottom w:val="none" w:sz="0" w:space="0" w:color="auto"/>
                <w:right w:val="none" w:sz="0" w:space="0" w:color="auto"/>
              </w:divBdr>
            </w:div>
            <w:div w:id="1897428146">
              <w:marLeft w:val="0"/>
              <w:marRight w:val="0"/>
              <w:marTop w:val="0"/>
              <w:marBottom w:val="0"/>
              <w:divBdr>
                <w:top w:val="none" w:sz="0" w:space="0" w:color="auto"/>
                <w:left w:val="none" w:sz="0" w:space="0" w:color="auto"/>
                <w:bottom w:val="none" w:sz="0" w:space="0" w:color="auto"/>
                <w:right w:val="none" w:sz="0" w:space="0" w:color="auto"/>
              </w:divBdr>
            </w:div>
          </w:divsChild>
        </w:div>
        <w:div w:id="1844585605">
          <w:marLeft w:val="0"/>
          <w:marRight w:val="0"/>
          <w:marTop w:val="0"/>
          <w:marBottom w:val="0"/>
          <w:divBdr>
            <w:top w:val="none" w:sz="0" w:space="0" w:color="auto"/>
            <w:left w:val="none" w:sz="0" w:space="0" w:color="auto"/>
            <w:bottom w:val="none" w:sz="0" w:space="0" w:color="auto"/>
            <w:right w:val="none" w:sz="0" w:space="0" w:color="auto"/>
          </w:divBdr>
          <w:divsChild>
            <w:div w:id="1017848979">
              <w:marLeft w:val="0"/>
              <w:marRight w:val="0"/>
              <w:marTop w:val="0"/>
              <w:marBottom w:val="0"/>
              <w:divBdr>
                <w:top w:val="none" w:sz="0" w:space="0" w:color="auto"/>
                <w:left w:val="none" w:sz="0" w:space="0" w:color="auto"/>
                <w:bottom w:val="none" w:sz="0" w:space="0" w:color="auto"/>
                <w:right w:val="none" w:sz="0" w:space="0" w:color="auto"/>
              </w:divBdr>
            </w:div>
            <w:div w:id="928195389">
              <w:marLeft w:val="0"/>
              <w:marRight w:val="0"/>
              <w:marTop w:val="0"/>
              <w:marBottom w:val="0"/>
              <w:divBdr>
                <w:top w:val="none" w:sz="0" w:space="0" w:color="auto"/>
                <w:left w:val="none" w:sz="0" w:space="0" w:color="auto"/>
                <w:bottom w:val="none" w:sz="0" w:space="0" w:color="auto"/>
                <w:right w:val="none" w:sz="0" w:space="0" w:color="auto"/>
              </w:divBdr>
            </w:div>
          </w:divsChild>
        </w:div>
        <w:div w:id="323556299">
          <w:marLeft w:val="0"/>
          <w:marRight w:val="0"/>
          <w:marTop w:val="0"/>
          <w:marBottom w:val="0"/>
          <w:divBdr>
            <w:top w:val="none" w:sz="0" w:space="0" w:color="auto"/>
            <w:left w:val="none" w:sz="0" w:space="0" w:color="auto"/>
            <w:bottom w:val="none" w:sz="0" w:space="0" w:color="auto"/>
            <w:right w:val="none" w:sz="0" w:space="0" w:color="auto"/>
          </w:divBdr>
          <w:divsChild>
            <w:div w:id="453712440">
              <w:marLeft w:val="0"/>
              <w:marRight w:val="0"/>
              <w:marTop w:val="0"/>
              <w:marBottom w:val="0"/>
              <w:divBdr>
                <w:top w:val="none" w:sz="0" w:space="0" w:color="auto"/>
                <w:left w:val="none" w:sz="0" w:space="0" w:color="auto"/>
                <w:bottom w:val="none" w:sz="0" w:space="0" w:color="auto"/>
                <w:right w:val="none" w:sz="0" w:space="0" w:color="auto"/>
              </w:divBdr>
            </w:div>
            <w:div w:id="18202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0208">
      <w:bodyDiv w:val="1"/>
      <w:marLeft w:val="0"/>
      <w:marRight w:val="0"/>
      <w:marTop w:val="0"/>
      <w:marBottom w:val="0"/>
      <w:divBdr>
        <w:top w:val="none" w:sz="0" w:space="0" w:color="auto"/>
        <w:left w:val="none" w:sz="0" w:space="0" w:color="auto"/>
        <w:bottom w:val="none" w:sz="0" w:space="0" w:color="auto"/>
        <w:right w:val="none" w:sz="0" w:space="0" w:color="auto"/>
      </w:divBdr>
    </w:div>
    <w:div w:id="2104835175">
      <w:bodyDiv w:val="1"/>
      <w:marLeft w:val="0"/>
      <w:marRight w:val="0"/>
      <w:marTop w:val="0"/>
      <w:marBottom w:val="0"/>
      <w:divBdr>
        <w:top w:val="none" w:sz="0" w:space="0" w:color="auto"/>
        <w:left w:val="none" w:sz="0" w:space="0" w:color="auto"/>
        <w:bottom w:val="none" w:sz="0" w:space="0" w:color="auto"/>
        <w:right w:val="none" w:sz="0" w:space="0" w:color="auto"/>
      </w:divBdr>
    </w:div>
    <w:div w:id="2120831622">
      <w:bodyDiv w:val="1"/>
      <w:marLeft w:val="0"/>
      <w:marRight w:val="0"/>
      <w:marTop w:val="0"/>
      <w:marBottom w:val="0"/>
      <w:divBdr>
        <w:top w:val="none" w:sz="0" w:space="0" w:color="auto"/>
        <w:left w:val="none" w:sz="0" w:space="0" w:color="auto"/>
        <w:bottom w:val="none" w:sz="0" w:space="0" w:color="auto"/>
        <w:right w:val="none" w:sz="0" w:space="0" w:color="auto"/>
      </w:divBdr>
    </w:div>
    <w:div w:id="21235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limateknowledgeportal.worldbank.org/country/niger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02139-5B15-43C1-8699-39788CCE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5648</Words>
  <Characters>32198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37</cp:revision>
  <cp:lastPrinted>2023-12-04T15:29:00Z</cp:lastPrinted>
  <dcterms:created xsi:type="dcterms:W3CDTF">2025-06-28T07:28:00Z</dcterms:created>
  <dcterms:modified xsi:type="dcterms:W3CDTF">2025-07-28T07:56:00Z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fa1b1096-34d9-4dd6-829f-3b1da2e6e644</vt:lpwstr>
  </property>
</Properties>
</file>