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2FCDA" w14:textId="77777777" w:rsidR="003307A2" w:rsidRPr="003307A2" w:rsidRDefault="003307A2" w:rsidP="003307A2">
      <w:pPr>
        <w:pStyle w:val="Title"/>
        <w:jc w:val="both"/>
        <w:rPr>
          <w:rFonts w:ascii="Arial" w:hAnsi="Arial" w:cs="Arial"/>
          <w:bCs/>
          <w:i/>
          <w:iCs/>
          <w:u w:val="single"/>
        </w:rPr>
      </w:pPr>
      <w:r w:rsidRPr="003307A2">
        <w:rPr>
          <w:rFonts w:ascii="Arial" w:hAnsi="Arial" w:cs="Arial"/>
          <w:bCs/>
          <w:i/>
          <w:iCs/>
          <w:u w:val="single"/>
        </w:rPr>
        <w:t>Original Research Article</w:t>
      </w:r>
    </w:p>
    <w:p w14:paraId="0B99068C" w14:textId="77777777" w:rsidR="00754C9A" w:rsidRDefault="00754C9A" w:rsidP="00441B6F">
      <w:pPr>
        <w:pStyle w:val="Title"/>
        <w:spacing w:after="0"/>
        <w:jc w:val="both"/>
        <w:rPr>
          <w:rFonts w:ascii="Arial" w:hAnsi="Arial" w:cs="Arial"/>
        </w:rPr>
      </w:pPr>
    </w:p>
    <w:p w14:paraId="089CCFFA" w14:textId="77777777" w:rsidR="00163BC4" w:rsidRPr="00C30948" w:rsidRDefault="00401927" w:rsidP="00441B6F">
      <w:pPr>
        <w:pStyle w:val="Author"/>
        <w:spacing w:line="240" w:lineRule="auto"/>
        <w:rPr>
          <w:rFonts w:ascii="Arial" w:hAnsi="Arial" w:cs="Arial"/>
          <w:bCs/>
          <w:iCs/>
          <w:kern w:val="28"/>
          <w:sz w:val="36"/>
        </w:rPr>
      </w:pPr>
      <w:r w:rsidRPr="00C30948">
        <w:rPr>
          <w:rFonts w:ascii="Arial" w:hAnsi="Arial" w:cs="Arial"/>
          <w:bCs/>
          <w:iCs/>
          <w:kern w:val="28"/>
          <w:sz w:val="36"/>
        </w:rPr>
        <w:t>T</w:t>
      </w:r>
      <w:r w:rsidR="009615BA" w:rsidRPr="00C30948">
        <w:rPr>
          <w:rFonts w:ascii="Arial" w:hAnsi="Arial" w:cs="Arial"/>
          <w:bCs/>
          <w:iCs/>
          <w:kern w:val="28"/>
          <w:sz w:val="36"/>
        </w:rPr>
        <w:t>he Effect of Digital Technology on Micro Small Medium Enterprises’ Business Performance</w:t>
      </w:r>
    </w:p>
    <w:p w14:paraId="02E35642" w14:textId="77777777" w:rsidR="00A258C3" w:rsidRPr="00C30948" w:rsidRDefault="00A258C3" w:rsidP="00441B6F">
      <w:pPr>
        <w:pStyle w:val="Author"/>
        <w:spacing w:line="240" w:lineRule="auto"/>
        <w:jc w:val="both"/>
        <w:rPr>
          <w:rFonts w:ascii="Arial" w:hAnsi="Arial" w:cs="Arial"/>
          <w:sz w:val="36"/>
        </w:rPr>
      </w:pPr>
    </w:p>
    <w:p w14:paraId="6E8B284E" w14:textId="77777777" w:rsidR="00B26395" w:rsidRPr="00C30948" w:rsidRDefault="00B26395" w:rsidP="00441B6F">
      <w:pPr>
        <w:pStyle w:val="Affiliation"/>
        <w:spacing w:after="0" w:line="240" w:lineRule="auto"/>
        <w:jc w:val="both"/>
        <w:rPr>
          <w:rFonts w:ascii="Arial" w:hAnsi="Arial" w:cs="Arial"/>
        </w:rPr>
      </w:pPr>
    </w:p>
    <w:p w14:paraId="60E98F97" w14:textId="77777777" w:rsidR="002C57D2" w:rsidRPr="00C30948" w:rsidRDefault="002C57D2" w:rsidP="00441B6F">
      <w:pPr>
        <w:pStyle w:val="Affiliation"/>
        <w:spacing w:after="0" w:line="240" w:lineRule="auto"/>
        <w:jc w:val="both"/>
        <w:rPr>
          <w:rFonts w:ascii="Arial" w:hAnsi="Arial" w:cs="Arial"/>
        </w:rPr>
      </w:pPr>
    </w:p>
    <w:p w14:paraId="7B368478" w14:textId="77777777" w:rsidR="00B01FCD" w:rsidRPr="00C30948" w:rsidRDefault="006518E9" w:rsidP="00441B6F">
      <w:pPr>
        <w:pStyle w:val="Copyright"/>
        <w:spacing w:after="0" w:line="240" w:lineRule="auto"/>
        <w:jc w:val="both"/>
        <w:rPr>
          <w:rFonts w:ascii="Arial" w:hAnsi="Arial" w:cs="Arial"/>
        </w:rPr>
        <w:sectPr w:rsidR="00B01FCD" w:rsidRPr="00C30948" w:rsidSect="003148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2F83618">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C30948">
        <w:rPr>
          <w:rFonts w:ascii="Arial" w:hAnsi="Arial" w:cs="Arial"/>
        </w:rPr>
        <w:t>.</w:t>
      </w:r>
    </w:p>
    <w:p w14:paraId="7584F005" w14:textId="77777777" w:rsidR="00B01FCD" w:rsidRPr="00C30948" w:rsidRDefault="00B01FCD" w:rsidP="00441B6F">
      <w:pPr>
        <w:pStyle w:val="AbstHead"/>
        <w:spacing w:after="0"/>
        <w:jc w:val="both"/>
        <w:rPr>
          <w:rFonts w:ascii="Arial" w:hAnsi="Arial" w:cs="Arial"/>
        </w:rPr>
      </w:pPr>
      <w:r w:rsidRPr="00C30948">
        <w:rPr>
          <w:rFonts w:ascii="Arial" w:hAnsi="Arial" w:cs="Arial"/>
        </w:rPr>
        <w:t>ABSTRACT</w:t>
      </w:r>
    </w:p>
    <w:p w14:paraId="07F8D68C" w14:textId="77777777" w:rsidR="00790ADA" w:rsidRPr="00C3094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30948" w14:paraId="18B5EED9" w14:textId="77777777" w:rsidTr="001E44FE">
        <w:tc>
          <w:tcPr>
            <w:tcW w:w="9576" w:type="dxa"/>
            <w:shd w:val="clear" w:color="auto" w:fill="F2F2F2"/>
          </w:tcPr>
          <w:p w14:paraId="704B6D88" w14:textId="77777777" w:rsidR="00505F06" w:rsidRPr="00C30948" w:rsidRDefault="009615BA" w:rsidP="009615BA">
            <w:pPr>
              <w:pStyle w:val="NormalWeb"/>
              <w:jc w:val="both"/>
              <w:rPr>
                <w:sz w:val="20"/>
                <w:szCs w:val="20"/>
              </w:rPr>
            </w:pPr>
            <w:r w:rsidRPr="00C30948">
              <w:rPr>
                <w:rFonts w:ascii="ArialMT" w:hAnsi="ArialMT"/>
                <w:sz w:val="20"/>
                <w:szCs w:val="20"/>
              </w:rPr>
              <w:t xml:space="preserve">Micro, Small, and Medium Enterprises (MSMEs) play a vital role in economic development, and digital technology has emerged as a critical factor in enhancing their business performance. This study explored how digital technology, particularly online transactions and technology acceptance and use, predicts MSME business performance. Using a quantitative approach, data were collected from 322 MSMEs through a structured survey. Statistical analyses, including correlation and multiple regression, were conducted to determine the relationships between the independent variables and business performance. Findings indicated that MSMEs perceive online transactions as significant, particularly in technology, people, product and process. The study also revealed that MSMEs rated online transactions as significant, technology acceptance and use as partially accepted, and business performance as good. Correlation analysis shows strong positive relationships between online transactions and technology acceptance with business performance. Multiple regression results confirm that both factors significantly predict business performance, with technology acceptance and use showing a stronger effect. These findings highlight the importance of digital transformation in improving revenue and growth of employees. The finding of the study suggests that MSMEs may invest in digital infrastructure, enhance digital literacy, and adopt strategic policies for sustainable growth in the digital economy. Future research may explore additional external factors influencing MSME performance in an evolving technological landscape. </w:t>
            </w:r>
          </w:p>
        </w:tc>
      </w:tr>
    </w:tbl>
    <w:p w14:paraId="1698B8CD" w14:textId="77777777" w:rsidR="00505F06" w:rsidRPr="00C30948" w:rsidRDefault="00A24E7E" w:rsidP="008A5E2C">
      <w:pPr>
        <w:pStyle w:val="NormalWeb"/>
        <w:jc w:val="both"/>
        <w:rPr>
          <w:rFonts w:ascii="Arial" w:hAnsi="Arial" w:cs="Arial"/>
          <w:i/>
          <w:iCs/>
          <w:sz w:val="20"/>
          <w:szCs w:val="20"/>
        </w:rPr>
      </w:pPr>
      <w:r w:rsidRPr="00C30948">
        <w:rPr>
          <w:rFonts w:ascii="Arial" w:hAnsi="Arial" w:cs="Arial"/>
          <w:i/>
          <w:sz w:val="20"/>
          <w:szCs w:val="20"/>
        </w:rPr>
        <w:t xml:space="preserve">Keywords: </w:t>
      </w:r>
      <w:r w:rsidR="00204CF0" w:rsidRPr="00C30948">
        <w:rPr>
          <w:rFonts w:ascii="Arial" w:hAnsi="Arial" w:cs="Arial"/>
          <w:i/>
          <w:iCs/>
          <w:sz w:val="20"/>
          <w:szCs w:val="20"/>
        </w:rPr>
        <w:t>M</w:t>
      </w:r>
      <w:r w:rsidR="001C5139" w:rsidRPr="00C30948">
        <w:rPr>
          <w:rFonts w:ascii="Arial" w:hAnsi="Arial" w:cs="Arial"/>
          <w:i/>
          <w:iCs/>
          <w:sz w:val="20"/>
          <w:szCs w:val="20"/>
        </w:rPr>
        <w:t>icro small and medium enterprises</w:t>
      </w:r>
      <w:r w:rsidR="005A2D5A" w:rsidRPr="00C30948">
        <w:rPr>
          <w:rFonts w:ascii="Arial" w:hAnsi="Arial" w:cs="Arial"/>
          <w:i/>
          <w:iCs/>
          <w:sz w:val="20"/>
          <w:szCs w:val="20"/>
        </w:rPr>
        <w:t>;</w:t>
      </w:r>
      <w:r w:rsidR="001C5139" w:rsidRPr="00C30948">
        <w:rPr>
          <w:rFonts w:ascii="Arial" w:hAnsi="Arial" w:cs="Arial"/>
          <w:i/>
          <w:iCs/>
          <w:sz w:val="20"/>
          <w:szCs w:val="20"/>
        </w:rPr>
        <w:t xml:space="preserve"> digital technology</w:t>
      </w:r>
      <w:r w:rsidR="005A2D5A" w:rsidRPr="00C30948">
        <w:rPr>
          <w:rFonts w:ascii="Arial" w:hAnsi="Arial" w:cs="Arial"/>
          <w:i/>
          <w:iCs/>
          <w:sz w:val="20"/>
          <w:szCs w:val="20"/>
        </w:rPr>
        <w:t>;</w:t>
      </w:r>
      <w:r w:rsidR="001C5139" w:rsidRPr="00C30948">
        <w:rPr>
          <w:rFonts w:ascii="Arial" w:hAnsi="Arial" w:cs="Arial"/>
          <w:i/>
          <w:iCs/>
          <w:sz w:val="20"/>
          <w:szCs w:val="20"/>
        </w:rPr>
        <w:t xml:space="preserve"> online transactions</w:t>
      </w:r>
      <w:r w:rsidR="005A2D5A" w:rsidRPr="00C30948">
        <w:rPr>
          <w:rFonts w:ascii="Arial" w:hAnsi="Arial" w:cs="Arial"/>
          <w:i/>
          <w:iCs/>
          <w:sz w:val="20"/>
          <w:szCs w:val="20"/>
        </w:rPr>
        <w:t xml:space="preserve">; </w:t>
      </w:r>
      <w:r w:rsidR="00204CF0" w:rsidRPr="00C30948">
        <w:rPr>
          <w:rFonts w:ascii="Arial" w:hAnsi="Arial" w:cs="Arial"/>
          <w:i/>
          <w:iCs/>
          <w:sz w:val="20"/>
          <w:szCs w:val="20"/>
        </w:rPr>
        <w:t xml:space="preserve">  </w:t>
      </w:r>
      <w:r w:rsidR="001C5139" w:rsidRPr="00C30948">
        <w:rPr>
          <w:rFonts w:ascii="Arial" w:hAnsi="Arial" w:cs="Arial"/>
          <w:i/>
          <w:iCs/>
          <w:sz w:val="20"/>
          <w:szCs w:val="20"/>
        </w:rPr>
        <w:t>technology acceptance and use</w:t>
      </w:r>
      <w:r w:rsidR="005A2D5A" w:rsidRPr="00C30948">
        <w:rPr>
          <w:rFonts w:ascii="Arial" w:hAnsi="Arial" w:cs="Arial"/>
          <w:i/>
          <w:iCs/>
          <w:sz w:val="20"/>
          <w:szCs w:val="20"/>
        </w:rPr>
        <w:t>;</w:t>
      </w:r>
      <w:r w:rsidR="001C5139" w:rsidRPr="00C30948">
        <w:rPr>
          <w:rFonts w:ascii="Arial" w:hAnsi="Arial" w:cs="Arial"/>
          <w:i/>
          <w:iCs/>
          <w:sz w:val="20"/>
          <w:szCs w:val="20"/>
        </w:rPr>
        <w:t xml:space="preserve"> business performance</w:t>
      </w:r>
      <w:r w:rsidR="00204CF0" w:rsidRPr="00C30948">
        <w:rPr>
          <w:rFonts w:ascii="ArialMT" w:hAnsi="ArialMT"/>
          <w:sz w:val="20"/>
          <w:szCs w:val="20"/>
        </w:rPr>
        <w:t>.</w:t>
      </w:r>
    </w:p>
    <w:p w14:paraId="7BF64C43" w14:textId="77777777" w:rsidR="00790ADA" w:rsidRPr="00C30948" w:rsidRDefault="00902823" w:rsidP="00441B6F">
      <w:pPr>
        <w:pStyle w:val="AbstHead"/>
        <w:spacing w:after="0"/>
        <w:jc w:val="both"/>
        <w:rPr>
          <w:rFonts w:ascii="Arial" w:hAnsi="Arial" w:cs="Arial"/>
        </w:rPr>
      </w:pPr>
      <w:r w:rsidRPr="00C30948">
        <w:rPr>
          <w:rFonts w:ascii="Arial" w:hAnsi="Arial" w:cs="Arial"/>
        </w:rPr>
        <w:t xml:space="preserve">1. </w:t>
      </w:r>
      <w:r w:rsidR="00B01FCD" w:rsidRPr="00C30948">
        <w:rPr>
          <w:rFonts w:ascii="Arial" w:hAnsi="Arial" w:cs="Arial"/>
        </w:rPr>
        <w:t>INTRODUCTION</w:t>
      </w:r>
    </w:p>
    <w:p w14:paraId="32D8A498" w14:textId="77777777" w:rsidR="00A23C90" w:rsidRPr="00C30948" w:rsidRDefault="00A23C90" w:rsidP="00441B6F">
      <w:pPr>
        <w:pStyle w:val="AbstHead"/>
        <w:spacing w:after="0"/>
        <w:jc w:val="both"/>
        <w:rPr>
          <w:rFonts w:ascii="Arial" w:hAnsi="Arial" w:cs="Arial"/>
        </w:rPr>
      </w:pPr>
    </w:p>
    <w:p w14:paraId="3C2F379B" w14:textId="77777777" w:rsidR="005A2D5A" w:rsidRPr="00C30948" w:rsidRDefault="005A2D5A" w:rsidP="005A2D5A">
      <w:pPr>
        <w:pStyle w:val="Body"/>
        <w:rPr>
          <w:rFonts w:ascii="Arial" w:hAnsi="Arial" w:cs="Arial"/>
        </w:rPr>
      </w:pPr>
      <w:r w:rsidRPr="00C30948">
        <w:rPr>
          <w:rFonts w:ascii="Arial" w:hAnsi="Arial" w:cs="Arial"/>
        </w:rPr>
        <w:t>Micro, Small, and Medium Enterprises (MSMEs) are the fundamental backbone of the Philippine economy, constituting over 99% of all businesses and providing 63% of the nation's employment. These enterprises, ranging from micro (1–9 employees) to medium (100–199 employees), drive competition and efficiency across industries, significantly shaping economic growth. However, their expansion is often hampered by significant challenges including limited access to finance, underdeveloped infrastructure, and low investment in research and development (Philippine Institute for Development Studies, 2021).</w:t>
      </w:r>
    </w:p>
    <w:p w14:paraId="7A750DB9" w14:textId="77777777" w:rsidR="005A2D5A" w:rsidRPr="00C30948" w:rsidRDefault="005A2D5A" w:rsidP="005A2D5A">
      <w:pPr>
        <w:pStyle w:val="Body"/>
        <w:rPr>
          <w:rFonts w:ascii="Arial" w:hAnsi="Arial" w:cs="Arial"/>
        </w:rPr>
      </w:pPr>
      <w:r w:rsidRPr="00C30948">
        <w:rPr>
          <w:rFonts w:ascii="Arial" w:hAnsi="Arial" w:cs="Arial"/>
        </w:rPr>
        <w:t xml:space="preserve">The digital transformation of these enterprises presents a powerful solution to these obstacles. The adoption of digital tools—such as e-commerce platforms, digital payments, and social media marketing—can streamline operations, reduce costs, and open access to </w:t>
      </w:r>
      <w:r w:rsidRPr="00C30948">
        <w:rPr>
          <w:rFonts w:ascii="Arial" w:hAnsi="Arial" w:cs="Arial"/>
        </w:rPr>
        <w:lastRenderedPageBreak/>
        <w:t>larger markets (</w:t>
      </w:r>
      <w:proofErr w:type="spellStart"/>
      <w:r w:rsidRPr="00C30948">
        <w:rPr>
          <w:rFonts w:ascii="Arial" w:hAnsi="Arial" w:cs="Arial"/>
        </w:rPr>
        <w:t>Bughin</w:t>
      </w:r>
      <w:proofErr w:type="spellEnd"/>
      <w:r w:rsidRPr="00C30948">
        <w:rPr>
          <w:rFonts w:ascii="Arial" w:hAnsi="Arial" w:cs="Arial"/>
        </w:rPr>
        <w:t xml:space="preserve"> et al.; 2018). While this shift offers immense opportunities for improved efficiency and competitiveness, MSMEs face unique barriers to adoption, including limited resources, a lack of technical expertise, and resistance to change. Understanding this dynamic is crucial for developing strategies to help Philippine MSMEs thrive in the digital age (Westerman et al., 2014; Schwab, 2016; Hess et al., 2016). </w:t>
      </w:r>
    </w:p>
    <w:p w14:paraId="779C58EE" w14:textId="77777777" w:rsidR="005A2D5A" w:rsidRPr="00C30948" w:rsidRDefault="005A2D5A" w:rsidP="005A2D5A">
      <w:pPr>
        <w:pStyle w:val="Body"/>
        <w:rPr>
          <w:rFonts w:ascii="Arial" w:hAnsi="Arial" w:cs="Arial"/>
        </w:rPr>
      </w:pPr>
      <w:r w:rsidRPr="00C30948">
        <w:rPr>
          <w:rFonts w:ascii="Arial" w:hAnsi="Arial" w:cs="Arial"/>
        </w:rPr>
        <w:t xml:space="preserve">Theoretical frameworks such as Schumpeter’s Theory of Creative Destruction and the Unified Theory of Acceptance and Use of Technology (UTAUT) highlight how innovation and technology adoption can drive competitiveness and sustainability. While large companies often have the resources to harness these benefits, MSMEs in the Philippines require stronger support from government initiatives, training, and infrastructure to fully embrace digital transformation. </w:t>
      </w:r>
    </w:p>
    <w:p w14:paraId="440CA3DD" w14:textId="77777777" w:rsidR="005A2D5A" w:rsidRPr="00C30948" w:rsidRDefault="005A2D5A" w:rsidP="005A2D5A">
      <w:pPr>
        <w:pStyle w:val="Body"/>
        <w:rPr>
          <w:rFonts w:ascii="Arial" w:hAnsi="Arial" w:cs="Arial"/>
        </w:rPr>
      </w:pPr>
      <w:r w:rsidRPr="00C30948">
        <w:rPr>
          <w:rFonts w:ascii="Arial" w:hAnsi="Arial" w:cs="Arial"/>
        </w:rPr>
        <w:t>This research aims to investigate how digital technology impacts the business performance of Micro, Small, and Medium Enterprises (MSMEs) in Cagayan de Oro City's food and beverage sector. The study will specifically analyze how these businesses assess their use of online transactions (in terms of technology, people, product, and process) and their acceptance of technology (based on performance expectancy, effort expectancy, social influence, and facilitating conditions). It then seeks to determine if significant relationships exist between these factors and two key measures of business performance—revenue and employment growth—and to identify which variables are the strongest predictors of success.</w:t>
      </w:r>
    </w:p>
    <w:p w14:paraId="33F72370" w14:textId="77777777" w:rsidR="00790ADA" w:rsidRPr="00C30948" w:rsidRDefault="005A2D5A" w:rsidP="005A2D5A">
      <w:pPr>
        <w:pStyle w:val="Body"/>
        <w:spacing w:after="0"/>
        <w:rPr>
          <w:rFonts w:ascii="Arial" w:hAnsi="Arial" w:cs="Arial"/>
        </w:rPr>
      </w:pPr>
      <w:r w:rsidRPr="00C30948">
        <w:rPr>
          <w:rFonts w:ascii="Arial" w:hAnsi="Arial" w:cs="Arial"/>
        </w:rPr>
        <w:t>The findings of this study are intended to be highly beneficial, providing a framework to help MSMEs themselves improve their digital adoption and operations. The results will also offer valuable insights for the Department of Trade and Industry (DTI) to shape targeted support policies and for future researchers to build upon. Ultimately, by understanding the link between digital tools and performance, the research seeks to foster a more resilient and competitive MSME sector, which drives local economic growth, job creation, and community development.</w:t>
      </w:r>
    </w:p>
    <w:p w14:paraId="2B174479" w14:textId="77777777" w:rsidR="00204CF0" w:rsidRPr="00C30948" w:rsidRDefault="00204CF0" w:rsidP="005A2D5A">
      <w:pPr>
        <w:pStyle w:val="Body"/>
        <w:spacing w:after="0"/>
        <w:rPr>
          <w:rFonts w:ascii="Arial" w:hAnsi="Arial" w:cs="Arial"/>
        </w:rPr>
      </w:pPr>
    </w:p>
    <w:p w14:paraId="36AAA60E" w14:textId="77777777" w:rsidR="007F7B32" w:rsidRPr="00C30948" w:rsidRDefault="00902823" w:rsidP="00441B6F">
      <w:pPr>
        <w:pStyle w:val="AbstHead"/>
        <w:spacing w:after="0"/>
        <w:jc w:val="both"/>
        <w:rPr>
          <w:rFonts w:ascii="Arial" w:hAnsi="Arial" w:cs="Arial"/>
        </w:rPr>
      </w:pPr>
      <w:r w:rsidRPr="00C30948">
        <w:rPr>
          <w:rFonts w:ascii="Arial" w:hAnsi="Arial" w:cs="Arial"/>
        </w:rPr>
        <w:t xml:space="preserve">2. </w:t>
      </w:r>
      <w:r w:rsidR="006B57D0" w:rsidRPr="00C30948">
        <w:rPr>
          <w:rFonts w:ascii="Arial" w:hAnsi="Arial" w:cs="Arial"/>
        </w:rPr>
        <w:t>methodology</w:t>
      </w:r>
      <w:r w:rsidR="007F7B32" w:rsidRPr="00C30948">
        <w:rPr>
          <w:rFonts w:ascii="Arial" w:hAnsi="Arial" w:cs="Arial"/>
        </w:rPr>
        <w:t xml:space="preserve"> </w:t>
      </w:r>
    </w:p>
    <w:p w14:paraId="4BB14798" w14:textId="77777777" w:rsidR="00790ADA" w:rsidRPr="00C30948" w:rsidRDefault="00790ADA" w:rsidP="00441B6F">
      <w:pPr>
        <w:pStyle w:val="AbstHead"/>
        <w:spacing w:after="0"/>
        <w:jc w:val="both"/>
        <w:rPr>
          <w:rFonts w:ascii="Arial" w:hAnsi="Arial" w:cs="Arial"/>
        </w:rPr>
      </w:pPr>
    </w:p>
    <w:p w14:paraId="6B146A42"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2.1 Research Design </w:t>
      </w:r>
    </w:p>
    <w:p w14:paraId="093D503B" w14:textId="77777777" w:rsidR="008A5E2C" w:rsidRPr="00C30948" w:rsidRDefault="008A5E2C" w:rsidP="008A5E2C">
      <w:pPr>
        <w:pStyle w:val="Body"/>
        <w:rPr>
          <w:rFonts w:ascii="Arial" w:hAnsi="Arial" w:cs="Arial"/>
        </w:rPr>
      </w:pPr>
      <w:r w:rsidRPr="00C30948">
        <w:rPr>
          <w:rFonts w:ascii="Arial" w:hAnsi="Arial" w:cs="Arial"/>
        </w:rPr>
        <w:t>This study used a causal and descriptive correlational research design. By statistical analysis, a descriptive correlational study methodology was applied to find and characterize factors and their interactions with other variables. This method let the researcher investigate the conditions and experiences of the participants (</w:t>
      </w:r>
      <w:proofErr w:type="spellStart"/>
      <w:r w:rsidRPr="00C30948">
        <w:rPr>
          <w:rFonts w:ascii="Arial" w:hAnsi="Arial" w:cs="Arial"/>
        </w:rPr>
        <w:t>Stangor</w:t>
      </w:r>
      <w:proofErr w:type="spellEnd"/>
      <w:r w:rsidRPr="00C30948">
        <w:rPr>
          <w:rFonts w:ascii="Arial" w:hAnsi="Arial" w:cs="Arial"/>
        </w:rPr>
        <w:t xml:space="preserve"> &amp; </w:t>
      </w:r>
      <w:proofErr w:type="spellStart"/>
      <w:r w:rsidRPr="00C30948">
        <w:rPr>
          <w:rFonts w:ascii="Arial" w:hAnsi="Arial" w:cs="Arial"/>
        </w:rPr>
        <w:t>Walinga</w:t>
      </w:r>
      <w:proofErr w:type="spellEnd"/>
      <w:r w:rsidRPr="00C30948">
        <w:rPr>
          <w:rFonts w:ascii="Arial" w:hAnsi="Arial" w:cs="Arial"/>
        </w:rPr>
        <w:t>, 2021). The causal research design aimed to evaluate the strength of the links between the variables and identify which one affected the dependent variable. It also aimed to pinpoint the independent factors most significantly connected to the dependent variable (Singh, 2020). In order to find the best predictor of the results, a quantitative method was also used to assess the factors (Creswell, 2009).</w:t>
      </w:r>
    </w:p>
    <w:p w14:paraId="103B8A6E"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2.2 Research Environment </w:t>
      </w:r>
    </w:p>
    <w:p w14:paraId="573A4AC4" w14:textId="77777777" w:rsidR="008A5E2C" w:rsidRPr="00C30948" w:rsidRDefault="008A5E2C" w:rsidP="008A5E2C">
      <w:pPr>
        <w:pStyle w:val="Body"/>
        <w:rPr>
          <w:rFonts w:ascii="Arial" w:hAnsi="Arial" w:cs="Arial"/>
        </w:rPr>
      </w:pPr>
      <w:r w:rsidRPr="00C30948">
        <w:rPr>
          <w:rFonts w:ascii="Arial" w:hAnsi="Arial" w:cs="Arial"/>
        </w:rPr>
        <w:t>This research was conducted in Cagayan de Oro City, a major metropolitan hub in the Philippines, chosen for its dynamic blend of traditional and modern businesses and its ongoing digital transformation. This environment provided an ideal setting to examine how the acceptance and use of technology influences business performance.</w:t>
      </w:r>
    </w:p>
    <w:p w14:paraId="725332DE" w14:textId="77777777" w:rsidR="008A5E2C" w:rsidRPr="00C30948" w:rsidRDefault="008A5E2C" w:rsidP="008A5E2C">
      <w:pPr>
        <w:pStyle w:val="Body"/>
        <w:rPr>
          <w:rFonts w:ascii="Arial" w:hAnsi="Arial" w:cs="Arial"/>
        </w:rPr>
      </w:pPr>
      <w:r w:rsidRPr="00C30948">
        <w:rPr>
          <w:rFonts w:ascii="Arial" w:hAnsi="Arial" w:cs="Arial"/>
        </w:rPr>
        <w:t xml:space="preserve">The city's economic landscape is overwhelmingly shaped by Micro, Small, and Medium Enterprises (MSMEs), which constitute over 99% of its 27,598 registered businesses. These </w:t>
      </w:r>
      <w:r w:rsidRPr="00C30948">
        <w:rPr>
          <w:rFonts w:ascii="Arial" w:hAnsi="Arial" w:cs="Arial"/>
        </w:rPr>
        <w:lastRenderedPageBreak/>
        <w:t>enterprises are the backbone of the local economy, employing 89% of the city's workforce (104,655 people) across various sectors and generating over PHP 52 billion in total sales.</w:t>
      </w:r>
    </w:p>
    <w:p w14:paraId="7CD35D8A"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2.3 Respondents and Sampling Procedure </w:t>
      </w:r>
    </w:p>
    <w:p w14:paraId="53B870BE" w14:textId="77777777" w:rsidR="008A5E2C" w:rsidRPr="00C30948" w:rsidRDefault="008A5E2C" w:rsidP="008A5E2C">
      <w:pPr>
        <w:pStyle w:val="Body"/>
        <w:rPr>
          <w:rFonts w:ascii="Arial" w:hAnsi="Arial" w:cs="Arial"/>
        </w:rPr>
      </w:pPr>
      <w:r w:rsidRPr="00C30948">
        <w:rPr>
          <w:rFonts w:ascii="Arial" w:hAnsi="Arial" w:cs="Arial"/>
        </w:rPr>
        <w:t>This study focused on owners or managers of food and beverage Micro, Small, and Medium Enterprises (MSMEs) in Cagayan de Oro City who were knowledgeable about using digital technology tools. Eligible respondents had to be at least 18 years old, operate a registered business from the city's 2022 official list, and be capable of participating. Those unwilling to consent or unable to respond were excluded.</w:t>
      </w:r>
    </w:p>
    <w:p w14:paraId="65C9FB5E" w14:textId="77777777" w:rsidR="008A5E2C" w:rsidRPr="00C30948" w:rsidRDefault="008A5E2C" w:rsidP="008A5E2C">
      <w:pPr>
        <w:pStyle w:val="Body"/>
        <w:rPr>
          <w:rFonts w:ascii="Arial" w:hAnsi="Arial" w:cs="Arial"/>
        </w:rPr>
      </w:pPr>
      <w:r w:rsidRPr="00C30948">
        <w:rPr>
          <w:rFonts w:ascii="Arial" w:hAnsi="Arial" w:cs="Arial"/>
        </w:rPr>
        <w:t>To ensure a representative sample, the researchers used simple random sampling, giving every eligible business an equal chance of being selected. The specific sample size was calculated using Cochran's formula to achieve statistical accuracy and reliability for the population. The final analysis was conducted on a sample of 322 complete and valid responses to ensure the reliability and accuracy of the study's findings.</w:t>
      </w:r>
    </w:p>
    <w:p w14:paraId="10BD36E5"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 xml:space="preserve">2.4 Research Instrument </w:t>
      </w:r>
    </w:p>
    <w:p w14:paraId="45EF9854" w14:textId="77777777" w:rsidR="008A5E2C" w:rsidRPr="00C30948" w:rsidRDefault="008A5E2C" w:rsidP="008A5E2C">
      <w:pPr>
        <w:pStyle w:val="Body"/>
        <w:rPr>
          <w:rFonts w:ascii="Arial" w:hAnsi="Arial" w:cs="Arial"/>
        </w:rPr>
      </w:pPr>
      <w:r w:rsidRPr="00C30948">
        <w:rPr>
          <w:rFonts w:ascii="Arial" w:hAnsi="Arial" w:cs="Arial"/>
        </w:rPr>
        <w:t xml:space="preserve">The study used a carefully designed data-gathering instrument that combined established frameworks to evaluate both digital technology use and business performance. It integrated the Department of Trade and Industry's (DTI) MSME Toolkit with the Unified Theory of Acceptance and Use of Technology (UTAUT) as outlined by Venkatesh, Morris, Davis, and Davis (2003), to assess factors influencing technology adoption. Furthermore, to quantity business performance, a research instrument from Jesus and Villanueva (2022) and Habib, Sheikh, and Nabi (2018) was adapted. </w:t>
      </w:r>
    </w:p>
    <w:p w14:paraId="13B39DA5" w14:textId="77777777" w:rsidR="008A5E2C" w:rsidRPr="00C30948" w:rsidRDefault="008A5E2C" w:rsidP="008A5E2C">
      <w:pPr>
        <w:pStyle w:val="Body"/>
        <w:rPr>
          <w:rFonts w:ascii="Arial" w:hAnsi="Arial" w:cs="Arial"/>
        </w:rPr>
      </w:pPr>
      <w:r w:rsidRPr="00C30948">
        <w:rPr>
          <w:rFonts w:ascii="Arial" w:hAnsi="Arial" w:cs="Arial"/>
        </w:rPr>
        <w:t>To ensure accuracy, the instruments underwent a rigorous validation process. They were reviewed by academic and industry experts and then pilot-tested with 30 local food and beverage MSMEs. The pilot test results, which showed a high reliability, with a Cronbach’s alpha of 0.927, indicated the instruments were consistent but also revealed a need for revisions before the final data collection.</w:t>
      </w:r>
    </w:p>
    <w:p w14:paraId="6CB36F39" w14:textId="77777777" w:rsidR="008A5E2C" w:rsidRPr="00C30948" w:rsidRDefault="008A5E2C" w:rsidP="008A5E2C">
      <w:pPr>
        <w:pStyle w:val="Body"/>
        <w:jc w:val="left"/>
        <w:rPr>
          <w:rFonts w:ascii="Arial" w:hAnsi="Arial" w:cs="Arial"/>
          <w:b/>
          <w:bCs/>
        </w:rPr>
      </w:pPr>
      <w:r w:rsidRPr="00C30948">
        <w:rPr>
          <w:rFonts w:ascii="Arial" w:hAnsi="Arial" w:cs="Arial"/>
          <w:b/>
          <w:bCs/>
        </w:rPr>
        <w:t>2</w:t>
      </w:r>
      <w:r w:rsidRPr="00C30948">
        <w:rPr>
          <w:rFonts w:ascii="Arial" w:hAnsi="Arial" w:cs="Arial"/>
          <w:b/>
          <w:bCs/>
          <w:sz w:val="22"/>
          <w:szCs w:val="22"/>
        </w:rPr>
        <w:t>.5 Data Gathering Procedure</w:t>
      </w:r>
      <w:r w:rsidRPr="00C30948">
        <w:rPr>
          <w:rFonts w:ascii="Arial" w:hAnsi="Arial" w:cs="Arial"/>
          <w:b/>
          <w:bCs/>
        </w:rPr>
        <w:t xml:space="preserve"> </w:t>
      </w:r>
    </w:p>
    <w:p w14:paraId="3ABEC4F5" w14:textId="77777777" w:rsidR="008A5E2C" w:rsidRPr="00C30948" w:rsidRDefault="008A5E2C" w:rsidP="008A5E2C">
      <w:pPr>
        <w:pStyle w:val="Body"/>
        <w:rPr>
          <w:rFonts w:ascii="Arial" w:hAnsi="Arial" w:cs="Arial"/>
        </w:rPr>
      </w:pPr>
      <w:r w:rsidRPr="00C30948">
        <w:rPr>
          <w:rFonts w:ascii="Arial" w:hAnsi="Arial" w:cs="Arial"/>
        </w:rPr>
        <w:t>The researcher gathered a list of registered micro-businesses from the local government's Business Permit and Licensing Office (BPLO) to identify the study population. Participants were then randomly selected from this list. Recruitment was conducted through personal and online invitations to accessible business owners. Data was collected using two methods: an online questionnaire sent via Google Forms and direct messaging, and physical questionnaires for in-person participants. All participants received an Informed Consent Form, and completed surveys were sent directly to the researcher to ensure privacy. Finally, the collected data was exported to statistical software for analysis.</w:t>
      </w:r>
    </w:p>
    <w:p w14:paraId="4396D088" w14:textId="77777777" w:rsidR="008A5E2C" w:rsidRPr="00C30948" w:rsidRDefault="008A5E2C" w:rsidP="008A5E2C">
      <w:pPr>
        <w:pStyle w:val="Body"/>
        <w:jc w:val="left"/>
        <w:rPr>
          <w:rFonts w:ascii="Arial" w:hAnsi="Arial" w:cs="Arial"/>
          <w:b/>
          <w:bCs/>
          <w:sz w:val="22"/>
          <w:szCs w:val="22"/>
        </w:rPr>
      </w:pPr>
      <w:r w:rsidRPr="00C30948">
        <w:rPr>
          <w:rFonts w:ascii="Arial" w:hAnsi="Arial" w:cs="Arial"/>
          <w:b/>
          <w:bCs/>
          <w:sz w:val="22"/>
          <w:szCs w:val="22"/>
        </w:rPr>
        <w:t>2.6 Statistical Treatment of the Data</w:t>
      </w:r>
    </w:p>
    <w:p w14:paraId="0BCACFF8" w14:textId="77777777" w:rsidR="00A03B96" w:rsidRPr="00C30948" w:rsidRDefault="008A5E2C" w:rsidP="008A5E2C">
      <w:pPr>
        <w:pStyle w:val="Body"/>
        <w:spacing w:after="0"/>
        <w:rPr>
          <w:rFonts w:ascii="Arial" w:hAnsi="Arial" w:cs="Arial"/>
        </w:rPr>
      </w:pPr>
      <w:r w:rsidRPr="00C30948">
        <w:rPr>
          <w:rFonts w:ascii="Arial" w:hAnsi="Arial" w:cs="Arial"/>
        </w:rPr>
        <w:t>The researchers used statistical software to analyze the data. They employed descriptive statistics (like mean and standard deviation) to summarize the data for the first three research problems. To identify relationships between variables like online transactions and business performance, they used Pearson’s correlation. For the final problem, which aimed to predict business performance, they used multiple regression analysis.</w:t>
      </w:r>
    </w:p>
    <w:p w14:paraId="7E991968" w14:textId="77777777" w:rsidR="00790ADA" w:rsidRPr="00C30948" w:rsidRDefault="00790ADA" w:rsidP="00441B6F">
      <w:pPr>
        <w:pStyle w:val="Body"/>
        <w:spacing w:after="0"/>
        <w:rPr>
          <w:rFonts w:ascii="Arial" w:hAnsi="Arial" w:cs="Arial"/>
        </w:rPr>
      </w:pPr>
    </w:p>
    <w:p w14:paraId="5270B373" w14:textId="77777777" w:rsidR="00902823" w:rsidRPr="00C30948" w:rsidRDefault="00000F8F" w:rsidP="00441B6F">
      <w:pPr>
        <w:pStyle w:val="Head1"/>
        <w:spacing w:after="0"/>
        <w:jc w:val="both"/>
        <w:rPr>
          <w:rFonts w:ascii="Arial" w:hAnsi="Arial" w:cs="Arial"/>
        </w:rPr>
      </w:pPr>
      <w:r w:rsidRPr="00C30948">
        <w:rPr>
          <w:rFonts w:ascii="Arial" w:hAnsi="Arial" w:cs="Arial"/>
        </w:rPr>
        <w:lastRenderedPageBreak/>
        <w:t>3</w:t>
      </w:r>
      <w:r w:rsidR="00902823" w:rsidRPr="00C30948">
        <w:rPr>
          <w:rFonts w:ascii="Arial" w:hAnsi="Arial" w:cs="Arial"/>
        </w:rPr>
        <w:t xml:space="preserve">. </w:t>
      </w:r>
      <w:r w:rsidRPr="00C30948">
        <w:rPr>
          <w:rFonts w:ascii="Arial" w:hAnsi="Arial" w:cs="Arial"/>
        </w:rPr>
        <w:t>results and discussion</w:t>
      </w:r>
    </w:p>
    <w:p w14:paraId="48A1289B" w14:textId="77777777" w:rsidR="000B1CAA" w:rsidRPr="00C30948" w:rsidRDefault="000B1CAA" w:rsidP="000B1CAA">
      <w:pPr>
        <w:pStyle w:val="NoSpacing"/>
        <w:rPr>
          <w:rFonts w:ascii="Arial" w:hAnsi="Arial" w:cs="Arial"/>
          <w:b/>
          <w:bCs/>
          <w:sz w:val="22"/>
          <w:szCs w:val="22"/>
        </w:rPr>
      </w:pPr>
    </w:p>
    <w:p w14:paraId="699F9660" w14:textId="77777777" w:rsidR="000B1CAA" w:rsidRPr="00C30948" w:rsidRDefault="000B1CAA" w:rsidP="000B1CAA">
      <w:pPr>
        <w:pStyle w:val="NoSpacing"/>
        <w:rPr>
          <w:rFonts w:ascii="Arial" w:hAnsi="Arial" w:cs="Arial"/>
          <w:b/>
          <w:bCs/>
          <w:sz w:val="22"/>
          <w:szCs w:val="22"/>
        </w:rPr>
      </w:pPr>
      <w:r w:rsidRPr="00C30948">
        <w:rPr>
          <w:rFonts w:ascii="Arial" w:hAnsi="Arial" w:cs="Arial"/>
          <w:b/>
          <w:bCs/>
          <w:sz w:val="22"/>
          <w:szCs w:val="22"/>
        </w:rPr>
        <w:t>3.1 MSMEs Online Transactions</w:t>
      </w:r>
    </w:p>
    <w:p w14:paraId="2A58D970" w14:textId="77777777" w:rsidR="000B1CAA" w:rsidRPr="00C30948" w:rsidRDefault="000B1CAA" w:rsidP="000B1CAA">
      <w:pPr>
        <w:pStyle w:val="NoSpacing"/>
        <w:jc w:val="both"/>
        <w:rPr>
          <w:rFonts w:ascii="Arial" w:hAnsi="Arial" w:cs="Arial"/>
          <w:sz w:val="20"/>
          <w:szCs w:val="20"/>
        </w:rPr>
      </w:pPr>
    </w:p>
    <w:p w14:paraId="2D9A5B21"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 xml:space="preserve">As shown in Table 1, the results indicate that MSMEs recognize the importance of digital transformation across four key dimensions. </w:t>
      </w:r>
    </w:p>
    <w:p w14:paraId="15A6D8BB" w14:textId="77777777" w:rsidR="000B1CAA" w:rsidRPr="00C30948" w:rsidRDefault="000B1CAA" w:rsidP="000B1CAA">
      <w:pPr>
        <w:jc w:val="both"/>
        <w:rPr>
          <w:rFonts w:ascii="Arial" w:hAnsi="Arial" w:cs="Arial"/>
        </w:rPr>
      </w:pPr>
    </w:p>
    <w:p w14:paraId="3CD54C4F" w14:textId="77777777" w:rsidR="000B1CAA" w:rsidRPr="00C30948" w:rsidRDefault="000B1CAA" w:rsidP="000B1CAA">
      <w:pPr>
        <w:jc w:val="center"/>
        <w:rPr>
          <w:rFonts w:ascii="Arial" w:hAnsi="Arial" w:cs="Arial"/>
          <w:b/>
          <w:bCs/>
          <w:sz w:val="22"/>
          <w:szCs w:val="22"/>
        </w:rPr>
      </w:pPr>
      <w:r w:rsidRPr="00C30948">
        <w:rPr>
          <w:rFonts w:ascii="Arial" w:hAnsi="Arial" w:cs="Arial"/>
          <w:b/>
          <w:bCs/>
          <w:sz w:val="22"/>
          <w:szCs w:val="22"/>
        </w:rPr>
        <w:t>Table 1. Mean and Standard Deviation of Online Transactions</w:t>
      </w:r>
    </w:p>
    <w:tbl>
      <w:tblPr>
        <w:tblStyle w:val="PlainTable2"/>
        <w:tblpPr w:leftFromText="180" w:rightFromText="180" w:vertAnchor="text" w:horzAnchor="margin" w:tblpXSpec="center" w:tblpY="172"/>
        <w:tblW w:w="0" w:type="auto"/>
        <w:tblLook w:val="06A0" w:firstRow="1" w:lastRow="0" w:firstColumn="1" w:lastColumn="0" w:noHBand="1" w:noVBand="1"/>
      </w:tblPr>
      <w:tblGrid>
        <w:gridCol w:w="1461"/>
        <w:gridCol w:w="1401"/>
        <w:gridCol w:w="1401"/>
      </w:tblGrid>
      <w:tr w:rsidR="000B1CAA" w:rsidRPr="00C30948" w14:paraId="1670E9E5" w14:textId="77777777" w:rsidTr="00FF7FA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00" w:type="dxa"/>
          </w:tcPr>
          <w:p w14:paraId="5DDD4C63" w14:textId="77777777" w:rsidR="000B1CAA" w:rsidRPr="00C30948" w:rsidRDefault="000B1CAA" w:rsidP="00FF7FAA">
            <w:pPr>
              <w:pStyle w:val="NoSpacing"/>
              <w:jc w:val="both"/>
              <w:rPr>
                <w:rFonts w:ascii="Arial" w:hAnsi="Arial" w:cs="Arial"/>
                <w:sz w:val="20"/>
                <w:szCs w:val="20"/>
              </w:rPr>
            </w:pPr>
            <w:r w:rsidRPr="00C30948">
              <w:rPr>
                <w:rFonts w:ascii="Arial" w:hAnsi="Arial" w:cs="Arial"/>
                <w:sz w:val="20"/>
                <w:szCs w:val="20"/>
              </w:rPr>
              <w:t>Online Transactions</w:t>
            </w:r>
          </w:p>
        </w:tc>
        <w:tc>
          <w:tcPr>
            <w:tcW w:w="1401" w:type="dxa"/>
            <w:vAlign w:val="center"/>
          </w:tcPr>
          <w:p w14:paraId="0DC85C11" w14:textId="77777777" w:rsidR="000B1CAA" w:rsidRPr="00C30948" w:rsidRDefault="000B1CAA" w:rsidP="00FF7FA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Mean</w:t>
            </w:r>
          </w:p>
        </w:tc>
        <w:tc>
          <w:tcPr>
            <w:tcW w:w="1401" w:type="dxa"/>
          </w:tcPr>
          <w:p w14:paraId="5A80B371" w14:textId="77777777" w:rsidR="000B1CAA" w:rsidRPr="00C30948" w:rsidRDefault="000B1CAA" w:rsidP="00FF7FA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Standard Deviation</w:t>
            </w:r>
          </w:p>
        </w:tc>
      </w:tr>
      <w:tr w:rsidR="000B1CAA" w:rsidRPr="00C30948" w14:paraId="2096B0E2" w14:textId="77777777" w:rsidTr="00FF7FAA">
        <w:trPr>
          <w:trHeight w:val="291"/>
        </w:trPr>
        <w:tc>
          <w:tcPr>
            <w:cnfStyle w:val="001000000000" w:firstRow="0" w:lastRow="0" w:firstColumn="1" w:lastColumn="0" w:oddVBand="0" w:evenVBand="0" w:oddHBand="0" w:evenHBand="0" w:firstRowFirstColumn="0" w:firstRowLastColumn="0" w:lastRowFirstColumn="0" w:lastRowLastColumn="0"/>
            <w:tcW w:w="1400" w:type="dxa"/>
          </w:tcPr>
          <w:p w14:paraId="04C9A2A1"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People</w:t>
            </w:r>
          </w:p>
        </w:tc>
        <w:tc>
          <w:tcPr>
            <w:tcW w:w="1401" w:type="dxa"/>
          </w:tcPr>
          <w:p w14:paraId="4670A2F3"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2.89</w:t>
            </w:r>
          </w:p>
        </w:tc>
        <w:tc>
          <w:tcPr>
            <w:tcW w:w="1401" w:type="dxa"/>
          </w:tcPr>
          <w:p w14:paraId="6A282169"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0.88</w:t>
            </w:r>
          </w:p>
        </w:tc>
      </w:tr>
      <w:tr w:rsidR="000B1CAA" w:rsidRPr="00C30948" w14:paraId="22955EAA" w14:textId="77777777" w:rsidTr="00FF7FAA">
        <w:trPr>
          <w:trHeight w:val="272"/>
        </w:trPr>
        <w:tc>
          <w:tcPr>
            <w:cnfStyle w:val="001000000000" w:firstRow="0" w:lastRow="0" w:firstColumn="1" w:lastColumn="0" w:oddVBand="0" w:evenVBand="0" w:oddHBand="0" w:evenHBand="0" w:firstRowFirstColumn="0" w:firstRowLastColumn="0" w:lastRowFirstColumn="0" w:lastRowLastColumn="0"/>
            <w:tcW w:w="1400" w:type="dxa"/>
          </w:tcPr>
          <w:p w14:paraId="500C8B9E"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Product</w:t>
            </w:r>
          </w:p>
        </w:tc>
        <w:tc>
          <w:tcPr>
            <w:tcW w:w="1401" w:type="dxa"/>
          </w:tcPr>
          <w:p w14:paraId="0C550B1C"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2.96</w:t>
            </w:r>
          </w:p>
        </w:tc>
        <w:tc>
          <w:tcPr>
            <w:tcW w:w="1401" w:type="dxa"/>
          </w:tcPr>
          <w:p w14:paraId="3597FB6D"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0.87</w:t>
            </w:r>
          </w:p>
        </w:tc>
      </w:tr>
      <w:tr w:rsidR="000B1CAA" w:rsidRPr="00C30948" w14:paraId="0F27FE3F" w14:textId="77777777" w:rsidTr="00FF7FAA">
        <w:trPr>
          <w:trHeight w:val="291"/>
        </w:trPr>
        <w:tc>
          <w:tcPr>
            <w:cnfStyle w:val="001000000000" w:firstRow="0" w:lastRow="0" w:firstColumn="1" w:lastColumn="0" w:oddVBand="0" w:evenVBand="0" w:oddHBand="0" w:evenHBand="0" w:firstRowFirstColumn="0" w:firstRowLastColumn="0" w:lastRowFirstColumn="0" w:lastRowLastColumn="0"/>
            <w:tcW w:w="1400" w:type="dxa"/>
          </w:tcPr>
          <w:p w14:paraId="575D5FF8"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Process</w:t>
            </w:r>
          </w:p>
        </w:tc>
        <w:tc>
          <w:tcPr>
            <w:tcW w:w="1401" w:type="dxa"/>
          </w:tcPr>
          <w:p w14:paraId="3437A07C"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2.80</w:t>
            </w:r>
          </w:p>
        </w:tc>
        <w:tc>
          <w:tcPr>
            <w:tcW w:w="1401" w:type="dxa"/>
          </w:tcPr>
          <w:p w14:paraId="55148465"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0.99</w:t>
            </w:r>
          </w:p>
        </w:tc>
      </w:tr>
      <w:tr w:rsidR="000B1CAA" w:rsidRPr="00C30948" w14:paraId="63B05A41" w14:textId="77777777" w:rsidTr="00FF7FAA">
        <w:trPr>
          <w:trHeight w:val="272"/>
        </w:trPr>
        <w:tc>
          <w:tcPr>
            <w:cnfStyle w:val="001000000000" w:firstRow="0" w:lastRow="0" w:firstColumn="1" w:lastColumn="0" w:oddVBand="0" w:evenVBand="0" w:oddHBand="0" w:evenHBand="0" w:firstRowFirstColumn="0" w:firstRowLastColumn="0" w:lastRowFirstColumn="0" w:lastRowLastColumn="0"/>
            <w:tcW w:w="1400" w:type="dxa"/>
          </w:tcPr>
          <w:p w14:paraId="0C516B6A" w14:textId="77777777" w:rsidR="000B1CAA" w:rsidRPr="00C30948" w:rsidRDefault="000B1CAA" w:rsidP="00FF7FAA">
            <w:pPr>
              <w:pStyle w:val="NoSpacing"/>
              <w:jc w:val="both"/>
              <w:rPr>
                <w:rFonts w:ascii="Arial" w:hAnsi="Arial" w:cs="Arial"/>
                <w:b w:val="0"/>
                <w:bCs w:val="0"/>
                <w:sz w:val="20"/>
                <w:szCs w:val="20"/>
              </w:rPr>
            </w:pPr>
            <w:r w:rsidRPr="00C30948">
              <w:rPr>
                <w:rFonts w:ascii="Arial" w:hAnsi="Arial" w:cs="Arial"/>
                <w:b w:val="0"/>
                <w:bCs w:val="0"/>
                <w:sz w:val="20"/>
                <w:szCs w:val="20"/>
              </w:rPr>
              <w:t>Technology</w:t>
            </w:r>
          </w:p>
        </w:tc>
        <w:tc>
          <w:tcPr>
            <w:tcW w:w="1401" w:type="dxa"/>
          </w:tcPr>
          <w:p w14:paraId="2A9281A6"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2.86</w:t>
            </w:r>
          </w:p>
        </w:tc>
        <w:tc>
          <w:tcPr>
            <w:tcW w:w="1401" w:type="dxa"/>
          </w:tcPr>
          <w:p w14:paraId="5184835D"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0.98</w:t>
            </w:r>
          </w:p>
        </w:tc>
      </w:tr>
      <w:tr w:rsidR="000B1CAA" w:rsidRPr="00C30948" w14:paraId="2ACC0F09" w14:textId="77777777" w:rsidTr="00FF7FAA">
        <w:trPr>
          <w:trHeight w:val="272"/>
        </w:trPr>
        <w:tc>
          <w:tcPr>
            <w:cnfStyle w:val="001000000000" w:firstRow="0" w:lastRow="0" w:firstColumn="1" w:lastColumn="0" w:oddVBand="0" w:evenVBand="0" w:oddHBand="0" w:evenHBand="0" w:firstRowFirstColumn="0" w:firstRowLastColumn="0" w:lastRowFirstColumn="0" w:lastRowLastColumn="0"/>
            <w:tcW w:w="1400" w:type="dxa"/>
          </w:tcPr>
          <w:p w14:paraId="7F8356C9" w14:textId="77777777" w:rsidR="000B1CAA" w:rsidRPr="00C30948" w:rsidRDefault="000B1CAA" w:rsidP="00FF7FAA">
            <w:pPr>
              <w:pStyle w:val="NoSpacing"/>
              <w:jc w:val="right"/>
              <w:rPr>
                <w:rFonts w:ascii="Arial" w:hAnsi="Arial" w:cs="Arial"/>
                <w:b w:val="0"/>
                <w:bCs w:val="0"/>
                <w:sz w:val="20"/>
                <w:szCs w:val="20"/>
              </w:rPr>
            </w:pPr>
            <w:r w:rsidRPr="00C30948">
              <w:rPr>
                <w:rFonts w:ascii="Arial" w:hAnsi="Arial" w:cs="Arial"/>
                <w:b w:val="0"/>
                <w:bCs w:val="0"/>
                <w:sz w:val="20"/>
                <w:szCs w:val="20"/>
              </w:rPr>
              <w:t>Overall</w:t>
            </w:r>
          </w:p>
        </w:tc>
        <w:tc>
          <w:tcPr>
            <w:tcW w:w="1401" w:type="dxa"/>
          </w:tcPr>
          <w:p w14:paraId="6CA561CA"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2.88</w:t>
            </w:r>
          </w:p>
        </w:tc>
        <w:tc>
          <w:tcPr>
            <w:tcW w:w="1401" w:type="dxa"/>
          </w:tcPr>
          <w:p w14:paraId="1FA57D7E" w14:textId="77777777" w:rsidR="000B1CAA" w:rsidRPr="00C30948" w:rsidRDefault="000B1CAA" w:rsidP="00FF7FA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0948">
              <w:rPr>
                <w:rFonts w:ascii="Arial" w:hAnsi="Arial" w:cs="Arial"/>
                <w:sz w:val="20"/>
                <w:szCs w:val="20"/>
              </w:rPr>
              <w:t>0.93</w:t>
            </w:r>
          </w:p>
        </w:tc>
      </w:tr>
    </w:tbl>
    <w:p w14:paraId="716991F3" w14:textId="77777777" w:rsidR="000B1CAA" w:rsidRPr="00C30948" w:rsidRDefault="000B1CAA" w:rsidP="000B1CAA">
      <w:pPr>
        <w:jc w:val="both"/>
        <w:rPr>
          <w:rFonts w:ascii="Arial" w:hAnsi="Arial" w:cs="Arial"/>
        </w:rPr>
      </w:pPr>
    </w:p>
    <w:p w14:paraId="7A1114A1" w14:textId="77777777" w:rsidR="000B1CAA" w:rsidRPr="00C30948" w:rsidRDefault="000B1CAA" w:rsidP="000B1CAA">
      <w:pPr>
        <w:jc w:val="both"/>
        <w:rPr>
          <w:rFonts w:ascii="Arial" w:hAnsi="Arial" w:cs="Arial"/>
        </w:rPr>
      </w:pPr>
    </w:p>
    <w:p w14:paraId="7C516057" w14:textId="77777777" w:rsidR="000B1CAA" w:rsidRPr="00C30948" w:rsidRDefault="000B1CAA" w:rsidP="000B1CAA">
      <w:pPr>
        <w:jc w:val="both"/>
        <w:rPr>
          <w:rFonts w:ascii="Arial" w:hAnsi="Arial" w:cs="Arial"/>
        </w:rPr>
      </w:pPr>
    </w:p>
    <w:p w14:paraId="58E9F38C" w14:textId="77777777" w:rsidR="000B1CAA" w:rsidRPr="00C30948" w:rsidRDefault="000B1CAA" w:rsidP="000B1CAA">
      <w:pPr>
        <w:jc w:val="both"/>
        <w:rPr>
          <w:rFonts w:ascii="Arial" w:hAnsi="Arial" w:cs="Arial"/>
        </w:rPr>
      </w:pPr>
    </w:p>
    <w:p w14:paraId="22312B23" w14:textId="77777777" w:rsidR="000B1CAA" w:rsidRPr="00C30948" w:rsidRDefault="000B1CAA" w:rsidP="000B1CAA">
      <w:pPr>
        <w:jc w:val="both"/>
        <w:rPr>
          <w:rFonts w:ascii="Arial" w:hAnsi="Arial" w:cs="Arial"/>
        </w:rPr>
      </w:pPr>
    </w:p>
    <w:p w14:paraId="5350990F" w14:textId="77777777" w:rsidR="000B1CAA" w:rsidRPr="00C30948" w:rsidRDefault="000B1CAA" w:rsidP="000B1CAA">
      <w:pPr>
        <w:jc w:val="both"/>
        <w:rPr>
          <w:rFonts w:ascii="Arial" w:hAnsi="Arial" w:cs="Arial"/>
        </w:rPr>
      </w:pPr>
    </w:p>
    <w:p w14:paraId="560CA8E4" w14:textId="77777777" w:rsidR="000B1CAA" w:rsidRPr="00C30948" w:rsidRDefault="000B1CAA" w:rsidP="000B1CAA">
      <w:pPr>
        <w:jc w:val="both"/>
        <w:rPr>
          <w:rFonts w:ascii="Arial" w:hAnsi="Arial" w:cs="Arial"/>
        </w:rPr>
      </w:pPr>
    </w:p>
    <w:p w14:paraId="3EB827DE" w14:textId="77777777" w:rsidR="000B1CAA" w:rsidRPr="00C30948" w:rsidRDefault="000B1CAA" w:rsidP="000B1CAA">
      <w:pPr>
        <w:jc w:val="both"/>
        <w:rPr>
          <w:rFonts w:ascii="Arial" w:hAnsi="Arial" w:cs="Arial"/>
        </w:rPr>
      </w:pPr>
    </w:p>
    <w:p w14:paraId="39DE3ED9" w14:textId="77777777" w:rsidR="000B1CAA" w:rsidRPr="00C30948" w:rsidRDefault="000B1CAA" w:rsidP="000B1CAA">
      <w:pPr>
        <w:jc w:val="both"/>
        <w:rPr>
          <w:rFonts w:ascii="Arial" w:hAnsi="Arial" w:cs="Arial"/>
        </w:rPr>
      </w:pPr>
    </w:p>
    <w:p w14:paraId="1E1DE473" w14:textId="77777777" w:rsidR="000B1CAA" w:rsidRPr="00C30948" w:rsidRDefault="000B1CAA" w:rsidP="000B1CAA">
      <w:pPr>
        <w:pStyle w:val="NoSpacing"/>
        <w:jc w:val="both"/>
        <w:rPr>
          <w:rFonts w:ascii="Arial" w:hAnsi="Arial" w:cs="Arial"/>
          <w:sz w:val="20"/>
          <w:szCs w:val="20"/>
        </w:rPr>
      </w:pPr>
    </w:p>
    <w:p w14:paraId="7BD1CC8A"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 xml:space="preserve">For people (M=2.89), they emphasize continuous digital training and adoption of digital payment tools to maintain competitiveness and operational efficiency (Vey et al., 2017; Bresnahan et al., 2019), while enhancing transaction security and customer satisfaction (Kim et al., 2019; </w:t>
      </w:r>
      <w:proofErr w:type="spellStart"/>
      <w:r w:rsidRPr="00C30948">
        <w:rPr>
          <w:rFonts w:ascii="Arial" w:hAnsi="Arial" w:cs="Arial"/>
          <w:sz w:val="20"/>
          <w:szCs w:val="20"/>
        </w:rPr>
        <w:t>Humbani</w:t>
      </w:r>
      <w:proofErr w:type="spellEnd"/>
      <w:r w:rsidRPr="00C30948">
        <w:rPr>
          <w:rFonts w:ascii="Arial" w:hAnsi="Arial" w:cs="Arial"/>
          <w:sz w:val="20"/>
          <w:szCs w:val="20"/>
        </w:rPr>
        <w:t xml:space="preserve"> &amp; Wiese, 2019). In product (M=2.96), businesses prioritize innovation and data-driven customer insights to differentiate offerings and capture market opportunities (Drucker, 2014; Chesbrough, 2020), leveraging analytics for informed decision-making (Laudon &amp; Traver, 2020; Kotler &amp; Keller, 2021). For process (M=2.80), cybersecurity and </w:t>
      </w:r>
      <w:proofErr w:type="spellStart"/>
      <w:r w:rsidRPr="00C30948">
        <w:rPr>
          <w:rFonts w:ascii="Arial" w:hAnsi="Arial" w:cs="Arial"/>
          <w:sz w:val="20"/>
          <w:szCs w:val="20"/>
        </w:rPr>
        <w:t>automatio</w:t>
      </w:r>
      <w:proofErr w:type="spellEnd"/>
      <w:r w:rsidRPr="00C30948">
        <w:rPr>
          <w:rFonts w:ascii="Arial" w:hAnsi="Arial" w:cs="Arial"/>
          <w:sz w:val="20"/>
          <w:szCs w:val="20"/>
        </w:rPr>
        <w:t xml:space="preserve"> are critical for safeguarding data, ensuring compliance (Von Solms &amp; Van Niekerk, 2013; Whitman &amp; </w:t>
      </w:r>
      <w:proofErr w:type="spellStart"/>
      <w:r w:rsidRPr="00C30948">
        <w:rPr>
          <w:rFonts w:ascii="Arial" w:hAnsi="Arial" w:cs="Arial"/>
          <w:sz w:val="20"/>
          <w:szCs w:val="20"/>
        </w:rPr>
        <w:t>Mattord</w:t>
      </w:r>
      <w:proofErr w:type="spellEnd"/>
      <w:r w:rsidRPr="00C30948">
        <w:rPr>
          <w:rFonts w:ascii="Arial" w:hAnsi="Arial" w:cs="Arial"/>
          <w:sz w:val="20"/>
          <w:szCs w:val="20"/>
        </w:rPr>
        <w:t xml:space="preserve">, 2021), and improving operational scalability (Davenport &amp; </w:t>
      </w:r>
      <w:proofErr w:type="spellStart"/>
      <w:r w:rsidRPr="00C30948">
        <w:rPr>
          <w:rFonts w:ascii="Arial" w:hAnsi="Arial" w:cs="Arial"/>
          <w:sz w:val="20"/>
          <w:szCs w:val="20"/>
        </w:rPr>
        <w:t>Ronanki</w:t>
      </w:r>
      <w:proofErr w:type="spellEnd"/>
      <w:r w:rsidRPr="00C30948">
        <w:rPr>
          <w:rFonts w:ascii="Arial" w:hAnsi="Arial" w:cs="Arial"/>
          <w:sz w:val="20"/>
          <w:szCs w:val="20"/>
        </w:rPr>
        <w:t xml:space="preserve">, 2018; Laudon &amp; Laudon, 2021). Finally, in technology (M=2.86), MSMEs value scientifically grounded solutions to enhance efficiency, innovation, and resilience (Brynjolfsson &amp; McAfee, 2017; Chesbrough, 2020), with advanced machinery driving productivity and long-term competitiveness (Porter &amp; </w:t>
      </w:r>
      <w:proofErr w:type="spellStart"/>
      <w:r w:rsidRPr="00C30948">
        <w:rPr>
          <w:rFonts w:ascii="Arial" w:hAnsi="Arial" w:cs="Arial"/>
          <w:sz w:val="20"/>
          <w:szCs w:val="20"/>
        </w:rPr>
        <w:t>Heppelmann</w:t>
      </w:r>
      <w:proofErr w:type="spellEnd"/>
      <w:r w:rsidRPr="00C30948">
        <w:rPr>
          <w:rFonts w:ascii="Arial" w:hAnsi="Arial" w:cs="Arial"/>
          <w:sz w:val="20"/>
          <w:szCs w:val="20"/>
        </w:rPr>
        <w:t>, 2015; Slack &amp; Brandon-Jones, 2018). Collectively, these findings underscore a strategic shift toward integrated digital adoption to foster agility, security, and sustainable growth.</w:t>
      </w:r>
    </w:p>
    <w:p w14:paraId="3AA0D640" w14:textId="77777777" w:rsidR="000B1CAA" w:rsidRPr="00C30948" w:rsidRDefault="000B1CAA" w:rsidP="000B1CAA">
      <w:pPr>
        <w:pStyle w:val="NoSpacing"/>
        <w:jc w:val="both"/>
        <w:rPr>
          <w:rFonts w:ascii="Arial" w:hAnsi="Arial" w:cs="Arial"/>
          <w:sz w:val="20"/>
          <w:szCs w:val="20"/>
        </w:rPr>
      </w:pPr>
    </w:p>
    <w:p w14:paraId="47482280" w14:textId="77777777" w:rsidR="000B1CAA" w:rsidRPr="00C30948" w:rsidRDefault="000B1CAA" w:rsidP="000B1CAA">
      <w:pPr>
        <w:pStyle w:val="NoSpacing"/>
        <w:jc w:val="both"/>
        <w:rPr>
          <w:rFonts w:ascii="Arial" w:hAnsi="Arial" w:cs="Arial"/>
          <w:b/>
          <w:bCs/>
          <w:sz w:val="22"/>
          <w:szCs w:val="22"/>
        </w:rPr>
      </w:pPr>
      <w:r w:rsidRPr="00C30948">
        <w:rPr>
          <w:rFonts w:ascii="Arial" w:hAnsi="Arial" w:cs="Arial"/>
          <w:b/>
          <w:bCs/>
          <w:sz w:val="22"/>
          <w:szCs w:val="22"/>
        </w:rPr>
        <w:t>3.2 MSMEs Technology Acceptance and Use</w:t>
      </w:r>
    </w:p>
    <w:p w14:paraId="35606CC1" w14:textId="77777777" w:rsidR="000B1CAA" w:rsidRPr="00C30948" w:rsidRDefault="000B1CAA" w:rsidP="000B1CAA">
      <w:pPr>
        <w:pStyle w:val="NoSpacing"/>
        <w:jc w:val="both"/>
        <w:rPr>
          <w:rFonts w:ascii="Arial" w:hAnsi="Arial" w:cs="Arial"/>
          <w:sz w:val="20"/>
          <w:szCs w:val="20"/>
        </w:rPr>
      </w:pPr>
    </w:p>
    <w:p w14:paraId="4F39034D"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 xml:space="preserve">It can be viewed in Table 2 that based on the Unified Theory of Acceptance and Use of Technology (UTAUT) framework, surveyed MSMEs demonstrated moderate to partial acceptance across all constructs influencing their adoption of digital payment platforms like </w:t>
      </w:r>
      <w:proofErr w:type="spellStart"/>
      <w:r w:rsidRPr="00C30948">
        <w:rPr>
          <w:rFonts w:ascii="Arial" w:hAnsi="Arial" w:cs="Arial"/>
          <w:sz w:val="20"/>
          <w:szCs w:val="20"/>
        </w:rPr>
        <w:t>GCash</w:t>
      </w:r>
      <w:proofErr w:type="spellEnd"/>
      <w:r w:rsidRPr="00C30948">
        <w:rPr>
          <w:rFonts w:ascii="Arial" w:hAnsi="Arial" w:cs="Arial"/>
          <w:sz w:val="20"/>
          <w:szCs w:val="20"/>
        </w:rPr>
        <w:t xml:space="preserve">, </w:t>
      </w:r>
      <w:proofErr w:type="spellStart"/>
      <w:r w:rsidRPr="00C30948">
        <w:rPr>
          <w:rFonts w:ascii="Arial" w:hAnsi="Arial" w:cs="Arial"/>
          <w:sz w:val="20"/>
          <w:szCs w:val="20"/>
        </w:rPr>
        <w:t>PayMaya</w:t>
      </w:r>
      <w:proofErr w:type="spellEnd"/>
      <w:r w:rsidRPr="00C30948">
        <w:rPr>
          <w:rFonts w:ascii="Arial" w:hAnsi="Arial" w:cs="Arial"/>
          <w:sz w:val="20"/>
          <w:szCs w:val="20"/>
        </w:rPr>
        <w:t xml:space="preserve">, and </w:t>
      </w:r>
      <w:proofErr w:type="spellStart"/>
      <w:r w:rsidRPr="00C30948">
        <w:rPr>
          <w:rFonts w:ascii="Arial" w:hAnsi="Arial" w:cs="Arial"/>
          <w:sz w:val="20"/>
          <w:szCs w:val="20"/>
        </w:rPr>
        <w:t>GrabPay</w:t>
      </w:r>
      <w:proofErr w:type="spellEnd"/>
      <w:r w:rsidRPr="00C30948">
        <w:rPr>
          <w:rFonts w:ascii="Arial" w:hAnsi="Arial" w:cs="Arial"/>
          <w:sz w:val="20"/>
          <w:szCs w:val="20"/>
        </w:rPr>
        <w:t>.</w:t>
      </w:r>
    </w:p>
    <w:p w14:paraId="59407CFC" w14:textId="77777777" w:rsidR="000B1CAA" w:rsidRPr="00C30948" w:rsidRDefault="000B1CAA" w:rsidP="000B1CAA">
      <w:pPr>
        <w:pStyle w:val="NoSpacing"/>
        <w:jc w:val="center"/>
        <w:rPr>
          <w:rFonts w:ascii="Arial" w:hAnsi="Arial" w:cs="Arial"/>
          <w:b/>
          <w:bCs/>
          <w:sz w:val="22"/>
          <w:szCs w:val="22"/>
        </w:rPr>
      </w:pPr>
    </w:p>
    <w:p w14:paraId="1A07AB7D" w14:textId="77777777" w:rsidR="000B1CAA" w:rsidRPr="00C30948" w:rsidRDefault="000B1CAA" w:rsidP="000B1CAA">
      <w:pPr>
        <w:pStyle w:val="NoSpacing"/>
        <w:jc w:val="center"/>
        <w:rPr>
          <w:rFonts w:ascii="Arial" w:hAnsi="Arial" w:cs="Arial"/>
          <w:b/>
          <w:bCs/>
          <w:sz w:val="22"/>
          <w:szCs w:val="22"/>
        </w:rPr>
      </w:pPr>
      <w:r w:rsidRPr="00C30948">
        <w:rPr>
          <w:rFonts w:ascii="Arial" w:hAnsi="Arial" w:cs="Arial"/>
          <w:b/>
          <w:bCs/>
          <w:sz w:val="22"/>
          <w:szCs w:val="22"/>
        </w:rPr>
        <w:t>Table 2. Mean and Standard Deviation of Technology Acceptance and Use</w:t>
      </w:r>
    </w:p>
    <w:p w14:paraId="334A8904" w14:textId="77777777" w:rsidR="000B1CAA" w:rsidRPr="00C30948" w:rsidRDefault="000B1CAA" w:rsidP="000B1CAA">
      <w:pPr>
        <w:pStyle w:val="NoSpacing"/>
        <w:jc w:val="center"/>
        <w:rPr>
          <w:rFonts w:ascii="Arial" w:hAnsi="Arial" w:cs="Arial"/>
          <w:b/>
          <w:bCs/>
          <w:sz w:val="22"/>
          <w:szCs w:val="22"/>
        </w:rPr>
      </w:pPr>
    </w:p>
    <w:tbl>
      <w:tblPr>
        <w:tblStyle w:val="TableGrid"/>
        <w:tblpPr w:leftFromText="180" w:rightFromText="180" w:vertAnchor="page" w:horzAnchor="margin" w:tblpXSpec="center" w:tblpY="11548"/>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1367"/>
        <w:gridCol w:w="1418"/>
      </w:tblGrid>
      <w:tr w:rsidR="000B1CAA" w:rsidRPr="00C30948" w14:paraId="4651CB1D" w14:textId="77777777" w:rsidTr="000B1CAA">
        <w:trPr>
          <w:trHeight w:val="509"/>
        </w:trPr>
        <w:tc>
          <w:tcPr>
            <w:tcW w:w="2597" w:type="dxa"/>
            <w:tcBorders>
              <w:bottom w:val="single" w:sz="4" w:space="0" w:color="000000" w:themeColor="text1"/>
            </w:tcBorders>
          </w:tcPr>
          <w:p w14:paraId="4D77378B" w14:textId="77777777" w:rsidR="000B1CAA" w:rsidRPr="00C30948" w:rsidRDefault="000B1CAA" w:rsidP="000B1CAA">
            <w:pPr>
              <w:pStyle w:val="NoSpacing"/>
              <w:rPr>
                <w:rFonts w:ascii="Arial" w:hAnsi="Arial" w:cs="Arial"/>
                <w:b/>
                <w:bCs/>
                <w:sz w:val="20"/>
                <w:szCs w:val="20"/>
              </w:rPr>
            </w:pPr>
            <w:r w:rsidRPr="00C30948">
              <w:rPr>
                <w:rFonts w:ascii="Arial" w:hAnsi="Arial" w:cs="Arial"/>
                <w:b/>
                <w:bCs/>
                <w:sz w:val="20"/>
                <w:szCs w:val="20"/>
              </w:rPr>
              <w:t>Technology Acceptance and Use</w:t>
            </w:r>
          </w:p>
        </w:tc>
        <w:tc>
          <w:tcPr>
            <w:tcW w:w="1367" w:type="dxa"/>
            <w:tcBorders>
              <w:bottom w:val="single" w:sz="4" w:space="0" w:color="000000" w:themeColor="text1"/>
            </w:tcBorders>
            <w:vAlign w:val="center"/>
          </w:tcPr>
          <w:p w14:paraId="719AA835" w14:textId="77777777" w:rsidR="000B1CAA" w:rsidRPr="00C30948" w:rsidRDefault="000B1CAA" w:rsidP="000B1CAA">
            <w:pPr>
              <w:pStyle w:val="NoSpacing"/>
              <w:rPr>
                <w:rFonts w:ascii="Arial" w:hAnsi="Arial" w:cs="Arial"/>
                <w:b/>
                <w:bCs/>
                <w:sz w:val="20"/>
                <w:szCs w:val="20"/>
              </w:rPr>
            </w:pPr>
            <w:r w:rsidRPr="00C30948">
              <w:rPr>
                <w:rFonts w:ascii="Arial" w:hAnsi="Arial" w:cs="Arial"/>
                <w:b/>
                <w:bCs/>
                <w:sz w:val="20"/>
                <w:szCs w:val="20"/>
              </w:rPr>
              <w:t>Mean</w:t>
            </w:r>
          </w:p>
        </w:tc>
        <w:tc>
          <w:tcPr>
            <w:tcW w:w="1418" w:type="dxa"/>
            <w:tcBorders>
              <w:bottom w:val="single" w:sz="4" w:space="0" w:color="000000" w:themeColor="text1"/>
            </w:tcBorders>
          </w:tcPr>
          <w:p w14:paraId="5533FBDA" w14:textId="77777777" w:rsidR="000B1CAA" w:rsidRPr="00C30948" w:rsidRDefault="000B1CAA" w:rsidP="000B1CAA">
            <w:pPr>
              <w:pStyle w:val="NoSpacing"/>
              <w:rPr>
                <w:rFonts w:ascii="Arial" w:hAnsi="Arial" w:cs="Arial"/>
                <w:b/>
                <w:bCs/>
                <w:sz w:val="20"/>
                <w:szCs w:val="20"/>
              </w:rPr>
            </w:pPr>
            <w:r w:rsidRPr="00C30948">
              <w:rPr>
                <w:rFonts w:ascii="Arial" w:hAnsi="Arial" w:cs="Arial"/>
                <w:b/>
                <w:bCs/>
                <w:sz w:val="20"/>
                <w:szCs w:val="20"/>
              </w:rPr>
              <w:t>Standard Deviation</w:t>
            </w:r>
          </w:p>
        </w:tc>
      </w:tr>
      <w:tr w:rsidR="000B1CAA" w:rsidRPr="00C30948" w14:paraId="3F9B06B2" w14:textId="77777777" w:rsidTr="000B1CAA">
        <w:trPr>
          <w:trHeight w:val="333"/>
        </w:trPr>
        <w:tc>
          <w:tcPr>
            <w:tcW w:w="2597" w:type="dxa"/>
            <w:tcBorders>
              <w:top w:val="single" w:sz="4" w:space="0" w:color="000000" w:themeColor="text1"/>
            </w:tcBorders>
          </w:tcPr>
          <w:p w14:paraId="4AE9E71C"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Performance Expectancy</w:t>
            </w:r>
          </w:p>
        </w:tc>
        <w:tc>
          <w:tcPr>
            <w:tcW w:w="1367" w:type="dxa"/>
            <w:tcBorders>
              <w:top w:val="single" w:sz="4" w:space="0" w:color="000000" w:themeColor="text1"/>
            </w:tcBorders>
          </w:tcPr>
          <w:p w14:paraId="0A53F345"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2.90</w:t>
            </w:r>
          </w:p>
        </w:tc>
        <w:tc>
          <w:tcPr>
            <w:tcW w:w="1418" w:type="dxa"/>
            <w:tcBorders>
              <w:top w:val="single" w:sz="4" w:space="0" w:color="000000" w:themeColor="text1"/>
            </w:tcBorders>
          </w:tcPr>
          <w:p w14:paraId="51A8463A"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0.93</w:t>
            </w:r>
          </w:p>
        </w:tc>
      </w:tr>
      <w:tr w:rsidR="000B1CAA" w:rsidRPr="00C30948" w14:paraId="153A0FD2" w14:textId="77777777" w:rsidTr="000B1CAA">
        <w:trPr>
          <w:trHeight w:val="175"/>
        </w:trPr>
        <w:tc>
          <w:tcPr>
            <w:tcW w:w="2597" w:type="dxa"/>
          </w:tcPr>
          <w:p w14:paraId="395CBC85"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Effort Expectancy</w:t>
            </w:r>
          </w:p>
        </w:tc>
        <w:tc>
          <w:tcPr>
            <w:tcW w:w="1367" w:type="dxa"/>
          </w:tcPr>
          <w:p w14:paraId="35B91CB3"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2.82</w:t>
            </w:r>
          </w:p>
        </w:tc>
        <w:tc>
          <w:tcPr>
            <w:tcW w:w="1418" w:type="dxa"/>
          </w:tcPr>
          <w:p w14:paraId="198EC576"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0.99</w:t>
            </w:r>
          </w:p>
        </w:tc>
      </w:tr>
      <w:tr w:rsidR="000B1CAA" w:rsidRPr="00C30948" w14:paraId="734EF1A1" w14:textId="77777777" w:rsidTr="000B1CAA">
        <w:trPr>
          <w:trHeight w:val="166"/>
        </w:trPr>
        <w:tc>
          <w:tcPr>
            <w:tcW w:w="2597" w:type="dxa"/>
          </w:tcPr>
          <w:p w14:paraId="6F7D977F"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Social Influence</w:t>
            </w:r>
          </w:p>
        </w:tc>
        <w:tc>
          <w:tcPr>
            <w:tcW w:w="1367" w:type="dxa"/>
          </w:tcPr>
          <w:p w14:paraId="4029C36B"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2.78</w:t>
            </w:r>
          </w:p>
        </w:tc>
        <w:tc>
          <w:tcPr>
            <w:tcW w:w="1418" w:type="dxa"/>
          </w:tcPr>
          <w:p w14:paraId="1D3AC973"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0.98</w:t>
            </w:r>
          </w:p>
        </w:tc>
      </w:tr>
      <w:tr w:rsidR="000B1CAA" w:rsidRPr="00C30948" w14:paraId="4EF8D6BD" w14:textId="77777777" w:rsidTr="000B1CAA">
        <w:trPr>
          <w:trHeight w:val="333"/>
        </w:trPr>
        <w:tc>
          <w:tcPr>
            <w:tcW w:w="2597" w:type="dxa"/>
          </w:tcPr>
          <w:p w14:paraId="369897D0" w14:textId="77777777" w:rsidR="000B1CAA" w:rsidRPr="00C30948" w:rsidRDefault="000B1CAA" w:rsidP="000B1CAA">
            <w:pPr>
              <w:pStyle w:val="NoSpacing"/>
              <w:rPr>
                <w:rFonts w:ascii="Arial" w:hAnsi="Arial" w:cs="Arial"/>
                <w:sz w:val="20"/>
                <w:szCs w:val="20"/>
              </w:rPr>
            </w:pPr>
            <w:r w:rsidRPr="00C30948">
              <w:rPr>
                <w:rFonts w:ascii="Arial" w:hAnsi="Arial" w:cs="Arial"/>
                <w:sz w:val="20"/>
                <w:szCs w:val="20"/>
              </w:rPr>
              <w:t>Facilitating Conditions</w:t>
            </w:r>
          </w:p>
        </w:tc>
        <w:tc>
          <w:tcPr>
            <w:tcW w:w="1367" w:type="dxa"/>
          </w:tcPr>
          <w:p w14:paraId="1704D6D0"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2.76</w:t>
            </w:r>
          </w:p>
        </w:tc>
        <w:tc>
          <w:tcPr>
            <w:tcW w:w="1418" w:type="dxa"/>
          </w:tcPr>
          <w:p w14:paraId="2FB1B1A5"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0.99</w:t>
            </w:r>
          </w:p>
        </w:tc>
      </w:tr>
      <w:tr w:rsidR="000B1CAA" w:rsidRPr="00C30948" w14:paraId="00C38EB0" w14:textId="77777777" w:rsidTr="000B1CAA">
        <w:trPr>
          <w:trHeight w:val="166"/>
        </w:trPr>
        <w:tc>
          <w:tcPr>
            <w:tcW w:w="2597" w:type="dxa"/>
          </w:tcPr>
          <w:p w14:paraId="3B52FBA9" w14:textId="77777777" w:rsidR="000B1CAA" w:rsidRPr="00C30948" w:rsidRDefault="000B1CAA" w:rsidP="000B1CAA">
            <w:pPr>
              <w:pStyle w:val="NoSpacing"/>
              <w:jc w:val="right"/>
              <w:rPr>
                <w:rFonts w:ascii="Arial" w:hAnsi="Arial" w:cs="Arial"/>
                <w:sz w:val="20"/>
                <w:szCs w:val="20"/>
              </w:rPr>
            </w:pPr>
            <w:r w:rsidRPr="00C30948">
              <w:rPr>
                <w:rFonts w:ascii="Arial" w:hAnsi="Arial" w:cs="Arial"/>
                <w:sz w:val="20"/>
                <w:szCs w:val="20"/>
              </w:rPr>
              <w:t>Overall</w:t>
            </w:r>
          </w:p>
        </w:tc>
        <w:tc>
          <w:tcPr>
            <w:tcW w:w="1367" w:type="dxa"/>
          </w:tcPr>
          <w:p w14:paraId="798D448E"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2.76</w:t>
            </w:r>
          </w:p>
        </w:tc>
        <w:tc>
          <w:tcPr>
            <w:tcW w:w="1418" w:type="dxa"/>
          </w:tcPr>
          <w:p w14:paraId="3B8BE456"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rPr>
              <w:t>0.99</w:t>
            </w:r>
          </w:p>
        </w:tc>
      </w:tr>
    </w:tbl>
    <w:p w14:paraId="6945A870" w14:textId="77777777" w:rsidR="000B1CAA" w:rsidRPr="00C30948" w:rsidRDefault="000B1CAA" w:rsidP="000B1CAA">
      <w:pPr>
        <w:pStyle w:val="NoSpacing"/>
        <w:jc w:val="center"/>
        <w:rPr>
          <w:rFonts w:ascii="Arial" w:hAnsi="Arial" w:cs="Arial"/>
          <w:b/>
          <w:bCs/>
          <w:sz w:val="22"/>
          <w:szCs w:val="22"/>
        </w:rPr>
      </w:pPr>
    </w:p>
    <w:p w14:paraId="305BBADD" w14:textId="77777777" w:rsidR="000B1CAA" w:rsidRPr="00C30948" w:rsidRDefault="000B1CAA" w:rsidP="000B1CAA">
      <w:pPr>
        <w:pStyle w:val="NoSpacing"/>
        <w:jc w:val="both"/>
        <w:rPr>
          <w:rFonts w:ascii="Arial" w:hAnsi="Arial" w:cs="Arial"/>
          <w:sz w:val="20"/>
          <w:szCs w:val="20"/>
        </w:rPr>
      </w:pPr>
    </w:p>
    <w:p w14:paraId="4A1C7DFC" w14:textId="77777777" w:rsidR="000B1CAA" w:rsidRPr="00C30948" w:rsidRDefault="000B1CAA" w:rsidP="000B1CAA">
      <w:pPr>
        <w:pStyle w:val="NoSpacing"/>
        <w:jc w:val="both"/>
        <w:rPr>
          <w:rFonts w:ascii="Arial" w:hAnsi="Arial" w:cs="Arial"/>
          <w:sz w:val="20"/>
          <w:szCs w:val="20"/>
        </w:rPr>
      </w:pPr>
    </w:p>
    <w:p w14:paraId="421A143F" w14:textId="77777777" w:rsidR="000B1CAA" w:rsidRPr="00C30948" w:rsidRDefault="000B1CAA" w:rsidP="000B1CAA"/>
    <w:p w14:paraId="7D879DB5" w14:textId="77777777" w:rsidR="000B1CAA" w:rsidRPr="00C30948" w:rsidRDefault="000B1CAA" w:rsidP="000B1CAA"/>
    <w:p w14:paraId="56BA2D60" w14:textId="77777777" w:rsidR="000B1CAA" w:rsidRPr="00C30948" w:rsidRDefault="000B1CAA" w:rsidP="000B1CAA"/>
    <w:p w14:paraId="3F6BA932" w14:textId="77777777" w:rsidR="000B1CAA" w:rsidRPr="00C30948" w:rsidRDefault="000B1CAA" w:rsidP="000B1CAA"/>
    <w:p w14:paraId="2046BD88" w14:textId="77777777" w:rsidR="000B1CAA" w:rsidRPr="00C30948" w:rsidRDefault="000B1CAA" w:rsidP="000B1CAA"/>
    <w:p w14:paraId="54E1C021" w14:textId="77777777" w:rsidR="000B1CAA" w:rsidRPr="00C30948" w:rsidRDefault="000B1CAA" w:rsidP="000B1CAA">
      <w:pPr>
        <w:jc w:val="both"/>
        <w:rPr>
          <w:rFonts w:ascii="Arial" w:hAnsi="Arial" w:cs="Arial"/>
          <w:sz w:val="22"/>
          <w:szCs w:val="22"/>
        </w:rPr>
      </w:pPr>
    </w:p>
    <w:p w14:paraId="739494E4" w14:textId="77777777" w:rsidR="000B1CAA" w:rsidRPr="00C30948" w:rsidRDefault="000B1CAA" w:rsidP="000B1CAA">
      <w:pPr>
        <w:jc w:val="both"/>
        <w:rPr>
          <w:rFonts w:ascii="Arial" w:hAnsi="Arial" w:cs="Arial"/>
        </w:rPr>
      </w:pPr>
      <w:r w:rsidRPr="00C30948">
        <w:rPr>
          <w:rFonts w:ascii="Arial" w:hAnsi="Arial" w:cs="Arial"/>
        </w:rPr>
        <w:lastRenderedPageBreak/>
        <w:t xml:space="preserve">MSMEs recognized the strong performance expectancy (M=2.90) of these tools, valuing their usefulness in enhancing operational efficiency, financial transparency, and customer satisfaction (Dahlberg et al., 2015; Kim et al., 2019; </w:t>
      </w:r>
      <w:proofErr w:type="spellStart"/>
      <w:r w:rsidRPr="00C30948">
        <w:rPr>
          <w:rFonts w:ascii="Arial" w:hAnsi="Arial" w:cs="Arial"/>
        </w:rPr>
        <w:t>Humbani</w:t>
      </w:r>
      <w:proofErr w:type="spellEnd"/>
      <w:r w:rsidRPr="00C30948">
        <w:rPr>
          <w:rFonts w:ascii="Arial" w:hAnsi="Arial" w:cs="Arial"/>
        </w:rPr>
        <w:t xml:space="preserve"> &amp; Wiese, 2019). The effort expectancy (M=2.82) was also affirmed, as user-friendly designs and intuitive interfaces made the platforms easy to learn and use (</w:t>
      </w:r>
      <w:proofErr w:type="spellStart"/>
      <w:r w:rsidRPr="00C30948">
        <w:rPr>
          <w:rFonts w:ascii="Arial" w:hAnsi="Arial" w:cs="Arial"/>
        </w:rPr>
        <w:t>Humbani</w:t>
      </w:r>
      <w:proofErr w:type="spellEnd"/>
      <w:r w:rsidRPr="00C30948">
        <w:rPr>
          <w:rFonts w:ascii="Arial" w:hAnsi="Arial" w:cs="Arial"/>
        </w:rPr>
        <w:t xml:space="preserve"> &amp; Wiese, 2019; Kim et al., 2019), aligning with national digitalization efforts (DTI, 2024). Social influence (M=2.78) played a key role, with adoption driven by peer pressure and the practical advocacy of influencers within professional networks (Venkatesh et al., 2012). Finally, facilitating conditions (M=2.76), including system compatibility and technical support, were deemed crucial for seamless integration and sustained usage, reducing barriers and building confidence in digital transactions (Parasuraman et al., 2005; Kim et al., 2019). Collectively, these findings highlight the multifaceted drivers of digital payment adoption among MSMEs, emphasizing the interplay of practical utility, ease of use, social dynamics, and institutional support in fostering digital transformation.</w:t>
      </w:r>
    </w:p>
    <w:p w14:paraId="2620E60A" w14:textId="77777777" w:rsidR="000B1CAA" w:rsidRPr="00C30948" w:rsidRDefault="000B1CAA" w:rsidP="000B1CAA">
      <w:pPr>
        <w:jc w:val="both"/>
        <w:rPr>
          <w:rFonts w:ascii="Arial" w:hAnsi="Arial" w:cs="Arial"/>
          <w:sz w:val="22"/>
          <w:szCs w:val="22"/>
        </w:rPr>
      </w:pPr>
    </w:p>
    <w:p w14:paraId="5725E72C" w14:textId="77777777" w:rsidR="000B1CAA" w:rsidRPr="00C30948" w:rsidRDefault="000B1CAA" w:rsidP="000B1CAA">
      <w:pPr>
        <w:jc w:val="both"/>
        <w:rPr>
          <w:rFonts w:ascii="Arial" w:hAnsi="Arial" w:cs="Arial"/>
          <w:b/>
          <w:bCs/>
          <w:sz w:val="22"/>
          <w:szCs w:val="22"/>
        </w:rPr>
      </w:pPr>
      <w:r w:rsidRPr="00C30948">
        <w:rPr>
          <w:rFonts w:ascii="Arial" w:hAnsi="Arial" w:cs="Arial"/>
          <w:b/>
          <w:bCs/>
          <w:sz w:val="22"/>
          <w:szCs w:val="22"/>
        </w:rPr>
        <w:t>3.3 MSMEs Business Performance</w:t>
      </w:r>
    </w:p>
    <w:p w14:paraId="64225F25" w14:textId="77777777" w:rsidR="000B1CAA" w:rsidRPr="00C30948" w:rsidRDefault="000B1CAA" w:rsidP="000B1CAA">
      <w:pPr>
        <w:jc w:val="both"/>
        <w:rPr>
          <w:rFonts w:ascii="Arial" w:hAnsi="Arial" w:cs="Arial"/>
          <w:sz w:val="22"/>
          <w:szCs w:val="22"/>
        </w:rPr>
      </w:pPr>
    </w:p>
    <w:p w14:paraId="15A8F851" w14:textId="77777777" w:rsidR="000B1CAA" w:rsidRPr="00C30948" w:rsidRDefault="000B1CAA" w:rsidP="000B1CAA">
      <w:pPr>
        <w:jc w:val="both"/>
        <w:rPr>
          <w:rFonts w:ascii="Arial" w:hAnsi="Arial" w:cs="Arial"/>
        </w:rPr>
      </w:pPr>
      <w:r w:rsidRPr="00C30948">
        <w:rPr>
          <w:rFonts w:ascii="Arial" w:hAnsi="Arial" w:cs="Arial"/>
        </w:rPr>
        <w:t>Presented in Table 3 is the summary of indicators of business performance. It shows that MSMEs demonstrated positive business performance, with moderate satisfaction in their revenue (M=2.83) driven by sales growth and target achievement, enabled by strategic planning and market responsiveness (Chesbrough, 2020; Kotler &amp; Keller, 2021). Simultaneously, strong employee growth (M=2.86) resulted from investments in comprehensive benefits and training, which enhanced productivity, retention, and organizational resilience (Armstrong &amp; Taylor, 2020; Noe, 2020). These findings underscore the interconnection between financial performance and workforce development, where revenue gains facilitate reinvestment in human capital, while a skilled and satisfied workforce drives further growth, customer satisfaction, and long-term competitiveness (Dessler, 2020).</w:t>
      </w:r>
    </w:p>
    <w:p w14:paraId="0E4B0828" w14:textId="77777777" w:rsidR="000B1CAA" w:rsidRPr="00C30948" w:rsidRDefault="000B1CAA" w:rsidP="000B1CAA">
      <w:pPr>
        <w:jc w:val="both"/>
        <w:rPr>
          <w:rFonts w:ascii="Arial" w:hAnsi="Arial" w:cs="Arial"/>
          <w:sz w:val="22"/>
          <w:szCs w:val="22"/>
        </w:rPr>
      </w:pPr>
    </w:p>
    <w:p w14:paraId="6F849A01" w14:textId="77777777" w:rsidR="000B1CAA" w:rsidRPr="00C30948" w:rsidRDefault="000B1CAA" w:rsidP="000B1CAA">
      <w:pPr>
        <w:jc w:val="center"/>
        <w:rPr>
          <w:rFonts w:ascii="Arial" w:hAnsi="Arial" w:cs="Arial"/>
          <w:b/>
          <w:bCs/>
          <w:sz w:val="22"/>
          <w:szCs w:val="22"/>
        </w:rPr>
      </w:pPr>
      <w:r w:rsidRPr="00C30948">
        <w:rPr>
          <w:rFonts w:ascii="Arial" w:hAnsi="Arial" w:cs="Arial"/>
          <w:b/>
          <w:bCs/>
          <w:sz w:val="22"/>
          <w:szCs w:val="22"/>
        </w:rPr>
        <w:t>Table 3. Mean and Standard Deviation of Business Performance</w:t>
      </w:r>
    </w:p>
    <w:p w14:paraId="4D151066" w14:textId="77777777" w:rsidR="000B1CAA" w:rsidRPr="00C30948" w:rsidRDefault="000B1CAA" w:rsidP="000B1CAA">
      <w:pPr>
        <w:jc w:val="center"/>
        <w:rPr>
          <w:rFonts w:ascii="Arial" w:hAnsi="Arial" w:cs="Arial"/>
          <w:b/>
          <w:bCs/>
          <w:sz w:val="22"/>
          <w:szCs w:val="22"/>
        </w:rPr>
      </w:pPr>
      <w:r w:rsidRPr="00C30948">
        <w:rPr>
          <w:rFonts w:ascii="Arial" w:hAnsi="Arial" w:cs="Arial"/>
          <w:b/>
          <w:bCs/>
          <w:sz w:val="22"/>
          <w:szCs w:val="22"/>
        </w:rPr>
        <w:t>in terms of Revenue and Growth of Employees</w:t>
      </w:r>
    </w:p>
    <w:p w14:paraId="3C22F298" w14:textId="77777777" w:rsidR="000B1CAA" w:rsidRPr="00C30948" w:rsidRDefault="000B1CAA" w:rsidP="000B1CAA">
      <w:pPr>
        <w:jc w:val="both"/>
        <w:rPr>
          <w:rFonts w:ascii="Arial" w:hAnsi="Arial" w:cs="Arial"/>
          <w:sz w:val="22"/>
          <w:szCs w:val="22"/>
        </w:rPr>
      </w:pPr>
    </w:p>
    <w:tbl>
      <w:tblPr>
        <w:tblStyle w:val="TableGrid"/>
        <w:tblW w:w="0" w:type="auto"/>
        <w:tblInd w:w="21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710"/>
        <w:gridCol w:w="1710"/>
      </w:tblGrid>
      <w:tr w:rsidR="000B1CAA" w:rsidRPr="00C30948" w14:paraId="7533612D" w14:textId="77777777" w:rsidTr="00FF7FAA">
        <w:trPr>
          <w:trHeight w:val="266"/>
        </w:trPr>
        <w:tc>
          <w:tcPr>
            <w:tcW w:w="1710" w:type="dxa"/>
            <w:tcBorders>
              <w:bottom w:val="single" w:sz="4" w:space="0" w:color="000000"/>
            </w:tcBorders>
          </w:tcPr>
          <w:p w14:paraId="23C18D62" w14:textId="77777777" w:rsidR="000B1CAA" w:rsidRPr="00C30948" w:rsidRDefault="000B1CAA" w:rsidP="00FF7FAA">
            <w:pPr>
              <w:rPr>
                <w:rFonts w:ascii="Arial" w:hAnsi="Arial" w:cs="Arial"/>
                <w:b/>
                <w:bCs/>
              </w:rPr>
            </w:pPr>
            <w:r w:rsidRPr="00C30948">
              <w:rPr>
                <w:rFonts w:ascii="Arial" w:hAnsi="Arial" w:cs="Arial"/>
                <w:b/>
                <w:bCs/>
              </w:rPr>
              <w:t>Business Performance</w:t>
            </w:r>
          </w:p>
        </w:tc>
        <w:tc>
          <w:tcPr>
            <w:tcW w:w="1710" w:type="dxa"/>
            <w:tcBorders>
              <w:bottom w:val="single" w:sz="4" w:space="0" w:color="000000"/>
            </w:tcBorders>
            <w:vAlign w:val="center"/>
          </w:tcPr>
          <w:p w14:paraId="5359AC1C" w14:textId="77777777" w:rsidR="000B1CAA" w:rsidRPr="00C30948" w:rsidRDefault="000B1CAA" w:rsidP="00FF7FAA">
            <w:pPr>
              <w:rPr>
                <w:rFonts w:ascii="Arial" w:hAnsi="Arial" w:cs="Arial"/>
                <w:b/>
                <w:bCs/>
              </w:rPr>
            </w:pPr>
            <w:r w:rsidRPr="00C30948">
              <w:rPr>
                <w:rFonts w:ascii="Arial" w:hAnsi="Arial" w:cs="Arial"/>
                <w:b/>
                <w:bCs/>
              </w:rPr>
              <w:t>Mean</w:t>
            </w:r>
          </w:p>
        </w:tc>
        <w:tc>
          <w:tcPr>
            <w:tcW w:w="1710" w:type="dxa"/>
            <w:tcBorders>
              <w:bottom w:val="single" w:sz="4" w:space="0" w:color="000000"/>
            </w:tcBorders>
          </w:tcPr>
          <w:p w14:paraId="322CA143" w14:textId="77777777" w:rsidR="000B1CAA" w:rsidRPr="00C30948" w:rsidRDefault="000B1CAA" w:rsidP="00FF7FAA">
            <w:pPr>
              <w:rPr>
                <w:rFonts w:ascii="Arial" w:hAnsi="Arial" w:cs="Arial"/>
                <w:b/>
                <w:bCs/>
              </w:rPr>
            </w:pPr>
            <w:r w:rsidRPr="00C30948">
              <w:rPr>
                <w:rFonts w:ascii="Arial" w:hAnsi="Arial" w:cs="Arial"/>
                <w:b/>
                <w:bCs/>
              </w:rPr>
              <w:t>Standard Deviation</w:t>
            </w:r>
          </w:p>
        </w:tc>
      </w:tr>
      <w:tr w:rsidR="000B1CAA" w:rsidRPr="00C30948" w14:paraId="64ACFB08" w14:textId="77777777" w:rsidTr="00FF7FAA">
        <w:trPr>
          <w:trHeight w:val="266"/>
        </w:trPr>
        <w:tc>
          <w:tcPr>
            <w:tcW w:w="1710" w:type="dxa"/>
            <w:tcBorders>
              <w:top w:val="single" w:sz="4" w:space="0" w:color="000000"/>
            </w:tcBorders>
          </w:tcPr>
          <w:p w14:paraId="4F23F362" w14:textId="77777777" w:rsidR="000B1CAA" w:rsidRPr="00C30948" w:rsidRDefault="000B1CAA" w:rsidP="00FF7FAA">
            <w:pPr>
              <w:rPr>
                <w:rFonts w:ascii="Arial" w:hAnsi="Arial" w:cs="Arial"/>
              </w:rPr>
            </w:pPr>
            <w:r w:rsidRPr="00C30948">
              <w:rPr>
                <w:rFonts w:ascii="Arial" w:hAnsi="Arial" w:cs="Arial"/>
              </w:rPr>
              <w:t>Revenue</w:t>
            </w:r>
          </w:p>
        </w:tc>
        <w:tc>
          <w:tcPr>
            <w:tcW w:w="1710" w:type="dxa"/>
            <w:tcBorders>
              <w:top w:val="single" w:sz="4" w:space="0" w:color="000000"/>
            </w:tcBorders>
          </w:tcPr>
          <w:p w14:paraId="313CD024" w14:textId="77777777" w:rsidR="000B1CAA" w:rsidRPr="00C30948" w:rsidRDefault="000B1CAA" w:rsidP="00FF7FAA">
            <w:pPr>
              <w:jc w:val="both"/>
              <w:rPr>
                <w:rFonts w:ascii="Arial" w:hAnsi="Arial" w:cs="Arial"/>
              </w:rPr>
            </w:pPr>
            <w:r w:rsidRPr="00C30948">
              <w:rPr>
                <w:rFonts w:ascii="Arial" w:hAnsi="Arial" w:cs="Arial"/>
              </w:rPr>
              <w:t>2.83</w:t>
            </w:r>
          </w:p>
        </w:tc>
        <w:tc>
          <w:tcPr>
            <w:tcW w:w="1710" w:type="dxa"/>
            <w:tcBorders>
              <w:top w:val="single" w:sz="4" w:space="0" w:color="000000"/>
            </w:tcBorders>
          </w:tcPr>
          <w:p w14:paraId="0509D13E" w14:textId="77777777" w:rsidR="000B1CAA" w:rsidRPr="00C30948" w:rsidRDefault="000B1CAA" w:rsidP="00FF7FAA">
            <w:pPr>
              <w:jc w:val="both"/>
              <w:rPr>
                <w:rFonts w:ascii="Arial" w:hAnsi="Arial" w:cs="Arial"/>
              </w:rPr>
            </w:pPr>
            <w:r w:rsidRPr="00C30948">
              <w:rPr>
                <w:rFonts w:ascii="Arial" w:hAnsi="Arial" w:cs="Arial"/>
              </w:rPr>
              <w:t>0.94</w:t>
            </w:r>
          </w:p>
        </w:tc>
      </w:tr>
      <w:tr w:rsidR="000B1CAA" w:rsidRPr="00C30948" w14:paraId="4E8132AA" w14:textId="77777777" w:rsidTr="00FF7FAA">
        <w:trPr>
          <w:trHeight w:val="266"/>
        </w:trPr>
        <w:tc>
          <w:tcPr>
            <w:tcW w:w="1710" w:type="dxa"/>
          </w:tcPr>
          <w:p w14:paraId="5B2754FF" w14:textId="77777777" w:rsidR="000B1CAA" w:rsidRPr="00C30948" w:rsidRDefault="000B1CAA" w:rsidP="00FF7FAA">
            <w:pPr>
              <w:rPr>
                <w:rFonts w:ascii="Arial" w:hAnsi="Arial" w:cs="Arial"/>
              </w:rPr>
            </w:pPr>
            <w:r w:rsidRPr="00C30948">
              <w:rPr>
                <w:rFonts w:ascii="Arial" w:hAnsi="Arial" w:cs="Arial"/>
              </w:rPr>
              <w:t>Growth of Employees</w:t>
            </w:r>
          </w:p>
        </w:tc>
        <w:tc>
          <w:tcPr>
            <w:tcW w:w="1710" w:type="dxa"/>
          </w:tcPr>
          <w:p w14:paraId="0EF4947B" w14:textId="77777777" w:rsidR="000B1CAA" w:rsidRPr="00C30948" w:rsidRDefault="000B1CAA" w:rsidP="00FF7FAA">
            <w:pPr>
              <w:jc w:val="both"/>
              <w:rPr>
                <w:rFonts w:ascii="Arial" w:hAnsi="Arial" w:cs="Arial"/>
              </w:rPr>
            </w:pPr>
            <w:r w:rsidRPr="00C30948">
              <w:rPr>
                <w:rFonts w:ascii="Arial" w:hAnsi="Arial" w:cs="Arial"/>
              </w:rPr>
              <w:t>2.86</w:t>
            </w:r>
          </w:p>
        </w:tc>
        <w:tc>
          <w:tcPr>
            <w:tcW w:w="1710" w:type="dxa"/>
          </w:tcPr>
          <w:p w14:paraId="57F0DDFE" w14:textId="77777777" w:rsidR="000B1CAA" w:rsidRPr="00C30948" w:rsidRDefault="000B1CAA" w:rsidP="00FF7FAA">
            <w:pPr>
              <w:jc w:val="both"/>
              <w:rPr>
                <w:rFonts w:ascii="Arial" w:hAnsi="Arial" w:cs="Arial"/>
              </w:rPr>
            </w:pPr>
            <w:r w:rsidRPr="00C30948">
              <w:rPr>
                <w:rFonts w:ascii="Arial" w:hAnsi="Arial" w:cs="Arial"/>
              </w:rPr>
              <w:t>1.00</w:t>
            </w:r>
          </w:p>
        </w:tc>
      </w:tr>
      <w:tr w:rsidR="000B1CAA" w:rsidRPr="00C30948" w14:paraId="35BAA84F" w14:textId="77777777" w:rsidTr="00FF7FAA">
        <w:trPr>
          <w:trHeight w:val="266"/>
        </w:trPr>
        <w:tc>
          <w:tcPr>
            <w:tcW w:w="1710" w:type="dxa"/>
          </w:tcPr>
          <w:p w14:paraId="4D8171FC" w14:textId="77777777" w:rsidR="000B1CAA" w:rsidRPr="00C30948" w:rsidRDefault="000B1CAA" w:rsidP="00FF7FAA">
            <w:pPr>
              <w:jc w:val="right"/>
              <w:rPr>
                <w:rFonts w:ascii="Arial" w:hAnsi="Arial" w:cs="Arial"/>
              </w:rPr>
            </w:pPr>
            <w:r w:rsidRPr="00C30948">
              <w:rPr>
                <w:rFonts w:ascii="Arial" w:hAnsi="Arial" w:cs="Arial"/>
              </w:rPr>
              <w:t>Overall</w:t>
            </w:r>
          </w:p>
        </w:tc>
        <w:tc>
          <w:tcPr>
            <w:tcW w:w="1710" w:type="dxa"/>
          </w:tcPr>
          <w:p w14:paraId="79FE9C4C" w14:textId="77777777" w:rsidR="000B1CAA" w:rsidRPr="00C30948" w:rsidRDefault="000B1CAA" w:rsidP="00FF7FAA">
            <w:pPr>
              <w:jc w:val="both"/>
              <w:rPr>
                <w:rFonts w:ascii="Arial" w:hAnsi="Arial" w:cs="Arial"/>
              </w:rPr>
            </w:pPr>
            <w:r w:rsidRPr="00C30948">
              <w:rPr>
                <w:rFonts w:ascii="Arial" w:hAnsi="Arial" w:cs="Arial"/>
              </w:rPr>
              <w:t>2.85</w:t>
            </w:r>
          </w:p>
        </w:tc>
        <w:tc>
          <w:tcPr>
            <w:tcW w:w="1710" w:type="dxa"/>
          </w:tcPr>
          <w:p w14:paraId="37BF01F3" w14:textId="77777777" w:rsidR="000B1CAA" w:rsidRPr="00C30948" w:rsidRDefault="000B1CAA" w:rsidP="00FF7FAA">
            <w:pPr>
              <w:jc w:val="both"/>
              <w:rPr>
                <w:rFonts w:ascii="Arial" w:hAnsi="Arial" w:cs="Arial"/>
              </w:rPr>
            </w:pPr>
            <w:r w:rsidRPr="00C30948">
              <w:rPr>
                <w:rFonts w:ascii="Arial" w:hAnsi="Arial" w:cs="Arial"/>
              </w:rPr>
              <w:t>0.97</w:t>
            </w:r>
          </w:p>
        </w:tc>
      </w:tr>
    </w:tbl>
    <w:p w14:paraId="54D7C127" w14:textId="77777777" w:rsidR="000B1CAA" w:rsidRPr="00C30948" w:rsidRDefault="000B1CAA" w:rsidP="000B1CAA">
      <w:pPr>
        <w:jc w:val="both"/>
        <w:rPr>
          <w:rFonts w:ascii="Arial" w:hAnsi="Arial" w:cs="Arial"/>
        </w:rPr>
      </w:pPr>
    </w:p>
    <w:p w14:paraId="7419E8EE" w14:textId="77777777" w:rsidR="000B1CAA" w:rsidRPr="00C30948" w:rsidRDefault="000B1CAA" w:rsidP="000B1CAA">
      <w:pPr>
        <w:rPr>
          <w:rFonts w:ascii="Arial" w:hAnsi="Arial" w:cs="Arial"/>
          <w:b/>
          <w:bCs/>
          <w:sz w:val="22"/>
          <w:szCs w:val="22"/>
        </w:rPr>
      </w:pPr>
      <w:r w:rsidRPr="00C30948">
        <w:rPr>
          <w:rFonts w:ascii="Arial" w:hAnsi="Arial" w:cs="Arial"/>
          <w:b/>
          <w:bCs/>
          <w:sz w:val="22"/>
          <w:szCs w:val="22"/>
        </w:rPr>
        <w:t>3.4. Relationship between Online Transaction and Technology Acceptance and Business Performance</w:t>
      </w:r>
    </w:p>
    <w:p w14:paraId="2109E4A7" w14:textId="77777777" w:rsidR="000B1CAA" w:rsidRPr="00C30948" w:rsidRDefault="000B1CAA" w:rsidP="000B1CAA">
      <w:pPr>
        <w:jc w:val="both"/>
        <w:rPr>
          <w:rFonts w:ascii="Arial" w:hAnsi="Arial" w:cs="Arial"/>
        </w:rPr>
      </w:pPr>
    </w:p>
    <w:p w14:paraId="1395AD9E" w14:textId="77777777" w:rsidR="000B1CAA" w:rsidRPr="00C30948" w:rsidRDefault="000B1CAA" w:rsidP="000B1CAA">
      <w:pPr>
        <w:jc w:val="both"/>
        <w:rPr>
          <w:rFonts w:ascii="Arial" w:hAnsi="Arial" w:cs="Arial"/>
        </w:rPr>
      </w:pPr>
      <w:r w:rsidRPr="00C30948">
        <w:rPr>
          <w:rFonts w:ascii="Arial" w:hAnsi="Arial" w:cs="Arial"/>
        </w:rPr>
        <w:t>The correlation analysis presented in Table 4 reveals that both online transactions (r=0.670, p&lt;0.01) and technology acceptance (r=0.715, p&lt;0.01) have a strong, statistically significant positive relationship with MSME business performance. These strong relationships indicate that MSMEs adopting online transaction systems experience enhanced efficiency, expanded customer reach, and improved financial management (Laudon &amp; Traver, 2020; Kotler &amp; Keller, 2021), while technology acceptance drives operational efficiency, productivity, and innovation (Venkatesh et al., 2012; Laudon &amp; Laudon, 2021).</w:t>
      </w:r>
    </w:p>
    <w:p w14:paraId="70323CCB" w14:textId="77777777" w:rsidR="000B1CAA" w:rsidRPr="00C30948" w:rsidRDefault="000B1CAA" w:rsidP="000B1CAA">
      <w:pPr>
        <w:jc w:val="both"/>
        <w:rPr>
          <w:rFonts w:ascii="Arial" w:hAnsi="Arial" w:cs="Arial"/>
        </w:rPr>
      </w:pPr>
    </w:p>
    <w:p w14:paraId="52533301" w14:textId="77777777" w:rsidR="000B1CAA" w:rsidRPr="00C30948" w:rsidRDefault="000B1CAA" w:rsidP="000B1CAA">
      <w:pPr>
        <w:pStyle w:val="NoSpacing"/>
        <w:jc w:val="center"/>
        <w:rPr>
          <w:rFonts w:ascii="Arial" w:hAnsi="Arial" w:cs="Arial"/>
          <w:b/>
          <w:bCs/>
          <w:sz w:val="22"/>
          <w:szCs w:val="22"/>
        </w:rPr>
      </w:pPr>
    </w:p>
    <w:p w14:paraId="5CD87F8F" w14:textId="77777777" w:rsidR="000B1CAA" w:rsidRPr="00C30948" w:rsidRDefault="000B1CAA" w:rsidP="000B1CAA">
      <w:pPr>
        <w:pStyle w:val="NoSpacing"/>
        <w:jc w:val="center"/>
        <w:rPr>
          <w:rFonts w:ascii="Arial" w:hAnsi="Arial" w:cs="Arial"/>
          <w:b/>
          <w:bCs/>
          <w:sz w:val="22"/>
          <w:szCs w:val="22"/>
        </w:rPr>
      </w:pPr>
    </w:p>
    <w:p w14:paraId="78A274C0" w14:textId="77777777" w:rsidR="000B1CAA" w:rsidRPr="00C30948" w:rsidRDefault="000B1CAA" w:rsidP="000B1CAA">
      <w:pPr>
        <w:pStyle w:val="NoSpacing"/>
        <w:jc w:val="center"/>
        <w:rPr>
          <w:rFonts w:ascii="Arial" w:hAnsi="Arial" w:cs="Arial"/>
          <w:b/>
          <w:bCs/>
          <w:sz w:val="22"/>
          <w:szCs w:val="22"/>
        </w:rPr>
      </w:pPr>
      <w:r w:rsidRPr="00C30948">
        <w:rPr>
          <w:rFonts w:ascii="Arial" w:hAnsi="Arial" w:cs="Arial"/>
          <w:b/>
          <w:bCs/>
          <w:sz w:val="22"/>
          <w:szCs w:val="22"/>
        </w:rPr>
        <w:lastRenderedPageBreak/>
        <w:t>Table 4. Correlation Analysis on Online Transaction and</w:t>
      </w:r>
    </w:p>
    <w:p w14:paraId="0B65E7DC" w14:textId="77777777" w:rsidR="000B1CAA" w:rsidRPr="00C30948" w:rsidRDefault="000B1CAA" w:rsidP="000B1CAA">
      <w:pPr>
        <w:pStyle w:val="NoSpacing"/>
        <w:jc w:val="center"/>
        <w:rPr>
          <w:b/>
          <w:bCs/>
        </w:rPr>
      </w:pPr>
      <w:r w:rsidRPr="00C30948">
        <w:rPr>
          <w:rFonts w:ascii="Arial" w:hAnsi="Arial" w:cs="Arial"/>
          <w:b/>
          <w:bCs/>
          <w:sz w:val="22"/>
          <w:szCs w:val="22"/>
        </w:rPr>
        <w:t>Technology Acceptance Versus Business Performance</w:t>
      </w:r>
    </w:p>
    <w:p w14:paraId="5F7C8B02" w14:textId="77777777" w:rsidR="000B1CAA" w:rsidRPr="00C30948" w:rsidRDefault="000B1CAA" w:rsidP="000B1CAA">
      <w:pPr>
        <w:jc w:val="both"/>
        <w:rPr>
          <w:rFonts w:ascii="Arial" w:hAnsi="Arial" w:cs="Arial"/>
        </w:rPr>
      </w:pPr>
    </w:p>
    <w:tbl>
      <w:tblPr>
        <w:tblStyle w:val="TableGrid"/>
        <w:tblW w:w="0" w:type="auto"/>
        <w:tblInd w:w="11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1283"/>
        <w:gridCol w:w="1156"/>
        <w:gridCol w:w="1505"/>
      </w:tblGrid>
      <w:tr w:rsidR="000B1CAA" w:rsidRPr="00C30948" w14:paraId="51DE3CC5" w14:textId="77777777" w:rsidTr="00FF7FAA">
        <w:trPr>
          <w:trHeight w:val="460"/>
        </w:trPr>
        <w:tc>
          <w:tcPr>
            <w:tcW w:w="2444" w:type="dxa"/>
            <w:vMerge w:val="restart"/>
            <w:vAlign w:val="center"/>
          </w:tcPr>
          <w:p w14:paraId="47EDAC62" w14:textId="77777777" w:rsidR="000B1CAA" w:rsidRPr="00C30948" w:rsidRDefault="000B1CAA" w:rsidP="00FF7FAA">
            <w:pPr>
              <w:rPr>
                <w:rFonts w:ascii="Arial" w:hAnsi="Arial" w:cs="Arial"/>
                <w:b/>
                <w:bCs/>
                <w:sz w:val="20"/>
              </w:rPr>
            </w:pPr>
            <w:r w:rsidRPr="00C30948">
              <w:rPr>
                <w:rFonts w:ascii="Arial" w:hAnsi="Arial" w:cs="Arial"/>
                <w:b/>
                <w:bCs/>
                <w:sz w:val="20"/>
              </w:rPr>
              <w:t>Independent Variables</w:t>
            </w:r>
          </w:p>
        </w:tc>
        <w:tc>
          <w:tcPr>
            <w:tcW w:w="3368" w:type="dxa"/>
            <w:gridSpan w:val="3"/>
          </w:tcPr>
          <w:p w14:paraId="03FB1195" w14:textId="77777777" w:rsidR="000B1CAA" w:rsidRPr="00C30948" w:rsidRDefault="000B1CAA" w:rsidP="00FF7FAA">
            <w:pPr>
              <w:jc w:val="center"/>
              <w:rPr>
                <w:rFonts w:ascii="Arial" w:hAnsi="Arial" w:cs="Arial"/>
                <w:b/>
                <w:bCs/>
                <w:sz w:val="20"/>
              </w:rPr>
            </w:pPr>
            <w:r w:rsidRPr="00C30948">
              <w:rPr>
                <w:rFonts w:ascii="Arial" w:hAnsi="Arial" w:cs="Arial"/>
                <w:b/>
                <w:bCs/>
                <w:sz w:val="20"/>
              </w:rPr>
              <w:t>Dependent Variable:  Business Performance</w:t>
            </w:r>
          </w:p>
        </w:tc>
      </w:tr>
      <w:tr w:rsidR="000B1CAA" w:rsidRPr="00C30948" w14:paraId="4698F94D" w14:textId="77777777" w:rsidTr="00FF7FAA">
        <w:trPr>
          <w:trHeight w:val="460"/>
        </w:trPr>
        <w:tc>
          <w:tcPr>
            <w:tcW w:w="2444" w:type="dxa"/>
            <w:vMerge/>
            <w:tcBorders>
              <w:bottom w:val="single" w:sz="4" w:space="0" w:color="000000"/>
            </w:tcBorders>
          </w:tcPr>
          <w:p w14:paraId="55CE41E2" w14:textId="77777777" w:rsidR="000B1CAA" w:rsidRPr="00C30948" w:rsidRDefault="000B1CAA" w:rsidP="00FF7FAA">
            <w:pPr>
              <w:rPr>
                <w:rFonts w:ascii="Arial" w:hAnsi="Arial" w:cs="Arial"/>
                <w:sz w:val="20"/>
              </w:rPr>
            </w:pPr>
          </w:p>
        </w:tc>
        <w:tc>
          <w:tcPr>
            <w:tcW w:w="1195" w:type="dxa"/>
            <w:tcBorders>
              <w:top w:val="single" w:sz="4" w:space="0" w:color="000000"/>
              <w:bottom w:val="single" w:sz="4" w:space="0" w:color="000000"/>
            </w:tcBorders>
          </w:tcPr>
          <w:p w14:paraId="64C25FA7" w14:textId="77777777" w:rsidR="000B1CAA" w:rsidRPr="00C30948" w:rsidRDefault="000B1CAA" w:rsidP="00FF7FAA">
            <w:pPr>
              <w:rPr>
                <w:rFonts w:ascii="Arial" w:hAnsi="Arial" w:cs="Arial"/>
                <w:b/>
                <w:bCs/>
                <w:sz w:val="20"/>
              </w:rPr>
            </w:pPr>
            <w:r w:rsidRPr="00C30948">
              <w:rPr>
                <w:rFonts w:ascii="Arial" w:hAnsi="Arial" w:cs="Arial"/>
                <w:b/>
                <w:bCs/>
                <w:sz w:val="20"/>
              </w:rPr>
              <w:t>Correlation Coefficient</w:t>
            </w:r>
          </w:p>
        </w:tc>
        <w:tc>
          <w:tcPr>
            <w:tcW w:w="1156" w:type="dxa"/>
            <w:tcBorders>
              <w:top w:val="single" w:sz="4" w:space="0" w:color="000000"/>
              <w:bottom w:val="single" w:sz="4" w:space="0" w:color="000000"/>
            </w:tcBorders>
            <w:vAlign w:val="center"/>
          </w:tcPr>
          <w:p w14:paraId="0FDC80BB" w14:textId="77777777" w:rsidR="000B1CAA" w:rsidRPr="00C30948" w:rsidRDefault="000B1CAA" w:rsidP="00FF7FAA">
            <w:pPr>
              <w:rPr>
                <w:rFonts w:ascii="Arial" w:hAnsi="Arial" w:cs="Arial"/>
                <w:b/>
                <w:bCs/>
                <w:sz w:val="20"/>
              </w:rPr>
            </w:pPr>
            <w:r w:rsidRPr="00C30948">
              <w:rPr>
                <w:rFonts w:ascii="Arial" w:hAnsi="Arial" w:cs="Arial"/>
                <w:b/>
                <w:bCs/>
                <w:sz w:val="20"/>
              </w:rPr>
              <w:t>p-value</w:t>
            </w:r>
          </w:p>
        </w:tc>
        <w:tc>
          <w:tcPr>
            <w:tcW w:w="1017" w:type="dxa"/>
            <w:tcBorders>
              <w:top w:val="single" w:sz="4" w:space="0" w:color="000000"/>
              <w:bottom w:val="single" w:sz="4" w:space="0" w:color="000000"/>
            </w:tcBorders>
            <w:vAlign w:val="center"/>
          </w:tcPr>
          <w:p w14:paraId="19435177" w14:textId="77777777" w:rsidR="000B1CAA" w:rsidRPr="00C30948" w:rsidRDefault="000B1CAA" w:rsidP="00FF7FAA">
            <w:pPr>
              <w:rPr>
                <w:rFonts w:ascii="Arial" w:hAnsi="Arial" w:cs="Arial"/>
                <w:b/>
                <w:bCs/>
                <w:sz w:val="20"/>
              </w:rPr>
            </w:pPr>
            <w:r w:rsidRPr="00C30948">
              <w:rPr>
                <w:rFonts w:ascii="Arial" w:hAnsi="Arial" w:cs="Arial"/>
                <w:b/>
                <w:bCs/>
                <w:sz w:val="20"/>
              </w:rPr>
              <w:t>Interpretation</w:t>
            </w:r>
          </w:p>
        </w:tc>
      </w:tr>
      <w:tr w:rsidR="000B1CAA" w:rsidRPr="00C30948" w14:paraId="04E14EFA" w14:textId="77777777" w:rsidTr="00FF7FAA">
        <w:trPr>
          <w:trHeight w:val="460"/>
        </w:trPr>
        <w:tc>
          <w:tcPr>
            <w:tcW w:w="2444" w:type="dxa"/>
            <w:tcBorders>
              <w:top w:val="single" w:sz="4" w:space="0" w:color="000000"/>
            </w:tcBorders>
            <w:vAlign w:val="center"/>
          </w:tcPr>
          <w:p w14:paraId="75A0EC37" w14:textId="77777777" w:rsidR="000B1CAA" w:rsidRPr="00C30948" w:rsidRDefault="000B1CAA" w:rsidP="00FF7FAA">
            <w:pPr>
              <w:rPr>
                <w:rFonts w:ascii="Arial" w:hAnsi="Arial" w:cs="Arial"/>
                <w:sz w:val="20"/>
              </w:rPr>
            </w:pPr>
            <w:r w:rsidRPr="00C30948">
              <w:rPr>
                <w:rFonts w:ascii="Arial" w:hAnsi="Arial" w:cs="Arial"/>
                <w:sz w:val="20"/>
              </w:rPr>
              <w:t>Online Transaction</w:t>
            </w:r>
          </w:p>
        </w:tc>
        <w:tc>
          <w:tcPr>
            <w:tcW w:w="1195" w:type="dxa"/>
            <w:tcBorders>
              <w:top w:val="single" w:sz="4" w:space="0" w:color="000000"/>
            </w:tcBorders>
            <w:vAlign w:val="center"/>
          </w:tcPr>
          <w:p w14:paraId="3992F3BD" w14:textId="77777777" w:rsidR="000B1CAA" w:rsidRPr="00C30948" w:rsidRDefault="000B1CAA" w:rsidP="00FF7FAA">
            <w:pPr>
              <w:rPr>
                <w:rFonts w:ascii="Arial" w:hAnsi="Arial" w:cs="Arial"/>
                <w:sz w:val="20"/>
              </w:rPr>
            </w:pPr>
            <w:r w:rsidRPr="00C30948">
              <w:rPr>
                <w:rFonts w:ascii="Arial" w:hAnsi="Arial" w:cs="Arial"/>
                <w:sz w:val="20"/>
              </w:rPr>
              <w:t>.670**</w:t>
            </w:r>
          </w:p>
        </w:tc>
        <w:tc>
          <w:tcPr>
            <w:tcW w:w="1156" w:type="dxa"/>
            <w:tcBorders>
              <w:top w:val="single" w:sz="4" w:space="0" w:color="000000"/>
            </w:tcBorders>
            <w:vAlign w:val="center"/>
          </w:tcPr>
          <w:p w14:paraId="559D79F1" w14:textId="77777777" w:rsidR="000B1CAA" w:rsidRPr="00C30948" w:rsidRDefault="000B1CAA" w:rsidP="00FF7FAA">
            <w:pPr>
              <w:rPr>
                <w:rFonts w:ascii="Arial" w:hAnsi="Arial" w:cs="Arial"/>
                <w:sz w:val="20"/>
              </w:rPr>
            </w:pPr>
            <w:r w:rsidRPr="00C30948">
              <w:rPr>
                <w:rFonts w:ascii="Arial" w:hAnsi="Arial" w:cs="Arial"/>
                <w:sz w:val="20"/>
              </w:rPr>
              <w:t>.000</w:t>
            </w:r>
          </w:p>
        </w:tc>
        <w:tc>
          <w:tcPr>
            <w:tcW w:w="1017" w:type="dxa"/>
            <w:tcBorders>
              <w:top w:val="single" w:sz="4" w:space="0" w:color="000000"/>
            </w:tcBorders>
            <w:vAlign w:val="center"/>
          </w:tcPr>
          <w:p w14:paraId="155BFC0E" w14:textId="77777777" w:rsidR="000B1CAA" w:rsidRPr="00C30948" w:rsidRDefault="000B1CAA" w:rsidP="00FF7FAA">
            <w:pPr>
              <w:rPr>
                <w:rFonts w:ascii="Arial" w:hAnsi="Arial" w:cs="Arial"/>
                <w:sz w:val="20"/>
              </w:rPr>
            </w:pPr>
            <w:r w:rsidRPr="00C30948">
              <w:rPr>
                <w:rFonts w:ascii="Arial" w:hAnsi="Arial" w:cs="Arial"/>
                <w:sz w:val="20"/>
              </w:rPr>
              <w:t>Significant</w:t>
            </w:r>
          </w:p>
        </w:tc>
      </w:tr>
      <w:tr w:rsidR="00C30948" w:rsidRPr="00C30948" w14:paraId="6DC33E4A" w14:textId="77777777" w:rsidTr="00FF7FAA">
        <w:trPr>
          <w:trHeight w:val="460"/>
        </w:trPr>
        <w:tc>
          <w:tcPr>
            <w:tcW w:w="2444" w:type="dxa"/>
            <w:vAlign w:val="center"/>
          </w:tcPr>
          <w:p w14:paraId="529F6E8A" w14:textId="77777777" w:rsidR="000B1CAA" w:rsidRPr="00C30948" w:rsidRDefault="000B1CAA" w:rsidP="00FF7FAA">
            <w:pPr>
              <w:rPr>
                <w:rFonts w:ascii="Arial" w:hAnsi="Arial" w:cs="Arial"/>
                <w:sz w:val="20"/>
              </w:rPr>
            </w:pPr>
            <w:r w:rsidRPr="00C30948">
              <w:rPr>
                <w:rFonts w:ascii="Arial" w:hAnsi="Arial" w:cs="Arial"/>
                <w:sz w:val="20"/>
              </w:rPr>
              <w:t>Technology Acceptance</w:t>
            </w:r>
          </w:p>
        </w:tc>
        <w:tc>
          <w:tcPr>
            <w:tcW w:w="1195" w:type="dxa"/>
            <w:vAlign w:val="center"/>
          </w:tcPr>
          <w:p w14:paraId="496073EE" w14:textId="77777777" w:rsidR="000B1CAA" w:rsidRPr="00C30948" w:rsidRDefault="000B1CAA" w:rsidP="00FF7FAA">
            <w:pPr>
              <w:rPr>
                <w:rFonts w:ascii="Arial" w:hAnsi="Arial" w:cs="Arial"/>
                <w:sz w:val="20"/>
              </w:rPr>
            </w:pPr>
            <w:r w:rsidRPr="00C30948">
              <w:rPr>
                <w:rFonts w:ascii="Arial" w:hAnsi="Arial" w:cs="Arial"/>
                <w:sz w:val="20"/>
              </w:rPr>
              <w:t>.715**</w:t>
            </w:r>
          </w:p>
        </w:tc>
        <w:tc>
          <w:tcPr>
            <w:tcW w:w="1156" w:type="dxa"/>
            <w:vAlign w:val="center"/>
          </w:tcPr>
          <w:p w14:paraId="144C5C76" w14:textId="77777777" w:rsidR="000B1CAA" w:rsidRPr="00C30948" w:rsidRDefault="000B1CAA" w:rsidP="00FF7FAA">
            <w:pPr>
              <w:rPr>
                <w:rFonts w:ascii="Arial" w:hAnsi="Arial" w:cs="Arial"/>
                <w:sz w:val="20"/>
              </w:rPr>
            </w:pPr>
            <w:r w:rsidRPr="00C30948">
              <w:rPr>
                <w:rFonts w:ascii="Arial" w:hAnsi="Arial" w:cs="Arial"/>
                <w:sz w:val="20"/>
              </w:rPr>
              <w:t>.000</w:t>
            </w:r>
          </w:p>
        </w:tc>
        <w:tc>
          <w:tcPr>
            <w:tcW w:w="1017" w:type="dxa"/>
            <w:vAlign w:val="center"/>
          </w:tcPr>
          <w:p w14:paraId="5083DD07" w14:textId="77777777" w:rsidR="000B1CAA" w:rsidRPr="00C30948" w:rsidRDefault="000B1CAA" w:rsidP="00FF7FAA">
            <w:pPr>
              <w:rPr>
                <w:rFonts w:ascii="Arial" w:hAnsi="Arial" w:cs="Arial"/>
                <w:sz w:val="20"/>
              </w:rPr>
            </w:pPr>
            <w:r w:rsidRPr="00C30948">
              <w:rPr>
                <w:rFonts w:ascii="Arial" w:hAnsi="Arial" w:cs="Arial"/>
                <w:sz w:val="20"/>
              </w:rPr>
              <w:t>Significant</w:t>
            </w:r>
          </w:p>
        </w:tc>
      </w:tr>
    </w:tbl>
    <w:p w14:paraId="76399A89" w14:textId="77777777" w:rsidR="000B1CAA" w:rsidRPr="00C30948" w:rsidRDefault="000B1CAA" w:rsidP="000B1CAA">
      <w:pPr>
        <w:ind w:firstLine="720"/>
        <w:jc w:val="center"/>
        <w:rPr>
          <w:rFonts w:ascii="Arial" w:hAnsi="Arial" w:cs="Arial"/>
          <w:i/>
          <w:iCs/>
        </w:rPr>
      </w:pPr>
      <w:r w:rsidRPr="00C30948">
        <w:rPr>
          <w:rFonts w:ascii="Arial" w:hAnsi="Arial" w:cs="Arial"/>
          <w:i/>
          <w:iCs/>
        </w:rPr>
        <w:t>** Correlation is significant at the 0.01 level (2-tailed)</w:t>
      </w:r>
    </w:p>
    <w:p w14:paraId="1AEA6B23" w14:textId="77777777" w:rsidR="000B1CAA" w:rsidRPr="00C30948" w:rsidRDefault="000B1CAA" w:rsidP="000B1CAA">
      <w:pPr>
        <w:jc w:val="both"/>
        <w:rPr>
          <w:rFonts w:ascii="Arial" w:hAnsi="Arial" w:cs="Arial"/>
        </w:rPr>
      </w:pPr>
    </w:p>
    <w:p w14:paraId="2E1CF0D0" w14:textId="77777777" w:rsidR="000B1CAA" w:rsidRPr="00C30948" w:rsidRDefault="000B1CAA" w:rsidP="000B1CAA">
      <w:pPr>
        <w:jc w:val="both"/>
        <w:rPr>
          <w:rFonts w:ascii="Arial" w:hAnsi="Arial" w:cs="Arial"/>
        </w:rPr>
      </w:pPr>
      <w:r w:rsidRPr="00C30948">
        <w:rPr>
          <w:rFonts w:ascii="Arial" w:hAnsi="Arial" w:cs="Arial"/>
        </w:rPr>
        <w:t>The findings are supported by contemporary research demonstrating that digital adoption enables market expansion, improves competitiveness, and enhances firm performance through improved strategic orientation and innovation capabilities (Singh, 202</w:t>
      </w:r>
      <w:r w:rsidR="001F38C4" w:rsidRPr="00C30948">
        <w:rPr>
          <w:rFonts w:ascii="Arial" w:hAnsi="Arial" w:cs="Arial"/>
        </w:rPr>
        <w:t>0</w:t>
      </w:r>
      <w:r w:rsidRPr="00C30948">
        <w:rPr>
          <w:rFonts w:ascii="Arial" w:hAnsi="Arial" w:cs="Arial"/>
        </w:rPr>
        <w:t>). This confirms that digital transformation is crucial for MSME growth and sustainability in evolving markets.</w:t>
      </w:r>
    </w:p>
    <w:p w14:paraId="274F1FE6" w14:textId="77777777" w:rsidR="000B1CAA" w:rsidRPr="00C30948" w:rsidRDefault="000B1CAA" w:rsidP="000B1CAA">
      <w:pPr>
        <w:jc w:val="both"/>
        <w:rPr>
          <w:rFonts w:ascii="Arial" w:hAnsi="Arial" w:cs="Arial"/>
        </w:rPr>
      </w:pPr>
    </w:p>
    <w:p w14:paraId="21878735" w14:textId="77777777" w:rsidR="000B1CAA" w:rsidRPr="00C30948" w:rsidRDefault="000B1CAA" w:rsidP="000B1CAA">
      <w:pPr>
        <w:jc w:val="both"/>
        <w:rPr>
          <w:rFonts w:ascii="Arial" w:hAnsi="Arial" w:cs="Arial"/>
          <w:b/>
          <w:bCs/>
          <w:sz w:val="22"/>
          <w:szCs w:val="22"/>
        </w:rPr>
      </w:pPr>
      <w:r w:rsidRPr="00C30948">
        <w:rPr>
          <w:rFonts w:ascii="Arial" w:hAnsi="Arial" w:cs="Arial"/>
          <w:b/>
          <w:bCs/>
          <w:sz w:val="22"/>
          <w:szCs w:val="22"/>
        </w:rPr>
        <w:t>3.5 Independent Variables Predicts Business Performance</w:t>
      </w:r>
    </w:p>
    <w:p w14:paraId="675ACF1F" w14:textId="77777777" w:rsidR="000B1CAA" w:rsidRPr="00C30948" w:rsidRDefault="000B1CAA" w:rsidP="000B1CAA">
      <w:pPr>
        <w:jc w:val="both"/>
        <w:rPr>
          <w:rFonts w:ascii="Arial" w:hAnsi="Arial" w:cs="Arial"/>
        </w:rPr>
      </w:pPr>
    </w:p>
    <w:p w14:paraId="21C8D46C" w14:textId="77777777" w:rsidR="00C74FB6" w:rsidRPr="00C30948" w:rsidRDefault="00C74FB6" w:rsidP="000B1CAA">
      <w:pPr>
        <w:jc w:val="both"/>
        <w:rPr>
          <w:rFonts w:ascii="Arial" w:hAnsi="Arial" w:cs="Arial"/>
          <w:shd w:val="clear" w:color="auto" w:fill="FFFFFF"/>
        </w:rPr>
      </w:pPr>
      <w:r w:rsidRPr="00C30948">
        <w:rPr>
          <w:rFonts w:ascii="Arial" w:hAnsi="Arial" w:cs="Arial"/>
          <w:shd w:val="clear" w:color="auto" w:fill="FFFFFF"/>
        </w:rPr>
        <w:t xml:space="preserve">Table 5 presents the Regression analysis which reveals that both online transactions and technology acceptance are significant predictors of MSME business performance, with the model explaining 56.6% of its variance (Adjusted R² = 0.566, p &lt; 0.001). Technology acceptance (β = 0.483, p &lt; 0.001) is the strongest predictor, followed by online transactions (β = 0.334, p &lt; 0.001). The regression equation *Y = 0.168 + 0.404(Online Transaction) + 0.539(Technology </w:t>
      </w:r>
      <w:proofErr w:type="gramStart"/>
      <w:r w:rsidRPr="00C30948">
        <w:rPr>
          <w:rFonts w:ascii="Arial" w:hAnsi="Arial" w:cs="Arial"/>
          <w:shd w:val="clear" w:color="auto" w:fill="FFFFFF"/>
        </w:rPr>
        <w:t>Acceptance)*</w:t>
      </w:r>
      <w:proofErr w:type="gramEnd"/>
      <w:r w:rsidRPr="00C30948">
        <w:rPr>
          <w:rFonts w:ascii="Arial" w:hAnsi="Arial" w:cs="Arial"/>
          <w:shd w:val="clear" w:color="auto" w:fill="FFFFFF"/>
        </w:rPr>
        <w:t> indicates that a one-unit increase in technology acceptance leads to a 0.539-unit improvement in performance, while a one-unit increase in online transactions results in a 0.404-unit gain.</w:t>
      </w:r>
    </w:p>
    <w:p w14:paraId="3089E5E3" w14:textId="77777777" w:rsidR="00C74FB6" w:rsidRPr="00C30948" w:rsidRDefault="00C74FB6" w:rsidP="000B1CAA">
      <w:pPr>
        <w:jc w:val="both"/>
        <w:rPr>
          <w:rFonts w:ascii="Arial" w:hAnsi="Arial" w:cs="Arial"/>
        </w:rPr>
      </w:pPr>
    </w:p>
    <w:p w14:paraId="35450736" w14:textId="77777777" w:rsidR="000B1CAA" w:rsidRPr="00C30948" w:rsidRDefault="000B1CAA" w:rsidP="000B1CAA">
      <w:pPr>
        <w:autoSpaceDE w:val="0"/>
        <w:autoSpaceDN w:val="0"/>
        <w:adjustRightInd w:val="0"/>
        <w:jc w:val="center"/>
        <w:rPr>
          <w:rFonts w:ascii="Arial" w:hAnsi="Arial" w:cs="Arial"/>
          <w:b/>
          <w:bCs/>
          <w:sz w:val="22"/>
          <w:szCs w:val="22"/>
        </w:rPr>
      </w:pPr>
      <w:r w:rsidRPr="00C30948">
        <w:rPr>
          <w:rFonts w:ascii="Arial" w:hAnsi="Arial" w:cs="Arial"/>
          <w:b/>
          <w:bCs/>
          <w:sz w:val="22"/>
          <w:szCs w:val="22"/>
        </w:rPr>
        <w:t>Table 5. Regression Analysis on Online Transaction and</w:t>
      </w:r>
    </w:p>
    <w:p w14:paraId="343282FA" w14:textId="77777777" w:rsidR="000B1CAA" w:rsidRPr="00C30948" w:rsidRDefault="000B1CAA" w:rsidP="000B1CAA">
      <w:pPr>
        <w:autoSpaceDE w:val="0"/>
        <w:autoSpaceDN w:val="0"/>
        <w:adjustRightInd w:val="0"/>
        <w:jc w:val="center"/>
        <w:rPr>
          <w:rFonts w:ascii="Arial" w:hAnsi="Arial" w:cs="Arial"/>
          <w:b/>
          <w:bCs/>
          <w:sz w:val="22"/>
          <w:szCs w:val="22"/>
        </w:rPr>
      </w:pPr>
      <w:r w:rsidRPr="00C30948">
        <w:rPr>
          <w:rFonts w:ascii="Arial" w:hAnsi="Arial" w:cs="Arial"/>
          <w:b/>
          <w:bCs/>
          <w:sz w:val="22"/>
          <w:szCs w:val="22"/>
        </w:rPr>
        <w:t>Technology Acceptance Versus Business Performance</w:t>
      </w:r>
    </w:p>
    <w:p w14:paraId="10D77AED" w14:textId="77777777" w:rsidR="000B1CAA" w:rsidRPr="00C30948" w:rsidRDefault="000B1CAA" w:rsidP="000B1CAA">
      <w:pPr>
        <w:jc w:val="both"/>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1717"/>
        <w:gridCol w:w="796"/>
        <w:gridCol w:w="1250"/>
        <w:gridCol w:w="814"/>
        <w:gridCol w:w="815"/>
        <w:gridCol w:w="1505"/>
      </w:tblGrid>
      <w:tr w:rsidR="000B1CAA" w:rsidRPr="00C30948" w14:paraId="0F682E53" w14:textId="77777777" w:rsidTr="00FF7FAA">
        <w:trPr>
          <w:trHeight w:val="680"/>
        </w:trPr>
        <w:tc>
          <w:tcPr>
            <w:tcW w:w="1823" w:type="dxa"/>
            <w:vMerge w:val="restart"/>
            <w:vAlign w:val="center"/>
          </w:tcPr>
          <w:p w14:paraId="3593A23A"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Independent Variable</w:t>
            </w:r>
          </w:p>
        </w:tc>
        <w:tc>
          <w:tcPr>
            <w:tcW w:w="7537" w:type="dxa"/>
            <w:gridSpan w:val="6"/>
            <w:tcBorders>
              <w:bottom w:val="single" w:sz="4" w:space="0" w:color="000000"/>
            </w:tcBorders>
            <w:vAlign w:val="center"/>
          </w:tcPr>
          <w:p w14:paraId="7BC35386"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Dependent Variable:  Business Performance</w:t>
            </w:r>
          </w:p>
        </w:tc>
      </w:tr>
      <w:tr w:rsidR="000B1CAA" w:rsidRPr="00C30948" w14:paraId="4F056F75" w14:textId="77777777" w:rsidTr="00FF7FAA">
        <w:trPr>
          <w:trHeight w:val="680"/>
        </w:trPr>
        <w:tc>
          <w:tcPr>
            <w:tcW w:w="1823" w:type="dxa"/>
            <w:vMerge/>
            <w:tcBorders>
              <w:bottom w:val="single" w:sz="4" w:space="0" w:color="000000"/>
            </w:tcBorders>
            <w:vAlign w:val="center"/>
          </w:tcPr>
          <w:p w14:paraId="2AC5D655" w14:textId="77777777" w:rsidR="000B1CAA" w:rsidRPr="00C30948" w:rsidRDefault="000B1CAA" w:rsidP="00FF7FAA">
            <w:pPr>
              <w:rPr>
                <w:rFonts w:ascii="Arial" w:hAnsi="Arial" w:cs="Arial"/>
                <w:b/>
                <w:bCs/>
                <w:sz w:val="20"/>
                <w:szCs w:val="20"/>
              </w:rPr>
            </w:pPr>
          </w:p>
        </w:tc>
        <w:tc>
          <w:tcPr>
            <w:tcW w:w="1717" w:type="dxa"/>
            <w:tcBorders>
              <w:top w:val="single" w:sz="4" w:space="0" w:color="000000"/>
              <w:bottom w:val="single" w:sz="4" w:space="0" w:color="000000"/>
            </w:tcBorders>
            <w:vAlign w:val="center"/>
          </w:tcPr>
          <w:p w14:paraId="02BC4CDB"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Unstandardized Beta Coefficient</w:t>
            </w:r>
          </w:p>
        </w:tc>
        <w:tc>
          <w:tcPr>
            <w:tcW w:w="1014" w:type="dxa"/>
            <w:tcBorders>
              <w:top w:val="single" w:sz="4" w:space="0" w:color="000000"/>
              <w:bottom w:val="single" w:sz="4" w:space="0" w:color="000000"/>
            </w:tcBorders>
            <w:vAlign w:val="center"/>
          </w:tcPr>
          <w:p w14:paraId="0CDD1619"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Std. Error</w:t>
            </w:r>
          </w:p>
        </w:tc>
        <w:tc>
          <w:tcPr>
            <w:tcW w:w="1250" w:type="dxa"/>
            <w:tcBorders>
              <w:top w:val="single" w:sz="4" w:space="0" w:color="000000"/>
              <w:bottom w:val="single" w:sz="4" w:space="0" w:color="000000"/>
            </w:tcBorders>
            <w:vAlign w:val="center"/>
          </w:tcPr>
          <w:p w14:paraId="18A57AD4"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Std. Beta Coefficient</w:t>
            </w:r>
          </w:p>
        </w:tc>
        <w:tc>
          <w:tcPr>
            <w:tcW w:w="1024" w:type="dxa"/>
            <w:tcBorders>
              <w:top w:val="single" w:sz="4" w:space="0" w:color="000000"/>
              <w:bottom w:val="single" w:sz="4" w:space="0" w:color="000000"/>
            </w:tcBorders>
            <w:vAlign w:val="center"/>
          </w:tcPr>
          <w:p w14:paraId="1F65D4E6"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t-value</w:t>
            </w:r>
          </w:p>
        </w:tc>
        <w:tc>
          <w:tcPr>
            <w:tcW w:w="1027" w:type="dxa"/>
            <w:tcBorders>
              <w:top w:val="single" w:sz="4" w:space="0" w:color="000000"/>
              <w:bottom w:val="single" w:sz="4" w:space="0" w:color="000000"/>
            </w:tcBorders>
            <w:vAlign w:val="center"/>
          </w:tcPr>
          <w:p w14:paraId="20A5477F"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p-value</w:t>
            </w:r>
          </w:p>
        </w:tc>
        <w:tc>
          <w:tcPr>
            <w:tcW w:w="1505" w:type="dxa"/>
            <w:tcBorders>
              <w:top w:val="single" w:sz="4" w:space="0" w:color="000000"/>
              <w:bottom w:val="single" w:sz="4" w:space="0" w:color="000000"/>
            </w:tcBorders>
            <w:vAlign w:val="center"/>
          </w:tcPr>
          <w:p w14:paraId="7FB49D5A" w14:textId="77777777" w:rsidR="000B1CAA" w:rsidRPr="00C30948" w:rsidRDefault="000B1CAA" w:rsidP="00FF7FAA">
            <w:pPr>
              <w:rPr>
                <w:rFonts w:ascii="Arial" w:hAnsi="Arial" w:cs="Arial"/>
                <w:b/>
                <w:bCs/>
                <w:sz w:val="20"/>
                <w:szCs w:val="20"/>
              </w:rPr>
            </w:pPr>
            <w:r w:rsidRPr="00C30948">
              <w:rPr>
                <w:rFonts w:ascii="Arial" w:hAnsi="Arial" w:cs="Arial"/>
                <w:b/>
                <w:bCs/>
                <w:sz w:val="20"/>
                <w:szCs w:val="20"/>
              </w:rPr>
              <w:t>Interpretation</w:t>
            </w:r>
          </w:p>
        </w:tc>
      </w:tr>
      <w:tr w:rsidR="000B1CAA" w:rsidRPr="00C30948" w14:paraId="1BE5A87E" w14:textId="77777777" w:rsidTr="00FF7FAA">
        <w:trPr>
          <w:trHeight w:val="680"/>
        </w:trPr>
        <w:tc>
          <w:tcPr>
            <w:tcW w:w="1823" w:type="dxa"/>
            <w:tcBorders>
              <w:top w:val="single" w:sz="4" w:space="0" w:color="000000"/>
            </w:tcBorders>
            <w:vAlign w:val="center"/>
          </w:tcPr>
          <w:p w14:paraId="1E91B100" w14:textId="77777777" w:rsidR="000B1CAA" w:rsidRPr="00C30948" w:rsidRDefault="000B1CAA" w:rsidP="00FF7FAA">
            <w:pPr>
              <w:rPr>
                <w:rFonts w:ascii="Arial" w:hAnsi="Arial" w:cs="Arial"/>
                <w:sz w:val="20"/>
                <w:szCs w:val="20"/>
              </w:rPr>
            </w:pPr>
            <w:r w:rsidRPr="00C30948">
              <w:rPr>
                <w:rFonts w:ascii="Arial" w:hAnsi="Arial" w:cs="Arial"/>
                <w:sz w:val="20"/>
                <w:szCs w:val="20"/>
              </w:rPr>
              <w:t>(Constant)</w:t>
            </w:r>
          </w:p>
        </w:tc>
        <w:tc>
          <w:tcPr>
            <w:tcW w:w="1717" w:type="dxa"/>
            <w:tcBorders>
              <w:top w:val="single" w:sz="4" w:space="0" w:color="000000"/>
            </w:tcBorders>
            <w:vAlign w:val="center"/>
          </w:tcPr>
          <w:p w14:paraId="56400A24"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.168</w:t>
            </w:r>
          </w:p>
        </w:tc>
        <w:tc>
          <w:tcPr>
            <w:tcW w:w="1014" w:type="dxa"/>
            <w:tcBorders>
              <w:top w:val="single" w:sz="4" w:space="0" w:color="000000"/>
            </w:tcBorders>
            <w:vAlign w:val="center"/>
          </w:tcPr>
          <w:p w14:paraId="71D1E94E"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.135</w:t>
            </w:r>
          </w:p>
        </w:tc>
        <w:tc>
          <w:tcPr>
            <w:tcW w:w="1250" w:type="dxa"/>
            <w:tcBorders>
              <w:top w:val="single" w:sz="4" w:space="0" w:color="000000"/>
            </w:tcBorders>
            <w:vAlign w:val="center"/>
          </w:tcPr>
          <w:p w14:paraId="1CF05A90" w14:textId="77777777" w:rsidR="000B1CAA" w:rsidRPr="00C30948" w:rsidRDefault="000B1CAA" w:rsidP="00FF7FAA">
            <w:pPr>
              <w:rPr>
                <w:rFonts w:ascii="Arial" w:hAnsi="Arial" w:cs="Arial"/>
                <w:sz w:val="20"/>
                <w:szCs w:val="20"/>
              </w:rPr>
            </w:pPr>
          </w:p>
        </w:tc>
        <w:tc>
          <w:tcPr>
            <w:tcW w:w="1024" w:type="dxa"/>
            <w:tcBorders>
              <w:top w:val="single" w:sz="4" w:space="0" w:color="000000"/>
            </w:tcBorders>
            <w:vAlign w:val="center"/>
          </w:tcPr>
          <w:p w14:paraId="4BCEF84A"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1.250</w:t>
            </w:r>
          </w:p>
        </w:tc>
        <w:tc>
          <w:tcPr>
            <w:tcW w:w="1027" w:type="dxa"/>
            <w:tcBorders>
              <w:top w:val="single" w:sz="4" w:space="0" w:color="000000"/>
            </w:tcBorders>
            <w:vAlign w:val="center"/>
          </w:tcPr>
          <w:p w14:paraId="5E180EA4"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.212</w:t>
            </w:r>
          </w:p>
        </w:tc>
        <w:tc>
          <w:tcPr>
            <w:tcW w:w="1505" w:type="dxa"/>
            <w:tcBorders>
              <w:top w:val="single" w:sz="4" w:space="0" w:color="000000"/>
            </w:tcBorders>
            <w:vAlign w:val="center"/>
          </w:tcPr>
          <w:p w14:paraId="5BF688A9" w14:textId="77777777" w:rsidR="000B1CAA" w:rsidRPr="00C30948" w:rsidRDefault="000B1CAA" w:rsidP="00FF7FAA">
            <w:pPr>
              <w:rPr>
                <w:rFonts w:ascii="Arial" w:hAnsi="Arial" w:cs="Arial"/>
                <w:sz w:val="20"/>
                <w:szCs w:val="20"/>
              </w:rPr>
            </w:pPr>
            <w:r w:rsidRPr="00C30948">
              <w:rPr>
                <w:rFonts w:ascii="Arial" w:hAnsi="Arial" w:cs="Arial"/>
                <w:sz w:val="20"/>
                <w:szCs w:val="20"/>
              </w:rPr>
              <w:t>---</w:t>
            </w:r>
          </w:p>
        </w:tc>
      </w:tr>
      <w:tr w:rsidR="000B1CAA" w:rsidRPr="00C30948" w14:paraId="5117C892" w14:textId="77777777" w:rsidTr="00FF7FAA">
        <w:trPr>
          <w:trHeight w:val="680"/>
        </w:trPr>
        <w:tc>
          <w:tcPr>
            <w:tcW w:w="1823" w:type="dxa"/>
            <w:vAlign w:val="center"/>
          </w:tcPr>
          <w:p w14:paraId="547DAF3B" w14:textId="77777777" w:rsidR="000B1CAA" w:rsidRPr="00C30948" w:rsidRDefault="000B1CAA" w:rsidP="00FF7FAA">
            <w:pPr>
              <w:rPr>
                <w:rFonts w:ascii="Arial" w:hAnsi="Arial" w:cs="Arial"/>
                <w:sz w:val="20"/>
                <w:szCs w:val="20"/>
              </w:rPr>
            </w:pPr>
            <w:r w:rsidRPr="00C30948">
              <w:rPr>
                <w:rFonts w:ascii="Arial" w:hAnsi="Arial" w:cs="Arial"/>
                <w:sz w:val="20"/>
                <w:szCs w:val="20"/>
              </w:rPr>
              <w:t>Online Transaction</w:t>
            </w:r>
          </w:p>
        </w:tc>
        <w:tc>
          <w:tcPr>
            <w:tcW w:w="1717" w:type="dxa"/>
            <w:vAlign w:val="center"/>
          </w:tcPr>
          <w:p w14:paraId="74B852E1"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.404</w:t>
            </w:r>
          </w:p>
        </w:tc>
        <w:tc>
          <w:tcPr>
            <w:tcW w:w="1014" w:type="dxa"/>
            <w:vAlign w:val="center"/>
          </w:tcPr>
          <w:p w14:paraId="5E5089E2"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.062</w:t>
            </w:r>
          </w:p>
        </w:tc>
        <w:tc>
          <w:tcPr>
            <w:tcW w:w="1250" w:type="dxa"/>
            <w:vAlign w:val="center"/>
          </w:tcPr>
          <w:p w14:paraId="52C67E97"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.334</w:t>
            </w:r>
          </w:p>
        </w:tc>
        <w:tc>
          <w:tcPr>
            <w:tcW w:w="1024" w:type="dxa"/>
            <w:vAlign w:val="center"/>
          </w:tcPr>
          <w:p w14:paraId="23F33861"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6.523</w:t>
            </w:r>
          </w:p>
        </w:tc>
        <w:tc>
          <w:tcPr>
            <w:tcW w:w="1027" w:type="dxa"/>
            <w:vAlign w:val="center"/>
          </w:tcPr>
          <w:p w14:paraId="44C6ACB1"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.000</w:t>
            </w:r>
          </w:p>
        </w:tc>
        <w:tc>
          <w:tcPr>
            <w:tcW w:w="1505" w:type="dxa"/>
            <w:vAlign w:val="center"/>
          </w:tcPr>
          <w:p w14:paraId="14DBD8C5" w14:textId="77777777" w:rsidR="000B1CAA" w:rsidRPr="00C30948" w:rsidRDefault="000B1CAA" w:rsidP="00FF7FAA">
            <w:pPr>
              <w:rPr>
                <w:rFonts w:ascii="Arial" w:hAnsi="Arial" w:cs="Arial"/>
                <w:sz w:val="20"/>
                <w:szCs w:val="20"/>
              </w:rPr>
            </w:pPr>
            <w:r w:rsidRPr="00C30948">
              <w:rPr>
                <w:rFonts w:ascii="Arial" w:hAnsi="Arial" w:cs="Arial"/>
                <w:sz w:val="20"/>
                <w:szCs w:val="20"/>
              </w:rPr>
              <w:t>Significant</w:t>
            </w:r>
          </w:p>
        </w:tc>
      </w:tr>
      <w:tr w:rsidR="000B1CAA" w:rsidRPr="00C30948" w14:paraId="2F1740DD" w14:textId="77777777" w:rsidTr="00FF7FAA">
        <w:trPr>
          <w:trHeight w:val="680"/>
        </w:trPr>
        <w:tc>
          <w:tcPr>
            <w:tcW w:w="1823" w:type="dxa"/>
            <w:tcBorders>
              <w:bottom w:val="single" w:sz="4" w:space="0" w:color="000000"/>
            </w:tcBorders>
            <w:vAlign w:val="center"/>
          </w:tcPr>
          <w:p w14:paraId="18765C10" w14:textId="77777777" w:rsidR="000B1CAA" w:rsidRPr="00C30948" w:rsidRDefault="000B1CAA" w:rsidP="00FF7FAA">
            <w:pPr>
              <w:rPr>
                <w:rFonts w:ascii="Arial" w:hAnsi="Arial" w:cs="Arial"/>
                <w:sz w:val="20"/>
                <w:szCs w:val="20"/>
              </w:rPr>
            </w:pPr>
            <w:r w:rsidRPr="00C30948">
              <w:rPr>
                <w:rFonts w:ascii="Arial" w:hAnsi="Arial" w:cs="Arial"/>
                <w:sz w:val="20"/>
                <w:szCs w:val="20"/>
              </w:rPr>
              <w:t>Technology Acceptance</w:t>
            </w:r>
          </w:p>
        </w:tc>
        <w:tc>
          <w:tcPr>
            <w:tcW w:w="1717" w:type="dxa"/>
            <w:tcBorders>
              <w:bottom w:val="single" w:sz="4" w:space="0" w:color="000000"/>
            </w:tcBorders>
            <w:vAlign w:val="center"/>
          </w:tcPr>
          <w:p w14:paraId="0FB68F2F"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.539</w:t>
            </w:r>
          </w:p>
        </w:tc>
        <w:tc>
          <w:tcPr>
            <w:tcW w:w="1014" w:type="dxa"/>
            <w:tcBorders>
              <w:bottom w:val="single" w:sz="4" w:space="0" w:color="000000"/>
            </w:tcBorders>
            <w:vAlign w:val="center"/>
          </w:tcPr>
          <w:p w14:paraId="699FA87B"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.057</w:t>
            </w:r>
          </w:p>
        </w:tc>
        <w:tc>
          <w:tcPr>
            <w:tcW w:w="1250" w:type="dxa"/>
            <w:tcBorders>
              <w:bottom w:val="single" w:sz="4" w:space="0" w:color="000000"/>
            </w:tcBorders>
            <w:vAlign w:val="center"/>
          </w:tcPr>
          <w:p w14:paraId="2D0F6F8B"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.483</w:t>
            </w:r>
          </w:p>
        </w:tc>
        <w:tc>
          <w:tcPr>
            <w:tcW w:w="1024" w:type="dxa"/>
            <w:tcBorders>
              <w:bottom w:val="single" w:sz="4" w:space="0" w:color="000000"/>
            </w:tcBorders>
            <w:vAlign w:val="center"/>
          </w:tcPr>
          <w:p w14:paraId="443700D0"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9.448</w:t>
            </w:r>
          </w:p>
        </w:tc>
        <w:tc>
          <w:tcPr>
            <w:tcW w:w="1027" w:type="dxa"/>
            <w:tcBorders>
              <w:bottom w:val="single" w:sz="4" w:space="0" w:color="000000"/>
            </w:tcBorders>
            <w:vAlign w:val="center"/>
          </w:tcPr>
          <w:p w14:paraId="0D26F2D3" w14:textId="77777777" w:rsidR="000B1CAA" w:rsidRPr="00C30948" w:rsidRDefault="000B1CAA" w:rsidP="00FF7FAA">
            <w:pPr>
              <w:rPr>
                <w:rFonts w:ascii="Arial" w:hAnsi="Arial" w:cs="Arial"/>
                <w:sz w:val="20"/>
                <w:szCs w:val="20"/>
              </w:rPr>
            </w:pPr>
            <w:r w:rsidRPr="00C30948">
              <w:rPr>
                <w:rFonts w:ascii="Arial" w:hAnsi="Arial" w:cs="Arial"/>
                <w:color w:val="000000"/>
                <w:sz w:val="20"/>
                <w:szCs w:val="20"/>
              </w:rPr>
              <w:t>.000</w:t>
            </w:r>
          </w:p>
        </w:tc>
        <w:tc>
          <w:tcPr>
            <w:tcW w:w="1505" w:type="dxa"/>
            <w:tcBorders>
              <w:bottom w:val="single" w:sz="4" w:space="0" w:color="000000"/>
            </w:tcBorders>
            <w:vAlign w:val="center"/>
          </w:tcPr>
          <w:p w14:paraId="2A3E322A" w14:textId="77777777" w:rsidR="000B1CAA" w:rsidRPr="00C30948" w:rsidRDefault="000B1CAA" w:rsidP="00FF7FAA">
            <w:pPr>
              <w:rPr>
                <w:rFonts w:ascii="Arial" w:hAnsi="Arial" w:cs="Arial"/>
                <w:sz w:val="20"/>
                <w:szCs w:val="20"/>
              </w:rPr>
            </w:pPr>
            <w:r w:rsidRPr="00C30948">
              <w:rPr>
                <w:rFonts w:ascii="Arial" w:hAnsi="Arial" w:cs="Arial"/>
                <w:sz w:val="20"/>
                <w:szCs w:val="20"/>
              </w:rPr>
              <w:t>Significant</w:t>
            </w:r>
          </w:p>
        </w:tc>
      </w:tr>
      <w:tr w:rsidR="000B1CAA" w:rsidRPr="00C30948" w14:paraId="2CEB8547" w14:textId="77777777" w:rsidTr="00FF7FAA">
        <w:trPr>
          <w:trHeight w:val="680"/>
        </w:trPr>
        <w:tc>
          <w:tcPr>
            <w:tcW w:w="9360" w:type="dxa"/>
            <w:gridSpan w:val="7"/>
            <w:tcBorders>
              <w:top w:val="single" w:sz="4" w:space="0" w:color="000000"/>
            </w:tcBorders>
            <w:vAlign w:val="center"/>
          </w:tcPr>
          <w:p w14:paraId="2A201C54" w14:textId="77777777" w:rsidR="000B1CAA" w:rsidRPr="00C30948" w:rsidRDefault="000B1CAA" w:rsidP="00FF7FAA">
            <w:pPr>
              <w:jc w:val="center"/>
              <w:rPr>
                <w:rFonts w:ascii="Arial" w:hAnsi="Arial" w:cs="Arial"/>
                <w:i/>
                <w:iCs/>
                <w:sz w:val="18"/>
                <w:szCs w:val="18"/>
              </w:rPr>
            </w:pPr>
            <w:r w:rsidRPr="00C30948">
              <w:rPr>
                <w:rFonts w:ascii="Arial" w:hAnsi="Arial" w:cs="Arial"/>
                <w:i/>
                <w:iCs/>
                <w:sz w:val="18"/>
                <w:szCs w:val="18"/>
              </w:rPr>
              <w:t>R = .754              Adj R2 = .566              SE = .357              F-value = 210.496              p-value = .000</w:t>
            </w:r>
          </w:p>
        </w:tc>
      </w:tr>
    </w:tbl>
    <w:p w14:paraId="6264C890" w14:textId="77777777" w:rsidR="000B1CAA" w:rsidRPr="00C30948" w:rsidRDefault="000B1CAA" w:rsidP="000B1CAA">
      <w:pPr>
        <w:pStyle w:val="NoSpacing"/>
        <w:jc w:val="both"/>
        <w:rPr>
          <w:rFonts w:ascii="Arial" w:hAnsi="Arial" w:cs="Arial"/>
          <w:sz w:val="20"/>
          <w:szCs w:val="20"/>
        </w:rPr>
      </w:pPr>
      <w:r w:rsidRPr="00C30948">
        <w:rPr>
          <w:rFonts w:ascii="Arial" w:hAnsi="Arial" w:cs="Arial"/>
          <w:sz w:val="20"/>
          <w:szCs w:val="20"/>
          <w:shd w:val="clear" w:color="auto" w:fill="FFFFFF"/>
        </w:rPr>
        <w:t xml:space="preserve">This underscores that while digital transactions enhance operational efficiency and market reach (Laudon &amp; Traver, 2020; Chaffey &amp; Ellis-Chadwick, 2019), broader technology </w:t>
      </w:r>
      <w:r w:rsidRPr="00C30948">
        <w:rPr>
          <w:rFonts w:ascii="Arial" w:hAnsi="Arial" w:cs="Arial"/>
          <w:sz w:val="20"/>
          <w:szCs w:val="20"/>
          <w:shd w:val="clear" w:color="auto" w:fill="FFFFFF"/>
        </w:rPr>
        <w:lastRenderedPageBreak/>
        <w:t>integration—such as automation and data analytics—drives greater scalability, innovation, and long-term competitiveness (Venkatesh et al., 2012; Kotler &amp; Keller, 2021). The findings emphasize that digital transformation is essential for MSME growth, necessitating investments in training, infrastructure, and policy support to maximize adoption and performance outcomes.</w:t>
      </w:r>
    </w:p>
    <w:p w14:paraId="4F6F1900" w14:textId="77777777" w:rsidR="00790ADA" w:rsidRPr="00C30948" w:rsidRDefault="00790ADA" w:rsidP="00441B6F">
      <w:pPr>
        <w:pStyle w:val="Body"/>
        <w:spacing w:after="0"/>
        <w:rPr>
          <w:rFonts w:ascii="Arial" w:hAnsi="Arial" w:cs="Arial"/>
        </w:rPr>
      </w:pPr>
    </w:p>
    <w:p w14:paraId="741EE2EC" w14:textId="77777777" w:rsidR="00687DC1" w:rsidRPr="00C30948" w:rsidRDefault="00000F8F" w:rsidP="00687DC1">
      <w:pPr>
        <w:pStyle w:val="ConcHead"/>
        <w:spacing w:after="0"/>
        <w:jc w:val="both"/>
        <w:rPr>
          <w:rFonts w:ascii="Arial" w:hAnsi="Arial" w:cs="Arial"/>
        </w:rPr>
      </w:pPr>
      <w:r w:rsidRPr="00C30948">
        <w:rPr>
          <w:rFonts w:ascii="Arial" w:hAnsi="Arial" w:cs="Arial"/>
        </w:rPr>
        <w:t xml:space="preserve">4. </w:t>
      </w:r>
      <w:r w:rsidR="00B01FCD" w:rsidRPr="00C30948">
        <w:rPr>
          <w:rFonts w:ascii="Arial" w:hAnsi="Arial" w:cs="Arial"/>
        </w:rPr>
        <w:t>Conclusion</w:t>
      </w:r>
    </w:p>
    <w:p w14:paraId="5FF47457" w14:textId="77777777" w:rsidR="00687DC1" w:rsidRPr="00C30948" w:rsidRDefault="00687DC1" w:rsidP="00687DC1">
      <w:pPr>
        <w:pStyle w:val="ConcHead"/>
        <w:spacing w:after="0"/>
        <w:jc w:val="both"/>
        <w:rPr>
          <w:rFonts w:ascii="Arial" w:hAnsi="Arial" w:cs="Arial"/>
        </w:rPr>
      </w:pPr>
    </w:p>
    <w:p w14:paraId="40200A24" w14:textId="77777777" w:rsidR="00687DC1" w:rsidRPr="00C30948" w:rsidRDefault="00687DC1" w:rsidP="00687DC1">
      <w:pPr>
        <w:pStyle w:val="Body"/>
        <w:rPr>
          <w:rFonts w:ascii="Arial" w:hAnsi="Arial" w:cs="Arial"/>
        </w:rPr>
      </w:pPr>
      <w:r w:rsidRPr="00C30948">
        <w:rPr>
          <w:rFonts w:ascii="Arial" w:hAnsi="Arial" w:cs="Arial"/>
        </w:rPr>
        <w:t xml:space="preserve">The study is fundamentally grounded in a well-established body of literature that validates and proves the framework of this study, aligning theoretical insights with the collective perceptions of MSME respondents. Empirical data and prior research consistently demonstrate that digital dimensions, such as online transactions and technology acceptance, significantly influence business performance. This alignment between theory and practice reinforces the study’s framework, capturing the critical interactions that drive MSME success in the digital economy. The model revealed that both independent variables are significantly related to and predictive of business performance, with technology acceptance and use exerting the strongest influence. It further demonstrated how each component ranging from people and product innovation to performance expectancy and facilitating conditions contributes uniquely to the overall performance of MSMEs. </w:t>
      </w:r>
    </w:p>
    <w:p w14:paraId="2831ED6F" w14:textId="77777777" w:rsidR="00B01FCD" w:rsidRPr="00C30948" w:rsidRDefault="00687DC1" w:rsidP="00687DC1">
      <w:pPr>
        <w:pStyle w:val="Body"/>
        <w:spacing w:after="0"/>
        <w:rPr>
          <w:rFonts w:ascii="Arial" w:hAnsi="Arial" w:cs="Arial"/>
        </w:rPr>
      </w:pPr>
      <w:r w:rsidRPr="00C30948">
        <w:rPr>
          <w:rFonts w:ascii="Arial" w:hAnsi="Arial" w:cs="Arial"/>
        </w:rPr>
        <w:t>This study affirms the relevance of digital transformation models and technology adoption theories, which underpin the relationships explored. The findings offer substantial evidence that MSMEs who embrace digital tools, foster a culture of innovation, and support employee readiness for technology achieve improved outcomes in revenue and workforce development. These digital practices are no longer optional; they are critical drivers of growth, adaptability, and competitiveness in a modern business environment. As such, MSMEs must not only adopt digital solutions but also embed them strategically in their operations to sustain long-term success. The results of this study underscore the importance of empowering MSMEs with the tools, training, and support necessary to thrive in an increasingly digital economy.</w:t>
      </w:r>
    </w:p>
    <w:p w14:paraId="1E6E7373" w14:textId="77777777" w:rsidR="00687DC1" w:rsidRPr="00C30948" w:rsidRDefault="00687DC1" w:rsidP="00687DC1">
      <w:pPr>
        <w:pStyle w:val="Body"/>
        <w:spacing w:after="0"/>
        <w:rPr>
          <w:rFonts w:ascii="Arial" w:hAnsi="Arial" w:cs="Arial"/>
        </w:rPr>
      </w:pPr>
    </w:p>
    <w:p w14:paraId="0E4FB821" w14:textId="77777777" w:rsidR="00687DC1" w:rsidRPr="00C30948" w:rsidRDefault="00687DC1" w:rsidP="00687DC1">
      <w:pPr>
        <w:pStyle w:val="Body"/>
        <w:spacing w:after="0"/>
        <w:rPr>
          <w:rFonts w:ascii="Arial" w:hAnsi="Arial" w:cs="Arial"/>
          <w:b/>
          <w:bCs/>
          <w:sz w:val="22"/>
          <w:szCs w:val="22"/>
        </w:rPr>
      </w:pPr>
      <w:r w:rsidRPr="00C30948">
        <w:rPr>
          <w:rFonts w:ascii="Arial" w:hAnsi="Arial" w:cs="Arial"/>
          <w:b/>
          <w:bCs/>
          <w:sz w:val="22"/>
          <w:szCs w:val="22"/>
        </w:rPr>
        <w:t>5. RECOMMENDATIONS</w:t>
      </w:r>
    </w:p>
    <w:p w14:paraId="23578A0E" w14:textId="77777777" w:rsidR="00687DC1" w:rsidRPr="00C30948" w:rsidRDefault="00687DC1" w:rsidP="00687DC1">
      <w:pPr>
        <w:pStyle w:val="Body"/>
        <w:spacing w:after="0"/>
        <w:rPr>
          <w:rFonts w:ascii="Arial" w:hAnsi="Arial" w:cs="Arial"/>
        </w:rPr>
      </w:pPr>
    </w:p>
    <w:p w14:paraId="7057FA2C" w14:textId="77777777" w:rsidR="00687DC1" w:rsidRPr="00C30948" w:rsidRDefault="00687DC1" w:rsidP="00687DC1">
      <w:pPr>
        <w:jc w:val="both"/>
        <w:rPr>
          <w:rFonts w:ascii="Arial" w:hAnsi="Arial" w:cs="Arial"/>
          <w:lang w:val="en"/>
        </w:rPr>
      </w:pPr>
      <w:r w:rsidRPr="00C30948">
        <w:rPr>
          <w:rFonts w:ascii="Arial" w:hAnsi="Arial" w:cs="Arial"/>
        </w:rPr>
        <w:t>Based on the findings of this study, several targeted recommendations are proposed to enhance digital adoption and performance across multiple sectors. For the community, local development initiatives should integrate digital business education and entrepreneurship seminars to equip both new and existing MSME owners with essential technological skills, while grassroots efforts should promote digital literacy and improve access to training tools. Businesses, particularly micro and small enterprises, should proactively invest in digital transformation by developing critical skills among employees—such as data analytics, cybersecurity, and digital marketing—and automating routine processes to boost efficiency. Forming strategic alliances with larger firms and fostering a culture of innovation and adaptability will further accelerate their competitiveness. For the Department of Trade and Industry (DTI), tailored digital support programs—including localized training, mentorship, financing, and e-commerce toolkits—are essential, alongside partnerships with educational and technology institutions to scale efforts effectively. MSMEs are encouraged to systematically assess their digital readiness, leverage government resources, and engage in continuous training and peer networking to embed technology strategically across their operations. Finally, future researchers should build on this study through sector-specific case analyses, longitudinal designs, and qualitative investigations to explore evolving digital trends, adoption barriers, and long-term impacts on MSME resilience and profitability.</w:t>
      </w:r>
    </w:p>
    <w:p w14:paraId="7A2567F0" w14:textId="77777777" w:rsidR="00C442DB" w:rsidRPr="00C30948" w:rsidRDefault="00C442DB" w:rsidP="00441B6F">
      <w:pPr>
        <w:pStyle w:val="ReferHead"/>
        <w:spacing w:after="0"/>
        <w:jc w:val="both"/>
        <w:rPr>
          <w:rFonts w:ascii="Arial" w:hAnsi="Arial" w:cs="Arial"/>
          <w:bCs/>
        </w:rPr>
      </w:pPr>
      <w:r w:rsidRPr="00C30948">
        <w:rPr>
          <w:rFonts w:ascii="Arial" w:hAnsi="Arial" w:cs="Arial"/>
          <w:bCs/>
        </w:rPr>
        <w:lastRenderedPageBreak/>
        <w:t>DISCLAIMER (ARTIFICIAL INTELLIGENCE)</w:t>
      </w:r>
    </w:p>
    <w:p w14:paraId="08114911" w14:textId="77777777" w:rsidR="00C442DB" w:rsidRPr="00C30948" w:rsidRDefault="00C442DB" w:rsidP="00441B6F">
      <w:pPr>
        <w:pStyle w:val="ReferHead"/>
        <w:spacing w:after="0"/>
        <w:jc w:val="both"/>
        <w:rPr>
          <w:rFonts w:ascii="Arial" w:hAnsi="Arial" w:cs="Arial"/>
          <w:b w:val="0"/>
          <w:sz w:val="20"/>
        </w:rPr>
      </w:pPr>
    </w:p>
    <w:p w14:paraId="1A2CD3CA" w14:textId="77777777" w:rsidR="00C442DB" w:rsidRPr="00C30948" w:rsidRDefault="00C442DB" w:rsidP="00441B6F">
      <w:pPr>
        <w:pStyle w:val="ReferHead"/>
        <w:spacing w:after="0"/>
        <w:jc w:val="both"/>
        <w:rPr>
          <w:rFonts w:ascii="Arial" w:hAnsi="Arial" w:cs="Arial"/>
          <w:b w:val="0"/>
          <w:sz w:val="20"/>
        </w:rPr>
      </w:pPr>
      <w:r w:rsidRPr="00C30948">
        <w:rPr>
          <w:rFonts w:ascii="Arial" w:hAnsi="Arial" w:cs="Arial"/>
          <w:b w:val="0"/>
          <w:sz w:val="20"/>
        </w:rPr>
        <w:t>T</w:t>
      </w:r>
      <w:r w:rsidRPr="00C30948">
        <w:rPr>
          <w:rFonts w:ascii="Arial" w:hAnsi="Arial" w:cs="Arial"/>
          <w:b w:val="0"/>
          <w:caps w:val="0"/>
          <w:sz w:val="20"/>
        </w:rPr>
        <w:t>he</w:t>
      </w:r>
      <w:r w:rsidRPr="00C30948">
        <w:rPr>
          <w:rFonts w:ascii="Arial" w:hAnsi="Arial" w:cs="Arial"/>
          <w:b w:val="0"/>
          <w:sz w:val="20"/>
        </w:rPr>
        <w:t xml:space="preserve"> </w:t>
      </w:r>
      <w:r w:rsidRPr="00C30948">
        <w:rPr>
          <w:rFonts w:ascii="Arial" w:hAnsi="Arial" w:cs="Arial"/>
          <w:b w:val="0"/>
          <w:caps w:val="0"/>
          <w:sz w:val="20"/>
        </w:rPr>
        <w:t>authors</w:t>
      </w:r>
      <w:r w:rsidRPr="00C30948">
        <w:rPr>
          <w:rFonts w:ascii="Arial" w:hAnsi="Arial" w:cs="Arial"/>
          <w:b w:val="0"/>
          <w:sz w:val="20"/>
        </w:rPr>
        <w:t xml:space="preserve"> </w:t>
      </w:r>
      <w:r w:rsidRPr="00C30948">
        <w:rPr>
          <w:rFonts w:ascii="Arial" w:hAnsi="Arial" w:cs="Arial"/>
          <w:b w:val="0"/>
          <w:caps w:val="0"/>
          <w:sz w:val="20"/>
        </w:rPr>
        <w:t>hereby</w:t>
      </w:r>
      <w:r w:rsidRPr="00C30948">
        <w:rPr>
          <w:rFonts w:ascii="Arial" w:hAnsi="Arial" w:cs="Arial"/>
          <w:b w:val="0"/>
          <w:sz w:val="20"/>
        </w:rPr>
        <w:t xml:space="preserve"> </w:t>
      </w:r>
      <w:r w:rsidRPr="00C30948">
        <w:rPr>
          <w:rFonts w:ascii="Arial" w:hAnsi="Arial" w:cs="Arial"/>
          <w:b w:val="0"/>
          <w:caps w:val="0"/>
          <w:sz w:val="20"/>
        </w:rPr>
        <w:t>declare</w:t>
      </w:r>
      <w:r w:rsidRPr="00C30948">
        <w:rPr>
          <w:rFonts w:ascii="Arial" w:hAnsi="Arial" w:cs="Arial"/>
          <w:b w:val="0"/>
          <w:sz w:val="20"/>
        </w:rPr>
        <w:t xml:space="preserve"> </w:t>
      </w:r>
      <w:r w:rsidRPr="00C30948">
        <w:rPr>
          <w:rFonts w:ascii="Arial" w:hAnsi="Arial" w:cs="Arial"/>
          <w:b w:val="0"/>
          <w:caps w:val="0"/>
          <w:sz w:val="20"/>
        </w:rPr>
        <w:t>that</w:t>
      </w:r>
      <w:r w:rsidRPr="00C30948">
        <w:rPr>
          <w:rFonts w:ascii="Arial" w:hAnsi="Arial" w:cs="Arial"/>
          <w:b w:val="0"/>
          <w:sz w:val="20"/>
        </w:rPr>
        <w:t xml:space="preserve"> </w:t>
      </w:r>
      <w:r w:rsidRPr="00C30948">
        <w:rPr>
          <w:rFonts w:ascii="Arial" w:hAnsi="Arial" w:cs="Arial"/>
          <w:b w:val="0"/>
          <w:caps w:val="0"/>
          <w:sz w:val="20"/>
        </w:rPr>
        <w:t>generative</w:t>
      </w:r>
      <w:r w:rsidRPr="00C30948">
        <w:rPr>
          <w:rFonts w:ascii="Arial" w:hAnsi="Arial" w:cs="Arial"/>
          <w:b w:val="0"/>
          <w:sz w:val="20"/>
        </w:rPr>
        <w:t xml:space="preserve"> </w:t>
      </w:r>
      <w:r w:rsidRPr="00C30948">
        <w:rPr>
          <w:rFonts w:ascii="Arial" w:hAnsi="Arial" w:cs="Arial"/>
          <w:b w:val="0"/>
          <w:caps w:val="0"/>
          <w:sz w:val="20"/>
        </w:rPr>
        <w:t>AI</w:t>
      </w:r>
      <w:r w:rsidRPr="00C30948">
        <w:rPr>
          <w:rFonts w:ascii="Arial" w:hAnsi="Arial" w:cs="Arial"/>
          <w:b w:val="0"/>
          <w:sz w:val="20"/>
        </w:rPr>
        <w:t xml:space="preserve"> </w:t>
      </w:r>
      <w:r w:rsidRPr="00C30948">
        <w:rPr>
          <w:rFonts w:ascii="Arial" w:hAnsi="Arial" w:cs="Arial"/>
          <w:b w:val="0"/>
          <w:caps w:val="0"/>
          <w:sz w:val="20"/>
        </w:rPr>
        <w:t>technologies</w:t>
      </w:r>
      <w:r w:rsidRPr="00C30948">
        <w:rPr>
          <w:rFonts w:ascii="Arial" w:hAnsi="Arial" w:cs="Arial"/>
          <w:b w:val="0"/>
          <w:sz w:val="20"/>
        </w:rPr>
        <w:t xml:space="preserve"> </w:t>
      </w:r>
      <w:r w:rsidRPr="00C30948">
        <w:rPr>
          <w:rFonts w:ascii="Arial" w:hAnsi="Arial" w:cs="Arial"/>
          <w:b w:val="0"/>
          <w:caps w:val="0"/>
          <w:sz w:val="20"/>
        </w:rPr>
        <w:t>have</w:t>
      </w:r>
      <w:r w:rsidRPr="00C30948">
        <w:rPr>
          <w:rFonts w:ascii="Arial" w:hAnsi="Arial" w:cs="Arial"/>
          <w:b w:val="0"/>
          <w:sz w:val="20"/>
        </w:rPr>
        <w:t xml:space="preserve"> </w:t>
      </w:r>
      <w:r w:rsidRPr="00C30948">
        <w:rPr>
          <w:rFonts w:ascii="Arial" w:hAnsi="Arial" w:cs="Arial"/>
          <w:b w:val="0"/>
          <w:caps w:val="0"/>
          <w:sz w:val="20"/>
        </w:rPr>
        <w:t>been</w:t>
      </w:r>
      <w:r w:rsidRPr="00C30948">
        <w:rPr>
          <w:rFonts w:ascii="Arial" w:hAnsi="Arial" w:cs="Arial"/>
          <w:b w:val="0"/>
          <w:sz w:val="20"/>
        </w:rPr>
        <w:t xml:space="preserve"> </w:t>
      </w:r>
      <w:r w:rsidRPr="00C30948">
        <w:rPr>
          <w:rFonts w:ascii="Arial" w:hAnsi="Arial" w:cs="Arial"/>
          <w:b w:val="0"/>
          <w:caps w:val="0"/>
          <w:sz w:val="20"/>
        </w:rPr>
        <w:t>used</w:t>
      </w:r>
      <w:r w:rsidRPr="00C30948">
        <w:rPr>
          <w:rFonts w:ascii="Arial" w:hAnsi="Arial" w:cs="Arial"/>
          <w:b w:val="0"/>
          <w:sz w:val="20"/>
        </w:rPr>
        <w:t xml:space="preserve"> </w:t>
      </w:r>
      <w:r w:rsidRPr="00C30948">
        <w:rPr>
          <w:rFonts w:ascii="Arial" w:hAnsi="Arial" w:cs="Arial"/>
          <w:b w:val="0"/>
          <w:caps w:val="0"/>
          <w:sz w:val="20"/>
        </w:rPr>
        <w:t>during</w:t>
      </w:r>
      <w:r w:rsidRPr="00C30948">
        <w:rPr>
          <w:rFonts w:ascii="Arial" w:hAnsi="Arial" w:cs="Arial"/>
          <w:b w:val="0"/>
          <w:sz w:val="20"/>
        </w:rPr>
        <w:t xml:space="preserve"> </w:t>
      </w:r>
      <w:r w:rsidRPr="00C30948">
        <w:rPr>
          <w:rFonts w:ascii="Arial" w:hAnsi="Arial" w:cs="Arial"/>
          <w:b w:val="0"/>
          <w:caps w:val="0"/>
          <w:sz w:val="20"/>
        </w:rPr>
        <w:t>the</w:t>
      </w:r>
      <w:r w:rsidRPr="00C30948">
        <w:rPr>
          <w:rFonts w:ascii="Arial" w:hAnsi="Arial" w:cs="Arial"/>
          <w:b w:val="0"/>
          <w:sz w:val="20"/>
        </w:rPr>
        <w:t xml:space="preserve"> </w:t>
      </w:r>
      <w:r w:rsidRPr="00C30948">
        <w:rPr>
          <w:rFonts w:ascii="Arial" w:hAnsi="Arial" w:cs="Arial"/>
          <w:b w:val="0"/>
          <w:caps w:val="0"/>
          <w:sz w:val="20"/>
        </w:rPr>
        <w:t>writing</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editing</w:t>
      </w:r>
      <w:r w:rsidRPr="00C30948">
        <w:rPr>
          <w:rFonts w:ascii="Arial" w:hAnsi="Arial" w:cs="Arial"/>
          <w:b w:val="0"/>
          <w:sz w:val="20"/>
        </w:rPr>
        <w:t xml:space="preserve"> </w:t>
      </w:r>
      <w:r w:rsidRPr="00C30948">
        <w:rPr>
          <w:rFonts w:ascii="Arial" w:hAnsi="Arial" w:cs="Arial"/>
          <w:b w:val="0"/>
          <w:caps w:val="0"/>
          <w:sz w:val="20"/>
        </w:rPr>
        <w:t>of</w:t>
      </w:r>
      <w:r w:rsidRPr="00C30948">
        <w:rPr>
          <w:rFonts w:ascii="Arial" w:hAnsi="Arial" w:cs="Arial"/>
          <w:b w:val="0"/>
          <w:sz w:val="20"/>
        </w:rPr>
        <w:t xml:space="preserve"> </w:t>
      </w:r>
      <w:r w:rsidRPr="00C30948">
        <w:rPr>
          <w:rFonts w:ascii="Arial" w:hAnsi="Arial" w:cs="Arial"/>
          <w:b w:val="0"/>
          <w:caps w:val="0"/>
          <w:sz w:val="20"/>
        </w:rPr>
        <w:t>this</w:t>
      </w:r>
      <w:r w:rsidRPr="00C30948">
        <w:rPr>
          <w:rFonts w:ascii="Arial" w:hAnsi="Arial" w:cs="Arial"/>
          <w:b w:val="0"/>
          <w:sz w:val="20"/>
        </w:rPr>
        <w:t xml:space="preserve"> </w:t>
      </w:r>
      <w:r w:rsidRPr="00C30948">
        <w:rPr>
          <w:rFonts w:ascii="Arial" w:hAnsi="Arial" w:cs="Arial"/>
          <w:b w:val="0"/>
          <w:caps w:val="0"/>
          <w:sz w:val="20"/>
        </w:rPr>
        <w:t>manuscript</w:t>
      </w:r>
      <w:r w:rsidRPr="00C30948">
        <w:rPr>
          <w:rFonts w:ascii="Arial" w:hAnsi="Arial" w:cs="Arial"/>
          <w:b w:val="0"/>
          <w:sz w:val="20"/>
        </w:rPr>
        <w:t>. T</w:t>
      </w:r>
      <w:r w:rsidRPr="00C30948">
        <w:rPr>
          <w:rFonts w:ascii="Arial" w:hAnsi="Arial" w:cs="Arial"/>
          <w:b w:val="0"/>
          <w:caps w:val="0"/>
          <w:sz w:val="20"/>
        </w:rPr>
        <w:t>he</w:t>
      </w:r>
      <w:r w:rsidRPr="00C30948">
        <w:rPr>
          <w:rFonts w:ascii="Arial" w:hAnsi="Arial" w:cs="Arial"/>
          <w:b w:val="0"/>
          <w:sz w:val="20"/>
        </w:rPr>
        <w:t xml:space="preserve"> </w:t>
      </w:r>
      <w:r w:rsidRPr="00C30948">
        <w:rPr>
          <w:rFonts w:ascii="Arial" w:hAnsi="Arial" w:cs="Arial"/>
          <w:b w:val="0"/>
          <w:caps w:val="0"/>
          <w:sz w:val="20"/>
        </w:rPr>
        <w:t>details</w:t>
      </w:r>
      <w:r w:rsidRPr="00C30948">
        <w:rPr>
          <w:rFonts w:ascii="Arial" w:hAnsi="Arial" w:cs="Arial"/>
          <w:b w:val="0"/>
          <w:sz w:val="20"/>
        </w:rPr>
        <w:t xml:space="preserve"> </w:t>
      </w:r>
      <w:r w:rsidRPr="00C30948">
        <w:rPr>
          <w:rFonts w:ascii="Arial" w:hAnsi="Arial" w:cs="Arial"/>
          <w:b w:val="0"/>
          <w:caps w:val="0"/>
          <w:sz w:val="20"/>
        </w:rPr>
        <w:t>of</w:t>
      </w:r>
      <w:r w:rsidRPr="00C30948">
        <w:rPr>
          <w:rFonts w:ascii="Arial" w:hAnsi="Arial" w:cs="Arial"/>
          <w:b w:val="0"/>
          <w:sz w:val="20"/>
        </w:rPr>
        <w:t xml:space="preserve"> </w:t>
      </w:r>
      <w:r w:rsidRPr="00C30948">
        <w:rPr>
          <w:rFonts w:ascii="Arial" w:hAnsi="Arial" w:cs="Arial"/>
          <w:b w:val="0"/>
          <w:caps w:val="0"/>
          <w:sz w:val="20"/>
        </w:rPr>
        <w:t>the</w:t>
      </w:r>
      <w:r w:rsidRPr="00C30948">
        <w:rPr>
          <w:rFonts w:ascii="Arial" w:hAnsi="Arial" w:cs="Arial"/>
          <w:b w:val="0"/>
          <w:sz w:val="20"/>
        </w:rPr>
        <w:t xml:space="preserve"> </w:t>
      </w:r>
      <w:r w:rsidRPr="00C30948">
        <w:rPr>
          <w:rFonts w:ascii="Arial" w:hAnsi="Arial" w:cs="Arial"/>
          <w:b w:val="0"/>
          <w:caps w:val="0"/>
          <w:sz w:val="20"/>
        </w:rPr>
        <w:t>AI usage</w:t>
      </w:r>
      <w:r w:rsidRPr="00C30948">
        <w:rPr>
          <w:rFonts w:ascii="Arial" w:hAnsi="Arial" w:cs="Arial"/>
          <w:b w:val="0"/>
          <w:sz w:val="20"/>
        </w:rPr>
        <w:t xml:space="preserve"> </w:t>
      </w:r>
      <w:r w:rsidRPr="00C30948">
        <w:rPr>
          <w:rFonts w:ascii="Arial" w:hAnsi="Arial" w:cs="Arial"/>
          <w:b w:val="0"/>
          <w:caps w:val="0"/>
          <w:sz w:val="20"/>
        </w:rPr>
        <w:t>are</w:t>
      </w:r>
      <w:r w:rsidRPr="00C30948">
        <w:rPr>
          <w:rFonts w:ascii="Arial" w:hAnsi="Arial" w:cs="Arial"/>
          <w:b w:val="0"/>
          <w:sz w:val="20"/>
        </w:rPr>
        <w:t xml:space="preserve"> </w:t>
      </w:r>
      <w:r w:rsidRPr="00C30948">
        <w:rPr>
          <w:rFonts w:ascii="Arial" w:hAnsi="Arial" w:cs="Arial"/>
          <w:b w:val="0"/>
          <w:caps w:val="0"/>
          <w:sz w:val="20"/>
        </w:rPr>
        <w:t>as</w:t>
      </w:r>
      <w:r w:rsidRPr="00C30948">
        <w:rPr>
          <w:rFonts w:ascii="Arial" w:hAnsi="Arial" w:cs="Arial"/>
          <w:b w:val="0"/>
          <w:sz w:val="20"/>
        </w:rPr>
        <w:t xml:space="preserve"> </w:t>
      </w:r>
      <w:r w:rsidRPr="00C30948">
        <w:rPr>
          <w:rFonts w:ascii="Arial" w:hAnsi="Arial" w:cs="Arial"/>
          <w:b w:val="0"/>
          <w:caps w:val="0"/>
          <w:sz w:val="20"/>
        </w:rPr>
        <w:t>follows</w:t>
      </w:r>
      <w:r w:rsidRPr="00C30948">
        <w:rPr>
          <w:rFonts w:ascii="Arial" w:hAnsi="Arial" w:cs="Arial"/>
          <w:b w:val="0"/>
          <w:sz w:val="20"/>
        </w:rPr>
        <w:t>:</w:t>
      </w:r>
      <w:r w:rsidRPr="00C30948">
        <w:rPr>
          <w:rFonts w:ascii="Arial" w:hAnsi="Arial" w:cs="Arial"/>
          <w:b w:val="0"/>
          <w:sz w:val="20"/>
        </w:rPr>
        <w:br/>
      </w:r>
      <w:r w:rsidRPr="00C30948">
        <w:rPr>
          <w:rFonts w:ascii="Arial" w:hAnsi="Arial" w:cs="Arial"/>
          <w:b w:val="0"/>
          <w:sz w:val="20"/>
        </w:rPr>
        <w:br/>
        <w:t>1. G</w:t>
      </w:r>
      <w:r w:rsidRPr="00C30948">
        <w:rPr>
          <w:rFonts w:ascii="Arial" w:hAnsi="Arial" w:cs="Arial"/>
          <w:b w:val="0"/>
          <w:caps w:val="0"/>
          <w:sz w:val="20"/>
        </w:rPr>
        <w:t>rammarly</w:t>
      </w:r>
      <w:r w:rsidRPr="00C30948">
        <w:rPr>
          <w:rFonts w:ascii="Arial" w:hAnsi="Arial" w:cs="Arial"/>
          <w:b w:val="0"/>
          <w:sz w:val="20"/>
        </w:rPr>
        <w:t xml:space="preserve">: </w:t>
      </w:r>
      <w:r w:rsidRPr="00C30948">
        <w:rPr>
          <w:rFonts w:ascii="Arial" w:hAnsi="Arial" w:cs="Arial"/>
          <w:b w:val="0"/>
          <w:caps w:val="0"/>
          <w:sz w:val="20"/>
        </w:rPr>
        <w:t>used</w:t>
      </w:r>
      <w:r w:rsidRPr="00C30948">
        <w:rPr>
          <w:rFonts w:ascii="Arial" w:hAnsi="Arial" w:cs="Arial"/>
          <w:b w:val="0"/>
          <w:sz w:val="20"/>
        </w:rPr>
        <w:t xml:space="preserve"> </w:t>
      </w:r>
      <w:r w:rsidRPr="00C30948">
        <w:rPr>
          <w:rFonts w:ascii="Arial" w:hAnsi="Arial" w:cs="Arial"/>
          <w:b w:val="0"/>
          <w:caps w:val="0"/>
          <w:sz w:val="20"/>
        </w:rPr>
        <w:t>for</w:t>
      </w:r>
      <w:r w:rsidRPr="00C30948">
        <w:rPr>
          <w:rFonts w:ascii="Arial" w:hAnsi="Arial" w:cs="Arial"/>
          <w:b w:val="0"/>
          <w:sz w:val="20"/>
        </w:rPr>
        <w:t xml:space="preserve"> </w:t>
      </w:r>
      <w:r w:rsidRPr="00C30948">
        <w:rPr>
          <w:rFonts w:ascii="Arial" w:hAnsi="Arial" w:cs="Arial"/>
          <w:b w:val="0"/>
          <w:caps w:val="0"/>
          <w:sz w:val="20"/>
        </w:rPr>
        <w:t>grammar</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spell</w:t>
      </w:r>
      <w:r w:rsidRPr="00C30948">
        <w:rPr>
          <w:rFonts w:ascii="Arial" w:hAnsi="Arial" w:cs="Arial"/>
          <w:b w:val="0"/>
          <w:sz w:val="20"/>
        </w:rPr>
        <w:t xml:space="preserve"> </w:t>
      </w:r>
      <w:r w:rsidRPr="00C30948">
        <w:rPr>
          <w:rFonts w:ascii="Arial" w:hAnsi="Arial" w:cs="Arial"/>
          <w:b w:val="0"/>
          <w:caps w:val="0"/>
          <w:sz w:val="20"/>
        </w:rPr>
        <w:t>checking</w:t>
      </w:r>
      <w:r w:rsidRPr="00C30948">
        <w:rPr>
          <w:rFonts w:ascii="Arial" w:hAnsi="Arial" w:cs="Arial"/>
          <w:b w:val="0"/>
          <w:sz w:val="20"/>
        </w:rPr>
        <w:t xml:space="preserve">, </w:t>
      </w:r>
      <w:r w:rsidRPr="00C30948">
        <w:rPr>
          <w:rFonts w:ascii="Arial" w:hAnsi="Arial" w:cs="Arial"/>
          <w:b w:val="0"/>
          <w:caps w:val="0"/>
          <w:sz w:val="20"/>
        </w:rPr>
        <w:t>as</w:t>
      </w:r>
      <w:r w:rsidRPr="00C30948">
        <w:rPr>
          <w:rFonts w:ascii="Arial" w:hAnsi="Arial" w:cs="Arial"/>
          <w:b w:val="0"/>
          <w:sz w:val="20"/>
        </w:rPr>
        <w:t xml:space="preserve"> </w:t>
      </w:r>
      <w:r w:rsidRPr="00C30948">
        <w:rPr>
          <w:rFonts w:ascii="Arial" w:hAnsi="Arial" w:cs="Arial"/>
          <w:b w:val="0"/>
          <w:caps w:val="0"/>
          <w:sz w:val="20"/>
        </w:rPr>
        <w:t>well</w:t>
      </w:r>
      <w:r w:rsidRPr="00C30948">
        <w:rPr>
          <w:rFonts w:ascii="Arial" w:hAnsi="Arial" w:cs="Arial"/>
          <w:b w:val="0"/>
          <w:sz w:val="20"/>
        </w:rPr>
        <w:t xml:space="preserve"> </w:t>
      </w:r>
      <w:r w:rsidRPr="00C30948">
        <w:rPr>
          <w:rFonts w:ascii="Arial" w:hAnsi="Arial" w:cs="Arial"/>
          <w:b w:val="0"/>
          <w:caps w:val="0"/>
          <w:sz w:val="20"/>
        </w:rPr>
        <w:t>as</w:t>
      </w:r>
      <w:r w:rsidRPr="00C30948">
        <w:rPr>
          <w:rFonts w:ascii="Arial" w:hAnsi="Arial" w:cs="Arial"/>
          <w:b w:val="0"/>
          <w:sz w:val="20"/>
        </w:rPr>
        <w:t xml:space="preserve"> </w:t>
      </w:r>
      <w:r w:rsidRPr="00C30948">
        <w:rPr>
          <w:rFonts w:ascii="Arial" w:hAnsi="Arial" w:cs="Arial"/>
          <w:b w:val="0"/>
          <w:caps w:val="0"/>
          <w:sz w:val="20"/>
        </w:rPr>
        <w:t>suggestions</w:t>
      </w:r>
      <w:r w:rsidRPr="00C30948">
        <w:rPr>
          <w:rFonts w:ascii="Arial" w:hAnsi="Arial" w:cs="Arial"/>
          <w:b w:val="0"/>
          <w:sz w:val="20"/>
        </w:rPr>
        <w:t xml:space="preserve"> </w:t>
      </w:r>
      <w:r w:rsidRPr="00C30948">
        <w:rPr>
          <w:rFonts w:ascii="Arial" w:hAnsi="Arial" w:cs="Arial"/>
          <w:b w:val="0"/>
          <w:caps w:val="0"/>
          <w:sz w:val="20"/>
        </w:rPr>
        <w:t>for</w:t>
      </w:r>
      <w:r w:rsidRPr="00C30948">
        <w:rPr>
          <w:rFonts w:ascii="Arial" w:hAnsi="Arial" w:cs="Arial"/>
          <w:b w:val="0"/>
          <w:sz w:val="20"/>
        </w:rPr>
        <w:t xml:space="preserve"> </w:t>
      </w:r>
      <w:r w:rsidRPr="00C30948">
        <w:rPr>
          <w:rFonts w:ascii="Arial" w:hAnsi="Arial" w:cs="Arial"/>
          <w:b w:val="0"/>
          <w:caps w:val="0"/>
          <w:sz w:val="20"/>
        </w:rPr>
        <w:t>improving</w:t>
      </w:r>
      <w:r w:rsidRPr="00C30948">
        <w:rPr>
          <w:rFonts w:ascii="Arial" w:hAnsi="Arial" w:cs="Arial"/>
          <w:b w:val="0"/>
          <w:sz w:val="20"/>
        </w:rPr>
        <w:t xml:space="preserve"> </w:t>
      </w:r>
      <w:r w:rsidRPr="00C30948">
        <w:rPr>
          <w:rFonts w:ascii="Arial" w:hAnsi="Arial" w:cs="Arial"/>
          <w:b w:val="0"/>
          <w:caps w:val="0"/>
          <w:sz w:val="20"/>
        </w:rPr>
        <w:t>sentence</w:t>
      </w:r>
      <w:r w:rsidRPr="00C30948">
        <w:rPr>
          <w:rFonts w:ascii="Arial" w:hAnsi="Arial" w:cs="Arial"/>
          <w:b w:val="0"/>
          <w:sz w:val="20"/>
        </w:rPr>
        <w:t xml:space="preserve"> </w:t>
      </w:r>
      <w:r w:rsidRPr="00C30948">
        <w:rPr>
          <w:rFonts w:ascii="Arial" w:hAnsi="Arial" w:cs="Arial"/>
          <w:b w:val="0"/>
          <w:caps w:val="0"/>
          <w:sz w:val="20"/>
        </w:rPr>
        <w:t>structure</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overall</w:t>
      </w:r>
      <w:r w:rsidRPr="00C30948">
        <w:rPr>
          <w:rFonts w:ascii="Arial" w:hAnsi="Arial" w:cs="Arial"/>
          <w:b w:val="0"/>
          <w:sz w:val="20"/>
        </w:rPr>
        <w:t xml:space="preserve"> </w:t>
      </w:r>
      <w:r w:rsidRPr="00C30948">
        <w:rPr>
          <w:rFonts w:ascii="Arial" w:hAnsi="Arial" w:cs="Arial"/>
          <w:b w:val="0"/>
          <w:caps w:val="0"/>
          <w:sz w:val="20"/>
        </w:rPr>
        <w:t>clarity</w:t>
      </w:r>
      <w:r w:rsidRPr="00C30948">
        <w:rPr>
          <w:rFonts w:ascii="Arial" w:hAnsi="Arial" w:cs="Arial"/>
          <w:b w:val="0"/>
          <w:sz w:val="20"/>
        </w:rPr>
        <w:t>.</w:t>
      </w:r>
    </w:p>
    <w:p w14:paraId="44C5B237" w14:textId="77777777" w:rsidR="00C442DB" w:rsidRPr="00C30948" w:rsidRDefault="00C442DB" w:rsidP="00441B6F">
      <w:pPr>
        <w:pStyle w:val="ReferHead"/>
        <w:spacing w:after="0"/>
        <w:jc w:val="both"/>
        <w:rPr>
          <w:rFonts w:ascii="Arial" w:hAnsi="Arial" w:cs="Arial"/>
          <w:b w:val="0"/>
          <w:sz w:val="20"/>
        </w:rPr>
      </w:pPr>
    </w:p>
    <w:p w14:paraId="6F52CCE8" w14:textId="77777777" w:rsidR="00C442DB" w:rsidRPr="00C30948" w:rsidRDefault="00C442DB" w:rsidP="00441B6F">
      <w:pPr>
        <w:pStyle w:val="ReferHead"/>
        <w:spacing w:after="0"/>
        <w:jc w:val="both"/>
        <w:rPr>
          <w:rFonts w:ascii="Arial" w:hAnsi="Arial" w:cs="Arial"/>
          <w:b w:val="0"/>
          <w:sz w:val="20"/>
        </w:rPr>
      </w:pPr>
      <w:r w:rsidRPr="00C30948">
        <w:rPr>
          <w:rFonts w:ascii="Arial" w:hAnsi="Arial" w:cs="Arial"/>
          <w:b w:val="0"/>
          <w:sz w:val="20"/>
        </w:rPr>
        <w:t xml:space="preserve">2. </w:t>
      </w:r>
      <w:proofErr w:type="spellStart"/>
      <w:r w:rsidRPr="00C30948">
        <w:rPr>
          <w:rFonts w:ascii="Arial" w:hAnsi="Arial" w:cs="Arial"/>
          <w:b w:val="0"/>
          <w:sz w:val="20"/>
        </w:rPr>
        <w:t>q</w:t>
      </w:r>
      <w:r w:rsidRPr="00C30948">
        <w:rPr>
          <w:rFonts w:ascii="Arial" w:hAnsi="Arial" w:cs="Arial"/>
          <w:b w:val="0"/>
          <w:caps w:val="0"/>
          <w:sz w:val="20"/>
        </w:rPr>
        <w:t>uillbot</w:t>
      </w:r>
      <w:proofErr w:type="spellEnd"/>
      <w:r w:rsidRPr="00C30948">
        <w:rPr>
          <w:rFonts w:ascii="Arial" w:hAnsi="Arial" w:cs="Arial"/>
          <w:b w:val="0"/>
          <w:sz w:val="20"/>
        </w:rPr>
        <w:t xml:space="preserve">: </w:t>
      </w:r>
      <w:r w:rsidRPr="00C30948">
        <w:rPr>
          <w:rFonts w:ascii="Arial" w:hAnsi="Arial" w:cs="Arial"/>
          <w:b w:val="0"/>
          <w:caps w:val="0"/>
          <w:sz w:val="20"/>
        </w:rPr>
        <w:t>employed</w:t>
      </w:r>
      <w:r w:rsidRPr="00C30948">
        <w:rPr>
          <w:rFonts w:ascii="Arial" w:hAnsi="Arial" w:cs="Arial"/>
          <w:b w:val="0"/>
          <w:sz w:val="20"/>
        </w:rPr>
        <w:t xml:space="preserve"> </w:t>
      </w:r>
      <w:r w:rsidRPr="00C30948">
        <w:rPr>
          <w:rFonts w:ascii="Arial" w:hAnsi="Arial" w:cs="Arial"/>
          <w:b w:val="0"/>
          <w:caps w:val="0"/>
          <w:sz w:val="20"/>
        </w:rPr>
        <w:t>for</w:t>
      </w:r>
      <w:r w:rsidRPr="00C30948">
        <w:rPr>
          <w:rFonts w:ascii="Arial" w:hAnsi="Arial" w:cs="Arial"/>
          <w:b w:val="0"/>
          <w:sz w:val="20"/>
        </w:rPr>
        <w:t xml:space="preserve"> </w:t>
      </w:r>
      <w:r w:rsidRPr="00C30948">
        <w:rPr>
          <w:rFonts w:ascii="Arial" w:hAnsi="Arial" w:cs="Arial"/>
          <w:b w:val="0"/>
          <w:caps w:val="0"/>
          <w:sz w:val="20"/>
        </w:rPr>
        <w:t>paraphrasing</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refining</w:t>
      </w:r>
      <w:r w:rsidRPr="00C30948">
        <w:rPr>
          <w:rFonts w:ascii="Arial" w:hAnsi="Arial" w:cs="Arial"/>
          <w:b w:val="0"/>
          <w:sz w:val="20"/>
        </w:rPr>
        <w:t xml:space="preserve"> </w:t>
      </w:r>
      <w:r w:rsidRPr="00C30948">
        <w:rPr>
          <w:rFonts w:ascii="Arial" w:hAnsi="Arial" w:cs="Arial"/>
          <w:b w:val="0"/>
          <w:caps w:val="0"/>
          <w:sz w:val="20"/>
        </w:rPr>
        <w:t>sentence</w:t>
      </w:r>
      <w:r w:rsidRPr="00C30948">
        <w:rPr>
          <w:rFonts w:ascii="Arial" w:hAnsi="Arial" w:cs="Arial"/>
          <w:b w:val="0"/>
          <w:sz w:val="20"/>
        </w:rPr>
        <w:t xml:space="preserve"> </w:t>
      </w:r>
      <w:r w:rsidRPr="00C30948">
        <w:rPr>
          <w:rFonts w:ascii="Arial" w:hAnsi="Arial" w:cs="Arial"/>
          <w:b w:val="0"/>
          <w:caps w:val="0"/>
          <w:sz w:val="20"/>
        </w:rPr>
        <w:t>flow</w:t>
      </w:r>
      <w:r w:rsidRPr="00C30948">
        <w:rPr>
          <w:rFonts w:ascii="Arial" w:hAnsi="Arial" w:cs="Arial"/>
          <w:b w:val="0"/>
          <w:sz w:val="20"/>
        </w:rPr>
        <w:t xml:space="preserve"> </w:t>
      </w:r>
      <w:r w:rsidRPr="00C30948">
        <w:rPr>
          <w:rFonts w:ascii="Arial" w:hAnsi="Arial" w:cs="Arial"/>
          <w:b w:val="0"/>
          <w:caps w:val="0"/>
          <w:sz w:val="20"/>
        </w:rPr>
        <w:t>to</w:t>
      </w:r>
      <w:r w:rsidRPr="00C30948">
        <w:rPr>
          <w:rFonts w:ascii="Arial" w:hAnsi="Arial" w:cs="Arial"/>
          <w:b w:val="0"/>
          <w:sz w:val="20"/>
        </w:rPr>
        <w:t xml:space="preserve"> </w:t>
      </w:r>
      <w:r w:rsidRPr="00C30948">
        <w:rPr>
          <w:rFonts w:ascii="Arial" w:hAnsi="Arial" w:cs="Arial"/>
          <w:b w:val="0"/>
          <w:caps w:val="0"/>
          <w:sz w:val="20"/>
        </w:rPr>
        <w:t>enhance</w:t>
      </w:r>
      <w:r w:rsidRPr="00C30948">
        <w:rPr>
          <w:rFonts w:ascii="Arial" w:hAnsi="Arial" w:cs="Arial"/>
          <w:b w:val="0"/>
          <w:sz w:val="20"/>
        </w:rPr>
        <w:t xml:space="preserve"> </w:t>
      </w:r>
      <w:r w:rsidRPr="00C30948">
        <w:rPr>
          <w:rFonts w:ascii="Arial" w:hAnsi="Arial" w:cs="Arial"/>
          <w:b w:val="0"/>
          <w:caps w:val="0"/>
          <w:sz w:val="20"/>
        </w:rPr>
        <w:t>readability</w:t>
      </w:r>
      <w:r w:rsidRPr="00C30948">
        <w:rPr>
          <w:rFonts w:ascii="Arial" w:hAnsi="Arial" w:cs="Arial"/>
          <w:b w:val="0"/>
          <w:sz w:val="20"/>
        </w:rPr>
        <w:t xml:space="preserve"> </w:t>
      </w:r>
      <w:r w:rsidRPr="00C30948">
        <w:rPr>
          <w:rFonts w:ascii="Arial" w:hAnsi="Arial" w:cs="Arial"/>
          <w:b w:val="0"/>
          <w:caps w:val="0"/>
          <w:sz w:val="20"/>
        </w:rPr>
        <w:t>and</w:t>
      </w:r>
      <w:r w:rsidRPr="00C30948">
        <w:rPr>
          <w:rFonts w:ascii="Arial" w:hAnsi="Arial" w:cs="Arial"/>
          <w:b w:val="0"/>
          <w:sz w:val="20"/>
        </w:rPr>
        <w:t xml:space="preserve"> </w:t>
      </w:r>
      <w:r w:rsidRPr="00C30948">
        <w:rPr>
          <w:rFonts w:ascii="Arial" w:hAnsi="Arial" w:cs="Arial"/>
          <w:b w:val="0"/>
          <w:caps w:val="0"/>
          <w:sz w:val="20"/>
        </w:rPr>
        <w:t>coherence</w:t>
      </w:r>
      <w:r w:rsidRPr="00C30948">
        <w:rPr>
          <w:rFonts w:ascii="Arial" w:hAnsi="Arial" w:cs="Arial"/>
          <w:b w:val="0"/>
          <w:sz w:val="20"/>
        </w:rPr>
        <w:t>.</w:t>
      </w:r>
    </w:p>
    <w:p w14:paraId="568BD3D2" w14:textId="77777777" w:rsidR="00C442DB" w:rsidRPr="00C30948" w:rsidRDefault="00C442DB" w:rsidP="00441B6F">
      <w:pPr>
        <w:pStyle w:val="ReferHead"/>
        <w:spacing w:after="0"/>
        <w:jc w:val="both"/>
        <w:rPr>
          <w:rFonts w:ascii="Arial" w:hAnsi="Arial" w:cs="Arial"/>
          <w:bCs/>
        </w:rPr>
      </w:pPr>
    </w:p>
    <w:p w14:paraId="7153386B" w14:textId="77777777" w:rsidR="00687DC1" w:rsidRPr="00C30948" w:rsidRDefault="00687DC1" w:rsidP="00441B6F">
      <w:pPr>
        <w:pStyle w:val="ReferHead"/>
        <w:spacing w:after="0"/>
        <w:jc w:val="both"/>
        <w:rPr>
          <w:rFonts w:ascii="Arial" w:hAnsi="Arial" w:cs="Arial"/>
          <w:b w:val="0"/>
          <w:sz w:val="20"/>
        </w:rPr>
      </w:pPr>
      <w:bookmarkStart w:id="0" w:name="_GoBack"/>
      <w:bookmarkEnd w:id="0"/>
    </w:p>
    <w:p w14:paraId="20A8607A" w14:textId="77777777" w:rsidR="00687DC1" w:rsidRPr="00C30948" w:rsidRDefault="005C784C" w:rsidP="00687DC1">
      <w:pPr>
        <w:pStyle w:val="ReferHead"/>
        <w:spacing w:after="0"/>
        <w:jc w:val="both"/>
        <w:rPr>
          <w:rFonts w:ascii="Arial" w:hAnsi="Arial" w:cs="Arial"/>
          <w:b w:val="0"/>
          <w:sz w:val="20"/>
        </w:rPr>
      </w:pPr>
      <w:r w:rsidRPr="00C30948">
        <w:rPr>
          <w:rFonts w:ascii="Arial" w:hAnsi="Arial" w:cs="Arial"/>
          <w:bCs/>
        </w:rPr>
        <w:t>Ethical approval</w:t>
      </w:r>
    </w:p>
    <w:p w14:paraId="7689E8AE" w14:textId="77777777" w:rsidR="00687DC1" w:rsidRPr="00C30948" w:rsidRDefault="00687DC1" w:rsidP="00687DC1">
      <w:pPr>
        <w:pStyle w:val="ReferHead"/>
        <w:spacing w:after="0"/>
        <w:jc w:val="both"/>
        <w:rPr>
          <w:rFonts w:ascii="Arial" w:hAnsi="Arial" w:cs="Arial"/>
          <w:b w:val="0"/>
          <w:sz w:val="20"/>
        </w:rPr>
      </w:pPr>
    </w:p>
    <w:p w14:paraId="23B05C8A" w14:textId="77777777" w:rsidR="0061772E" w:rsidRPr="00C30948" w:rsidRDefault="0061772E" w:rsidP="0061772E">
      <w:pPr>
        <w:pStyle w:val="ReferHead"/>
        <w:spacing w:after="0"/>
        <w:jc w:val="both"/>
        <w:rPr>
          <w:rFonts w:ascii="Arial" w:hAnsi="Arial" w:cs="Arial"/>
          <w:b w:val="0"/>
          <w:sz w:val="20"/>
        </w:rPr>
      </w:pPr>
      <w:r w:rsidRPr="00C30948">
        <w:rPr>
          <w:rFonts w:ascii="Arial" w:hAnsi="Arial" w:cs="Arial"/>
          <w:b w:val="0"/>
          <w:caps w:val="0"/>
          <w:sz w:val="20"/>
        </w:rPr>
        <w:t>All participants provided informed consent prior to their involvement. Participation was strictly voluntary, with respondents retaining the right to withdraw at any time without penalty. Participants were randomly selected from a registered business list and were required to be owners or managers aged 18 or older. The principal investigator declared no conflicts of interest, and no prior relationships existed that could influence participant responses.</w:t>
      </w:r>
      <w:r w:rsidR="008E3687" w:rsidRPr="00C30948">
        <w:rPr>
          <w:rFonts w:ascii="Arial" w:hAnsi="Arial" w:cs="Arial"/>
          <w:b w:val="0"/>
          <w:sz w:val="20"/>
        </w:rPr>
        <w:t xml:space="preserve"> </w:t>
      </w:r>
      <w:r w:rsidRPr="00C30948">
        <w:rPr>
          <w:rFonts w:ascii="Arial" w:hAnsi="Arial" w:cs="Arial"/>
          <w:b w:val="0"/>
          <w:caps w:val="0"/>
          <w:sz w:val="20"/>
        </w:rPr>
        <w:t xml:space="preserve">Data collection was strictly for academic research. These protocols ensured the study was conducted ethically, transparently, and with full professional responsibility. In strict adherence to the Philippines' Data Privacy Act of 2012 (Republic Act 10173), all respondent data was handled with the utmost confidentiality. Responses were anonymized, no personally identifiable information was recorded and study posed no risk to participants. </w:t>
      </w:r>
    </w:p>
    <w:p w14:paraId="3FDAE164" w14:textId="77777777" w:rsidR="0061772E" w:rsidRPr="00C30948" w:rsidRDefault="0061772E" w:rsidP="0061772E">
      <w:pPr>
        <w:pStyle w:val="ReferHead"/>
        <w:spacing w:after="0"/>
        <w:jc w:val="both"/>
        <w:rPr>
          <w:rFonts w:ascii="Arial" w:hAnsi="Arial" w:cs="Arial"/>
        </w:rPr>
      </w:pPr>
    </w:p>
    <w:p w14:paraId="4B058934" w14:textId="77777777" w:rsidR="00B01FCD" w:rsidRPr="00C30948" w:rsidRDefault="00B01FCD" w:rsidP="00441B6F">
      <w:pPr>
        <w:pStyle w:val="ReferHead"/>
        <w:spacing w:after="0"/>
        <w:jc w:val="both"/>
        <w:rPr>
          <w:rFonts w:ascii="Arial" w:hAnsi="Arial" w:cs="Arial"/>
        </w:rPr>
      </w:pPr>
      <w:r w:rsidRPr="00C30948">
        <w:rPr>
          <w:rFonts w:ascii="Arial" w:hAnsi="Arial" w:cs="Arial"/>
        </w:rPr>
        <w:t>References</w:t>
      </w:r>
    </w:p>
    <w:p w14:paraId="2E6D5B7F" w14:textId="77777777" w:rsidR="001F38C4" w:rsidRPr="00C30948" w:rsidRDefault="001F38C4" w:rsidP="001F38C4">
      <w:pPr>
        <w:rPr>
          <w:i/>
          <w:iCs/>
        </w:rPr>
      </w:pPr>
      <w:r w:rsidRPr="00C30948">
        <w:t xml:space="preserve">Armstrong, M., &amp; Taylor, S. (2020). </w:t>
      </w:r>
      <w:r w:rsidRPr="00C30948">
        <w:rPr>
          <w:i/>
          <w:iCs/>
        </w:rPr>
        <w:t>Armstrong’s Handbook of Human Resource</w:t>
      </w:r>
      <w:r w:rsidRPr="00C30948">
        <w:rPr>
          <w:i/>
          <w:iCs/>
        </w:rPr>
        <w:tab/>
        <w:t xml:space="preserve">Management Practice </w:t>
      </w:r>
      <w:r w:rsidRPr="00C30948">
        <w:t xml:space="preserve">(15th ed.). Kogan Page Publishers. </w:t>
      </w:r>
    </w:p>
    <w:p w14:paraId="345BD52E" w14:textId="77777777" w:rsidR="001F38C4" w:rsidRPr="00C30948" w:rsidRDefault="002221A4" w:rsidP="001F38C4">
      <w:r w:rsidRPr="00C30948">
        <w:t>Bresnahan, T. F., Brynjolfsson, E., &amp; Hitt, L. M. (2019). Information technology, workplace</w:t>
      </w:r>
      <w:r w:rsidR="001F38C4" w:rsidRPr="00C30948">
        <w:tab/>
      </w:r>
      <w:r w:rsidRPr="00C30948">
        <w:t xml:space="preserve">organization, and the demand for skilled labor: Firm-level evidence. </w:t>
      </w:r>
      <w:r w:rsidRPr="00C30948">
        <w:rPr>
          <w:i/>
          <w:iCs/>
        </w:rPr>
        <w:t xml:space="preserve">The </w:t>
      </w:r>
      <w:proofErr w:type="spellStart"/>
      <w:r w:rsidRPr="00C30948">
        <w:rPr>
          <w:i/>
          <w:iCs/>
        </w:rPr>
        <w:t>Quarterl</w:t>
      </w:r>
      <w:proofErr w:type="spellEnd"/>
      <w:r w:rsidR="001F38C4" w:rsidRPr="00C30948">
        <w:rPr>
          <w:i/>
          <w:iCs/>
        </w:rPr>
        <w:tab/>
      </w:r>
      <w:r w:rsidRPr="00C30948">
        <w:rPr>
          <w:i/>
          <w:iCs/>
        </w:rPr>
        <w:t>Journal of Economics</w:t>
      </w:r>
      <w:r w:rsidRPr="00C30948">
        <w:t>, 117(1), 339376.https://doi.org/10.1162/003355302753399526</w:t>
      </w:r>
    </w:p>
    <w:p w14:paraId="420E0879" w14:textId="77777777" w:rsidR="001F38C4" w:rsidRPr="00C30948" w:rsidRDefault="002221A4" w:rsidP="001F38C4">
      <w:pPr>
        <w:rPr>
          <w:rFonts w:ascii="Arial" w:hAnsi="Arial" w:cs="Arial"/>
        </w:rPr>
      </w:pPr>
      <w:r w:rsidRPr="00C30948">
        <w:rPr>
          <w:rFonts w:ascii="Arial" w:hAnsi="Arial" w:cs="Arial"/>
        </w:rPr>
        <w:t xml:space="preserve">Brynjolfsson, E., &amp; McAfee, A. (2017). </w:t>
      </w:r>
      <w:r w:rsidRPr="00C30948">
        <w:rPr>
          <w:rFonts w:ascii="Arial" w:hAnsi="Arial" w:cs="Arial"/>
          <w:i/>
          <w:iCs/>
        </w:rPr>
        <w:t>The Second Machine Age: Work, Progress, and</w:t>
      </w:r>
      <w:r w:rsidR="001F38C4" w:rsidRPr="00C30948">
        <w:rPr>
          <w:rFonts w:ascii="Arial" w:hAnsi="Arial" w:cs="Arial"/>
          <w:i/>
          <w:iCs/>
        </w:rPr>
        <w:tab/>
      </w:r>
      <w:r w:rsidRPr="00C30948">
        <w:rPr>
          <w:rFonts w:ascii="Arial" w:hAnsi="Arial" w:cs="Arial"/>
          <w:i/>
          <w:iCs/>
        </w:rPr>
        <w:t>Prosperity in a Time of Brilliant Technologies</w:t>
      </w:r>
      <w:r w:rsidRPr="00C30948">
        <w:rPr>
          <w:rFonts w:ascii="Arial" w:hAnsi="Arial" w:cs="Arial"/>
        </w:rPr>
        <w:t xml:space="preserve">. W.W. Norton &amp; Company. </w:t>
      </w:r>
    </w:p>
    <w:p w14:paraId="2F67DDBA" w14:textId="77777777" w:rsidR="001F38C4" w:rsidRPr="00C30948" w:rsidRDefault="00226C2A" w:rsidP="001F38C4">
      <w:pPr>
        <w:tabs>
          <w:tab w:val="left" w:pos="567"/>
        </w:tabs>
        <w:jc w:val="both"/>
        <w:rPr>
          <w:rFonts w:ascii="Arial" w:hAnsi="Arial" w:cs="Arial"/>
        </w:rPr>
      </w:pPr>
      <w:proofErr w:type="spellStart"/>
      <w:r w:rsidRPr="00C30948">
        <w:rPr>
          <w:rFonts w:ascii="Arial" w:hAnsi="Arial" w:cs="Arial"/>
        </w:rPr>
        <w:t>Bughin</w:t>
      </w:r>
      <w:proofErr w:type="spellEnd"/>
      <w:r w:rsidRPr="00C30948">
        <w:rPr>
          <w:rFonts w:ascii="Arial" w:hAnsi="Arial" w:cs="Arial"/>
        </w:rPr>
        <w:t xml:space="preserve">, J., Manyika, J., &amp; Woetzel, J. (2018). </w:t>
      </w:r>
      <w:r w:rsidRPr="00C30948">
        <w:rPr>
          <w:rFonts w:ascii="Arial" w:hAnsi="Arial" w:cs="Arial"/>
          <w:i/>
          <w:iCs/>
        </w:rPr>
        <w:t>The age of digital disruption: Shaping th</w:t>
      </w:r>
      <w:r w:rsidR="001F38C4" w:rsidRPr="00C30948">
        <w:rPr>
          <w:rFonts w:ascii="Arial" w:hAnsi="Arial" w:cs="Arial"/>
          <w:i/>
          <w:iCs/>
        </w:rPr>
        <w:t>e</w:t>
      </w:r>
      <w:r w:rsidR="001F38C4" w:rsidRPr="00C30948">
        <w:rPr>
          <w:rFonts w:ascii="Arial" w:hAnsi="Arial" w:cs="Arial"/>
          <w:i/>
          <w:iCs/>
        </w:rPr>
        <w:tab/>
      </w:r>
      <w:r w:rsidRPr="00C30948">
        <w:rPr>
          <w:rFonts w:ascii="Arial" w:hAnsi="Arial" w:cs="Arial"/>
          <w:i/>
          <w:iCs/>
        </w:rPr>
        <w:t>future of business in the age of AI and digital transformation</w:t>
      </w:r>
      <w:r w:rsidRPr="00C30948">
        <w:rPr>
          <w:rFonts w:ascii="Arial" w:hAnsi="Arial" w:cs="Arial"/>
        </w:rPr>
        <w:t>. McKinsey Global</w:t>
      </w:r>
      <w:r w:rsidR="001F38C4" w:rsidRPr="00C30948">
        <w:rPr>
          <w:rFonts w:ascii="Arial" w:hAnsi="Arial" w:cs="Arial"/>
        </w:rPr>
        <w:t xml:space="preserve">  </w:t>
      </w:r>
    </w:p>
    <w:p w14:paraId="3EB20542" w14:textId="77777777" w:rsidR="001F38C4" w:rsidRPr="00C30948" w:rsidRDefault="001F38C4" w:rsidP="001F38C4">
      <w:pPr>
        <w:tabs>
          <w:tab w:val="left" w:pos="567"/>
        </w:tabs>
        <w:jc w:val="both"/>
        <w:rPr>
          <w:rFonts w:ascii="Arial" w:hAnsi="Arial" w:cs="Arial"/>
        </w:rPr>
      </w:pPr>
      <w:r w:rsidRPr="00C30948">
        <w:rPr>
          <w:rFonts w:ascii="Arial" w:hAnsi="Arial" w:cs="Arial"/>
        </w:rPr>
        <w:t xml:space="preserve">          </w:t>
      </w:r>
      <w:r w:rsidR="00226C2A" w:rsidRPr="00C30948">
        <w:rPr>
          <w:rFonts w:ascii="Arial" w:hAnsi="Arial" w:cs="Arial"/>
        </w:rPr>
        <w:t xml:space="preserve">Institute. </w:t>
      </w:r>
    </w:p>
    <w:p w14:paraId="4E8082E7" w14:textId="77777777" w:rsidR="001F38C4" w:rsidRPr="00C30948" w:rsidRDefault="001F38C4" w:rsidP="001F38C4">
      <w:pPr>
        <w:tabs>
          <w:tab w:val="left" w:pos="567"/>
        </w:tabs>
        <w:jc w:val="both"/>
        <w:rPr>
          <w:rFonts w:ascii="Arial" w:hAnsi="Arial" w:cs="Arial"/>
          <w:i/>
          <w:iCs/>
        </w:rPr>
      </w:pPr>
      <w:r w:rsidRPr="00C30948">
        <w:rPr>
          <w:rFonts w:ascii="Arial" w:hAnsi="Arial" w:cs="Arial"/>
        </w:rPr>
        <w:t xml:space="preserve">Chaffey, D., &amp; Ellis-Chadwick, F. (2019). </w:t>
      </w:r>
      <w:r w:rsidRPr="00C30948">
        <w:rPr>
          <w:rFonts w:ascii="Arial" w:hAnsi="Arial" w:cs="Arial"/>
          <w:i/>
          <w:iCs/>
        </w:rPr>
        <w:t xml:space="preserve">Digital Marketing: Strategy, Implementation and </w:t>
      </w:r>
    </w:p>
    <w:p w14:paraId="332AAE29" w14:textId="77777777" w:rsidR="001F38C4" w:rsidRPr="00C30948" w:rsidRDefault="001F38C4" w:rsidP="001F38C4">
      <w:pPr>
        <w:tabs>
          <w:tab w:val="left" w:pos="567"/>
        </w:tabs>
        <w:jc w:val="both"/>
        <w:rPr>
          <w:rFonts w:ascii="Arial" w:hAnsi="Arial" w:cs="Arial"/>
        </w:rPr>
      </w:pPr>
      <w:r w:rsidRPr="00C30948">
        <w:rPr>
          <w:rFonts w:ascii="Arial" w:hAnsi="Arial" w:cs="Arial"/>
          <w:i/>
          <w:iCs/>
        </w:rPr>
        <w:tab/>
        <w:t xml:space="preserve">Practice </w:t>
      </w:r>
      <w:r w:rsidRPr="00C30948">
        <w:rPr>
          <w:rFonts w:ascii="Arial" w:hAnsi="Arial" w:cs="Arial"/>
        </w:rPr>
        <w:t xml:space="preserve">(7th ed.). Pearson Education. </w:t>
      </w:r>
    </w:p>
    <w:p w14:paraId="0768375C" w14:textId="77777777" w:rsidR="001F38C4" w:rsidRPr="00C30948" w:rsidRDefault="002221A4" w:rsidP="001F38C4">
      <w:pPr>
        <w:tabs>
          <w:tab w:val="left" w:pos="567"/>
        </w:tabs>
        <w:jc w:val="both"/>
        <w:rPr>
          <w:rFonts w:ascii="Arial" w:hAnsi="Arial" w:cs="Arial"/>
          <w:i/>
          <w:iCs/>
        </w:rPr>
      </w:pPr>
      <w:r w:rsidRPr="00C30948">
        <w:rPr>
          <w:rFonts w:ascii="Arial" w:hAnsi="Arial" w:cs="Arial"/>
        </w:rPr>
        <w:t xml:space="preserve">Chesbrough, H. (2020). </w:t>
      </w:r>
      <w:r w:rsidRPr="00C30948">
        <w:rPr>
          <w:rFonts w:ascii="Arial" w:hAnsi="Arial" w:cs="Arial"/>
          <w:i/>
          <w:iCs/>
        </w:rPr>
        <w:t xml:space="preserve">Open Innovation: The New Imperative for Creating and Profiting </w:t>
      </w:r>
    </w:p>
    <w:p w14:paraId="44207D71" w14:textId="77777777" w:rsidR="001F38C4" w:rsidRPr="00C30948" w:rsidRDefault="001F38C4" w:rsidP="001F38C4">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 xml:space="preserve">from Technology </w:t>
      </w:r>
      <w:r w:rsidR="002221A4" w:rsidRPr="00C30948">
        <w:rPr>
          <w:rFonts w:ascii="Arial" w:hAnsi="Arial" w:cs="Arial"/>
        </w:rPr>
        <w:t xml:space="preserve">(2nd ed.). Harvard Business Review Press. </w:t>
      </w:r>
    </w:p>
    <w:p w14:paraId="2D793AA8" w14:textId="77777777" w:rsidR="001F38C4" w:rsidRPr="00C30948" w:rsidRDefault="00226C2A" w:rsidP="001F38C4">
      <w:pPr>
        <w:tabs>
          <w:tab w:val="left" w:pos="567"/>
        </w:tabs>
        <w:jc w:val="both"/>
        <w:rPr>
          <w:rFonts w:ascii="Arial" w:hAnsi="Arial" w:cs="Arial"/>
          <w:i/>
          <w:iCs/>
        </w:rPr>
      </w:pPr>
      <w:r w:rsidRPr="00C30948">
        <w:rPr>
          <w:rFonts w:ascii="Arial" w:hAnsi="Arial" w:cs="Arial"/>
        </w:rPr>
        <w:t xml:space="preserve">Creswell, J. W. (2009). </w:t>
      </w:r>
      <w:r w:rsidRPr="00C30948">
        <w:rPr>
          <w:rFonts w:ascii="Arial" w:hAnsi="Arial" w:cs="Arial"/>
          <w:i/>
          <w:iCs/>
        </w:rPr>
        <w:t xml:space="preserve">Research design: Qualitative, quantitative, and mixed methods </w:t>
      </w:r>
    </w:p>
    <w:p w14:paraId="1ECC1A5F" w14:textId="77777777" w:rsidR="001F38C4" w:rsidRPr="00C30948" w:rsidRDefault="001F38C4" w:rsidP="001F38C4">
      <w:pPr>
        <w:tabs>
          <w:tab w:val="left" w:pos="567"/>
        </w:tabs>
        <w:jc w:val="both"/>
        <w:rPr>
          <w:rFonts w:ascii="Arial" w:hAnsi="Arial" w:cs="Arial"/>
        </w:rPr>
      </w:pPr>
      <w:r w:rsidRPr="00C30948">
        <w:rPr>
          <w:rFonts w:ascii="Arial" w:hAnsi="Arial" w:cs="Arial"/>
          <w:i/>
          <w:iCs/>
        </w:rPr>
        <w:tab/>
      </w:r>
      <w:r w:rsidR="00226C2A" w:rsidRPr="00C30948">
        <w:rPr>
          <w:rFonts w:ascii="Arial" w:hAnsi="Arial" w:cs="Arial"/>
          <w:i/>
          <w:iCs/>
        </w:rPr>
        <w:t xml:space="preserve">approaches </w:t>
      </w:r>
      <w:r w:rsidR="00226C2A" w:rsidRPr="00C30948">
        <w:rPr>
          <w:rFonts w:ascii="Arial" w:hAnsi="Arial" w:cs="Arial"/>
        </w:rPr>
        <w:t>(3rd ed.). Sage Publications.</w:t>
      </w:r>
    </w:p>
    <w:p w14:paraId="171C721A" w14:textId="77777777" w:rsidR="00C00B51" w:rsidRPr="00C30948" w:rsidRDefault="002221A4" w:rsidP="00C00B51">
      <w:pPr>
        <w:tabs>
          <w:tab w:val="left" w:pos="567"/>
        </w:tabs>
        <w:jc w:val="both"/>
        <w:rPr>
          <w:rFonts w:ascii="Arial" w:hAnsi="Arial" w:cs="Arial"/>
        </w:rPr>
      </w:pPr>
      <w:r w:rsidRPr="00C30948">
        <w:rPr>
          <w:rFonts w:ascii="Arial" w:hAnsi="Arial" w:cs="Arial"/>
        </w:rPr>
        <w:t>Dahlberg, T., Guo, J., &amp; Ondrus, J. (2015). A critical review of mobile payment research.</w:t>
      </w:r>
      <w:r w:rsidR="00C00B51" w:rsidRPr="00C30948">
        <w:rPr>
          <w:rFonts w:ascii="Arial" w:hAnsi="Arial" w:cs="Arial"/>
        </w:rPr>
        <w:t xml:space="preserve"> </w:t>
      </w:r>
    </w:p>
    <w:p w14:paraId="3951FCC7" w14:textId="77777777" w:rsidR="00C00B51" w:rsidRPr="00C30948" w:rsidRDefault="00C00B51" w:rsidP="00C00B51">
      <w:pPr>
        <w:tabs>
          <w:tab w:val="left" w:pos="567"/>
        </w:tabs>
        <w:ind w:left="567"/>
        <w:jc w:val="both"/>
        <w:rPr>
          <w:rFonts w:ascii="Arial" w:hAnsi="Arial" w:cs="Arial"/>
        </w:rPr>
      </w:pPr>
      <w:r w:rsidRPr="00C30948">
        <w:rPr>
          <w:rFonts w:ascii="Arial" w:hAnsi="Arial" w:cs="Arial"/>
        </w:rPr>
        <w:tab/>
      </w:r>
      <w:r w:rsidR="002221A4" w:rsidRPr="00C30948">
        <w:rPr>
          <w:rFonts w:ascii="Arial" w:hAnsi="Arial" w:cs="Arial"/>
          <w:i/>
          <w:iCs/>
        </w:rPr>
        <w:t>Electronic Commerce Research and Applications</w:t>
      </w:r>
      <w:r w:rsidR="002221A4" w:rsidRPr="00C30948">
        <w:rPr>
          <w:rFonts w:ascii="Arial" w:hAnsi="Arial" w:cs="Arial"/>
        </w:rPr>
        <w:t xml:space="preserve">, 14(5), 265–284. </w:t>
      </w:r>
      <w:hyperlink r:id="rId14" w:history="1">
        <w:r w:rsidRPr="00C30948">
          <w:rPr>
            <w:rStyle w:val="Hyperlink"/>
            <w:rFonts w:ascii="Arial" w:hAnsi="Arial" w:cs="Arial"/>
          </w:rPr>
          <w:t>https://doi.org/10.1016/j.elerap.2015.07.006</w:t>
        </w:r>
      </w:hyperlink>
      <w:r w:rsidRPr="00C30948">
        <w:rPr>
          <w:rFonts w:ascii="Arial" w:hAnsi="Arial" w:cs="Arial"/>
        </w:rPr>
        <w:t>.</w:t>
      </w:r>
    </w:p>
    <w:p w14:paraId="195B3403" w14:textId="77777777" w:rsidR="00C00B51" w:rsidRPr="00C30948" w:rsidRDefault="002221A4" w:rsidP="00C00B51">
      <w:pPr>
        <w:tabs>
          <w:tab w:val="left" w:pos="567"/>
        </w:tabs>
        <w:jc w:val="both"/>
        <w:rPr>
          <w:rFonts w:ascii="Arial" w:hAnsi="Arial" w:cs="Arial"/>
          <w:i/>
          <w:iCs/>
        </w:rPr>
      </w:pPr>
      <w:r w:rsidRPr="00C30948">
        <w:rPr>
          <w:rFonts w:ascii="Arial" w:hAnsi="Arial" w:cs="Arial"/>
        </w:rPr>
        <w:t xml:space="preserve">Davenport, T. H., &amp; </w:t>
      </w:r>
      <w:proofErr w:type="spellStart"/>
      <w:r w:rsidRPr="00C30948">
        <w:rPr>
          <w:rFonts w:ascii="Arial" w:hAnsi="Arial" w:cs="Arial"/>
        </w:rPr>
        <w:t>Ronanki</w:t>
      </w:r>
      <w:proofErr w:type="spellEnd"/>
      <w:r w:rsidRPr="00C30948">
        <w:rPr>
          <w:rFonts w:ascii="Arial" w:hAnsi="Arial" w:cs="Arial"/>
        </w:rPr>
        <w:t xml:space="preserve">, R. (2018). Artificial intelligence for the real world. </w:t>
      </w:r>
      <w:r w:rsidRPr="00C30948">
        <w:rPr>
          <w:rFonts w:ascii="Arial" w:hAnsi="Arial" w:cs="Arial"/>
          <w:i/>
          <w:iCs/>
        </w:rPr>
        <w:t xml:space="preserve">Harvard </w:t>
      </w:r>
    </w:p>
    <w:p w14:paraId="5AE72923"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Business Review</w:t>
      </w:r>
      <w:r w:rsidR="002221A4" w:rsidRPr="00C30948">
        <w:rPr>
          <w:rFonts w:ascii="Arial" w:hAnsi="Arial" w:cs="Arial"/>
        </w:rPr>
        <w:t>, 96(1), 108–116.</w:t>
      </w:r>
    </w:p>
    <w:p w14:paraId="7121F994"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Department of Trade and Industry (DTI). (2024). </w:t>
      </w:r>
      <w:r w:rsidRPr="00C30948">
        <w:rPr>
          <w:rFonts w:ascii="Arial" w:hAnsi="Arial" w:cs="Arial"/>
          <w:i/>
          <w:iCs/>
        </w:rPr>
        <w:t>DTI digital transformation report</w:t>
      </w:r>
      <w:r w:rsidRPr="00C30948">
        <w:rPr>
          <w:rFonts w:ascii="Arial" w:hAnsi="Arial" w:cs="Arial"/>
        </w:rPr>
        <w:t xml:space="preserve">. </w:t>
      </w:r>
    </w:p>
    <w:p w14:paraId="3F70A91D" w14:textId="77777777" w:rsidR="00C00B51" w:rsidRPr="00C30948" w:rsidRDefault="00C00B51" w:rsidP="00C00B51">
      <w:pPr>
        <w:tabs>
          <w:tab w:val="left" w:pos="567"/>
        </w:tabs>
        <w:jc w:val="both"/>
        <w:rPr>
          <w:rFonts w:ascii="Arial" w:hAnsi="Arial" w:cs="Arial"/>
        </w:rPr>
      </w:pPr>
      <w:r w:rsidRPr="00C30948">
        <w:rPr>
          <w:rFonts w:ascii="Arial" w:hAnsi="Arial" w:cs="Arial"/>
        </w:rPr>
        <w:tab/>
      </w:r>
      <w:hyperlink r:id="rId15" w:history="1">
        <w:r w:rsidRPr="00C30948">
          <w:rPr>
            <w:rStyle w:val="Hyperlink"/>
            <w:rFonts w:ascii="Arial" w:hAnsi="Arial" w:cs="Arial"/>
          </w:rPr>
          <w:t>https://www.dti.gov.ph/digital-transformation</w:t>
        </w:r>
      </w:hyperlink>
      <w:r w:rsidRPr="00C30948">
        <w:rPr>
          <w:rFonts w:ascii="Arial" w:hAnsi="Arial" w:cs="Arial"/>
        </w:rPr>
        <w:t>.</w:t>
      </w:r>
    </w:p>
    <w:p w14:paraId="60148B3C"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Dessler, G. (2020). </w:t>
      </w:r>
      <w:r w:rsidRPr="00C30948">
        <w:rPr>
          <w:rFonts w:ascii="Arial" w:hAnsi="Arial" w:cs="Arial"/>
          <w:i/>
          <w:iCs/>
        </w:rPr>
        <w:t xml:space="preserve">Human Resource Management </w:t>
      </w:r>
      <w:r w:rsidRPr="00C30948">
        <w:rPr>
          <w:rFonts w:ascii="Arial" w:hAnsi="Arial" w:cs="Arial"/>
        </w:rPr>
        <w:t xml:space="preserve">(16th ed.). Pearson Education. </w:t>
      </w:r>
    </w:p>
    <w:p w14:paraId="0F2E6480"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Drucker, P. F. (2014). </w:t>
      </w:r>
      <w:r w:rsidRPr="00C30948">
        <w:rPr>
          <w:rFonts w:ascii="Arial" w:hAnsi="Arial" w:cs="Arial"/>
          <w:i/>
          <w:iCs/>
        </w:rPr>
        <w:t>Innovation and Entrepreneurship</w:t>
      </w:r>
      <w:r w:rsidRPr="00C30948">
        <w:rPr>
          <w:rFonts w:ascii="Arial" w:hAnsi="Arial" w:cs="Arial"/>
        </w:rPr>
        <w:t>. Routledge</w:t>
      </w:r>
      <w:r w:rsidR="00C00B51" w:rsidRPr="00C30948">
        <w:rPr>
          <w:rFonts w:ascii="Arial" w:hAnsi="Arial" w:cs="Arial"/>
        </w:rPr>
        <w:t>.</w:t>
      </w:r>
    </w:p>
    <w:p w14:paraId="01D244F7" w14:textId="77777777" w:rsidR="00C00B51" w:rsidRPr="00C30948" w:rsidRDefault="00226C2A" w:rsidP="00C00B51">
      <w:pPr>
        <w:tabs>
          <w:tab w:val="left" w:pos="567"/>
        </w:tabs>
        <w:jc w:val="both"/>
        <w:rPr>
          <w:rFonts w:ascii="Arial" w:hAnsi="Arial" w:cs="Arial"/>
        </w:rPr>
      </w:pPr>
      <w:r w:rsidRPr="00C30948">
        <w:rPr>
          <w:rFonts w:ascii="Arial" w:hAnsi="Arial" w:cs="Arial"/>
        </w:rPr>
        <w:t xml:space="preserve">Hess, T., Matt, C., </w:t>
      </w:r>
      <w:proofErr w:type="spellStart"/>
      <w:r w:rsidRPr="00C30948">
        <w:rPr>
          <w:rFonts w:ascii="Arial" w:hAnsi="Arial" w:cs="Arial"/>
        </w:rPr>
        <w:t>Benlian</w:t>
      </w:r>
      <w:proofErr w:type="spellEnd"/>
      <w:r w:rsidRPr="00C30948">
        <w:rPr>
          <w:rFonts w:ascii="Arial" w:hAnsi="Arial" w:cs="Arial"/>
        </w:rPr>
        <w:t xml:space="preserve">, A., &amp; </w:t>
      </w:r>
      <w:proofErr w:type="spellStart"/>
      <w:r w:rsidRPr="00C30948">
        <w:rPr>
          <w:rFonts w:ascii="Arial" w:hAnsi="Arial" w:cs="Arial"/>
        </w:rPr>
        <w:t>Wiesböck</w:t>
      </w:r>
      <w:proofErr w:type="spellEnd"/>
      <w:r w:rsidRPr="00C30948">
        <w:rPr>
          <w:rFonts w:ascii="Arial" w:hAnsi="Arial" w:cs="Arial"/>
        </w:rPr>
        <w:t xml:space="preserve">, F. (2016). Options for formulating a digital </w:t>
      </w:r>
    </w:p>
    <w:p w14:paraId="7AAC6FA0"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6C2A" w:rsidRPr="00C30948">
        <w:rPr>
          <w:rFonts w:ascii="Arial" w:hAnsi="Arial" w:cs="Arial"/>
        </w:rPr>
        <w:t xml:space="preserve">transformation strategy. </w:t>
      </w:r>
      <w:r w:rsidR="00226C2A" w:rsidRPr="00C30948">
        <w:rPr>
          <w:rFonts w:ascii="Arial" w:hAnsi="Arial" w:cs="Arial"/>
          <w:i/>
          <w:iCs/>
        </w:rPr>
        <w:t>MIS Quarterly Executive, 15</w:t>
      </w:r>
      <w:r w:rsidR="00226C2A" w:rsidRPr="00C30948">
        <w:rPr>
          <w:rFonts w:ascii="Arial" w:hAnsi="Arial" w:cs="Arial"/>
        </w:rPr>
        <w:t xml:space="preserve">(2), 123–139. </w:t>
      </w:r>
    </w:p>
    <w:p w14:paraId="44433A4C" w14:textId="77777777" w:rsidR="00C00B51" w:rsidRPr="00C30948" w:rsidRDefault="002221A4" w:rsidP="00C00B51">
      <w:pPr>
        <w:tabs>
          <w:tab w:val="left" w:pos="567"/>
        </w:tabs>
        <w:jc w:val="both"/>
        <w:rPr>
          <w:rFonts w:ascii="Arial" w:hAnsi="Arial" w:cs="Arial"/>
        </w:rPr>
      </w:pPr>
      <w:proofErr w:type="spellStart"/>
      <w:r w:rsidRPr="00C30948">
        <w:rPr>
          <w:rFonts w:ascii="Arial" w:hAnsi="Arial" w:cs="Arial"/>
        </w:rPr>
        <w:lastRenderedPageBreak/>
        <w:t>Humbani</w:t>
      </w:r>
      <w:proofErr w:type="spellEnd"/>
      <w:r w:rsidRPr="00C30948">
        <w:rPr>
          <w:rFonts w:ascii="Arial" w:hAnsi="Arial" w:cs="Arial"/>
        </w:rPr>
        <w:t xml:space="preserve">, M., &amp; Wiese, M. (2019). An integrated framework for the adoption and </w:t>
      </w:r>
    </w:p>
    <w:p w14:paraId="6220590A" w14:textId="77777777" w:rsidR="00C00B51" w:rsidRPr="00C30948" w:rsidRDefault="00C00B51" w:rsidP="00C00B51">
      <w:pPr>
        <w:tabs>
          <w:tab w:val="left" w:pos="567"/>
        </w:tabs>
        <w:jc w:val="both"/>
        <w:rPr>
          <w:rFonts w:ascii="Arial" w:hAnsi="Arial" w:cs="Arial"/>
          <w:i/>
          <w:iCs/>
        </w:rPr>
      </w:pPr>
      <w:r w:rsidRPr="00C30948">
        <w:rPr>
          <w:rFonts w:ascii="Arial" w:hAnsi="Arial" w:cs="Arial"/>
        </w:rPr>
        <w:tab/>
      </w:r>
      <w:r w:rsidR="002221A4" w:rsidRPr="00C30948">
        <w:rPr>
          <w:rFonts w:ascii="Arial" w:hAnsi="Arial" w:cs="Arial"/>
        </w:rPr>
        <w:t xml:space="preserve">continuance intention to use mobile payment apps. </w:t>
      </w:r>
      <w:r w:rsidR="002221A4" w:rsidRPr="00C30948">
        <w:rPr>
          <w:rFonts w:ascii="Arial" w:hAnsi="Arial" w:cs="Arial"/>
          <w:i/>
          <w:iCs/>
        </w:rPr>
        <w:t xml:space="preserve">International Journal of Bank </w:t>
      </w:r>
    </w:p>
    <w:p w14:paraId="0E04AFE6"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Marketing</w:t>
      </w:r>
      <w:r w:rsidR="002221A4" w:rsidRPr="00C30948">
        <w:rPr>
          <w:rFonts w:ascii="Arial" w:hAnsi="Arial" w:cs="Arial"/>
        </w:rPr>
        <w:t xml:space="preserve">, 37(2), 646–664. https://doi.org/10.1108/IJBM-03-2018-0072 </w:t>
      </w:r>
    </w:p>
    <w:p w14:paraId="64DCC72B"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Kim, H., Kim, J., &amp; Lee, Y. (2019). Adoption of digital payment systems: A study of the </w:t>
      </w:r>
    </w:p>
    <w:p w14:paraId="04D1BACE"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mobile wallet in Korea. </w:t>
      </w:r>
      <w:r w:rsidR="002221A4" w:rsidRPr="00C30948">
        <w:rPr>
          <w:rFonts w:ascii="Arial" w:hAnsi="Arial" w:cs="Arial"/>
          <w:i/>
          <w:iCs/>
        </w:rPr>
        <w:t>Journal of Retailing and Consumer Services</w:t>
      </w:r>
      <w:r w:rsidR="002221A4" w:rsidRPr="00C30948">
        <w:rPr>
          <w:rFonts w:ascii="Arial" w:hAnsi="Arial" w:cs="Arial"/>
        </w:rPr>
        <w:t xml:space="preserve">, 47, 296–305. </w:t>
      </w:r>
    </w:p>
    <w:p w14:paraId="7CF81FD0" w14:textId="77777777" w:rsidR="00C00B51" w:rsidRPr="00C30948" w:rsidRDefault="00C00B51" w:rsidP="00C00B51">
      <w:pPr>
        <w:tabs>
          <w:tab w:val="left" w:pos="567"/>
        </w:tabs>
        <w:jc w:val="both"/>
        <w:rPr>
          <w:rFonts w:ascii="Arial" w:hAnsi="Arial" w:cs="Arial"/>
        </w:rPr>
      </w:pPr>
      <w:r w:rsidRPr="00C30948">
        <w:rPr>
          <w:rFonts w:ascii="Arial" w:hAnsi="Arial" w:cs="Arial"/>
        </w:rPr>
        <w:tab/>
      </w:r>
      <w:hyperlink r:id="rId16" w:history="1">
        <w:r w:rsidRPr="00C30948">
          <w:rPr>
            <w:rStyle w:val="Hyperlink"/>
            <w:rFonts w:ascii="Arial" w:hAnsi="Arial" w:cs="Arial"/>
          </w:rPr>
          <w:t>https://doi.org/10.1016/j.jretconser.2018.12.008</w:t>
        </w:r>
      </w:hyperlink>
      <w:r w:rsidRPr="00C30948">
        <w:rPr>
          <w:rFonts w:ascii="Arial" w:hAnsi="Arial" w:cs="Arial"/>
        </w:rPr>
        <w:t>.</w:t>
      </w:r>
    </w:p>
    <w:p w14:paraId="55E96A7E"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Kotler, P., &amp; Keller, K. L. (2021). </w:t>
      </w:r>
      <w:r w:rsidRPr="00C30948">
        <w:rPr>
          <w:rFonts w:ascii="Arial" w:hAnsi="Arial" w:cs="Arial"/>
          <w:i/>
          <w:iCs/>
        </w:rPr>
        <w:t xml:space="preserve">Marketing Management </w:t>
      </w:r>
      <w:r w:rsidRPr="00C30948">
        <w:rPr>
          <w:rFonts w:ascii="Arial" w:hAnsi="Arial" w:cs="Arial"/>
        </w:rPr>
        <w:t xml:space="preserve">(16th ed.). Pearson Education. </w:t>
      </w:r>
    </w:p>
    <w:p w14:paraId="76A74E65" w14:textId="77777777" w:rsidR="00C00B51" w:rsidRPr="00C30948" w:rsidRDefault="002221A4" w:rsidP="00C00B51">
      <w:pPr>
        <w:tabs>
          <w:tab w:val="left" w:pos="567"/>
        </w:tabs>
        <w:jc w:val="both"/>
        <w:rPr>
          <w:rFonts w:ascii="Arial" w:hAnsi="Arial" w:cs="Arial"/>
          <w:i/>
          <w:iCs/>
        </w:rPr>
      </w:pPr>
      <w:r w:rsidRPr="00C30948">
        <w:rPr>
          <w:rFonts w:ascii="Arial" w:hAnsi="Arial" w:cs="Arial"/>
        </w:rPr>
        <w:t xml:space="preserve">Laudon, K. C., &amp; Traver, C. G. (2020). </w:t>
      </w:r>
      <w:r w:rsidRPr="00C30948">
        <w:rPr>
          <w:rFonts w:ascii="Arial" w:hAnsi="Arial" w:cs="Arial"/>
          <w:i/>
          <w:iCs/>
        </w:rPr>
        <w:t xml:space="preserve">E-commerce 2020-2021: Business, Technology, and </w:t>
      </w:r>
    </w:p>
    <w:p w14:paraId="0B7764BE"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 xml:space="preserve">Society </w:t>
      </w:r>
      <w:r w:rsidR="002221A4" w:rsidRPr="00C30948">
        <w:rPr>
          <w:rFonts w:ascii="Arial" w:hAnsi="Arial" w:cs="Arial"/>
        </w:rPr>
        <w:t>(16th ed.). Pearson Education.</w:t>
      </w:r>
    </w:p>
    <w:p w14:paraId="7E607DCC" w14:textId="77777777" w:rsidR="00C00B51" w:rsidRPr="00C30948" w:rsidRDefault="002221A4" w:rsidP="00C00B51">
      <w:pPr>
        <w:tabs>
          <w:tab w:val="left" w:pos="567"/>
        </w:tabs>
        <w:jc w:val="both"/>
        <w:rPr>
          <w:rFonts w:ascii="Arial" w:hAnsi="Arial" w:cs="Arial"/>
          <w:i/>
          <w:iCs/>
        </w:rPr>
      </w:pPr>
      <w:r w:rsidRPr="00C30948">
        <w:rPr>
          <w:rFonts w:ascii="Arial" w:hAnsi="Arial" w:cs="Arial"/>
        </w:rPr>
        <w:t xml:space="preserve">Laudon, K. C., &amp; Laudon, J. P. (2021). </w:t>
      </w:r>
      <w:r w:rsidRPr="00C30948">
        <w:rPr>
          <w:rFonts w:ascii="Arial" w:hAnsi="Arial" w:cs="Arial"/>
          <w:i/>
          <w:iCs/>
        </w:rPr>
        <w:t xml:space="preserve">Management Information Systems: Managing the </w:t>
      </w:r>
    </w:p>
    <w:p w14:paraId="56C704D4"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21A4" w:rsidRPr="00C30948">
        <w:rPr>
          <w:rFonts w:ascii="Arial" w:hAnsi="Arial" w:cs="Arial"/>
          <w:i/>
          <w:iCs/>
        </w:rPr>
        <w:t xml:space="preserve">Digital Firm </w:t>
      </w:r>
      <w:r w:rsidR="002221A4" w:rsidRPr="00C30948">
        <w:rPr>
          <w:rFonts w:ascii="Arial" w:hAnsi="Arial" w:cs="Arial"/>
        </w:rPr>
        <w:t>(17th ed.). Pearson Education</w:t>
      </w:r>
      <w:r w:rsidRPr="00C30948">
        <w:rPr>
          <w:rFonts w:ascii="Arial" w:hAnsi="Arial" w:cs="Arial"/>
        </w:rPr>
        <w:t>.</w:t>
      </w:r>
    </w:p>
    <w:p w14:paraId="2C110D76"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Noe, R. A. (2020). </w:t>
      </w:r>
      <w:r w:rsidRPr="00C30948">
        <w:rPr>
          <w:rFonts w:ascii="Arial" w:hAnsi="Arial" w:cs="Arial"/>
          <w:i/>
          <w:iCs/>
        </w:rPr>
        <w:t xml:space="preserve">Employee Training &amp; Development </w:t>
      </w:r>
      <w:r w:rsidRPr="00C30948">
        <w:rPr>
          <w:rFonts w:ascii="Arial" w:hAnsi="Arial" w:cs="Arial"/>
        </w:rPr>
        <w:t xml:space="preserve">(8th ed.). McGraw-Hill Education. </w:t>
      </w:r>
    </w:p>
    <w:p w14:paraId="253E368B"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Parasuraman, A., Zeithaml, V. A., &amp; Malhotra, A. (2005). E-S-QUAL: A multiple-item scale </w:t>
      </w:r>
    </w:p>
    <w:p w14:paraId="5EBF41B2"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1F38C4" w:rsidRPr="00C30948">
        <w:rPr>
          <w:rFonts w:ascii="Arial" w:hAnsi="Arial" w:cs="Arial"/>
        </w:rPr>
        <w:t xml:space="preserve">for assessing electronic service quality. </w:t>
      </w:r>
      <w:r w:rsidR="001F38C4" w:rsidRPr="00C30948">
        <w:rPr>
          <w:rFonts w:ascii="Arial" w:hAnsi="Arial" w:cs="Arial"/>
          <w:i/>
          <w:iCs/>
        </w:rPr>
        <w:t>Journal of Service Research</w:t>
      </w:r>
      <w:r w:rsidR="001F38C4" w:rsidRPr="00C30948">
        <w:rPr>
          <w:rFonts w:ascii="Arial" w:hAnsi="Arial" w:cs="Arial"/>
        </w:rPr>
        <w:t xml:space="preserve">, 7(3), 213–233. </w:t>
      </w:r>
    </w:p>
    <w:p w14:paraId="6A482347" w14:textId="77777777" w:rsidR="00C00B51" w:rsidRPr="00C30948" w:rsidRDefault="00C00B51" w:rsidP="00C00B51">
      <w:pPr>
        <w:tabs>
          <w:tab w:val="left" w:pos="567"/>
        </w:tabs>
        <w:jc w:val="both"/>
        <w:rPr>
          <w:rFonts w:ascii="Arial" w:hAnsi="Arial" w:cs="Arial"/>
        </w:rPr>
      </w:pPr>
      <w:r w:rsidRPr="00C30948">
        <w:rPr>
          <w:rFonts w:ascii="Arial" w:hAnsi="Arial" w:cs="Arial"/>
        </w:rPr>
        <w:tab/>
      </w:r>
      <w:hyperlink r:id="rId17" w:history="1">
        <w:r w:rsidRPr="00C30948">
          <w:rPr>
            <w:rStyle w:val="Hyperlink"/>
            <w:rFonts w:ascii="Arial" w:hAnsi="Arial" w:cs="Arial"/>
          </w:rPr>
          <w:t>https://doi.org/10.1177/1094670504271156</w:t>
        </w:r>
      </w:hyperlink>
      <w:r w:rsidRPr="00C30948">
        <w:rPr>
          <w:rFonts w:ascii="Arial" w:hAnsi="Arial" w:cs="Arial"/>
        </w:rPr>
        <w:t>.</w:t>
      </w:r>
    </w:p>
    <w:p w14:paraId="6C7E3DEC" w14:textId="77777777" w:rsidR="00C00B51" w:rsidRPr="00C30948" w:rsidRDefault="00226C2A" w:rsidP="00C00B51">
      <w:pPr>
        <w:tabs>
          <w:tab w:val="left" w:pos="567"/>
        </w:tabs>
        <w:jc w:val="both"/>
        <w:rPr>
          <w:rFonts w:ascii="Arial" w:hAnsi="Arial" w:cs="Arial"/>
          <w:i/>
          <w:iCs/>
        </w:rPr>
      </w:pPr>
      <w:r w:rsidRPr="00C30948">
        <w:rPr>
          <w:rFonts w:ascii="Arial" w:hAnsi="Arial" w:cs="Arial"/>
        </w:rPr>
        <w:t xml:space="preserve">Philippine Institute for Development Studies (PIDS). (2021, June 30). </w:t>
      </w:r>
      <w:r w:rsidRPr="00C30948">
        <w:rPr>
          <w:rFonts w:ascii="Arial" w:hAnsi="Arial" w:cs="Arial"/>
          <w:i/>
          <w:iCs/>
        </w:rPr>
        <w:t xml:space="preserve">Micro, small, and </w:t>
      </w:r>
    </w:p>
    <w:p w14:paraId="421A6C7D"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6C2A" w:rsidRPr="00C30948">
        <w:rPr>
          <w:rFonts w:ascii="Arial" w:hAnsi="Arial" w:cs="Arial"/>
          <w:i/>
          <w:iCs/>
        </w:rPr>
        <w:t>medium enterprises</w:t>
      </w:r>
      <w:r w:rsidR="00226C2A" w:rsidRPr="00C30948">
        <w:rPr>
          <w:rFonts w:ascii="Arial" w:hAnsi="Arial" w:cs="Arial"/>
        </w:rPr>
        <w:t xml:space="preserve">. Socioeconomic Research Portal for the Philippines. </w:t>
      </w:r>
    </w:p>
    <w:p w14:paraId="0AC0C4AA" w14:textId="77777777" w:rsidR="00C00B51" w:rsidRPr="00C30948" w:rsidRDefault="00C00B51" w:rsidP="00C00B51">
      <w:pPr>
        <w:tabs>
          <w:tab w:val="left" w:pos="567"/>
        </w:tabs>
        <w:jc w:val="both"/>
        <w:rPr>
          <w:rFonts w:ascii="Arial" w:hAnsi="Arial" w:cs="Arial"/>
        </w:rPr>
      </w:pPr>
      <w:r w:rsidRPr="00C30948">
        <w:rPr>
          <w:rFonts w:ascii="Arial" w:hAnsi="Arial" w:cs="Arial"/>
        </w:rPr>
        <w:tab/>
        <w:t>https://serpp.pids.gov.ph/feature/public/index-view?feauredtype_id=1&amp;slug=micro</w:t>
      </w:r>
    </w:p>
    <w:p w14:paraId="20456BA7"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6C2A" w:rsidRPr="00C30948">
        <w:rPr>
          <w:rFonts w:ascii="Arial" w:hAnsi="Arial" w:cs="Arial"/>
        </w:rPr>
        <w:t xml:space="preserve">small-and-medium-enterprises </w:t>
      </w:r>
    </w:p>
    <w:p w14:paraId="223F9A7F"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Porter, M. E., &amp; </w:t>
      </w:r>
      <w:proofErr w:type="spellStart"/>
      <w:r w:rsidRPr="00C30948">
        <w:rPr>
          <w:rFonts w:ascii="Arial" w:hAnsi="Arial" w:cs="Arial"/>
        </w:rPr>
        <w:t>Heppelmann</w:t>
      </w:r>
      <w:proofErr w:type="spellEnd"/>
      <w:r w:rsidRPr="00C30948">
        <w:rPr>
          <w:rFonts w:ascii="Arial" w:hAnsi="Arial" w:cs="Arial"/>
        </w:rPr>
        <w:t xml:space="preserve">, J. E. (2015). How smart, connected products are transforming </w:t>
      </w:r>
    </w:p>
    <w:p w14:paraId="7D16AFC8"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companies. </w:t>
      </w:r>
      <w:r w:rsidR="002221A4" w:rsidRPr="00C30948">
        <w:rPr>
          <w:rFonts w:ascii="Arial" w:hAnsi="Arial" w:cs="Arial"/>
          <w:i/>
          <w:iCs/>
        </w:rPr>
        <w:t>Harvard Business Review</w:t>
      </w:r>
      <w:r w:rsidR="002221A4" w:rsidRPr="00C30948">
        <w:rPr>
          <w:rFonts w:ascii="Arial" w:hAnsi="Arial" w:cs="Arial"/>
        </w:rPr>
        <w:t xml:space="preserve">, 93(10), 96–114. </w:t>
      </w:r>
    </w:p>
    <w:p w14:paraId="6A628DF4" w14:textId="77777777" w:rsidR="00C00B51" w:rsidRPr="00C30948" w:rsidRDefault="00226C2A" w:rsidP="00C00B51">
      <w:pPr>
        <w:tabs>
          <w:tab w:val="left" w:pos="567"/>
        </w:tabs>
        <w:jc w:val="both"/>
        <w:rPr>
          <w:rFonts w:ascii="Arial" w:hAnsi="Arial" w:cs="Arial"/>
        </w:rPr>
      </w:pPr>
      <w:r w:rsidRPr="00C30948">
        <w:rPr>
          <w:rFonts w:ascii="Arial" w:hAnsi="Arial" w:cs="Arial"/>
        </w:rPr>
        <w:t xml:space="preserve">Schwab, K. (2016). </w:t>
      </w:r>
      <w:r w:rsidRPr="00C30948">
        <w:rPr>
          <w:rFonts w:ascii="Arial" w:hAnsi="Arial" w:cs="Arial"/>
          <w:i/>
          <w:iCs/>
        </w:rPr>
        <w:t>The Fourth Industrial Revolution</w:t>
      </w:r>
      <w:r w:rsidRPr="00C30948">
        <w:rPr>
          <w:rFonts w:ascii="Arial" w:hAnsi="Arial" w:cs="Arial"/>
        </w:rPr>
        <w:t>. World Economic Forum.</w:t>
      </w:r>
    </w:p>
    <w:p w14:paraId="61ECC50C" w14:textId="77777777" w:rsidR="00C00B51" w:rsidRPr="00C30948" w:rsidRDefault="00226C2A" w:rsidP="00C00B51">
      <w:pPr>
        <w:tabs>
          <w:tab w:val="left" w:pos="567"/>
        </w:tabs>
        <w:jc w:val="both"/>
        <w:rPr>
          <w:rFonts w:ascii="Arial" w:hAnsi="Arial" w:cs="Arial"/>
        </w:rPr>
      </w:pPr>
      <w:r w:rsidRPr="00C30948">
        <w:rPr>
          <w:rFonts w:ascii="Arial" w:hAnsi="Arial" w:cs="Arial"/>
        </w:rPr>
        <w:t xml:space="preserve">Singh, K. (2020). </w:t>
      </w:r>
      <w:r w:rsidRPr="00C30948">
        <w:rPr>
          <w:rFonts w:ascii="Arial" w:hAnsi="Arial" w:cs="Arial"/>
          <w:i/>
          <w:iCs/>
        </w:rPr>
        <w:t xml:space="preserve">Quantitative social research methods </w:t>
      </w:r>
      <w:r w:rsidRPr="00C30948">
        <w:rPr>
          <w:rFonts w:ascii="Arial" w:hAnsi="Arial" w:cs="Arial"/>
        </w:rPr>
        <w:t>(2nd ed.). Sage Publications.</w:t>
      </w:r>
    </w:p>
    <w:p w14:paraId="53503D6B"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Slack, N., &amp; Brandon-Jones, A. (2018). </w:t>
      </w:r>
      <w:r w:rsidRPr="00C30948">
        <w:rPr>
          <w:rFonts w:ascii="Arial" w:hAnsi="Arial" w:cs="Arial"/>
          <w:i/>
          <w:iCs/>
        </w:rPr>
        <w:t xml:space="preserve">Operations Management </w:t>
      </w:r>
      <w:r w:rsidRPr="00C30948">
        <w:rPr>
          <w:rFonts w:ascii="Arial" w:hAnsi="Arial" w:cs="Arial"/>
        </w:rPr>
        <w:t xml:space="preserve">(9th ed.). Pearson </w:t>
      </w:r>
    </w:p>
    <w:p w14:paraId="48510677"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Education.</w:t>
      </w:r>
    </w:p>
    <w:p w14:paraId="6771DFD7" w14:textId="77777777" w:rsidR="00C00B51" w:rsidRPr="00C30948" w:rsidRDefault="00226C2A" w:rsidP="00C00B51">
      <w:pPr>
        <w:tabs>
          <w:tab w:val="left" w:pos="567"/>
        </w:tabs>
        <w:jc w:val="both"/>
        <w:rPr>
          <w:rFonts w:ascii="Arial" w:hAnsi="Arial" w:cs="Arial"/>
        </w:rPr>
      </w:pPr>
      <w:proofErr w:type="spellStart"/>
      <w:r w:rsidRPr="00C30948">
        <w:rPr>
          <w:rFonts w:ascii="Arial" w:hAnsi="Arial" w:cs="Arial"/>
        </w:rPr>
        <w:t>Stangor</w:t>
      </w:r>
      <w:proofErr w:type="spellEnd"/>
      <w:r w:rsidRPr="00C30948">
        <w:rPr>
          <w:rFonts w:ascii="Arial" w:hAnsi="Arial" w:cs="Arial"/>
        </w:rPr>
        <w:t xml:space="preserve">, C., &amp; </w:t>
      </w:r>
      <w:proofErr w:type="spellStart"/>
      <w:r w:rsidRPr="00C30948">
        <w:rPr>
          <w:rFonts w:ascii="Arial" w:hAnsi="Arial" w:cs="Arial"/>
        </w:rPr>
        <w:t>Walinga</w:t>
      </w:r>
      <w:proofErr w:type="spellEnd"/>
      <w:r w:rsidRPr="00C30948">
        <w:rPr>
          <w:rFonts w:ascii="Arial" w:hAnsi="Arial" w:cs="Arial"/>
        </w:rPr>
        <w:t xml:space="preserve">, J. (2021). </w:t>
      </w:r>
      <w:r w:rsidRPr="00C30948">
        <w:rPr>
          <w:rFonts w:ascii="Arial" w:hAnsi="Arial" w:cs="Arial"/>
          <w:i/>
          <w:iCs/>
        </w:rPr>
        <w:t xml:space="preserve">Introduction to psychology </w:t>
      </w:r>
      <w:r w:rsidRPr="00C30948">
        <w:rPr>
          <w:rFonts w:ascii="Arial" w:hAnsi="Arial" w:cs="Arial"/>
        </w:rPr>
        <w:t>(1st ed.</w:t>
      </w:r>
      <w:proofErr w:type="gramStart"/>
      <w:r w:rsidRPr="00C30948">
        <w:rPr>
          <w:rFonts w:ascii="Arial" w:hAnsi="Arial" w:cs="Arial"/>
        </w:rPr>
        <w:t>).</w:t>
      </w:r>
      <w:proofErr w:type="spellStart"/>
      <w:r w:rsidRPr="00C30948">
        <w:rPr>
          <w:rFonts w:ascii="Arial" w:hAnsi="Arial" w:cs="Arial"/>
        </w:rPr>
        <w:t>BCcampus</w:t>
      </w:r>
      <w:proofErr w:type="spellEnd"/>
      <w:proofErr w:type="gramEnd"/>
      <w:r w:rsidRPr="00C30948">
        <w:rPr>
          <w:rFonts w:ascii="Arial" w:hAnsi="Arial" w:cs="Arial"/>
        </w:rPr>
        <w:t xml:space="preserve">. </w:t>
      </w:r>
      <w:r w:rsidR="002221A4" w:rsidRPr="00C30948">
        <w:rPr>
          <w:rFonts w:ascii="Arial" w:hAnsi="Arial" w:cs="Arial"/>
        </w:rPr>
        <w:t xml:space="preserve">Venkatesh, V., Morris, M. G., Davis, G. B., &amp; Davis, F. D. (2003). User acceptance of </w:t>
      </w:r>
    </w:p>
    <w:p w14:paraId="16A5286E"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information technology: Toward a unified view. </w:t>
      </w:r>
      <w:r w:rsidR="002221A4" w:rsidRPr="00C30948">
        <w:rPr>
          <w:rFonts w:ascii="Arial" w:hAnsi="Arial" w:cs="Arial"/>
          <w:i/>
          <w:iCs/>
        </w:rPr>
        <w:t>MIS Quarterly, 27</w:t>
      </w:r>
      <w:r w:rsidR="002221A4" w:rsidRPr="00C30948">
        <w:rPr>
          <w:rFonts w:ascii="Arial" w:hAnsi="Arial" w:cs="Arial"/>
        </w:rPr>
        <w:t xml:space="preserve">(3), 425–478. </w:t>
      </w:r>
    </w:p>
    <w:p w14:paraId="590CB7F6"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https://doi.org/10.2307/30036540 </w:t>
      </w:r>
    </w:p>
    <w:p w14:paraId="57FA3474" w14:textId="77777777" w:rsidR="00C00B51" w:rsidRPr="00C30948" w:rsidRDefault="001F38C4" w:rsidP="00C00B51">
      <w:pPr>
        <w:tabs>
          <w:tab w:val="left" w:pos="567"/>
        </w:tabs>
        <w:jc w:val="both"/>
        <w:rPr>
          <w:rFonts w:ascii="Arial" w:hAnsi="Arial" w:cs="Arial"/>
        </w:rPr>
      </w:pPr>
      <w:r w:rsidRPr="00C30948">
        <w:rPr>
          <w:rFonts w:ascii="Arial" w:hAnsi="Arial" w:cs="Arial"/>
        </w:rPr>
        <w:t xml:space="preserve">Venkatesh, V., Thong, J. Y., &amp; Xu, X. (2012). Consumer acceptance and use of information </w:t>
      </w:r>
    </w:p>
    <w:p w14:paraId="34BB290C" w14:textId="77777777" w:rsidR="00C00B51" w:rsidRPr="00C30948" w:rsidRDefault="00C00B51" w:rsidP="00C00B51">
      <w:pPr>
        <w:tabs>
          <w:tab w:val="left" w:pos="567"/>
        </w:tabs>
        <w:jc w:val="both"/>
        <w:rPr>
          <w:rFonts w:ascii="Arial" w:hAnsi="Arial" w:cs="Arial"/>
          <w:i/>
          <w:iCs/>
        </w:rPr>
      </w:pPr>
      <w:r w:rsidRPr="00C30948">
        <w:rPr>
          <w:rFonts w:ascii="Arial" w:hAnsi="Arial" w:cs="Arial"/>
        </w:rPr>
        <w:tab/>
      </w:r>
      <w:r w:rsidR="001F38C4" w:rsidRPr="00C30948">
        <w:rPr>
          <w:rFonts w:ascii="Arial" w:hAnsi="Arial" w:cs="Arial"/>
        </w:rPr>
        <w:t xml:space="preserve">technology: Extending the unified theory of acceptance and use of technology. </w:t>
      </w:r>
      <w:r w:rsidR="001F38C4" w:rsidRPr="00C30948">
        <w:rPr>
          <w:rFonts w:ascii="Arial" w:hAnsi="Arial" w:cs="Arial"/>
          <w:i/>
          <w:iCs/>
        </w:rPr>
        <w:t xml:space="preserve">MIS </w:t>
      </w:r>
    </w:p>
    <w:p w14:paraId="0B228236"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1F38C4" w:rsidRPr="00C30948">
        <w:rPr>
          <w:rFonts w:ascii="Arial" w:hAnsi="Arial" w:cs="Arial"/>
          <w:i/>
          <w:iCs/>
        </w:rPr>
        <w:t>Quarterly</w:t>
      </w:r>
      <w:r w:rsidR="001F38C4" w:rsidRPr="00C30948">
        <w:rPr>
          <w:rFonts w:ascii="Arial" w:hAnsi="Arial" w:cs="Arial"/>
        </w:rPr>
        <w:t xml:space="preserve">, 36(1), 157–178. https://doi.org/10.2307/41410412 </w:t>
      </w:r>
    </w:p>
    <w:p w14:paraId="45EA04B8"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Vey, K., Fandel-Meyer, T., Zipp, J. S., &amp; Schneider, C. (2017). Learning &amp; Development in </w:t>
      </w:r>
    </w:p>
    <w:p w14:paraId="3DC3DC0A"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times of digital transformation: Facilitating a culture of change and innovation. </w:t>
      </w:r>
    </w:p>
    <w:p w14:paraId="1DDD3344"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i/>
          <w:iCs/>
        </w:rPr>
        <w:t>International Journal of Advanced Corporate Learning (</w:t>
      </w:r>
      <w:proofErr w:type="spellStart"/>
      <w:r w:rsidR="002221A4" w:rsidRPr="00C30948">
        <w:rPr>
          <w:rFonts w:ascii="Arial" w:hAnsi="Arial" w:cs="Arial"/>
          <w:i/>
          <w:iCs/>
        </w:rPr>
        <w:t>iJAC</w:t>
      </w:r>
      <w:proofErr w:type="spellEnd"/>
      <w:r w:rsidR="002221A4" w:rsidRPr="00C30948">
        <w:rPr>
          <w:rFonts w:ascii="Arial" w:hAnsi="Arial" w:cs="Arial"/>
          <w:i/>
          <w:iCs/>
        </w:rPr>
        <w:t>)</w:t>
      </w:r>
      <w:r w:rsidR="002221A4" w:rsidRPr="00C30948">
        <w:rPr>
          <w:rFonts w:ascii="Arial" w:hAnsi="Arial" w:cs="Arial"/>
        </w:rPr>
        <w:t>, 10(1), 22–32.</w:t>
      </w:r>
    </w:p>
    <w:p w14:paraId="4A04840E"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rPr>
        <w:t xml:space="preserve">https://doi.org/10.3991/ijac.v10i1.6334 </w:t>
      </w:r>
    </w:p>
    <w:p w14:paraId="2A4AEA73" w14:textId="77777777" w:rsidR="00C00B51" w:rsidRPr="00C30948" w:rsidRDefault="002221A4" w:rsidP="00C00B51">
      <w:pPr>
        <w:tabs>
          <w:tab w:val="left" w:pos="567"/>
        </w:tabs>
        <w:jc w:val="both"/>
        <w:rPr>
          <w:rFonts w:ascii="Arial" w:hAnsi="Arial" w:cs="Arial"/>
        </w:rPr>
      </w:pPr>
      <w:r w:rsidRPr="00C30948">
        <w:rPr>
          <w:rFonts w:ascii="Arial" w:hAnsi="Arial" w:cs="Arial"/>
        </w:rPr>
        <w:t xml:space="preserve">Von Solms, R., &amp; Van Niekerk, J. (2013). From information security to cyber security. </w:t>
      </w:r>
    </w:p>
    <w:p w14:paraId="1710FDB2" w14:textId="77777777" w:rsidR="00C00B51" w:rsidRPr="00C30948" w:rsidRDefault="00C00B51" w:rsidP="00C00B51">
      <w:pPr>
        <w:tabs>
          <w:tab w:val="left" w:pos="567"/>
        </w:tabs>
        <w:jc w:val="both"/>
        <w:rPr>
          <w:rFonts w:ascii="Arial" w:hAnsi="Arial" w:cs="Arial"/>
        </w:rPr>
      </w:pPr>
      <w:r w:rsidRPr="00C30948">
        <w:rPr>
          <w:rFonts w:ascii="Arial" w:hAnsi="Arial" w:cs="Arial"/>
        </w:rPr>
        <w:tab/>
      </w:r>
      <w:r w:rsidR="002221A4" w:rsidRPr="00C30948">
        <w:rPr>
          <w:rFonts w:ascii="Arial" w:hAnsi="Arial" w:cs="Arial"/>
          <w:i/>
          <w:iCs/>
        </w:rPr>
        <w:t>Computers &amp; Security</w:t>
      </w:r>
      <w:r w:rsidR="002221A4" w:rsidRPr="00C30948">
        <w:rPr>
          <w:rFonts w:ascii="Arial" w:hAnsi="Arial" w:cs="Arial"/>
        </w:rPr>
        <w:t xml:space="preserve">, 38, 97–102. </w:t>
      </w:r>
      <w:hyperlink r:id="rId18" w:history="1">
        <w:r w:rsidRPr="00C30948">
          <w:rPr>
            <w:rStyle w:val="Hyperlink"/>
            <w:rFonts w:ascii="Arial" w:hAnsi="Arial" w:cs="Arial"/>
          </w:rPr>
          <w:t>https://doi.org/10.1016/j.cose.2013.04.004</w:t>
        </w:r>
      </w:hyperlink>
    </w:p>
    <w:p w14:paraId="01E146D2" w14:textId="77777777" w:rsidR="00C00B51" w:rsidRPr="00C30948" w:rsidRDefault="00226C2A" w:rsidP="00C00B51">
      <w:pPr>
        <w:tabs>
          <w:tab w:val="left" w:pos="567"/>
        </w:tabs>
        <w:jc w:val="both"/>
        <w:rPr>
          <w:rFonts w:ascii="Arial" w:hAnsi="Arial" w:cs="Arial"/>
          <w:i/>
          <w:iCs/>
        </w:rPr>
      </w:pPr>
      <w:r w:rsidRPr="00C30948">
        <w:rPr>
          <w:rFonts w:ascii="Arial" w:hAnsi="Arial" w:cs="Arial"/>
        </w:rPr>
        <w:t xml:space="preserve">Westerman, G., Bonnet, D., &amp; McAfee, A. (2014). </w:t>
      </w:r>
      <w:r w:rsidRPr="00C30948">
        <w:rPr>
          <w:rFonts w:ascii="Arial" w:hAnsi="Arial" w:cs="Arial"/>
          <w:i/>
          <w:iCs/>
        </w:rPr>
        <w:t xml:space="preserve">Leading digital: Turning technology into </w:t>
      </w:r>
    </w:p>
    <w:p w14:paraId="3A669FC2" w14:textId="77777777" w:rsidR="00C00B51" w:rsidRPr="00C30948" w:rsidRDefault="00C00B51" w:rsidP="00C00B51">
      <w:pPr>
        <w:tabs>
          <w:tab w:val="left" w:pos="567"/>
        </w:tabs>
        <w:jc w:val="both"/>
        <w:rPr>
          <w:rFonts w:ascii="Arial" w:hAnsi="Arial" w:cs="Arial"/>
        </w:rPr>
      </w:pPr>
      <w:r w:rsidRPr="00C30948">
        <w:rPr>
          <w:rFonts w:ascii="Arial" w:hAnsi="Arial" w:cs="Arial"/>
          <w:i/>
          <w:iCs/>
        </w:rPr>
        <w:tab/>
      </w:r>
      <w:r w:rsidR="00226C2A" w:rsidRPr="00C30948">
        <w:rPr>
          <w:rFonts w:ascii="Arial" w:hAnsi="Arial" w:cs="Arial"/>
          <w:i/>
          <w:iCs/>
        </w:rPr>
        <w:t>business transformation</w:t>
      </w:r>
      <w:r w:rsidR="00226C2A" w:rsidRPr="00C30948">
        <w:rPr>
          <w:rFonts w:ascii="Arial" w:hAnsi="Arial" w:cs="Arial"/>
        </w:rPr>
        <w:t>. Harvard Business Review Press.</w:t>
      </w:r>
    </w:p>
    <w:p w14:paraId="0E0BBB89" w14:textId="77777777" w:rsidR="00C00B51" w:rsidRPr="00C30948" w:rsidRDefault="002221A4" w:rsidP="00C00B51">
      <w:pPr>
        <w:tabs>
          <w:tab w:val="left" w:pos="567"/>
        </w:tabs>
        <w:rPr>
          <w:rFonts w:ascii="Arial" w:hAnsi="Arial" w:cs="Arial"/>
        </w:rPr>
      </w:pPr>
      <w:r w:rsidRPr="00C30948">
        <w:rPr>
          <w:rFonts w:ascii="Arial" w:hAnsi="Arial" w:cs="Arial"/>
        </w:rPr>
        <w:t xml:space="preserve">Whitman, M. E., &amp; </w:t>
      </w:r>
      <w:proofErr w:type="spellStart"/>
      <w:r w:rsidRPr="00C30948">
        <w:rPr>
          <w:rFonts w:ascii="Arial" w:hAnsi="Arial" w:cs="Arial"/>
        </w:rPr>
        <w:t>Mattord</w:t>
      </w:r>
      <w:proofErr w:type="spellEnd"/>
      <w:r w:rsidRPr="00C30948">
        <w:rPr>
          <w:rFonts w:ascii="Arial" w:hAnsi="Arial" w:cs="Arial"/>
        </w:rPr>
        <w:t xml:space="preserve">, H. J. (2021). </w:t>
      </w:r>
      <w:r w:rsidRPr="00C30948">
        <w:rPr>
          <w:rFonts w:ascii="Arial" w:hAnsi="Arial" w:cs="Arial"/>
          <w:i/>
          <w:iCs/>
        </w:rPr>
        <w:t xml:space="preserve">Principles of Information Security </w:t>
      </w:r>
      <w:r w:rsidRPr="00C30948">
        <w:rPr>
          <w:rFonts w:ascii="Arial" w:hAnsi="Arial" w:cs="Arial"/>
        </w:rPr>
        <w:t xml:space="preserve">(7th ed.). </w:t>
      </w:r>
    </w:p>
    <w:p w14:paraId="73262A05" w14:textId="77777777" w:rsidR="001F38C4" w:rsidRPr="00C00B51" w:rsidRDefault="00C00B51" w:rsidP="00C00B51">
      <w:pPr>
        <w:tabs>
          <w:tab w:val="left" w:pos="567"/>
        </w:tabs>
        <w:rPr>
          <w:rFonts w:ascii="Arial" w:hAnsi="Arial" w:cs="Arial"/>
        </w:rPr>
        <w:sectPr w:rsidR="001F38C4" w:rsidRPr="00C00B51" w:rsidSect="003148E7">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C30948">
        <w:rPr>
          <w:rFonts w:ascii="Arial" w:hAnsi="Arial" w:cs="Arial"/>
        </w:rPr>
        <w:tab/>
      </w:r>
      <w:r w:rsidR="002221A4" w:rsidRPr="00C30948">
        <w:rPr>
          <w:rFonts w:ascii="Arial" w:hAnsi="Arial" w:cs="Arial"/>
        </w:rPr>
        <w:t>Cengage Learning.</w:t>
      </w:r>
      <w:r w:rsidR="002221A4">
        <w:rPr>
          <w:rFonts w:ascii="ArialMT" w:hAnsi="ArialMT"/>
        </w:rPr>
        <w:t xml:space="preserve"> </w:t>
      </w:r>
    </w:p>
    <w:p w14:paraId="1A26E4F3" w14:textId="77777777" w:rsidR="00B01FCD" w:rsidRPr="00FB3A86" w:rsidRDefault="00B01FCD" w:rsidP="00441B6F">
      <w:pPr>
        <w:pStyle w:val="Appendix"/>
        <w:spacing w:after="0"/>
        <w:jc w:val="both"/>
        <w:rPr>
          <w:rFonts w:ascii="Arial" w:hAnsi="Arial" w:cs="Arial"/>
          <w:b w:val="0"/>
        </w:rPr>
      </w:pPr>
    </w:p>
    <w:sectPr w:rsidR="00B01FCD" w:rsidRPr="00FB3A86" w:rsidSect="003148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6017F" w14:textId="77777777" w:rsidR="006518E9" w:rsidRDefault="006518E9" w:rsidP="00C37E61">
      <w:r>
        <w:separator/>
      </w:r>
    </w:p>
  </w:endnote>
  <w:endnote w:type="continuationSeparator" w:id="0">
    <w:p w14:paraId="4DCD7865" w14:textId="77777777" w:rsidR="006518E9" w:rsidRDefault="006518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8C08" w14:textId="77777777" w:rsidR="003148E7" w:rsidRDefault="00314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4A21" w14:textId="77777777" w:rsidR="003148E7" w:rsidRDefault="00314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9E7D" w14:textId="77777777" w:rsidR="009E048A" w:rsidRDefault="009E048A">
    <w:pPr>
      <w:pStyle w:val="Footer"/>
      <w:rPr>
        <w:rFonts w:ascii="Arial" w:hAnsi="Arial" w:cs="Arial"/>
        <w:sz w:val="16"/>
      </w:rPr>
    </w:pPr>
  </w:p>
  <w:p w14:paraId="12CBD50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B899E2" w14:textId="77777777" w:rsidR="009E048A" w:rsidRDefault="009E048A">
    <w:pPr>
      <w:pStyle w:val="Footer"/>
      <w:rPr>
        <w:rFonts w:ascii="Arial" w:hAnsi="Arial" w:cs="Arial"/>
        <w:sz w:val="16"/>
      </w:rPr>
    </w:pPr>
  </w:p>
  <w:p w14:paraId="34F434E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1C3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35E81" w14:textId="77777777" w:rsidR="006518E9" w:rsidRDefault="006518E9" w:rsidP="00C37E61">
      <w:r>
        <w:separator/>
      </w:r>
    </w:p>
  </w:footnote>
  <w:footnote w:type="continuationSeparator" w:id="0">
    <w:p w14:paraId="35205019" w14:textId="77777777" w:rsidR="006518E9" w:rsidRDefault="006518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7A2C" w14:textId="26775F39" w:rsidR="003148E7" w:rsidRDefault="003148E7">
    <w:pPr>
      <w:pStyle w:val="Header"/>
    </w:pPr>
    <w:r>
      <w:rPr>
        <w:noProof/>
      </w:rPr>
      <w:pict w14:anchorId="49E9B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2F88" w14:textId="00C957E4" w:rsidR="003148E7" w:rsidRDefault="003148E7">
    <w:pPr>
      <w:pStyle w:val="Header"/>
    </w:pPr>
    <w:r>
      <w:rPr>
        <w:noProof/>
      </w:rPr>
      <w:pict w14:anchorId="3CF79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99D2" w14:textId="1E895D14" w:rsidR="00296529" w:rsidRPr="00296529" w:rsidRDefault="003148E7" w:rsidP="00296529">
    <w:pPr>
      <w:ind w:left="2160"/>
      <w:jc w:val="center"/>
      <w:rPr>
        <w:rFonts w:ascii="Times New Roman" w:eastAsia="Calibri" w:hAnsi="Times New Roman"/>
        <w:i/>
        <w:sz w:val="18"/>
        <w:szCs w:val="22"/>
      </w:rPr>
    </w:pPr>
    <w:r>
      <w:rPr>
        <w:noProof/>
      </w:rPr>
      <w:pict w14:anchorId="1C4BA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79C7A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ED64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7A8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1FF2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96F0A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9B65D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6D8B" w14:textId="1A17E4E5" w:rsidR="003148E7" w:rsidRDefault="003148E7">
    <w:pPr>
      <w:pStyle w:val="Header"/>
    </w:pPr>
    <w:r>
      <w:rPr>
        <w:noProof/>
      </w:rPr>
      <w:pict w14:anchorId="7336D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42FF" w14:textId="6C3E46CB" w:rsidR="003148E7" w:rsidRDefault="003148E7">
    <w:pPr>
      <w:pStyle w:val="Header"/>
    </w:pPr>
    <w:r>
      <w:rPr>
        <w:noProof/>
      </w:rPr>
      <w:pict w14:anchorId="4CE7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106A" w14:textId="072AF53F" w:rsidR="003148E7" w:rsidRDefault="003148E7">
    <w:pPr>
      <w:pStyle w:val="Header"/>
    </w:pPr>
    <w:r>
      <w:rPr>
        <w:noProof/>
      </w:rPr>
      <w:pict w14:anchorId="22147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67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CD4274"/>
    <w:multiLevelType w:val="hybridMultilevel"/>
    <w:tmpl w:val="9EA0D5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1CC6714"/>
    <w:multiLevelType w:val="hybridMultilevel"/>
    <w:tmpl w:val="1FF45F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CAA"/>
    <w:rsid w:val="000B1E33"/>
    <w:rsid w:val="000D689F"/>
    <w:rsid w:val="000E7B7B"/>
    <w:rsid w:val="000E7D62"/>
    <w:rsid w:val="00103357"/>
    <w:rsid w:val="00123C9F"/>
    <w:rsid w:val="00126190"/>
    <w:rsid w:val="00130F17"/>
    <w:rsid w:val="00131880"/>
    <w:rsid w:val="001320BF"/>
    <w:rsid w:val="00163BC4"/>
    <w:rsid w:val="00191062"/>
    <w:rsid w:val="00192B72"/>
    <w:rsid w:val="001A29D8"/>
    <w:rsid w:val="001A5CAA"/>
    <w:rsid w:val="001B0427"/>
    <w:rsid w:val="001C5139"/>
    <w:rsid w:val="001D3A51"/>
    <w:rsid w:val="001E10D2"/>
    <w:rsid w:val="001E25B4"/>
    <w:rsid w:val="001E44FE"/>
    <w:rsid w:val="001F38C4"/>
    <w:rsid w:val="00200595"/>
    <w:rsid w:val="00204835"/>
    <w:rsid w:val="00204CF0"/>
    <w:rsid w:val="002221A4"/>
    <w:rsid w:val="00226C2A"/>
    <w:rsid w:val="00231920"/>
    <w:rsid w:val="0023195C"/>
    <w:rsid w:val="0024282C"/>
    <w:rsid w:val="002460DC"/>
    <w:rsid w:val="00250985"/>
    <w:rsid w:val="002556F6"/>
    <w:rsid w:val="002562DB"/>
    <w:rsid w:val="00283105"/>
    <w:rsid w:val="00284C4C"/>
    <w:rsid w:val="00287E68"/>
    <w:rsid w:val="00296529"/>
    <w:rsid w:val="002B27FB"/>
    <w:rsid w:val="002B685A"/>
    <w:rsid w:val="002C57D2"/>
    <w:rsid w:val="002E0D56"/>
    <w:rsid w:val="003148E7"/>
    <w:rsid w:val="00315186"/>
    <w:rsid w:val="003307A2"/>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09E3"/>
    <w:rsid w:val="00423789"/>
    <w:rsid w:val="00440F43"/>
    <w:rsid w:val="00441B6F"/>
    <w:rsid w:val="00446221"/>
    <w:rsid w:val="00450E62"/>
    <w:rsid w:val="004539DB"/>
    <w:rsid w:val="00471A80"/>
    <w:rsid w:val="004B1CD2"/>
    <w:rsid w:val="004D305E"/>
    <w:rsid w:val="004D4277"/>
    <w:rsid w:val="00502516"/>
    <w:rsid w:val="00505F06"/>
    <w:rsid w:val="00506828"/>
    <w:rsid w:val="0053056E"/>
    <w:rsid w:val="00554FDA"/>
    <w:rsid w:val="00573E54"/>
    <w:rsid w:val="00583CB5"/>
    <w:rsid w:val="005A2D5A"/>
    <w:rsid w:val="005C784C"/>
    <w:rsid w:val="005D17F6"/>
    <w:rsid w:val="005E5539"/>
    <w:rsid w:val="00602BF5"/>
    <w:rsid w:val="006144B6"/>
    <w:rsid w:val="0061772E"/>
    <w:rsid w:val="00617FDD"/>
    <w:rsid w:val="00630687"/>
    <w:rsid w:val="00633614"/>
    <w:rsid w:val="00633F68"/>
    <w:rsid w:val="00636EB2"/>
    <w:rsid w:val="006375B8"/>
    <w:rsid w:val="006518E9"/>
    <w:rsid w:val="0066510A"/>
    <w:rsid w:val="00673F9F"/>
    <w:rsid w:val="00686953"/>
    <w:rsid w:val="00687DC1"/>
    <w:rsid w:val="00687DEA"/>
    <w:rsid w:val="00687E67"/>
    <w:rsid w:val="006967F7"/>
    <w:rsid w:val="006A250C"/>
    <w:rsid w:val="006B21D3"/>
    <w:rsid w:val="006B57D0"/>
    <w:rsid w:val="006C6BCD"/>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5E2C"/>
    <w:rsid w:val="008B459E"/>
    <w:rsid w:val="008C5856"/>
    <w:rsid w:val="008E13AE"/>
    <w:rsid w:val="008E1506"/>
    <w:rsid w:val="008E3687"/>
    <w:rsid w:val="008E710C"/>
    <w:rsid w:val="008F69D6"/>
    <w:rsid w:val="00902823"/>
    <w:rsid w:val="00915CA6"/>
    <w:rsid w:val="00920F66"/>
    <w:rsid w:val="00927834"/>
    <w:rsid w:val="009500A6"/>
    <w:rsid w:val="00957C18"/>
    <w:rsid w:val="009615BA"/>
    <w:rsid w:val="009659BA"/>
    <w:rsid w:val="00983040"/>
    <w:rsid w:val="009B3FB9"/>
    <w:rsid w:val="009C2465"/>
    <w:rsid w:val="009D35A0"/>
    <w:rsid w:val="009D7EB7"/>
    <w:rsid w:val="009E048A"/>
    <w:rsid w:val="009E08E9"/>
    <w:rsid w:val="009E3DB9"/>
    <w:rsid w:val="009E6E35"/>
    <w:rsid w:val="009F0EDA"/>
    <w:rsid w:val="009F71F7"/>
    <w:rsid w:val="00A03B96"/>
    <w:rsid w:val="00A05B19"/>
    <w:rsid w:val="00A1134E"/>
    <w:rsid w:val="00A23C90"/>
    <w:rsid w:val="00A24E7E"/>
    <w:rsid w:val="00A258C3"/>
    <w:rsid w:val="00A347C0"/>
    <w:rsid w:val="00A51431"/>
    <w:rsid w:val="00A539AD"/>
    <w:rsid w:val="00A94063"/>
    <w:rsid w:val="00A9755A"/>
    <w:rsid w:val="00AA6219"/>
    <w:rsid w:val="00AA74E0"/>
    <w:rsid w:val="00AB703F"/>
    <w:rsid w:val="00AC6BB8"/>
    <w:rsid w:val="00AE008F"/>
    <w:rsid w:val="00B01FCD"/>
    <w:rsid w:val="00B058BB"/>
    <w:rsid w:val="00B1776C"/>
    <w:rsid w:val="00B26395"/>
    <w:rsid w:val="00B52583"/>
    <w:rsid w:val="00B52896"/>
    <w:rsid w:val="00B6351F"/>
    <w:rsid w:val="00B95236"/>
    <w:rsid w:val="00B96BD9"/>
    <w:rsid w:val="00BA1B01"/>
    <w:rsid w:val="00BA2641"/>
    <w:rsid w:val="00BB37AA"/>
    <w:rsid w:val="00BC53A0"/>
    <w:rsid w:val="00BE62AD"/>
    <w:rsid w:val="00BF121F"/>
    <w:rsid w:val="00BF1F80"/>
    <w:rsid w:val="00C00B51"/>
    <w:rsid w:val="00C166EF"/>
    <w:rsid w:val="00C17EB0"/>
    <w:rsid w:val="00C25C1E"/>
    <w:rsid w:val="00C27F5F"/>
    <w:rsid w:val="00C30948"/>
    <w:rsid w:val="00C30A0F"/>
    <w:rsid w:val="00C37E61"/>
    <w:rsid w:val="00C442DB"/>
    <w:rsid w:val="00C70F1B"/>
    <w:rsid w:val="00C71A47"/>
    <w:rsid w:val="00C7464C"/>
    <w:rsid w:val="00C74FB6"/>
    <w:rsid w:val="00C85588"/>
    <w:rsid w:val="00CC0697"/>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9C0"/>
    <w:rsid w:val="00EA012C"/>
    <w:rsid w:val="00EC6A55"/>
    <w:rsid w:val="00ED0288"/>
    <w:rsid w:val="00EE52CB"/>
    <w:rsid w:val="00EF581D"/>
    <w:rsid w:val="00EF7FD8"/>
    <w:rsid w:val="00F06F59"/>
    <w:rsid w:val="00F17988"/>
    <w:rsid w:val="00F4537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6626A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615BA"/>
    <w:pPr>
      <w:spacing w:before="100" w:beforeAutospacing="1" w:after="100" w:afterAutospacing="1"/>
    </w:pPr>
    <w:rPr>
      <w:rFonts w:ascii="Times New Roman" w:hAnsi="Times New Roman"/>
      <w:sz w:val="24"/>
      <w:szCs w:val="24"/>
      <w:lang w:val="en-PH"/>
    </w:rPr>
  </w:style>
  <w:style w:type="paragraph" w:styleId="NoSpacing">
    <w:name w:val="No Spacing"/>
    <w:uiPriority w:val="1"/>
    <w:qFormat/>
    <w:rsid w:val="000B1CAA"/>
    <w:rPr>
      <w:rFonts w:asciiTheme="minorHAnsi" w:eastAsiaTheme="minorHAnsi" w:hAnsiTheme="minorHAnsi" w:cstheme="minorBidi"/>
      <w:sz w:val="24"/>
      <w:szCs w:val="24"/>
      <w:lang w:val="en-PH"/>
    </w:rPr>
  </w:style>
  <w:style w:type="table" w:styleId="PlainTable2">
    <w:name w:val="Plain Table 2"/>
    <w:basedOn w:val="TableNormal"/>
    <w:uiPriority w:val="42"/>
    <w:rsid w:val="000B1CAA"/>
    <w:rPr>
      <w:rFonts w:asciiTheme="minorHAnsi" w:eastAsiaTheme="minorHAnsi" w:hAnsiTheme="minorHAnsi" w:cstheme="minorBidi"/>
      <w:sz w:val="24"/>
      <w:szCs w:val="24"/>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9962852">
      <w:bodyDiv w:val="1"/>
      <w:marLeft w:val="0"/>
      <w:marRight w:val="0"/>
      <w:marTop w:val="0"/>
      <w:marBottom w:val="0"/>
      <w:divBdr>
        <w:top w:val="none" w:sz="0" w:space="0" w:color="auto"/>
        <w:left w:val="none" w:sz="0" w:space="0" w:color="auto"/>
        <w:bottom w:val="none" w:sz="0" w:space="0" w:color="auto"/>
        <w:right w:val="none" w:sz="0" w:space="0" w:color="auto"/>
      </w:divBdr>
      <w:divsChild>
        <w:div w:id="1120493258">
          <w:marLeft w:val="0"/>
          <w:marRight w:val="0"/>
          <w:marTop w:val="0"/>
          <w:marBottom w:val="0"/>
          <w:divBdr>
            <w:top w:val="none" w:sz="0" w:space="0" w:color="auto"/>
            <w:left w:val="none" w:sz="0" w:space="0" w:color="auto"/>
            <w:bottom w:val="none" w:sz="0" w:space="0" w:color="auto"/>
            <w:right w:val="none" w:sz="0" w:space="0" w:color="auto"/>
          </w:divBdr>
          <w:divsChild>
            <w:div w:id="277223517">
              <w:marLeft w:val="0"/>
              <w:marRight w:val="0"/>
              <w:marTop w:val="0"/>
              <w:marBottom w:val="0"/>
              <w:divBdr>
                <w:top w:val="none" w:sz="0" w:space="0" w:color="auto"/>
                <w:left w:val="none" w:sz="0" w:space="0" w:color="auto"/>
                <w:bottom w:val="none" w:sz="0" w:space="0" w:color="auto"/>
                <w:right w:val="none" w:sz="0" w:space="0" w:color="auto"/>
              </w:divBdr>
              <w:divsChild>
                <w:div w:id="13243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0731">
      <w:bodyDiv w:val="1"/>
      <w:marLeft w:val="0"/>
      <w:marRight w:val="0"/>
      <w:marTop w:val="0"/>
      <w:marBottom w:val="0"/>
      <w:divBdr>
        <w:top w:val="none" w:sz="0" w:space="0" w:color="auto"/>
        <w:left w:val="none" w:sz="0" w:space="0" w:color="auto"/>
        <w:bottom w:val="none" w:sz="0" w:space="0" w:color="auto"/>
        <w:right w:val="none" w:sz="0" w:space="0" w:color="auto"/>
      </w:divBdr>
      <w:divsChild>
        <w:div w:id="1128276571">
          <w:marLeft w:val="0"/>
          <w:marRight w:val="0"/>
          <w:marTop w:val="0"/>
          <w:marBottom w:val="0"/>
          <w:divBdr>
            <w:top w:val="none" w:sz="0" w:space="0" w:color="auto"/>
            <w:left w:val="none" w:sz="0" w:space="0" w:color="auto"/>
            <w:bottom w:val="none" w:sz="0" w:space="0" w:color="auto"/>
            <w:right w:val="none" w:sz="0" w:space="0" w:color="auto"/>
          </w:divBdr>
          <w:divsChild>
            <w:div w:id="143204823">
              <w:marLeft w:val="0"/>
              <w:marRight w:val="0"/>
              <w:marTop w:val="0"/>
              <w:marBottom w:val="0"/>
              <w:divBdr>
                <w:top w:val="none" w:sz="0" w:space="0" w:color="auto"/>
                <w:left w:val="none" w:sz="0" w:space="0" w:color="auto"/>
                <w:bottom w:val="none" w:sz="0" w:space="0" w:color="auto"/>
                <w:right w:val="none" w:sz="0" w:space="0" w:color="auto"/>
              </w:divBdr>
              <w:divsChild>
                <w:div w:id="10647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9781">
      <w:bodyDiv w:val="1"/>
      <w:marLeft w:val="0"/>
      <w:marRight w:val="0"/>
      <w:marTop w:val="0"/>
      <w:marBottom w:val="0"/>
      <w:divBdr>
        <w:top w:val="none" w:sz="0" w:space="0" w:color="auto"/>
        <w:left w:val="none" w:sz="0" w:space="0" w:color="auto"/>
        <w:bottom w:val="none" w:sz="0" w:space="0" w:color="auto"/>
        <w:right w:val="none" w:sz="0" w:space="0" w:color="auto"/>
      </w:divBdr>
      <w:divsChild>
        <w:div w:id="1574730184">
          <w:marLeft w:val="0"/>
          <w:marRight w:val="0"/>
          <w:marTop w:val="0"/>
          <w:marBottom w:val="0"/>
          <w:divBdr>
            <w:top w:val="none" w:sz="0" w:space="0" w:color="auto"/>
            <w:left w:val="none" w:sz="0" w:space="0" w:color="auto"/>
            <w:bottom w:val="none" w:sz="0" w:space="0" w:color="auto"/>
            <w:right w:val="none" w:sz="0" w:space="0" w:color="auto"/>
          </w:divBdr>
          <w:divsChild>
            <w:div w:id="1118641326">
              <w:marLeft w:val="0"/>
              <w:marRight w:val="0"/>
              <w:marTop w:val="0"/>
              <w:marBottom w:val="0"/>
              <w:divBdr>
                <w:top w:val="none" w:sz="0" w:space="0" w:color="auto"/>
                <w:left w:val="none" w:sz="0" w:space="0" w:color="auto"/>
                <w:bottom w:val="none" w:sz="0" w:space="0" w:color="auto"/>
                <w:right w:val="none" w:sz="0" w:space="0" w:color="auto"/>
              </w:divBdr>
              <w:divsChild>
                <w:div w:id="15557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3047">
      <w:bodyDiv w:val="1"/>
      <w:marLeft w:val="0"/>
      <w:marRight w:val="0"/>
      <w:marTop w:val="0"/>
      <w:marBottom w:val="0"/>
      <w:divBdr>
        <w:top w:val="none" w:sz="0" w:space="0" w:color="auto"/>
        <w:left w:val="none" w:sz="0" w:space="0" w:color="auto"/>
        <w:bottom w:val="none" w:sz="0" w:space="0" w:color="auto"/>
        <w:right w:val="none" w:sz="0" w:space="0" w:color="auto"/>
      </w:divBdr>
      <w:divsChild>
        <w:div w:id="1030646298">
          <w:marLeft w:val="0"/>
          <w:marRight w:val="0"/>
          <w:marTop w:val="0"/>
          <w:marBottom w:val="0"/>
          <w:divBdr>
            <w:top w:val="none" w:sz="0" w:space="0" w:color="auto"/>
            <w:left w:val="none" w:sz="0" w:space="0" w:color="auto"/>
            <w:bottom w:val="none" w:sz="0" w:space="0" w:color="auto"/>
            <w:right w:val="none" w:sz="0" w:space="0" w:color="auto"/>
          </w:divBdr>
          <w:divsChild>
            <w:div w:id="929192167">
              <w:marLeft w:val="0"/>
              <w:marRight w:val="0"/>
              <w:marTop w:val="0"/>
              <w:marBottom w:val="0"/>
              <w:divBdr>
                <w:top w:val="none" w:sz="0" w:space="0" w:color="auto"/>
                <w:left w:val="none" w:sz="0" w:space="0" w:color="auto"/>
                <w:bottom w:val="none" w:sz="0" w:space="0" w:color="auto"/>
                <w:right w:val="none" w:sz="0" w:space="0" w:color="auto"/>
              </w:divBdr>
              <w:divsChild>
                <w:div w:id="11861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5236174">
      <w:bodyDiv w:val="1"/>
      <w:marLeft w:val="0"/>
      <w:marRight w:val="0"/>
      <w:marTop w:val="0"/>
      <w:marBottom w:val="0"/>
      <w:divBdr>
        <w:top w:val="none" w:sz="0" w:space="0" w:color="auto"/>
        <w:left w:val="none" w:sz="0" w:space="0" w:color="auto"/>
        <w:bottom w:val="none" w:sz="0" w:space="0" w:color="auto"/>
        <w:right w:val="none" w:sz="0" w:space="0" w:color="auto"/>
      </w:divBdr>
      <w:divsChild>
        <w:div w:id="1982031943">
          <w:marLeft w:val="0"/>
          <w:marRight w:val="0"/>
          <w:marTop w:val="0"/>
          <w:marBottom w:val="0"/>
          <w:divBdr>
            <w:top w:val="none" w:sz="0" w:space="0" w:color="auto"/>
            <w:left w:val="none" w:sz="0" w:space="0" w:color="auto"/>
            <w:bottom w:val="none" w:sz="0" w:space="0" w:color="auto"/>
            <w:right w:val="none" w:sz="0" w:space="0" w:color="auto"/>
          </w:divBdr>
          <w:divsChild>
            <w:div w:id="1602951236">
              <w:marLeft w:val="0"/>
              <w:marRight w:val="0"/>
              <w:marTop w:val="0"/>
              <w:marBottom w:val="0"/>
              <w:divBdr>
                <w:top w:val="none" w:sz="0" w:space="0" w:color="auto"/>
                <w:left w:val="none" w:sz="0" w:space="0" w:color="auto"/>
                <w:bottom w:val="none" w:sz="0" w:space="0" w:color="auto"/>
                <w:right w:val="none" w:sz="0" w:space="0" w:color="auto"/>
              </w:divBdr>
              <w:divsChild>
                <w:div w:id="4077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6903489">
      <w:bodyDiv w:val="1"/>
      <w:marLeft w:val="0"/>
      <w:marRight w:val="0"/>
      <w:marTop w:val="0"/>
      <w:marBottom w:val="0"/>
      <w:divBdr>
        <w:top w:val="none" w:sz="0" w:space="0" w:color="auto"/>
        <w:left w:val="none" w:sz="0" w:space="0" w:color="auto"/>
        <w:bottom w:val="none" w:sz="0" w:space="0" w:color="auto"/>
        <w:right w:val="none" w:sz="0" w:space="0" w:color="auto"/>
      </w:divBdr>
      <w:divsChild>
        <w:div w:id="1699888349">
          <w:marLeft w:val="0"/>
          <w:marRight w:val="0"/>
          <w:marTop w:val="0"/>
          <w:marBottom w:val="0"/>
          <w:divBdr>
            <w:top w:val="none" w:sz="0" w:space="0" w:color="auto"/>
            <w:left w:val="none" w:sz="0" w:space="0" w:color="auto"/>
            <w:bottom w:val="none" w:sz="0" w:space="0" w:color="auto"/>
            <w:right w:val="none" w:sz="0" w:space="0" w:color="auto"/>
          </w:divBdr>
          <w:divsChild>
            <w:div w:id="778841784">
              <w:marLeft w:val="0"/>
              <w:marRight w:val="0"/>
              <w:marTop w:val="0"/>
              <w:marBottom w:val="0"/>
              <w:divBdr>
                <w:top w:val="none" w:sz="0" w:space="0" w:color="auto"/>
                <w:left w:val="none" w:sz="0" w:space="0" w:color="auto"/>
                <w:bottom w:val="none" w:sz="0" w:space="0" w:color="auto"/>
                <w:right w:val="none" w:sz="0" w:space="0" w:color="auto"/>
              </w:divBdr>
              <w:divsChild>
                <w:div w:id="9055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5608">
      <w:bodyDiv w:val="1"/>
      <w:marLeft w:val="0"/>
      <w:marRight w:val="0"/>
      <w:marTop w:val="0"/>
      <w:marBottom w:val="0"/>
      <w:divBdr>
        <w:top w:val="none" w:sz="0" w:space="0" w:color="auto"/>
        <w:left w:val="none" w:sz="0" w:space="0" w:color="auto"/>
        <w:bottom w:val="none" w:sz="0" w:space="0" w:color="auto"/>
        <w:right w:val="none" w:sz="0" w:space="0" w:color="auto"/>
      </w:divBdr>
      <w:divsChild>
        <w:div w:id="1551067788">
          <w:marLeft w:val="0"/>
          <w:marRight w:val="0"/>
          <w:marTop w:val="0"/>
          <w:marBottom w:val="0"/>
          <w:divBdr>
            <w:top w:val="none" w:sz="0" w:space="0" w:color="auto"/>
            <w:left w:val="none" w:sz="0" w:space="0" w:color="auto"/>
            <w:bottom w:val="none" w:sz="0" w:space="0" w:color="auto"/>
            <w:right w:val="none" w:sz="0" w:space="0" w:color="auto"/>
          </w:divBdr>
          <w:divsChild>
            <w:div w:id="1521778536">
              <w:marLeft w:val="0"/>
              <w:marRight w:val="0"/>
              <w:marTop w:val="0"/>
              <w:marBottom w:val="0"/>
              <w:divBdr>
                <w:top w:val="none" w:sz="0" w:space="0" w:color="auto"/>
                <w:left w:val="none" w:sz="0" w:space="0" w:color="auto"/>
                <w:bottom w:val="none" w:sz="0" w:space="0" w:color="auto"/>
                <w:right w:val="none" w:sz="0" w:space="0" w:color="auto"/>
              </w:divBdr>
              <w:divsChild>
                <w:div w:id="12930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3806">
      <w:bodyDiv w:val="1"/>
      <w:marLeft w:val="0"/>
      <w:marRight w:val="0"/>
      <w:marTop w:val="0"/>
      <w:marBottom w:val="0"/>
      <w:divBdr>
        <w:top w:val="none" w:sz="0" w:space="0" w:color="auto"/>
        <w:left w:val="none" w:sz="0" w:space="0" w:color="auto"/>
        <w:bottom w:val="none" w:sz="0" w:space="0" w:color="auto"/>
        <w:right w:val="none" w:sz="0" w:space="0" w:color="auto"/>
      </w:divBdr>
      <w:divsChild>
        <w:div w:id="510872418">
          <w:marLeft w:val="0"/>
          <w:marRight w:val="0"/>
          <w:marTop w:val="0"/>
          <w:marBottom w:val="0"/>
          <w:divBdr>
            <w:top w:val="none" w:sz="0" w:space="0" w:color="auto"/>
            <w:left w:val="none" w:sz="0" w:space="0" w:color="auto"/>
            <w:bottom w:val="none" w:sz="0" w:space="0" w:color="auto"/>
            <w:right w:val="none" w:sz="0" w:space="0" w:color="auto"/>
          </w:divBdr>
          <w:divsChild>
            <w:div w:id="1461414293">
              <w:marLeft w:val="0"/>
              <w:marRight w:val="0"/>
              <w:marTop w:val="0"/>
              <w:marBottom w:val="0"/>
              <w:divBdr>
                <w:top w:val="none" w:sz="0" w:space="0" w:color="auto"/>
                <w:left w:val="none" w:sz="0" w:space="0" w:color="auto"/>
                <w:bottom w:val="none" w:sz="0" w:space="0" w:color="auto"/>
                <w:right w:val="none" w:sz="0" w:space="0" w:color="auto"/>
              </w:divBdr>
              <w:divsChild>
                <w:div w:id="7774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420">
      <w:bodyDiv w:val="1"/>
      <w:marLeft w:val="0"/>
      <w:marRight w:val="0"/>
      <w:marTop w:val="0"/>
      <w:marBottom w:val="0"/>
      <w:divBdr>
        <w:top w:val="none" w:sz="0" w:space="0" w:color="auto"/>
        <w:left w:val="none" w:sz="0" w:space="0" w:color="auto"/>
        <w:bottom w:val="none" w:sz="0" w:space="0" w:color="auto"/>
        <w:right w:val="none" w:sz="0" w:space="0" w:color="auto"/>
      </w:divBdr>
      <w:divsChild>
        <w:div w:id="1525748651">
          <w:marLeft w:val="0"/>
          <w:marRight w:val="0"/>
          <w:marTop w:val="0"/>
          <w:marBottom w:val="0"/>
          <w:divBdr>
            <w:top w:val="none" w:sz="0" w:space="0" w:color="auto"/>
            <w:left w:val="none" w:sz="0" w:space="0" w:color="auto"/>
            <w:bottom w:val="none" w:sz="0" w:space="0" w:color="auto"/>
            <w:right w:val="none" w:sz="0" w:space="0" w:color="auto"/>
          </w:divBdr>
          <w:divsChild>
            <w:div w:id="975526714">
              <w:marLeft w:val="0"/>
              <w:marRight w:val="0"/>
              <w:marTop w:val="0"/>
              <w:marBottom w:val="0"/>
              <w:divBdr>
                <w:top w:val="none" w:sz="0" w:space="0" w:color="auto"/>
                <w:left w:val="none" w:sz="0" w:space="0" w:color="auto"/>
                <w:bottom w:val="none" w:sz="0" w:space="0" w:color="auto"/>
                <w:right w:val="none" w:sz="0" w:space="0" w:color="auto"/>
              </w:divBdr>
              <w:divsChild>
                <w:div w:id="1429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48985">
      <w:bodyDiv w:val="1"/>
      <w:marLeft w:val="0"/>
      <w:marRight w:val="0"/>
      <w:marTop w:val="0"/>
      <w:marBottom w:val="0"/>
      <w:divBdr>
        <w:top w:val="none" w:sz="0" w:space="0" w:color="auto"/>
        <w:left w:val="none" w:sz="0" w:space="0" w:color="auto"/>
        <w:bottom w:val="none" w:sz="0" w:space="0" w:color="auto"/>
        <w:right w:val="none" w:sz="0" w:space="0" w:color="auto"/>
      </w:divBdr>
      <w:divsChild>
        <w:div w:id="1946232071">
          <w:marLeft w:val="0"/>
          <w:marRight w:val="0"/>
          <w:marTop w:val="0"/>
          <w:marBottom w:val="0"/>
          <w:divBdr>
            <w:top w:val="none" w:sz="0" w:space="0" w:color="auto"/>
            <w:left w:val="none" w:sz="0" w:space="0" w:color="auto"/>
            <w:bottom w:val="none" w:sz="0" w:space="0" w:color="auto"/>
            <w:right w:val="none" w:sz="0" w:space="0" w:color="auto"/>
          </w:divBdr>
          <w:divsChild>
            <w:div w:id="526719458">
              <w:marLeft w:val="0"/>
              <w:marRight w:val="0"/>
              <w:marTop w:val="0"/>
              <w:marBottom w:val="0"/>
              <w:divBdr>
                <w:top w:val="none" w:sz="0" w:space="0" w:color="auto"/>
                <w:left w:val="none" w:sz="0" w:space="0" w:color="auto"/>
                <w:bottom w:val="none" w:sz="0" w:space="0" w:color="auto"/>
                <w:right w:val="none" w:sz="0" w:space="0" w:color="auto"/>
              </w:divBdr>
              <w:divsChild>
                <w:div w:id="931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5127">
      <w:bodyDiv w:val="1"/>
      <w:marLeft w:val="0"/>
      <w:marRight w:val="0"/>
      <w:marTop w:val="0"/>
      <w:marBottom w:val="0"/>
      <w:divBdr>
        <w:top w:val="none" w:sz="0" w:space="0" w:color="auto"/>
        <w:left w:val="none" w:sz="0" w:space="0" w:color="auto"/>
        <w:bottom w:val="none" w:sz="0" w:space="0" w:color="auto"/>
        <w:right w:val="none" w:sz="0" w:space="0" w:color="auto"/>
      </w:divBdr>
      <w:divsChild>
        <w:div w:id="1219437328">
          <w:marLeft w:val="0"/>
          <w:marRight w:val="0"/>
          <w:marTop w:val="0"/>
          <w:marBottom w:val="0"/>
          <w:divBdr>
            <w:top w:val="none" w:sz="0" w:space="0" w:color="auto"/>
            <w:left w:val="none" w:sz="0" w:space="0" w:color="auto"/>
            <w:bottom w:val="none" w:sz="0" w:space="0" w:color="auto"/>
            <w:right w:val="none" w:sz="0" w:space="0" w:color="auto"/>
          </w:divBdr>
          <w:divsChild>
            <w:div w:id="1522695856">
              <w:marLeft w:val="0"/>
              <w:marRight w:val="0"/>
              <w:marTop w:val="0"/>
              <w:marBottom w:val="0"/>
              <w:divBdr>
                <w:top w:val="none" w:sz="0" w:space="0" w:color="auto"/>
                <w:left w:val="none" w:sz="0" w:space="0" w:color="auto"/>
                <w:bottom w:val="none" w:sz="0" w:space="0" w:color="auto"/>
                <w:right w:val="none" w:sz="0" w:space="0" w:color="auto"/>
              </w:divBdr>
              <w:divsChild>
                <w:div w:id="8742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758177">
      <w:bodyDiv w:val="1"/>
      <w:marLeft w:val="0"/>
      <w:marRight w:val="0"/>
      <w:marTop w:val="0"/>
      <w:marBottom w:val="0"/>
      <w:divBdr>
        <w:top w:val="none" w:sz="0" w:space="0" w:color="auto"/>
        <w:left w:val="none" w:sz="0" w:space="0" w:color="auto"/>
        <w:bottom w:val="none" w:sz="0" w:space="0" w:color="auto"/>
        <w:right w:val="none" w:sz="0" w:space="0" w:color="auto"/>
      </w:divBdr>
      <w:divsChild>
        <w:div w:id="1275674866">
          <w:marLeft w:val="0"/>
          <w:marRight w:val="0"/>
          <w:marTop w:val="0"/>
          <w:marBottom w:val="0"/>
          <w:divBdr>
            <w:top w:val="none" w:sz="0" w:space="0" w:color="auto"/>
            <w:left w:val="none" w:sz="0" w:space="0" w:color="auto"/>
            <w:bottom w:val="none" w:sz="0" w:space="0" w:color="auto"/>
            <w:right w:val="none" w:sz="0" w:space="0" w:color="auto"/>
          </w:divBdr>
          <w:divsChild>
            <w:div w:id="142505203">
              <w:marLeft w:val="0"/>
              <w:marRight w:val="0"/>
              <w:marTop w:val="0"/>
              <w:marBottom w:val="0"/>
              <w:divBdr>
                <w:top w:val="none" w:sz="0" w:space="0" w:color="auto"/>
                <w:left w:val="none" w:sz="0" w:space="0" w:color="auto"/>
                <w:bottom w:val="none" w:sz="0" w:space="0" w:color="auto"/>
                <w:right w:val="none" w:sz="0" w:space="0" w:color="auto"/>
              </w:divBdr>
              <w:divsChild>
                <w:div w:id="6844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99313">
      <w:bodyDiv w:val="1"/>
      <w:marLeft w:val="0"/>
      <w:marRight w:val="0"/>
      <w:marTop w:val="0"/>
      <w:marBottom w:val="0"/>
      <w:divBdr>
        <w:top w:val="none" w:sz="0" w:space="0" w:color="auto"/>
        <w:left w:val="none" w:sz="0" w:space="0" w:color="auto"/>
        <w:bottom w:val="none" w:sz="0" w:space="0" w:color="auto"/>
        <w:right w:val="none" w:sz="0" w:space="0" w:color="auto"/>
      </w:divBdr>
      <w:divsChild>
        <w:div w:id="1503351568">
          <w:marLeft w:val="0"/>
          <w:marRight w:val="0"/>
          <w:marTop w:val="0"/>
          <w:marBottom w:val="0"/>
          <w:divBdr>
            <w:top w:val="none" w:sz="0" w:space="0" w:color="auto"/>
            <w:left w:val="none" w:sz="0" w:space="0" w:color="auto"/>
            <w:bottom w:val="none" w:sz="0" w:space="0" w:color="auto"/>
            <w:right w:val="none" w:sz="0" w:space="0" w:color="auto"/>
          </w:divBdr>
          <w:divsChild>
            <w:div w:id="1444839418">
              <w:marLeft w:val="0"/>
              <w:marRight w:val="0"/>
              <w:marTop w:val="0"/>
              <w:marBottom w:val="0"/>
              <w:divBdr>
                <w:top w:val="none" w:sz="0" w:space="0" w:color="auto"/>
                <w:left w:val="none" w:sz="0" w:space="0" w:color="auto"/>
                <w:bottom w:val="none" w:sz="0" w:space="0" w:color="auto"/>
                <w:right w:val="none" w:sz="0" w:space="0" w:color="auto"/>
              </w:divBdr>
              <w:divsChild>
                <w:div w:id="10936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0949">
      <w:bodyDiv w:val="1"/>
      <w:marLeft w:val="0"/>
      <w:marRight w:val="0"/>
      <w:marTop w:val="0"/>
      <w:marBottom w:val="0"/>
      <w:divBdr>
        <w:top w:val="none" w:sz="0" w:space="0" w:color="auto"/>
        <w:left w:val="none" w:sz="0" w:space="0" w:color="auto"/>
        <w:bottom w:val="none" w:sz="0" w:space="0" w:color="auto"/>
        <w:right w:val="none" w:sz="0" w:space="0" w:color="auto"/>
      </w:divBdr>
      <w:divsChild>
        <w:div w:id="1594781381">
          <w:marLeft w:val="0"/>
          <w:marRight w:val="0"/>
          <w:marTop w:val="0"/>
          <w:marBottom w:val="0"/>
          <w:divBdr>
            <w:top w:val="none" w:sz="0" w:space="0" w:color="auto"/>
            <w:left w:val="none" w:sz="0" w:space="0" w:color="auto"/>
            <w:bottom w:val="none" w:sz="0" w:space="0" w:color="auto"/>
            <w:right w:val="none" w:sz="0" w:space="0" w:color="auto"/>
          </w:divBdr>
          <w:divsChild>
            <w:div w:id="749499212">
              <w:marLeft w:val="0"/>
              <w:marRight w:val="0"/>
              <w:marTop w:val="0"/>
              <w:marBottom w:val="0"/>
              <w:divBdr>
                <w:top w:val="none" w:sz="0" w:space="0" w:color="auto"/>
                <w:left w:val="none" w:sz="0" w:space="0" w:color="auto"/>
                <w:bottom w:val="none" w:sz="0" w:space="0" w:color="auto"/>
                <w:right w:val="none" w:sz="0" w:space="0" w:color="auto"/>
              </w:divBdr>
              <w:divsChild>
                <w:div w:id="407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11400">
      <w:bodyDiv w:val="1"/>
      <w:marLeft w:val="0"/>
      <w:marRight w:val="0"/>
      <w:marTop w:val="0"/>
      <w:marBottom w:val="0"/>
      <w:divBdr>
        <w:top w:val="none" w:sz="0" w:space="0" w:color="auto"/>
        <w:left w:val="none" w:sz="0" w:space="0" w:color="auto"/>
        <w:bottom w:val="none" w:sz="0" w:space="0" w:color="auto"/>
        <w:right w:val="none" w:sz="0" w:space="0" w:color="auto"/>
      </w:divBdr>
      <w:divsChild>
        <w:div w:id="1322007080">
          <w:marLeft w:val="0"/>
          <w:marRight w:val="0"/>
          <w:marTop w:val="0"/>
          <w:marBottom w:val="0"/>
          <w:divBdr>
            <w:top w:val="none" w:sz="0" w:space="0" w:color="auto"/>
            <w:left w:val="none" w:sz="0" w:space="0" w:color="auto"/>
            <w:bottom w:val="none" w:sz="0" w:space="0" w:color="auto"/>
            <w:right w:val="none" w:sz="0" w:space="0" w:color="auto"/>
          </w:divBdr>
          <w:divsChild>
            <w:div w:id="1853259313">
              <w:marLeft w:val="0"/>
              <w:marRight w:val="0"/>
              <w:marTop w:val="0"/>
              <w:marBottom w:val="0"/>
              <w:divBdr>
                <w:top w:val="none" w:sz="0" w:space="0" w:color="auto"/>
                <w:left w:val="none" w:sz="0" w:space="0" w:color="auto"/>
                <w:bottom w:val="none" w:sz="0" w:space="0" w:color="auto"/>
                <w:right w:val="none" w:sz="0" w:space="0" w:color="auto"/>
              </w:divBdr>
              <w:divsChild>
                <w:div w:id="899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0375">
      <w:bodyDiv w:val="1"/>
      <w:marLeft w:val="0"/>
      <w:marRight w:val="0"/>
      <w:marTop w:val="0"/>
      <w:marBottom w:val="0"/>
      <w:divBdr>
        <w:top w:val="none" w:sz="0" w:space="0" w:color="auto"/>
        <w:left w:val="none" w:sz="0" w:space="0" w:color="auto"/>
        <w:bottom w:val="none" w:sz="0" w:space="0" w:color="auto"/>
        <w:right w:val="none" w:sz="0" w:space="0" w:color="auto"/>
      </w:divBdr>
      <w:divsChild>
        <w:div w:id="493879734">
          <w:marLeft w:val="0"/>
          <w:marRight w:val="0"/>
          <w:marTop w:val="0"/>
          <w:marBottom w:val="0"/>
          <w:divBdr>
            <w:top w:val="none" w:sz="0" w:space="0" w:color="auto"/>
            <w:left w:val="none" w:sz="0" w:space="0" w:color="auto"/>
            <w:bottom w:val="none" w:sz="0" w:space="0" w:color="auto"/>
            <w:right w:val="none" w:sz="0" w:space="0" w:color="auto"/>
          </w:divBdr>
          <w:divsChild>
            <w:div w:id="257829828">
              <w:marLeft w:val="0"/>
              <w:marRight w:val="0"/>
              <w:marTop w:val="0"/>
              <w:marBottom w:val="0"/>
              <w:divBdr>
                <w:top w:val="none" w:sz="0" w:space="0" w:color="auto"/>
                <w:left w:val="none" w:sz="0" w:space="0" w:color="auto"/>
                <w:bottom w:val="none" w:sz="0" w:space="0" w:color="auto"/>
                <w:right w:val="none" w:sz="0" w:space="0" w:color="auto"/>
              </w:divBdr>
              <w:divsChild>
                <w:div w:id="285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50128">
      <w:bodyDiv w:val="1"/>
      <w:marLeft w:val="0"/>
      <w:marRight w:val="0"/>
      <w:marTop w:val="0"/>
      <w:marBottom w:val="0"/>
      <w:divBdr>
        <w:top w:val="none" w:sz="0" w:space="0" w:color="auto"/>
        <w:left w:val="none" w:sz="0" w:space="0" w:color="auto"/>
        <w:bottom w:val="none" w:sz="0" w:space="0" w:color="auto"/>
        <w:right w:val="none" w:sz="0" w:space="0" w:color="auto"/>
      </w:divBdr>
      <w:divsChild>
        <w:div w:id="386808420">
          <w:marLeft w:val="0"/>
          <w:marRight w:val="0"/>
          <w:marTop w:val="0"/>
          <w:marBottom w:val="0"/>
          <w:divBdr>
            <w:top w:val="none" w:sz="0" w:space="0" w:color="auto"/>
            <w:left w:val="none" w:sz="0" w:space="0" w:color="auto"/>
            <w:bottom w:val="none" w:sz="0" w:space="0" w:color="auto"/>
            <w:right w:val="none" w:sz="0" w:space="0" w:color="auto"/>
          </w:divBdr>
          <w:divsChild>
            <w:div w:id="154224525">
              <w:marLeft w:val="0"/>
              <w:marRight w:val="0"/>
              <w:marTop w:val="0"/>
              <w:marBottom w:val="0"/>
              <w:divBdr>
                <w:top w:val="none" w:sz="0" w:space="0" w:color="auto"/>
                <w:left w:val="none" w:sz="0" w:space="0" w:color="auto"/>
                <w:bottom w:val="none" w:sz="0" w:space="0" w:color="auto"/>
                <w:right w:val="none" w:sz="0" w:space="0" w:color="auto"/>
              </w:divBdr>
              <w:divsChild>
                <w:div w:id="14151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393689">
      <w:bodyDiv w:val="1"/>
      <w:marLeft w:val="0"/>
      <w:marRight w:val="0"/>
      <w:marTop w:val="0"/>
      <w:marBottom w:val="0"/>
      <w:divBdr>
        <w:top w:val="none" w:sz="0" w:space="0" w:color="auto"/>
        <w:left w:val="none" w:sz="0" w:space="0" w:color="auto"/>
        <w:bottom w:val="none" w:sz="0" w:space="0" w:color="auto"/>
        <w:right w:val="none" w:sz="0" w:space="0" w:color="auto"/>
      </w:divBdr>
      <w:divsChild>
        <w:div w:id="348458543">
          <w:marLeft w:val="0"/>
          <w:marRight w:val="0"/>
          <w:marTop w:val="0"/>
          <w:marBottom w:val="0"/>
          <w:divBdr>
            <w:top w:val="none" w:sz="0" w:space="0" w:color="auto"/>
            <w:left w:val="none" w:sz="0" w:space="0" w:color="auto"/>
            <w:bottom w:val="none" w:sz="0" w:space="0" w:color="auto"/>
            <w:right w:val="none" w:sz="0" w:space="0" w:color="auto"/>
          </w:divBdr>
          <w:divsChild>
            <w:div w:id="1983196053">
              <w:marLeft w:val="0"/>
              <w:marRight w:val="0"/>
              <w:marTop w:val="0"/>
              <w:marBottom w:val="0"/>
              <w:divBdr>
                <w:top w:val="none" w:sz="0" w:space="0" w:color="auto"/>
                <w:left w:val="none" w:sz="0" w:space="0" w:color="auto"/>
                <w:bottom w:val="none" w:sz="0" w:space="0" w:color="auto"/>
                <w:right w:val="none" w:sz="0" w:space="0" w:color="auto"/>
              </w:divBdr>
              <w:divsChild>
                <w:div w:id="12391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1057053">
      <w:bodyDiv w:val="1"/>
      <w:marLeft w:val="0"/>
      <w:marRight w:val="0"/>
      <w:marTop w:val="0"/>
      <w:marBottom w:val="0"/>
      <w:divBdr>
        <w:top w:val="none" w:sz="0" w:space="0" w:color="auto"/>
        <w:left w:val="none" w:sz="0" w:space="0" w:color="auto"/>
        <w:bottom w:val="none" w:sz="0" w:space="0" w:color="auto"/>
        <w:right w:val="none" w:sz="0" w:space="0" w:color="auto"/>
      </w:divBdr>
      <w:divsChild>
        <w:div w:id="1372268842">
          <w:marLeft w:val="0"/>
          <w:marRight w:val="0"/>
          <w:marTop w:val="0"/>
          <w:marBottom w:val="0"/>
          <w:divBdr>
            <w:top w:val="none" w:sz="0" w:space="0" w:color="auto"/>
            <w:left w:val="none" w:sz="0" w:space="0" w:color="auto"/>
            <w:bottom w:val="none" w:sz="0" w:space="0" w:color="auto"/>
            <w:right w:val="none" w:sz="0" w:space="0" w:color="auto"/>
          </w:divBdr>
          <w:divsChild>
            <w:div w:id="1380862883">
              <w:marLeft w:val="0"/>
              <w:marRight w:val="0"/>
              <w:marTop w:val="0"/>
              <w:marBottom w:val="0"/>
              <w:divBdr>
                <w:top w:val="none" w:sz="0" w:space="0" w:color="auto"/>
                <w:left w:val="none" w:sz="0" w:space="0" w:color="auto"/>
                <w:bottom w:val="none" w:sz="0" w:space="0" w:color="auto"/>
                <w:right w:val="none" w:sz="0" w:space="0" w:color="auto"/>
              </w:divBdr>
              <w:divsChild>
                <w:div w:id="12791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5489753">
      <w:bodyDiv w:val="1"/>
      <w:marLeft w:val="0"/>
      <w:marRight w:val="0"/>
      <w:marTop w:val="0"/>
      <w:marBottom w:val="0"/>
      <w:divBdr>
        <w:top w:val="none" w:sz="0" w:space="0" w:color="auto"/>
        <w:left w:val="none" w:sz="0" w:space="0" w:color="auto"/>
        <w:bottom w:val="none" w:sz="0" w:space="0" w:color="auto"/>
        <w:right w:val="none" w:sz="0" w:space="0" w:color="auto"/>
      </w:divBdr>
      <w:divsChild>
        <w:div w:id="186068703">
          <w:marLeft w:val="0"/>
          <w:marRight w:val="0"/>
          <w:marTop w:val="0"/>
          <w:marBottom w:val="0"/>
          <w:divBdr>
            <w:top w:val="none" w:sz="0" w:space="0" w:color="auto"/>
            <w:left w:val="none" w:sz="0" w:space="0" w:color="auto"/>
            <w:bottom w:val="none" w:sz="0" w:space="0" w:color="auto"/>
            <w:right w:val="none" w:sz="0" w:space="0" w:color="auto"/>
          </w:divBdr>
          <w:divsChild>
            <w:div w:id="429202211">
              <w:marLeft w:val="0"/>
              <w:marRight w:val="0"/>
              <w:marTop w:val="0"/>
              <w:marBottom w:val="0"/>
              <w:divBdr>
                <w:top w:val="none" w:sz="0" w:space="0" w:color="auto"/>
                <w:left w:val="none" w:sz="0" w:space="0" w:color="auto"/>
                <w:bottom w:val="none" w:sz="0" w:space="0" w:color="auto"/>
                <w:right w:val="none" w:sz="0" w:space="0" w:color="auto"/>
              </w:divBdr>
              <w:divsChild>
                <w:div w:id="6572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8499">
      <w:bodyDiv w:val="1"/>
      <w:marLeft w:val="0"/>
      <w:marRight w:val="0"/>
      <w:marTop w:val="0"/>
      <w:marBottom w:val="0"/>
      <w:divBdr>
        <w:top w:val="none" w:sz="0" w:space="0" w:color="auto"/>
        <w:left w:val="none" w:sz="0" w:space="0" w:color="auto"/>
        <w:bottom w:val="none" w:sz="0" w:space="0" w:color="auto"/>
        <w:right w:val="none" w:sz="0" w:space="0" w:color="auto"/>
      </w:divBdr>
      <w:divsChild>
        <w:div w:id="5638864">
          <w:marLeft w:val="0"/>
          <w:marRight w:val="0"/>
          <w:marTop w:val="0"/>
          <w:marBottom w:val="0"/>
          <w:divBdr>
            <w:top w:val="none" w:sz="0" w:space="0" w:color="auto"/>
            <w:left w:val="none" w:sz="0" w:space="0" w:color="auto"/>
            <w:bottom w:val="none" w:sz="0" w:space="0" w:color="auto"/>
            <w:right w:val="none" w:sz="0" w:space="0" w:color="auto"/>
          </w:divBdr>
          <w:divsChild>
            <w:div w:id="441606414">
              <w:marLeft w:val="0"/>
              <w:marRight w:val="0"/>
              <w:marTop w:val="0"/>
              <w:marBottom w:val="0"/>
              <w:divBdr>
                <w:top w:val="none" w:sz="0" w:space="0" w:color="auto"/>
                <w:left w:val="none" w:sz="0" w:space="0" w:color="auto"/>
                <w:bottom w:val="none" w:sz="0" w:space="0" w:color="auto"/>
                <w:right w:val="none" w:sz="0" w:space="0" w:color="auto"/>
              </w:divBdr>
              <w:divsChild>
                <w:div w:id="20364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7313">
      <w:bodyDiv w:val="1"/>
      <w:marLeft w:val="0"/>
      <w:marRight w:val="0"/>
      <w:marTop w:val="0"/>
      <w:marBottom w:val="0"/>
      <w:divBdr>
        <w:top w:val="none" w:sz="0" w:space="0" w:color="auto"/>
        <w:left w:val="none" w:sz="0" w:space="0" w:color="auto"/>
        <w:bottom w:val="none" w:sz="0" w:space="0" w:color="auto"/>
        <w:right w:val="none" w:sz="0" w:space="0" w:color="auto"/>
      </w:divBdr>
      <w:divsChild>
        <w:div w:id="592976966">
          <w:marLeft w:val="0"/>
          <w:marRight w:val="0"/>
          <w:marTop w:val="0"/>
          <w:marBottom w:val="0"/>
          <w:divBdr>
            <w:top w:val="none" w:sz="0" w:space="0" w:color="auto"/>
            <w:left w:val="none" w:sz="0" w:space="0" w:color="auto"/>
            <w:bottom w:val="none" w:sz="0" w:space="0" w:color="auto"/>
            <w:right w:val="none" w:sz="0" w:space="0" w:color="auto"/>
          </w:divBdr>
          <w:divsChild>
            <w:div w:id="791633594">
              <w:marLeft w:val="0"/>
              <w:marRight w:val="0"/>
              <w:marTop w:val="0"/>
              <w:marBottom w:val="0"/>
              <w:divBdr>
                <w:top w:val="none" w:sz="0" w:space="0" w:color="auto"/>
                <w:left w:val="none" w:sz="0" w:space="0" w:color="auto"/>
                <w:bottom w:val="none" w:sz="0" w:space="0" w:color="auto"/>
                <w:right w:val="none" w:sz="0" w:space="0" w:color="auto"/>
              </w:divBdr>
              <w:divsChild>
                <w:div w:id="20392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46399">
      <w:bodyDiv w:val="1"/>
      <w:marLeft w:val="0"/>
      <w:marRight w:val="0"/>
      <w:marTop w:val="0"/>
      <w:marBottom w:val="0"/>
      <w:divBdr>
        <w:top w:val="none" w:sz="0" w:space="0" w:color="auto"/>
        <w:left w:val="none" w:sz="0" w:space="0" w:color="auto"/>
        <w:bottom w:val="none" w:sz="0" w:space="0" w:color="auto"/>
        <w:right w:val="none" w:sz="0" w:space="0" w:color="auto"/>
      </w:divBdr>
      <w:divsChild>
        <w:div w:id="968511425">
          <w:marLeft w:val="0"/>
          <w:marRight w:val="0"/>
          <w:marTop w:val="0"/>
          <w:marBottom w:val="0"/>
          <w:divBdr>
            <w:top w:val="none" w:sz="0" w:space="0" w:color="auto"/>
            <w:left w:val="none" w:sz="0" w:space="0" w:color="auto"/>
            <w:bottom w:val="none" w:sz="0" w:space="0" w:color="auto"/>
            <w:right w:val="none" w:sz="0" w:space="0" w:color="auto"/>
          </w:divBdr>
          <w:divsChild>
            <w:div w:id="560210251">
              <w:marLeft w:val="0"/>
              <w:marRight w:val="0"/>
              <w:marTop w:val="0"/>
              <w:marBottom w:val="0"/>
              <w:divBdr>
                <w:top w:val="none" w:sz="0" w:space="0" w:color="auto"/>
                <w:left w:val="none" w:sz="0" w:space="0" w:color="auto"/>
                <w:bottom w:val="none" w:sz="0" w:space="0" w:color="auto"/>
                <w:right w:val="none" w:sz="0" w:space="0" w:color="auto"/>
              </w:divBdr>
              <w:divsChild>
                <w:div w:id="4685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8218">
      <w:bodyDiv w:val="1"/>
      <w:marLeft w:val="0"/>
      <w:marRight w:val="0"/>
      <w:marTop w:val="0"/>
      <w:marBottom w:val="0"/>
      <w:divBdr>
        <w:top w:val="none" w:sz="0" w:space="0" w:color="auto"/>
        <w:left w:val="none" w:sz="0" w:space="0" w:color="auto"/>
        <w:bottom w:val="none" w:sz="0" w:space="0" w:color="auto"/>
        <w:right w:val="none" w:sz="0" w:space="0" w:color="auto"/>
      </w:divBdr>
      <w:divsChild>
        <w:div w:id="1307011028">
          <w:marLeft w:val="0"/>
          <w:marRight w:val="0"/>
          <w:marTop w:val="0"/>
          <w:marBottom w:val="0"/>
          <w:divBdr>
            <w:top w:val="none" w:sz="0" w:space="0" w:color="auto"/>
            <w:left w:val="none" w:sz="0" w:space="0" w:color="auto"/>
            <w:bottom w:val="none" w:sz="0" w:space="0" w:color="auto"/>
            <w:right w:val="none" w:sz="0" w:space="0" w:color="auto"/>
          </w:divBdr>
          <w:divsChild>
            <w:div w:id="738674762">
              <w:marLeft w:val="0"/>
              <w:marRight w:val="0"/>
              <w:marTop w:val="0"/>
              <w:marBottom w:val="0"/>
              <w:divBdr>
                <w:top w:val="none" w:sz="0" w:space="0" w:color="auto"/>
                <w:left w:val="none" w:sz="0" w:space="0" w:color="auto"/>
                <w:bottom w:val="none" w:sz="0" w:space="0" w:color="auto"/>
                <w:right w:val="none" w:sz="0" w:space="0" w:color="auto"/>
              </w:divBdr>
              <w:divsChild>
                <w:div w:id="3861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84586">
      <w:bodyDiv w:val="1"/>
      <w:marLeft w:val="0"/>
      <w:marRight w:val="0"/>
      <w:marTop w:val="0"/>
      <w:marBottom w:val="0"/>
      <w:divBdr>
        <w:top w:val="none" w:sz="0" w:space="0" w:color="auto"/>
        <w:left w:val="none" w:sz="0" w:space="0" w:color="auto"/>
        <w:bottom w:val="none" w:sz="0" w:space="0" w:color="auto"/>
        <w:right w:val="none" w:sz="0" w:space="0" w:color="auto"/>
      </w:divBdr>
      <w:divsChild>
        <w:div w:id="3555605">
          <w:marLeft w:val="0"/>
          <w:marRight w:val="0"/>
          <w:marTop w:val="0"/>
          <w:marBottom w:val="0"/>
          <w:divBdr>
            <w:top w:val="none" w:sz="0" w:space="0" w:color="auto"/>
            <w:left w:val="none" w:sz="0" w:space="0" w:color="auto"/>
            <w:bottom w:val="none" w:sz="0" w:space="0" w:color="auto"/>
            <w:right w:val="none" w:sz="0" w:space="0" w:color="auto"/>
          </w:divBdr>
          <w:divsChild>
            <w:div w:id="974065595">
              <w:marLeft w:val="0"/>
              <w:marRight w:val="0"/>
              <w:marTop w:val="0"/>
              <w:marBottom w:val="0"/>
              <w:divBdr>
                <w:top w:val="none" w:sz="0" w:space="0" w:color="auto"/>
                <w:left w:val="none" w:sz="0" w:space="0" w:color="auto"/>
                <w:bottom w:val="none" w:sz="0" w:space="0" w:color="auto"/>
                <w:right w:val="none" w:sz="0" w:space="0" w:color="auto"/>
              </w:divBdr>
              <w:divsChild>
                <w:div w:id="1160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2918">
      <w:bodyDiv w:val="1"/>
      <w:marLeft w:val="0"/>
      <w:marRight w:val="0"/>
      <w:marTop w:val="0"/>
      <w:marBottom w:val="0"/>
      <w:divBdr>
        <w:top w:val="none" w:sz="0" w:space="0" w:color="auto"/>
        <w:left w:val="none" w:sz="0" w:space="0" w:color="auto"/>
        <w:bottom w:val="none" w:sz="0" w:space="0" w:color="auto"/>
        <w:right w:val="none" w:sz="0" w:space="0" w:color="auto"/>
      </w:divBdr>
      <w:divsChild>
        <w:div w:id="1822312946">
          <w:marLeft w:val="0"/>
          <w:marRight w:val="0"/>
          <w:marTop w:val="0"/>
          <w:marBottom w:val="0"/>
          <w:divBdr>
            <w:top w:val="none" w:sz="0" w:space="0" w:color="auto"/>
            <w:left w:val="none" w:sz="0" w:space="0" w:color="auto"/>
            <w:bottom w:val="none" w:sz="0" w:space="0" w:color="auto"/>
            <w:right w:val="none" w:sz="0" w:space="0" w:color="auto"/>
          </w:divBdr>
          <w:divsChild>
            <w:div w:id="947389613">
              <w:marLeft w:val="0"/>
              <w:marRight w:val="0"/>
              <w:marTop w:val="0"/>
              <w:marBottom w:val="0"/>
              <w:divBdr>
                <w:top w:val="none" w:sz="0" w:space="0" w:color="auto"/>
                <w:left w:val="none" w:sz="0" w:space="0" w:color="auto"/>
                <w:bottom w:val="none" w:sz="0" w:space="0" w:color="auto"/>
                <w:right w:val="none" w:sz="0" w:space="0" w:color="auto"/>
              </w:divBdr>
              <w:divsChild>
                <w:div w:id="18234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9826">
      <w:bodyDiv w:val="1"/>
      <w:marLeft w:val="0"/>
      <w:marRight w:val="0"/>
      <w:marTop w:val="0"/>
      <w:marBottom w:val="0"/>
      <w:divBdr>
        <w:top w:val="none" w:sz="0" w:space="0" w:color="auto"/>
        <w:left w:val="none" w:sz="0" w:space="0" w:color="auto"/>
        <w:bottom w:val="none" w:sz="0" w:space="0" w:color="auto"/>
        <w:right w:val="none" w:sz="0" w:space="0" w:color="auto"/>
      </w:divBdr>
      <w:divsChild>
        <w:div w:id="989821593">
          <w:marLeft w:val="0"/>
          <w:marRight w:val="0"/>
          <w:marTop w:val="0"/>
          <w:marBottom w:val="0"/>
          <w:divBdr>
            <w:top w:val="none" w:sz="0" w:space="0" w:color="auto"/>
            <w:left w:val="none" w:sz="0" w:space="0" w:color="auto"/>
            <w:bottom w:val="none" w:sz="0" w:space="0" w:color="auto"/>
            <w:right w:val="none" w:sz="0" w:space="0" w:color="auto"/>
          </w:divBdr>
          <w:divsChild>
            <w:div w:id="220823195">
              <w:marLeft w:val="0"/>
              <w:marRight w:val="0"/>
              <w:marTop w:val="0"/>
              <w:marBottom w:val="0"/>
              <w:divBdr>
                <w:top w:val="none" w:sz="0" w:space="0" w:color="auto"/>
                <w:left w:val="none" w:sz="0" w:space="0" w:color="auto"/>
                <w:bottom w:val="none" w:sz="0" w:space="0" w:color="auto"/>
                <w:right w:val="none" w:sz="0" w:space="0" w:color="auto"/>
              </w:divBdr>
              <w:divsChild>
                <w:div w:id="124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2296">
      <w:bodyDiv w:val="1"/>
      <w:marLeft w:val="0"/>
      <w:marRight w:val="0"/>
      <w:marTop w:val="0"/>
      <w:marBottom w:val="0"/>
      <w:divBdr>
        <w:top w:val="none" w:sz="0" w:space="0" w:color="auto"/>
        <w:left w:val="none" w:sz="0" w:space="0" w:color="auto"/>
        <w:bottom w:val="none" w:sz="0" w:space="0" w:color="auto"/>
        <w:right w:val="none" w:sz="0" w:space="0" w:color="auto"/>
      </w:divBdr>
      <w:divsChild>
        <w:div w:id="1992439351">
          <w:marLeft w:val="0"/>
          <w:marRight w:val="0"/>
          <w:marTop w:val="0"/>
          <w:marBottom w:val="0"/>
          <w:divBdr>
            <w:top w:val="none" w:sz="0" w:space="0" w:color="auto"/>
            <w:left w:val="none" w:sz="0" w:space="0" w:color="auto"/>
            <w:bottom w:val="none" w:sz="0" w:space="0" w:color="auto"/>
            <w:right w:val="none" w:sz="0" w:space="0" w:color="auto"/>
          </w:divBdr>
          <w:divsChild>
            <w:div w:id="1659843043">
              <w:marLeft w:val="0"/>
              <w:marRight w:val="0"/>
              <w:marTop w:val="0"/>
              <w:marBottom w:val="0"/>
              <w:divBdr>
                <w:top w:val="none" w:sz="0" w:space="0" w:color="auto"/>
                <w:left w:val="none" w:sz="0" w:space="0" w:color="auto"/>
                <w:bottom w:val="none" w:sz="0" w:space="0" w:color="auto"/>
                <w:right w:val="none" w:sz="0" w:space="0" w:color="auto"/>
              </w:divBdr>
              <w:divsChild>
                <w:div w:id="13610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8601087">
      <w:bodyDiv w:val="1"/>
      <w:marLeft w:val="0"/>
      <w:marRight w:val="0"/>
      <w:marTop w:val="0"/>
      <w:marBottom w:val="0"/>
      <w:divBdr>
        <w:top w:val="none" w:sz="0" w:space="0" w:color="auto"/>
        <w:left w:val="none" w:sz="0" w:space="0" w:color="auto"/>
        <w:bottom w:val="none" w:sz="0" w:space="0" w:color="auto"/>
        <w:right w:val="none" w:sz="0" w:space="0" w:color="auto"/>
      </w:divBdr>
      <w:divsChild>
        <w:div w:id="1244560439">
          <w:marLeft w:val="0"/>
          <w:marRight w:val="0"/>
          <w:marTop w:val="0"/>
          <w:marBottom w:val="0"/>
          <w:divBdr>
            <w:top w:val="none" w:sz="0" w:space="0" w:color="auto"/>
            <w:left w:val="none" w:sz="0" w:space="0" w:color="auto"/>
            <w:bottom w:val="none" w:sz="0" w:space="0" w:color="auto"/>
            <w:right w:val="none" w:sz="0" w:space="0" w:color="auto"/>
          </w:divBdr>
          <w:divsChild>
            <w:div w:id="1729567324">
              <w:marLeft w:val="0"/>
              <w:marRight w:val="0"/>
              <w:marTop w:val="0"/>
              <w:marBottom w:val="0"/>
              <w:divBdr>
                <w:top w:val="none" w:sz="0" w:space="0" w:color="auto"/>
                <w:left w:val="none" w:sz="0" w:space="0" w:color="auto"/>
                <w:bottom w:val="none" w:sz="0" w:space="0" w:color="auto"/>
                <w:right w:val="none" w:sz="0" w:space="0" w:color="auto"/>
              </w:divBdr>
              <w:divsChild>
                <w:div w:id="5427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4524">
      <w:bodyDiv w:val="1"/>
      <w:marLeft w:val="0"/>
      <w:marRight w:val="0"/>
      <w:marTop w:val="0"/>
      <w:marBottom w:val="0"/>
      <w:divBdr>
        <w:top w:val="none" w:sz="0" w:space="0" w:color="auto"/>
        <w:left w:val="none" w:sz="0" w:space="0" w:color="auto"/>
        <w:bottom w:val="none" w:sz="0" w:space="0" w:color="auto"/>
        <w:right w:val="none" w:sz="0" w:space="0" w:color="auto"/>
      </w:divBdr>
      <w:divsChild>
        <w:div w:id="682437778">
          <w:marLeft w:val="0"/>
          <w:marRight w:val="0"/>
          <w:marTop w:val="0"/>
          <w:marBottom w:val="0"/>
          <w:divBdr>
            <w:top w:val="none" w:sz="0" w:space="0" w:color="auto"/>
            <w:left w:val="none" w:sz="0" w:space="0" w:color="auto"/>
            <w:bottom w:val="none" w:sz="0" w:space="0" w:color="auto"/>
            <w:right w:val="none" w:sz="0" w:space="0" w:color="auto"/>
          </w:divBdr>
          <w:divsChild>
            <w:div w:id="697242369">
              <w:marLeft w:val="0"/>
              <w:marRight w:val="0"/>
              <w:marTop w:val="0"/>
              <w:marBottom w:val="0"/>
              <w:divBdr>
                <w:top w:val="none" w:sz="0" w:space="0" w:color="auto"/>
                <w:left w:val="none" w:sz="0" w:space="0" w:color="auto"/>
                <w:bottom w:val="none" w:sz="0" w:space="0" w:color="auto"/>
                <w:right w:val="none" w:sz="0" w:space="0" w:color="auto"/>
              </w:divBdr>
              <w:divsChild>
                <w:div w:id="12142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4335055">
      <w:bodyDiv w:val="1"/>
      <w:marLeft w:val="0"/>
      <w:marRight w:val="0"/>
      <w:marTop w:val="0"/>
      <w:marBottom w:val="0"/>
      <w:divBdr>
        <w:top w:val="none" w:sz="0" w:space="0" w:color="auto"/>
        <w:left w:val="none" w:sz="0" w:space="0" w:color="auto"/>
        <w:bottom w:val="none" w:sz="0" w:space="0" w:color="auto"/>
        <w:right w:val="none" w:sz="0" w:space="0" w:color="auto"/>
      </w:divBdr>
      <w:divsChild>
        <w:div w:id="1658460925">
          <w:marLeft w:val="0"/>
          <w:marRight w:val="0"/>
          <w:marTop w:val="0"/>
          <w:marBottom w:val="0"/>
          <w:divBdr>
            <w:top w:val="none" w:sz="0" w:space="0" w:color="auto"/>
            <w:left w:val="none" w:sz="0" w:space="0" w:color="auto"/>
            <w:bottom w:val="none" w:sz="0" w:space="0" w:color="auto"/>
            <w:right w:val="none" w:sz="0" w:space="0" w:color="auto"/>
          </w:divBdr>
          <w:divsChild>
            <w:div w:id="121267870">
              <w:marLeft w:val="0"/>
              <w:marRight w:val="0"/>
              <w:marTop w:val="0"/>
              <w:marBottom w:val="0"/>
              <w:divBdr>
                <w:top w:val="none" w:sz="0" w:space="0" w:color="auto"/>
                <w:left w:val="none" w:sz="0" w:space="0" w:color="auto"/>
                <w:bottom w:val="none" w:sz="0" w:space="0" w:color="auto"/>
                <w:right w:val="none" w:sz="0" w:space="0" w:color="auto"/>
              </w:divBdr>
              <w:divsChild>
                <w:div w:id="10141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8128">
      <w:bodyDiv w:val="1"/>
      <w:marLeft w:val="0"/>
      <w:marRight w:val="0"/>
      <w:marTop w:val="0"/>
      <w:marBottom w:val="0"/>
      <w:divBdr>
        <w:top w:val="none" w:sz="0" w:space="0" w:color="auto"/>
        <w:left w:val="none" w:sz="0" w:space="0" w:color="auto"/>
        <w:bottom w:val="none" w:sz="0" w:space="0" w:color="auto"/>
        <w:right w:val="none" w:sz="0" w:space="0" w:color="auto"/>
      </w:divBdr>
      <w:divsChild>
        <w:div w:id="1037201542">
          <w:marLeft w:val="0"/>
          <w:marRight w:val="0"/>
          <w:marTop w:val="0"/>
          <w:marBottom w:val="0"/>
          <w:divBdr>
            <w:top w:val="none" w:sz="0" w:space="0" w:color="auto"/>
            <w:left w:val="none" w:sz="0" w:space="0" w:color="auto"/>
            <w:bottom w:val="none" w:sz="0" w:space="0" w:color="auto"/>
            <w:right w:val="none" w:sz="0" w:space="0" w:color="auto"/>
          </w:divBdr>
          <w:divsChild>
            <w:div w:id="474027334">
              <w:marLeft w:val="0"/>
              <w:marRight w:val="0"/>
              <w:marTop w:val="0"/>
              <w:marBottom w:val="0"/>
              <w:divBdr>
                <w:top w:val="none" w:sz="0" w:space="0" w:color="auto"/>
                <w:left w:val="none" w:sz="0" w:space="0" w:color="auto"/>
                <w:bottom w:val="none" w:sz="0" w:space="0" w:color="auto"/>
                <w:right w:val="none" w:sz="0" w:space="0" w:color="auto"/>
              </w:divBdr>
              <w:divsChild>
                <w:div w:id="6611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048">
      <w:bodyDiv w:val="1"/>
      <w:marLeft w:val="0"/>
      <w:marRight w:val="0"/>
      <w:marTop w:val="0"/>
      <w:marBottom w:val="0"/>
      <w:divBdr>
        <w:top w:val="none" w:sz="0" w:space="0" w:color="auto"/>
        <w:left w:val="none" w:sz="0" w:space="0" w:color="auto"/>
        <w:bottom w:val="none" w:sz="0" w:space="0" w:color="auto"/>
        <w:right w:val="none" w:sz="0" w:space="0" w:color="auto"/>
      </w:divBdr>
      <w:divsChild>
        <w:div w:id="1210993993">
          <w:marLeft w:val="0"/>
          <w:marRight w:val="0"/>
          <w:marTop w:val="0"/>
          <w:marBottom w:val="0"/>
          <w:divBdr>
            <w:top w:val="none" w:sz="0" w:space="0" w:color="auto"/>
            <w:left w:val="none" w:sz="0" w:space="0" w:color="auto"/>
            <w:bottom w:val="none" w:sz="0" w:space="0" w:color="auto"/>
            <w:right w:val="none" w:sz="0" w:space="0" w:color="auto"/>
          </w:divBdr>
          <w:divsChild>
            <w:div w:id="1425804020">
              <w:marLeft w:val="0"/>
              <w:marRight w:val="0"/>
              <w:marTop w:val="0"/>
              <w:marBottom w:val="0"/>
              <w:divBdr>
                <w:top w:val="none" w:sz="0" w:space="0" w:color="auto"/>
                <w:left w:val="none" w:sz="0" w:space="0" w:color="auto"/>
                <w:bottom w:val="none" w:sz="0" w:space="0" w:color="auto"/>
                <w:right w:val="none" w:sz="0" w:space="0" w:color="auto"/>
              </w:divBdr>
              <w:divsChild>
                <w:div w:id="20710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8152">
      <w:bodyDiv w:val="1"/>
      <w:marLeft w:val="0"/>
      <w:marRight w:val="0"/>
      <w:marTop w:val="0"/>
      <w:marBottom w:val="0"/>
      <w:divBdr>
        <w:top w:val="none" w:sz="0" w:space="0" w:color="auto"/>
        <w:left w:val="none" w:sz="0" w:space="0" w:color="auto"/>
        <w:bottom w:val="none" w:sz="0" w:space="0" w:color="auto"/>
        <w:right w:val="none" w:sz="0" w:space="0" w:color="auto"/>
      </w:divBdr>
      <w:divsChild>
        <w:div w:id="1396968665">
          <w:marLeft w:val="0"/>
          <w:marRight w:val="0"/>
          <w:marTop w:val="0"/>
          <w:marBottom w:val="0"/>
          <w:divBdr>
            <w:top w:val="none" w:sz="0" w:space="0" w:color="auto"/>
            <w:left w:val="none" w:sz="0" w:space="0" w:color="auto"/>
            <w:bottom w:val="none" w:sz="0" w:space="0" w:color="auto"/>
            <w:right w:val="none" w:sz="0" w:space="0" w:color="auto"/>
          </w:divBdr>
          <w:divsChild>
            <w:div w:id="210195247">
              <w:marLeft w:val="0"/>
              <w:marRight w:val="0"/>
              <w:marTop w:val="0"/>
              <w:marBottom w:val="0"/>
              <w:divBdr>
                <w:top w:val="none" w:sz="0" w:space="0" w:color="auto"/>
                <w:left w:val="none" w:sz="0" w:space="0" w:color="auto"/>
                <w:bottom w:val="none" w:sz="0" w:space="0" w:color="auto"/>
                <w:right w:val="none" w:sz="0" w:space="0" w:color="auto"/>
              </w:divBdr>
              <w:divsChild>
                <w:div w:id="1269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3683">
      <w:bodyDiv w:val="1"/>
      <w:marLeft w:val="0"/>
      <w:marRight w:val="0"/>
      <w:marTop w:val="0"/>
      <w:marBottom w:val="0"/>
      <w:divBdr>
        <w:top w:val="none" w:sz="0" w:space="0" w:color="auto"/>
        <w:left w:val="none" w:sz="0" w:space="0" w:color="auto"/>
        <w:bottom w:val="none" w:sz="0" w:space="0" w:color="auto"/>
        <w:right w:val="none" w:sz="0" w:space="0" w:color="auto"/>
      </w:divBdr>
      <w:divsChild>
        <w:div w:id="1600016676">
          <w:marLeft w:val="0"/>
          <w:marRight w:val="0"/>
          <w:marTop w:val="0"/>
          <w:marBottom w:val="0"/>
          <w:divBdr>
            <w:top w:val="none" w:sz="0" w:space="0" w:color="auto"/>
            <w:left w:val="none" w:sz="0" w:space="0" w:color="auto"/>
            <w:bottom w:val="none" w:sz="0" w:space="0" w:color="auto"/>
            <w:right w:val="none" w:sz="0" w:space="0" w:color="auto"/>
          </w:divBdr>
          <w:divsChild>
            <w:div w:id="319040694">
              <w:marLeft w:val="0"/>
              <w:marRight w:val="0"/>
              <w:marTop w:val="0"/>
              <w:marBottom w:val="0"/>
              <w:divBdr>
                <w:top w:val="none" w:sz="0" w:space="0" w:color="auto"/>
                <w:left w:val="none" w:sz="0" w:space="0" w:color="auto"/>
                <w:bottom w:val="none" w:sz="0" w:space="0" w:color="auto"/>
                <w:right w:val="none" w:sz="0" w:space="0" w:color="auto"/>
              </w:divBdr>
              <w:divsChild>
                <w:div w:id="12920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3867">
      <w:bodyDiv w:val="1"/>
      <w:marLeft w:val="0"/>
      <w:marRight w:val="0"/>
      <w:marTop w:val="0"/>
      <w:marBottom w:val="0"/>
      <w:divBdr>
        <w:top w:val="none" w:sz="0" w:space="0" w:color="auto"/>
        <w:left w:val="none" w:sz="0" w:space="0" w:color="auto"/>
        <w:bottom w:val="none" w:sz="0" w:space="0" w:color="auto"/>
        <w:right w:val="none" w:sz="0" w:space="0" w:color="auto"/>
      </w:divBdr>
      <w:divsChild>
        <w:div w:id="1490753467">
          <w:marLeft w:val="0"/>
          <w:marRight w:val="0"/>
          <w:marTop w:val="0"/>
          <w:marBottom w:val="0"/>
          <w:divBdr>
            <w:top w:val="none" w:sz="0" w:space="0" w:color="auto"/>
            <w:left w:val="none" w:sz="0" w:space="0" w:color="auto"/>
            <w:bottom w:val="none" w:sz="0" w:space="0" w:color="auto"/>
            <w:right w:val="none" w:sz="0" w:space="0" w:color="auto"/>
          </w:divBdr>
          <w:divsChild>
            <w:div w:id="48193518">
              <w:marLeft w:val="0"/>
              <w:marRight w:val="0"/>
              <w:marTop w:val="0"/>
              <w:marBottom w:val="0"/>
              <w:divBdr>
                <w:top w:val="none" w:sz="0" w:space="0" w:color="auto"/>
                <w:left w:val="none" w:sz="0" w:space="0" w:color="auto"/>
                <w:bottom w:val="none" w:sz="0" w:space="0" w:color="auto"/>
                <w:right w:val="none" w:sz="0" w:space="0" w:color="auto"/>
              </w:divBdr>
              <w:divsChild>
                <w:div w:id="2042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cose.2013.04.00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094670504271156" TargetMode="External"/><Relationship Id="rId2" Type="http://schemas.openxmlformats.org/officeDocument/2006/relationships/numbering" Target="numbering.xml"/><Relationship Id="rId16" Type="http://schemas.openxmlformats.org/officeDocument/2006/relationships/hyperlink" Target="https://doi.org/10.1016/j.jretconser.2018.12.008"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ti.gov.ph/digital-transformatio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elerap.2015.07.006"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1EF0-9988-49C3-865A-E2AA6D4D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9</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2025-08-21T17:39:00Z</dcterms:created>
  <dcterms:modified xsi:type="dcterms:W3CDTF">2025-08-22T08:20:00Z</dcterms:modified>
</cp:coreProperties>
</file>