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9E67A" w14:textId="77777777" w:rsidR="00754C9A" w:rsidRDefault="00754C9A" w:rsidP="00441B6F">
      <w:pPr>
        <w:pStyle w:val="Title"/>
        <w:spacing w:after="0"/>
        <w:jc w:val="both"/>
        <w:rPr>
          <w:rFonts w:ascii="Arial" w:hAnsi="Arial" w:cs="Arial"/>
        </w:rPr>
      </w:pPr>
    </w:p>
    <w:p w14:paraId="1C17AAA3" w14:textId="7E3702FB" w:rsidR="00A258C3" w:rsidRPr="00546CFD" w:rsidRDefault="00401927" w:rsidP="00546CFD">
      <w:pPr>
        <w:pStyle w:val="Author"/>
        <w:spacing w:line="240" w:lineRule="auto"/>
        <w:rPr>
          <w:rFonts w:ascii="Arial" w:hAnsi="Arial" w:cs="Arial"/>
          <w:bCs/>
          <w:iCs/>
          <w:kern w:val="28"/>
          <w:sz w:val="36"/>
        </w:rPr>
      </w:pPr>
      <w:r>
        <w:rPr>
          <w:rFonts w:ascii="Arial" w:hAnsi="Arial" w:cs="Arial"/>
          <w:bCs/>
          <w:iCs/>
          <w:kern w:val="28"/>
          <w:sz w:val="36"/>
        </w:rPr>
        <w:t>T</w:t>
      </w:r>
      <w:r w:rsidR="00546CFD">
        <w:rPr>
          <w:rFonts w:ascii="Arial" w:hAnsi="Arial" w:cs="Arial"/>
          <w:bCs/>
          <w:iCs/>
          <w:kern w:val="28"/>
          <w:sz w:val="36"/>
        </w:rPr>
        <w:t>he Impact of Green Credit, Green CSR, and Digital Financial Inclusion on Profitability in ASEAN Banks</w:t>
      </w:r>
      <w:r w:rsidR="00231920">
        <w:rPr>
          <w:rFonts w:ascii="Arial" w:hAnsi="Arial" w:cs="Arial"/>
          <w:bCs/>
          <w:iCs/>
          <w:kern w:val="28"/>
          <w:sz w:val="36"/>
        </w:rPr>
        <w:t xml:space="preserve"> </w:t>
      </w:r>
    </w:p>
    <w:p w14:paraId="5C97AFC1" w14:textId="559C5DE8" w:rsidR="00AC5598" w:rsidRDefault="00AC5598" w:rsidP="006E1B4D">
      <w:pPr>
        <w:pStyle w:val="Affiliation"/>
        <w:spacing w:after="0" w:line="240" w:lineRule="auto"/>
        <w:rPr>
          <w:rFonts w:ascii="Arial" w:hAnsi="Arial" w:cs="Arial"/>
          <w:i/>
        </w:rPr>
      </w:pPr>
    </w:p>
    <w:p w14:paraId="6ACB8397" w14:textId="77777777" w:rsidR="00EE6BA5" w:rsidRPr="0083216F" w:rsidRDefault="00EE6BA5" w:rsidP="006E1B4D">
      <w:pPr>
        <w:pStyle w:val="Affiliation"/>
        <w:spacing w:after="0" w:line="240" w:lineRule="auto"/>
        <w:rPr>
          <w:rFonts w:ascii="Arial" w:hAnsi="Arial" w:cs="Arial"/>
          <w:i/>
        </w:rPr>
      </w:pPr>
    </w:p>
    <w:p w14:paraId="59319F16" w14:textId="77777777" w:rsidR="002C57D2" w:rsidRPr="00FB3A86" w:rsidRDefault="002C57D2" w:rsidP="00441B6F">
      <w:pPr>
        <w:pStyle w:val="Affiliation"/>
        <w:spacing w:after="0" w:line="240" w:lineRule="auto"/>
        <w:jc w:val="both"/>
        <w:rPr>
          <w:rFonts w:ascii="Arial" w:hAnsi="Arial" w:cs="Arial"/>
        </w:rPr>
      </w:pPr>
    </w:p>
    <w:p w14:paraId="5FB10441" w14:textId="77777777" w:rsidR="00B01FCD" w:rsidRPr="00FB3A86" w:rsidRDefault="00A1014C" w:rsidP="00441B6F">
      <w:pPr>
        <w:pStyle w:val="Copyright"/>
        <w:spacing w:after="0" w:line="240" w:lineRule="auto"/>
        <w:jc w:val="both"/>
        <w:rPr>
          <w:rFonts w:ascii="Arial" w:hAnsi="Arial" w:cs="Arial"/>
        </w:rPr>
        <w:sectPr w:rsidR="00B01FCD" w:rsidRPr="00FB3A86" w:rsidSect="00EE6BA5">
          <w:headerReference w:type="first" r:id="rId8"/>
          <w:footerReference w:type="first" r:id="rId9"/>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953071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4FD15B8" w14:textId="59EC91C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C37011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0C3BF01" w14:textId="77777777" w:rsidTr="008A353E">
        <w:trPr>
          <w:trHeight w:val="3988"/>
        </w:trPr>
        <w:tc>
          <w:tcPr>
            <w:tcW w:w="9576" w:type="dxa"/>
            <w:shd w:val="clear" w:color="auto" w:fill="F2F2F2"/>
          </w:tcPr>
          <w:p w14:paraId="1A28DB9E" w14:textId="1546BA89" w:rsidR="008A353E" w:rsidRPr="008A353E" w:rsidRDefault="008A353E" w:rsidP="008A353E">
            <w:pPr>
              <w:pStyle w:val="NormalWeb"/>
              <w:spacing w:before="0" w:beforeAutospacing="0" w:after="0" w:afterAutospacing="0"/>
              <w:jc w:val="both"/>
              <w:rPr>
                <w:rFonts w:ascii="Arial" w:hAnsi="Arial" w:cs="Arial"/>
                <w:sz w:val="20"/>
                <w:szCs w:val="20"/>
              </w:rPr>
            </w:pPr>
            <w:r w:rsidRPr="008A353E">
              <w:rPr>
                <w:rFonts w:ascii="Arial" w:eastAsia="Calibri" w:hAnsi="Arial" w:cs="Arial"/>
                <w:b/>
                <w:sz w:val="20"/>
                <w:szCs w:val="20"/>
              </w:rPr>
              <w:t xml:space="preserve">Aims: </w:t>
            </w:r>
            <w:r w:rsidRPr="008A353E">
              <w:rPr>
                <w:rFonts w:ascii="Arial" w:hAnsi="Arial" w:cs="Arial"/>
                <w:sz w:val="20"/>
                <w:szCs w:val="20"/>
              </w:rPr>
              <w:t>This study aims to (1) examine the positive effect of green credit on bank performance; (2) examine the positive effect of green corporate social responsibility (green CSR) on bank performance; (3) examine the negative effect of digital financial inclusion on bank performance.</w:t>
            </w:r>
          </w:p>
          <w:p w14:paraId="60E9A383" w14:textId="77777777" w:rsidR="008A353E" w:rsidRPr="008A353E" w:rsidRDefault="008A353E" w:rsidP="008A353E">
            <w:pPr>
              <w:pStyle w:val="NormalWeb"/>
              <w:spacing w:before="0" w:beforeAutospacing="0" w:after="0" w:afterAutospacing="0"/>
              <w:jc w:val="both"/>
              <w:rPr>
                <w:rFonts w:ascii="Arial" w:hAnsi="Arial" w:cs="Arial"/>
                <w:sz w:val="20"/>
                <w:szCs w:val="20"/>
              </w:rPr>
            </w:pPr>
            <w:r w:rsidRPr="008A353E">
              <w:rPr>
                <w:rFonts w:ascii="Arial" w:eastAsia="Calibri" w:hAnsi="Arial" w:cs="Arial"/>
                <w:b/>
                <w:sz w:val="20"/>
                <w:szCs w:val="20"/>
              </w:rPr>
              <w:t>Study design:</w:t>
            </w:r>
            <w:r w:rsidRPr="008A353E">
              <w:rPr>
                <w:rFonts w:ascii="Arial" w:eastAsia="Calibri" w:hAnsi="Arial" w:cs="Arial"/>
                <w:sz w:val="20"/>
                <w:szCs w:val="20"/>
              </w:rPr>
              <w:t xml:space="preserve"> </w:t>
            </w:r>
            <w:r w:rsidRPr="008A353E">
              <w:rPr>
                <w:rFonts w:ascii="Arial" w:hAnsi="Arial" w:cs="Arial"/>
                <w:sz w:val="20"/>
                <w:szCs w:val="20"/>
              </w:rPr>
              <w:t xml:space="preserve"> This is a quantitative study analyzed using EViews software. </w:t>
            </w:r>
          </w:p>
          <w:p w14:paraId="0CA8A3F7" w14:textId="7A688773" w:rsidR="008A353E" w:rsidRPr="008A353E" w:rsidRDefault="008A353E" w:rsidP="008A353E">
            <w:pPr>
              <w:pStyle w:val="NormalWeb"/>
              <w:spacing w:before="0" w:beforeAutospacing="0" w:after="0" w:afterAutospacing="0"/>
              <w:jc w:val="both"/>
              <w:rPr>
                <w:rFonts w:ascii="Arial" w:hAnsi="Arial" w:cs="Arial"/>
                <w:sz w:val="20"/>
                <w:szCs w:val="20"/>
                <w:lang w:val="en-US"/>
              </w:rPr>
            </w:pPr>
            <w:r w:rsidRPr="008A353E">
              <w:rPr>
                <w:rFonts w:ascii="Arial" w:eastAsia="Calibri" w:hAnsi="Arial" w:cs="Arial"/>
                <w:b/>
                <w:sz w:val="20"/>
                <w:szCs w:val="20"/>
              </w:rPr>
              <w:t>Place and Duration of Study:</w:t>
            </w:r>
            <w:r w:rsidRPr="008A353E">
              <w:rPr>
                <w:rFonts w:ascii="Arial" w:eastAsia="Calibri" w:hAnsi="Arial" w:cs="Arial"/>
                <w:b/>
                <w:sz w:val="20"/>
                <w:szCs w:val="20"/>
                <w:lang w:val="en-US"/>
              </w:rPr>
              <w:t xml:space="preserve"> </w:t>
            </w:r>
            <w:r w:rsidRPr="008A353E">
              <w:rPr>
                <w:rFonts w:ascii="Arial" w:hAnsi="Arial" w:cs="Arial"/>
                <w:sz w:val="20"/>
                <w:szCs w:val="20"/>
              </w:rPr>
              <w:t>The study uses panel data covering the period from 2019 to 2022</w:t>
            </w:r>
            <w:r w:rsidRPr="008A353E">
              <w:rPr>
                <w:rFonts w:ascii="Arial" w:hAnsi="Arial" w:cs="Arial"/>
                <w:sz w:val="20"/>
                <w:szCs w:val="20"/>
                <w:lang w:val="en-US"/>
              </w:rPr>
              <w:t xml:space="preserve"> </w:t>
            </w:r>
            <w:r w:rsidRPr="008A353E">
              <w:rPr>
                <w:rFonts w:ascii="Arial" w:hAnsi="Arial" w:cs="Arial"/>
                <w:sz w:val="20"/>
                <w:szCs w:val="20"/>
              </w:rPr>
              <w:t>in the ASEAN</w:t>
            </w:r>
            <w:r w:rsidRPr="008A353E">
              <w:rPr>
                <w:rFonts w:ascii="Arial" w:hAnsi="Arial" w:cs="Arial"/>
                <w:sz w:val="20"/>
                <w:szCs w:val="20"/>
                <w:lang w:val="en-US"/>
              </w:rPr>
              <w:t xml:space="preserve"> 5</w:t>
            </w:r>
            <w:r w:rsidRPr="008A353E">
              <w:rPr>
                <w:rFonts w:ascii="Arial" w:hAnsi="Arial" w:cs="Arial"/>
                <w:sz w:val="20"/>
                <w:szCs w:val="20"/>
              </w:rPr>
              <w:t xml:space="preserve"> region</w:t>
            </w:r>
          </w:p>
          <w:p w14:paraId="2C7E0275" w14:textId="1C3353F2" w:rsidR="008A353E" w:rsidRPr="008A353E" w:rsidRDefault="008A353E" w:rsidP="008A353E">
            <w:pPr>
              <w:pStyle w:val="NormalWeb"/>
              <w:spacing w:before="0" w:beforeAutospacing="0" w:after="0" w:afterAutospacing="0"/>
              <w:jc w:val="both"/>
              <w:rPr>
                <w:rFonts w:ascii="Arial" w:hAnsi="Arial" w:cs="Arial"/>
                <w:sz w:val="20"/>
                <w:szCs w:val="20"/>
              </w:rPr>
            </w:pPr>
            <w:r w:rsidRPr="008A353E">
              <w:rPr>
                <w:rFonts w:ascii="Arial" w:eastAsia="Calibri" w:hAnsi="Arial" w:cs="Arial"/>
                <w:b/>
                <w:bCs/>
                <w:sz w:val="20"/>
                <w:szCs w:val="20"/>
              </w:rPr>
              <w:t>Methodology:</w:t>
            </w:r>
            <w:r w:rsidRPr="008A353E">
              <w:rPr>
                <w:rFonts w:ascii="Arial" w:eastAsia="Calibri" w:hAnsi="Arial" w:cs="Arial"/>
                <w:sz w:val="20"/>
                <w:szCs w:val="20"/>
              </w:rPr>
              <w:t xml:space="preserve"> </w:t>
            </w:r>
            <w:r w:rsidRPr="008A353E">
              <w:rPr>
                <w:rFonts w:ascii="Arial" w:hAnsi="Arial" w:cs="Arial"/>
                <w:sz w:val="20"/>
                <w:szCs w:val="20"/>
              </w:rPr>
              <w:t xml:space="preserve">The data used are secondary data obtained from sustainability financial reports. The sampling technique employed is purposive random sampling, with a total sample of 24 banks. </w:t>
            </w:r>
          </w:p>
          <w:p w14:paraId="793115F9" w14:textId="4D325318" w:rsidR="008A353E" w:rsidRPr="008A353E" w:rsidRDefault="008A353E" w:rsidP="008A353E">
            <w:pPr>
              <w:pStyle w:val="NormalWeb"/>
              <w:spacing w:before="0" w:beforeAutospacing="0" w:after="0" w:afterAutospacing="0"/>
              <w:jc w:val="both"/>
              <w:rPr>
                <w:rFonts w:ascii="Arial" w:hAnsi="Arial" w:cs="Arial"/>
                <w:sz w:val="20"/>
                <w:szCs w:val="20"/>
              </w:rPr>
            </w:pPr>
            <w:r w:rsidRPr="008A353E">
              <w:rPr>
                <w:rFonts w:ascii="Arial" w:eastAsia="Calibri" w:hAnsi="Arial" w:cs="Arial"/>
                <w:b/>
                <w:bCs/>
                <w:sz w:val="20"/>
                <w:szCs w:val="20"/>
              </w:rPr>
              <w:t>Results:</w:t>
            </w:r>
            <w:r w:rsidRPr="008A353E">
              <w:rPr>
                <w:rFonts w:ascii="Arial" w:eastAsia="Calibri" w:hAnsi="Arial" w:cs="Arial"/>
                <w:sz w:val="20"/>
                <w:szCs w:val="20"/>
              </w:rPr>
              <w:t xml:space="preserve"> </w:t>
            </w:r>
            <w:r w:rsidRPr="008A353E">
              <w:rPr>
                <w:rFonts w:ascii="Arial" w:hAnsi="Arial" w:cs="Arial"/>
                <w:sz w:val="20"/>
                <w:szCs w:val="20"/>
              </w:rPr>
              <w:t xml:space="preserve">The findings of this study indicate that </w:t>
            </w:r>
            <w:r w:rsidRPr="008A353E">
              <w:rPr>
                <w:rFonts w:ascii="Arial" w:hAnsi="Arial" w:cs="Arial"/>
                <w:iCs/>
                <w:sz w:val="20"/>
                <w:szCs w:val="20"/>
              </w:rPr>
              <w:t>(1) Green credit has a significant positive effect on profitability; (2) Green CSR does not have a significant effect on profitability; (3) Digital financial inclusion (DFI) does not have a negative effect on profitability, but instead has a positive influence on profitability.</w:t>
            </w:r>
          </w:p>
          <w:p w14:paraId="39EAFE52" w14:textId="5733CA52" w:rsidR="008A353E" w:rsidRPr="008A353E" w:rsidRDefault="008A353E" w:rsidP="008A353E">
            <w:pPr>
              <w:pStyle w:val="Body"/>
              <w:spacing w:after="0"/>
              <w:rPr>
                <w:rFonts w:ascii="Arial" w:eastAsia="Calibri" w:hAnsi="Arial" w:cs="Arial"/>
              </w:rPr>
            </w:pPr>
            <w:r w:rsidRPr="008A353E">
              <w:rPr>
                <w:rFonts w:ascii="Arial" w:eastAsia="Calibri" w:hAnsi="Arial" w:cs="Arial"/>
                <w:b/>
                <w:bCs/>
              </w:rPr>
              <w:t>Conclusion:</w:t>
            </w:r>
            <w:r w:rsidRPr="008A353E">
              <w:rPr>
                <w:rFonts w:ascii="Arial" w:eastAsia="Calibri" w:hAnsi="Arial" w:cs="Arial"/>
              </w:rPr>
              <w:t xml:space="preserve"> </w:t>
            </w:r>
            <w:r w:rsidRPr="008A353E">
              <w:rPr>
                <w:rFonts w:ascii="Arial" w:hAnsi="Arial" w:cs="Arial"/>
              </w:rPr>
              <w:t>The findings suggest that green credit initially has a positive influence on bank performance, indicating that it has the potential to enhance bank profitability when strategically implemented to support sustainable activities</w:t>
            </w:r>
          </w:p>
          <w:p w14:paraId="6CD349D1" w14:textId="1B2B2985" w:rsidR="00505F06" w:rsidRPr="00BA1B01" w:rsidRDefault="00505F06" w:rsidP="00441B6F">
            <w:pPr>
              <w:pStyle w:val="Body"/>
              <w:spacing w:after="0"/>
              <w:rPr>
                <w:rFonts w:ascii="Arial" w:eastAsia="Calibri" w:hAnsi="Arial" w:cs="Arial"/>
                <w:szCs w:val="22"/>
              </w:rPr>
            </w:pPr>
          </w:p>
        </w:tc>
      </w:tr>
    </w:tbl>
    <w:p w14:paraId="70834860" w14:textId="77777777" w:rsidR="00636EB2" w:rsidRDefault="00636EB2" w:rsidP="00441B6F">
      <w:pPr>
        <w:pStyle w:val="Body"/>
        <w:spacing w:after="0"/>
        <w:rPr>
          <w:rFonts w:ascii="Arial" w:hAnsi="Arial" w:cs="Arial"/>
          <w:i/>
        </w:rPr>
      </w:pPr>
    </w:p>
    <w:p w14:paraId="777C81DC" w14:textId="3393A2B5" w:rsidR="00A24E7E" w:rsidRPr="008A353E" w:rsidRDefault="00A24E7E" w:rsidP="00441B6F">
      <w:pPr>
        <w:pStyle w:val="Body"/>
        <w:spacing w:after="0"/>
        <w:rPr>
          <w:rFonts w:ascii="Arial" w:hAnsi="Arial" w:cs="Arial"/>
          <w:i/>
          <w:iCs/>
        </w:rPr>
      </w:pPr>
      <w:r>
        <w:rPr>
          <w:rFonts w:ascii="Arial" w:hAnsi="Arial" w:cs="Arial"/>
          <w:i/>
        </w:rPr>
        <w:t xml:space="preserve">Keywords: </w:t>
      </w:r>
      <w:r w:rsidR="008A353E" w:rsidRPr="008A353E">
        <w:rPr>
          <w:rFonts w:ascii="Arial" w:hAnsi="Arial" w:cs="Arial"/>
          <w:i/>
          <w:iCs/>
        </w:rPr>
        <w:t>Green Credit, Green CSR, Digital Financial Inclusion, Profitability</w:t>
      </w:r>
    </w:p>
    <w:p w14:paraId="2DD9F15E" w14:textId="77777777" w:rsidR="00505F06" w:rsidRPr="00A24E7E" w:rsidRDefault="00505F06" w:rsidP="00441B6F">
      <w:pPr>
        <w:pStyle w:val="Body"/>
        <w:spacing w:after="0"/>
        <w:rPr>
          <w:rFonts w:ascii="Arial" w:hAnsi="Arial" w:cs="Arial"/>
          <w:i/>
        </w:rPr>
      </w:pPr>
    </w:p>
    <w:p w14:paraId="1D0D5E92" w14:textId="64648C4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4F1BC17" w14:textId="77777777" w:rsidR="00790ADA" w:rsidRPr="00FB3A86" w:rsidRDefault="00790ADA" w:rsidP="00441B6F">
      <w:pPr>
        <w:pStyle w:val="AbstHead"/>
        <w:spacing w:after="0"/>
        <w:jc w:val="both"/>
        <w:rPr>
          <w:rFonts w:ascii="Arial" w:hAnsi="Arial" w:cs="Arial"/>
        </w:rPr>
      </w:pPr>
    </w:p>
    <w:p w14:paraId="6FB5FE3C" w14:textId="77777777" w:rsidR="00B138AA" w:rsidRDefault="008A353E" w:rsidP="00B138AA">
      <w:pPr>
        <w:pStyle w:val="Body"/>
        <w:spacing w:before="240" w:after="0"/>
        <w:rPr>
          <w:rFonts w:ascii="Arial" w:hAnsi="Arial" w:cs="Arial"/>
        </w:rPr>
      </w:pPr>
      <w:r w:rsidRPr="008A353E">
        <w:rPr>
          <w:rFonts w:ascii="Arial" w:hAnsi="Arial" w:cs="Arial"/>
          <w:lang w:val="en-ID" w:eastAsia="en-ID"/>
        </w:rPr>
        <w:t xml:space="preserve">The World Meteorological Organization </w:t>
      </w:r>
      <w:r w:rsidRPr="008A353E">
        <w:rPr>
          <w:rFonts w:ascii="Arial" w:hAnsi="Arial" w:cs="Arial"/>
          <w:color w:val="000000" w:themeColor="text1"/>
          <w:shd w:val="clear" w:color="auto" w:fill="FFFFFF"/>
        </w:rPr>
        <w:t>WMO</w:t>
      </w:r>
      <w:r w:rsidRPr="008A353E">
        <w:rPr>
          <w:rFonts w:ascii="Arial" w:hAnsi="Arial" w:cs="Arial"/>
          <w:noProof/>
        </w:rPr>
        <w:t xml:space="preserve"> </w:t>
      </w:r>
      <w:r w:rsidRPr="008A353E">
        <w:rPr>
          <w:rFonts w:ascii="Arial" w:hAnsi="Arial" w:cs="Arial"/>
          <w:noProof/>
        </w:rPr>
        <w:fldChar w:fldCharType="begin" w:fldLock="1"/>
      </w:r>
      <w:r w:rsidRPr="008A353E">
        <w:rPr>
          <w:rFonts w:ascii="Arial" w:hAnsi="Arial" w:cs="Arial"/>
          <w:noProof/>
        </w:rPr>
        <w:instrText>ADDIN CSL_CITATION {"citationItems":[{"id":"ITEM-1","itemData":{"URL":"https://wmo.int/news/media-centre/wmo-confirms-2024-warmest-year-record-about-155degc-above-pre-industrial-level","accessed":{"date-parts":[["2025","7","2"]]},"author":[{"dropping-particle":"","family":"WMO","given":"","non-dropping-particle":"","parse-names":false,"suffix":""}],"container-title":"World Meteorological Organization","id":"ITEM-1","issued":{"date-parts":[["2025"]]},"title":"World Meteorological Organization","type":"webpage"},"uris":["http://www.mendeley.com/documents/?uuid=e89c7898-6bcf-3c0f-b5c3-cacef32db09d"]}],"mendeley":{"formattedCitation":"(WMO, 2025)","manualFormatting":"(2025)","plainTextFormattedCitation":"(WMO, 2025)","previouslyFormattedCitation":"(WMO, 2025)"},"properties":{"noteIndex":0},"schema":"https://github.com/citation-style-language/schema/raw/master/csl-citation.json"}</w:instrText>
      </w:r>
      <w:r w:rsidRPr="008A353E">
        <w:rPr>
          <w:rFonts w:ascii="Arial" w:hAnsi="Arial" w:cs="Arial"/>
          <w:noProof/>
        </w:rPr>
        <w:fldChar w:fldCharType="separate"/>
      </w:r>
      <w:r w:rsidRPr="008A353E">
        <w:rPr>
          <w:rFonts w:ascii="Arial" w:hAnsi="Arial" w:cs="Arial"/>
          <w:noProof/>
        </w:rPr>
        <w:t>(2025)</w:t>
      </w:r>
      <w:r w:rsidRPr="008A353E">
        <w:rPr>
          <w:rFonts w:ascii="Arial" w:hAnsi="Arial" w:cs="Arial"/>
          <w:noProof/>
        </w:rPr>
        <w:fldChar w:fldCharType="end"/>
      </w:r>
      <w:r w:rsidRPr="008A353E">
        <w:rPr>
          <w:rFonts w:ascii="Arial" w:hAnsi="Arial" w:cs="Arial"/>
          <w:lang w:val="en-ID" w:eastAsia="en-ID"/>
        </w:rPr>
        <w:t xml:space="preserve"> revealed that the rise in global temperatures from 1850 to 2024 is due to the growth of industrial activity, which has led to an average annual global temperature increase of 1.55°C. The United Nations Climate Change Conference in Glasgow highlighted green finance as a major issue, specifically the mobilization and use of funds to support environmentally friendly projects with reasonable returns, in order to promote sustainable business practices and achieve the Sustainable Development Goals (SDGs) aligned with Environmental, Social, and Governance (ESG) principles </w:t>
      </w:r>
      <w:r w:rsidRPr="008A353E">
        <w:rPr>
          <w:rFonts w:ascii="Arial" w:hAnsi="Arial" w:cs="Arial"/>
        </w:rPr>
        <w:fldChar w:fldCharType="begin" w:fldLock="1"/>
      </w:r>
      <w:r w:rsidRPr="008A353E">
        <w:rPr>
          <w:rFonts w:ascii="Arial" w:hAnsi="Arial" w:cs="Arial"/>
        </w:rPr>
        <w:instrText>ADDIN CSL_CITATION {"citationItems":[{"id":"ITEM-1","itemData":{"DOI":"10.1007/s44265-023-00026-x","ISSN":"2731-9423","abstract":"This paper comprehensively reviews the interconnections between climate change, decarbonization, and green finance. The urgency of addressing climate change and its catastrophic consequences needs to focus on green finance as a vital tool in the global struggle against environmental damage. Green finance involves supplying investments, loans, or capital to support environmentally friendly activities, facilitating the transition to a more sustainable future. This review explores the theoretical frame of reference for green finance, including its impacts on climate change, decarbonization of economies, carbon-stranded assets, risk management, renewable energy, and sustainable economic growth. Additionally, it examines regional focuses in Asia, such as the importance of green finance in China and the beliefs and challenges of green finance in Bangladesh. The review also discusses future directions and recommendations for advancing green finance. The review examines the current research in green finance and how it can address environmental challenges and promote sustainable development. More research needs to be conducted in mainstream economics and finance journals to bridge the knowledge gap and foster broader scholarly engagement in green finance. Researchers, policymakers, investors, and stakeholders will receive help from the study's reliable and robust insights into combating climate change and promoting sustainable development.","author":[{"dropping-particle":"","family":"Fu","given":"Chengbo","non-dropping-particle":"","parse-names":false,"suffix":""},{"dropping-particle":"","family":"Lu","given":"Lei","non-dropping-particle":"","parse-names":false,"suffix":""},{"dropping-particle":"","family":"Pirabi","given":"Mansoor","non-dropping-particle":"","parse-names":false,"suffix":""}],"container-title":"Digital Economy and Sustainable Development","id":"ITEM-1","issue":"1","issued":{"date-parts":[["2024"]]},"page":"1-23","publisher":"Springer Nature Singapore","title":"Advancing Green Finance: A Review of Climate Change and Decarbonization","type":"article-journal","volume":"2"},"uris":["http://www.mendeley.com/documents/?uuid=9e7f91c4-5d71-4fa2-b260-9941e8f0cbf7"]}],"mendeley":{"formattedCitation":"(Fu, Lu, &amp; Pirabi, 2024)","plainTextFormattedCitation":"(Fu, Lu, &amp; Pirabi, 2024)","previouslyFormattedCitation":"(Fu, Lu, &amp; Pirabi, 2024)"},"properties":{"noteIndex":0},"schema":"https://github.com/citation-style-language/schema/raw/master/csl-citation.json"}</w:instrText>
      </w:r>
      <w:r w:rsidRPr="008A353E">
        <w:rPr>
          <w:rFonts w:ascii="Arial" w:hAnsi="Arial" w:cs="Arial"/>
        </w:rPr>
        <w:fldChar w:fldCharType="separate"/>
      </w:r>
      <w:r w:rsidRPr="008A353E">
        <w:rPr>
          <w:rFonts w:ascii="Arial" w:hAnsi="Arial" w:cs="Arial"/>
          <w:noProof/>
        </w:rPr>
        <w:t>(Fu, Lu, &amp; Pirabi, 2024)</w:t>
      </w:r>
      <w:r w:rsidRPr="008A353E">
        <w:rPr>
          <w:rFonts w:ascii="Arial" w:hAnsi="Arial" w:cs="Arial"/>
        </w:rPr>
        <w:fldChar w:fldCharType="end"/>
      </w:r>
      <w:r w:rsidRPr="008A353E">
        <w:rPr>
          <w:rFonts w:ascii="Arial" w:hAnsi="Arial" w:cs="Arial"/>
          <w:lang w:val="en-ID" w:eastAsia="en-ID"/>
        </w:rPr>
        <w:t xml:space="preserve">. The SDGs and the Paris Agreement on climate change have placed the banking sector at the </w:t>
      </w:r>
      <w:proofErr w:type="spellStart"/>
      <w:r w:rsidRPr="008A353E">
        <w:rPr>
          <w:rFonts w:ascii="Arial" w:hAnsi="Arial" w:cs="Arial"/>
          <w:lang w:val="en-ID" w:eastAsia="en-ID"/>
        </w:rPr>
        <w:t>center</w:t>
      </w:r>
      <w:proofErr w:type="spellEnd"/>
      <w:r w:rsidRPr="008A353E">
        <w:rPr>
          <w:rFonts w:ascii="Arial" w:hAnsi="Arial" w:cs="Arial"/>
          <w:lang w:val="en-ID" w:eastAsia="en-ID"/>
        </w:rPr>
        <w:t xml:space="preserve"> of the discussion, calling for the adoption of sustainable banking practices </w:t>
      </w:r>
      <w:r w:rsidRPr="008A353E">
        <w:rPr>
          <w:rFonts w:ascii="Arial" w:hAnsi="Arial" w:cs="Arial"/>
        </w:rPr>
        <w:fldChar w:fldCharType="begin" w:fldLock="1"/>
      </w:r>
      <w:r w:rsidRPr="008A353E">
        <w:rPr>
          <w:rFonts w:ascii="Arial" w:hAnsi="Arial" w:cs="Arial"/>
        </w:rPr>
        <w:instrText>ADDIN CSL_CITATION {"citationItems":[{"id":"ITEM-1","itemData":{"DOI":"10.1186/s40991-023-00078-4","ISBN":"4099102300","ISSN":"2366-0066","abstract":"Sustainable development efforts, initiated by the SDGs and the Paris Agreement on climate change, are bringing banking to the center of the debate, which calls for, among other things, sustainable banking. In the current academic discussion, sustainable banking is described as a terminological jungle that is subject to change over time. Using Webster and Watson’s conceptual model, this review analyzes the definitions and conceptual descriptions used in academia to present a consolidated result. The definition analysis conducted in this paper shows that definitions used mostly refer to the implementation of social, environmental aspects in the respective business strategies and / or to the offering of sustainably labeled products. This paper also shows that the various forms of the definition have a purely descriptive character and that measurability and comparability are hardly possible due to the lack of a generally accepted sustainability index.","author":[{"dropping-particle":"","family":"Riegler","given":"Markus","non-dropping-particle":"","parse-names":false,"suffix":""}],"container-title":"International Journal of Corporate Social Responsibility","id":"ITEM-1","issue":"1","issued":{"date-parts":[["2023"]]},"publisher":"Springer International Publishing","title":"Towards a Definition of Sustainable Banking - a Consolidated Approach in the Context of Guidelines and Strategies","type":"article-journal","volume":"8"},"uris":["http://www.mendeley.com/documents/?uuid=7c442a30-a348-481f-bd38-5f7dff5e301f"]}],"mendeley":{"formattedCitation":"(Riegler, 2023)","plainTextFormattedCitation":"(Riegler, 2023)","previouslyFormattedCitation":"(Riegler, 2023)"},"properties":{"noteIndex":0},"schema":"https://github.com/citation-style-language/schema/raw/master/csl-citation.json"}</w:instrText>
      </w:r>
      <w:r w:rsidRPr="008A353E">
        <w:rPr>
          <w:rFonts w:ascii="Arial" w:hAnsi="Arial" w:cs="Arial"/>
        </w:rPr>
        <w:fldChar w:fldCharType="separate"/>
      </w:r>
      <w:r w:rsidRPr="008A353E">
        <w:rPr>
          <w:rFonts w:ascii="Arial" w:hAnsi="Arial" w:cs="Arial"/>
          <w:noProof/>
        </w:rPr>
        <w:t>(Riegler, 2023)</w:t>
      </w:r>
      <w:r w:rsidRPr="008A353E">
        <w:rPr>
          <w:rFonts w:ascii="Arial" w:hAnsi="Arial" w:cs="Arial"/>
        </w:rPr>
        <w:fldChar w:fldCharType="end"/>
      </w:r>
      <w:r w:rsidRPr="008A353E">
        <w:rPr>
          <w:rFonts w:ascii="Arial" w:hAnsi="Arial" w:cs="Arial"/>
        </w:rPr>
        <w:t>.</w:t>
      </w:r>
    </w:p>
    <w:p w14:paraId="02580C8D" w14:textId="77777777" w:rsidR="00B138AA" w:rsidRDefault="008A353E" w:rsidP="00B138AA">
      <w:pPr>
        <w:pStyle w:val="Body"/>
        <w:spacing w:before="240" w:after="0"/>
        <w:rPr>
          <w:rFonts w:ascii="Arial" w:hAnsi="Arial" w:cs="Arial"/>
          <w:lang w:val="en-ID" w:eastAsia="en-ID"/>
        </w:rPr>
      </w:pPr>
      <w:r w:rsidRPr="008A353E">
        <w:rPr>
          <w:rFonts w:ascii="Arial" w:hAnsi="Arial" w:cs="Arial"/>
          <w:lang w:val="en-ID" w:eastAsia="en-ID"/>
        </w:rPr>
        <w:t xml:space="preserve">Environmental, Social, and Governance (ESG) practices have been implemented across ASEAN, marked by the establishment of ESG-related regulations and policies aimed at promoting green economic growth through increased green investment, clean energy, and sustainable development. These efforts have significantly improved ESG practices in ASEAN’s industrial sectors (Phan, 2024). However, sustainable banking in ASEAN faces </w:t>
      </w:r>
      <w:r w:rsidRPr="008A353E">
        <w:rPr>
          <w:rFonts w:ascii="Arial" w:hAnsi="Arial" w:cs="Arial"/>
          <w:lang w:val="en-ID" w:eastAsia="en-ID"/>
        </w:rPr>
        <w:lastRenderedPageBreak/>
        <w:t xml:space="preserve">challenges in harmonizing policies among member countries. As a region experiencing rapid economic growth, ASEAN is under pressure to implement sustainable business practices to remain competitive in the global market while minimizing negative environmental impacts. In Indonesia, sustainable banking practices are outlined in Financial Services Authority Regulation No. 51/POJK.03/2017 concerning the implementation of sustainable finance for financial institutions, issuers, and public companies. The banking sector plays a leading role in the global market and holds a key position in driving sustainable development </w:t>
      </w:r>
      <w:r w:rsidRPr="008A353E">
        <w:rPr>
          <w:rFonts w:ascii="Arial" w:hAnsi="Arial" w:cs="Arial"/>
        </w:rPr>
        <w:fldChar w:fldCharType="begin" w:fldLock="1"/>
      </w:r>
      <w:r w:rsidRPr="008A353E">
        <w:rPr>
          <w:rFonts w:ascii="Arial" w:hAnsi="Arial" w:cs="Arial"/>
        </w:rPr>
        <w:instrText>ADDIN CSL_CITATION {"citationItems":[{"id":"ITEM-1","itemData":{"author":[{"dropping-particle":"","family":"Mia","given":"Md Shahin","non-dropping-particle":"","parse-names":false,"suffix":""},{"dropping-particle":"","family":"Rahman","given":"SM Mahbubur","non-dropping-particle":"","parse-names":false,"suffix":""},{"dropping-particle":"","family":"Alom","given":"Shahedin","non-dropping-particle":"","parse-names":false,"suffix":""},{"dropping-particle":"","family":"Ahmed","given":"Ferdoushi","non-dropping-particle":"","parse-names":false,"suffix":""},{"dropping-particle":"","family":"Longpichai","given":"Onanong","non-dropping-particle":"","parse-names":false,"suffix":""}],"container-title":"International Journal of Education, Business and Economics Research (IJEBER)","id":"ITEM-1","issue":"5","issued":{"date-parts":[["2022"]]},"page":"23-33","title":"An Insight On Green Banking Practices In Bangladesh: A study On Commercial Banks","type":"article-journal","volume":"2"},"uris":["http://www.mendeley.com/documents/?uuid=4b5fc9e8-0fa3-445d-a1b3-89f370c9ac25"]}],"mendeley":{"formattedCitation":"(Mia, Rahman, Alom, Ahmed, &amp; Longpichai, 2022)","plainTextFormattedCitation":"(Mia, Rahman, Alom, Ahmed, &amp; Longpichai, 2022)","previouslyFormattedCitation":"(Mia, Rahman, Alom, Ahmed, &amp; Longpichai, 2022)"},"properties":{"noteIndex":0},"schema":"https://github.com/citation-style-language/schema/raw/master/csl-citation.json"}</w:instrText>
      </w:r>
      <w:r w:rsidRPr="008A353E">
        <w:rPr>
          <w:rFonts w:ascii="Arial" w:hAnsi="Arial" w:cs="Arial"/>
        </w:rPr>
        <w:fldChar w:fldCharType="separate"/>
      </w:r>
      <w:r w:rsidRPr="008A353E">
        <w:rPr>
          <w:rFonts w:ascii="Arial" w:hAnsi="Arial" w:cs="Arial"/>
          <w:noProof/>
        </w:rPr>
        <w:t>(Mia, Rahman, Alom, Ahmed, &amp; Longpichai, 2022)</w:t>
      </w:r>
      <w:r w:rsidRPr="008A353E">
        <w:rPr>
          <w:rFonts w:ascii="Arial" w:hAnsi="Arial" w:cs="Arial"/>
        </w:rPr>
        <w:fldChar w:fldCharType="end"/>
      </w:r>
      <w:r w:rsidRPr="008A353E">
        <w:rPr>
          <w:rFonts w:ascii="Arial" w:hAnsi="Arial" w:cs="Arial"/>
          <w:lang w:val="en-ID" w:eastAsia="en-ID"/>
        </w:rPr>
        <w:t xml:space="preserve">. According to </w:t>
      </w:r>
      <w:r w:rsidRPr="008A353E">
        <w:rPr>
          <w:rFonts w:ascii="Arial" w:hAnsi="Arial" w:cs="Arial"/>
          <w:noProof/>
        </w:rPr>
        <w:t xml:space="preserve">Kumar, </w:t>
      </w:r>
      <w:r w:rsidRPr="008A353E">
        <w:rPr>
          <w:rFonts w:ascii="Arial" w:hAnsi="Arial" w:cs="Arial"/>
        </w:rPr>
        <w:fldChar w:fldCharType="begin" w:fldLock="1"/>
      </w:r>
      <w:r w:rsidRPr="008A353E">
        <w:rPr>
          <w:rFonts w:ascii="Arial" w:hAnsi="Arial" w:cs="Arial"/>
        </w:rPr>
        <w:instrText>ADDIN CSL_CITATION {"citationItems":[{"id":"ITEM-1","itemData":{"author":[{"dropping-particle":"","family":"Kumar","given":"Sumit","non-dropping-particle":"","parse-names":false,"suffix":""}],"container-title":"Academy of Accounting and Financial Studies Journal","id":"ITEM-1","issue":"4","issued":{"date-parts":[["2022"]]},"page":"1-11","title":"Green Financing Initiative in India: Current State and Path Forward","type":"article-journal","volume":"26"},"uris":["http://www.mendeley.com/documents/?uuid=f870193d-a680-3120-bd6a-b4c73c8532da"]}],"mendeley":{"formattedCitation":"(Kumar, 2022)","manualFormatting":"(2022)","plainTextFormattedCitation":"(Kumar, 2022)","previouslyFormattedCitation":"(Kumar, 2022)"},"properties":{"noteIndex":0},"schema":"https://github.com/citation-style-language/schema/raw/master/csl-citation.json"}</w:instrText>
      </w:r>
      <w:r w:rsidRPr="008A353E">
        <w:rPr>
          <w:rFonts w:ascii="Arial" w:hAnsi="Arial" w:cs="Arial"/>
        </w:rPr>
        <w:fldChar w:fldCharType="separate"/>
      </w:r>
      <w:r w:rsidRPr="008A353E">
        <w:rPr>
          <w:rFonts w:ascii="Arial" w:hAnsi="Arial" w:cs="Arial"/>
          <w:noProof/>
        </w:rPr>
        <w:t>(2022)</w:t>
      </w:r>
      <w:r w:rsidRPr="008A353E">
        <w:rPr>
          <w:rFonts w:ascii="Arial" w:hAnsi="Arial" w:cs="Arial"/>
        </w:rPr>
        <w:fldChar w:fldCharType="end"/>
      </w:r>
      <w:r w:rsidRPr="008A353E">
        <w:rPr>
          <w:rFonts w:ascii="Arial" w:hAnsi="Arial" w:cs="Arial"/>
          <w:lang w:val="en-ID" w:eastAsia="en-ID"/>
        </w:rPr>
        <w:t xml:space="preserve"> banks play an essential role in directly interacting with customers in managing assets, investment planning, and business </w:t>
      </w:r>
      <w:proofErr w:type="spellStart"/>
      <w:r w:rsidRPr="008A353E">
        <w:rPr>
          <w:rFonts w:ascii="Arial" w:hAnsi="Arial" w:cs="Arial"/>
          <w:lang w:val="en-ID" w:eastAsia="en-ID"/>
        </w:rPr>
        <w:t>behavior</w:t>
      </w:r>
      <w:proofErr w:type="spellEnd"/>
      <w:r w:rsidRPr="008A353E">
        <w:rPr>
          <w:rFonts w:ascii="Arial" w:hAnsi="Arial" w:cs="Arial"/>
          <w:lang w:val="en-ID" w:eastAsia="en-ID"/>
        </w:rPr>
        <w:t xml:space="preserve">. Banks can also engage external stakeholders, such as customers, to adopt sustainability principles in their sectors through financial products specifically designed to support green initiatives </w:t>
      </w:r>
      <w:r w:rsidRPr="008A353E">
        <w:rPr>
          <w:rFonts w:ascii="Arial" w:hAnsi="Arial" w:cs="Arial"/>
        </w:rPr>
        <w:fldChar w:fldCharType="begin" w:fldLock="1"/>
      </w:r>
      <w:r w:rsidRPr="008A353E">
        <w:rPr>
          <w:rFonts w:ascii="Arial" w:hAnsi="Arial" w:cs="Arial"/>
        </w:rPr>
        <w:instrText>ADDIN CSL_CITATION {"citationItems":[{"id":"ITEM-1","itemData":{"URL":"https://finance.ec.europa.eu/sustainable-finance/overview-sustainable-finance_en","accessed":{"date-parts":[["2023","3","6"]]},"author":[{"dropping-particle":"","family":"EC","given":"","non-dropping-particle":"","parse-names":false,"suffix":""}],"container-title":"European Commission","id":"ITEM-1","issued":{"date-parts":[["2022"]]},"title":"Sustainable Finance","type":"webpage"},"uris":["http://www.mendeley.com/documents/?uuid=8bfef892-77e3-3614-a5b5-4087b9fc14a1"]}],"mendeley":{"formattedCitation":"(EC, 2022)","plainTextFormattedCitation":"(EC, 2022)","previouslyFormattedCitation":"(EC, 2022)"},"properties":{"noteIndex":0},"schema":"https://github.com/citation-style-language/schema/raw/master/csl-citation.json"}</w:instrText>
      </w:r>
      <w:r w:rsidRPr="008A353E">
        <w:rPr>
          <w:rFonts w:ascii="Arial" w:hAnsi="Arial" w:cs="Arial"/>
        </w:rPr>
        <w:fldChar w:fldCharType="separate"/>
      </w:r>
      <w:r w:rsidRPr="008A353E">
        <w:rPr>
          <w:rFonts w:ascii="Arial" w:hAnsi="Arial" w:cs="Arial"/>
          <w:noProof/>
        </w:rPr>
        <w:t>(EC, 2022)</w:t>
      </w:r>
      <w:r w:rsidRPr="008A353E">
        <w:rPr>
          <w:rFonts w:ascii="Arial" w:hAnsi="Arial" w:cs="Arial"/>
        </w:rPr>
        <w:fldChar w:fldCharType="end"/>
      </w:r>
      <w:r w:rsidRPr="008A353E">
        <w:rPr>
          <w:rFonts w:ascii="Arial" w:hAnsi="Arial" w:cs="Arial"/>
          <w:lang w:val="en-ID" w:eastAsia="en-ID"/>
        </w:rPr>
        <w:t>. This study focuses on three aspects of sustainable banking initiatives: green credit, green CSR, and digital financial inclusion.</w:t>
      </w:r>
    </w:p>
    <w:p w14:paraId="2C69EE92" w14:textId="77777777" w:rsidR="00B138AA" w:rsidRDefault="008A353E" w:rsidP="00B138AA">
      <w:pPr>
        <w:pStyle w:val="Body"/>
        <w:spacing w:before="240" w:after="0"/>
        <w:rPr>
          <w:rFonts w:ascii="Arial" w:hAnsi="Arial" w:cs="Arial"/>
          <w:lang w:val="en-ID" w:eastAsia="en-ID"/>
        </w:rPr>
      </w:pPr>
      <w:r w:rsidRPr="008A353E">
        <w:rPr>
          <w:rFonts w:ascii="Arial" w:hAnsi="Arial" w:cs="Arial"/>
          <w:lang w:val="en-ID" w:eastAsia="en-ID"/>
        </w:rPr>
        <w:t xml:space="preserve">Green credit refers to banking financial products used to fund environmentally friendly projects. In Indonesia, sustainable finance is regulated by the government through OJK Regulation No. 60/POJK.04/2017 on the issuance and requirements for environmentally oriented debt securities. The practice of sustainable credit presents challenges for some banks due to high initial costs. However, OJK provides incentives for banks that adopt sustainable credit practices, such as tax relief or access to additional funding. Sustainable credit practices align with stakeholder responsibility by enhancing reputation and stakeholder trust, especially among environmentally conscious investors and the public, while also reducing legal risks. In line with </w:t>
      </w:r>
      <w:r w:rsidRPr="008A353E">
        <w:rPr>
          <w:rFonts w:ascii="Arial" w:hAnsi="Arial" w:cs="Arial"/>
          <w:noProof/>
        </w:rPr>
        <w:t>Xi et al.,</w:t>
      </w:r>
      <w:r w:rsidRPr="008A353E">
        <w:rPr>
          <w:rFonts w:ascii="Arial" w:hAnsi="Arial" w:cs="Arial"/>
        </w:rPr>
        <w:fldChar w:fldCharType="begin" w:fldLock="1"/>
      </w:r>
      <w:r w:rsidRPr="008A353E">
        <w:rPr>
          <w:rFonts w:ascii="Arial" w:hAnsi="Arial" w:cs="Arial"/>
        </w:rPr>
        <w:instrText>ADDIN CSL_CITATION {"citationItems":[{"id":"ITEM-1","itemData":{"DOI":"10.1007/s11356-021-15646-z","ISBN":"1135602115","ISSN":"16147499","PMID":"34374016","abstract":"The article combines green credit and the performance of listed banks in a theoretical and empirical analysis to explore the intrinsic correlation between the two and find the intrinsic motivation for banks to implement green credit. The article first reviews the current status of green credit research and theories related to green development in China and other countries and then analyzes the dynamics of green credit development and value creation, as well as the mechanisms by which green credit improves the financial performance of listed banks. Finally, the article explores the impact of green credit on the financial performance of listed banks through empirical analysis. Through a panel data model, this paper analyzes data related to 19 listed banks in China from 2008 to 2017 to investigate the impact of green credit on the financial performance of listed banks. This study has shown that the green credit ratio, as an indicator of the amount of green credit implemented by listed banks, will positively impact financial performance. But the impact of the current period and the one-period lag is more significant, while the effect of the two-period lag is not significant. The second major finding was that when green reputation is used as an indicator to measure the quality of green credit implementation of listed banks, listed banks’ financial performance can be significantly improved. Besides, this study has also found that green credit implementation generally has different impacts on different types of banks.","author":[{"dropping-particle":"","family":"Xi","given":"Bin","non-dropping-particle":"","parse-names":false,"suffix":""},{"dropping-particle":"","family":"Wang","given":"Yaran","non-dropping-particle":"","parse-names":false,"suffix":""},{"dropping-particle":"","family":"Yang","given":"Mingqian","non-dropping-particle":"","parse-names":false,"suffix":""}],"container-title":"Environmental Science and Pollution Research","id":"ITEM-1","issue":"2","issued":{"date-parts":[["2022"]]},"page":"2401-2419","publisher":"Environmental Science and Pollution Research","title":"Green Credit, Green reputation, and Corporate Financial Performance: Evidence rom China","type":"article-journal","volume":"29"},"uris":["http://www.mendeley.com/documents/?uuid=3b88ab8d-c525-4018-be85-bea20bdfe229"]}],"mendeley":{"formattedCitation":"(Xi, Wang, &amp; Yang, 2022)","manualFormatting":"( 2022)","plainTextFormattedCitation":"(Xi, Wang, &amp; Yang, 2022)","previouslyFormattedCitation":"(Xi, Wang, &amp; Yang, 2022)"},"properties":{"noteIndex":0},"schema":"https://github.com/citation-style-language/schema/raw/master/csl-citation.json"}</w:instrText>
      </w:r>
      <w:r w:rsidRPr="008A353E">
        <w:rPr>
          <w:rFonts w:ascii="Arial" w:hAnsi="Arial" w:cs="Arial"/>
        </w:rPr>
        <w:fldChar w:fldCharType="separate"/>
      </w:r>
      <w:r w:rsidRPr="008A353E">
        <w:rPr>
          <w:rFonts w:ascii="Arial" w:hAnsi="Arial" w:cs="Arial"/>
          <w:noProof/>
        </w:rPr>
        <w:t>( 2022)</w:t>
      </w:r>
      <w:r w:rsidRPr="008A353E">
        <w:rPr>
          <w:rFonts w:ascii="Arial" w:hAnsi="Arial" w:cs="Arial"/>
        </w:rPr>
        <w:fldChar w:fldCharType="end"/>
      </w:r>
      <w:r w:rsidRPr="008A353E">
        <w:rPr>
          <w:rFonts w:ascii="Arial" w:hAnsi="Arial" w:cs="Arial"/>
        </w:rPr>
        <w:t xml:space="preserve">, </w:t>
      </w:r>
      <w:r w:rsidRPr="008A353E">
        <w:rPr>
          <w:rFonts w:ascii="Arial" w:hAnsi="Arial" w:cs="Arial"/>
          <w:lang w:val="en-ID" w:eastAsia="en-ID"/>
        </w:rPr>
        <w:t xml:space="preserve">sustainable business practices can create long-term value for companies, which in turn positively impacts financial performance. Additionally, banks implementing sustainable credit practices gain legitimacy from both society and regulators by supporting environmentally friendly and sustainable projects, demonstrating that banks aim not only for profit but also for positive environmental contributions, thereby improving their reputation. According to </w:t>
      </w:r>
      <w:r w:rsidRPr="008A353E">
        <w:rPr>
          <w:rFonts w:ascii="Arial" w:hAnsi="Arial" w:cs="Arial"/>
          <w:iCs/>
          <w:noProof/>
        </w:rPr>
        <w:t>Fitri et al.,</w:t>
      </w:r>
      <w:r w:rsidRPr="008A353E">
        <w:rPr>
          <w:rFonts w:ascii="Arial" w:hAnsi="Arial" w:cs="Arial"/>
          <w:iCs/>
        </w:rPr>
        <w:fldChar w:fldCharType="begin" w:fldLock="1"/>
      </w:r>
      <w:r w:rsidRPr="008A353E">
        <w:rPr>
          <w:rFonts w:ascii="Arial" w:hAnsi="Arial" w:cs="Arial"/>
          <w:iCs/>
        </w:rPr>
        <w:instrText>ADDIN CSL_CITATION {"citationItems":[{"id":"ITEM-1","itemData":{"DOI":"10.26905/jkdp.v27i3.10656","author":[{"dropping-particle":"","family":"Fitri","given":"Maulana","non-dropping-particle":"","parse-names":false,"suffix":""},{"dropping-particle":"","family":"Nur","given":"Agustin","non-dropping-particle":"","parse-names":false,"suffix":""},{"dropping-particle":"","family":"Saraswati","given":"Erwin","non-dropping-particle":"","parse-names":false,"suffix":""},{"dropping-particle":"","family":"Prastiwi","given":"Arum","non-dropping-particle":"","parse-names":false,"suffix":""}],"container-title":"Jurnal Keuangan dan Perbankan","id":"ITEM-1","issue":"3","issued":{"date-parts":[["2023"]]},"page":"348-359","title":"Digital Technology and CSR Disclosure on Firm Value Moderated by Financial Flexibility and Firm Size","type":"article-journal","volume":"27"},"uris":["http://www.mendeley.com/documents/?uuid=ad7f032b-d3f8-420b-a759-2d637a6c79d5"]}],"mendeley":{"formattedCitation":"(Fitri, Nur, Saraswati, &amp; Prastiwi, 2023)","manualFormatting":"(2023)","plainTextFormattedCitation":"(Fitri, Nur, Saraswati, &amp; Prastiwi, 2023)","previouslyFormattedCitation":"(Fitri, Nur, Saraswati, &amp; Prastiwi, 2023)"},"properties":{"noteIndex":0},"schema":"https://github.com/citation-style-language/schema/raw/master/csl-citation.json"}</w:instrText>
      </w:r>
      <w:r w:rsidRPr="008A353E">
        <w:rPr>
          <w:rFonts w:ascii="Arial" w:hAnsi="Arial" w:cs="Arial"/>
          <w:iCs/>
        </w:rPr>
        <w:fldChar w:fldCharType="separate"/>
      </w:r>
      <w:r w:rsidRPr="008A353E">
        <w:rPr>
          <w:rFonts w:ascii="Arial" w:hAnsi="Arial" w:cs="Arial"/>
          <w:iCs/>
          <w:noProof/>
        </w:rPr>
        <w:t>(2023)</w:t>
      </w:r>
      <w:r w:rsidRPr="008A353E">
        <w:rPr>
          <w:rFonts w:ascii="Arial" w:hAnsi="Arial" w:cs="Arial"/>
          <w:iCs/>
        </w:rPr>
        <w:fldChar w:fldCharType="end"/>
      </w:r>
      <w:r w:rsidRPr="008A353E">
        <w:rPr>
          <w:rFonts w:ascii="Arial" w:hAnsi="Arial" w:cs="Arial"/>
        </w:rPr>
        <w:t xml:space="preserve">, </w:t>
      </w:r>
      <w:r w:rsidRPr="008A353E">
        <w:rPr>
          <w:rFonts w:ascii="Arial" w:hAnsi="Arial" w:cs="Arial"/>
          <w:lang w:val="en-ID" w:eastAsia="en-ID"/>
        </w:rPr>
        <w:t>a bank’s improving reputation is often reflected in its stock market valuation.</w:t>
      </w:r>
    </w:p>
    <w:p w14:paraId="2EA7A8F6" w14:textId="77777777" w:rsidR="00B138AA" w:rsidRDefault="008A353E" w:rsidP="00B138AA">
      <w:pPr>
        <w:pStyle w:val="Body"/>
        <w:spacing w:before="240" w:after="0"/>
        <w:rPr>
          <w:rFonts w:ascii="Arial" w:hAnsi="Arial" w:cs="Arial"/>
          <w:lang w:val="en-ID" w:eastAsia="en-ID"/>
        </w:rPr>
      </w:pPr>
      <w:r w:rsidRPr="008A353E">
        <w:rPr>
          <w:rFonts w:ascii="Arial" w:hAnsi="Arial" w:cs="Arial"/>
          <w:lang w:val="en-ID" w:eastAsia="en-ID"/>
        </w:rPr>
        <w:t xml:space="preserve">Green Corporate Social Responsibility (CSR) represents a company’s ethical commitment to contribute to economic development while improving the quality of life for employees, local communities, and society at large. In Indonesia, sustainable CSR implementation is regulated by Law No. 40 of 2007 and Government Regulation No. 47 of 2012, which require companies to allocate a portion of profits to sustainability programs and report them annually. Sustainable CSR may reduce company profits </w:t>
      </w:r>
      <w:r w:rsidRPr="008A353E">
        <w:rPr>
          <w:rFonts w:ascii="Arial" w:hAnsi="Arial" w:cs="Arial"/>
          <w:color w:val="000000" w:themeColor="text1"/>
        </w:rPr>
        <w:fldChar w:fldCharType="begin" w:fldLock="1"/>
      </w:r>
      <w:r w:rsidRPr="008A353E">
        <w:rPr>
          <w:rFonts w:ascii="Arial" w:hAnsi="Arial" w:cs="Arial"/>
          <w:color w:val="000000" w:themeColor="text1"/>
        </w:rPr>
        <w:instrText>ADDIN CSL_CITATION {"citationItems":[{"id":"ITEM-1","itemData":{"author":[{"dropping-particle":"","family":"Wrespatiningsih","given":"Hayu Mas","non-dropping-particle":"","parse-names":false,"suffix":""},{"dropping-particle":"","family":"Mahyuni","given":"Luh Putu","non-dropping-particle":"","parse-names":false,"suffix":""}],"container-title":"Jurnal Akuntansi Berkelanjutan Indonesia","id":"ITEM-1","issue":"1","issued":{"date-parts":[["2022"]]},"page":"29-44","title":"Praktik Green Banking Dalam Memediasi Pengaruh Coorporate Social Responsibility Terhadap Kinerja Perusahaan Perusahaan Perbankan","type":"article-journal","volume":"5"},"uris":["http://www.mendeley.com/documents/?uuid=7744bcbc-e7d4-4130-b652-527c618fd248"]}],"mendeley":{"formattedCitation":"(Wrespatiningsih &amp; Mahyuni, 2022)","plainTextFormattedCitation":"(Wrespatiningsih &amp; Mahyuni, 2022)","previouslyFormattedCitation":"(Wrespatiningsih &amp; Mahyuni, 2022)"},"properties":{"noteIndex":0},"schema":"https://github.com/citation-style-language/schema/raw/master/csl-citation.json"}</w:instrText>
      </w:r>
      <w:r w:rsidRPr="008A353E">
        <w:rPr>
          <w:rFonts w:ascii="Arial" w:hAnsi="Arial" w:cs="Arial"/>
          <w:color w:val="000000" w:themeColor="text1"/>
        </w:rPr>
        <w:fldChar w:fldCharType="separate"/>
      </w:r>
      <w:r w:rsidRPr="008A353E">
        <w:rPr>
          <w:rFonts w:ascii="Arial" w:hAnsi="Arial" w:cs="Arial"/>
          <w:noProof/>
          <w:color w:val="000000" w:themeColor="text1"/>
        </w:rPr>
        <w:t>(Wrespatiningsih &amp; Mahyuni, 2022)</w:t>
      </w:r>
      <w:r w:rsidRPr="008A353E">
        <w:rPr>
          <w:rFonts w:ascii="Arial" w:hAnsi="Arial" w:cs="Arial"/>
          <w:color w:val="000000" w:themeColor="text1"/>
        </w:rPr>
        <w:fldChar w:fldCharType="end"/>
      </w:r>
      <w:r w:rsidRPr="008A353E">
        <w:rPr>
          <w:rFonts w:ascii="Arial" w:hAnsi="Arial" w:cs="Arial"/>
          <w:lang w:val="en-ID" w:eastAsia="en-ID"/>
        </w:rPr>
        <w:t xml:space="preserve">. However, according to </w:t>
      </w:r>
      <w:r w:rsidRPr="008A353E">
        <w:rPr>
          <w:rFonts w:ascii="Arial" w:hAnsi="Arial" w:cs="Arial"/>
          <w:color w:val="000000" w:themeColor="text1"/>
        </w:rPr>
        <w:fldChar w:fldCharType="begin" w:fldLock="1"/>
      </w:r>
      <w:r w:rsidRPr="008A353E">
        <w:rPr>
          <w:rFonts w:ascii="Arial" w:hAnsi="Arial" w:cs="Arial"/>
          <w:color w:val="000000" w:themeColor="text1"/>
        </w:rPr>
        <w:instrText>ADDIN CSL_CITATION {"citationItems":[{"id":"ITEM-1","itemData":{"author":[{"dropping-particle":"","family":"Zahra","given":"Azin","non-dropping-particle":"","parse-names":false,"suffix":""},{"dropping-particle":"","family":"Ayub","given":"Huma","non-dropping-particle":"","parse-names":false,"suffix":""},{"dropping-particle":"","family":"Abdullah","given":"","non-dropping-particle":"","parse-names":false,"suffix":""}],"container-title":"Journal of Accounting and Financein Emerging Economies","id":"ITEM-1","issue":"2","issued":{"date-parts":[["2022"]]},"page":"251-262","title":"Impact of Green Intellectual Capital on Sustainable Green Banking : Moderating Role of Competitive Pressure","type":"article-journal","volume":"8"},"uris":["http://www.mendeley.com/documents/?uuid=09fe9467-25fe-41de-b05c-c72e61c37e75"]}],"mendeley":{"formattedCitation":"(Zahra, Ayub, &amp; Abdullah, 2022)","plainTextFormattedCitation":"(Zahra, Ayub, &amp; Abdullah, 2022)","previouslyFormattedCitation":"(Zahra, Ayub, &amp; Abdullah, 2022)"},"properties":{"noteIndex":0},"schema":"https://github.com/citation-style-language/schema/raw/master/csl-citation.json"}</w:instrText>
      </w:r>
      <w:r w:rsidRPr="008A353E">
        <w:rPr>
          <w:rFonts w:ascii="Arial" w:hAnsi="Arial" w:cs="Arial"/>
          <w:color w:val="000000" w:themeColor="text1"/>
        </w:rPr>
        <w:fldChar w:fldCharType="separate"/>
      </w:r>
      <w:r w:rsidRPr="008A353E">
        <w:rPr>
          <w:rFonts w:ascii="Arial" w:hAnsi="Arial" w:cs="Arial"/>
          <w:noProof/>
          <w:color w:val="000000" w:themeColor="text1"/>
        </w:rPr>
        <w:t>(Zahra, Ayub, &amp; Abdullah, 2022)</w:t>
      </w:r>
      <w:r w:rsidRPr="008A353E">
        <w:rPr>
          <w:rFonts w:ascii="Arial" w:hAnsi="Arial" w:cs="Arial"/>
          <w:color w:val="000000" w:themeColor="text1"/>
        </w:rPr>
        <w:fldChar w:fldCharType="end"/>
      </w:r>
      <w:r w:rsidRPr="008A353E">
        <w:rPr>
          <w:rFonts w:ascii="Arial" w:hAnsi="Arial" w:cs="Arial"/>
          <w:lang w:val="en-ID" w:eastAsia="en-ID"/>
        </w:rPr>
        <w:t xml:space="preserve">, sustainable CSR can be a key success factor for banks in becoming more competitive in the business world, while also encouraging environmentally responsible </w:t>
      </w:r>
      <w:proofErr w:type="spellStart"/>
      <w:r w:rsidRPr="008A353E">
        <w:rPr>
          <w:rFonts w:ascii="Arial" w:hAnsi="Arial" w:cs="Arial"/>
          <w:lang w:val="en-ID" w:eastAsia="en-ID"/>
        </w:rPr>
        <w:t>behavior</w:t>
      </w:r>
      <w:proofErr w:type="spellEnd"/>
      <w:r w:rsidRPr="008A353E">
        <w:rPr>
          <w:rFonts w:ascii="Arial" w:hAnsi="Arial" w:cs="Arial"/>
          <w:lang w:val="en-ID" w:eastAsia="en-ID"/>
        </w:rPr>
        <w:t xml:space="preserve"> among human resources. It also enhances the bank's long-term reputation, which can influence investment valuation and stock price performance.</w:t>
      </w:r>
    </w:p>
    <w:p w14:paraId="5886DCC5" w14:textId="18CA944A" w:rsidR="008A353E" w:rsidRPr="008A353E" w:rsidRDefault="008A353E" w:rsidP="00B138AA">
      <w:pPr>
        <w:pStyle w:val="Body"/>
        <w:spacing w:before="240" w:after="0"/>
        <w:rPr>
          <w:rFonts w:ascii="Arial" w:hAnsi="Arial" w:cs="Arial"/>
          <w:lang w:val="en-ID" w:eastAsia="en-ID"/>
        </w:rPr>
      </w:pPr>
      <w:r w:rsidRPr="008A353E">
        <w:rPr>
          <w:rFonts w:ascii="Arial" w:hAnsi="Arial" w:cs="Arial"/>
          <w:lang w:val="en-ID" w:eastAsia="en-ID"/>
        </w:rPr>
        <w:t xml:space="preserve">Digital financial inclusion serves as a technology-based banking service that promotes greater efficiency and effectiveness, aligning with the goals of the Sustainable Development Goals. Consistent with the findings of </w:t>
      </w:r>
      <w:r w:rsidRPr="008A353E">
        <w:rPr>
          <w:rFonts w:ascii="Arial" w:hAnsi="Arial" w:cs="Arial"/>
          <w:noProof/>
          <w:color w:val="000000" w:themeColor="text1"/>
        </w:rPr>
        <w:t xml:space="preserve">Malik &amp; Singh </w:t>
      </w:r>
      <w:r w:rsidRPr="008A353E">
        <w:rPr>
          <w:rFonts w:ascii="Arial" w:hAnsi="Arial" w:cs="Arial"/>
          <w:color w:val="000000" w:themeColor="text1"/>
        </w:rPr>
        <w:fldChar w:fldCharType="begin" w:fldLock="1"/>
      </w:r>
      <w:r w:rsidRPr="008A353E">
        <w:rPr>
          <w:rFonts w:ascii="Arial" w:hAnsi="Arial" w:cs="Arial"/>
          <w:color w:val="000000" w:themeColor="text1"/>
        </w:rPr>
        <w:instrText>ADDIN CSL_CITATION {"citationItems":[{"id":"ITEM-1","itemData":{"DOI":"10.1108/IJBM-04-2021-0133","author":[{"dropping-particle":"","family":"Malik","given":"Garima","non-dropping-particle":"","parse-names":false,"suffix":""},{"dropping-particle":"","family":"Singh","given":"Dharmendra","non-dropping-particle":"","parse-names":false,"suffix":""}],"container-title":"Internasional Journal of Bank Marketing","id":"ITEM-1","issue":"4","issued":{"date-parts":[["2022"]]},"page":"746-772","title":"Personality Matters : Does an Individual’s Personality Affect Adoption and Continued Use of Green banking Channels ?","type":"article-journal","volume":"40"},"uris":["http://www.mendeley.com/documents/?uuid=84c3045f-5d93-4727-ba36-261c65174354"]}],"mendeley":{"formattedCitation":"(Malik &amp; Singh, 2022)","manualFormatting":"(2022)","plainTextFormattedCitation":"(Malik &amp; Singh, 2022)","previouslyFormattedCitation":"(Malik &amp; Singh, 2022)"},"properties":{"noteIndex":0},"schema":"https://github.com/citation-style-language/schema/raw/master/csl-citation.json"}</w:instrText>
      </w:r>
      <w:r w:rsidRPr="008A353E">
        <w:rPr>
          <w:rFonts w:ascii="Arial" w:hAnsi="Arial" w:cs="Arial"/>
          <w:color w:val="000000" w:themeColor="text1"/>
        </w:rPr>
        <w:fldChar w:fldCharType="separate"/>
      </w:r>
      <w:r w:rsidRPr="008A353E">
        <w:rPr>
          <w:rFonts w:ascii="Arial" w:hAnsi="Arial" w:cs="Arial"/>
          <w:noProof/>
          <w:color w:val="000000" w:themeColor="text1"/>
        </w:rPr>
        <w:t>(2022)</w:t>
      </w:r>
      <w:r w:rsidRPr="008A353E">
        <w:rPr>
          <w:rFonts w:ascii="Arial" w:hAnsi="Arial" w:cs="Arial"/>
          <w:color w:val="000000" w:themeColor="text1"/>
        </w:rPr>
        <w:fldChar w:fldCharType="end"/>
      </w:r>
      <w:r w:rsidRPr="008A353E">
        <w:rPr>
          <w:rFonts w:ascii="Arial" w:hAnsi="Arial" w:cs="Arial"/>
          <w:color w:val="000000" w:themeColor="text1"/>
        </w:rPr>
        <w:t xml:space="preserve"> </w:t>
      </w:r>
      <w:r w:rsidRPr="008A353E">
        <w:rPr>
          <w:rFonts w:ascii="Arial" w:hAnsi="Arial" w:cs="Arial"/>
          <w:lang w:val="en-ID" w:eastAsia="en-ID"/>
        </w:rPr>
        <w:t>and</w:t>
      </w:r>
      <w:r w:rsidRPr="008A353E">
        <w:rPr>
          <w:rFonts w:ascii="Arial" w:hAnsi="Arial" w:cs="Arial"/>
          <w:color w:val="000000" w:themeColor="text1"/>
        </w:rPr>
        <w:t xml:space="preserve"> </w:t>
      </w:r>
      <w:r w:rsidRPr="008A353E">
        <w:rPr>
          <w:rFonts w:ascii="Arial" w:hAnsi="Arial" w:cs="Arial"/>
          <w:noProof/>
          <w:color w:val="000000" w:themeColor="text1"/>
        </w:rPr>
        <w:t xml:space="preserve">Kuntsman et al </w:t>
      </w:r>
      <w:r w:rsidRPr="008A353E">
        <w:rPr>
          <w:rFonts w:ascii="Arial" w:hAnsi="Arial" w:cs="Arial"/>
          <w:color w:val="000000" w:themeColor="text1"/>
        </w:rPr>
        <w:fldChar w:fldCharType="begin" w:fldLock="1"/>
      </w:r>
      <w:r w:rsidRPr="008A353E">
        <w:rPr>
          <w:rFonts w:ascii="Arial" w:hAnsi="Arial" w:cs="Arial"/>
          <w:color w:val="000000" w:themeColor="text1"/>
        </w:rPr>
        <w:instrText>ADDIN CSL_CITATION {"citationItems":[{"id":"ITEM-1","itemData":{"ISBN":"9780993342653","author":[{"dropping-particle":"","family":"Kuntsman","given":"Adi","non-dropping-particle":"","parse-names":false,"suffix":""},{"dropping-particle":"","family":"Attwood","given":"Samuel","non-dropping-particle":"","parse-names":false,"suffix":""},{"dropping-particle":"","family":"Bane","given":"Michael K","non-dropping-particle":"","parse-names":false,"suffix":""},{"dropping-particle":"","family":"Cookney","given":"Dany","non-dropping-particle":"","parse-names":false,"suffix":""},{"dropping-particle":"","family":"Diskin","given":"Khadijah","non-dropping-particle":"","parse-names":false,"suffix":""},{"dropping-particle":"","family":"Green","given":"Christopher","non-dropping-particle":"","parse-names":false,"suffix":""},{"dropping-particle":"","family":"Helm","given":"Hilde","non-dropping-particle":"","parse-names":false,"suffix":""},{"dropping-particle":"","family":"Lou","given":"Ting","non-dropping-particle":"","parse-names":false,"suffix":""},{"dropping-particle":"","family":"Price","given":"Liz","non-dropping-particle":"","parse-names":false,"suffix":""},{"dropping-particle":"","family":"Senior","given":"Beth","non-dropping-particle":"","parse-names":false,"suffix":""},{"dropping-particle":"","family":"Vargas","given":"Valeria","non-dropping-particle":"","parse-names":false,"suffix":""},{"dropping-particle":"","family":"Williams","given":"Georgia","non-dropping-particle":"","parse-names":false,"suffix":""}],"container-title":"Manchester Metropolitan University, U.K ","id":"ITEM-1","issue":"December","issued":{"date-parts":[["2022"]]},"publisher":"Manchester Metropolitan University, U.K.","title":"Do digital technologies help or harm the planet: decolonising and decarbonising our digital society","type":"chapter"},"uris":["http://www.mendeley.com/documents/?uuid=9f485e67-e0e6-4073-a80c-769c653eeef0"]}],"mendeley":{"formattedCitation":"(Kuntsman et al., 2022)","manualFormatting":"(2022)","plainTextFormattedCitation":"(Kuntsman et al., 2022)","previouslyFormattedCitation":"(Kuntsman et al., 2022)"},"properties":{"noteIndex":0},"schema":"https://github.com/citation-style-language/schema/raw/master/csl-citation.json"}</w:instrText>
      </w:r>
      <w:r w:rsidRPr="008A353E">
        <w:rPr>
          <w:rFonts w:ascii="Arial" w:hAnsi="Arial" w:cs="Arial"/>
          <w:color w:val="000000" w:themeColor="text1"/>
        </w:rPr>
        <w:fldChar w:fldCharType="separate"/>
      </w:r>
      <w:r w:rsidRPr="008A353E">
        <w:rPr>
          <w:rFonts w:ascii="Arial" w:hAnsi="Arial" w:cs="Arial"/>
          <w:noProof/>
          <w:color w:val="000000" w:themeColor="text1"/>
        </w:rPr>
        <w:t>(2022)</w:t>
      </w:r>
      <w:r w:rsidRPr="008A353E">
        <w:rPr>
          <w:rFonts w:ascii="Arial" w:hAnsi="Arial" w:cs="Arial"/>
          <w:color w:val="000000" w:themeColor="text1"/>
        </w:rPr>
        <w:fldChar w:fldCharType="end"/>
      </w:r>
      <w:r w:rsidRPr="008A353E">
        <w:rPr>
          <w:rFonts w:ascii="Arial" w:hAnsi="Arial" w:cs="Arial"/>
          <w:lang w:val="en-ID" w:eastAsia="en-ID"/>
        </w:rPr>
        <w:t xml:space="preserve">, the use of digital technology services can reduce paper waste and transportation usage. Digital financial inclusion in Indonesia is formally regulated under OJK Regulation No. 12/POJK.03/2018, which has been updated through POJK No. 21/2023 concerning digital banking services adapted to technological developments. Digital services can increase the number of accounts, which in turn leads to a rise in lending and overall profitability, thus strengthening bank stability </w:t>
      </w:r>
      <w:r w:rsidRPr="008A353E">
        <w:rPr>
          <w:rFonts w:ascii="Arial" w:hAnsi="Arial" w:cs="Arial"/>
          <w:color w:val="000000" w:themeColor="text1"/>
        </w:rPr>
        <w:fldChar w:fldCharType="begin" w:fldLock="1"/>
      </w:r>
      <w:r w:rsidRPr="008A353E">
        <w:rPr>
          <w:rFonts w:ascii="Arial" w:hAnsi="Arial" w:cs="Arial"/>
          <w:color w:val="000000" w:themeColor="text1"/>
        </w:rPr>
        <w:instrText>ADDIN CSL_CITATION {"citationItems":[{"id":"ITEM-1","itemData":{"DOI":"10.1080/23322039.2022.2040126","ISSN":"23322039","abstract":"After the recent global financial crisis of 2008, the attention of researchers and politicians has focused on both financial inclusion and bank stability. However, we still know little of how the former impacts the stability of financial services providers. This paper focuses on financial inclusion and its influence on bank stability. By using a sample of 102 banks in six countries of ASEAN over the period 2008–19, we achieve the result that the index of financial inclusion has a positive relationship with Zscore and a negative effect on the standard deviation of deposit growth rates and nonperforming loan ratio, which also means that higher level of financial inclusion contributes to greater bank stability. Or, to make it clearer, in an inclusive financial sector, those banks can increase more stable customer deposits and safe loans by providing banking services. The indices calculated for each dimension of financial inclusion, including accessibility, availability, and usage of the formal bank system, also have the same results. Our findings have important policy implications that ASEAN policymakers do not have to face a tradeoff between focusing on reforms to promote financial inclusion and focusing on further improvements in bank stability.","author":[{"dropping-particle":"","family":"Nguyen","given":"Trung Duc","non-dropping-particle":"","parse-names":false,"suffix":""},{"dropping-particle":"","family":"Du","given":"Quynh Lan Thi","non-dropping-particle":"","parse-names":false,"suffix":""}],"container-title":"Cogent Economics and Finance","id":"ITEM-1","issue":"1","issued":{"date-parts":[["2022"]]},"publisher":"Cogent","title":"The Effect of Financial Inclusion on Bank Stability: Evidence from ASEAN","type":"article-journal","volume":"10"},"uris":["http://www.mendeley.com/documents/?uuid=36b8a89f-572f-44cd-b183-f85448521013"]}],"mendeley":{"formattedCitation":"(Nguyen &amp; Du, 2022)","plainTextFormattedCitation":"(Nguyen &amp; Du, 2022)","previouslyFormattedCitation":"(Nguyen &amp; Du, 2022)"},"properties":{"noteIndex":0},"schema":"https://github.com/citation-style-language/schema/raw/master/csl-citation.json"}</w:instrText>
      </w:r>
      <w:r w:rsidRPr="008A353E">
        <w:rPr>
          <w:rFonts w:ascii="Arial" w:hAnsi="Arial" w:cs="Arial"/>
          <w:color w:val="000000" w:themeColor="text1"/>
        </w:rPr>
        <w:fldChar w:fldCharType="separate"/>
      </w:r>
      <w:r w:rsidRPr="008A353E">
        <w:rPr>
          <w:rFonts w:ascii="Arial" w:hAnsi="Arial" w:cs="Arial"/>
          <w:noProof/>
          <w:color w:val="000000" w:themeColor="text1"/>
        </w:rPr>
        <w:t>(Nguyen &amp; Du, 2022)</w:t>
      </w:r>
      <w:r w:rsidRPr="008A353E">
        <w:rPr>
          <w:rFonts w:ascii="Arial" w:hAnsi="Arial" w:cs="Arial"/>
          <w:color w:val="000000" w:themeColor="text1"/>
        </w:rPr>
        <w:fldChar w:fldCharType="end"/>
      </w:r>
      <w:r w:rsidRPr="008A353E">
        <w:rPr>
          <w:rFonts w:ascii="Arial" w:hAnsi="Arial" w:cs="Arial"/>
          <w:lang w:val="en-ID" w:eastAsia="en-ID"/>
        </w:rPr>
        <w:t xml:space="preserve">. A greater number of accounts increases bank revenue through service fees. In addition to improving profits, it enhances customer satisfaction, which ultimately strengthens the bank’s position and supports stock price </w:t>
      </w:r>
      <w:r w:rsidRPr="008A353E">
        <w:rPr>
          <w:rFonts w:ascii="Arial" w:hAnsi="Arial" w:cs="Arial"/>
          <w:lang w:val="en-ID" w:eastAsia="en-ID"/>
        </w:rPr>
        <w:lastRenderedPageBreak/>
        <w:t>growth. The combination of these sustainable business aspects presents an interesting topic for research, particularly in understanding their impact on bank performance.</w:t>
      </w:r>
    </w:p>
    <w:p w14:paraId="6121EFD9" w14:textId="77777777" w:rsidR="008A353E" w:rsidRDefault="008A353E" w:rsidP="00441B6F">
      <w:pPr>
        <w:pStyle w:val="Body"/>
        <w:spacing w:after="0"/>
        <w:rPr>
          <w:rFonts w:ascii="Arial" w:hAnsi="Arial" w:cs="Arial"/>
        </w:rPr>
      </w:pPr>
    </w:p>
    <w:p w14:paraId="096A5B37" w14:textId="77777777" w:rsidR="00790ADA" w:rsidRPr="00FB3A86" w:rsidRDefault="00790ADA" w:rsidP="00441B6F">
      <w:pPr>
        <w:pStyle w:val="Body"/>
        <w:spacing w:after="0"/>
        <w:rPr>
          <w:rFonts w:ascii="Arial" w:hAnsi="Arial" w:cs="Arial"/>
        </w:rPr>
      </w:pPr>
    </w:p>
    <w:p w14:paraId="58131638" w14:textId="77777777" w:rsidR="00B138AA" w:rsidRDefault="00902823" w:rsidP="00441B6F">
      <w:pPr>
        <w:pStyle w:val="AbstHead"/>
        <w:spacing w:after="0"/>
        <w:jc w:val="both"/>
        <w:rPr>
          <w:rFonts w:ascii="Arial" w:hAnsi="Arial" w:cs="Arial"/>
        </w:rPr>
      </w:pPr>
      <w:r>
        <w:rPr>
          <w:rFonts w:ascii="Arial" w:hAnsi="Arial" w:cs="Arial"/>
        </w:rPr>
        <w:t>2. material</w:t>
      </w:r>
    </w:p>
    <w:p w14:paraId="312A9A8B" w14:textId="77777777" w:rsidR="00B138AA" w:rsidRPr="00B138AA" w:rsidRDefault="00B138AA" w:rsidP="00B138AA">
      <w:pPr>
        <w:rPr>
          <w:rFonts w:ascii="Arial" w:hAnsi="Arial" w:cs="Arial"/>
          <w:lang w:val="en-ID" w:eastAsia="en-ID"/>
        </w:rPr>
      </w:pPr>
      <w:r w:rsidRPr="00B138AA">
        <w:rPr>
          <w:rFonts w:ascii="Arial" w:hAnsi="Arial" w:cs="Arial"/>
          <w:b/>
          <w:bCs/>
          <w:lang w:val="en-ID" w:eastAsia="en-ID"/>
        </w:rPr>
        <w:t>Green credit</w:t>
      </w:r>
      <w:r w:rsidRPr="00B138AA">
        <w:rPr>
          <w:rFonts w:ascii="Arial" w:hAnsi="Arial" w:cs="Arial"/>
          <w:lang w:val="en-ID" w:eastAsia="en-ID"/>
        </w:rPr>
        <w:t xml:space="preserve"> </w:t>
      </w:r>
    </w:p>
    <w:p w14:paraId="4A779D56" w14:textId="77777777" w:rsidR="00B138AA" w:rsidRPr="00B138AA" w:rsidRDefault="00B138AA" w:rsidP="00B138AA">
      <w:pPr>
        <w:jc w:val="both"/>
        <w:rPr>
          <w:rFonts w:ascii="Arial" w:hAnsi="Arial" w:cs="Arial"/>
          <w:color w:val="000000" w:themeColor="text1"/>
          <w:lang w:val="en-ID" w:eastAsia="en-ID"/>
        </w:rPr>
      </w:pPr>
      <w:r w:rsidRPr="00B138AA">
        <w:rPr>
          <w:rFonts w:ascii="Arial" w:hAnsi="Arial" w:cs="Arial"/>
          <w:color w:val="000000" w:themeColor="text1"/>
          <w:lang w:val="en-ID" w:eastAsia="en-ID"/>
        </w:rPr>
        <w:t xml:space="preserve">Green credit is a financial product in the form of green financing that supports environmentally friendly projects, aiming not only to generate profits but also to provide positive impacts on the environment and society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{"citationItems":[{"id":"ITEM-1","itemData":{"DOI":"10.13140/RG.2.2.25342.25922","author":[{"dropping-particle":"","family":"Hinton","given":"Jennifer","non-dropping-particle":"","parse-names":false,"suffix":""}],"chapter-number":"Post Growt","container-title":"Centre for Environmental and Climate Science, Lund University, Sweden","id":"ITEM-1","issued":{"date-parts":[["2022"]]},"publisher-place":"Lund University, Sweden","title":"Limits to Profit? A Conceptual Framework for Understanding Profit and Sustainability","type":"article-journal","volume":"02"},"uris":["http://www.mendeley.com/documents/?uuid=3fe9f489-6106-4322-915e-6de166550a07"]}],"mendeley":{"formattedCitation":"(Hinton, 2022)","plainTextFormattedCitation":"(Hinton, 2022)","previouslyFormattedCitation":"(Hinton, 2022)"},"properties":{"noteIndex":0},"schema":"https://github.com/citation-style-language/schema/raw/master/csl-citation.json"}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(Hinton, 2022)</w:t>
      </w:r>
      <w:r w:rsidRPr="00B138AA">
        <w:rPr>
          <w:rFonts w:ascii="Arial" w:hAnsi="Arial" w:cs="Arial"/>
          <w:color w:val="000000" w:themeColor="text1"/>
        </w:rPr>
        <w:fldChar w:fldCharType="end"/>
      </w:r>
      <w:r w:rsidRPr="00B138AA">
        <w:rPr>
          <w:rFonts w:ascii="Arial" w:hAnsi="Arial" w:cs="Arial"/>
          <w:color w:val="000000" w:themeColor="text1"/>
          <w:lang w:val="en-ID" w:eastAsia="en-ID"/>
        </w:rPr>
        <w:t xml:space="preserve">. This type of credit is provided based on ESG (Environmental, Social, and Governance) principles and has a significant impact on bank performance. According to </w:t>
      </w:r>
      <w:r w:rsidRPr="00B138AA">
        <w:rPr>
          <w:rFonts w:ascii="Arial" w:hAnsi="Arial" w:cs="Arial"/>
          <w:noProof/>
          <w:color w:val="000000" w:themeColor="text1"/>
        </w:rPr>
        <w:t xml:space="preserve">Ozparlak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{"citationItems":[{"id":"ITEM-1","itemData":{"author":[{"dropping-particle":"","family":"Ozparlak","given":"Gercek","non-dropping-particle":"","parse-names":false,"suffix":""}],"id":"ITEM-1","issue":"June","issued":{"date-parts":[["2022"]]},"title":"Green Finance","type":"speech"},"uris":["http://www.mendeley.com/documents/?uuid=97491d12-2621-41f3-aeb7-94cd9ae5de23"]}],"mendeley":{"formattedCitation":"(Ozparlak, 2022)","manualFormatting":"(2022)","plainTextFormattedCitation":"(Ozparlak, 2022)","previouslyFormattedCitation":"(Ozparlak, 2022)"},"properties":{"noteIndex":0},"schema":"https://github.com/citation-style-language/schema/raw/master/csl-citation.json"}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(2022)</w:t>
      </w:r>
      <w:r w:rsidRPr="00B138AA">
        <w:rPr>
          <w:rFonts w:ascii="Arial" w:hAnsi="Arial" w:cs="Arial"/>
          <w:color w:val="000000" w:themeColor="text1"/>
        </w:rPr>
        <w:fldChar w:fldCharType="end"/>
      </w:r>
      <w:r w:rsidRPr="00B138AA">
        <w:rPr>
          <w:rFonts w:ascii="Arial" w:hAnsi="Arial" w:cs="Arial"/>
          <w:color w:val="000000" w:themeColor="text1"/>
          <w:lang w:val="en-ID" w:eastAsia="en-ID"/>
        </w:rPr>
        <w:t xml:space="preserve">, green credit with low interest rates can promote the development of environmentally friendly projects, while </w:t>
      </w:r>
      <w:r w:rsidRPr="00B138AA">
        <w:rPr>
          <w:rFonts w:ascii="Arial" w:hAnsi="Arial" w:cs="Arial"/>
          <w:noProof/>
          <w:color w:val="000000" w:themeColor="text1"/>
        </w:rPr>
        <w:t>Y. Lian et al.</w:t>
      </w:r>
      <w:r w:rsidRPr="00B138AA">
        <w:rPr>
          <w:rFonts w:ascii="Arial" w:hAnsi="Arial" w:cs="Arial"/>
          <w:color w:val="000000" w:themeColor="text1"/>
        </w:rPr>
        <w:t xml:space="preserve">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{"citationItems":[{"id":"ITEM-1","itemData":{"DOI":"https://doi.org/10.1016/j.jclepro.2022.131069","abstract":"As a major component of China's green finance system, the Chinese government is vigorously encouraging commercial banks to issue green credit. This study examines the impact of green credit on the financial performance of banks from the perspective of heterogeneous regional green development. Using unbalanced panel data for 34 Chinese commercial banks from 2007 to 2018, we empirically examine the impact of green credit issued by commercial banks on their financial performance using a fixed effects model. The results show that green credit improves commercial banks' financial performance, and this improvement is mainly derived from the positive effect of green credit on the rate of return on banks' interest-bearing assets, the level of green development can increase the economic benefits of green credit issued by banks, and higher green economic growth and greater support through government environmental policies imply a higher positive impact of green credit on the financial performance of banks. In conclusion, commercial banks should actively develop their green credit business, and the government should strengthen their green credit incentivizing policies to promote the coordinated development of green finance and a green economy. Introduction Since the 1990s, the global economy has gradually moved toward green, environmentally friendly, and sustainable development. From Agenda 21 adopted at the “Earth Summit” in 1992 to the Kyoto Protocol in 1997, as a supplement to the United Nations Framework Convention on Climate Change, and then to the Paris Agreement adopted in 2015, the importance of a green economy has been repeatedly highlighted. As huge amounts of capital are required for the development of a green economy, the concept of “green finance” has emerged. It is a requirement of green finance that the financial industry should pay attention to ecological protection in relation to investment, increase governance regarding environmental pollution, provide increased support for the development of environmentally friendly industries and innovative green technologies, and promote the sustainable development of the economy and coordinated ecological development by guiding the direction of capital investment (Gray, 2002; Weber, 2014) (Gray and R. Of Messiness, 2002; Weber, 2014). “Green credit system” which is an important element of the green financial system, includes policies, institutional arrangements, and practices that promote energy conservation …","author":[{"dropping-particle":"","family":"Lian","given":"Yonghui","non-dropping-particle":"","parse-names":false,"suffix":""},{"dropping-particle":"","family":"Gao","given":"Jieying","non-dropping-particle":"","parse-names":false,"suffix":""},{"dropping-particle":"","family":"Ye","given":"Tao","non-dropping-particle":"","parse-names":false,"suffix":""}],"container-title":"Journal of Cleaner Production","id":"ITEM-1","issued":{"date-parts":[["2022"]]},"title":"How does Green Credit affect the Financial Performance of Commercial Banks? Evidence from China","type":"article-journal","volume":"344"},"uris":["http://www.mendeley.com/documents/?uuid=91f34440-6d4f-3cc2-bdc3-ae2695564c1d"]}],"mendeley":{"formattedCitation":"(Lian, Gao, &amp; Ye, 2022)","manualFormatting":"(2022)","plainTextFormattedCitation":"(Lian, Gao, &amp; Ye, 2022)","previouslyFormattedCitation":"(Lian, Gao, &amp; Ye, 2022)"},"properties":{"noteIndex":0},"schema":"https://github.com/citation-style-language/schema/raw/master/csl-citation.json"}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(2022)</w:t>
      </w:r>
      <w:r w:rsidRPr="00B138AA">
        <w:rPr>
          <w:rFonts w:ascii="Arial" w:hAnsi="Arial" w:cs="Arial"/>
          <w:color w:val="000000" w:themeColor="text1"/>
        </w:rPr>
        <w:fldChar w:fldCharType="end"/>
      </w:r>
      <w:r w:rsidRPr="00B138AA">
        <w:rPr>
          <w:rFonts w:ascii="Arial" w:hAnsi="Arial" w:cs="Arial"/>
          <w:color w:val="000000" w:themeColor="text1"/>
          <w:lang w:val="en-ID" w:eastAsia="en-ID"/>
        </w:rPr>
        <w:t xml:space="preserve"> noted that interest income from green credit enhances broader credit development, thereby supporting bank performance. Interest income, as the main source of bank revenue, also contributes significantly to financial performance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{"citationItems":[{"id":"ITEM-1","itemData":{"ISSN":"22011323","abstract":"This research was conducted in order to determine the influence of Banking Intermediation, Assets Quality, Price Earning Ratio to Stock Prices and its impact on Corporate Value. The indicator of banking intermediation with Loans to Deposits Ratio (LDR), indicator of asset quality with Non-Performing Loan (NPL), stock price with closing price and corporate value measured by Price Book Value (PBV). The descriptive and verification methods with the quantitative approach will be used in this research. Secondary data sources are from the quarterly published financial statements of the Regional Development Banks of West Java and Banten Provinces for the period of 2012-2019 and multiple linear regression is used to analyse data. The study results state that LDR and PER had a partially positive and significant influence, except NPL which had a negative and significant influence on stock prices. Simultaneously LDR, NPL, and PER significantly influence stock prices, while stock prices have a significant impact on PBV.","author":[{"dropping-particle":"","family":"Buchory","given":"Herry Achmad","non-dropping-particle":"","parse-names":false,"suffix":""}],"container-title":"International Journal of Innovation, Creativity and Change","id":"ITEM-1","issue":"12","issued":{"date-parts":[["2020"]]},"page":"513-527","title":"Banking Intermediation, Asset Quality, Price Earning Ratio and Stock Prices and Their Impact on Corporate Value-Study at the Regional Development Bank of West Java and Banten Provinces in Indonesia","type":"article-journal","volume":"11"},"uris":["http://www.mendeley.com/documents/?uuid=7981ac74-5fc0-4288-bbaf-7bd34a977800"]}],"mendeley":{"formattedCitation":"(Buchory, 2020)","plainTextFormattedCitation":"(Buchory, 2020)","previouslyFormattedCitation":"(Buchory, 2020)"},"properties":{"noteIndex":0},"schema":"https://github.com/citation-style-language/schema/raw/master/csl-citation.json"}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(Buchory, 2020)</w:t>
      </w:r>
      <w:r w:rsidRPr="00B138AA">
        <w:rPr>
          <w:rFonts w:ascii="Arial" w:hAnsi="Arial" w:cs="Arial"/>
          <w:color w:val="000000" w:themeColor="text1"/>
        </w:rPr>
        <w:fldChar w:fldCharType="end"/>
      </w:r>
      <w:r w:rsidRPr="00B138AA">
        <w:rPr>
          <w:rFonts w:ascii="Arial" w:hAnsi="Arial" w:cs="Arial"/>
          <w:color w:val="000000" w:themeColor="text1"/>
          <w:lang w:val="en-ID" w:eastAsia="en-ID"/>
        </w:rPr>
        <w:t xml:space="preserve">. Moreover, sustainable credit serves as a business strategy that attracts investors, ultimately increasing firm value. Research on green credit has shown an effect on profitability as a variable of bank performance. </w:t>
      </w:r>
      <w:r w:rsidRPr="00B138AA">
        <w:rPr>
          <w:rFonts w:ascii="Arial" w:hAnsi="Arial" w:cs="Arial"/>
          <w:noProof/>
          <w:color w:val="000000" w:themeColor="text1"/>
        </w:rPr>
        <w:t xml:space="preserve">Danye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{"citationItems":[{"id":"ITEM-1","itemData":{"DOI":"10.1051/e3sconf/202021403008","ISSN":"22671242","abstract":"This paper reviews the literature on green credit, and has a further understanding of the basic concepts of green credit and profitability of commercial banks, as well as the development status of green credit in China in recent years. Based on empirical data analysis, supplemented by theoretical analysis, this paper makes an empirical analysis of the impact of green credit on the profitability of China's commercial banks. Finally, according to the results of the empirical analysis, the corresponding opinions and suggestions are given.","author":[{"dropping-particle":"","family":"Danye","given":"Huang","non-dropping-particle":"","parse-names":false,"suffix":""}],"container-title":"E3S Web of Conferences","id":"ITEM-1","issued":{"date-parts":[["2020"]]},"page":"1-5","title":"Research on the Impact of Green Credit on Profitability of Commercial Banks in China","type":"article-journal","volume":"214"},"uris":["http://www.mendeley.com/documents/?uuid=abf56da5-0027-4672-8a3a-9df7c5ebf591"]}],"mendeley":{"formattedCitation":"(Danye, 2020)","manualFormatting":"(2020)","plainTextFormattedCitation":"(Danye, 2020)","previouslyFormattedCitation":"(Danye, 2020)"},"properties":{"noteIndex":0},"schema":"https://github.com/citation-style-language/schema/raw/master/csl-citation.json"}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(2020)</w:t>
      </w:r>
      <w:r w:rsidRPr="00B138AA">
        <w:rPr>
          <w:rFonts w:ascii="Arial" w:hAnsi="Arial" w:cs="Arial"/>
          <w:color w:val="000000" w:themeColor="text1"/>
        </w:rPr>
        <w:fldChar w:fldCharType="end"/>
      </w:r>
      <w:r w:rsidRPr="00B138AA">
        <w:rPr>
          <w:rFonts w:ascii="Arial" w:hAnsi="Arial" w:cs="Arial"/>
          <w:color w:val="000000" w:themeColor="text1"/>
          <w:lang w:val="en-ID" w:eastAsia="en-ID"/>
        </w:rPr>
        <w:t xml:space="preserve">found that a higher green credit ratio improves Return on Assets (ROA). </w:t>
      </w:r>
      <w:r w:rsidRPr="00B138AA">
        <w:rPr>
          <w:rFonts w:ascii="Arial" w:hAnsi="Arial" w:cs="Arial"/>
          <w:noProof/>
          <w:color w:val="000000" w:themeColor="text1"/>
        </w:rPr>
        <w:t>Y. Lian et al.</w:t>
      </w:r>
      <w:r w:rsidRPr="00B138AA">
        <w:rPr>
          <w:rFonts w:ascii="Arial" w:hAnsi="Arial" w:cs="Arial"/>
          <w:color w:val="000000" w:themeColor="text1"/>
        </w:rPr>
        <w:t xml:space="preserve">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{"citationItems":[{"id":"ITEM-1","itemData":{"DOI":"https://doi.org/10.1016/j.jclepro.2022.131069","abstract":"As a major component of China's green finance system, the Chinese government is vigorously encouraging commercial banks to issue green credit. This study examines the impact of green credit on the financial performance of banks from the perspective of heterogeneous regional green development. Using unbalanced panel data for 34 Chinese commercial banks from 2007 to 2018, we empirically examine the impact of green credit issued by commercial banks on their financial performance using a fixed effects model. The results show that green credit improves commercial banks' financial performance, and this improvement is mainly derived from the positive effect of green credit on the rate of return on banks' interest-bearing assets, the level of green development can increase the economic benefits of green credit issued by banks, and higher green economic growth and greater support through government environmental policies imply a higher positive impact of green credit on the financial performance of banks. In conclusion, commercial banks should actively develop their green credit business, and the government should strengthen their green credit incentivizing policies to promote the coordinated development of green finance and a green economy. Introduction Since the 1990s, the global economy has gradually moved toward green, environmentally friendly, and sustainable development. From Agenda 21 adopted at the “Earth Summit” in 1992 to the Kyoto Protocol in 1997, as a supplement to the United Nations Framework Convention on Climate Change, and then to the Paris Agreement adopted in 2015, the importance of a green economy has been repeatedly highlighted. As huge amounts of capital are required for the development of a green economy, the concept of “green finance” has emerged. It is a requirement of green finance that the financial industry should pay attention to ecological protection in relation to investment, increase governance regarding environmental pollution, provide increased support for the development of environmentally friendly industries and innovative green technologies, and promote the sustainable development of the economy and coordinated ecological development by guiding the direction of capital investment (Gray, 2002; Weber, 2014) (Gray and R. Of Messiness, 2002; Weber, 2014). “Green credit system” which is an important element of the green financial system, includes policies, institutional arrangements, and practices that promote energy conservation …","author":[{"dropping-particle":"","family":"Lian","given":"Yonghui","non-dropping-particle":"","parse-names":false,"suffix":""},{"dropping-particle":"","family":"Gao","given":"Jieying","non-dropping-particle":"","parse-names":false,"suffix":""},{"dropping-particle":"","family":"Ye","given":"Tao","non-dropping-particle":"","parse-names":false,"suffix":""}],"container-title":"Journal of Cleaner Production","id":"ITEM-1","issued":{"date-parts":[["2022"]]},"title":"How does Green Credit affect the Financial Performance of Commercial Banks? Evidence from China","type":"article-journal","volume":"344"},"uris":["http://www.mendeley.com/documents/?uuid=91f34440-6d4f-3cc2-bdc3-ae2695564c1d"]}],"mendeley":{"formattedCitation":"(Lian et al., 2022)","manualFormatting":"(2022)","plainTextFormattedCitation":"(Lian et al., 2022)","previouslyFormattedCitation":"(Lian et al., 2022)"},"properties":{"noteIndex":0},"schema":"https://github.com/citation-style-language/schema/raw/master/csl-citation.json"}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(2022)</w:t>
      </w:r>
      <w:r w:rsidRPr="00B138AA">
        <w:rPr>
          <w:rFonts w:ascii="Arial" w:hAnsi="Arial" w:cs="Arial"/>
          <w:color w:val="000000" w:themeColor="text1"/>
        </w:rPr>
        <w:fldChar w:fldCharType="end"/>
      </w:r>
      <w:r w:rsidRPr="00B138AA">
        <w:rPr>
          <w:rFonts w:ascii="Arial" w:hAnsi="Arial" w:cs="Arial"/>
          <w:color w:val="000000" w:themeColor="text1"/>
          <w:lang w:val="en-ID" w:eastAsia="en-ID"/>
        </w:rPr>
        <w:t xml:space="preserve"> also found that green credit significantly enhances bank financial performance, particularly through increased ROA. </w:t>
      </w:r>
      <w:r w:rsidRPr="00B138AA">
        <w:rPr>
          <w:rFonts w:ascii="Arial" w:hAnsi="Arial" w:cs="Arial"/>
          <w:noProof/>
          <w:color w:val="000000" w:themeColor="text1"/>
        </w:rPr>
        <w:t>Zhang</w:t>
      </w:r>
      <w:r w:rsidRPr="00B138AA">
        <w:rPr>
          <w:rFonts w:ascii="Arial" w:hAnsi="Arial" w:cs="Arial"/>
          <w:color w:val="000000" w:themeColor="text1"/>
        </w:rPr>
        <w:t xml:space="preserve">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{"citationItems":[{"id":"ITEM-1","itemData":{"DOI":"10.2991/meess-18.2018.56","abstract":"Green environmental protection is an important means to realize the economic sustainable development in recent years. The green financial wind is quietly rising. To carry out the green credit will become the focus of the credit business development in future. This study uses the financial data of Industrial Bank from 2005 to 2017, empirically testing the impact of commercial bank green credit on financial performance by analyzing the return on assets. The conclusion shows that green credit has a positive impact on bank's financial performance, providing a basis for the continued development of green credit. In view of the fact that the current products of this business are not rich enough and the management system is not perfect, this study puts forward two reasonable suggestions: innovative green credit products to meet market demand; improve the internal organization structure of banks and the level of green credit management.","author":[{"dropping-particle":"","family":"Zhang","given":"Yue","non-dropping-particle":"","parse-names":false,"suffix":""}],"container-title":"Atlantis Press","id":"ITEM-1","issue":"May 2006","issued":{"date-parts":[["2018"]]},"page":"295-300","title":"Green Credit Rises the Financial Performance of Commercial Bank--A Case Study on Industrial Bank","type":"article-journal","volume":"236"},"uris":["http://www.mendeley.com/documents/?uuid=8bd67050-ccaf-48e3-bddf-d70f25973cd4"]}],"mendeley":{"formattedCitation":"(Zhang, 2018)","manualFormatting":"(2018)","plainTextFormattedCitation":"(Zhang, 2018)","previouslyFormattedCitation":"(Zhang, 2018)"},"properties":{"noteIndex":0},"schema":"https://github.com/citation-style-language/schema/raw/master/csl-citation.json"}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(2018)</w:t>
      </w:r>
      <w:r w:rsidRPr="00B138AA">
        <w:rPr>
          <w:rFonts w:ascii="Arial" w:hAnsi="Arial" w:cs="Arial"/>
          <w:color w:val="000000" w:themeColor="text1"/>
        </w:rPr>
        <w:fldChar w:fldCharType="end"/>
      </w:r>
      <w:r w:rsidRPr="00B138AA">
        <w:rPr>
          <w:rFonts w:ascii="Arial" w:hAnsi="Arial" w:cs="Arial"/>
          <w:color w:val="000000" w:themeColor="text1"/>
        </w:rPr>
        <w:t xml:space="preserve"> </w:t>
      </w:r>
      <w:r w:rsidRPr="00B138AA">
        <w:rPr>
          <w:rFonts w:ascii="Arial" w:hAnsi="Arial" w:cs="Arial"/>
          <w:color w:val="000000" w:themeColor="text1"/>
          <w:lang w:val="en-ID" w:eastAsia="en-ID"/>
        </w:rPr>
        <w:t xml:space="preserve">reported a positive impact of green credit on financial performance, especially ROA. </w:t>
      </w:r>
      <w:r w:rsidRPr="00B138AA">
        <w:rPr>
          <w:rFonts w:ascii="Arial" w:hAnsi="Arial" w:cs="Arial"/>
          <w:noProof/>
          <w:color w:val="000000" w:themeColor="text1"/>
        </w:rPr>
        <w:t xml:space="preserve">G. Zhou et al.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{"citationItems":[{"id":"ITEM-1","itemData":{"DOI":"10.1016/j.eneco.2021.105190","ISSN":"01409883","abstract":"Most of the existing studies have ignored the moderating role of green credit in the relationship between corporate social responsibility (CSR) and bank financial performance. Using the data of listed banks in China from 2008 to 2018, this paper investigates the impact of CSR on bank financial performance. Moreover, we document the mediating effect of green credit on their relationship. The results show that CSR would make a negative impact on bank financial performance in the short term. However, this relationship turns out to be positive in the long run. Besides that, green credit does play an important role in this relationship. Furthermore, we do a series of heterogeneity tests. Our conclusion would be useful both to the following researchers and the establishment of environmental policies.","author":[{"dropping-particle":"","family":"Zhou","given":"Guangyou","non-dropping-particle":"","parse-names":false,"suffix":""},{"dropping-particle":"","family":"Sun","given":"Yongkun","non-dropping-particle":"","parse-names":false,"suffix":""},{"dropping-particle":"","family":"Luo","given":"Sumei","non-dropping-particle":"","parse-names":false,"suffix":""},{"dropping-particle":"","family":"Liao","given":"Jiayi","non-dropping-particle":"","parse-names":false,"suffix":""}],"container-title":"Energy Economics","id":"ITEM-1","issued":{"date-parts":[["2021"]]},"page":"105190","publisher":"The Authors","title":"Corporate Social Responsibility and Bank Financial Performance in China: The Moderating Role of Green Credit","type":"article-journal","volume":"97"},"uris":["http://www.mendeley.com/documents/?uuid=66f7a36d-2979-415b-98d1-7d3dd54b306b"]}],"mendeley":{"formattedCitation":"(Guangyou Zhou, Sun, Luo, &amp; Liao, 2021)","manualFormatting":"(2021)","plainTextFormattedCitation":"(Guangyou Zhou, Sun, Luo, &amp; Liao, 2021)","previouslyFormattedCitation":"(Guangyou Zhou, Sun, Luo, &amp; Liao, 2021)"},"properties":{"noteIndex":0},"schema":"https://github.com/citation-style-language/schema/raw/master/csl-citation.json"}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(2021)</w:t>
      </w:r>
      <w:r w:rsidRPr="00B138AA">
        <w:rPr>
          <w:rFonts w:ascii="Arial" w:hAnsi="Arial" w:cs="Arial"/>
          <w:color w:val="000000" w:themeColor="text1"/>
        </w:rPr>
        <w:fldChar w:fldCharType="end"/>
      </w:r>
      <w:r w:rsidRPr="00B138AA">
        <w:rPr>
          <w:rFonts w:ascii="Arial" w:hAnsi="Arial" w:cs="Arial"/>
          <w:color w:val="000000" w:themeColor="text1"/>
        </w:rPr>
        <w:t xml:space="preserve"> </w:t>
      </w:r>
      <w:r w:rsidRPr="00B138AA">
        <w:rPr>
          <w:rFonts w:ascii="Arial" w:hAnsi="Arial" w:cs="Arial"/>
          <w:color w:val="000000" w:themeColor="text1"/>
          <w:lang w:val="en-ID" w:eastAsia="en-ID"/>
        </w:rPr>
        <w:t xml:space="preserve">showed a positive effect of green credit on both ROA and Return on Equity (ROE). </w:t>
      </w:r>
      <w:r w:rsidRPr="00B138AA">
        <w:rPr>
          <w:rFonts w:ascii="Arial" w:hAnsi="Arial" w:cs="Arial"/>
          <w:noProof/>
          <w:color w:val="000000" w:themeColor="text1"/>
        </w:rPr>
        <w:t>Astari et al.,</w:t>
      </w:r>
      <w:r w:rsidRPr="00B138AA">
        <w:rPr>
          <w:rFonts w:ascii="Arial" w:eastAsia="Calibri" w:hAnsi="Arial" w:cs="Arial"/>
          <w:color w:val="000000" w:themeColor="text1"/>
        </w:rPr>
        <w:t xml:space="preserve">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{"citationItems":[{"id":"ITEM-1","itemData":{"DOI":"10.1051/e3sconf/202342602024","ISSN":"22671242","abstract":"The industry must deal with environmental issues by implementing green accounting and disclosure of sustainability reports. This study aimed to determine the effect of implementing green accounting and disclosure of sustainability reports on firm value. The research was conducted in Indonesia Manufacturing companies with an observation period of 2019-2021. The data analysis technique used is Multiple Linear Regression Analysis. The study results show that applying green accounting has a positive effect on firm value, and disclosure of sustainability reports has a negative effect on firm value. The application of green accounting can significantly increase the company's value. However, the disclosure of the sustainability report shows a negative result because the company continues to improve its sustainability reports, but the increase is not in line with firm value.","author":[{"dropping-particle":"","family":"Astari","given":"Tri Ayu","non-dropping-particle":"","parse-names":false,"suffix":""},{"dropping-particle":"","family":"Laurens","given":"Sebastianus","non-dropping-particle":"","parse-names":false,"suffix":""},{"dropping-particle":"","family":"Wicaksono","given":"Aries","non-dropping-particle":"","parse-names":false,"suffix":""},{"dropping-particle":"","family":"Sujarminto","given":"Aditya","non-dropping-particle":"","parse-names":false,"suffix":""}],"container-title":"E3S Web of Conferences","id":"ITEM-1","issued":{"date-parts":[["2023"]]},"title":"Green Accounting and Disclosure of Sustainability Report on Firm Values in Indonesia","type":"article-journal","volume":"426"},"uris":["http://www.mendeley.com/documents/?uuid=5fcdea64-b814-42d7-a74c-70b1f51d2157"]}],"mendeley":{"formattedCitation":"(Astari, Laurens, Wicaksono, &amp; Sujarminto, 2023)","manualFormatting":"(2023)","plainTextFormattedCitation":"(Astari, Laurens, Wicaksono, &amp; Sujarminto, 2023)","previouslyFormattedCitation":"(Astari, Laurens, Wicaksono, &amp; Sujarminto, 2023)"},"properties":{"noteIndex":0},"schema":"https://github.com/citation-style-language/schema/raw/master/csl-citation.json"}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(2023)</w:t>
      </w:r>
      <w:r w:rsidRPr="00B138AA">
        <w:rPr>
          <w:rFonts w:ascii="Arial" w:hAnsi="Arial" w:cs="Arial"/>
          <w:color w:val="000000" w:themeColor="text1"/>
        </w:rPr>
        <w:fldChar w:fldCharType="end"/>
      </w:r>
      <w:r w:rsidRPr="00B138AA">
        <w:rPr>
          <w:rFonts w:ascii="Arial" w:hAnsi="Arial" w:cs="Arial"/>
          <w:color w:val="000000" w:themeColor="text1"/>
        </w:rPr>
        <w:t xml:space="preserve"> </w:t>
      </w:r>
      <w:r w:rsidRPr="00B138AA">
        <w:rPr>
          <w:rFonts w:ascii="Arial" w:hAnsi="Arial" w:cs="Arial"/>
          <w:color w:val="000000" w:themeColor="text1"/>
          <w:lang w:val="en-ID" w:eastAsia="en-ID"/>
        </w:rPr>
        <w:t>found that the green accounting index significantly influences Tobin’s Q. Yasmin &amp; Akhter (2021) discovered that green credit, measured through the Green Credit to Total Loan (GCTL) and Green Credit to Total Asset (GCTA) ratios, has a significant positive relationship with profitability (ROE) and financial stability (Z-score) in Bangladesh. Julia &amp; Kassim (2016) demonstrated that green financing has a significant positive relationship with ROA, Return on Deposit (ROD), and Asset Utilization (AU). Overall, previous research indicates that green credit has the potential to support profitability. Therefore, the hypothesis of this study is as follows:</w:t>
      </w:r>
    </w:p>
    <w:p w14:paraId="69DBDA16" w14:textId="77777777" w:rsidR="00B138AA" w:rsidRPr="00B138AA" w:rsidRDefault="00B138AA" w:rsidP="00B138AA">
      <w:pPr>
        <w:jc w:val="both"/>
        <w:rPr>
          <w:rFonts w:ascii="Arial" w:hAnsi="Arial" w:cs="Arial"/>
          <w:color w:val="000000" w:themeColor="text1"/>
          <w:lang w:val="en-ID" w:eastAsia="en-ID"/>
        </w:rPr>
      </w:pPr>
      <w:r w:rsidRPr="00B138AA">
        <w:rPr>
          <w:rFonts w:ascii="Arial" w:hAnsi="Arial" w:cs="Arial"/>
          <w:color w:val="000000" w:themeColor="text1"/>
          <w:lang w:val="en-ID" w:eastAsia="en-ID"/>
        </w:rPr>
        <w:t xml:space="preserve">H1: Green credit has a positive effect on </w:t>
      </w:r>
      <w:r w:rsidRPr="00B138AA">
        <w:rPr>
          <w:rFonts w:ascii="Arial" w:hAnsi="Arial" w:cs="Arial"/>
        </w:rPr>
        <w:t>Profitability</w:t>
      </w:r>
      <w:r w:rsidRPr="00B138AA">
        <w:rPr>
          <w:rFonts w:ascii="Arial" w:hAnsi="Arial" w:cs="Arial"/>
          <w:color w:val="000000" w:themeColor="text1"/>
          <w:lang w:val="en-ID" w:eastAsia="en-ID"/>
        </w:rPr>
        <w:t>.</w:t>
      </w:r>
    </w:p>
    <w:p w14:paraId="2D718935" w14:textId="77777777" w:rsidR="00B138AA" w:rsidRDefault="00B138AA" w:rsidP="00B138AA">
      <w:pPr>
        <w:jc w:val="both"/>
        <w:rPr>
          <w:rFonts w:ascii="Open Sans" w:hAnsi="Open Sans" w:cs="Open Sans"/>
          <w:b/>
          <w:bCs/>
          <w:color w:val="000000" w:themeColor="text1"/>
          <w:lang w:val="en-ID" w:eastAsia="en-ID"/>
        </w:rPr>
      </w:pPr>
    </w:p>
    <w:p w14:paraId="324A62C6" w14:textId="4200A2C7" w:rsidR="00B138AA" w:rsidRPr="00B138AA" w:rsidRDefault="00B138AA" w:rsidP="00B138AA">
      <w:pPr>
        <w:jc w:val="both"/>
        <w:rPr>
          <w:rFonts w:ascii="Arial" w:hAnsi="Arial" w:cs="Arial"/>
          <w:color w:val="000000" w:themeColor="text1"/>
          <w:lang w:val="en-ID" w:eastAsia="en-ID"/>
        </w:rPr>
      </w:pPr>
      <w:r w:rsidRPr="00B138AA">
        <w:rPr>
          <w:rFonts w:ascii="Arial" w:hAnsi="Arial" w:cs="Arial"/>
          <w:b/>
          <w:bCs/>
          <w:color w:val="000000" w:themeColor="text1"/>
          <w:lang w:val="en-ID" w:eastAsia="en-ID"/>
        </w:rPr>
        <w:t>Green Corporate Social Responsibility (Green CSR)</w:t>
      </w:r>
    </w:p>
    <w:p w14:paraId="6ABC052B" w14:textId="77777777" w:rsidR="00B138AA" w:rsidRPr="00B138AA" w:rsidRDefault="00B138AA" w:rsidP="00B138AA">
      <w:pPr>
        <w:jc w:val="both"/>
        <w:rPr>
          <w:rFonts w:ascii="Arial" w:hAnsi="Arial" w:cs="Arial"/>
          <w:color w:val="000000" w:themeColor="text1"/>
          <w:lang w:val="en-ID" w:eastAsia="en-ID"/>
        </w:rPr>
      </w:pPr>
      <w:r w:rsidRPr="00B138AA">
        <w:rPr>
          <w:rFonts w:ascii="Arial" w:hAnsi="Arial" w:cs="Arial"/>
          <w:color w:val="000000" w:themeColor="text1"/>
          <w:lang w:val="en-ID" w:eastAsia="en-ID"/>
        </w:rPr>
        <w:t xml:space="preserve">Green Corporate Social Responsibility (Green CSR) that is carried out sustainably and consistently has a positive impact on bank performance. In the long term, CSR enhances the bank’s reputation and image, which increases customer and employee satisfaction and attracts investors. However, in the short term, green CSR may reduce profits due to high initial costs. According to </w:t>
      </w:r>
      <w:r w:rsidRPr="00B138AA">
        <w:rPr>
          <w:rFonts w:ascii="Arial" w:hAnsi="Arial" w:cs="Arial"/>
          <w:noProof/>
          <w:color w:val="000000" w:themeColor="text1"/>
        </w:rPr>
        <w:t xml:space="preserve">Hossain et al.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{"citationItems":[{"id":"ITEM-1","itemData":{"DOI":"10.34104/cjbis.020.01200128","ISSN":"2663-7812","abstract":"This study examines the effects of green banking practices on the financial performance of banks listed in the DSE of Bangladesh covering the period from 2011 to 2020. To move the economy on a sustainable path green banking practices is essential. Green banking practice is a way of contributing environmental and economical performance in the community by providing green finance and initiating green costs in its various sectors, it takes an important part to raise an organization’s financial performance through diminishing costs. Green banking is becoming a key issue in the whole world especially in developing countries like Bangladesh. This has been theorized by economists that there is a financial incentive if there is a number of practice in green banking. In this arena, a proactive role can be played by banks besides its operational activities known as the journey of renovation for a greener economy by participating in green finance. The aim of this study is to empirically find the relationship between green banking practices and banks' financial performance by using the panel data set, taking financial variables like return on asset, return on equity, and market value to proxy the banks’ performance, and employing green banking practice variables like green cost and volume of the risk management committee. Finally, this study finds that there is a positive relationship between green banking practices and financial performance. The findings generated from this study can be a proper guideline for the bank regulators to take effective decisions regarding environmental issues and thereby make a social contribution, and after all, play a vital role in economic growth. The practitioners, governments, decision-makers, academicians, and future researchers can use this study as a policy dialog.","author":[{"dropping-particle":"","family":"Hossain","given":"Azmir","non-dropping-particle":"","parse-names":false,"suffix":""},{"dropping-particle":"","family":"Rahman","given":"Mominur","non-dropping-particle":"","parse-names":false,"suffix":""},{"dropping-particle":"","family":"Hossain","given":"Sazzad","non-dropping-particle":"","parse-names":false,"suffix":""},{"dropping-particle":"","family":"Karim","given":"Razaul","non-dropping-particle":"","parse-names":false,"suffix":""}],"container-title":"Canadian Journal of Business and Information Studies","id":"ITEM-1","issue":"6","issued":{"date-parts":[["2020","11","4"]]},"page":"120-128","publisher":"Universe Publishing Group - UniversePG","title":"The Effects of Green Banking Practices on Financial Performance of Listed Banking Companies in Bangladesh","type":"article-journal","volume":"2"},"uris":["http://www.mendeley.com/documents/?uuid=3ad9617c-d4a2-3242-a3c3-4ca2dc9096a9"]}],"mendeley":{"formattedCitation":"(Hossain, Rahman, Hossain, &amp; Karim, 2020)","manualFormatting":"(2020)","plainTextFormattedCitation":"(Hossain, Rahman, Hossain, &amp; Karim, 2020)","previouslyFormattedCitation":"(Hossain, Rahman, Hossain, &amp; Karim, 2020)"},"properties":{"noteIndex":0},"schema":"https://github.com/citation-style-language/schema/raw/master/csl-citation.json"}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(2020)</w:t>
      </w:r>
      <w:r w:rsidRPr="00B138AA">
        <w:rPr>
          <w:rFonts w:ascii="Arial" w:hAnsi="Arial" w:cs="Arial"/>
          <w:color w:val="000000" w:themeColor="text1"/>
        </w:rPr>
        <w:fldChar w:fldCharType="end"/>
      </w:r>
      <w:r w:rsidRPr="00B138AA">
        <w:rPr>
          <w:rFonts w:ascii="Arial" w:hAnsi="Arial" w:cs="Arial"/>
          <w:color w:val="000000" w:themeColor="text1"/>
          <w:lang w:val="en-ID" w:eastAsia="en-ID"/>
        </w:rPr>
        <w:t xml:space="preserve">, the high cost of CSR can improve risk management performance by prompting strategies to enhance the bank's financial performance. Research on green CSR shows a positive impact on bank performance. For example, </w:t>
      </w:r>
      <w:r w:rsidRPr="00B138AA">
        <w:rPr>
          <w:rFonts w:ascii="Arial" w:hAnsi="Arial" w:cs="Arial"/>
          <w:noProof/>
          <w:color w:val="000000" w:themeColor="text1"/>
        </w:rPr>
        <w:t>Tran et al.</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{"citationItems":[{"id":"ITEM-1","itemData":{"DOI":"10.3390/su141912763","ISSN":"20711050","abstract":"The effects of intellectual capital on firm performance have been extensively investigated. However, the important role of corporate social responsibility in moderating this intellectual capital–performance nexus has largely been neglected in the existing literature. This study uses a sample of 60 listed firms on the Ho Chi Minh Stock Exchange from 2011 to 2020 to examine the independent and joint effects of intellectual capital and corporate social responsibility on firm performance in Vietnam. The generalized method of moments is used. We find that both independent and joint effects exist. Furthermore, our results suggest that structural capital efficiency and capital employed efficiency are the two critical components of intellectual capital affecting firm performance. Interestingly, the joint effects of intellectual capital and CSR on firm performance are also confirmed in our analysis. These findings shed light on important policy implications concerning managerial policies targeting both intellectual capital and corporate social activities to improve firm performance in Vietnam.","author":[{"dropping-particle":"","family":"Tran","given":"Ngoc Phu","non-dropping-particle":"","parse-names":false,"suffix":""},{"dropping-particle":"","family":"Dinh","given":"Co Thi Huyen","non-dropping-particle":"","parse-names":false,"suffix":""},{"dropping-particle":"","family":"Hoang","given":"Hien Thi Thu","non-dropping-particle":"","parse-names":false,"suffix":""},{"dropping-particle":"","family":"Vo","given":"Duc Hong","non-dropping-particle":"","parse-names":false,"suffix":""}],"container-title":"Sustainability (Switzerland)","id":"ITEM-1","issue":"19","issued":{"date-parts":[["2022"]]},"title":"Intellectual Capital and Firm Performance in Vietnam: The Moderating Role of Corporate Social Responsibility","type":"article-journal","volume":"14"},"uris":["http://www.mendeley.com/documents/?uuid=0dbccc15-e91d-48b1-aad1-5dd15b20d8f5"]}],"mendeley":{"formattedCitation":"(Tran, Dinh, Hoang, &amp; Vo, 2022)","manualFormatting":"(2022)","plainTextFormattedCitation":"(Tran, Dinh, Hoang, &amp; Vo, 2022)","previouslyFormattedCitation":"(Tran, Dinh, Hoang, &amp; Vo, 2022)"},"properties":{"noteIndex":0},"schema":"https://github.com/citation-style-language/schema/raw/master/csl-citation.json"}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(2022)</w:t>
      </w:r>
      <w:r w:rsidRPr="00B138AA">
        <w:rPr>
          <w:rFonts w:ascii="Arial" w:hAnsi="Arial" w:cs="Arial"/>
          <w:color w:val="000000" w:themeColor="text1"/>
        </w:rPr>
        <w:fldChar w:fldCharType="end"/>
      </w:r>
      <w:r w:rsidRPr="00B138AA">
        <w:rPr>
          <w:rFonts w:ascii="Arial" w:hAnsi="Arial" w:cs="Arial"/>
          <w:color w:val="000000" w:themeColor="text1"/>
          <w:lang w:val="en-ID" w:eastAsia="en-ID"/>
        </w:rPr>
        <w:t xml:space="preserve"> found that CSR positively influences bank performance. </w:t>
      </w:r>
      <w:r w:rsidRPr="00B138AA">
        <w:rPr>
          <w:rFonts w:ascii="Arial" w:hAnsi="Arial" w:cs="Arial"/>
          <w:noProof/>
          <w:color w:val="000000" w:themeColor="text1"/>
        </w:rPr>
        <w:t xml:space="preserve">Hossain et al.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{"citationItems":[{"id":"ITEM-1","itemData":{"DOI":"10.34104/cjbis.020.01200128","ISSN":"2663-7812","abstract":"This study examines the effects of green banking practices on the financial performance of banks listed in the DSE of Bangladesh covering the period from 2011 to 2020. To move the economy on a sustainable path green banking practices is essential. Green banking practice is a way of contributing environmental and economical performance in the community by providing green finance and initiating green costs in its various sectors, it takes an important part to raise an organization’s financial performance through diminishing costs. Green banking is becoming a key issue in the whole world especially in developing countries like Bangladesh. This has been theorized by economists that there is a financial incentive if there is a number of practice in green banking. In this arena, a proactive role can be played by banks besides its operational activities known as the journey of renovation for a greener economy by participating in green finance. The aim of this study is to empirically find the relationship between green banking practices and banks' financial performance by using the panel data set, taking financial variables like return on asset, return on equity, and market value to proxy the banks’ performance, and employing green banking practice variables like green cost and volume of the risk management committee. Finally, this study finds that there is a positive relationship between green banking practices and financial performance. The findings generated from this study can be a proper guideline for the bank regulators to take effective decisions regarding environmental issues and thereby make a social contribution, and after all, play a vital role in economic growth. The practitioners, governments, decision-makers, academicians, and future researchers can use this study as a policy dialog.","author":[{"dropping-particle":"","family":"Hossain","given":"Azmir","non-dropping-particle":"","parse-names":false,"suffix":""},{"dropping-particle":"","family":"Rahman","given":"Mominur","non-dropping-particle":"","parse-names":false,"suffix":""},{"dropping-particle":"","family":"Hossain","given":"Sazzad","non-dropping-particle":"","parse-names":false,"suffix":""},{"dropping-particle":"","family":"Karim","given":"Razaul","non-dropping-particle":"","parse-names":false,"suffix":""}],"container-title":"Canadian Journal of Business and Information Studies","id":"ITEM-1","issue":"6","issued":{"date-parts":[["2020","11","4"]]},"page":"120-128","publisher":"Universe Publishing Group - UniversePG","title":"The Effects of Green Banking Practices on Financial Performance of Listed Banking Companies in Bangladesh","type":"article-journal","volume":"2"},"uris":["http://www.mendeley.com/documents/?uuid=3ad9617c-d4a2-3242-a3c3-4ca2dc9096a9"]}],"mendeley":{"formattedCitation":"(Hossain et al., 2020)","manualFormatting":"(2020)","plainTextFormattedCitation":"(Hossain et al., 2020)","previouslyFormattedCitation":"(Hossain et al., 2020)"},"properties":{"noteIndex":0},"schema":"https://github.com/citation-style-language/schema/raw/master/csl-citation.json"}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(2020)</w:t>
      </w:r>
      <w:r w:rsidRPr="00B138AA">
        <w:rPr>
          <w:rFonts w:ascii="Arial" w:hAnsi="Arial" w:cs="Arial"/>
          <w:color w:val="000000" w:themeColor="text1"/>
        </w:rPr>
        <w:fldChar w:fldCharType="end"/>
      </w:r>
      <w:r w:rsidRPr="00B138AA">
        <w:rPr>
          <w:rFonts w:ascii="Arial" w:hAnsi="Arial" w:cs="Arial"/>
          <w:color w:val="000000" w:themeColor="text1"/>
        </w:rPr>
        <w:t xml:space="preserve"> </w:t>
      </w:r>
      <w:r w:rsidRPr="00B138AA">
        <w:rPr>
          <w:rFonts w:ascii="Arial" w:hAnsi="Arial" w:cs="Arial"/>
          <w:color w:val="000000" w:themeColor="text1"/>
          <w:lang w:val="en-ID" w:eastAsia="en-ID"/>
        </w:rPr>
        <w:t xml:space="preserve">found that green banking practices in Bangladesh have a positive effect on ROA and ROE, with improved credibility and reputation being the main factors. </w:t>
      </w:r>
      <w:r w:rsidRPr="00B138AA">
        <w:rPr>
          <w:rFonts w:ascii="Arial" w:hAnsi="Arial" w:cs="Arial"/>
          <w:noProof/>
          <w:color w:val="000000" w:themeColor="text1"/>
        </w:rPr>
        <w:t xml:space="preserve">Mamun &amp; Rana,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10.9790/5933-1105021014","author":[{"dropping-particle":"Al","family":"Mamun","given":"Abdullah","non-dropping-particle":"","parse-names":false,"suffix":""},{"dropping-particle":"","family":"Rana","given":"Masud","non-dropping-particle":"","parse-names":false,"suffix":""}],"container-title":"Journal of Economics and Finance","id":"ITEM-1","issue":"5","issued":{"date-parts":[["2020"]]},"page":"10-14","title":"Green Banking Practices and Profitability of Commercial Banks in Bangladesh","type":"article-journal","volume":"2"},"uris":["http://www.mendeley.com/documents/?uuid=d063c12f-fe66-4854-beb3-0cb3fa415e50"]}],"mendeley":{"formattedCitation":"(Mamun &amp; Rana, 2020)","manualFormatting":"(2020)","plainTextFormattedCitation":"(Mamun &amp; Rana, 2020)","previouslyFormattedCitation":"(Mamun &amp; Rana, 2020)"},"properties":{"noteIndex":0},"schema":"https://github.com/citation-style-language/schema/raw/master/csl-citation.json"}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(2020)</w:t>
      </w:r>
      <w:r w:rsidRPr="00B138AA">
        <w:rPr>
          <w:rFonts w:ascii="Arial" w:hAnsi="Arial" w:cs="Arial"/>
          <w:color w:val="000000" w:themeColor="text1"/>
        </w:rPr>
        <w:fldChar w:fldCharType="end"/>
      </w:r>
      <w:r w:rsidRPr="00B138AA">
        <w:rPr>
          <w:rFonts w:ascii="Arial" w:hAnsi="Arial" w:cs="Arial"/>
          <w:color w:val="000000" w:themeColor="text1"/>
        </w:rPr>
        <w:t xml:space="preserve"> </w:t>
      </w:r>
      <w:r w:rsidRPr="00B138AA">
        <w:rPr>
          <w:rFonts w:ascii="Arial" w:hAnsi="Arial" w:cs="Arial"/>
          <w:color w:val="000000" w:themeColor="text1"/>
          <w:lang w:val="en-ID" w:eastAsia="en-ID"/>
        </w:rPr>
        <w:t xml:space="preserve">revealed that green CSR significantly enhances the profitability of commercial banks in Bangladesh, while </w:t>
      </w:r>
      <w:r w:rsidRPr="00B138AA">
        <w:rPr>
          <w:rFonts w:ascii="Arial" w:hAnsi="Arial" w:cs="Arial"/>
          <w:noProof/>
          <w:color w:val="000000" w:themeColor="text1"/>
        </w:rPr>
        <w:t xml:space="preserve">Islam &amp; Faruquee,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author":[{"dropping-particle":"","family":"Islam","given":"Tiasha","non-dropping-particle":"","parse-names":false,"suffix":""},{"dropping-particle":"","family":"Faruquee","given":"Murtaza","non-dropping-particle":"","parse-names":false,"suffix":""}],"container-title":"Journal of Commerce and Accounting Research","id":"ITEM-1","issue":"3","issued":{"date-parts":[["2022"]]},"page":"56-65","title":"Can Green Banking Thrive in Developing Economies? A Contextual Study On Bangladesh","type":"article-journal","volume":"11"},"uris":["http://www.mendeley.com/documents/?uuid=7c0def26-9c4b-4122-91f5-fdf36a3cb00f"]}],"mendeley":{"formattedCitation":"(Islam &amp; Faruquee, 2022)","manualFormatting":"(2022)","plainTextFormattedCitation":"(Islam &amp; Faruquee, 2022)","previouslyFormattedCitation":"(Islam &amp; Faruquee, 2022)"},"properties":{"noteIndex":0},"schema":"https://github.com/citation-style-language/schema/raw/master/csl-citation.json"}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(2022)</w:t>
      </w:r>
      <w:r w:rsidRPr="00B138AA">
        <w:rPr>
          <w:rFonts w:ascii="Arial" w:hAnsi="Arial" w:cs="Arial"/>
          <w:color w:val="000000" w:themeColor="text1"/>
        </w:rPr>
        <w:fldChar w:fldCharType="end"/>
      </w:r>
      <w:r w:rsidRPr="00B138AA">
        <w:rPr>
          <w:rFonts w:ascii="Arial" w:hAnsi="Arial" w:cs="Arial"/>
          <w:color w:val="000000" w:themeColor="text1"/>
        </w:rPr>
        <w:t xml:space="preserve"> </w:t>
      </w:r>
      <w:r w:rsidRPr="00B138AA">
        <w:rPr>
          <w:rFonts w:ascii="Arial" w:hAnsi="Arial" w:cs="Arial"/>
          <w:color w:val="000000" w:themeColor="text1"/>
          <w:lang w:val="en-ID" w:eastAsia="en-ID"/>
        </w:rPr>
        <w:t xml:space="preserve">noted that green banking investments through CSR have a positive impact on EPS, particularly when the Climate Risk Fund (CRF) is used to support environmental policies. </w:t>
      </w:r>
      <w:r w:rsidRPr="00B138AA">
        <w:rPr>
          <w:rFonts w:ascii="Arial" w:hAnsi="Arial" w:cs="Arial"/>
          <w:noProof/>
          <w:color w:val="000000" w:themeColor="text1"/>
        </w:rPr>
        <w:t xml:space="preserve">Wu &amp; Shen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{"citationItems":[{"id":"ITEM-1","itemData":{"DOI":"10.1016/j.jbankfin.2013.04.023","ISSN":"03784266","abstract":"The current study investigates the association between corporate social responsibility (CSR) and financial performance (FP), and discusses the driving motives of banks to engage in CSR. Three motives, namely, strategic choices, altruism, and greenwashing, suggest that the relationship between CSR and FP is positive, non-negative, and non-existent, respectively. We obtained our sample, which covered 2003-2009, from the Ethical Investment Research Service (EIRIS) databank and Bankscope database. The data consists of 162 banks in 22 countries. We then classified the banks into four types based on their degree of engagement in CSR. This study proposes the use of an extended version of the Heckman two-step regression, in which the first step adopts a multinomial logit model, and the second step estimates the performance equation with the inverse Mills ratio generated by the first step. The empirical results show that CSR positively associates with FP in terms of return on assets, return on equity, net interest income, and non-interest income. In contrast, CSR negatively associates with non-performing loans. Hence, strategic choice is the primary motive of banks to engage in CSR. © 2013 Elsevier B.V.","author":[{"dropping-particle":"","family":"Wu","given":"Meng Wen","non-dropping-particle":"","parse-names":false,"suffix":""},{"dropping-particle":"","family":"Shen","given":"Chung Hua","non-dropping-particle":"","parse-names":false,"suffix":""}],"container-title":"Journal of Banking and Finance","id":"ITEM-1","issue":"9","issued":{"date-parts":[["2013","9"]]},"page":"3529-3547","title":"Corporate Social Responsibility in the Banking Industry: Motives and Financial Performance","type":"article-journal","volume":"37"},"uris":["http://www.mendeley.com/documents/?uuid=2b9a1631-6408-3272-b540-2c5b58143f71"]}],"mendeley":{"formattedCitation":"(Wu &amp; Shen, 2013)","manualFormatting":"(2013)","plainTextFormattedCitation":"(Wu &amp; Shen, 2013)","previouslyFormattedCitation":"(Wu &amp; Shen, 2013)"},"properties":{"noteIndex":0},"schema":"https://github.com/citation-style-language/schema/raw/master/csl-citation.json"}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(2013)</w:t>
      </w:r>
      <w:r w:rsidRPr="00B138AA">
        <w:rPr>
          <w:rFonts w:ascii="Arial" w:hAnsi="Arial" w:cs="Arial"/>
          <w:color w:val="000000" w:themeColor="text1"/>
        </w:rPr>
        <w:fldChar w:fldCharType="end"/>
      </w:r>
      <w:r w:rsidRPr="00B138AA">
        <w:rPr>
          <w:rFonts w:ascii="Arial" w:hAnsi="Arial" w:cs="Arial"/>
          <w:color w:val="000000" w:themeColor="text1"/>
          <w:lang w:val="en-ID" w:eastAsia="en-ID"/>
        </w:rPr>
        <w:t xml:space="preserve"> found that CSR has a positive relationship with firm performance as measured by ROA and ROE. On the other hand, </w:t>
      </w:r>
      <w:r w:rsidRPr="00B138AA">
        <w:rPr>
          <w:rFonts w:ascii="Arial" w:hAnsi="Arial" w:cs="Arial"/>
          <w:noProof/>
          <w:color w:val="000000" w:themeColor="text1"/>
        </w:rPr>
        <w:t>Li et al.</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{"citationItems":[{"id":"ITEM-1","itemData":{"DOI":"10.3390/su16051848","ISSN":"20711050","abstract":"Along with the constant changes in the current business environment, more and more enterprises have recognised the importance of Corporate Social Responsibility (CSR). Considering that profit maximisation is the eternal pursuit of enterprises and that some studies have already linked the financial performance of enterprises and their implementation of social responsibility together, this study will try to further explore the impact of social responsibility initiatives on enterprises’ financial performance within the context of emerging economy. Given that enterprises’ sustainable development is closely related to their implementation of CSR, an improvement in their corresponding financial performance due to effective social responsibility practices can incentivise enterprises to take part in CSR initiatives aimed at enhancing the sustainable development of society and the environment. Through using the panel data from Chinese Listed Companies, this research finds that responsibility’s implementation is positively related with enterprises’ financial performance, and that relationship is non-linear. Additionally, as a critical regulatory institution, government fails to function as a mediator within the above-mentioned relationship based on the robust empirical test. At the same time, the fulfilment of CSR can not be achieved at the expense of profit maximisation. The non-linear relationship between CSR and enterprises’ financial performance (CFP) demonstrated in this research suggests that the financial performance of a firm can be optimised when it moderately fulfils its social responsibility. This finding offers a potential optimal strategy for the sustainable development of the firm as well as society. Also, the role of government deserves further exploration and utilisation, considering its significant linkages with enterprises and social development.","author":[{"dropping-particle":"","family":"Li","given":"Xudong","non-dropping-particle":"","parse-names":false,"suffix":""},{"dropping-particle":"","family":"Esfahbodi","given":"Ali","non-dropping-particle":"","parse-names":false,"suffix":""},{"dropping-particle":"","family":"Zhang","given":"Yufeng","non-dropping-particle":"","parse-names":false,"suffix":""}],"container-title":"Sustainability (Switzerland) ","id":"ITEM-1","issue":"5","issued":{"date-parts":[["2024"]]},"title":"The Impact of Corporate Social Responsibility Implementation on Enterprises’ Financial Performance—Evidence from Chinese Listed Companies","type":"article-journal","volume":"16"},"uris":["http://www.mendeley.com/documents/?uuid=743fa17f-54bc-40c8-9d8a-5a21b2a2c5c1"]}],"mendeley":{"formattedCitation":"(Li, Esfahbodi, &amp; Zhang, 2024)","manualFormatting":"(2024)","plainTextFormattedCitation":"(Li, Esfahbodi, &amp; Zhang, 2024)","previouslyFormattedCitation":"(Li, Esfahbodi, &amp; Zhang, 2024)"},"properties":{"noteIndex":0},"schema":"https://github.com/citation-style-language/schema/raw/master/csl-citation.json"}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(2024)</w:t>
      </w:r>
      <w:r w:rsidRPr="00B138AA">
        <w:rPr>
          <w:rFonts w:ascii="Arial" w:hAnsi="Arial" w:cs="Arial"/>
          <w:color w:val="000000" w:themeColor="text1"/>
        </w:rPr>
        <w:fldChar w:fldCharType="end"/>
      </w:r>
      <w:r w:rsidRPr="00B138AA">
        <w:rPr>
          <w:rFonts w:ascii="Arial" w:hAnsi="Arial" w:cs="Arial"/>
          <w:color w:val="000000" w:themeColor="text1"/>
        </w:rPr>
        <w:t xml:space="preserve"> </w:t>
      </w:r>
      <w:r w:rsidRPr="00B138AA">
        <w:rPr>
          <w:rFonts w:ascii="Arial" w:hAnsi="Arial" w:cs="Arial"/>
          <w:color w:val="000000" w:themeColor="text1"/>
          <w:lang w:val="en-ID" w:eastAsia="en-ID"/>
        </w:rPr>
        <w:t xml:space="preserve"> showed that the impact of CSR is non-linear, with significant benefits at the early stages of implementation but diminishing returns beyond a certain point. According to </w:t>
      </w:r>
      <w:r w:rsidRPr="00B138AA">
        <w:rPr>
          <w:rFonts w:ascii="Arial" w:eastAsia="Calibri" w:hAnsi="Arial" w:cs="Arial"/>
          <w:noProof/>
          <w:color w:val="000000" w:themeColor="text1"/>
          <w:lang w:val="id-ID"/>
        </w:rPr>
        <w:t>Fitri et al</w:t>
      </w:r>
      <w:r w:rsidRPr="00B138AA">
        <w:rPr>
          <w:rFonts w:ascii="Arial" w:eastAsia="Calibri" w:hAnsi="Arial" w:cs="Arial"/>
          <w:noProof/>
          <w:color w:val="000000" w:themeColor="text1"/>
        </w:rPr>
        <w:t xml:space="preserve"> </w:t>
      </w:r>
      <w:r w:rsidRPr="00B138AA">
        <w:rPr>
          <w:rFonts w:ascii="Arial" w:eastAsia="Calibri" w:hAnsi="Arial" w:cs="Arial"/>
          <w:color w:val="000000" w:themeColor="text1"/>
          <w:lang w:val="id-ID"/>
        </w:rPr>
        <w:fldChar w:fldCharType="begin" w:fldLock="1"/>
      </w:r>
      <w:r w:rsidRPr="00B138AA">
        <w:rPr>
          <w:rFonts w:ascii="Arial" w:eastAsia="Calibri" w:hAnsi="Arial" w:cs="Arial"/>
          <w:color w:val="000000" w:themeColor="text1"/>
          <w:lang w:val="id-ID"/>
        </w:rPr>
        <w:instrText>ADDIN CSL_CITATION {"citationItems":[{"id":"ITEM-1","itemData":{"DOI":"10.26905/jkdp.v27i3.10656","author":[{"dropping-particle":"","family":"Fitri","given":"Maulana","non-dropping-particle":"","parse-names":false,"suffix":""},{"dropping-particle":"","family":"Nur","given":"Agustin","non-dropping-particle":"","parse-names":false,"suffix":""},{"dropping-particle":"","family":"Saraswati","given":"Erwin","non-dropping-particle":"","parse-names":false,"suffix":""},{"dropping-particle":"","family":"Prastiwi","given":"Arum","non-dropping-particle":"","parse-names":false,"suffix":""}],"container-title":"Jurnal Keuangan dan Perbankan","id":"ITEM-1","issue":"3","issued":{"date-parts":[["2023"]]},"page":"348-359","title":"Digital Technology and CSR Disclosure on Firm Value Moderated by Financial Flexibility and Firm Size","type":"article-journal","volume":"27"},"uris":["http://www.mendeley.com/documents/?uuid=ad7f032b-d3f8-420b-a759-2d637a6c79d5"]}],"mendeley":{"formattedCitation":"(Fitri et al., 2023)","manualFormatting":"(2023)","plainTextFormattedCitation":"(Fitri et al., 2023)","previouslyFormattedCitation":"(Fitri et al., 2023)"},"properties":{"noteIndex":0},"schema":"https://github.com/citation-style-language/schema/raw/master/csl-citation.json"}</w:instrText>
      </w:r>
      <w:r w:rsidRPr="00B138AA">
        <w:rPr>
          <w:rFonts w:ascii="Arial" w:eastAsia="Calibri" w:hAnsi="Arial" w:cs="Arial"/>
          <w:color w:val="000000" w:themeColor="text1"/>
          <w:lang w:val="id-ID"/>
        </w:rPr>
        <w:fldChar w:fldCharType="separate"/>
      </w:r>
      <w:r w:rsidRPr="00B138AA">
        <w:rPr>
          <w:rFonts w:ascii="Arial" w:eastAsia="Calibri" w:hAnsi="Arial" w:cs="Arial"/>
          <w:noProof/>
          <w:color w:val="000000" w:themeColor="text1"/>
          <w:lang w:val="id-ID"/>
        </w:rPr>
        <w:t>(2023)</w:t>
      </w:r>
      <w:r w:rsidRPr="00B138AA">
        <w:rPr>
          <w:rFonts w:ascii="Arial" w:eastAsia="Calibri" w:hAnsi="Arial" w:cs="Arial"/>
          <w:color w:val="000000" w:themeColor="text1"/>
          <w:lang w:val="id-ID"/>
        </w:rPr>
        <w:fldChar w:fldCharType="end"/>
      </w:r>
      <w:r w:rsidRPr="00B138AA">
        <w:rPr>
          <w:rFonts w:ascii="Arial" w:hAnsi="Arial" w:cs="Arial"/>
          <w:color w:val="000000" w:themeColor="text1"/>
          <w:lang w:val="en-ID" w:eastAsia="en-ID"/>
        </w:rPr>
        <w:t>, CSR has a positive effect on firm value. Overall, CSR is part of green banking practices that tend to enhance profitability and financial stability through improved reputation and credibility. Therefore, the hypothesis of this study is as follows:</w:t>
      </w:r>
    </w:p>
    <w:p w14:paraId="4A1F2826" w14:textId="77777777" w:rsidR="00B138AA" w:rsidRPr="00B138AA" w:rsidRDefault="00B138AA" w:rsidP="00B138AA">
      <w:pPr>
        <w:jc w:val="both"/>
        <w:rPr>
          <w:rFonts w:ascii="Arial" w:hAnsi="Arial" w:cs="Arial"/>
          <w:color w:val="000000" w:themeColor="text1"/>
          <w:lang w:val="en-ID" w:eastAsia="en-ID"/>
        </w:rPr>
      </w:pPr>
      <w:r w:rsidRPr="00B138AA">
        <w:rPr>
          <w:rFonts w:ascii="Arial" w:hAnsi="Arial" w:cs="Arial"/>
          <w:color w:val="000000" w:themeColor="text1"/>
          <w:lang w:val="en-ID" w:eastAsia="en-ID"/>
        </w:rPr>
        <w:lastRenderedPageBreak/>
        <w:t xml:space="preserve">H2: Green CSR has a positive effect on </w:t>
      </w:r>
      <w:r w:rsidRPr="00B138AA">
        <w:rPr>
          <w:rFonts w:ascii="Arial" w:hAnsi="Arial" w:cs="Arial"/>
        </w:rPr>
        <w:t>Profitability</w:t>
      </w:r>
      <w:r w:rsidRPr="00B138AA">
        <w:rPr>
          <w:rFonts w:ascii="Arial" w:hAnsi="Arial" w:cs="Arial"/>
          <w:color w:val="000000" w:themeColor="text1"/>
          <w:lang w:val="en-ID" w:eastAsia="en-ID"/>
        </w:rPr>
        <w:t>.</w:t>
      </w:r>
    </w:p>
    <w:p w14:paraId="2854185E" w14:textId="77777777" w:rsidR="00B138AA" w:rsidRDefault="00B138AA" w:rsidP="00B138AA">
      <w:pPr>
        <w:jc w:val="both"/>
        <w:rPr>
          <w:rFonts w:ascii="Open Sans" w:hAnsi="Open Sans" w:cs="Open Sans"/>
          <w:color w:val="000000" w:themeColor="text1"/>
          <w:lang w:val="en-ID" w:eastAsia="en-ID"/>
        </w:rPr>
      </w:pPr>
    </w:p>
    <w:p w14:paraId="3D378A77" w14:textId="77777777" w:rsidR="00B138AA" w:rsidRPr="00B138AA" w:rsidRDefault="00B138AA" w:rsidP="00B138AA">
      <w:pPr>
        <w:rPr>
          <w:rFonts w:ascii="Arial" w:hAnsi="Arial" w:cs="Arial"/>
          <w:lang w:val="en-ID" w:eastAsia="en-ID"/>
        </w:rPr>
      </w:pPr>
      <w:r w:rsidRPr="00B138AA">
        <w:rPr>
          <w:rFonts w:ascii="Arial" w:hAnsi="Arial" w:cs="Arial"/>
          <w:b/>
          <w:bCs/>
          <w:lang w:val="en-ID" w:eastAsia="en-ID"/>
        </w:rPr>
        <w:t>Digital financial inclusion</w:t>
      </w:r>
      <w:r w:rsidRPr="00B138AA">
        <w:rPr>
          <w:rFonts w:ascii="Arial" w:hAnsi="Arial" w:cs="Arial"/>
          <w:lang w:val="en-ID" w:eastAsia="en-ID"/>
        </w:rPr>
        <w:t xml:space="preserve"> </w:t>
      </w:r>
    </w:p>
    <w:p w14:paraId="16C7D98A" w14:textId="77777777" w:rsidR="00B138AA" w:rsidRPr="00B138AA" w:rsidRDefault="00B138AA" w:rsidP="00B138AA">
      <w:pPr>
        <w:jc w:val="both"/>
        <w:rPr>
          <w:rFonts w:ascii="Arial" w:hAnsi="Arial" w:cs="Arial"/>
          <w:lang w:val="en-ID" w:eastAsia="en-ID"/>
        </w:rPr>
      </w:pPr>
      <w:r w:rsidRPr="00B138AA">
        <w:rPr>
          <w:rFonts w:ascii="Arial" w:hAnsi="Arial" w:cs="Arial"/>
          <w:lang w:val="en-ID" w:eastAsia="en-ID"/>
        </w:rPr>
        <w:t xml:space="preserve">Digital financial inclusion provides positive benefits to bank performance by enabling faster, more efficient services and enhancing the bank’s reputation </w:t>
      </w:r>
      <w:r w:rsidRPr="00B138AA">
        <w:rPr>
          <w:rFonts w:ascii="Arial" w:hAnsi="Arial" w:cs="Arial"/>
        </w:rPr>
        <w:fldChar w:fldCharType="begin" w:fldLock="1"/>
      </w:r>
      <w:r w:rsidRPr="00B138AA">
        <w:rPr>
          <w:rFonts w:ascii="Arial" w:hAnsi="Arial" w:cs="Arial"/>
        </w:rPr>
        <w:instrText>ADDIN CSL_CITATION {"citationItems":[{"id":"ITEM-1","itemData":{"DOI":"10.35134/ekobistek.v9i2.79","abstract":"Corporate social responsibility activity is a strategy that contributes to the improvement of company performance in the long run. Investment on intellectual capital development has a close relationship with stakeholders through corporate social responsibility activities that eventually affect company performance. This study aims to examine the role of intellectual capital as a mediator between corporate social responsibility and banking company performance. The samples for this study were 20 bank companies that were listed on the Indonesia Stock Exchange (IDX) in year 2014-2018. The findings have proved empirically that intellectual capital as a mediating variable has a significant effect on the relationship between corporate social responsibility and performance of bank companies. Therefore, bank companies are expected to invest more intangible assets or intellectual capital and deliver their corporate social responsibility activities. As an implication of this study, the bank companies must carry out activities that provide added and unique values from their corporate social responsibility programs because the programs are the company's responsibility to fulfil the applicable regulations, community and their environment.","author":[{"dropping-particle":"","family":"Anggraini","given":"Fivi","non-dropping-particle":"","parse-names":false,"suffix":""}],"container-title":"Jurnal Ekobistek","id":"ITEM-1","issue":"Oktober","issued":{"date-parts":[["2020"]]},"page":"22-31","title":"Peranan Intellectual Capital sebagai Mediasi antara Corporate Social Responsibility dan Kinerja Perusahaan Perbankan","type":"article-journal","volume":"9"},"uris":["http://www.mendeley.com/documents/?uuid=9fe73c1d-5599-40cb-9027-12197b9551d0"]}],"mendeley":{"formattedCitation":"(Fivi Anggraini, 2020)","plainTextFormattedCitation":"(Fivi Anggraini, 2020)","previouslyFormattedCitation":"(Anggraini, 2020)"},"properties":{"noteIndex":0},"schema":"https://github.com/citation-style-language/schema/raw/master/csl-citation.json"}</w:instrText>
      </w:r>
      <w:r w:rsidRPr="00B138AA">
        <w:rPr>
          <w:rFonts w:ascii="Arial" w:hAnsi="Arial" w:cs="Arial"/>
        </w:rPr>
        <w:fldChar w:fldCharType="separate"/>
      </w:r>
      <w:r w:rsidRPr="00B138AA">
        <w:rPr>
          <w:rFonts w:ascii="Arial" w:hAnsi="Arial" w:cs="Arial"/>
          <w:noProof/>
        </w:rPr>
        <w:t>(Fivi Anggraini, 2020)</w:t>
      </w:r>
      <w:r w:rsidRPr="00B138AA">
        <w:rPr>
          <w:rFonts w:ascii="Arial" w:hAnsi="Arial" w:cs="Arial"/>
        </w:rPr>
        <w:fldChar w:fldCharType="end"/>
      </w:r>
      <w:r w:rsidRPr="00B138AA">
        <w:rPr>
          <w:rFonts w:ascii="Arial" w:hAnsi="Arial" w:cs="Arial"/>
          <w:lang w:val="en-ID" w:eastAsia="en-ID"/>
        </w:rPr>
        <w:t xml:space="preserve">. A strong reputation serves as a positive signal that digitalization supports operational efficiency and the sustainability of banking services </w:t>
      </w:r>
      <w:r w:rsidRPr="00B138AA">
        <w:rPr>
          <w:rFonts w:ascii="Arial" w:hAnsi="Arial" w:cs="Arial"/>
        </w:rPr>
        <w:fldChar w:fldCharType="begin" w:fldLock="1"/>
      </w:r>
      <w:r w:rsidRPr="00B138AA">
        <w:rPr>
          <w:rFonts w:ascii="Arial" w:hAnsi="Arial" w:cs="Arial"/>
        </w:rPr>
        <w:instrText>ADDIN CSL_CITATION {"citationItems":[{"id":"ITEM-1","itemData":{"DOI":"10.46799/ijssr.v3i2.254","ISSN":"2807-839X","abstract":"This study aims to identify the impact of bank digitization on the financial performance of companies in the Indonesian banking sector. The study uses his three-year (2018-2020) panel data of banking companies listed on the Indonesia Stock Exchange, covering 40 banks and 120 observations. Data were analyzed using panel data regression with a fixed effects model. The analysis tool used in this study is Eviews version 10. The results of this study show that the application of banking digitalization in the form of digital technology adaptation in banking firms has a negative impact on financial performance as measured by return on investment. These results highlight that the use of digital technology failed to improve the financial performance of Indonesian banks. As factual information, the study serves as the basis for decisions regarding the application of digital technology in banking companies. Investors are especially careful when investing in companies that use digital technology.","author":[{"dropping-particle":"","family":"Coryanata","given":"Isma","non-dropping-particle":"","parse-names":false,"suffix":""},{"dropping-particle":"","family":"Ramli","given":"Elisa Hawalia","non-dropping-particle":"","parse-names":false,"suffix":""},{"dropping-particle":"","family":"Puspita","given":"Lisa Martiah Nila","non-dropping-particle":"","parse-names":false,"suffix":""},{"dropping-particle":"","family":"Halimatusyadiah","given":"","non-dropping-particle":"","parse-names":false,"suffix":""}],"container-title":"International Journal of Social Service and Research","id":"ITEM-1","issue":"2","issued":{"date-parts":[["2023"]]},"page":"366-371","title":"Digitalization of Banking and Financial Performance of Banking Companies","type":"article-journal","volume":"3"},"uris":["http://www.mendeley.com/documents/?uuid=ce576184-9aa0-4c16-95ec-2b6a84d5f833"]}],"mendeley":{"formattedCitation":"(Coryanata, Ramli, Puspita, &amp; Halimatusyadiah, 2023)","plainTextFormattedCitation":"(Coryanata, Ramli, Puspita, &amp; Halimatusyadiah, 2023)","previouslyFormattedCitation":"(Coryanata, Ramli, Puspita, &amp; Halimatusyadiah, 2023)"},"properties":{"noteIndex":0},"schema":"https://github.com/citation-style-language/schema/raw/master/csl-citation.json"}</w:instrText>
      </w:r>
      <w:r w:rsidRPr="00B138AA">
        <w:rPr>
          <w:rFonts w:ascii="Arial" w:hAnsi="Arial" w:cs="Arial"/>
        </w:rPr>
        <w:fldChar w:fldCharType="separate"/>
      </w:r>
      <w:r w:rsidRPr="00B138AA">
        <w:rPr>
          <w:rFonts w:ascii="Arial" w:hAnsi="Arial" w:cs="Arial"/>
          <w:noProof/>
        </w:rPr>
        <w:t>(Coryanata, Ramli, Puspita, &amp; Halimatusyadiah, 2023)</w:t>
      </w:r>
      <w:r w:rsidRPr="00B138AA">
        <w:rPr>
          <w:rFonts w:ascii="Arial" w:hAnsi="Arial" w:cs="Arial"/>
        </w:rPr>
        <w:fldChar w:fldCharType="end"/>
      </w:r>
      <w:r w:rsidRPr="00B138AA">
        <w:rPr>
          <w:rFonts w:ascii="Arial" w:hAnsi="Arial" w:cs="Arial"/>
        </w:rPr>
        <w:t xml:space="preserve">. </w:t>
      </w:r>
      <w:r w:rsidRPr="00B138AA">
        <w:rPr>
          <w:rFonts w:ascii="Arial" w:hAnsi="Arial" w:cs="Arial"/>
          <w:noProof/>
        </w:rPr>
        <w:t>Isa-olatinwo et al.</w:t>
      </w:r>
      <w:r w:rsidRPr="00B138AA">
        <w:rPr>
          <w:rFonts w:ascii="Arial" w:hAnsi="Arial" w:cs="Arial"/>
        </w:rPr>
        <w:t xml:space="preserve"> </w:t>
      </w:r>
      <w:r w:rsidRPr="00B138AA">
        <w:rPr>
          <w:rFonts w:ascii="Arial" w:hAnsi="Arial" w:cs="Arial"/>
        </w:rPr>
        <w:fldChar w:fldCharType="begin" w:fldLock="1"/>
      </w:r>
      <w:r w:rsidRPr="00B138AA">
        <w:rPr>
          <w:rFonts w:ascii="Arial" w:hAnsi="Arial" w:cs="Arial"/>
        </w:rPr>
        <w:instrText>ADDIN CSL_CITATION {"citationItems":[{"id":"ITEM-1","itemData":{"DOI":"10.37394/23207.2022.19.98","author":[{"dropping-particle":"","family":"Isa-olatinwo","given":"Aisha","non-dropping-particle":"","parse-names":false,"suffix":""},{"dropping-particle":"","family":"Uwaleke","given":"Uche","non-dropping-particle":"","parse-names":false,"suffix":""},{"dropping-particle":"","family":"Ibrahim","given":"Umar Abbas","non-dropping-particle":"","parse-names":false,"suffix":""}],"container-title":"WSEAS Transactions on Business and Economics","id":"ITEM-1","issued":{"date-parts":[["2022"]]},"page":"1121-1129","title":"Impact of Digital Financial Services on Financial Performance of Commercial Banks in Nigeria","type":"article-journal","volume":"19"},"uris":["http://www.mendeley.com/documents/?uuid=bc7432c3-7f47-476a-9080-a0da27beb796"]}],"mendeley":{"formattedCitation":"(Isa-olatinwo, Uwaleke, &amp; Ibrahim, 2022)","manualFormatting":"(2022)","plainTextFormattedCitation":"(Isa-olatinwo, Uwaleke, &amp; Ibrahim, 2022)","previouslyFormattedCitation":"(Isa-olatinwo, Uwaleke, &amp; Ibrahim, 2022)"},"properties":{"noteIndex":0},"schema":"https://github.com/citation-style-language/schema/raw/master/csl-citation.json"}</w:instrText>
      </w:r>
      <w:r w:rsidRPr="00B138AA">
        <w:rPr>
          <w:rFonts w:ascii="Arial" w:hAnsi="Arial" w:cs="Arial"/>
        </w:rPr>
        <w:fldChar w:fldCharType="separate"/>
      </w:r>
      <w:r w:rsidRPr="00B138AA">
        <w:rPr>
          <w:rFonts w:ascii="Arial" w:hAnsi="Arial" w:cs="Arial"/>
          <w:noProof/>
        </w:rPr>
        <w:t>(2022)</w:t>
      </w:r>
      <w:r w:rsidRPr="00B138AA">
        <w:rPr>
          <w:rFonts w:ascii="Arial" w:hAnsi="Arial" w:cs="Arial"/>
        </w:rPr>
        <w:fldChar w:fldCharType="end"/>
      </w:r>
      <w:r w:rsidRPr="00B138AA">
        <w:rPr>
          <w:rFonts w:ascii="Arial" w:hAnsi="Arial" w:cs="Arial"/>
        </w:rPr>
        <w:t xml:space="preserve"> </w:t>
      </w:r>
      <w:r w:rsidRPr="00B138AA">
        <w:rPr>
          <w:rFonts w:ascii="Arial" w:hAnsi="Arial" w:cs="Arial"/>
          <w:lang w:val="en-ID" w:eastAsia="en-ID"/>
        </w:rPr>
        <w:t xml:space="preserve">further note that digital banking helps improve bank performance by reducing the risk of loss and contributing to rising stock prices. According to </w:t>
      </w:r>
      <w:r w:rsidRPr="00B138AA">
        <w:rPr>
          <w:rFonts w:ascii="Arial" w:hAnsi="Arial" w:cs="Arial"/>
          <w:noProof/>
        </w:rPr>
        <w:t xml:space="preserve">Bellakhal &amp; Mouelhi, </w:t>
      </w:r>
      <w:r w:rsidRPr="00B138AA">
        <w:rPr>
          <w:rFonts w:ascii="Arial" w:hAnsi="Arial" w:cs="Arial"/>
        </w:rPr>
        <w:fldChar w:fldCharType="begin" w:fldLock="1"/>
      </w:r>
      <w:r w:rsidRPr="00B138AA">
        <w:rPr>
          <w:rFonts w:ascii="Arial" w:hAnsi="Arial" w:cs="Arial"/>
        </w:rPr>
        <w:instrText>ADDIN CSL_CITATION {"citationItems":[{"id":"ITEM-1","itemData":{"DOI":"10.1504/IJPQM.2023.130872","ISSN":"17466482","abstract":"Existing studies suggest that the level of digitalisation amongst Tunisian small and medium-sized enterprises (SMEs) is low. Tunisian SMEs lack the resources and capabilities needed to implement digital technologies. Furthermore, the literature argues that digitalisation offers unprecedented opportunities for SMEs, making digitalisation more than fundamental for their survival and growth. The purpose of this paper is to shed light on the relationship between digitalisation and performance, in the context of Tunisian SMEs. Based on a firm-level dataset of 466 SMEs, the results indicate that digitalisation is positively related to firms’ performance. This positive relationship is linked with the firm’s engagement within a global digitalisation strategy, where it considers digitalisation as being an integral part of its business and activities. The paper gives several policy recommendations to support the digital transformation of SMEs in Tunisia.","author":[{"dropping-particle":"","family":"Bellakhal","given":"Rihab","non-dropping-particle":"","parse-names":false,"suffix":""},{"dropping-particle":"","family":"Mouelhi","given":"Rim","non-dropping-particle":"","parse-names":false,"suffix":""}],"container-title":"International Journal of Productivity and Quality Management","id":"ITEM-1","issue":"1","issued":{"date-parts":[["2023"]]},"page":"42-65","title":"Digitalisation and Firm Performance: Evidence From Tunisian SMEs","type":"article-journal","volume":"39"},"uris":["http://www.mendeley.com/documents/?uuid=fea18014-9f09-40d5-a575-4953f539838c"]}],"mendeley":{"formattedCitation":"(Bellakhal &amp; Mouelhi, 2023)","manualFormatting":"(2023)","plainTextFormattedCitation":"(Bellakhal &amp; Mouelhi, 2023)","previouslyFormattedCitation":"(Bellakhal &amp; Mouelhi, 2023)"},"properties":{"noteIndex":0},"schema":"https://github.com/citation-style-language/schema/raw/master/csl-citation.json"}</w:instrText>
      </w:r>
      <w:r w:rsidRPr="00B138AA">
        <w:rPr>
          <w:rFonts w:ascii="Arial" w:hAnsi="Arial" w:cs="Arial"/>
        </w:rPr>
        <w:fldChar w:fldCharType="separate"/>
      </w:r>
      <w:r w:rsidRPr="00B138AA">
        <w:rPr>
          <w:rFonts w:ascii="Arial" w:hAnsi="Arial" w:cs="Arial"/>
          <w:noProof/>
        </w:rPr>
        <w:t>(2023)</w:t>
      </w:r>
      <w:r w:rsidRPr="00B138AA">
        <w:rPr>
          <w:rFonts w:ascii="Arial" w:hAnsi="Arial" w:cs="Arial"/>
        </w:rPr>
        <w:fldChar w:fldCharType="end"/>
      </w:r>
      <w:r w:rsidRPr="00B138AA">
        <w:rPr>
          <w:rFonts w:ascii="Arial" w:hAnsi="Arial" w:cs="Arial"/>
          <w:lang w:val="en-ID" w:eastAsia="en-ID"/>
        </w:rPr>
        <w:t xml:space="preserve">, well-established banks that adopt advanced technologies tend to achieve higher profitability and market valuations. This is supported by </w:t>
      </w:r>
      <w:r w:rsidRPr="00B138AA">
        <w:rPr>
          <w:rFonts w:ascii="Arial" w:hAnsi="Arial" w:cs="Arial"/>
          <w:noProof/>
        </w:rPr>
        <w:t xml:space="preserve">D. Zhou et al. </w:t>
      </w:r>
      <w:r w:rsidRPr="00B138AA">
        <w:rPr>
          <w:rFonts w:ascii="Arial" w:hAnsi="Arial" w:cs="Arial"/>
        </w:rPr>
        <w:fldChar w:fldCharType="begin" w:fldLock="1"/>
      </w:r>
      <w:r w:rsidRPr="00B138AA">
        <w:rPr>
          <w:rFonts w:ascii="Arial" w:hAnsi="Arial" w:cs="Arial"/>
        </w:rPr>
        <w:instrText>ADDIN CSL_CITATION {"citationItems":[{"id":"ITEM-1","itemData":{"DOI":"10.1016/j.techfore.2021.121120","ISSN":"00401625","abstract":"The performance implications of digitalization among incumbents in the financial services industry are largely under investigated. To fill this gap, this study adopts the perspective of inertia and explores how the interaction of digitalization with entrepreneurial orientation, firm assets, and organizational legitimacy influences the performance of incumbents in the financial services industry. Using panel data covering listed banks in China during 2007–2019, we find that while digitalization alone does not improve incumbents' performance, the interaction between digitalization and entrepreneurial orientation can contribute to performance as entrepreneurial orientation strengthens. When firm assets are large, digitalization does not contribute to performance, but it does contribute when firm assets are relatively small. The interaction between digitalization and organizational legitimacy undermines incumbents' performance as organizational legitimacy increases. By bridging the entrepreneurship and legitimacy literature using the perspective of inertia, this study identifies the contingency factors affecting the performance implications of the digitalization of financial services industry incumbents, suggesting that they can achieve benefits from digitalization through reductions in inertia.","author":[{"dropping-particle":"","family":"Zhou","given":"Dan","non-dropping-particle":"","parse-names":false,"suffix":""},{"dropping-particle":"","family":"Kautonen","given":"Mika","non-dropping-particle":"","parse-names":false,"suffix":""},{"dropping-particle":"","family":"Dai","given":"Weiqi","non-dropping-particle":"","parse-names":false,"suffix":""},{"dropping-particle":"","family":"Zhang","given":"Hui","non-dropping-particle":"","parse-names":false,"suffix":""}],"container-title":"Technological Forecasting and Social Change","id":"ITEM-1","issue":"August","issued":{"date-parts":[["2021"]]},"page":"121120","publisher":"Elsevier Inc.","title":"Exploring How Digitalization Influences Incumbents in Financial Services: The Role of Entrepreneurial Orientation, Firm assets, and Organizational Legitimacy","type":"article-journal","volume":"173"},"uris":["http://www.mendeley.com/documents/?uuid=ca348c0a-eaad-4845-bbc0-7938221eaac7"]}],"mendeley":{"formattedCitation":"(Dan Zhou, Kautonen, Dai, &amp; Zhang, 2021)","manualFormatting":"(2021)","plainTextFormattedCitation":"(Dan Zhou, Kautonen, Dai, &amp; Zhang, 2021)","previouslyFormattedCitation":"(Dan Zhou, Kautonen, Dai, &amp; Zhang, 2021)"},"properties":{"noteIndex":0},"schema":"https://github.com/citation-style-language/schema/raw/master/csl-citation.json"}</w:instrText>
      </w:r>
      <w:r w:rsidRPr="00B138AA">
        <w:rPr>
          <w:rFonts w:ascii="Arial" w:hAnsi="Arial" w:cs="Arial"/>
        </w:rPr>
        <w:fldChar w:fldCharType="separate"/>
      </w:r>
      <w:r w:rsidRPr="00B138AA">
        <w:rPr>
          <w:rFonts w:ascii="Arial" w:hAnsi="Arial" w:cs="Arial"/>
          <w:noProof/>
        </w:rPr>
        <w:t>(2021)</w:t>
      </w:r>
      <w:r w:rsidRPr="00B138AA">
        <w:rPr>
          <w:rFonts w:ascii="Arial" w:hAnsi="Arial" w:cs="Arial"/>
        </w:rPr>
        <w:fldChar w:fldCharType="end"/>
      </w:r>
      <w:r w:rsidRPr="00B138AA">
        <w:rPr>
          <w:rFonts w:ascii="Arial" w:hAnsi="Arial" w:cs="Arial"/>
        </w:rPr>
        <w:t xml:space="preserve">, </w:t>
      </w:r>
      <w:r w:rsidRPr="00B138AA">
        <w:rPr>
          <w:rFonts w:ascii="Arial" w:hAnsi="Arial" w:cs="Arial"/>
          <w:lang w:val="en-ID" w:eastAsia="en-ID"/>
        </w:rPr>
        <w:t xml:space="preserve">who state that established banks more easily comply with government policies in adopting advanced technologies, thereby gaining strong legitimacy. This legitimacy sends a positive signal to customers regarding the bank’s ability to manage its business effectively, which enhances image, customer loyalty, and ultimately has a positive impact on financial performance. However, implementing digital financial inclusion often requires substantial initial investment, even though it improves operational efficiency and expands service reach. Still, these benefits may not be sufficient to directly enhance bank performance. According to the studies by </w:t>
      </w:r>
      <w:r w:rsidRPr="00B138AA">
        <w:rPr>
          <w:rFonts w:ascii="Arial" w:hAnsi="Arial" w:cs="Arial"/>
          <w:noProof/>
        </w:rPr>
        <w:t xml:space="preserve">Coryanata et al. </w:t>
      </w:r>
      <w:r w:rsidRPr="00B138AA">
        <w:rPr>
          <w:rFonts w:ascii="Arial" w:hAnsi="Arial" w:cs="Arial"/>
        </w:rPr>
        <w:fldChar w:fldCharType="begin" w:fldLock="1"/>
      </w:r>
      <w:r w:rsidRPr="00B138AA">
        <w:rPr>
          <w:rFonts w:ascii="Arial" w:hAnsi="Arial" w:cs="Arial"/>
        </w:rPr>
        <w:instrText>ADDIN CSL_CITATION {"citationItems":[{"id":"ITEM-1","itemData":{"DOI":"10.46799/ijssr.v3i2.254","ISSN":"2807-839X","abstract":"This study aims to identify the impact of bank digitization on the financial performance of companies in the Indonesian banking sector. The study uses his three-year (2018-2020) panel data of banking companies listed on the Indonesia Stock Exchange, covering 40 banks and 120 observations. Data were analyzed using panel data regression with a fixed effects model. The analysis tool used in this study is Eviews version 10. The results of this study show that the application of banking digitalization in the form of digital technology adaptation in banking firms has a negative impact on financial performance as measured by return on investment. These results highlight that the use of digital technology failed to improve the financial performance of Indonesian banks. As factual information, the study serves as the basis for decisions regarding the application of digital technology in banking companies. Investors are especially careful when investing in companies that use digital technology.","author":[{"dropping-particle":"","family":"Coryanata","given":"Isma","non-dropping-particle":"","parse-names":false,"suffix":""},{"dropping-particle":"","family":"Ramli","given":"Elisa Hawalia","non-dropping-particle":"","parse-names":false,"suffix":""},{"dropping-particle":"","family":"Puspita","given":"Lisa Martiah Nila","non-dropping-particle":"","parse-names":false,"suffix":""},{"dropping-particle":"","family":"Halimatusyadiah","given":"","non-dropping-particle":"","parse-names":false,"suffix":""}],"container-title":"International Journal of Social Service and Research","id":"ITEM-1","issue":"2","issued":{"date-parts":[["2023"]]},"page":"366-371","title":"Digitalization of Banking and Financial Performance of Banking Companies","type":"article-journal","volume":"3"},"uris":["http://www.mendeley.com/documents/?uuid=ce576184-9aa0-4c16-95ec-2b6a84d5f833"]}],"mendeley":{"formattedCitation":"(Coryanata et al., 2023)","manualFormatting":"(2023)","plainTextFormattedCitation":"(Coryanata et al., 2023)","previouslyFormattedCitation":"(Coryanata et al., 2023)"},"properties":{"noteIndex":0},"schema":"https://github.com/citation-style-language/schema/raw/master/csl-citation.json"}</w:instrText>
      </w:r>
      <w:r w:rsidRPr="00B138AA">
        <w:rPr>
          <w:rFonts w:ascii="Arial" w:hAnsi="Arial" w:cs="Arial"/>
        </w:rPr>
        <w:fldChar w:fldCharType="separate"/>
      </w:r>
      <w:r w:rsidRPr="00B138AA">
        <w:rPr>
          <w:rFonts w:ascii="Arial" w:hAnsi="Arial" w:cs="Arial"/>
          <w:noProof/>
        </w:rPr>
        <w:t>(2023)</w:t>
      </w:r>
      <w:r w:rsidRPr="00B138AA">
        <w:rPr>
          <w:rFonts w:ascii="Arial" w:hAnsi="Arial" w:cs="Arial"/>
        </w:rPr>
        <w:fldChar w:fldCharType="end"/>
      </w:r>
      <w:r w:rsidRPr="00B138AA">
        <w:rPr>
          <w:rFonts w:ascii="Arial" w:hAnsi="Arial" w:cs="Arial"/>
        </w:rPr>
        <w:t xml:space="preserve"> dan </w:t>
      </w:r>
      <w:r w:rsidRPr="00B138AA">
        <w:rPr>
          <w:rFonts w:ascii="Arial" w:hAnsi="Arial" w:cs="Arial"/>
          <w:noProof/>
        </w:rPr>
        <w:t xml:space="preserve">D. Zhou et al </w:t>
      </w:r>
      <w:r w:rsidRPr="00B138AA">
        <w:rPr>
          <w:rFonts w:ascii="Arial" w:hAnsi="Arial" w:cs="Arial"/>
        </w:rPr>
        <w:fldChar w:fldCharType="begin" w:fldLock="1"/>
      </w:r>
      <w:r w:rsidRPr="00B138AA">
        <w:rPr>
          <w:rFonts w:ascii="Arial" w:hAnsi="Arial" w:cs="Arial"/>
        </w:rPr>
        <w:instrText>ADDIN CSL_CITATION {"citationItems":[{"id":"ITEM-1","itemData":{"DOI":"10.1016/j.techfore.2021.121120","ISSN":"00401625","abstract":"The performance implications of digitalization among incumbents in the financial services industry are largely under investigated. To fill this gap, this study adopts the perspective of inertia and explores how the interaction of digitalization with entrepreneurial orientation, firm assets, and organizational legitimacy influences the performance of incumbents in the financial services industry. Using panel data covering listed banks in China during 2007–2019, we find that while digitalization alone does not improve incumbents' performance, the interaction between digitalization and entrepreneurial orientation can contribute to performance as entrepreneurial orientation strengthens. When firm assets are large, digitalization does not contribute to performance, but it does contribute when firm assets are relatively small. The interaction between digitalization and organizational legitimacy undermines incumbents' performance as organizational legitimacy increases. By bridging the entrepreneurship and legitimacy literature using the perspective of inertia, this study identifies the contingency factors affecting the performance implications of the digitalization of financial services industry incumbents, suggesting that they can achieve benefits from digitalization through reductions in inertia.","author":[{"dropping-particle":"","family":"Zhou","given":"Dan","non-dropping-particle":"","parse-names":false,"suffix":""},{"dropping-particle":"","family":"Kautonen","given":"Mika","non-dropping-particle":"","parse-names":false,"suffix":""},{"dropping-particle":"","family":"Dai","given":"Weiqi","non-dropping-particle":"","parse-names":false,"suffix":""},{"dropping-particle":"","family":"Zhang","given":"Hui","non-dropping-particle":"","parse-names":false,"suffix":""}],"container-title":"Technological Forecasting and Social Change","id":"ITEM-1","issue":"August","issued":{"date-parts":[["2021"]]},"page":"121120","publisher":"Elsevier Inc.","title":"Exploring How Digitalization Influences Incumbents in Financial Services: The Role of Entrepreneurial Orientation, Firm assets, and Organizational Legitimacy","type":"article-journal","volume":"173"},"uris":["http://www.mendeley.com/documents/?uuid=ca348c0a-eaad-4845-bbc0-7938221eaac7"]}],"mendeley":{"formattedCitation":"(Dan Zhou et al., 2021)","manualFormatting":"(2021)","plainTextFormattedCitation":"(Dan Zhou et al., 2021)","previouslyFormattedCitation":"(Dan Zhou et al., 2021)"},"properties":{"noteIndex":0},"schema":"https://github.com/citation-style-language/schema/raw/master/csl-citation.json"}</w:instrText>
      </w:r>
      <w:r w:rsidRPr="00B138AA">
        <w:rPr>
          <w:rFonts w:ascii="Arial" w:hAnsi="Arial" w:cs="Arial"/>
        </w:rPr>
        <w:fldChar w:fldCharType="separate"/>
      </w:r>
      <w:r w:rsidRPr="00B138AA">
        <w:rPr>
          <w:rFonts w:ascii="Arial" w:hAnsi="Arial" w:cs="Arial"/>
          <w:noProof/>
        </w:rPr>
        <w:t>(2021)</w:t>
      </w:r>
      <w:r w:rsidRPr="00B138AA">
        <w:rPr>
          <w:rFonts w:ascii="Arial" w:hAnsi="Arial" w:cs="Arial"/>
        </w:rPr>
        <w:fldChar w:fldCharType="end"/>
      </w:r>
      <w:r w:rsidRPr="00B138AA">
        <w:rPr>
          <w:rFonts w:ascii="Arial" w:hAnsi="Arial" w:cs="Arial"/>
          <w:lang w:val="en-ID" w:eastAsia="en-ID"/>
        </w:rPr>
        <w:t>, the adoption of digital technology has a significantly negative effect on Return on Assets (ROA), indicating challenges in optimizing digitalization. Both studies highlight that digitalization may have adverse effects if not supported by appropriate complementary strategies, such as entrepreneurial orientation or effective asset management. Based on the differing findings from these two studies, which contrast with most of the existing literature, this research seeks to explore the issue further. Therefore, the hypothesis of this study is as follows:</w:t>
      </w:r>
    </w:p>
    <w:p w14:paraId="0BF1429A" w14:textId="77777777" w:rsidR="00B138AA" w:rsidRPr="00B138AA" w:rsidRDefault="00B138AA" w:rsidP="00B138AA">
      <w:pPr>
        <w:jc w:val="both"/>
        <w:rPr>
          <w:rFonts w:ascii="Arial" w:hAnsi="Arial" w:cs="Arial"/>
          <w:lang w:val="en-ID" w:eastAsia="en-ID"/>
        </w:rPr>
      </w:pPr>
      <w:r w:rsidRPr="00B138AA">
        <w:rPr>
          <w:rFonts w:ascii="Arial" w:hAnsi="Arial" w:cs="Arial"/>
          <w:lang w:val="en-ID" w:eastAsia="en-ID"/>
        </w:rPr>
        <w:t xml:space="preserve">H3: Digital financial inclusion has a negative effect on </w:t>
      </w:r>
      <w:r w:rsidRPr="00B138AA">
        <w:rPr>
          <w:rFonts w:ascii="Arial" w:hAnsi="Arial" w:cs="Arial"/>
        </w:rPr>
        <w:t>Profitability</w:t>
      </w:r>
      <w:r w:rsidRPr="00B138AA">
        <w:rPr>
          <w:rFonts w:ascii="Arial" w:hAnsi="Arial" w:cs="Arial"/>
          <w:lang w:val="en-ID" w:eastAsia="en-ID"/>
        </w:rPr>
        <w:t>.</w:t>
      </w:r>
    </w:p>
    <w:p w14:paraId="46CCABB0" w14:textId="34EF36B9" w:rsidR="00B138AA" w:rsidRDefault="00902823" w:rsidP="00441B6F">
      <w:pPr>
        <w:pStyle w:val="AbstHead"/>
        <w:spacing w:after="0"/>
        <w:jc w:val="both"/>
        <w:rPr>
          <w:rFonts w:ascii="Arial" w:hAnsi="Arial" w:cs="Arial"/>
        </w:rPr>
      </w:pPr>
      <w:r>
        <w:rPr>
          <w:rFonts w:ascii="Arial" w:hAnsi="Arial" w:cs="Arial"/>
        </w:rPr>
        <w:t xml:space="preserve"> </w:t>
      </w:r>
    </w:p>
    <w:p w14:paraId="503A0E3E" w14:textId="55E51F4A" w:rsidR="007F7B32" w:rsidRDefault="00B138AA" w:rsidP="00441B6F">
      <w:pPr>
        <w:pStyle w:val="AbstHead"/>
        <w:spacing w:after="0"/>
        <w:jc w:val="both"/>
        <w:rPr>
          <w:rFonts w:ascii="Arial" w:hAnsi="Arial" w:cs="Arial"/>
        </w:rPr>
      </w:pPr>
      <w:r>
        <w:rPr>
          <w:rFonts w:ascii="Arial" w:hAnsi="Arial" w:cs="Arial"/>
        </w:rPr>
        <w:t xml:space="preserve">3. </w:t>
      </w:r>
      <w:r w:rsidR="006B57D0">
        <w:rPr>
          <w:rFonts w:ascii="Arial" w:hAnsi="Arial" w:cs="Arial"/>
        </w:rPr>
        <w:t>methodology</w:t>
      </w:r>
    </w:p>
    <w:p w14:paraId="5E414261" w14:textId="77777777" w:rsidR="00790ADA" w:rsidRPr="00FB3A86" w:rsidRDefault="00790ADA" w:rsidP="00441B6F">
      <w:pPr>
        <w:pStyle w:val="AbstHead"/>
        <w:spacing w:after="0"/>
        <w:jc w:val="both"/>
        <w:rPr>
          <w:rFonts w:ascii="Arial" w:hAnsi="Arial" w:cs="Arial"/>
        </w:rPr>
      </w:pPr>
    </w:p>
    <w:p w14:paraId="7BC39F81" w14:textId="77777777" w:rsidR="00ED5BD5" w:rsidRDefault="00ED5BD5" w:rsidP="00ED5BD5">
      <w:pPr>
        <w:jc w:val="both"/>
        <w:rPr>
          <w:rFonts w:ascii="Arial" w:hAnsi="Arial" w:cs="Arial"/>
          <w:color w:val="000000" w:themeColor="text1"/>
          <w:lang w:val="en-ID" w:eastAsia="en-ID"/>
        </w:rPr>
      </w:pPr>
      <w:r w:rsidRPr="00ED5BD5">
        <w:rPr>
          <w:rFonts w:ascii="Arial" w:hAnsi="Arial" w:cs="Arial"/>
          <w:color w:val="000000" w:themeColor="text1"/>
          <w:lang w:val="en-ID" w:eastAsia="en-ID"/>
        </w:rPr>
        <w:t xml:space="preserve">This study uses a population of 86 publicly listed banks registered on the stock exchanges in the ASEAN-5 countries. The population is defined as a collection of elements or units of analysis that share similar characteristics </w:t>
      </w:r>
      <w:r w:rsidRPr="00ED5BD5">
        <w:rPr>
          <w:rFonts w:ascii="Arial" w:hAnsi="Arial" w:cs="Arial"/>
          <w:color w:val="000000" w:themeColor="text1"/>
          <w:lang w:val="en-ID" w:eastAsia="en-ID"/>
        </w:rPr>
        <w:fldChar w:fldCharType="begin" w:fldLock="1"/>
      </w:r>
      <w:r w:rsidRPr="00ED5BD5">
        <w:rPr>
          <w:rFonts w:ascii="Arial" w:hAnsi="Arial" w:cs="Arial"/>
          <w:color w:val="000000" w:themeColor="text1"/>
          <w:lang w:val="en-ID" w:eastAsia="en-ID"/>
        </w:rPr>
        <w:instrText>ADDIN CSL_CITATION {"citationItems":[{"id":"ITEM-1","itemData":{"author":[{"dropping-particle":"","family":"Herlina","given":"","non-dropping-particle":"","parse-names":false,"suffix":""},{"dropping-particle":"","family":"Wilujeng","given":"Fuji Rahayu","non-dropping-particle":"","parse-names":false,"suffix":""}],"container-title":"Journal of Indonesian Economic Research","id":"ITEM-1","issue":"1","issued":{"date-parts":[["2025"]]},"page":"13-19","title":"Ukuran Bank sebagai Faktor Moderasi Hubungan Risiko dan Profitabilitas pada Perbankan ASEAN di Masa Pandemi COVID-19 The Moderating Effect of Bank Size on the Relationship Between Risk and Profitability in ASEAN Banking During the COVID-19 Pandemic","type":"article-journal","volume":"3"},"uris":["http://www.mendeley.com/documents/?uuid=a6710fa4-d175-44ba-b9ec-8189ba520591"]}],"mendeley":{"formattedCitation":"(Herlina &amp; Wilujeng, 2025)","plainTextFormattedCitation":"(Herlina &amp; Wilujeng, 2025)","previouslyFormattedCitation":"(Herlina &amp; Wilujeng, 2025)"},"properties":{"noteIndex":0},"schema":"https://github.com/citation-style-language/schema/raw/master/csl-citation.json"}</w:instrText>
      </w:r>
      <w:r w:rsidRPr="00ED5BD5">
        <w:rPr>
          <w:rFonts w:ascii="Arial" w:hAnsi="Arial" w:cs="Arial"/>
          <w:color w:val="000000" w:themeColor="text1"/>
          <w:lang w:val="en-ID" w:eastAsia="en-ID"/>
        </w:rPr>
        <w:fldChar w:fldCharType="separate"/>
      </w:r>
      <w:r w:rsidRPr="00ED5BD5">
        <w:rPr>
          <w:rFonts w:ascii="Arial" w:hAnsi="Arial" w:cs="Arial"/>
          <w:noProof/>
          <w:color w:val="000000" w:themeColor="text1"/>
          <w:lang w:val="en-ID" w:eastAsia="en-ID"/>
        </w:rPr>
        <w:t>(Herlina &amp; Wilujeng, 2025)</w:t>
      </w:r>
      <w:r w:rsidRPr="00ED5BD5">
        <w:rPr>
          <w:rFonts w:ascii="Arial" w:hAnsi="Arial" w:cs="Arial"/>
          <w:color w:val="000000" w:themeColor="text1"/>
          <w:lang w:val="en-ID" w:eastAsia="en-ID"/>
        </w:rPr>
        <w:fldChar w:fldCharType="end"/>
      </w:r>
      <w:r w:rsidRPr="00ED5BD5">
        <w:rPr>
          <w:rFonts w:ascii="Arial" w:hAnsi="Arial" w:cs="Arial"/>
          <w:color w:val="000000" w:themeColor="text1"/>
          <w:lang w:val="en-ID" w:eastAsia="en-ID"/>
        </w:rPr>
        <w:t xml:space="preserve">. The research sample consists of 24 banks, selected based on the availability of complete data relevant to the research variables. The sampling technique used is non-probability sampling with a purposive random sampling approach, which refers to the selection of samples based on specific criteria relevant to the research objectives </w:t>
      </w:r>
      <w:r w:rsidRPr="00ED5BD5">
        <w:rPr>
          <w:rFonts w:ascii="Arial" w:hAnsi="Arial" w:cs="Arial"/>
          <w:color w:val="000000" w:themeColor="text1"/>
          <w:lang w:val="en-ID" w:eastAsia="en-ID"/>
        </w:rPr>
        <w:fldChar w:fldCharType="begin" w:fldLock="1"/>
      </w:r>
      <w:r w:rsidRPr="00ED5BD5">
        <w:rPr>
          <w:rFonts w:ascii="Arial" w:hAnsi="Arial" w:cs="Arial"/>
          <w:color w:val="000000" w:themeColor="text1"/>
          <w:lang w:val="en-ID" w:eastAsia="en-ID"/>
        </w:rPr>
        <w:instrText>ADDIN CSL_CITATION {"citationItems":[{"id":"ITEM-1","itemData":{"author":[{"dropping-particle":"","family":"Britannia","given":"Agnessa","non-dropping-particle":"","parse-names":false,"suffix":""},{"dropping-particle":"","family":"Leon","given":"Farah","non-dropping-particle":"","parse-names":false,"suffix":""}],"container-title":"Fakultas Ekonomi dan Bisnis Universitas Trisakti","id":"ITEM-1","issue":"May","issued":{"date-parts":[["2020"]]},"page":"1-21","title":"Pengaruh CSR dan Corporate Governance Terhadap Risiko Harga Saham Pada Perbankan di Indonesia","type":"article-journal"},"uris":["http://www.mendeley.com/documents/?uuid=664a0f7f-6b41-447b-b6e7-e0c4292facf5"]}],"mendeley":{"formattedCitation":"(Britannia &amp; Leon, 2020)","plainTextFormattedCitation":"(Britannia &amp; Leon, 2020)","previouslyFormattedCitation":"(Britannia &amp; Leon, 2020)"},"properties":{"noteIndex":0},"schema":"https://github.com/citation-style-language/schema/raw/master/csl-citation.json"}</w:instrText>
      </w:r>
      <w:r w:rsidRPr="00ED5BD5">
        <w:rPr>
          <w:rFonts w:ascii="Arial" w:hAnsi="Arial" w:cs="Arial"/>
          <w:color w:val="000000" w:themeColor="text1"/>
          <w:lang w:val="en-ID" w:eastAsia="en-ID"/>
        </w:rPr>
        <w:fldChar w:fldCharType="separate"/>
      </w:r>
      <w:r w:rsidRPr="00ED5BD5">
        <w:rPr>
          <w:rFonts w:ascii="Arial" w:hAnsi="Arial" w:cs="Arial"/>
          <w:noProof/>
          <w:color w:val="000000" w:themeColor="text1"/>
          <w:lang w:val="en-ID" w:eastAsia="en-ID"/>
        </w:rPr>
        <w:t>(Britannia &amp; Leon, 2020)</w:t>
      </w:r>
      <w:r w:rsidRPr="00ED5BD5">
        <w:rPr>
          <w:rFonts w:ascii="Arial" w:hAnsi="Arial" w:cs="Arial"/>
          <w:color w:val="000000" w:themeColor="text1"/>
          <w:lang w:val="en-ID" w:eastAsia="en-ID"/>
        </w:rPr>
        <w:fldChar w:fldCharType="end"/>
      </w:r>
      <w:r w:rsidRPr="00ED5BD5">
        <w:rPr>
          <w:rFonts w:ascii="Arial" w:hAnsi="Arial" w:cs="Arial"/>
          <w:color w:val="000000" w:themeColor="text1"/>
          <w:lang w:val="en-ID" w:eastAsia="en-ID"/>
        </w:rPr>
        <w:t xml:space="preserve">. Data collection was conducted through secondary data analysis, using annual financial reports and sustainability reports of the selected banks </w:t>
      </w:r>
      <w:r w:rsidRPr="00ED5BD5">
        <w:rPr>
          <w:rFonts w:ascii="Arial" w:hAnsi="Arial" w:cs="Arial"/>
          <w:color w:val="000000" w:themeColor="text1"/>
          <w:lang w:val="en-ID" w:eastAsia="en-ID"/>
        </w:rPr>
        <w:fldChar w:fldCharType="begin" w:fldLock="1"/>
      </w:r>
      <w:r w:rsidRPr="00ED5BD5">
        <w:rPr>
          <w:rFonts w:ascii="Arial" w:hAnsi="Arial" w:cs="Arial"/>
          <w:color w:val="000000" w:themeColor="text1"/>
          <w:lang w:val="en-ID" w:eastAsia="en-ID"/>
        </w:rPr>
        <w:instrText>ADDIN CSL_CITATION {"citationItems":[{"id":"ITEM-1","itemData":{"abstract":"… has experienced integration or expansion in several shopping features such as the \"TikTok Shop\" feature allows users to link products that are traded with their short videos. In general, …","author":[{"dropping-particle":"","family":"Herlina","given":"","non-dropping-particle":"","parse-names":false,"suffix":""},{"dropping-particle":"","family":"Rachmad","given":"Teguh Hidayatul","non-dropping-particle":"","parse-names":false,"suffix":""},{"dropping-particle":"","family":"Sasongko","given":"Yohanes Probo Dwi","non-dropping-particle":"","parse-names":false,"suffix":""}],"container-title":"Journal of Indonesian Economic Research","id":"ITEM-1","issue":"1","issued":{"date-parts":[["2024"]]},"page":"19-29","title":"Digital Business Communication using TikTok Live Streaming","type":"article-journal","volume":"2"},"uris":["http://www.mendeley.com/documents/?uuid=bb95b1b2-7d8a-4ed5-a472-af0f847ad3cb"]}],"mendeley":{"formattedCitation":"(Herlina, Rachmad, &amp; Sasongko, 2024)","plainTextFormattedCitation":"(Herlina, Rachmad, &amp; Sasongko, 2024)","previouslyFormattedCitation":"(Herlina, Rachmad, &amp; Sasongko, 2024)"},"properties":{"noteIndex":0},"schema":"https://github.com/citation-style-language/schema/raw/master/csl-citation.json"}</w:instrText>
      </w:r>
      <w:r w:rsidRPr="00ED5BD5">
        <w:rPr>
          <w:rFonts w:ascii="Arial" w:hAnsi="Arial" w:cs="Arial"/>
          <w:color w:val="000000" w:themeColor="text1"/>
          <w:lang w:val="en-ID" w:eastAsia="en-ID"/>
        </w:rPr>
        <w:fldChar w:fldCharType="separate"/>
      </w:r>
      <w:r w:rsidRPr="00ED5BD5">
        <w:rPr>
          <w:rFonts w:ascii="Arial" w:hAnsi="Arial" w:cs="Arial"/>
          <w:noProof/>
          <w:color w:val="000000" w:themeColor="text1"/>
          <w:lang w:val="en-ID" w:eastAsia="en-ID"/>
        </w:rPr>
        <w:t>(Herlina, Rachmad, &amp; Sasongko, 2024)</w:t>
      </w:r>
      <w:r w:rsidRPr="00ED5BD5">
        <w:rPr>
          <w:rFonts w:ascii="Arial" w:hAnsi="Arial" w:cs="Arial"/>
          <w:color w:val="000000" w:themeColor="text1"/>
          <w:lang w:val="en-ID" w:eastAsia="en-ID"/>
        </w:rPr>
        <w:fldChar w:fldCharType="end"/>
      </w:r>
      <w:r w:rsidRPr="00ED5BD5">
        <w:rPr>
          <w:rFonts w:ascii="Arial" w:hAnsi="Arial" w:cs="Arial"/>
          <w:color w:val="000000" w:themeColor="text1"/>
          <w:lang w:val="en-ID" w:eastAsia="en-ID"/>
        </w:rPr>
        <w:t xml:space="preserve">. The dependent variable is profitability, measured using Return on Assets (ROA), a financial ratio that assesses how effectively a bank utilizes its assets to generate profits. </w:t>
      </w:r>
      <w:r w:rsidRPr="00ED5BD5">
        <w:rPr>
          <w:rFonts w:ascii="Arial" w:hAnsi="Arial" w:cs="Arial"/>
        </w:rPr>
        <w:t xml:space="preserve">This study uses panel data; therefore, the data analysis technique is conducted using the EViews program. This research is causal in nature, thus requiring the selection of the best model, F-test, and t-test </w:t>
      </w:r>
      <w:r w:rsidRPr="00ED5BD5">
        <w:rPr>
          <w:rFonts w:ascii="Arial" w:hAnsi="Arial" w:cs="Arial"/>
          <w:color w:val="000000" w:themeColor="text1"/>
          <w:lang w:val="en-ID" w:eastAsia="en-ID"/>
        </w:rPr>
        <w:fldChar w:fldCharType="begin" w:fldLock="1"/>
      </w:r>
      <w:r w:rsidRPr="00ED5BD5">
        <w:rPr>
          <w:rFonts w:ascii="Arial" w:hAnsi="Arial" w:cs="Arial"/>
          <w:color w:val="000000" w:themeColor="text1"/>
          <w:lang w:val="en-ID" w:eastAsia="en-ID"/>
        </w:rPr>
        <w:instrText>ADDIN CSL_CITATION {"citationItems":[{"id":"ITEM-1","itemData":{"DOI":"10.37802/joti.v4i2.318","ISSN":"2686-6102","abstract":"&lt;p&gt;Shopee merupakan salah satu perusahaan e-commerce dari Singapura. Shopee sebagai salah satu apliasi e-commerce mobile dimana para pengguna aplikasi dapat melakukan kegiatan menjelajah, jual maupun beli secara praktis dan cepat serta bisa dilakukan kapanpun dan dimanapun melalui aplikasi yang berada didalam perangkat mobile yang dimiliki. Ada beberapa faktor yang wajib dipenuhi oleh aplikasi agar tercipta layanan lingkungan berbelanja yang mudah dan aman. Walaupun nama Shopee sendiri bisa dibilang terkenal dan sudah memiliki nama yang besar, tentunya akan tetap ada kemungkinan pengguna aplikasi merasa dikecewakan oleh layanan yang diberikan oleh aplikasi. Dalam usaha untuk meningkatkan kenyaman serta keamanan dalam menggunakan aplikasi mobile Shopee maka perusahaan perlu melakukan pengukuran untuk mengetahui faktor mana yang akan memberikan pengaruh terhadap sikap penerimaan para pengguna aplikasi. Jenis penelitian ini deskriptif kuantitatif, pengambilan sampel secara random sampling sehingga jumlah sampel sebanyak 41 responden dan data penelitian ini merupakan data sekunder. Hasil penelitian ini perilaku pengguna Shopee masuk dalam katagori yang sangat bagus meliputi Perceived ease to use (85,73%), Perceived usefulness (84,55%), Trust (81,14%), Behaviour intention to use (80,98%), Attitude toward using (83,17%).&lt;/p&gt;","author":[{"dropping-particle":"","family":"Fernandes Andry","given":"Johanes","non-dropping-particle":"","parse-names":false,"suffix":""},{"dropping-particle":"","family":"Herlina","given":"","non-dropping-particle":"","parse-names":false,"suffix":""},{"dropping-particle":"","family":"Marcellus Susanto","given":"Filbert","non-dropping-particle":"","parse-names":false,"suffix":""}],"container-title":"Journal of Technology and Informatics (JoTI)","id":"ITEM-1","issue":"2","issued":{"date-parts":[["2023","4","12"]]},"page":"63-68","title":"Analisis Deskriptif Perilaku Konsumen Shopee: Technology Acceptance Model (TAM)","type":"article-journal","volume":"4"},"uris":["http://www.mendeley.com/documents/?uuid=28ce0433-038b-3f24-aabd-2767d8f23ded"]}],"mendeley":{"formattedCitation":"(Fernandes Andry, Herlina, &amp; Marcellus Susanto, 2023)","plainTextFormattedCitation":"(Fernandes Andry, Herlina, &amp; Marcellus Susanto, 2023)","previouslyFormattedCitation":"(Fernandes Andry, Herlina, &amp; Marcellus Susanto, 2023)"},"properties":{"noteIndex":0},"schema":"https://github.com/citation-style-language/schema/raw/master/csl-citation.json"}</w:instrText>
      </w:r>
      <w:r w:rsidRPr="00ED5BD5">
        <w:rPr>
          <w:rFonts w:ascii="Arial" w:hAnsi="Arial" w:cs="Arial"/>
          <w:color w:val="000000" w:themeColor="text1"/>
          <w:lang w:val="en-ID" w:eastAsia="en-ID"/>
        </w:rPr>
        <w:fldChar w:fldCharType="separate"/>
      </w:r>
      <w:r w:rsidRPr="00ED5BD5">
        <w:rPr>
          <w:rFonts w:ascii="Arial" w:hAnsi="Arial" w:cs="Arial"/>
          <w:noProof/>
          <w:color w:val="000000" w:themeColor="text1"/>
          <w:lang w:val="en-ID" w:eastAsia="en-ID"/>
        </w:rPr>
        <w:t>(Fernandes Andry, Herlina, &amp; Marcellus Susanto, 2023)</w:t>
      </w:r>
      <w:r w:rsidRPr="00ED5BD5">
        <w:rPr>
          <w:rFonts w:ascii="Arial" w:hAnsi="Arial" w:cs="Arial"/>
          <w:color w:val="000000" w:themeColor="text1"/>
          <w:lang w:val="en-ID" w:eastAsia="en-ID"/>
        </w:rPr>
        <w:fldChar w:fldCharType="end"/>
      </w:r>
      <w:r w:rsidRPr="00ED5BD5">
        <w:rPr>
          <w:rFonts w:ascii="Arial" w:hAnsi="Arial" w:cs="Arial"/>
        </w:rPr>
        <w:t>.</w:t>
      </w:r>
    </w:p>
    <w:p w14:paraId="0A0280C4" w14:textId="2C681392" w:rsidR="00ED5BD5" w:rsidRPr="00ED5BD5" w:rsidRDefault="00ED5BD5" w:rsidP="00ED5BD5">
      <w:pPr>
        <w:spacing w:before="240"/>
        <w:jc w:val="both"/>
        <w:rPr>
          <w:rFonts w:ascii="Arial" w:hAnsi="Arial" w:cs="Arial"/>
          <w:color w:val="000000" w:themeColor="text1"/>
          <w:lang w:val="en-ID" w:eastAsia="en-ID"/>
        </w:rPr>
      </w:pPr>
      <w:r w:rsidRPr="00ED5BD5">
        <w:rPr>
          <w:rFonts w:ascii="Arial" w:hAnsi="Arial" w:cs="Arial"/>
          <w:color w:val="000000" w:themeColor="text1"/>
          <w:lang w:val="en-ID" w:eastAsia="en-ID"/>
        </w:rPr>
        <w:t xml:space="preserve">The independent variables represent aspects of sustainable business, which include: (1) Green Credit (GC): Environmentally friendly credit, such as financing for projects related to water resource management, the environment, and public facilities. It is measured using the total green credit disbursed in a year; (2) Green Corporate Social Responsibility (GCSR): An indicator of sustainable business, referring to investments in community-based programs or charitable contributions made by the bank to society; (3) Digital Financial Inclusion (DFI): The extent to which the bank integrates digital technologies to expand financial access and efficiency. </w:t>
      </w:r>
      <w:r w:rsidRPr="00ED5BD5">
        <w:rPr>
          <w:rFonts w:ascii="Arial" w:hAnsi="Arial" w:cs="Arial"/>
        </w:rPr>
        <w:t>Measurement of Research Variables:</w:t>
      </w:r>
    </w:p>
    <w:p w14:paraId="1D12A03E" w14:textId="77777777" w:rsidR="00ED5BD5" w:rsidRDefault="00ED5BD5" w:rsidP="00ED5BD5">
      <w:pPr>
        <w:jc w:val="both"/>
        <w:rPr>
          <w:rFonts w:ascii="Open Sans" w:hAnsi="Open Sans" w:cs="Open Sans"/>
        </w:rPr>
      </w:pPr>
    </w:p>
    <w:p w14:paraId="6E9A3779" w14:textId="77777777" w:rsidR="00ED5BD5" w:rsidRPr="00ED5BD5" w:rsidRDefault="00ED5BD5" w:rsidP="00ED5BD5">
      <w:pPr>
        <w:jc w:val="center"/>
        <w:rPr>
          <w:rFonts w:ascii="Arial" w:hAnsi="Arial" w:cs="Arial"/>
          <w:b/>
          <w:bCs/>
          <w:color w:val="000000" w:themeColor="text1"/>
          <w:lang w:val="en-ID" w:eastAsia="en-ID"/>
        </w:rPr>
      </w:pPr>
      <w:r w:rsidRPr="00ED5BD5">
        <w:rPr>
          <w:rFonts w:ascii="Arial" w:hAnsi="Arial" w:cs="Arial"/>
          <w:b/>
          <w:bCs/>
        </w:rPr>
        <w:lastRenderedPageBreak/>
        <w:t xml:space="preserve">Table </w:t>
      </w:r>
      <w:proofErr w:type="gramStart"/>
      <w:r w:rsidRPr="00ED5BD5">
        <w:rPr>
          <w:rFonts w:ascii="Arial" w:hAnsi="Arial" w:cs="Arial"/>
          <w:b/>
          <w:bCs/>
        </w:rPr>
        <w:t>1.Measurement</w:t>
      </w:r>
      <w:proofErr w:type="gramEnd"/>
    </w:p>
    <w:tbl>
      <w:tblPr>
        <w:tblStyle w:val="TableGrid"/>
        <w:tblW w:w="0" w:type="auto"/>
        <w:tblLook w:val="04A0" w:firstRow="1" w:lastRow="0" w:firstColumn="1" w:lastColumn="0" w:noHBand="0" w:noVBand="1"/>
      </w:tblPr>
      <w:tblGrid>
        <w:gridCol w:w="2413"/>
        <w:gridCol w:w="3917"/>
        <w:gridCol w:w="2094"/>
      </w:tblGrid>
      <w:tr w:rsidR="00ED5BD5" w:rsidRPr="00ED5BD5" w14:paraId="5863A9F0" w14:textId="77777777" w:rsidTr="00ED5BD5">
        <w:trPr>
          <w:tblHeader/>
        </w:trPr>
        <w:tc>
          <w:tcPr>
            <w:tcW w:w="2547" w:type="dxa"/>
            <w:shd w:val="clear" w:color="auto" w:fill="F2F2F2" w:themeFill="background1" w:themeFillShade="F2"/>
            <w:hideMark/>
          </w:tcPr>
          <w:p w14:paraId="2D4F0BB4" w14:textId="77777777" w:rsidR="00ED5BD5" w:rsidRPr="00ED5BD5" w:rsidRDefault="00ED5BD5" w:rsidP="00785061">
            <w:pPr>
              <w:jc w:val="center"/>
              <w:rPr>
                <w:rFonts w:ascii="Arial" w:eastAsia="Times New Roman" w:hAnsi="Arial" w:cs="Arial"/>
                <w:b/>
                <w:bCs/>
                <w:color w:val="000000" w:themeColor="text1"/>
                <w:sz w:val="20"/>
                <w:szCs w:val="20"/>
                <w:lang w:val="en-ID" w:eastAsia="en-ID"/>
              </w:rPr>
            </w:pPr>
            <w:r w:rsidRPr="00ED5BD5">
              <w:rPr>
                <w:rFonts w:ascii="Arial" w:eastAsia="Times New Roman" w:hAnsi="Arial" w:cs="Arial"/>
                <w:b/>
                <w:bCs/>
                <w:color w:val="000000" w:themeColor="text1"/>
                <w:sz w:val="20"/>
                <w:szCs w:val="20"/>
                <w:lang w:val="en-ID" w:eastAsia="en-ID"/>
              </w:rPr>
              <w:t>Variable</w:t>
            </w:r>
          </w:p>
        </w:tc>
        <w:tc>
          <w:tcPr>
            <w:tcW w:w="4252" w:type="dxa"/>
            <w:shd w:val="clear" w:color="auto" w:fill="F2F2F2" w:themeFill="background1" w:themeFillShade="F2"/>
            <w:hideMark/>
          </w:tcPr>
          <w:p w14:paraId="4C80BDD9" w14:textId="77777777" w:rsidR="00ED5BD5" w:rsidRPr="00ED5BD5" w:rsidRDefault="00ED5BD5" w:rsidP="00785061">
            <w:pPr>
              <w:jc w:val="center"/>
              <w:rPr>
                <w:rFonts w:ascii="Arial" w:eastAsia="Times New Roman" w:hAnsi="Arial" w:cs="Arial"/>
                <w:b/>
                <w:bCs/>
                <w:color w:val="000000" w:themeColor="text1"/>
                <w:sz w:val="20"/>
                <w:szCs w:val="20"/>
                <w:lang w:val="en-ID" w:eastAsia="en-ID"/>
              </w:rPr>
            </w:pPr>
            <w:r w:rsidRPr="00ED5BD5">
              <w:rPr>
                <w:rFonts w:ascii="Arial" w:eastAsia="Times New Roman" w:hAnsi="Arial" w:cs="Arial"/>
                <w:b/>
                <w:bCs/>
                <w:color w:val="000000" w:themeColor="text1"/>
                <w:sz w:val="20"/>
                <w:szCs w:val="20"/>
                <w:lang w:val="en-ID" w:eastAsia="en-ID"/>
              </w:rPr>
              <w:t>Measurement</w:t>
            </w:r>
          </w:p>
        </w:tc>
        <w:tc>
          <w:tcPr>
            <w:tcW w:w="2217" w:type="dxa"/>
            <w:shd w:val="clear" w:color="auto" w:fill="F2F2F2" w:themeFill="background1" w:themeFillShade="F2"/>
            <w:hideMark/>
          </w:tcPr>
          <w:p w14:paraId="02001649" w14:textId="77777777" w:rsidR="00ED5BD5" w:rsidRPr="00ED5BD5" w:rsidRDefault="00ED5BD5" w:rsidP="00785061">
            <w:pPr>
              <w:jc w:val="center"/>
              <w:rPr>
                <w:rFonts w:ascii="Arial" w:eastAsia="Times New Roman" w:hAnsi="Arial" w:cs="Arial"/>
                <w:b/>
                <w:bCs/>
                <w:color w:val="000000" w:themeColor="text1"/>
                <w:sz w:val="20"/>
                <w:szCs w:val="20"/>
                <w:lang w:val="en-ID" w:eastAsia="en-ID"/>
              </w:rPr>
            </w:pPr>
            <w:r w:rsidRPr="00ED5BD5">
              <w:rPr>
                <w:rFonts w:ascii="Arial" w:eastAsia="Times New Roman" w:hAnsi="Arial" w:cs="Arial"/>
                <w:b/>
                <w:bCs/>
                <w:color w:val="000000" w:themeColor="text1"/>
                <w:sz w:val="20"/>
                <w:szCs w:val="20"/>
                <w:lang w:val="en-ID" w:eastAsia="en-ID"/>
              </w:rPr>
              <w:t>Source</w:t>
            </w:r>
          </w:p>
        </w:tc>
      </w:tr>
      <w:tr w:rsidR="00ED5BD5" w:rsidRPr="00ED5BD5" w14:paraId="0443696F" w14:textId="77777777" w:rsidTr="00785061">
        <w:tc>
          <w:tcPr>
            <w:tcW w:w="2547" w:type="dxa"/>
            <w:hideMark/>
          </w:tcPr>
          <w:p w14:paraId="027B379B"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Return on Assets (ROA)</w:t>
            </w:r>
          </w:p>
        </w:tc>
        <w:tc>
          <w:tcPr>
            <w:tcW w:w="4252" w:type="dxa"/>
            <w:hideMark/>
          </w:tcPr>
          <w:p w14:paraId="4C10F080"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(Net Income) / (Total Assets)</w:t>
            </w:r>
          </w:p>
        </w:tc>
        <w:tc>
          <w:tcPr>
            <w:tcW w:w="2217" w:type="dxa"/>
          </w:tcPr>
          <w:p w14:paraId="40E74B60" w14:textId="77777777" w:rsidR="00ED5BD5" w:rsidRPr="00ED5BD5" w:rsidRDefault="00ED5BD5" w:rsidP="00785061">
            <w:pPr>
              <w:pStyle w:val="ListParagraph"/>
              <w:ind w:left="39" w:hanging="39"/>
              <w:rPr>
                <w:rFonts w:ascii="Arial" w:hAnsi="Arial" w:cs="Arial"/>
                <w:noProof/>
                <w:color w:val="000000" w:themeColor="text1"/>
                <w:sz w:val="20"/>
                <w:szCs w:val="20"/>
              </w:rPr>
            </w:pPr>
            <w:r w:rsidRPr="00ED5BD5">
              <w:rPr>
                <w:rFonts w:ascii="Arial" w:hAnsi="Arial" w:cs="Arial"/>
                <w:noProof/>
                <w:color w:val="000000" w:themeColor="text1"/>
                <w:sz w:val="20"/>
                <w:szCs w:val="20"/>
              </w:rPr>
              <w:fldChar w:fldCharType="begin" w:fldLock="1"/>
            </w:r>
            <w:r w:rsidRPr="00ED5BD5">
              <w:rPr>
                <w:rFonts w:ascii="Arial" w:hAnsi="Arial" w:cs="Arial"/>
                <w:noProof/>
                <w:color w:val="000000" w:themeColor="text1"/>
                <w:sz w:val="20"/>
                <w:szCs w:val="20"/>
              </w:rPr>
              <w:instrText>ADDIN CSL_CITATION {"citationItems":[{"id":"ITEM-1","itemData":{"DOI":"10.3390/su141912763","ISSN":"20711050","abstract":"The effects of intellectual capital on firm performance have been extensively investigated. However, the important role of corporate social responsibility in moderating this intellectual capital–performance nexus has largely been neglected in the existing literature. This study uses a sample of 60 listed firms on the Ho Chi Minh Stock Exchange from 2011 to 2020 to examine the independent and joint effects of intellectual capital and corporate social responsibility on firm performance in Vietnam. The generalized method of moments is used. We find that both independent and joint effects exist. Furthermore, our results suggest that structural capital efficiency and capital employed efficiency are the two critical components of intellectual capital affecting firm performance. Interestingly, the joint effects of intellectual capital and CSR on firm performance are also confirmed in our analysis. These findings shed light on important policy implications concerning managerial policies targeting both intellectual capital and corporate social activities to improve firm performance in Vietnam.","author":[{"dropping-particle":"","family":"Tran","given":"Ngoc Phu","non-dropping-particle":"","parse-names":false,"suffix":""},{"dropping-particle":"","family":"Dinh","given":"Co Thi Huyen","non-dropping-particle":"","parse-names":false,"suffix":""},{"dropping-particle":"","family":"Hoang","given":"Hien Thi Thu","non-dropping-particle":"","parse-names":false,"suffix":""},{"dropping-particle":"","family":"Vo","given":"Duc Hong","non-dropping-particle":"","parse-names":false,"suffix":""}],"container-title":"Sustainability (Switzerland)","id":"ITEM-1","issue":"19","issued":{"date-parts":[["2022"]]},"title":"Intellectual Capital and Firm Performance in Vietnam: The Moderating Role of Corporate Social Responsibility","type":"article-journal","volume":"14"},"uris":["http://www.mendeley.com/documents/?uuid=0dbccc15-e91d-48b1-aad1-5dd15b20d8f5"]}],"mendeley":{"formattedCitation":"(Tran et al., 2022)","plainTextFormattedCitation":"(Tran et al., 2022)","previouslyFormattedCitation":"(Tran et al., 2022)"},"properties":{"noteIndex":0},"schema":"https://github.com/citation-style-language/schema/raw/master/csl-citation.json"}</w:instrText>
            </w:r>
            <w:r w:rsidRPr="00ED5BD5">
              <w:rPr>
                <w:rFonts w:ascii="Arial" w:hAnsi="Arial" w:cs="Arial"/>
                <w:noProof/>
                <w:color w:val="000000" w:themeColor="text1"/>
                <w:sz w:val="20"/>
                <w:szCs w:val="20"/>
              </w:rPr>
              <w:fldChar w:fldCharType="separate"/>
            </w:r>
            <w:r w:rsidRPr="00ED5BD5">
              <w:rPr>
                <w:rFonts w:ascii="Arial" w:hAnsi="Arial" w:cs="Arial"/>
                <w:noProof/>
                <w:color w:val="000000" w:themeColor="text1"/>
                <w:sz w:val="20"/>
                <w:szCs w:val="20"/>
              </w:rPr>
              <w:t>(Tran et al., 2022)</w:t>
            </w:r>
            <w:r w:rsidRPr="00ED5BD5">
              <w:rPr>
                <w:rFonts w:ascii="Arial" w:hAnsi="Arial" w:cs="Arial"/>
                <w:noProof/>
                <w:color w:val="000000" w:themeColor="text1"/>
                <w:sz w:val="20"/>
                <w:szCs w:val="20"/>
              </w:rPr>
              <w:fldChar w:fldCharType="end"/>
            </w:r>
          </w:p>
        </w:tc>
      </w:tr>
      <w:tr w:rsidR="00ED5BD5" w:rsidRPr="00ED5BD5" w14:paraId="353AA794" w14:textId="77777777" w:rsidTr="00785061">
        <w:tc>
          <w:tcPr>
            <w:tcW w:w="2547" w:type="dxa"/>
            <w:hideMark/>
          </w:tcPr>
          <w:p w14:paraId="29308CB6"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Green Credit (GC)</w:t>
            </w:r>
          </w:p>
        </w:tc>
        <w:tc>
          <w:tcPr>
            <w:tcW w:w="4252" w:type="dxa"/>
            <w:hideMark/>
          </w:tcPr>
          <w:p w14:paraId="4692DD3C"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(Green Credit) / (Total Credit)</w:t>
            </w:r>
          </w:p>
        </w:tc>
        <w:tc>
          <w:tcPr>
            <w:tcW w:w="2217" w:type="dxa"/>
          </w:tcPr>
          <w:p w14:paraId="0B3E2CB4" w14:textId="77777777" w:rsidR="00ED5BD5" w:rsidRPr="00ED5BD5" w:rsidRDefault="00ED5BD5" w:rsidP="00785061">
            <w:pPr>
              <w:pStyle w:val="ListParagraph"/>
              <w:ind w:left="39" w:hanging="39"/>
              <w:rPr>
                <w:rFonts w:ascii="Arial" w:hAnsi="Arial" w:cs="Arial"/>
                <w:sz w:val="20"/>
                <w:szCs w:val="20"/>
              </w:rPr>
            </w:pPr>
            <w:r w:rsidRPr="00ED5BD5">
              <w:rPr>
                <w:rFonts w:ascii="Arial" w:hAnsi="Arial" w:cs="Arial"/>
                <w:sz w:val="20"/>
                <w:szCs w:val="20"/>
              </w:rPr>
              <w:fldChar w:fldCharType="begin" w:fldLock="1"/>
            </w:r>
            <w:r w:rsidRPr="00ED5BD5">
              <w:rPr>
                <w:rFonts w:ascii="Arial" w:hAnsi="Arial" w:cs="Arial"/>
                <w:sz w:val="20"/>
                <w:szCs w:val="20"/>
              </w:rPr>
              <w:instrText>ADDIN CSL_CITATION {"citationItems":[{"id":"ITEM-1","itemData":{"DOI":"10.1051/e3sconf/202021403008","ISSN":"22671242","abstract":"This paper reviews the literature on green credit, and has a further understanding of the basic concepts of green credit and profitability of commercial banks, as well as the development status of green credit in China in recent years. Based on empirical data analysis, supplemented by theoretical analysis, this paper makes an empirical analysis of the impact of green credit on the profitability of China's commercial banks. Finally, according to the results of the empirical analysis, the corresponding opinions and suggestions are given.","author":[{"dropping-particle":"","family":"Danye","given":"Huang","non-dropping-particle":"","parse-names":false,"suffix":""}],"container-title":"E3S Web of Conferences","id":"ITEM-1","issued":{"date-parts":[["2020"]]},"page":"1-5","title":"Research on the Impact of Green Credit on Profitability of Commercial Banks in China","type":"article-journal","volume":"214"},"uris":["http://www.mendeley.com/documents/?uuid=abf56da5-0027-4672-8a3a-9df7c5ebf591"]}],"mendeley":{"formattedCitation":"(Danye, 2020)","plainTextFormattedCitation":"(Danye, 2020)","previouslyFormattedCitation":"(Danye, 2020)"},"properties":{"noteIndex":0},"schema":"https://github.com/citation-style-language/schema/raw/master/csl-citation.json"}</w:instrText>
            </w:r>
            <w:r w:rsidRPr="00ED5BD5">
              <w:rPr>
                <w:rFonts w:ascii="Arial" w:hAnsi="Arial" w:cs="Arial"/>
                <w:sz w:val="20"/>
                <w:szCs w:val="20"/>
              </w:rPr>
              <w:fldChar w:fldCharType="separate"/>
            </w:r>
            <w:r w:rsidRPr="00ED5BD5">
              <w:rPr>
                <w:rFonts w:ascii="Arial" w:hAnsi="Arial" w:cs="Arial"/>
                <w:noProof/>
                <w:sz w:val="20"/>
                <w:szCs w:val="20"/>
              </w:rPr>
              <w:t>(Danye, 2020)</w:t>
            </w:r>
            <w:r w:rsidRPr="00ED5BD5">
              <w:rPr>
                <w:rFonts w:ascii="Arial" w:hAnsi="Arial" w:cs="Arial"/>
                <w:sz w:val="20"/>
                <w:szCs w:val="20"/>
              </w:rPr>
              <w:fldChar w:fldCharType="end"/>
            </w:r>
            <w:r w:rsidRPr="00ED5BD5">
              <w:rPr>
                <w:rFonts w:ascii="Arial" w:hAnsi="Arial" w:cs="Arial"/>
                <w:sz w:val="20"/>
                <w:szCs w:val="20"/>
              </w:rPr>
              <w:t xml:space="preserve">, </w:t>
            </w:r>
          </w:p>
          <w:p w14:paraId="6B45AA10" w14:textId="77777777" w:rsidR="00ED5BD5" w:rsidRPr="00ED5BD5" w:rsidRDefault="00ED5BD5" w:rsidP="00785061">
            <w:pPr>
              <w:pStyle w:val="ListParagraph"/>
              <w:ind w:left="39" w:hanging="39"/>
              <w:rPr>
                <w:rFonts w:ascii="Arial" w:hAnsi="Arial" w:cs="Arial"/>
                <w:sz w:val="20"/>
                <w:szCs w:val="20"/>
              </w:rPr>
            </w:pPr>
            <w:r w:rsidRPr="00ED5BD5">
              <w:rPr>
                <w:rFonts w:ascii="Arial" w:hAnsi="Arial" w:cs="Arial"/>
                <w:sz w:val="20"/>
                <w:szCs w:val="20"/>
              </w:rPr>
              <w:fldChar w:fldCharType="begin" w:fldLock="1"/>
            </w:r>
            <w:r w:rsidRPr="00ED5BD5">
              <w:rPr>
                <w:rFonts w:ascii="Arial" w:hAnsi="Arial" w:cs="Arial"/>
                <w:sz w:val="20"/>
                <w:szCs w:val="20"/>
              </w:rPr>
              <w:instrText>ADDIN CSL_CITATION {"citationItems":[{"id":"ITEM-1","itemData":{"DOI":"https://doi.org/10.1016/j.jclepro.2022.131069","abstract":"As a major component of China's green finance system, the Chinese government is vigorously encouraging commercial banks to issue green credit. This study examines the impact of green credit on the financial performance of banks from the perspective of heterogeneous regional green development. Using unbalanced panel data for 34 Chinese commercial banks from 2007 to 2018, we empirically examine the impact of green credit issued by commercial banks on their financial performance using a fixed effects model. The results show that green credit improves commercial banks' financial performance, and this improvement is mainly derived from the positive effect of green credit on the rate of return on banks' interest-bearing assets, the level of green development can increase the economic benefits of green credit issued by banks, and higher green economic growth and greater support through government environmental policies imply a higher positive impact of green credit on the financial performance of banks. In conclusion, commercial banks should actively develop their green credit business, and the government should strengthen their green credit incentivizing policies to promote the coordinated development of green finance and a green economy. Introduction Since the 1990s, the global economy has gradually moved toward green, environmentally friendly, and sustainable development. From Agenda 21 adopted at the “Earth Summit” in 1992 to the Kyoto Protocol in 1997, as a supplement to the United Nations Framework Convention on Climate Change, and then to the Paris Agreement adopted in 2015, the importance of a green economy has been repeatedly highlighted. As huge amounts of capital are required for the development of a green economy, the concept of “green finance” has emerged. It is a requirement of green finance that the financial industry should pay attention to ecological protection in relation to investment, increase governance regarding environmental pollution, provide increased support for the development of environmentally friendly industries and innovative green technologies, and promote the sustainable development of the economy and coordinated ecological development by guiding the direction of capital investment (Gray, 2002; Weber, 2014) (Gray and R. Of Messiness, 2002; Weber, 2014). “Green credit system” which is an important element of the green financial system, includes policies, institutional arrangements, and practices that promote energy conservation …","author":[{"dropping-particle":"","family":"Lian","given":"Yonghui","non-dropping-particle":"","parse-names":false,"suffix":""},{"dropping-particle":"","family":"Gao","given":"Jieying","non-dropping-particle":"","parse-names":false,"suffix":""},{"dropping-particle":"","family":"Ye","given":"Tao","non-dropping-particle":"","parse-names":false,"suffix":""}],"container-title":"Journal of Cleaner Production","id":"ITEM-1","issued":{"date-parts":[["2022"]]},"title":"How does Green Credit affect the Financial Performance of Commercial Banks? Evidence from China","type":"article-journal","volume":"344"},"uris":["http://www.mendeley.com/documents/?uuid=91f34440-6d4f-3cc2-bdc3-ae2695564c1d"]}],"mendeley":{"formattedCitation":"(Lian et al., 2022)","plainTextFormattedCitation":"(Lian et al., 2022)","previouslyFormattedCitation":"(Y. Lian et al., 2022)"},"properties":{"noteIndex":0},"schema":"https://github.com/citation-style-language/schema/raw/master/csl-citation.json"}</w:instrText>
            </w:r>
            <w:r w:rsidRPr="00ED5BD5">
              <w:rPr>
                <w:rFonts w:ascii="Arial" w:hAnsi="Arial" w:cs="Arial"/>
                <w:sz w:val="20"/>
                <w:szCs w:val="20"/>
              </w:rPr>
              <w:fldChar w:fldCharType="separate"/>
            </w:r>
            <w:r w:rsidRPr="00ED5BD5">
              <w:rPr>
                <w:rFonts w:ascii="Arial" w:hAnsi="Arial" w:cs="Arial"/>
                <w:noProof/>
                <w:sz w:val="20"/>
                <w:szCs w:val="20"/>
              </w:rPr>
              <w:t>(Lian et al., 2022)</w:t>
            </w:r>
            <w:r w:rsidRPr="00ED5BD5">
              <w:rPr>
                <w:rFonts w:ascii="Arial" w:hAnsi="Arial" w:cs="Arial"/>
                <w:sz w:val="20"/>
                <w:szCs w:val="20"/>
              </w:rPr>
              <w:fldChar w:fldCharType="end"/>
            </w:r>
          </w:p>
          <w:p w14:paraId="6A9A1C40" w14:textId="77777777" w:rsidR="00ED5BD5" w:rsidRPr="00ED5BD5" w:rsidRDefault="00ED5BD5" w:rsidP="00785061">
            <w:pPr>
              <w:rPr>
                <w:rFonts w:ascii="Arial" w:eastAsia="Times New Roman" w:hAnsi="Arial" w:cs="Arial"/>
                <w:sz w:val="20"/>
                <w:szCs w:val="20"/>
                <w:lang w:val="en-ID" w:eastAsia="en-ID"/>
              </w:rPr>
            </w:pPr>
          </w:p>
        </w:tc>
      </w:tr>
      <w:tr w:rsidR="00ED5BD5" w:rsidRPr="00ED5BD5" w14:paraId="3E7B251E" w14:textId="77777777" w:rsidTr="00785061">
        <w:tc>
          <w:tcPr>
            <w:tcW w:w="2547" w:type="dxa"/>
            <w:hideMark/>
          </w:tcPr>
          <w:p w14:paraId="263BBAEC"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Green Corporate Social Responsibility (GCSR)</w:t>
            </w:r>
          </w:p>
        </w:tc>
        <w:tc>
          <w:tcPr>
            <w:tcW w:w="4252" w:type="dxa"/>
            <w:hideMark/>
          </w:tcPr>
          <w:p w14:paraId="5C7EC7A0"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(Total Charitable Contributions) / (Total Profit before Tax)</w:t>
            </w:r>
          </w:p>
          <w:p w14:paraId="06BD2171"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i/>
                <w:iCs/>
                <w:sz w:val="20"/>
                <w:szCs w:val="20"/>
                <w:lang w:val="en-ID" w:eastAsia="en-ID"/>
              </w:rPr>
              <w:t>Where:</w:t>
            </w:r>
            <w:r w:rsidRPr="00ED5BD5">
              <w:rPr>
                <w:rFonts w:ascii="Arial" w:eastAsia="Times New Roman" w:hAnsi="Arial" w:cs="Arial"/>
                <w:sz w:val="20"/>
                <w:szCs w:val="20"/>
                <w:lang w:val="en-ID" w:eastAsia="en-ID"/>
              </w:rPr>
              <w:t xml:space="preserve"> </w:t>
            </w:r>
            <w:r w:rsidRPr="00ED5BD5">
              <w:rPr>
                <w:rFonts w:ascii="Arial" w:eastAsia="Times New Roman" w:hAnsi="Arial" w:cs="Arial"/>
                <w:i/>
                <w:iCs/>
                <w:sz w:val="20"/>
                <w:szCs w:val="20"/>
                <w:lang w:val="en-ID" w:eastAsia="en-ID"/>
              </w:rPr>
              <w:t>Total charitable contributions</w:t>
            </w:r>
            <w:r w:rsidRPr="00ED5BD5">
              <w:rPr>
                <w:rFonts w:ascii="Arial" w:eastAsia="Times New Roman" w:hAnsi="Arial" w:cs="Arial"/>
                <w:sz w:val="20"/>
                <w:szCs w:val="20"/>
                <w:lang w:val="en-ID" w:eastAsia="en-ID"/>
              </w:rPr>
              <w:t xml:space="preserve"> refer to donations across various activities such as support for education, healthcare services, disaster relief, and environmental efforts aimed at improving sustainable living standards.</w:t>
            </w:r>
          </w:p>
        </w:tc>
        <w:tc>
          <w:tcPr>
            <w:tcW w:w="2217" w:type="dxa"/>
          </w:tcPr>
          <w:p w14:paraId="20B89723" w14:textId="77777777" w:rsidR="00ED5BD5" w:rsidRPr="00ED5BD5" w:rsidRDefault="00ED5BD5" w:rsidP="00785061">
            <w:pPr>
              <w:pStyle w:val="ListParagraph"/>
              <w:ind w:left="0" w:firstLine="39"/>
              <w:rPr>
                <w:rFonts w:ascii="Arial" w:hAnsi="Arial" w:cs="Arial"/>
                <w:noProof/>
                <w:color w:val="000000" w:themeColor="text1"/>
                <w:sz w:val="20"/>
                <w:szCs w:val="20"/>
              </w:rPr>
            </w:pPr>
            <w:r w:rsidRPr="00ED5BD5">
              <w:rPr>
                <w:rFonts w:ascii="Arial" w:hAnsi="Arial" w:cs="Arial"/>
                <w:noProof/>
                <w:color w:val="000000" w:themeColor="text1"/>
                <w:sz w:val="20"/>
                <w:szCs w:val="20"/>
              </w:rPr>
              <w:fldChar w:fldCharType="begin" w:fldLock="1"/>
            </w:r>
            <w:r w:rsidRPr="00ED5BD5">
              <w:rPr>
                <w:rFonts w:ascii="Arial" w:hAnsi="Arial" w:cs="Arial"/>
                <w:noProof/>
                <w:color w:val="000000" w:themeColor="text1"/>
                <w:sz w:val="20"/>
                <w:szCs w:val="20"/>
              </w:rPr>
              <w:instrText>ADDIN CSL_CITATION {"citationItems":[{"id":"ITEM-1","itemData":{"DOI":"10.3390/su141912763","ISSN":"20711050","abstract":"The effects of intellectual capital on firm performance have been extensively investigated. However, the important role of corporate social responsibility in moderating this intellectual capital–performance nexus has largely been neglected in the existing literature. This study uses a sample of 60 listed firms on the Ho Chi Minh Stock Exchange from 2011 to 2020 to examine the independent and joint effects of intellectual capital and corporate social responsibility on firm performance in Vietnam. The generalized method of moments is used. We find that both independent and joint effects exist. Furthermore, our results suggest that structural capital efficiency and capital employed efficiency are the two critical components of intellectual capital affecting firm performance. Interestingly, the joint effects of intellectual capital and CSR on firm performance are also confirmed in our analysis. These findings shed light on important policy implications concerning managerial policies targeting both intellectual capital and corporate social activities to improve firm performance in Vietnam.","author":[{"dropping-particle":"","family":"Tran","given":"Ngoc Phu","non-dropping-particle":"","parse-names":false,"suffix":""},{"dropping-particle":"","family":"Dinh","given":"Co Thi Huyen","non-dropping-particle":"","parse-names":false,"suffix":""},{"dropping-particle":"","family":"Hoang","given":"Hien Thi Thu","non-dropping-particle":"","parse-names":false,"suffix":""},{"dropping-particle":"","family":"Vo","given":"Duc Hong","non-dropping-particle":"","parse-names":false,"suffix":""}],"container-title":"Sustainability (Switzerland)","id":"ITEM-1","issue":"19","issued":{"date-parts":[["2022"]]},"title":"Intellectual Capital and Firm Performance in Vietnam: The Moderating Role of Corporate Social Responsibility","type":"article-journal","volume":"14"},"uris":["http://www.mendeley.com/documents/?uuid=0dbccc15-e91d-48b1-aad1-5dd15b20d8f5"]}],"mendeley":{"formattedCitation":"(Tran et al., 2022)","plainTextFormattedCitation":"(Tran et al., 2022)","previouslyFormattedCitation":"(Tran et al., 2022)"},"properties":{"noteIndex":0},"schema":"https://github.com/citation-style-language/schema/raw/master/csl-citation.json"}</w:instrText>
            </w:r>
            <w:r w:rsidRPr="00ED5BD5">
              <w:rPr>
                <w:rFonts w:ascii="Arial" w:hAnsi="Arial" w:cs="Arial"/>
                <w:noProof/>
                <w:color w:val="000000" w:themeColor="text1"/>
                <w:sz w:val="20"/>
                <w:szCs w:val="20"/>
              </w:rPr>
              <w:fldChar w:fldCharType="separate"/>
            </w:r>
            <w:r w:rsidRPr="00ED5BD5">
              <w:rPr>
                <w:rFonts w:ascii="Arial" w:hAnsi="Arial" w:cs="Arial"/>
                <w:noProof/>
                <w:color w:val="000000" w:themeColor="text1"/>
                <w:sz w:val="20"/>
                <w:szCs w:val="20"/>
              </w:rPr>
              <w:t>(Tran et al., 2022)</w:t>
            </w:r>
            <w:r w:rsidRPr="00ED5BD5">
              <w:rPr>
                <w:rFonts w:ascii="Arial" w:hAnsi="Arial" w:cs="Arial"/>
                <w:noProof/>
                <w:color w:val="000000" w:themeColor="text1"/>
                <w:sz w:val="20"/>
                <w:szCs w:val="20"/>
              </w:rPr>
              <w:fldChar w:fldCharType="end"/>
            </w:r>
          </w:p>
          <w:p w14:paraId="648ADE33" w14:textId="77777777" w:rsidR="00ED5BD5" w:rsidRPr="00ED5BD5" w:rsidRDefault="00ED5BD5" w:rsidP="00785061">
            <w:pPr>
              <w:rPr>
                <w:rFonts w:ascii="Arial" w:eastAsia="Times New Roman" w:hAnsi="Arial" w:cs="Arial"/>
                <w:sz w:val="20"/>
                <w:szCs w:val="20"/>
                <w:lang w:val="en-ID" w:eastAsia="en-ID"/>
              </w:rPr>
            </w:pPr>
          </w:p>
        </w:tc>
      </w:tr>
      <w:tr w:rsidR="00ED5BD5" w:rsidRPr="00ED5BD5" w14:paraId="25DFEC5A" w14:textId="77777777" w:rsidTr="00785061">
        <w:tc>
          <w:tcPr>
            <w:tcW w:w="2547" w:type="dxa"/>
            <w:hideMark/>
          </w:tcPr>
          <w:p w14:paraId="154BBA88"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Digital Financial Inclusion (DFI)</w:t>
            </w:r>
          </w:p>
        </w:tc>
        <w:tc>
          <w:tcPr>
            <w:tcW w:w="4252" w:type="dxa"/>
            <w:hideMark/>
          </w:tcPr>
          <w:p w14:paraId="153FA397"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 xml:space="preserve">∑X / n </w:t>
            </w:r>
          </w:p>
          <w:p w14:paraId="45738377"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i/>
                <w:iCs/>
                <w:sz w:val="20"/>
                <w:szCs w:val="20"/>
                <w:lang w:val="en-ID" w:eastAsia="en-ID"/>
              </w:rPr>
              <w:t>Where:</w:t>
            </w:r>
            <w:r w:rsidRPr="00ED5BD5">
              <w:rPr>
                <w:rFonts w:ascii="Arial" w:eastAsia="Times New Roman" w:hAnsi="Arial" w:cs="Arial"/>
                <w:sz w:val="20"/>
                <w:szCs w:val="20"/>
                <w:lang w:val="en-ID" w:eastAsia="en-ID"/>
              </w:rPr>
              <w:t xml:space="preserve"> ∑X = number of DFI items implemented by each bank n = total of 8 DFI items: internet banking, mobile banking, cloud computing, data management (big data analysis), artificial intelligence, blockchain, QR payment, and electronic money (e-money).</w:t>
            </w:r>
          </w:p>
        </w:tc>
        <w:tc>
          <w:tcPr>
            <w:tcW w:w="2217" w:type="dxa"/>
          </w:tcPr>
          <w:p w14:paraId="7B873B20" w14:textId="77777777" w:rsidR="00ED5BD5" w:rsidRPr="00ED5BD5" w:rsidRDefault="00ED5BD5" w:rsidP="00785061">
            <w:pPr>
              <w:rPr>
                <w:rFonts w:ascii="Arial" w:eastAsia="Times New Roman" w:hAnsi="Arial" w:cs="Arial"/>
                <w:sz w:val="20"/>
                <w:szCs w:val="20"/>
              </w:rPr>
            </w:pPr>
            <w:r w:rsidRPr="00ED5BD5">
              <w:rPr>
                <w:rFonts w:ascii="Arial" w:hAnsi="Arial" w:cs="Arial"/>
              </w:rPr>
              <w:fldChar w:fldCharType="begin" w:fldLock="1"/>
            </w:r>
            <w:r w:rsidRPr="00ED5BD5">
              <w:rPr>
                <w:rFonts w:ascii="Arial" w:eastAsia="Times New Roman" w:hAnsi="Arial" w:cs="Arial"/>
                <w:sz w:val="20"/>
                <w:szCs w:val="20"/>
              </w:rPr>
              <w:instrText>ADDIN CSL_CITATION {"citationItems":[{"id":"ITEM-1","itemData":{"DOI":"10.1016/j.techfore.2021.121120","ISSN":"00401625","abstract":"The performance implications of digitalization among incumbents in the financial services industry are largely under investigated. To fill this gap, this study adopts the perspective of inertia and explores how the interaction of digitalization with entrepreneurial orientation, firm assets, and organizational legitimacy influences the performance of incumbents in the financial services industry. Using panel data covering listed banks in China during 2007–2019, we find that while digitalization alone does not improve incumbents' performance, the interaction between digitalization and entrepreneurial orientation can contribute to performance as entrepreneurial orientation strengthens. When firm assets are large, digitalization does not contribute to performance, but it does contribute when firm assets are relatively small. The interaction between digitalization and organizational legitimacy undermines incumbents' performance as organizational legitimacy increases. By bridging the entrepreneurship and legitimacy literature using the perspective of inertia, this study identifies the contingency factors affecting the performance implications of the digitalization of financial services industry incumbents, suggesting that they can achieve benefits from digitalization through reductions in inertia.","author":[{"dropping-particle":"","family":"Zhou","given":"Dan","non-dropping-particle":"","parse-names":false,"suffix":""},{"dropping-particle":"","family":"Kautonen","given":"Mika","non-dropping-particle":"","parse-names":false,"suffix":""},{"dropping-particle":"","family":"Dai","given":"Weiqi","non-dropping-particle":"","parse-names":false,"suffix":""},{"dropping-particle":"","family":"Zhang","given":"Hui","non-dropping-particle":"","parse-names":false,"suffix":""}],"container-title":"Technological Forecasting and Social Change","id":"ITEM-1","issue":"August","issued":{"date-parts":[["2021"]]},"page":"121120","publisher":"Elsevier Inc.","title":"Exploring How Digitalization Influences Incumbents in Financial Services: The Role of Entrepreneurial Orientation, Firm assets, and Organizational Legitimacy","type":"article-journal","volume":"173"},"uris":["http://www.mendeley.com/documents/?uuid=ca348c0a-eaad-4845-bbc0-7938221eaac7"]}],"mendeley":{"formattedCitation":"(Dan Zhou et al., 2021)","plainTextFormattedCitation":"(Dan Zhou et al., 2021)","previouslyFormattedCitation":"(D. Zhou et al., 2021)"},"properties":{"noteIndex":0},"schema":"https://github.com/citation-style-language/schema/raw/master/csl-citation.json"}</w:instrText>
            </w:r>
            <w:r w:rsidRPr="00ED5BD5">
              <w:rPr>
                <w:rFonts w:ascii="Arial" w:hAnsi="Arial" w:cs="Arial"/>
              </w:rPr>
              <w:fldChar w:fldCharType="separate"/>
            </w:r>
            <w:r w:rsidRPr="00ED5BD5">
              <w:rPr>
                <w:rFonts w:ascii="Arial" w:eastAsia="Times New Roman" w:hAnsi="Arial" w:cs="Arial"/>
                <w:noProof/>
                <w:sz w:val="20"/>
                <w:szCs w:val="20"/>
              </w:rPr>
              <w:t>(Dan Zhou et al., 2021)</w:t>
            </w:r>
            <w:r w:rsidRPr="00ED5BD5">
              <w:rPr>
                <w:rFonts w:ascii="Arial" w:hAnsi="Arial" w:cs="Arial"/>
              </w:rPr>
              <w:fldChar w:fldCharType="end"/>
            </w:r>
          </w:p>
          <w:p w14:paraId="0DF44519" w14:textId="77777777" w:rsidR="00ED5BD5" w:rsidRPr="00ED5BD5" w:rsidRDefault="00ED5BD5" w:rsidP="00785061">
            <w:pPr>
              <w:rPr>
                <w:rFonts w:ascii="Arial" w:eastAsia="Times New Roman" w:hAnsi="Arial" w:cs="Arial"/>
                <w:sz w:val="20"/>
                <w:szCs w:val="20"/>
              </w:rPr>
            </w:pPr>
            <w:r w:rsidRPr="00ED5BD5">
              <w:rPr>
                <w:rFonts w:ascii="Arial" w:hAnsi="Arial" w:cs="Arial"/>
              </w:rPr>
              <w:fldChar w:fldCharType="begin" w:fldLock="1"/>
            </w:r>
            <w:r w:rsidRPr="00ED5BD5">
              <w:rPr>
                <w:rFonts w:ascii="Arial" w:eastAsia="Times New Roman" w:hAnsi="Arial" w:cs="Arial"/>
                <w:sz w:val="20"/>
                <w:szCs w:val="20"/>
              </w:rPr>
              <w:instrText>ADDIN CSL_CITATION {"citationItems":[{"id":"ITEM-1","itemData":{"DOI":"10.46799/ijssr.v3i2.254","ISSN":"2807-839X","abstract":"This study aims to identify the impact of bank digitization on the financial performance of companies in the Indonesian banking sector. The study uses his three-year (2018-2020) panel data of banking companies listed on the Indonesia Stock Exchange, covering 40 banks and 120 observations. Data were analyzed using panel data regression with a fixed effects model. The analysis tool used in this study is Eviews version 10. The results of this study show that the application of banking digitalization in the form of digital technology adaptation in banking firms has a negative impact on financial performance as measured by return on investment. These results highlight that the use of digital technology failed to improve the financial performance of Indonesian banks. As factual information, the study serves as the basis for decisions regarding the application of digital technology in banking companies. Investors are especially careful when investing in companies that use digital technology.","author":[{"dropping-particle":"","family":"Coryanata","given":"Isma","non-dropping-particle":"","parse-names":false,"suffix":""},{"dropping-particle":"","family":"Ramli","given":"Elisa Hawalia","non-dropping-particle":"","parse-names":false,"suffix":""},{"dropping-particle":"","family":"Puspita","given":"Lisa Martiah Nila","non-dropping-particle":"","parse-names":false,"suffix":""},{"dropping-particle":"","family":"Halimatusyadiah","given":"","non-dropping-particle":"","parse-names":false,"suffix":""}],"container-title":"International Journal of Social Service and Research","id":"ITEM-1","issue":"2","issued":{"date-parts":[["2023"]]},"page":"366-371","title":"Digitalization of Banking and Financial Performance of Banking Companies","type":"article-journal","volume":"3"},"uris":["http://www.mendeley.com/documents/?uuid=ce576184-9aa0-4c16-95ec-2b6a84d5f833"]}],"mendeley":{"formattedCitation":"(Coryanata et al., 2023)","plainTextFormattedCitation":"(Coryanata et al., 2023)","previouslyFormattedCitation":"(Coryanata et al., 2023)"},"properties":{"noteIndex":0},"schema":"https://github.com/citation-style-language/schema/raw/master/csl-citation.json"}</w:instrText>
            </w:r>
            <w:r w:rsidRPr="00ED5BD5">
              <w:rPr>
                <w:rFonts w:ascii="Arial" w:hAnsi="Arial" w:cs="Arial"/>
              </w:rPr>
              <w:fldChar w:fldCharType="separate"/>
            </w:r>
            <w:r w:rsidRPr="00ED5BD5">
              <w:rPr>
                <w:rFonts w:ascii="Arial" w:eastAsia="Times New Roman" w:hAnsi="Arial" w:cs="Arial"/>
                <w:noProof/>
                <w:sz w:val="20"/>
                <w:szCs w:val="20"/>
              </w:rPr>
              <w:t>(Coryanata et al., 2023)</w:t>
            </w:r>
            <w:r w:rsidRPr="00ED5BD5">
              <w:rPr>
                <w:rFonts w:ascii="Arial" w:hAnsi="Arial" w:cs="Arial"/>
              </w:rPr>
              <w:fldChar w:fldCharType="end"/>
            </w:r>
          </w:p>
          <w:p w14:paraId="6F0B76F8" w14:textId="77777777" w:rsidR="00ED5BD5" w:rsidRPr="00ED5BD5" w:rsidRDefault="00ED5BD5" w:rsidP="00785061">
            <w:pPr>
              <w:rPr>
                <w:rFonts w:ascii="Arial" w:eastAsia="Times New Roman" w:hAnsi="Arial" w:cs="Arial"/>
                <w:sz w:val="20"/>
                <w:szCs w:val="20"/>
                <w:lang w:val="en-ID" w:eastAsia="en-ID"/>
              </w:rPr>
            </w:pPr>
          </w:p>
        </w:tc>
      </w:tr>
      <w:tr w:rsidR="00ED5BD5" w:rsidRPr="00ED5BD5" w14:paraId="73C885DE" w14:textId="77777777" w:rsidTr="00785061">
        <w:tc>
          <w:tcPr>
            <w:tcW w:w="2547" w:type="dxa"/>
            <w:hideMark/>
          </w:tcPr>
          <w:p w14:paraId="1A7AEDAC"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Non-Performing Loans (NPL)</w:t>
            </w:r>
          </w:p>
        </w:tc>
        <w:tc>
          <w:tcPr>
            <w:tcW w:w="4252" w:type="dxa"/>
            <w:hideMark/>
          </w:tcPr>
          <w:p w14:paraId="78FCA311"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(Non-Performing Loans) / (Total Loans)</w:t>
            </w:r>
          </w:p>
        </w:tc>
        <w:tc>
          <w:tcPr>
            <w:tcW w:w="2217" w:type="dxa"/>
          </w:tcPr>
          <w:p w14:paraId="0F08BD3D" w14:textId="77777777" w:rsidR="00ED5BD5" w:rsidRPr="00ED5BD5" w:rsidRDefault="00ED5BD5" w:rsidP="00785061">
            <w:pPr>
              <w:pStyle w:val="ListParagraph"/>
              <w:ind w:left="0" w:firstLine="39"/>
              <w:rPr>
                <w:rFonts w:ascii="Arial" w:hAnsi="Arial" w:cs="Arial"/>
                <w:sz w:val="20"/>
                <w:szCs w:val="20"/>
              </w:rPr>
            </w:pPr>
            <w:r w:rsidRPr="00ED5BD5">
              <w:rPr>
                <w:rFonts w:ascii="Arial" w:hAnsi="Arial" w:cs="Arial"/>
                <w:sz w:val="20"/>
                <w:szCs w:val="20"/>
              </w:rPr>
              <w:fldChar w:fldCharType="begin" w:fldLock="1"/>
            </w:r>
            <w:r w:rsidRPr="00ED5BD5">
              <w:rPr>
                <w:rFonts w:ascii="Arial" w:hAnsi="Arial" w:cs="Arial"/>
                <w:sz w:val="20"/>
                <w:szCs w:val="20"/>
              </w:rPr>
              <w:instrText>ADDIN CSL_CITATION {"citationItems":[{"id":"ITEM-1","itemData":{"DOI":"10.9790/5933-1505054248","author":[{"dropping-particle":"","family":"Atisu","given":"Jerome Christopher","non-dropping-particle":"","parse-names":false,"suffix":""},{"dropping-particle":"","family":"Mensah","given":"Nicholas","non-dropping-particle":"","parse-names":false,"suffix":""},{"dropping-particle":"","family":"Alipoe","given":"Stanley Agbenya","non-dropping-particle":"","parse-names":false,"suffix":""},{"dropping-particle":"","family":"Abdul-Rahman","given":"Saaka","non-dropping-particle":"","parse-names":false,"suffix":""}],"container-title":"Journal of Economics And Finance","id":"ITEM-1","issue":"5","issued":{"date-parts":[["2024"]]},"page":"42-48","title":"The Effect Of Non-Performing Loans On The Financial Performance Of Commercial Banks In Ghana","type":"article-journal","volume":"15"},"uris":["http://www.mendeley.com/documents/?uuid=50e4265d-b7d1-4483-a21b-21ec952e19ab"]}],"mendeley":{"formattedCitation":"(Atisu, Mensah, Alipoe, &amp; Abdul-Rahman, 2024)","plainTextFormattedCitation":"(Atisu, Mensah, Alipoe, &amp; Abdul-Rahman, 2024)","previouslyFormattedCitation":"(Atisu et al., 2024)"},"properties":{"noteIndex":0},"schema":"https://github.com/citation-style-language/schema/raw/master/csl-citation.json"}</w:instrText>
            </w:r>
            <w:r w:rsidRPr="00ED5BD5">
              <w:rPr>
                <w:rFonts w:ascii="Arial" w:hAnsi="Arial" w:cs="Arial"/>
                <w:sz w:val="20"/>
                <w:szCs w:val="20"/>
              </w:rPr>
              <w:fldChar w:fldCharType="separate"/>
            </w:r>
            <w:r w:rsidRPr="00ED5BD5">
              <w:rPr>
                <w:rFonts w:ascii="Arial" w:hAnsi="Arial" w:cs="Arial"/>
                <w:noProof/>
                <w:sz w:val="20"/>
                <w:szCs w:val="20"/>
              </w:rPr>
              <w:t>(Atisu, Mensah, Alipoe, &amp; Abdul-Rahman, 2024)</w:t>
            </w:r>
            <w:r w:rsidRPr="00ED5BD5">
              <w:rPr>
                <w:rFonts w:ascii="Arial" w:hAnsi="Arial" w:cs="Arial"/>
                <w:sz w:val="20"/>
                <w:szCs w:val="20"/>
              </w:rPr>
              <w:fldChar w:fldCharType="end"/>
            </w:r>
          </w:p>
          <w:p w14:paraId="5D507C97" w14:textId="77777777" w:rsidR="00ED5BD5" w:rsidRPr="00ED5BD5" w:rsidRDefault="00ED5BD5" w:rsidP="00785061">
            <w:pPr>
              <w:rPr>
                <w:rFonts w:ascii="Arial" w:eastAsia="Times New Roman" w:hAnsi="Arial" w:cs="Arial"/>
                <w:sz w:val="20"/>
                <w:szCs w:val="20"/>
                <w:lang w:val="en-ID" w:eastAsia="en-ID"/>
              </w:rPr>
            </w:pPr>
          </w:p>
        </w:tc>
      </w:tr>
      <w:tr w:rsidR="00ED5BD5" w:rsidRPr="00ED5BD5" w14:paraId="65153A10" w14:textId="77777777" w:rsidTr="00785061">
        <w:tc>
          <w:tcPr>
            <w:tcW w:w="2547" w:type="dxa"/>
            <w:hideMark/>
          </w:tcPr>
          <w:p w14:paraId="6EC48DC2"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Bank Size</w:t>
            </w:r>
          </w:p>
        </w:tc>
        <w:tc>
          <w:tcPr>
            <w:tcW w:w="4252" w:type="dxa"/>
            <w:hideMark/>
          </w:tcPr>
          <w:p w14:paraId="057F2BEA"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Natural logarithm of total assets</w:t>
            </w:r>
          </w:p>
        </w:tc>
        <w:tc>
          <w:tcPr>
            <w:tcW w:w="2217" w:type="dxa"/>
          </w:tcPr>
          <w:p w14:paraId="7AC45ACA" w14:textId="77777777" w:rsidR="00ED5BD5" w:rsidRPr="00ED5BD5" w:rsidRDefault="00ED5BD5" w:rsidP="00785061">
            <w:pPr>
              <w:rPr>
                <w:rFonts w:ascii="Arial" w:hAnsi="Arial" w:cs="Arial"/>
                <w:noProof/>
                <w:color w:val="000000" w:themeColor="text1"/>
                <w:sz w:val="20"/>
                <w:szCs w:val="20"/>
              </w:rPr>
            </w:pPr>
            <w:r w:rsidRPr="00ED5BD5">
              <w:rPr>
                <w:rFonts w:ascii="Arial" w:hAnsi="Arial" w:cs="Arial"/>
                <w:noProof/>
                <w:color w:val="000000" w:themeColor="text1"/>
              </w:rPr>
              <w:fldChar w:fldCharType="begin" w:fldLock="1"/>
            </w:r>
            <w:r w:rsidRPr="00ED5BD5">
              <w:rPr>
                <w:rFonts w:ascii="Arial" w:hAnsi="Arial" w:cs="Arial"/>
                <w:noProof/>
                <w:color w:val="000000" w:themeColor="text1"/>
                <w:sz w:val="20"/>
                <w:szCs w:val="20"/>
              </w:rPr>
              <w:instrText>ADDIN CSL_CITATION {"citationItems":[{"id":"ITEM-1","itemData":{"DOI":"10.3390/su141912763","ISSN":"20711050","abstract":"The effects of intellectual capital on firm performance have been extensively investigated. However, the important role of corporate social responsibility in moderating this intellectual capital–performance nexus has largely been neglected in the existing literature. This study uses a sample of 60 listed firms on the Ho Chi Minh Stock Exchange from 2011 to 2020 to examine the independent and joint effects of intellectual capital and corporate social responsibility on firm performance in Vietnam. The generalized method of moments is used. We find that both independent and joint effects exist. Furthermore, our results suggest that structural capital efficiency and capital employed efficiency are the two critical components of intellectual capital affecting firm performance. Interestingly, the joint effects of intellectual capital and CSR on firm performance are also confirmed in our analysis. These findings shed light on important policy implications concerning managerial policies targeting both intellectual capital and corporate social activities to improve firm performance in Vietnam.","author":[{"dropping-particle":"","family":"Tran","given":"Ngoc Phu","non-dropping-particle":"","parse-names":false,"suffix":""},{"dropping-particle":"","family":"Dinh","given":"Co Thi Huyen","non-dropping-particle":"","parse-names":false,"suffix":""},{"dropping-particle":"","family":"Hoang","given":"Hien Thi Thu","non-dropping-particle":"","parse-names":false,"suffix":""},{"dropping-particle":"","family":"Vo","given":"Duc Hong","non-dropping-particle":"","parse-names":false,"suffix":""}],"container-title":"Sustainability (Switzerland)","id":"ITEM-1","issue":"19","issued":{"date-parts":[["2022"]]},"title":"Intellectual Capital and Firm Performance in Vietnam: The Moderating Role of Corporate Social Responsibility","type":"article-journal","volume":"14"},"uris":["http://www.mendeley.com/documents/?uuid=0dbccc15-e91d-48b1-aad1-5dd15b20d8f5"]}],"mendeley":{"formattedCitation":"(Tran et al., 2022)","plainTextFormattedCitation":"(Tran et al., 2022)","previouslyFormattedCitation":"(Tran et al., 2022)"},"properties":{"noteIndex":0},"schema":"https://github.com/citation-style-language/schema/raw/master/csl-citation.json"}</w:instrText>
            </w:r>
            <w:r w:rsidRPr="00ED5BD5">
              <w:rPr>
                <w:rFonts w:ascii="Arial" w:hAnsi="Arial" w:cs="Arial"/>
                <w:noProof/>
                <w:color w:val="000000" w:themeColor="text1"/>
              </w:rPr>
              <w:fldChar w:fldCharType="separate"/>
            </w:r>
            <w:r w:rsidRPr="00ED5BD5">
              <w:rPr>
                <w:rFonts w:ascii="Arial" w:hAnsi="Arial" w:cs="Arial"/>
                <w:noProof/>
                <w:color w:val="000000" w:themeColor="text1"/>
                <w:sz w:val="20"/>
                <w:szCs w:val="20"/>
              </w:rPr>
              <w:t>(Tran et al., 2022)</w:t>
            </w:r>
            <w:r w:rsidRPr="00ED5BD5">
              <w:rPr>
                <w:rFonts w:ascii="Arial" w:hAnsi="Arial" w:cs="Arial"/>
                <w:noProof/>
                <w:color w:val="000000" w:themeColor="text1"/>
              </w:rPr>
              <w:fldChar w:fldCharType="end"/>
            </w:r>
          </w:p>
          <w:p w14:paraId="59DBECB8" w14:textId="77777777" w:rsidR="00ED5BD5" w:rsidRPr="00ED5BD5" w:rsidRDefault="00ED5BD5" w:rsidP="00785061">
            <w:pPr>
              <w:rPr>
                <w:rFonts w:ascii="Arial" w:eastAsia="Times New Roman" w:hAnsi="Arial" w:cs="Arial"/>
                <w:sz w:val="20"/>
                <w:szCs w:val="20"/>
                <w:lang w:val="en-ID" w:eastAsia="en-ID"/>
              </w:rPr>
            </w:pPr>
          </w:p>
        </w:tc>
      </w:tr>
      <w:tr w:rsidR="00ED5BD5" w:rsidRPr="00ED5BD5" w14:paraId="1CB82F34" w14:textId="77777777" w:rsidTr="00785061">
        <w:tc>
          <w:tcPr>
            <w:tcW w:w="2547" w:type="dxa"/>
            <w:hideMark/>
          </w:tcPr>
          <w:p w14:paraId="7A61753D"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Leverage</w:t>
            </w:r>
          </w:p>
        </w:tc>
        <w:tc>
          <w:tcPr>
            <w:tcW w:w="4252" w:type="dxa"/>
            <w:hideMark/>
          </w:tcPr>
          <w:p w14:paraId="07DBA7EA"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(Total Debt) / (Total Assets)</w:t>
            </w:r>
          </w:p>
        </w:tc>
        <w:tc>
          <w:tcPr>
            <w:tcW w:w="2217" w:type="dxa"/>
          </w:tcPr>
          <w:p w14:paraId="10C56E23" w14:textId="77777777" w:rsidR="00ED5BD5" w:rsidRPr="00ED5BD5" w:rsidRDefault="00ED5BD5" w:rsidP="00785061">
            <w:pPr>
              <w:rPr>
                <w:rFonts w:ascii="Arial" w:hAnsi="Arial" w:cs="Arial"/>
                <w:color w:val="000000" w:themeColor="text1"/>
                <w:sz w:val="20"/>
                <w:szCs w:val="20"/>
              </w:rPr>
            </w:pPr>
            <w:r w:rsidRPr="00ED5BD5">
              <w:rPr>
                <w:rFonts w:ascii="Arial" w:hAnsi="Arial" w:cs="Arial"/>
                <w:color w:val="000000" w:themeColor="text1"/>
              </w:rPr>
              <w:fldChar w:fldCharType="begin" w:fldLock="1"/>
            </w:r>
            <w:r w:rsidRPr="00ED5BD5">
              <w:rPr>
                <w:rFonts w:ascii="Arial" w:hAnsi="Arial" w:cs="Arial"/>
                <w:color w:val="000000" w:themeColor="text1"/>
                <w:sz w:val="20"/>
                <w:szCs w:val="20"/>
              </w:rPr>
              <w:instrText>ADDIN CSL_CITATION {"citationItems":[{"id":"ITEM-1","itemData":{"DOI":"10.35808/ijeba/827","ISSN":"2241-4754","author":[{"dropping-particle":"Ben","family":"Moussa","given":"Mohamed Aymen","non-dropping-particle":"","parse-names":false,"suffix":""},{"dropping-particle":"El","family":"Feidi","given":"Amira","non-dropping-particle":"","parse-names":false,"suffix":""}],"container-title":"International Journal of Economics and Business Administration","id":"ITEM-1","issue":"4","issued":{"date-parts":[["2023"]]},"page":"101-116","title":"The Impact of Leverage on Financial Performance of Tunisian Quoted Firms","type":"article-journal","volume":"XI"},"uris":["http://www.mendeley.com/documents/?uuid=c205ca48-d0b1-439a-ba20-e4a0063eaada"]}],"mendeley":{"formattedCitation":"(Moussa &amp; Feidi, 2023)","plainTextFormattedCitation":"(Moussa &amp; Feidi, 2023)","previouslyFormattedCitation":"(Moussa &amp; Feidi, 2023)"},"properties":{"noteIndex":0},"schema":"https://github.com/citation-style-language/schema/raw/master/csl-citation.json"}</w:instrText>
            </w:r>
            <w:r w:rsidRPr="00ED5BD5">
              <w:rPr>
                <w:rFonts w:ascii="Arial" w:hAnsi="Arial" w:cs="Arial"/>
                <w:color w:val="000000" w:themeColor="text1"/>
              </w:rPr>
              <w:fldChar w:fldCharType="separate"/>
            </w:r>
            <w:r w:rsidRPr="00ED5BD5">
              <w:rPr>
                <w:rFonts w:ascii="Arial" w:hAnsi="Arial" w:cs="Arial"/>
                <w:noProof/>
                <w:color w:val="000000" w:themeColor="text1"/>
                <w:sz w:val="20"/>
                <w:szCs w:val="20"/>
              </w:rPr>
              <w:t>(Moussa &amp; Feidi, 2023)</w:t>
            </w:r>
            <w:r w:rsidRPr="00ED5BD5">
              <w:rPr>
                <w:rFonts w:ascii="Arial" w:hAnsi="Arial" w:cs="Arial"/>
                <w:color w:val="000000" w:themeColor="text1"/>
              </w:rPr>
              <w:fldChar w:fldCharType="end"/>
            </w:r>
          </w:p>
          <w:p w14:paraId="011EFC0D" w14:textId="77777777" w:rsidR="00ED5BD5" w:rsidRPr="00ED5BD5" w:rsidRDefault="00ED5BD5" w:rsidP="00785061">
            <w:pPr>
              <w:rPr>
                <w:rFonts w:ascii="Arial" w:eastAsia="Times New Roman" w:hAnsi="Arial" w:cs="Arial"/>
                <w:sz w:val="20"/>
                <w:szCs w:val="20"/>
                <w:lang w:val="en-ID" w:eastAsia="en-ID"/>
              </w:rPr>
            </w:pPr>
          </w:p>
        </w:tc>
      </w:tr>
    </w:tbl>
    <w:p w14:paraId="0B6ADC04" w14:textId="77777777" w:rsidR="00790ADA" w:rsidRDefault="00790ADA" w:rsidP="00441B6F">
      <w:pPr>
        <w:pStyle w:val="Body"/>
        <w:spacing w:after="0"/>
        <w:rPr>
          <w:rFonts w:ascii="Arial" w:hAnsi="Arial" w:cs="Arial"/>
        </w:rPr>
      </w:pPr>
    </w:p>
    <w:p w14:paraId="0571AD2B" w14:textId="77777777" w:rsidR="00495A57" w:rsidRDefault="00495A57" w:rsidP="00441B6F">
      <w:pPr>
        <w:pStyle w:val="Body"/>
        <w:spacing w:after="0"/>
        <w:rPr>
          <w:rFonts w:ascii="Arial" w:hAnsi="Arial" w:cs="Arial"/>
        </w:rPr>
      </w:pPr>
    </w:p>
    <w:p w14:paraId="0CE6777B" w14:textId="77777777" w:rsidR="00495A57" w:rsidRDefault="00495A57" w:rsidP="00441B6F">
      <w:pPr>
        <w:pStyle w:val="Body"/>
        <w:spacing w:after="0"/>
        <w:rPr>
          <w:rFonts w:ascii="Arial" w:hAnsi="Arial" w:cs="Arial"/>
        </w:rPr>
      </w:pPr>
    </w:p>
    <w:p w14:paraId="4537DE47" w14:textId="77777777" w:rsidR="00495A57" w:rsidRDefault="00495A57" w:rsidP="00441B6F">
      <w:pPr>
        <w:pStyle w:val="Body"/>
        <w:spacing w:after="0"/>
        <w:rPr>
          <w:rFonts w:ascii="Arial" w:hAnsi="Arial" w:cs="Arial"/>
        </w:rPr>
      </w:pPr>
    </w:p>
    <w:p w14:paraId="68C55FB3" w14:textId="77777777" w:rsidR="00495A57" w:rsidRPr="00FB3A86" w:rsidRDefault="00495A57" w:rsidP="00441B6F">
      <w:pPr>
        <w:pStyle w:val="Body"/>
        <w:spacing w:after="0"/>
        <w:rPr>
          <w:rFonts w:ascii="Arial" w:hAnsi="Arial" w:cs="Arial"/>
        </w:rPr>
      </w:pPr>
    </w:p>
    <w:p w14:paraId="1D8731D0" w14:textId="77777777" w:rsidR="00902823" w:rsidRDefault="00000F8F" w:rsidP="00495A57">
      <w:pPr>
        <w:pStyle w:val="Head1"/>
        <w:spacing w:before="240"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53E2B7B" w14:textId="553D5466" w:rsidR="00495A57" w:rsidRPr="00495A57" w:rsidRDefault="00495A57" w:rsidP="00495A57">
      <w:pPr>
        <w:spacing w:before="240"/>
        <w:rPr>
          <w:rFonts w:ascii="Arial" w:hAnsi="Arial" w:cs="Arial"/>
          <w:b/>
          <w:bCs/>
        </w:rPr>
      </w:pPr>
      <w:r w:rsidRPr="00495A57">
        <w:rPr>
          <w:rFonts w:ascii="Arial" w:hAnsi="Arial" w:cs="Arial"/>
          <w:b/>
          <w:bCs/>
        </w:rPr>
        <w:t xml:space="preserve">3.1 </w:t>
      </w:r>
      <w:r>
        <w:rPr>
          <w:rFonts w:ascii="Arial" w:hAnsi="Arial" w:cs="Arial"/>
          <w:b/>
          <w:bCs/>
        </w:rPr>
        <w:t>R</w:t>
      </w:r>
      <w:r w:rsidRPr="00495A57">
        <w:rPr>
          <w:rFonts w:ascii="Arial" w:hAnsi="Arial" w:cs="Arial"/>
          <w:b/>
          <w:bCs/>
        </w:rPr>
        <w:t>esult</w:t>
      </w:r>
      <w:r>
        <w:rPr>
          <w:rFonts w:ascii="Arial" w:hAnsi="Arial" w:cs="Arial"/>
          <w:b/>
          <w:bCs/>
        </w:rPr>
        <w:t>s</w:t>
      </w:r>
    </w:p>
    <w:p w14:paraId="6C992937" w14:textId="386FEE5D" w:rsidR="00495A57" w:rsidRPr="00495A57" w:rsidRDefault="00495A57" w:rsidP="00495A57">
      <w:pPr>
        <w:spacing w:before="240"/>
        <w:rPr>
          <w:rFonts w:ascii="Arial" w:hAnsi="Arial" w:cs="Arial"/>
          <w:lang w:val="en-ID" w:eastAsia="en-ID"/>
        </w:rPr>
      </w:pPr>
      <w:r w:rsidRPr="00495A57">
        <w:rPr>
          <w:rFonts w:ascii="Arial" w:hAnsi="Arial" w:cs="Arial"/>
          <w:b/>
          <w:bCs/>
          <w:lang w:val="en-ID" w:eastAsia="en-ID"/>
        </w:rPr>
        <w:t>3.1.1 Descriptive Statistics</w:t>
      </w:r>
    </w:p>
    <w:p w14:paraId="4ACF0DC1" w14:textId="77777777" w:rsidR="00495A57" w:rsidRPr="00495A57" w:rsidRDefault="00495A57" w:rsidP="00495A57">
      <w:pPr>
        <w:pStyle w:val="BodyText"/>
        <w:adjustRightInd w:val="0"/>
        <w:snapToGrid w:val="0"/>
        <w:spacing w:before="240" w:after="0"/>
        <w:jc w:val="both"/>
        <w:rPr>
          <w:rFonts w:ascii="Arial" w:eastAsiaTheme="minorEastAsia" w:hAnsi="Arial" w:cs="Arial"/>
          <w:i/>
        </w:rPr>
      </w:pPr>
      <w:r w:rsidRPr="00495A57">
        <w:rPr>
          <w:rFonts w:ascii="Arial" w:eastAsiaTheme="minorEastAsia" w:hAnsi="Arial" w:cs="Arial"/>
        </w:rPr>
        <w:lastRenderedPageBreak/>
        <w:t>Descriptive statistics consist of the dependent variable, which is bank performance (ROA</w:t>
      </w:r>
      <w:r w:rsidRPr="00495A57">
        <w:rPr>
          <w:rFonts w:ascii="Arial" w:eastAsiaTheme="minorEastAsia" w:hAnsi="Arial" w:cs="Arial"/>
          <w:b/>
          <w:bCs/>
        </w:rPr>
        <w:t>)</w:t>
      </w:r>
      <w:r w:rsidRPr="00495A57">
        <w:rPr>
          <w:rFonts w:ascii="Arial" w:eastAsiaTheme="minorEastAsia" w:hAnsi="Arial" w:cs="Arial"/>
        </w:rPr>
        <w:t xml:space="preserve">, and the independent variables, including green credit (GC), green CSR (GCSR), and digital financial inclusion (DFI). The </w:t>
      </w:r>
      <w:proofErr w:type="spellStart"/>
      <w:r w:rsidRPr="00495A57">
        <w:rPr>
          <w:rFonts w:ascii="Arial" w:eastAsiaTheme="minorEastAsia" w:hAnsi="Arial" w:cs="Arial"/>
        </w:rPr>
        <w:t>the</w:t>
      </w:r>
      <w:proofErr w:type="spellEnd"/>
      <w:r w:rsidRPr="00495A57">
        <w:rPr>
          <w:rFonts w:ascii="Arial" w:eastAsiaTheme="minorEastAsia" w:hAnsi="Arial" w:cs="Arial"/>
        </w:rPr>
        <w:t xml:space="preserve"> control variables are bank size (SIZE), risk (NPL), leverage (LEV). The results of the descriptive statistical analysis are presented as follows:</w:t>
      </w:r>
    </w:p>
    <w:p w14:paraId="044F78D0" w14:textId="77777777" w:rsidR="00495A57" w:rsidRPr="00495A57" w:rsidRDefault="00495A57" w:rsidP="00495A57">
      <w:pPr>
        <w:pStyle w:val="BodyText"/>
        <w:adjustRightInd w:val="0"/>
        <w:snapToGrid w:val="0"/>
        <w:spacing w:after="0"/>
        <w:jc w:val="center"/>
        <w:rPr>
          <w:rFonts w:ascii="Arial" w:eastAsiaTheme="minorEastAsia" w:hAnsi="Arial" w:cs="Arial"/>
          <w:b/>
          <w:bCs/>
          <w:i/>
        </w:rPr>
      </w:pPr>
      <w:r w:rsidRPr="00495A57">
        <w:rPr>
          <w:rFonts w:ascii="Arial" w:eastAsiaTheme="minorEastAsia" w:hAnsi="Arial" w:cs="Arial"/>
          <w:b/>
          <w:bCs/>
        </w:rPr>
        <w:t>Table 2. Descriptive Statistics</w:t>
      </w:r>
    </w:p>
    <w:tbl>
      <w:tblPr>
        <w:tblW w:w="818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5"/>
        <w:gridCol w:w="996"/>
        <w:gridCol w:w="996"/>
        <w:gridCol w:w="996"/>
        <w:gridCol w:w="996"/>
        <w:gridCol w:w="996"/>
        <w:gridCol w:w="1122"/>
        <w:gridCol w:w="1122"/>
      </w:tblGrid>
      <w:tr w:rsidR="00495A57" w:rsidRPr="00495A57" w14:paraId="7A7972FC" w14:textId="77777777" w:rsidTr="00495A57">
        <w:trPr>
          <w:trHeight w:val="255"/>
        </w:trPr>
        <w:tc>
          <w:tcPr>
            <w:tcW w:w="965" w:type="dxa"/>
            <w:shd w:val="clear" w:color="auto" w:fill="F2F2F2" w:themeFill="background1" w:themeFillShade="F2"/>
            <w:vAlign w:val="bottom"/>
          </w:tcPr>
          <w:p w14:paraId="77DA72EA" w14:textId="77777777" w:rsidR="00495A57" w:rsidRPr="00495A57" w:rsidRDefault="00495A57" w:rsidP="00785061">
            <w:pPr>
              <w:pStyle w:val="NoSpacing"/>
              <w:spacing w:before="0" w:after="0"/>
              <w:rPr>
                <w:rFonts w:ascii="Arial" w:hAnsi="Arial" w:cs="Arial"/>
                <w:i w:val="0"/>
                <w:iCs/>
                <w:sz w:val="16"/>
                <w:szCs w:val="16"/>
              </w:rPr>
            </w:pPr>
          </w:p>
        </w:tc>
        <w:tc>
          <w:tcPr>
            <w:tcW w:w="996" w:type="dxa"/>
            <w:shd w:val="clear" w:color="auto" w:fill="F2F2F2" w:themeFill="background1" w:themeFillShade="F2"/>
            <w:vAlign w:val="bottom"/>
          </w:tcPr>
          <w:p w14:paraId="1277736C" w14:textId="77777777" w:rsidR="00495A57" w:rsidRPr="00495A57" w:rsidRDefault="00495A57" w:rsidP="00785061">
            <w:pPr>
              <w:pStyle w:val="NoSpacing"/>
              <w:spacing w:before="0" w:after="0"/>
              <w:jc w:val="center"/>
              <w:rPr>
                <w:rFonts w:ascii="Arial" w:hAnsi="Arial" w:cs="Arial"/>
                <w:b/>
                <w:bCs/>
                <w:i w:val="0"/>
                <w:iCs/>
                <w:sz w:val="16"/>
                <w:szCs w:val="16"/>
              </w:rPr>
            </w:pPr>
            <w:r w:rsidRPr="00495A57">
              <w:rPr>
                <w:rFonts w:ascii="Arial" w:hAnsi="Arial" w:cs="Arial"/>
                <w:b/>
                <w:bCs/>
                <w:i w:val="0"/>
                <w:iCs/>
                <w:sz w:val="16"/>
                <w:szCs w:val="16"/>
              </w:rPr>
              <w:t>GC</w:t>
            </w:r>
          </w:p>
        </w:tc>
        <w:tc>
          <w:tcPr>
            <w:tcW w:w="996" w:type="dxa"/>
            <w:shd w:val="clear" w:color="auto" w:fill="F2F2F2" w:themeFill="background1" w:themeFillShade="F2"/>
            <w:vAlign w:val="bottom"/>
          </w:tcPr>
          <w:p w14:paraId="0B93A5D1" w14:textId="77777777" w:rsidR="00495A57" w:rsidRPr="00495A57" w:rsidRDefault="00495A57" w:rsidP="00785061">
            <w:pPr>
              <w:pStyle w:val="NoSpacing"/>
              <w:spacing w:before="0" w:after="0"/>
              <w:jc w:val="center"/>
              <w:rPr>
                <w:rFonts w:ascii="Arial" w:hAnsi="Arial" w:cs="Arial"/>
                <w:b/>
                <w:bCs/>
                <w:i w:val="0"/>
                <w:iCs/>
                <w:sz w:val="16"/>
                <w:szCs w:val="16"/>
              </w:rPr>
            </w:pPr>
            <w:r w:rsidRPr="00495A57">
              <w:rPr>
                <w:rFonts w:ascii="Arial" w:hAnsi="Arial" w:cs="Arial"/>
                <w:b/>
                <w:bCs/>
                <w:i w:val="0"/>
                <w:iCs/>
                <w:sz w:val="16"/>
                <w:szCs w:val="16"/>
              </w:rPr>
              <w:t>GCSR</w:t>
            </w:r>
          </w:p>
        </w:tc>
        <w:tc>
          <w:tcPr>
            <w:tcW w:w="996" w:type="dxa"/>
            <w:shd w:val="clear" w:color="auto" w:fill="F2F2F2" w:themeFill="background1" w:themeFillShade="F2"/>
            <w:vAlign w:val="bottom"/>
          </w:tcPr>
          <w:p w14:paraId="3A4D0384" w14:textId="77777777" w:rsidR="00495A57" w:rsidRPr="00495A57" w:rsidRDefault="00495A57" w:rsidP="00785061">
            <w:pPr>
              <w:pStyle w:val="NoSpacing"/>
              <w:spacing w:before="0" w:after="0"/>
              <w:jc w:val="center"/>
              <w:rPr>
                <w:rFonts w:ascii="Arial" w:hAnsi="Arial" w:cs="Arial"/>
                <w:b/>
                <w:bCs/>
                <w:i w:val="0"/>
                <w:iCs/>
                <w:sz w:val="16"/>
                <w:szCs w:val="16"/>
              </w:rPr>
            </w:pPr>
            <w:r w:rsidRPr="00495A57">
              <w:rPr>
                <w:rFonts w:ascii="Arial" w:hAnsi="Arial" w:cs="Arial"/>
                <w:b/>
                <w:bCs/>
                <w:i w:val="0"/>
                <w:iCs/>
                <w:sz w:val="16"/>
                <w:szCs w:val="16"/>
              </w:rPr>
              <w:t>DFI</w:t>
            </w:r>
          </w:p>
        </w:tc>
        <w:tc>
          <w:tcPr>
            <w:tcW w:w="996" w:type="dxa"/>
            <w:shd w:val="clear" w:color="auto" w:fill="F2F2F2" w:themeFill="background1" w:themeFillShade="F2"/>
            <w:vAlign w:val="bottom"/>
          </w:tcPr>
          <w:p w14:paraId="378CA875" w14:textId="77777777" w:rsidR="00495A57" w:rsidRPr="00495A57" w:rsidRDefault="00495A57" w:rsidP="00785061">
            <w:pPr>
              <w:pStyle w:val="NoSpacing"/>
              <w:spacing w:before="0" w:after="0"/>
              <w:jc w:val="center"/>
              <w:rPr>
                <w:rFonts w:ascii="Arial" w:hAnsi="Arial" w:cs="Arial"/>
                <w:b/>
                <w:bCs/>
                <w:i w:val="0"/>
                <w:iCs/>
                <w:sz w:val="16"/>
                <w:szCs w:val="16"/>
              </w:rPr>
            </w:pPr>
            <w:r w:rsidRPr="00495A57">
              <w:rPr>
                <w:rFonts w:ascii="Arial" w:hAnsi="Arial" w:cs="Arial"/>
                <w:b/>
                <w:bCs/>
                <w:i w:val="0"/>
                <w:iCs/>
                <w:sz w:val="16"/>
                <w:szCs w:val="16"/>
              </w:rPr>
              <w:t>LEV</w:t>
            </w:r>
          </w:p>
        </w:tc>
        <w:tc>
          <w:tcPr>
            <w:tcW w:w="996" w:type="dxa"/>
            <w:shd w:val="clear" w:color="auto" w:fill="F2F2F2" w:themeFill="background1" w:themeFillShade="F2"/>
            <w:vAlign w:val="bottom"/>
          </w:tcPr>
          <w:p w14:paraId="2A27719D" w14:textId="77777777" w:rsidR="00495A57" w:rsidRPr="00495A57" w:rsidRDefault="00495A57" w:rsidP="00785061">
            <w:pPr>
              <w:pStyle w:val="NoSpacing"/>
              <w:spacing w:before="0" w:after="0"/>
              <w:jc w:val="center"/>
              <w:rPr>
                <w:rFonts w:ascii="Arial" w:hAnsi="Arial" w:cs="Arial"/>
                <w:b/>
                <w:bCs/>
                <w:i w:val="0"/>
                <w:iCs/>
                <w:sz w:val="16"/>
                <w:szCs w:val="16"/>
              </w:rPr>
            </w:pPr>
            <w:r w:rsidRPr="00495A57">
              <w:rPr>
                <w:rFonts w:ascii="Arial" w:hAnsi="Arial" w:cs="Arial"/>
                <w:b/>
                <w:bCs/>
                <w:i w:val="0"/>
                <w:iCs/>
                <w:sz w:val="16"/>
                <w:szCs w:val="16"/>
              </w:rPr>
              <w:t>NPL</w:t>
            </w:r>
          </w:p>
        </w:tc>
        <w:tc>
          <w:tcPr>
            <w:tcW w:w="1122" w:type="dxa"/>
            <w:shd w:val="clear" w:color="auto" w:fill="F2F2F2" w:themeFill="background1" w:themeFillShade="F2"/>
            <w:vAlign w:val="bottom"/>
          </w:tcPr>
          <w:p w14:paraId="463E5719" w14:textId="77777777" w:rsidR="00495A57" w:rsidRPr="00495A57" w:rsidRDefault="00495A57" w:rsidP="00785061">
            <w:pPr>
              <w:pStyle w:val="NoSpacing"/>
              <w:spacing w:before="0" w:after="0"/>
              <w:jc w:val="center"/>
              <w:rPr>
                <w:rFonts w:ascii="Arial" w:hAnsi="Arial" w:cs="Arial"/>
                <w:b/>
                <w:bCs/>
                <w:i w:val="0"/>
                <w:iCs/>
                <w:sz w:val="16"/>
                <w:szCs w:val="16"/>
              </w:rPr>
            </w:pPr>
            <w:r w:rsidRPr="00495A57">
              <w:rPr>
                <w:rFonts w:ascii="Arial" w:hAnsi="Arial" w:cs="Arial"/>
                <w:b/>
                <w:bCs/>
                <w:i w:val="0"/>
                <w:iCs/>
                <w:sz w:val="16"/>
                <w:szCs w:val="16"/>
              </w:rPr>
              <w:t>SIZE</w:t>
            </w:r>
          </w:p>
        </w:tc>
        <w:tc>
          <w:tcPr>
            <w:tcW w:w="1122" w:type="dxa"/>
            <w:shd w:val="clear" w:color="auto" w:fill="F2F2F2" w:themeFill="background1" w:themeFillShade="F2"/>
            <w:vAlign w:val="bottom"/>
          </w:tcPr>
          <w:p w14:paraId="60A0235C" w14:textId="77777777" w:rsidR="00495A57" w:rsidRPr="00495A57" w:rsidRDefault="00495A57" w:rsidP="00785061">
            <w:pPr>
              <w:pStyle w:val="NoSpacing"/>
              <w:spacing w:before="0" w:after="0"/>
              <w:jc w:val="center"/>
              <w:rPr>
                <w:rFonts w:ascii="Arial" w:hAnsi="Arial" w:cs="Arial"/>
                <w:b/>
                <w:bCs/>
                <w:i w:val="0"/>
                <w:iCs/>
                <w:sz w:val="16"/>
                <w:szCs w:val="16"/>
              </w:rPr>
            </w:pPr>
            <w:r w:rsidRPr="00495A57">
              <w:rPr>
                <w:rFonts w:ascii="Arial" w:hAnsi="Arial" w:cs="Arial"/>
                <w:b/>
                <w:bCs/>
                <w:i w:val="0"/>
                <w:iCs/>
                <w:sz w:val="16"/>
                <w:szCs w:val="16"/>
              </w:rPr>
              <w:t>ROA</w:t>
            </w:r>
          </w:p>
        </w:tc>
      </w:tr>
      <w:tr w:rsidR="00495A57" w:rsidRPr="00495A57" w14:paraId="406DC45A" w14:textId="77777777" w:rsidTr="00495A57">
        <w:trPr>
          <w:trHeight w:val="255"/>
        </w:trPr>
        <w:tc>
          <w:tcPr>
            <w:tcW w:w="965" w:type="dxa"/>
            <w:vAlign w:val="bottom"/>
          </w:tcPr>
          <w:p w14:paraId="203D2356" w14:textId="77777777" w:rsidR="00495A57" w:rsidRPr="00495A57" w:rsidRDefault="00495A57" w:rsidP="00785061">
            <w:pPr>
              <w:pStyle w:val="NoSpacing"/>
              <w:spacing w:before="0" w:after="0"/>
              <w:rPr>
                <w:rFonts w:ascii="Arial" w:hAnsi="Arial" w:cs="Arial"/>
                <w:i w:val="0"/>
                <w:iCs/>
                <w:sz w:val="16"/>
                <w:szCs w:val="16"/>
              </w:rPr>
            </w:pPr>
            <w:r w:rsidRPr="00495A57">
              <w:rPr>
                <w:rFonts w:ascii="Arial" w:hAnsi="Arial" w:cs="Arial"/>
                <w:i w:val="0"/>
                <w:iCs/>
                <w:sz w:val="16"/>
                <w:szCs w:val="16"/>
              </w:rPr>
              <w:t> Mean</w:t>
            </w:r>
          </w:p>
        </w:tc>
        <w:tc>
          <w:tcPr>
            <w:tcW w:w="996" w:type="dxa"/>
            <w:vAlign w:val="bottom"/>
          </w:tcPr>
          <w:p w14:paraId="64816265"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0.135483</w:t>
            </w:r>
          </w:p>
        </w:tc>
        <w:tc>
          <w:tcPr>
            <w:tcW w:w="996" w:type="dxa"/>
            <w:vAlign w:val="bottom"/>
          </w:tcPr>
          <w:p w14:paraId="52A8B9D2"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0.693529</w:t>
            </w:r>
          </w:p>
        </w:tc>
        <w:tc>
          <w:tcPr>
            <w:tcW w:w="996" w:type="dxa"/>
            <w:vAlign w:val="bottom"/>
          </w:tcPr>
          <w:p w14:paraId="2DED942B"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0.609375</w:t>
            </w:r>
          </w:p>
        </w:tc>
        <w:tc>
          <w:tcPr>
            <w:tcW w:w="996" w:type="dxa"/>
            <w:vAlign w:val="bottom"/>
          </w:tcPr>
          <w:p w14:paraId="0E59F829"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0.858021</w:t>
            </w:r>
          </w:p>
        </w:tc>
        <w:tc>
          <w:tcPr>
            <w:tcW w:w="996" w:type="dxa"/>
            <w:vAlign w:val="bottom"/>
          </w:tcPr>
          <w:p w14:paraId="2C91FBC3"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2.568021</w:t>
            </w:r>
          </w:p>
        </w:tc>
        <w:tc>
          <w:tcPr>
            <w:tcW w:w="1122" w:type="dxa"/>
            <w:vAlign w:val="bottom"/>
          </w:tcPr>
          <w:p w14:paraId="77742A86"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0.961746</w:t>
            </w:r>
          </w:p>
        </w:tc>
        <w:tc>
          <w:tcPr>
            <w:tcW w:w="1122" w:type="dxa"/>
            <w:vAlign w:val="bottom"/>
          </w:tcPr>
          <w:p w14:paraId="3E9049D8"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1.508063</w:t>
            </w:r>
          </w:p>
        </w:tc>
      </w:tr>
      <w:tr w:rsidR="00495A57" w:rsidRPr="00495A57" w14:paraId="2B74C0F1" w14:textId="77777777" w:rsidTr="00495A57">
        <w:trPr>
          <w:trHeight w:val="255"/>
        </w:trPr>
        <w:tc>
          <w:tcPr>
            <w:tcW w:w="965" w:type="dxa"/>
            <w:vAlign w:val="bottom"/>
          </w:tcPr>
          <w:p w14:paraId="4E128537" w14:textId="77777777" w:rsidR="00495A57" w:rsidRPr="00495A57" w:rsidRDefault="00495A57" w:rsidP="00785061">
            <w:pPr>
              <w:pStyle w:val="NoSpacing"/>
              <w:spacing w:before="0" w:after="0"/>
              <w:rPr>
                <w:rFonts w:ascii="Arial" w:hAnsi="Arial" w:cs="Arial"/>
                <w:i w:val="0"/>
                <w:iCs/>
                <w:sz w:val="16"/>
                <w:szCs w:val="16"/>
              </w:rPr>
            </w:pPr>
            <w:r w:rsidRPr="00495A57">
              <w:rPr>
                <w:rFonts w:ascii="Arial" w:hAnsi="Arial" w:cs="Arial"/>
                <w:i w:val="0"/>
                <w:iCs/>
                <w:sz w:val="16"/>
                <w:szCs w:val="16"/>
              </w:rPr>
              <w:t> Median</w:t>
            </w:r>
          </w:p>
        </w:tc>
        <w:tc>
          <w:tcPr>
            <w:tcW w:w="996" w:type="dxa"/>
            <w:vAlign w:val="bottom"/>
          </w:tcPr>
          <w:p w14:paraId="378D64A0"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0.056300</w:t>
            </w:r>
          </w:p>
        </w:tc>
        <w:tc>
          <w:tcPr>
            <w:tcW w:w="996" w:type="dxa"/>
            <w:vAlign w:val="bottom"/>
          </w:tcPr>
          <w:p w14:paraId="465A1934"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0.007000</w:t>
            </w:r>
          </w:p>
        </w:tc>
        <w:tc>
          <w:tcPr>
            <w:tcW w:w="996" w:type="dxa"/>
            <w:vAlign w:val="bottom"/>
          </w:tcPr>
          <w:p w14:paraId="0985B9E2"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0.625000</w:t>
            </w:r>
          </w:p>
        </w:tc>
        <w:tc>
          <w:tcPr>
            <w:tcW w:w="996" w:type="dxa"/>
            <w:vAlign w:val="bottom"/>
          </w:tcPr>
          <w:p w14:paraId="6A38CC58"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0.868250</w:t>
            </w:r>
          </w:p>
        </w:tc>
        <w:tc>
          <w:tcPr>
            <w:tcW w:w="996" w:type="dxa"/>
            <w:vAlign w:val="bottom"/>
          </w:tcPr>
          <w:p w14:paraId="2004437B"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2.690000</w:t>
            </w:r>
          </w:p>
        </w:tc>
        <w:tc>
          <w:tcPr>
            <w:tcW w:w="1122" w:type="dxa"/>
            <w:vAlign w:val="bottom"/>
          </w:tcPr>
          <w:p w14:paraId="5E9D94A8"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0.490150</w:t>
            </w:r>
          </w:p>
        </w:tc>
        <w:tc>
          <w:tcPr>
            <w:tcW w:w="1122" w:type="dxa"/>
            <w:vAlign w:val="bottom"/>
          </w:tcPr>
          <w:p w14:paraId="5E5CDC1A"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1.390000</w:t>
            </w:r>
          </w:p>
        </w:tc>
      </w:tr>
      <w:tr w:rsidR="00495A57" w:rsidRPr="00495A57" w14:paraId="2C60DEF5" w14:textId="77777777" w:rsidTr="00495A57">
        <w:trPr>
          <w:trHeight w:val="255"/>
        </w:trPr>
        <w:tc>
          <w:tcPr>
            <w:tcW w:w="965" w:type="dxa"/>
            <w:vAlign w:val="bottom"/>
          </w:tcPr>
          <w:p w14:paraId="391A9BD1" w14:textId="77777777" w:rsidR="00495A57" w:rsidRPr="00495A57" w:rsidRDefault="00495A57" w:rsidP="00785061">
            <w:pPr>
              <w:pStyle w:val="NoSpacing"/>
              <w:spacing w:before="0" w:after="0"/>
              <w:rPr>
                <w:rFonts w:ascii="Arial" w:hAnsi="Arial" w:cs="Arial"/>
                <w:i w:val="0"/>
                <w:iCs/>
                <w:sz w:val="16"/>
                <w:szCs w:val="16"/>
              </w:rPr>
            </w:pPr>
            <w:r w:rsidRPr="00495A57">
              <w:rPr>
                <w:rFonts w:ascii="Arial" w:hAnsi="Arial" w:cs="Arial"/>
                <w:i w:val="0"/>
                <w:iCs/>
                <w:sz w:val="16"/>
                <w:szCs w:val="16"/>
              </w:rPr>
              <w:t> Max</w:t>
            </w:r>
          </w:p>
        </w:tc>
        <w:tc>
          <w:tcPr>
            <w:tcW w:w="996" w:type="dxa"/>
            <w:vAlign w:val="bottom"/>
          </w:tcPr>
          <w:p w14:paraId="4CD87897"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0.637600</w:t>
            </w:r>
          </w:p>
        </w:tc>
        <w:tc>
          <w:tcPr>
            <w:tcW w:w="996" w:type="dxa"/>
            <w:vAlign w:val="bottom"/>
          </w:tcPr>
          <w:p w14:paraId="279726A1"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12.65370</w:t>
            </w:r>
          </w:p>
        </w:tc>
        <w:tc>
          <w:tcPr>
            <w:tcW w:w="996" w:type="dxa"/>
            <w:vAlign w:val="bottom"/>
          </w:tcPr>
          <w:p w14:paraId="6CB1A5EF"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1.000000</w:t>
            </w:r>
          </w:p>
        </w:tc>
        <w:tc>
          <w:tcPr>
            <w:tcW w:w="996" w:type="dxa"/>
            <w:vAlign w:val="bottom"/>
          </w:tcPr>
          <w:p w14:paraId="7637AB8C"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0.906700</w:t>
            </w:r>
          </w:p>
        </w:tc>
        <w:tc>
          <w:tcPr>
            <w:tcW w:w="996" w:type="dxa"/>
            <w:vAlign w:val="bottom"/>
          </w:tcPr>
          <w:p w14:paraId="50BCFF16"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4.700000</w:t>
            </w:r>
          </w:p>
        </w:tc>
        <w:tc>
          <w:tcPr>
            <w:tcW w:w="1122" w:type="dxa"/>
            <w:vAlign w:val="bottom"/>
          </w:tcPr>
          <w:p w14:paraId="7D92D81D"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6.528600</w:t>
            </w:r>
          </w:p>
        </w:tc>
        <w:tc>
          <w:tcPr>
            <w:tcW w:w="1122" w:type="dxa"/>
            <w:vAlign w:val="bottom"/>
          </w:tcPr>
          <w:p w14:paraId="0579CAAC"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3.760000</w:t>
            </w:r>
          </w:p>
        </w:tc>
      </w:tr>
      <w:tr w:rsidR="00495A57" w:rsidRPr="00495A57" w14:paraId="286DBEE3" w14:textId="77777777" w:rsidTr="00495A57">
        <w:trPr>
          <w:trHeight w:val="255"/>
        </w:trPr>
        <w:tc>
          <w:tcPr>
            <w:tcW w:w="965" w:type="dxa"/>
            <w:vAlign w:val="bottom"/>
          </w:tcPr>
          <w:p w14:paraId="1B5638DE" w14:textId="77777777" w:rsidR="00495A57" w:rsidRPr="00495A57" w:rsidRDefault="00495A57" w:rsidP="00785061">
            <w:pPr>
              <w:pStyle w:val="NoSpacing"/>
              <w:spacing w:before="0" w:after="0"/>
              <w:rPr>
                <w:rFonts w:ascii="Arial" w:hAnsi="Arial" w:cs="Arial"/>
                <w:i w:val="0"/>
                <w:iCs/>
                <w:sz w:val="16"/>
                <w:szCs w:val="16"/>
              </w:rPr>
            </w:pPr>
            <w:r w:rsidRPr="00495A57">
              <w:rPr>
                <w:rFonts w:ascii="Arial" w:hAnsi="Arial" w:cs="Arial"/>
                <w:i w:val="0"/>
                <w:iCs/>
                <w:sz w:val="16"/>
                <w:szCs w:val="16"/>
              </w:rPr>
              <w:t> Min</w:t>
            </w:r>
          </w:p>
        </w:tc>
        <w:tc>
          <w:tcPr>
            <w:tcW w:w="996" w:type="dxa"/>
            <w:vAlign w:val="bottom"/>
          </w:tcPr>
          <w:p w14:paraId="55D06AA6"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0.000100</w:t>
            </w:r>
          </w:p>
        </w:tc>
        <w:tc>
          <w:tcPr>
            <w:tcW w:w="996" w:type="dxa"/>
            <w:vAlign w:val="bottom"/>
          </w:tcPr>
          <w:p w14:paraId="37983F84"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0.000100</w:t>
            </w:r>
          </w:p>
        </w:tc>
        <w:tc>
          <w:tcPr>
            <w:tcW w:w="996" w:type="dxa"/>
            <w:vAlign w:val="bottom"/>
          </w:tcPr>
          <w:p w14:paraId="66C9834B"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0.250000</w:t>
            </w:r>
          </w:p>
        </w:tc>
        <w:tc>
          <w:tcPr>
            <w:tcW w:w="996" w:type="dxa"/>
            <w:vAlign w:val="bottom"/>
          </w:tcPr>
          <w:p w14:paraId="5BBEB401"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0.759900</w:t>
            </w:r>
          </w:p>
        </w:tc>
        <w:tc>
          <w:tcPr>
            <w:tcW w:w="996" w:type="dxa"/>
            <w:vAlign w:val="bottom"/>
          </w:tcPr>
          <w:p w14:paraId="3E0C6973"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0.460000</w:t>
            </w:r>
          </w:p>
        </w:tc>
        <w:tc>
          <w:tcPr>
            <w:tcW w:w="1122" w:type="dxa"/>
            <w:vAlign w:val="bottom"/>
          </w:tcPr>
          <w:p w14:paraId="7D362782"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0.076700</w:t>
            </w:r>
          </w:p>
        </w:tc>
        <w:tc>
          <w:tcPr>
            <w:tcW w:w="1122" w:type="dxa"/>
            <w:vAlign w:val="bottom"/>
          </w:tcPr>
          <w:p w14:paraId="2196920D"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0.040000</w:t>
            </w:r>
          </w:p>
        </w:tc>
      </w:tr>
      <w:tr w:rsidR="00495A57" w:rsidRPr="00495A57" w14:paraId="7732DDE8" w14:textId="77777777" w:rsidTr="00495A57">
        <w:trPr>
          <w:trHeight w:val="255"/>
        </w:trPr>
        <w:tc>
          <w:tcPr>
            <w:tcW w:w="965" w:type="dxa"/>
            <w:vAlign w:val="bottom"/>
          </w:tcPr>
          <w:p w14:paraId="1540CCDB" w14:textId="77777777" w:rsidR="00495A57" w:rsidRPr="00495A57" w:rsidRDefault="00495A57" w:rsidP="00785061">
            <w:pPr>
              <w:pStyle w:val="NoSpacing"/>
              <w:spacing w:before="0" w:after="0"/>
              <w:rPr>
                <w:rFonts w:ascii="Arial" w:hAnsi="Arial" w:cs="Arial"/>
                <w:i w:val="0"/>
                <w:iCs/>
                <w:sz w:val="16"/>
                <w:szCs w:val="16"/>
              </w:rPr>
            </w:pPr>
            <w:r w:rsidRPr="00495A57">
              <w:rPr>
                <w:rFonts w:ascii="Arial" w:hAnsi="Arial" w:cs="Arial"/>
                <w:i w:val="0"/>
                <w:iCs/>
                <w:sz w:val="16"/>
                <w:szCs w:val="16"/>
              </w:rPr>
              <w:t> Std. Dev.</w:t>
            </w:r>
          </w:p>
        </w:tc>
        <w:tc>
          <w:tcPr>
            <w:tcW w:w="996" w:type="dxa"/>
            <w:vAlign w:val="bottom"/>
          </w:tcPr>
          <w:p w14:paraId="71FF9E7C"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0.153695</w:t>
            </w:r>
          </w:p>
        </w:tc>
        <w:tc>
          <w:tcPr>
            <w:tcW w:w="996" w:type="dxa"/>
            <w:vAlign w:val="bottom"/>
          </w:tcPr>
          <w:p w14:paraId="766FEC56"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2.268443</w:t>
            </w:r>
          </w:p>
        </w:tc>
        <w:tc>
          <w:tcPr>
            <w:tcW w:w="996" w:type="dxa"/>
            <w:vAlign w:val="bottom"/>
          </w:tcPr>
          <w:p w14:paraId="3ECA91A8"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0.195551</w:t>
            </w:r>
          </w:p>
        </w:tc>
        <w:tc>
          <w:tcPr>
            <w:tcW w:w="996" w:type="dxa"/>
            <w:vAlign w:val="bottom"/>
          </w:tcPr>
          <w:p w14:paraId="7C42C1F4"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0.035691</w:t>
            </w:r>
          </w:p>
        </w:tc>
        <w:tc>
          <w:tcPr>
            <w:tcW w:w="996" w:type="dxa"/>
            <w:vAlign w:val="bottom"/>
          </w:tcPr>
          <w:p w14:paraId="2817AB5F"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1.033245</w:t>
            </w:r>
          </w:p>
        </w:tc>
        <w:tc>
          <w:tcPr>
            <w:tcW w:w="1122" w:type="dxa"/>
            <w:vAlign w:val="bottom"/>
          </w:tcPr>
          <w:p w14:paraId="2F162D8F"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1.150891</w:t>
            </w:r>
          </w:p>
        </w:tc>
        <w:tc>
          <w:tcPr>
            <w:tcW w:w="1122" w:type="dxa"/>
            <w:vAlign w:val="bottom"/>
          </w:tcPr>
          <w:p w14:paraId="00DE9CD2"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0.781394</w:t>
            </w:r>
          </w:p>
        </w:tc>
      </w:tr>
      <w:tr w:rsidR="00495A57" w:rsidRPr="00495A57" w14:paraId="6D6454AC" w14:textId="77777777" w:rsidTr="00495A57">
        <w:trPr>
          <w:trHeight w:val="255"/>
        </w:trPr>
        <w:tc>
          <w:tcPr>
            <w:tcW w:w="965" w:type="dxa"/>
            <w:vAlign w:val="bottom"/>
          </w:tcPr>
          <w:p w14:paraId="75780145" w14:textId="77777777" w:rsidR="00495A57" w:rsidRPr="00495A57" w:rsidRDefault="00495A57" w:rsidP="00785061">
            <w:pPr>
              <w:pStyle w:val="NoSpacing"/>
              <w:spacing w:before="0" w:after="0"/>
              <w:rPr>
                <w:rFonts w:ascii="Arial" w:hAnsi="Arial" w:cs="Arial"/>
                <w:i w:val="0"/>
                <w:iCs/>
                <w:sz w:val="16"/>
                <w:szCs w:val="16"/>
              </w:rPr>
            </w:pPr>
            <w:r w:rsidRPr="00495A57">
              <w:rPr>
                <w:rFonts w:ascii="Arial" w:hAnsi="Arial" w:cs="Arial"/>
                <w:i w:val="0"/>
                <w:iCs/>
                <w:sz w:val="16"/>
                <w:szCs w:val="16"/>
              </w:rPr>
              <w:t> Skew</w:t>
            </w:r>
          </w:p>
        </w:tc>
        <w:tc>
          <w:tcPr>
            <w:tcW w:w="996" w:type="dxa"/>
            <w:vAlign w:val="bottom"/>
          </w:tcPr>
          <w:p w14:paraId="17D5A057"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1.376933</w:t>
            </w:r>
          </w:p>
        </w:tc>
        <w:tc>
          <w:tcPr>
            <w:tcW w:w="996" w:type="dxa"/>
            <w:vAlign w:val="bottom"/>
          </w:tcPr>
          <w:p w14:paraId="7974EF36"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3.888185</w:t>
            </w:r>
          </w:p>
        </w:tc>
        <w:tc>
          <w:tcPr>
            <w:tcW w:w="996" w:type="dxa"/>
            <w:vAlign w:val="bottom"/>
          </w:tcPr>
          <w:p w14:paraId="1609E102"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0.241484</w:t>
            </w:r>
          </w:p>
        </w:tc>
        <w:tc>
          <w:tcPr>
            <w:tcW w:w="996" w:type="dxa"/>
            <w:vAlign w:val="bottom"/>
          </w:tcPr>
          <w:p w14:paraId="1409BCE8"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-1.031904</w:t>
            </w:r>
          </w:p>
        </w:tc>
        <w:tc>
          <w:tcPr>
            <w:tcW w:w="996" w:type="dxa"/>
            <w:vAlign w:val="bottom"/>
          </w:tcPr>
          <w:p w14:paraId="54A0C614"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-0.145021</w:t>
            </w:r>
          </w:p>
        </w:tc>
        <w:tc>
          <w:tcPr>
            <w:tcW w:w="1122" w:type="dxa"/>
            <w:vAlign w:val="bottom"/>
          </w:tcPr>
          <w:p w14:paraId="36DBD724"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2.332741</w:t>
            </w:r>
          </w:p>
        </w:tc>
        <w:tc>
          <w:tcPr>
            <w:tcW w:w="1122" w:type="dxa"/>
            <w:vAlign w:val="bottom"/>
          </w:tcPr>
          <w:p w14:paraId="2AD94CCE"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0.733412</w:t>
            </w:r>
          </w:p>
        </w:tc>
      </w:tr>
      <w:tr w:rsidR="00495A57" w:rsidRPr="00495A57" w14:paraId="6AB0BEFE" w14:textId="77777777" w:rsidTr="00495A57">
        <w:trPr>
          <w:trHeight w:val="255"/>
        </w:trPr>
        <w:tc>
          <w:tcPr>
            <w:tcW w:w="965" w:type="dxa"/>
            <w:vAlign w:val="bottom"/>
          </w:tcPr>
          <w:p w14:paraId="3D114285" w14:textId="77777777" w:rsidR="00495A57" w:rsidRPr="00495A57" w:rsidRDefault="00495A57" w:rsidP="00785061">
            <w:pPr>
              <w:pStyle w:val="NoSpacing"/>
              <w:spacing w:before="0" w:after="0"/>
              <w:rPr>
                <w:rFonts w:ascii="Arial" w:hAnsi="Arial" w:cs="Arial"/>
                <w:i w:val="0"/>
                <w:iCs/>
                <w:sz w:val="16"/>
                <w:szCs w:val="16"/>
              </w:rPr>
            </w:pPr>
            <w:r w:rsidRPr="00495A57">
              <w:rPr>
                <w:rFonts w:ascii="Arial" w:hAnsi="Arial" w:cs="Arial"/>
                <w:i w:val="0"/>
                <w:iCs/>
                <w:sz w:val="16"/>
                <w:szCs w:val="16"/>
              </w:rPr>
              <w:t> Kurtosis</w:t>
            </w:r>
          </w:p>
        </w:tc>
        <w:tc>
          <w:tcPr>
            <w:tcW w:w="996" w:type="dxa"/>
            <w:vAlign w:val="bottom"/>
          </w:tcPr>
          <w:p w14:paraId="5A31C1DB"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4.440117</w:t>
            </w:r>
          </w:p>
        </w:tc>
        <w:tc>
          <w:tcPr>
            <w:tcW w:w="996" w:type="dxa"/>
            <w:vAlign w:val="bottom"/>
          </w:tcPr>
          <w:p w14:paraId="41E6CAB8"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17.54535</w:t>
            </w:r>
          </w:p>
        </w:tc>
        <w:tc>
          <w:tcPr>
            <w:tcW w:w="996" w:type="dxa"/>
            <w:vAlign w:val="bottom"/>
          </w:tcPr>
          <w:p w14:paraId="4DFBDEB8"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2.201915</w:t>
            </w:r>
          </w:p>
        </w:tc>
        <w:tc>
          <w:tcPr>
            <w:tcW w:w="996" w:type="dxa"/>
            <w:vAlign w:val="bottom"/>
          </w:tcPr>
          <w:p w14:paraId="529C0592"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3.457973</w:t>
            </w:r>
          </w:p>
        </w:tc>
        <w:tc>
          <w:tcPr>
            <w:tcW w:w="996" w:type="dxa"/>
            <w:vAlign w:val="bottom"/>
          </w:tcPr>
          <w:p w14:paraId="468E8BE1"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2.234272</w:t>
            </w:r>
          </w:p>
        </w:tc>
        <w:tc>
          <w:tcPr>
            <w:tcW w:w="1122" w:type="dxa"/>
            <w:vAlign w:val="bottom"/>
          </w:tcPr>
          <w:p w14:paraId="65990868"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9.536883</w:t>
            </w:r>
          </w:p>
        </w:tc>
        <w:tc>
          <w:tcPr>
            <w:tcW w:w="1122" w:type="dxa"/>
            <w:vAlign w:val="bottom"/>
          </w:tcPr>
          <w:p w14:paraId="3AE47D89"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3.250669</w:t>
            </w:r>
          </w:p>
        </w:tc>
      </w:tr>
      <w:tr w:rsidR="00495A57" w:rsidRPr="00495A57" w14:paraId="4AE9E8F1" w14:textId="77777777" w:rsidTr="00495A57">
        <w:trPr>
          <w:trHeight w:val="255"/>
        </w:trPr>
        <w:tc>
          <w:tcPr>
            <w:tcW w:w="965" w:type="dxa"/>
            <w:vAlign w:val="bottom"/>
          </w:tcPr>
          <w:p w14:paraId="199C0864" w14:textId="77777777" w:rsidR="00495A57" w:rsidRPr="00495A57" w:rsidRDefault="00495A57" w:rsidP="00785061">
            <w:pPr>
              <w:pStyle w:val="NoSpacing"/>
              <w:spacing w:before="0" w:after="0"/>
              <w:rPr>
                <w:rFonts w:ascii="Arial" w:hAnsi="Arial" w:cs="Arial"/>
                <w:i w:val="0"/>
                <w:iCs/>
                <w:sz w:val="16"/>
                <w:szCs w:val="16"/>
              </w:rPr>
            </w:pPr>
            <w:r w:rsidRPr="00495A57">
              <w:rPr>
                <w:rFonts w:ascii="Arial" w:hAnsi="Arial" w:cs="Arial"/>
                <w:i w:val="0"/>
                <w:iCs/>
                <w:sz w:val="16"/>
                <w:szCs w:val="16"/>
              </w:rPr>
              <w:t> </w:t>
            </w:r>
            <w:proofErr w:type="spellStart"/>
            <w:r w:rsidRPr="00495A57">
              <w:rPr>
                <w:rFonts w:ascii="Arial" w:hAnsi="Arial" w:cs="Arial"/>
                <w:i w:val="0"/>
                <w:iCs/>
                <w:sz w:val="16"/>
                <w:szCs w:val="16"/>
              </w:rPr>
              <w:t>Obs</w:t>
            </w:r>
            <w:proofErr w:type="spellEnd"/>
          </w:p>
        </w:tc>
        <w:tc>
          <w:tcPr>
            <w:tcW w:w="996" w:type="dxa"/>
            <w:vAlign w:val="bottom"/>
          </w:tcPr>
          <w:p w14:paraId="11FAB04F"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96</w:t>
            </w:r>
          </w:p>
        </w:tc>
        <w:tc>
          <w:tcPr>
            <w:tcW w:w="996" w:type="dxa"/>
            <w:vAlign w:val="bottom"/>
          </w:tcPr>
          <w:p w14:paraId="594A8138"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96</w:t>
            </w:r>
          </w:p>
        </w:tc>
        <w:tc>
          <w:tcPr>
            <w:tcW w:w="996" w:type="dxa"/>
            <w:vAlign w:val="bottom"/>
          </w:tcPr>
          <w:p w14:paraId="1A4C15DE"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96</w:t>
            </w:r>
          </w:p>
        </w:tc>
        <w:tc>
          <w:tcPr>
            <w:tcW w:w="996" w:type="dxa"/>
            <w:vAlign w:val="bottom"/>
          </w:tcPr>
          <w:p w14:paraId="73EF94ED"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96</w:t>
            </w:r>
          </w:p>
        </w:tc>
        <w:tc>
          <w:tcPr>
            <w:tcW w:w="996" w:type="dxa"/>
            <w:vAlign w:val="bottom"/>
          </w:tcPr>
          <w:p w14:paraId="4931398A"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96</w:t>
            </w:r>
          </w:p>
        </w:tc>
        <w:tc>
          <w:tcPr>
            <w:tcW w:w="1122" w:type="dxa"/>
            <w:vAlign w:val="bottom"/>
          </w:tcPr>
          <w:p w14:paraId="00793D47"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96</w:t>
            </w:r>
          </w:p>
        </w:tc>
        <w:tc>
          <w:tcPr>
            <w:tcW w:w="1122" w:type="dxa"/>
            <w:vAlign w:val="bottom"/>
          </w:tcPr>
          <w:p w14:paraId="46306D9D"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96</w:t>
            </w:r>
          </w:p>
        </w:tc>
      </w:tr>
    </w:tbl>
    <w:p w14:paraId="0A9A40BE" w14:textId="77777777" w:rsidR="00495A57" w:rsidRPr="00495A57" w:rsidRDefault="00495A57" w:rsidP="00495A57">
      <w:pPr>
        <w:rPr>
          <w:rFonts w:ascii="Arial" w:hAnsi="Arial" w:cs="Arial"/>
          <w:lang w:val="en-ID" w:eastAsia="en-ID"/>
        </w:rPr>
      </w:pPr>
      <w:r w:rsidRPr="00495A57">
        <w:rPr>
          <w:rFonts w:ascii="Arial" w:hAnsi="Arial" w:cs="Arial"/>
          <w:lang w:val="en-ID" w:eastAsia="en-ID"/>
        </w:rPr>
        <w:t>Source: Processed data using EVIEWS 9</w:t>
      </w:r>
      <w:r w:rsidRPr="00495A57">
        <w:rPr>
          <w:rFonts w:ascii="Arial" w:hAnsi="Arial" w:cs="Arial"/>
          <w:lang w:val="en-ID" w:eastAsia="en-ID"/>
        </w:rPr>
        <w:br/>
      </w:r>
    </w:p>
    <w:p w14:paraId="435E9C6C" w14:textId="77777777" w:rsidR="00495A57" w:rsidRDefault="00495A57" w:rsidP="00495A57">
      <w:pPr>
        <w:spacing w:before="240"/>
        <w:jc w:val="both"/>
        <w:rPr>
          <w:rFonts w:ascii="Arial" w:hAnsi="Arial" w:cs="Arial"/>
          <w:lang w:val="en-ID" w:eastAsia="en-ID"/>
        </w:rPr>
      </w:pPr>
      <w:r w:rsidRPr="00495A57">
        <w:rPr>
          <w:rFonts w:ascii="Arial" w:hAnsi="Arial" w:cs="Arial"/>
          <w:lang w:val="en-ID" w:eastAsia="en-ID"/>
        </w:rPr>
        <w:t>Based on Table 2, the mean values are greater than the standard deviations for variables such as DFI, LEV, NPL, and ROA, indicating that these variables have good data quality. Meanwhile, GC, GCSR, and SIZE show less reliable data quality.</w:t>
      </w:r>
    </w:p>
    <w:p w14:paraId="606BE2D6" w14:textId="77777777" w:rsidR="00495A57" w:rsidRDefault="00495A57" w:rsidP="00495A57">
      <w:pPr>
        <w:spacing w:before="240"/>
        <w:jc w:val="both"/>
        <w:rPr>
          <w:rFonts w:ascii="Arial" w:hAnsi="Arial" w:cs="Arial"/>
          <w:lang w:val="en-ID" w:eastAsia="en-ID"/>
        </w:rPr>
      </w:pPr>
      <w:r w:rsidRPr="00495A57">
        <w:rPr>
          <w:rFonts w:ascii="Arial" w:hAnsi="Arial" w:cs="Arial"/>
          <w:lang w:val="en-ID" w:eastAsia="en-ID"/>
        </w:rPr>
        <w:t>Descriptive statistics for Green Credit (GC) show a mean of 0.135, indicating that the average proportion of green credit to total credit is relatively low. The standard deviation of 0.153 suggests a moderate variation in green credit issuance. A positive skewness of 1.377 indicates that the distribution is skewed to the left (more data points are low, fewer are high). A kurtosis value of 4.44 (greater than 3) reflects a sharper peak than a normal distribution (leptokurtic). Overall, while a few banks provide significantly higher green credit, most are still at low levels.</w:t>
      </w:r>
    </w:p>
    <w:p w14:paraId="1FA678A7" w14:textId="77777777" w:rsidR="00495A57" w:rsidRDefault="00495A57" w:rsidP="00495A57">
      <w:pPr>
        <w:spacing w:before="240"/>
        <w:jc w:val="both"/>
        <w:rPr>
          <w:rFonts w:ascii="Arial" w:hAnsi="Arial" w:cs="Arial"/>
          <w:lang w:val="en-ID" w:eastAsia="en-ID"/>
        </w:rPr>
      </w:pPr>
      <w:r w:rsidRPr="00495A57">
        <w:rPr>
          <w:rFonts w:ascii="Arial" w:hAnsi="Arial" w:cs="Arial"/>
          <w:lang w:val="en-ID" w:eastAsia="en-ID"/>
        </w:rPr>
        <w:t>Descriptive statistics for Green CSR (GCSR) show a mean of 0.693, but a much lower median of 0.007, indicating that most observations have very small values, with a few extreme outliers (up to 12.65). A positive skewness of 3.89 and a kurtosis of 17.55 indicate a highly skewed distribution to the right with a sharp peak and long tail (extreme outliers). Overall, only a few banks disclose or invest significantly in CSR, while the majority contribute very little.</w:t>
      </w:r>
    </w:p>
    <w:p w14:paraId="20EAAAB4" w14:textId="77777777" w:rsidR="00495A57" w:rsidRDefault="00495A57" w:rsidP="00495A57">
      <w:pPr>
        <w:spacing w:before="240"/>
        <w:jc w:val="both"/>
        <w:rPr>
          <w:rFonts w:ascii="Arial" w:hAnsi="Arial" w:cs="Arial"/>
          <w:lang w:val="en-ID" w:eastAsia="en-ID"/>
        </w:rPr>
      </w:pPr>
      <w:r w:rsidRPr="00495A57">
        <w:rPr>
          <w:rFonts w:ascii="Arial" w:hAnsi="Arial" w:cs="Arial"/>
          <w:lang w:val="en-ID" w:eastAsia="en-ID"/>
        </w:rPr>
        <w:t>Descriptive statistics for Digital Financial Inclusion (DFI) show a mean of 0.609 and a median of 0.625, suggesting a relatively symmetrical distribution. A skewness of 0.24 and kurtosis of 2.20 indicate an approximately normal distribution. Overall, the level of digital financial inclusion across banks is relatively balanced, with no extreme domination.</w:t>
      </w:r>
    </w:p>
    <w:p w14:paraId="157E4981" w14:textId="77777777" w:rsidR="00495A57" w:rsidRDefault="00495A57" w:rsidP="00495A57">
      <w:pPr>
        <w:spacing w:before="240"/>
        <w:jc w:val="both"/>
        <w:rPr>
          <w:rFonts w:ascii="Arial" w:hAnsi="Arial" w:cs="Arial"/>
          <w:lang w:val="en-ID" w:eastAsia="en-ID"/>
        </w:rPr>
      </w:pPr>
      <w:r w:rsidRPr="00495A57">
        <w:rPr>
          <w:rFonts w:ascii="Arial" w:hAnsi="Arial" w:cs="Arial"/>
          <w:lang w:val="en-ID" w:eastAsia="en-ID"/>
        </w:rPr>
        <w:t>Descriptive statistics for Leverage (LEV) show a mean of 0.858 with a standard deviation of 0.035, indicating very low variation in leverage among banks. A skewness of 1.03 shows a right-skewed distribution (most data near higher values). The kurtosis of 3.46 suggests a distribution slightly sharper than normal. Generally, banks tend to have relatively high and homogeneous leverage levels.</w:t>
      </w:r>
    </w:p>
    <w:p w14:paraId="5FF8016C" w14:textId="77777777" w:rsidR="00495A57" w:rsidRDefault="00495A57" w:rsidP="00495A57">
      <w:pPr>
        <w:spacing w:before="240"/>
        <w:jc w:val="both"/>
        <w:rPr>
          <w:rFonts w:ascii="Arial" w:hAnsi="Arial" w:cs="Arial"/>
          <w:lang w:val="en-ID" w:eastAsia="en-ID"/>
        </w:rPr>
      </w:pPr>
      <w:r w:rsidRPr="00495A57">
        <w:rPr>
          <w:rFonts w:ascii="Arial" w:hAnsi="Arial" w:cs="Arial"/>
          <w:lang w:val="en-ID" w:eastAsia="en-ID"/>
        </w:rPr>
        <w:t>Descriptive statistics for Risk (Non-Performing Loans/NPL) show a mean of 2.57 and a standard deviation of 1.03, indicating considerable variation among banks. The skewness of -0.145 indicates an almost symmetrical distribution, while a kurtosis of 2.23 suggests a slightly flatter distribution than normal. In general, NPL levels vary moderately without extreme values.</w:t>
      </w:r>
    </w:p>
    <w:p w14:paraId="2AB996ED" w14:textId="77777777" w:rsidR="00495A57" w:rsidRDefault="00495A57" w:rsidP="00495A57">
      <w:pPr>
        <w:spacing w:before="240"/>
        <w:jc w:val="both"/>
        <w:rPr>
          <w:rFonts w:ascii="Arial" w:hAnsi="Arial" w:cs="Arial"/>
          <w:lang w:val="en-ID" w:eastAsia="en-ID"/>
        </w:rPr>
      </w:pPr>
      <w:r w:rsidRPr="00495A57">
        <w:rPr>
          <w:rFonts w:ascii="Arial" w:hAnsi="Arial" w:cs="Arial"/>
          <w:lang w:val="en-ID" w:eastAsia="en-ID"/>
        </w:rPr>
        <w:lastRenderedPageBreak/>
        <w:t>Descriptive statistics for Bank Size (SIZE) show a mean of 0.96, a median of 0.49, and a standard deviation of 1.15, indicating very high variability. A skewness of 2.33 and a kurtosis of 9.54 suggest the presence of a few very large banks compared to the majority (high outliers). Overall, most banks are relatively small, with only a few dominating in terms of asset size.</w:t>
      </w:r>
    </w:p>
    <w:p w14:paraId="1AD52AAE" w14:textId="14F589F1" w:rsidR="00495A57" w:rsidRDefault="00495A57" w:rsidP="00495A57">
      <w:pPr>
        <w:spacing w:before="240"/>
        <w:jc w:val="both"/>
        <w:rPr>
          <w:rFonts w:ascii="Arial" w:hAnsi="Arial" w:cs="Arial"/>
          <w:lang w:val="en-ID" w:eastAsia="en-ID"/>
        </w:rPr>
      </w:pPr>
      <w:r w:rsidRPr="00495A57">
        <w:rPr>
          <w:rFonts w:ascii="Arial" w:hAnsi="Arial" w:cs="Arial"/>
          <w:lang w:val="en-ID" w:eastAsia="en-ID"/>
        </w:rPr>
        <w:t>Descriptive statistics for Bank Performance (ROA) show a mean of 1.51 and a standard deviation of 0.78, indicating moderate variability in profitability across banks. The skewness of 0.73 suggests a slightly right-skewed distribution, while the kurtosis of 3.25 indicates a near-normal distribution. In general, ROA values among banks are fairly diverse, with some banks showing high profitability.</w:t>
      </w:r>
    </w:p>
    <w:p w14:paraId="5331F87D" w14:textId="77777777" w:rsidR="00495A57" w:rsidRPr="00495A57" w:rsidRDefault="00495A57" w:rsidP="00495A57">
      <w:pPr>
        <w:spacing w:before="240"/>
        <w:jc w:val="both"/>
        <w:rPr>
          <w:rFonts w:ascii="Arial" w:hAnsi="Arial" w:cs="Arial"/>
          <w:lang w:val="en-ID" w:eastAsia="en-ID"/>
        </w:rPr>
      </w:pPr>
    </w:p>
    <w:p w14:paraId="7ED3090F" w14:textId="5B55AA1A" w:rsidR="00495A57" w:rsidRPr="00495A57" w:rsidRDefault="00495A57" w:rsidP="00495A57">
      <w:pPr>
        <w:jc w:val="both"/>
        <w:rPr>
          <w:rFonts w:ascii="Arial" w:hAnsi="Arial" w:cs="Arial"/>
          <w:b/>
          <w:bCs/>
          <w:lang w:val="en-ID" w:eastAsia="en-ID"/>
        </w:rPr>
      </w:pPr>
      <w:r w:rsidRPr="00495A57">
        <w:rPr>
          <w:rFonts w:ascii="Arial" w:hAnsi="Arial" w:cs="Arial"/>
          <w:b/>
          <w:bCs/>
          <w:lang w:val="en-ID" w:eastAsia="en-ID"/>
        </w:rPr>
        <w:t>3.1.2 Model Selection Test</w:t>
      </w:r>
    </w:p>
    <w:p w14:paraId="010F78F8" w14:textId="77777777" w:rsidR="00495A57" w:rsidRPr="00495A57" w:rsidRDefault="00495A57" w:rsidP="00495A57">
      <w:pPr>
        <w:jc w:val="both"/>
        <w:rPr>
          <w:rFonts w:ascii="Arial" w:hAnsi="Arial" w:cs="Arial"/>
        </w:rPr>
      </w:pPr>
      <w:r w:rsidRPr="00495A57">
        <w:rPr>
          <w:rFonts w:ascii="Arial" w:hAnsi="Arial" w:cs="Arial"/>
        </w:rPr>
        <w:t>Based on the data processing results using EVIEWS, the model selection results are as follows:</w:t>
      </w:r>
    </w:p>
    <w:p w14:paraId="49A06097" w14:textId="77777777" w:rsidR="00495A57" w:rsidRPr="00495A57" w:rsidRDefault="00495A57" w:rsidP="00495A57">
      <w:pPr>
        <w:jc w:val="center"/>
        <w:rPr>
          <w:rFonts w:ascii="Arial" w:hAnsi="Arial" w:cs="Arial"/>
          <w:b/>
          <w:bCs/>
        </w:rPr>
      </w:pPr>
      <w:r w:rsidRPr="00495A57">
        <w:rPr>
          <w:rFonts w:ascii="Arial" w:hAnsi="Arial" w:cs="Arial"/>
          <w:b/>
          <w:bCs/>
        </w:rPr>
        <w:t>Table 3: Model Selection Test</w:t>
      </w:r>
    </w:p>
    <w:tbl>
      <w:tblPr>
        <w:tblStyle w:val="TableGrid"/>
        <w:tblW w:w="0" w:type="auto"/>
        <w:jc w:val="center"/>
        <w:tblLook w:val="04A0" w:firstRow="1" w:lastRow="0" w:firstColumn="1" w:lastColumn="0" w:noHBand="0" w:noVBand="1"/>
      </w:tblPr>
      <w:tblGrid>
        <w:gridCol w:w="1764"/>
        <w:gridCol w:w="1295"/>
        <w:gridCol w:w="910"/>
        <w:gridCol w:w="1273"/>
        <w:gridCol w:w="1877"/>
        <w:gridCol w:w="1305"/>
      </w:tblGrid>
      <w:tr w:rsidR="00495A57" w:rsidRPr="00495A57" w14:paraId="3F5ABA99" w14:textId="77777777" w:rsidTr="00495A57">
        <w:trPr>
          <w:jc w:val="center"/>
        </w:trPr>
        <w:tc>
          <w:tcPr>
            <w:tcW w:w="0" w:type="auto"/>
            <w:shd w:val="clear" w:color="auto" w:fill="F2F2F2" w:themeFill="background1" w:themeFillShade="F2"/>
            <w:vAlign w:val="center"/>
            <w:hideMark/>
          </w:tcPr>
          <w:p w14:paraId="28A657ED" w14:textId="77777777" w:rsidR="00495A57" w:rsidRPr="00495A57" w:rsidRDefault="00495A57" w:rsidP="00495A57">
            <w:pPr>
              <w:jc w:val="center"/>
              <w:rPr>
                <w:rFonts w:ascii="Arial" w:eastAsia="Times New Roman" w:hAnsi="Arial" w:cs="Arial"/>
                <w:b/>
                <w:bCs/>
                <w:color w:val="000000" w:themeColor="text1"/>
                <w:sz w:val="20"/>
                <w:szCs w:val="20"/>
                <w:lang w:val="en-ID" w:eastAsia="en-ID"/>
              </w:rPr>
            </w:pPr>
            <w:r w:rsidRPr="00495A57">
              <w:rPr>
                <w:rFonts w:ascii="Arial" w:eastAsia="Times New Roman" w:hAnsi="Arial" w:cs="Arial"/>
                <w:b/>
                <w:bCs/>
                <w:color w:val="000000" w:themeColor="text1"/>
                <w:sz w:val="20"/>
                <w:szCs w:val="20"/>
                <w:lang w:val="en-ID" w:eastAsia="en-ID"/>
              </w:rPr>
              <w:t>Test</w:t>
            </w:r>
          </w:p>
        </w:tc>
        <w:tc>
          <w:tcPr>
            <w:tcW w:w="0" w:type="auto"/>
            <w:shd w:val="clear" w:color="auto" w:fill="F2F2F2" w:themeFill="background1" w:themeFillShade="F2"/>
            <w:vAlign w:val="center"/>
            <w:hideMark/>
          </w:tcPr>
          <w:p w14:paraId="1087E097" w14:textId="77777777" w:rsidR="00495A57" w:rsidRPr="00495A57" w:rsidRDefault="00495A57" w:rsidP="00495A57">
            <w:pPr>
              <w:jc w:val="center"/>
              <w:rPr>
                <w:rFonts w:ascii="Arial" w:eastAsia="Times New Roman" w:hAnsi="Arial" w:cs="Arial"/>
                <w:b/>
                <w:bCs/>
                <w:color w:val="000000" w:themeColor="text1"/>
                <w:sz w:val="20"/>
                <w:szCs w:val="20"/>
                <w:lang w:val="en-ID" w:eastAsia="en-ID"/>
              </w:rPr>
            </w:pPr>
            <w:r w:rsidRPr="00495A57">
              <w:rPr>
                <w:rFonts w:ascii="Arial" w:eastAsia="Times New Roman" w:hAnsi="Arial" w:cs="Arial"/>
                <w:b/>
                <w:bCs/>
                <w:color w:val="000000" w:themeColor="text1"/>
                <w:sz w:val="20"/>
                <w:szCs w:val="20"/>
                <w:lang w:val="en-ID" w:eastAsia="en-ID"/>
              </w:rPr>
              <w:t>Hypothesis</w:t>
            </w:r>
          </w:p>
        </w:tc>
        <w:tc>
          <w:tcPr>
            <w:tcW w:w="0" w:type="auto"/>
            <w:shd w:val="clear" w:color="auto" w:fill="F2F2F2" w:themeFill="background1" w:themeFillShade="F2"/>
            <w:vAlign w:val="center"/>
            <w:hideMark/>
          </w:tcPr>
          <w:p w14:paraId="47BFAAE4" w14:textId="77777777" w:rsidR="00495A57" w:rsidRPr="00495A57" w:rsidRDefault="00495A57" w:rsidP="00495A57">
            <w:pPr>
              <w:jc w:val="center"/>
              <w:rPr>
                <w:rFonts w:ascii="Arial" w:eastAsia="Times New Roman" w:hAnsi="Arial" w:cs="Arial"/>
                <w:b/>
                <w:bCs/>
                <w:color w:val="000000" w:themeColor="text1"/>
                <w:sz w:val="20"/>
                <w:szCs w:val="20"/>
                <w:lang w:val="en-ID" w:eastAsia="en-ID"/>
              </w:rPr>
            </w:pPr>
            <w:r w:rsidRPr="00495A57">
              <w:rPr>
                <w:rFonts w:ascii="Arial" w:eastAsia="Times New Roman" w:hAnsi="Arial" w:cs="Arial"/>
                <w:b/>
                <w:bCs/>
                <w:color w:val="000000" w:themeColor="text1"/>
                <w:sz w:val="20"/>
                <w:szCs w:val="20"/>
                <w:lang w:val="en-ID" w:eastAsia="en-ID"/>
              </w:rPr>
              <w:t>P-value</w:t>
            </w:r>
          </w:p>
        </w:tc>
        <w:tc>
          <w:tcPr>
            <w:tcW w:w="0" w:type="auto"/>
            <w:shd w:val="clear" w:color="auto" w:fill="F2F2F2" w:themeFill="background1" w:themeFillShade="F2"/>
            <w:vAlign w:val="center"/>
            <w:hideMark/>
          </w:tcPr>
          <w:p w14:paraId="1F0BC2D9" w14:textId="77777777" w:rsidR="00495A57" w:rsidRPr="00495A57" w:rsidRDefault="00495A57" w:rsidP="00495A57">
            <w:pPr>
              <w:jc w:val="center"/>
              <w:rPr>
                <w:rFonts w:ascii="Arial" w:eastAsia="Times New Roman" w:hAnsi="Arial" w:cs="Arial"/>
                <w:b/>
                <w:bCs/>
                <w:color w:val="000000" w:themeColor="text1"/>
                <w:sz w:val="20"/>
                <w:szCs w:val="20"/>
                <w:lang w:val="en-ID" w:eastAsia="en-ID"/>
              </w:rPr>
            </w:pPr>
            <w:r w:rsidRPr="00495A57">
              <w:rPr>
                <w:rFonts w:ascii="Arial" w:eastAsia="Times New Roman" w:hAnsi="Arial" w:cs="Arial"/>
                <w:b/>
                <w:bCs/>
                <w:color w:val="000000" w:themeColor="text1"/>
                <w:sz w:val="20"/>
                <w:szCs w:val="20"/>
                <w:lang w:val="en-ID" w:eastAsia="en-ID"/>
              </w:rPr>
              <w:t>Chi-square</w:t>
            </w:r>
          </w:p>
        </w:tc>
        <w:tc>
          <w:tcPr>
            <w:tcW w:w="0" w:type="auto"/>
            <w:shd w:val="clear" w:color="auto" w:fill="F2F2F2" w:themeFill="background1" w:themeFillShade="F2"/>
            <w:vAlign w:val="center"/>
            <w:hideMark/>
          </w:tcPr>
          <w:p w14:paraId="213EC664" w14:textId="77777777" w:rsidR="00495A57" w:rsidRPr="00495A57" w:rsidRDefault="00495A57" w:rsidP="00495A57">
            <w:pPr>
              <w:jc w:val="center"/>
              <w:rPr>
                <w:rFonts w:ascii="Arial" w:eastAsia="Times New Roman" w:hAnsi="Arial" w:cs="Arial"/>
                <w:b/>
                <w:bCs/>
                <w:color w:val="000000" w:themeColor="text1"/>
                <w:sz w:val="20"/>
                <w:szCs w:val="20"/>
                <w:lang w:val="en-ID" w:eastAsia="en-ID"/>
              </w:rPr>
            </w:pPr>
            <w:r w:rsidRPr="00495A57">
              <w:rPr>
                <w:rFonts w:ascii="Arial" w:eastAsia="Times New Roman" w:hAnsi="Arial" w:cs="Arial"/>
                <w:b/>
                <w:bCs/>
                <w:color w:val="000000" w:themeColor="text1"/>
                <w:sz w:val="20"/>
                <w:szCs w:val="20"/>
                <w:lang w:val="en-ID" w:eastAsia="en-ID"/>
              </w:rPr>
              <w:t>Decision</w:t>
            </w:r>
          </w:p>
        </w:tc>
        <w:tc>
          <w:tcPr>
            <w:tcW w:w="0" w:type="auto"/>
            <w:shd w:val="clear" w:color="auto" w:fill="F2F2F2" w:themeFill="background1" w:themeFillShade="F2"/>
            <w:vAlign w:val="center"/>
            <w:hideMark/>
          </w:tcPr>
          <w:p w14:paraId="004DAFB7" w14:textId="77777777" w:rsidR="00495A57" w:rsidRPr="00495A57" w:rsidRDefault="00495A57" w:rsidP="00495A57">
            <w:pPr>
              <w:jc w:val="center"/>
              <w:rPr>
                <w:rFonts w:ascii="Arial" w:eastAsia="Times New Roman" w:hAnsi="Arial" w:cs="Arial"/>
                <w:b/>
                <w:bCs/>
                <w:color w:val="000000" w:themeColor="text1"/>
                <w:sz w:val="20"/>
                <w:szCs w:val="20"/>
                <w:lang w:val="en-ID" w:eastAsia="en-ID"/>
              </w:rPr>
            </w:pPr>
            <w:r w:rsidRPr="00495A57">
              <w:rPr>
                <w:rFonts w:ascii="Arial" w:eastAsia="Times New Roman" w:hAnsi="Arial" w:cs="Arial"/>
                <w:b/>
                <w:bCs/>
                <w:color w:val="000000" w:themeColor="text1"/>
                <w:sz w:val="20"/>
                <w:szCs w:val="20"/>
                <w:lang w:val="en-ID" w:eastAsia="en-ID"/>
              </w:rPr>
              <w:t>Conclusion</w:t>
            </w:r>
          </w:p>
        </w:tc>
      </w:tr>
      <w:tr w:rsidR="00495A57" w:rsidRPr="00495A57" w14:paraId="358C81C1" w14:textId="77777777" w:rsidTr="00785061">
        <w:trPr>
          <w:jc w:val="center"/>
        </w:trPr>
        <w:tc>
          <w:tcPr>
            <w:tcW w:w="0" w:type="auto"/>
            <w:hideMark/>
          </w:tcPr>
          <w:p w14:paraId="16B5657D"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Chow Test</w:t>
            </w:r>
          </w:p>
        </w:tc>
        <w:tc>
          <w:tcPr>
            <w:tcW w:w="0" w:type="auto"/>
            <w:hideMark/>
          </w:tcPr>
          <w:p w14:paraId="48032F79"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H</w:t>
            </w:r>
            <w:r w:rsidRPr="00495A57">
              <w:rPr>
                <w:rFonts w:ascii="Cambria Math" w:eastAsia="Times New Roman" w:hAnsi="Cambria Math" w:cs="Cambria Math"/>
                <w:sz w:val="20"/>
                <w:szCs w:val="20"/>
                <w:lang w:val="en-ID" w:eastAsia="en-ID"/>
              </w:rPr>
              <w:t>₀</w:t>
            </w:r>
            <w:r w:rsidRPr="00495A57">
              <w:rPr>
                <w:rFonts w:ascii="Arial" w:eastAsia="Times New Roman" w:hAnsi="Arial" w:cs="Arial"/>
                <w:sz w:val="20"/>
                <w:szCs w:val="20"/>
                <w:lang w:val="en-ID" w:eastAsia="en-ID"/>
              </w:rPr>
              <w:t>: CEM</w:t>
            </w:r>
          </w:p>
          <w:p w14:paraId="3D40FE3D"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Hₐ: FEM</w:t>
            </w:r>
          </w:p>
        </w:tc>
        <w:tc>
          <w:tcPr>
            <w:tcW w:w="0" w:type="auto"/>
            <w:hideMark/>
          </w:tcPr>
          <w:p w14:paraId="0166365E"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0.0000</w:t>
            </w:r>
          </w:p>
        </w:tc>
        <w:tc>
          <w:tcPr>
            <w:tcW w:w="0" w:type="auto"/>
            <w:hideMark/>
          </w:tcPr>
          <w:p w14:paraId="49405D35"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137.344429</w:t>
            </w:r>
          </w:p>
        </w:tc>
        <w:tc>
          <w:tcPr>
            <w:tcW w:w="0" w:type="auto"/>
            <w:hideMark/>
          </w:tcPr>
          <w:p w14:paraId="3F31CB86" w14:textId="77777777" w:rsid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P &lt; 0.05</w:t>
            </w:r>
          </w:p>
          <w:p w14:paraId="4544A8C6" w14:textId="3E618B82"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H</w:t>
            </w:r>
            <w:r w:rsidRPr="00495A57">
              <w:rPr>
                <w:rFonts w:ascii="Cambria Math" w:eastAsia="Times New Roman" w:hAnsi="Cambria Math" w:cs="Cambria Math"/>
                <w:sz w:val="20"/>
                <w:szCs w:val="20"/>
                <w:lang w:val="en-ID" w:eastAsia="en-ID"/>
              </w:rPr>
              <w:t>₀</w:t>
            </w:r>
            <w:r w:rsidRPr="00495A57">
              <w:rPr>
                <w:rFonts w:ascii="Arial" w:eastAsia="Times New Roman" w:hAnsi="Arial" w:cs="Arial"/>
                <w:sz w:val="20"/>
                <w:szCs w:val="20"/>
                <w:lang w:val="en-ID" w:eastAsia="en-ID"/>
              </w:rPr>
              <w:t xml:space="preserve"> rejected</w:t>
            </w:r>
          </w:p>
        </w:tc>
        <w:tc>
          <w:tcPr>
            <w:tcW w:w="0" w:type="auto"/>
            <w:hideMark/>
          </w:tcPr>
          <w:p w14:paraId="760B9628"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FEM</w:t>
            </w:r>
          </w:p>
        </w:tc>
      </w:tr>
      <w:tr w:rsidR="00495A57" w:rsidRPr="00495A57" w14:paraId="3C6F5509" w14:textId="77777777" w:rsidTr="00785061">
        <w:trPr>
          <w:jc w:val="center"/>
        </w:trPr>
        <w:tc>
          <w:tcPr>
            <w:tcW w:w="0" w:type="auto"/>
            <w:hideMark/>
          </w:tcPr>
          <w:p w14:paraId="6A5AA174"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Hausman Test</w:t>
            </w:r>
          </w:p>
        </w:tc>
        <w:tc>
          <w:tcPr>
            <w:tcW w:w="0" w:type="auto"/>
            <w:hideMark/>
          </w:tcPr>
          <w:p w14:paraId="31F0BEE6"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H</w:t>
            </w:r>
            <w:r w:rsidRPr="00495A57">
              <w:rPr>
                <w:rFonts w:ascii="Cambria Math" w:eastAsia="Times New Roman" w:hAnsi="Cambria Math" w:cs="Cambria Math"/>
                <w:sz w:val="20"/>
                <w:szCs w:val="20"/>
                <w:lang w:val="en-ID" w:eastAsia="en-ID"/>
              </w:rPr>
              <w:t>₀</w:t>
            </w:r>
            <w:r w:rsidRPr="00495A57">
              <w:rPr>
                <w:rFonts w:ascii="Arial" w:eastAsia="Times New Roman" w:hAnsi="Arial" w:cs="Arial"/>
                <w:sz w:val="20"/>
                <w:szCs w:val="20"/>
                <w:lang w:val="en-ID" w:eastAsia="en-ID"/>
              </w:rPr>
              <w:t>: REM</w:t>
            </w:r>
          </w:p>
          <w:p w14:paraId="7BD85CA3"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Hₐ: FEM</w:t>
            </w:r>
          </w:p>
        </w:tc>
        <w:tc>
          <w:tcPr>
            <w:tcW w:w="0" w:type="auto"/>
            <w:hideMark/>
          </w:tcPr>
          <w:p w14:paraId="3666C650"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0.5857</w:t>
            </w:r>
          </w:p>
        </w:tc>
        <w:tc>
          <w:tcPr>
            <w:tcW w:w="0" w:type="auto"/>
            <w:hideMark/>
          </w:tcPr>
          <w:p w14:paraId="1FD2B086"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4.677918</w:t>
            </w:r>
          </w:p>
        </w:tc>
        <w:tc>
          <w:tcPr>
            <w:tcW w:w="0" w:type="auto"/>
            <w:hideMark/>
          </w:tcPr>
          <w:p w14:paraId="70CAC6C4"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P &gt; 0.05H</w:t>
            </w:r>
            <w:r w:rsidRPr="00495A57">
              <w:rPr>
                <w:rFonts w:ascii="Cambria Math" w:eastAsia="Times New Roman" w:hAnsi="Cambria Math" w:cs="Cambria Math"/>
                <w:sz w:val="20"/>
                <w:szCs w:val="20"/>
                <w:lang w:val="en-ID" w:eastAsia="en-ID"/>
              </w:rPr>
              <w:t>₀</w:t>
            </w:r>
            <w:r w:rsidRPr="00495A57">
              <w:rPr>
                <w:rFonts w:ascii="Arial" w:eastAsia="Times New Roman" w:hAnsi="Arial" w:cs="Arial"/>
                <w:sz w:val="20"/>
                <w:szCs w:val="20"/>
                <w:lang w:val="en-ID" w:eastAsia="en-ID"/>
              </w:rPr>
              <w:t xml:space="preserve"> accepted</w:t>
            </w:r>
          </w:p>
        </w:tc>
        <w:tc>
          <w:tcPr>
            <w:tcW w:w="0" w:type="auto"/>
            <w:hideMark/>
          </w:tcPr>
          <w:p w14:paraId="2E382EFC"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REM</w:t>
            </w:r>
          </w:p>
        </w:tc>
      </w:tr>
      <w:tr w:rsidR="00495A57" w:rsidRPr="00495A57" w14:paraId="70D07D3C" w14:textId="77777777" w:rsidTr="00785061">
        <w:trPr>
          <w:jc w:val="center"/>
        </w:trPr>
        <w:tc>
          <w:tcPr>
            <w:tcW w:w="0" w:type="auto"/>
            <w:hideMark/>
          </w:tcPr>
          <w:p w14:paraId="161E0BCB"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Lagrange Multiplier</w:t>
            </w:r>
          </w:p>
        </w:tc>
        <w:tc>
          <w:tcPr>
            <w:tcW w:w="0" w:type="auto"/>
            <w:hideMark/>
          </w:tcPr>
          <w:p w14:paraId="19B73634"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H</w:t>
            </w:r>
            <w:r w:rsidRPr="00495A57">
              <w:rPr>
                <w:rFonts w:ascii="Cambria Math" w:eastAsia="Times New Roman" w:hAnsi="Cambria Math" w:cs="Cambria Math"/>
                <w:sz w:val="20"/>
                <w:szCs w:val="20"/>
                <w:lang w:val="en-ID" w:eastAsia="en-ID"/>
              </w:rPr>
              <w:t>₀</w:t>
            </w:r>
            <w:r w:rsidRPr="00495A57">
              <w:rPr>
                <w:rFonts w:ascii="Arial" w:eastAsia="Times New Roman" w:hAnsi="Arial" w:cs="Arial"/>
                <w:sz w:val="20"/>
                <w:szCs w:val="20"/>
                <w:lang w:val="en-ID" w:eastAsia="en-ID"/>
              </w:rPr>
              <w:t>: CEM</w:t>
            </w:r>
          </w:p>
          <w:p w14:paraId="24A718FF"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Hₐ: REM</w:t>
            </w:r>
          </w:p>
        </w:tc>
        <w:tc>
          <w:tcPr>
            <w:tcW w:w="0" w:type="auto"/>
            <w:hideMark/>
          </w:tcPr>
          <w:p w14:paraId="3976B9A4"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0.0000</w:t>
            </w:r>
          </w:p>
        </w:tc>
        <w:tc>
          <w:tcPr>
            <w:tcW w:w="0" w:type="auto"/>
            <w:hideMark/>
          </w:tcPr>
          <w:p w14:paraId="1ABC9B9A"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60.19464</w:t>
            </w:r>
          </w:p>
        </w:tc>
        <w:tc>
          <w:tcPr>
            <w:tcW w:w="0" w:type="auto"/>
            <w:hideMark/>
          </w:tcPr>
          <w:p w14:paraId="50AA2050"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P &lt; 0.05H</w:t>
            </w:r>
            <w:r w:rsidRPr="00495A57">
              <w:rPr>
                <w:rFonts w:ascii="Cambria Math" w:eastAsia="Times New Roman" w:hAnsi="Cambria Math" w:cs="Cambria Math"/>
                <w:sz w:val="20"/>
                <w:szCs w:val="20"/>
                <w:lang w:val="en-ID" w:eastAsia="en-ID"/>
              </w:rPr>
              <w:t>₀</w:t>
            </w:r>
            <w:r w:rsidRPr="00495A57">
              <w:rPr>
                <w:rFonts w:ascii="Arial" w:eastAsia="Times New Roman" w:hAnsi="Arial" w:cs="Arial"/>
                <w:sz w:val="20"/>
                <w:szCs w:val="20"/>
                <w:lang w:val="en-ID" w:eastAsia="en-ID"/>
              </w:rPr>
              <w:t xml:space="preserve"> rejected</w:t>
            </w:r>
          </w:p>
        </w:tc>
        <w:tc>
          <w:tcPr>
            <w:tcW w:w="0" w:type="auto"/>
            <w:hideMark/>
          </w:tcPr>
          <w:p w14:paraId="29A66DD6"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REM</w:t>
            </w:r>
          </w:p>
        </w:tc>
      </w:tr>
    </w:tbl>
    <w:p w14:paraId="0961667A" w14:textId="77777777" w:rsidR="00495A57" w:rsidRPr="00495A57" w:rsidRDefault="00495A57" w:rsidP="00495A57">
      <w:pPr>
        <w:jc w:val="both"/>
        <w:rPr>
          <w:rFonts w:ascii="Arial" w:hAnsi="Arial" w:cs="Arial"/>
          <w:lang w:val="en-ID" w:eastAsia="en-ID"/>
        </w:rPr>
      </w:pPr>
      <w:r w:rsidRPr="00495A57">
        <w:rPr>
          <w:rFonts w:ascii="Arial" w:hAnsi="Arial" w:cs="Arial"/>
          <w:lang w:val="en-ID" w:eastAsia="en-ID"/>
        </w:rPr>
        <w:t>Source: Processed data using EVIEWS 9</w:t>
      </w:r>
    </w:p>
    <w:p w14:paraId="78A51D93" w14:textId="77777777" w:rsidR="00495A57" w:rsidRPr="00495A57" w:rsidRDefault="00495A57" w:rsidP="00495A57">
      <w:pPr>
        <w:jc w:val="both"/>
        <w:rPr>
          <w:rFonts w:ascii="Arial" w:hAnsi="Arial" w:cs="Arial"/>
          <w:lang w:val="en-ID" w:eastAsia="en-ID"/>
        </w:rPr>
      </w:pPr>
    </w:p>
    <w:p w14:paraId="716C86A3" w14:textId="77777777" w:rsidR="00495A57" w:rsidRDefault="00495A57" w:rsidP="00495A57">
      <w:pPr>
        <w:jc w:val="both"/>
        <w:rPr>
          <w:rFonts w:ascii="Arial" w:hAnsi="Arial" w:cs="Arial"/>
        </w:rPr>
      </w:pPr>
      <w:r w:rsidRPr="00495A57">
        <w:rPr>
          <w:rFonts w:ascii="Arial" w:hAnsi="Arial" w:cs="Arial"/>
          <w:lang w:val="en-ID" w:eastAsia="en-ID"/>
        </w:rPr>
        <w:t>To select the most appropriate model to estimate the data in this study, three tests were conducted. The first was the Chow Test, where the null hypothesis (H</w:t>
      </w:r>
      <w:r w:rsidRPr="00495A57">
        <w:rPr>
          <w:rFonts w:ascii="Cambria Math" w:hAnsi="Cambria Math" w:cs="Cambria Math"/>
          <w:lang w:val="en-ID" w:eastAsia="en-ID"/>
        </w:rPr>
        <w:t>₀</w:t>
      </w:r>
      <w:r w:rsidRPr="00495A57">
        <w:rPr>
          <w:rFonts w:ascii="Arial" w:hAnsi="Arial" w:cs="Arial"/>
          <w:lang w:val="en-ID" w:eastAsia="en-ID"/>
        </w:rPr>
        <w:t>) assumes the Common Effect Model. The result shows a Chi-square probability value of less than 0.05. Therefore, the null hypothesis (H</w:t>
      </w:r>
      <w:r w:rsidRPr="00495A57">
        <w:rPr>
          <w:rFonts w:ascii="Cambria Math" w:hAnsi="Cambria Math" w:cs="Cambria Math"/>
          <w:lang w:val="en-ID" w:eastAsia="en-ID"/>
        </w:rPr>
        <w:t>₀</w:t>
      </w:r>
      <w:r w:rsidRPr="00495A57">
        <w:rPr>
          <w:rFonts w:ascii="Arial" w:hAnsi="Arial" w:cs="Arial"/>
          <w:lang w:val="en-ID" w:eastAsia="en-ID"/>
        </w:rPr>
        <w:t>) is rejected, and the better model to use is the estimation with Individual Effects, represented by the Fixed Effect Model (FEM).</w:t>
      </w:r>
      <w:r w:rsidRPr="00495A57">
        <w:rPr>
          <w:rFonts w:ascii="Arial" w:hAnsi="Arial" w:cs="Arial"/>
          <w:b/>
          <w:bCs/>
          <w:lang w:val="en-ID" w:eastAsia="en-ID"/>
        </w:rPr>
        <w:t xml:space="preserve"> </w:t>
      </w:r>
      <w:r w:rsidRPr="00495A57">
        <w:rPr>
          <w:rFonts w:ascii="Arial" w:hAnsi="Arial" w:cs="Arial"/>
          <w:lang w:val="en-ID" w:eastAsia="en-ID"/>
        </w:rPr>
        <w:t>The next step is to compare the Fixed Effect Model with the Random Effect Model (REM) using the Hausman Test. Based on the Hausman Test results, where the null hypothesis (H</w:t>
      </w:r>
      <w:r w:rsidRPr="00495A57">
        <w:rPr>
          <w:rFonts w:ascii="Cambria Math" w:hAnsi="Cambria Math" w:cs="Cambria Math"/>
          <w:lang w:val="en-ID" w:eastAsia="en-ID"/>
        </w:rPr>
        <w:t>₀</w:t>
      </w:r>
      <w:r w:rsidRPr="00495A57">
        <w:rPr>
          <w:rFonts w:ascii="Arial" w:hAnsi="Arial" w:cs="Arial"/>
          <w:lang w:val="en-ID" w:eastAsia="en-ID"/>
        </w:rPr>
        <w:t>) is that the model follows a Random Effect, the Chi-square probability is greater than 0.05. Thus, the null hypothesis (H</w:t>
      </w:r>
      <w:r w:rsidRPr="00495A57">
        <w:rPr>
          <w:rFonts w:ascii="Cambria Math" w:hAnsi="Cambria Math" w:cs="Cambria Math"/>
          <w:lang w:val="en-ID" w:eastAsia="en-ID"/>
        </w:rPr>
        <w:t>₀</w:t>
      </w:r>
      <w:r w:rsidRPr="00495A57">
        <w:rPr>
          <w:rFonts w:ascii="Arial" w:hAnsi="Arial" w:cs="Arial"/>
          <w:lang w:val="en-ID" w:eastAsia="en-ID"/>
        </w:rPr>
        <w:t xml:space="preserve">) fails to be rejected, and the better model to use is the Random Effect Model (REM). </w:t>
      </w:r>
      <w:r w:rsidRPr="00495A57">
        <w:rPr>
          <w:rFonts w:ascii="Arial" w:hAnsi="Arial" w:cs="Arial"/>
        </w:rPr>
        <w:t>Based on the results of the model selection test, the chosen model is the Random Effect Model, which does not require classical assumption testing. The selection of the Random Effect Model means that classical assumption tests are unnecessary because the Generalized Least Square (GLS) method can address heteroscedasticity and autocorrelation (</w:t>
      </w:r>
      <w:proofErr w:type="spellStart"/>
      <w:r w:rsidRPr="00495A57">
        <w:rPr>
          <w:rFonts w:ascii="Arial" w:hAnsi="Arial" w:cs="Arial"/>
        </w:rPr>
        <w:t>Melati</w:t>
      </w:r>
      <w:proofErr w:type="spellEnd"/>
      <w:r w:rsidRPr="00495A57">
        <w:rPr>
          <w:rFonts w:ascii="Arial" w:hAnsi="Arial" w:cs="Arial"/>
        </w:rPr>
        <w:t xml:space="preserve"> &amp; </w:t>
      </w:r>
      <w:proofErr w:type="spellStart"/>
      <w:r w:rsidRPr="00495A57">
        <w:rPr>
          <w:rFonts w:ascii="Arial" w:hAnsi="Arial" w:cs="Arial"/>
        </w:rPr>
        <w:t>Suryowati</w:t>
      </w:r>
      <w:proofErr w:type="spellEnd"/>
      <w:r w:rsidRPr="00495A57">
        <w:rPr>
          <w:rFonts w:ascii="Arial" w:hAnsi="Arial" w:cs="Arial"/>
        </w:rPr>
        <w:t xml:space="preserve">, 2018; </w:t>
      </w:r>
      <w:proofErr w:type="spellStart"/>
      <w:r w:rsidRPr="00495A57">
        <w:rPr>
          <w:rFonts w:ascii="Arial" w:hAnsi="Arial" w:cs="Arial"/>
        </w:rPr>
        <w:t>Ghozali</w:t>
      </w:r>
      <w:proofErr w:type="spellEnd"/>
      <w:r w:rsidRPr="00495A57">
        <w:rPr>
          <w:rFonts w:ascii="Arial" w:hAnsi="Arial" w:cs="Arial"/>
        </w:rPr>
        <w:t xml:space="preserve"> &amp; </w:t>
      </w:r>
      <w:proofErr w:type="spellStart"/>
      <w:r w:rsidRPr="00495A57">
        <w:rPr>
          <w:rFonts w:ascii="Arial" w:hAnsi="Arial" w:cs="Arial"/>
        </w:rPr>
        <w:t>Ratmono</w:t>
      </w:r>
      <w:proofErr w:type="spellEnd"/>
      <w:r w:rsidRPr="00495A57">
        <w:rPr>
          <w:rFonts w:ascii="Arial" w:hAnsi="Arial" w:cs="Arial"/>
        </w:rPr>
        <w:t>, 2013)</w:t>
      </w:r>
    </w:p>
    <w:p w14:paraId="4652C27B" w14:textId="77777777" w:rsidR="0020435E" w:rsidRDefault="0020435E" w:rsidP="00495A57">
      <w:pPr>
        <w:jc w:val="both"/>
        <w:rPr>
          <w:rFonts w:ascii="Arial" w:hAnsi="Arial" w:cs="Arial"/>
        </w:rPr>
      </w:pPr>
    </w:p>
    <w:p w14:paraId="6EB52343" w14:textId="77777777" w:rsidR="0020435E" w:rsidRDefault="0020435E" w:rsidP="00495A57">
      <w:pPr>
        <w:jc w:val="both"/>
        <w:rPr>
          <w:rFonts w:ascii="Arial" w:hAnsi="Arial" w:cs="Arial"/>
        </w:rPr>
      </w:pPr>
    </w:p>
    <w:p w14:paraId="4A5595A9" w14:textId="77777777" w:rsidR="0020435E" w:rsidRPr="00495A57" w:rsidRDefault="0020435E" w:rsidP="00495A57">
      <w:pPr>
        <w:jc w:val="both"/>
        <w:rPr>
          <w:rFonts w:ascii="Arial" w:hAnsi="Arial" w:cs="Arial"/>
          <w:lang w:val="en-ID" w:eastAsia="en-ID"/>
        </w:rPr>
      </w:pPr>
    </w:p>
    <w:p w14:paraId="6B760D54" w14:textId="031C1481" w:rsidR="00495A57" w:rsidRPr="0020435E" w:rsidRDefault="0020435E" w:rsidP="00495A57">
      <w:pPr>
        <w:jc w:val="both"/>
        <w:rPr>
          <w:rFonts w:ascii="Arial" w:hAnsi="Arial" w:cs="Arial"/>
          <w:b/>
          <w:bCs/>
          <w:lang w:val="en-ID" w:eastAsia="en-ID"/>
        </w:rPr>
      </w:pPr>
      <w:r w:rsidRPr="0020435E">
        <w:rPr>
          <w:rFonts w:ascii="Arial" w:hAnsi="Arial" w:cs="Arial"/>
          <w:b/>
          <w:bCs/>
          <w:lang w:val="en-ID" w:eastAsia="en-ID"/>
        </w:rPr>
        <w:t xml:space="preserve">3.1.3 </w:t>
      </w:r>
      <w:r w:rsidR="00495A57" w:rsidRPr="0020435E">
        <w:rPr>
          <w:rFonts w:ascii="Arial" w:hAnsi="Arial" w:cs="Arial"/>
          <w:b/>
          <w:bCs/>
          <w:lang w:val="en-ID" w:eastAsia="en-ID"/>
        </w:rPr>
        <w:t>Simultaneous Test</w:t>
      </w:r>
    </w:p>
    <w:p w14:paraId="2AEA41EF" w14:textId="77777777" w:rsidR="00495A57" w:rsidRPr="0020435E" w:rsidRDefault="00495A57" w:rsidP="00495A57">
      <w:pPr>
        <w:jc w:val="both"/>
        <w:rPr>
          <w:rFonts w:ascii="Arial" w:hAnsi="Arial" w:cs="Arial"/>
        </w:rPr>
      </w:pPr>
      <w:r w:rsidRPr="0020435E">
        <w:rPr>
          <w:rFonts w:ascii="Arial" w:hAnsi="Arial" w:cs="Arial"/>
        </w:rPr>
        <w:t xml:space="preserve">Based on the data processing results using </w:t>
      </w:r>
      <w:proofErr w:type="spellStart"/>
      <w:r w:rsidRPr="0020435E">
        <w:rPr>
          <w:rFonts w:ascii="Arial" w:hAnsi="Arial" w:cs="Arial"/>
        </w:rPr>
        <w:t>Eviews</w:t>
      </w:r>
      <w:proofErr w:type="spellEnd"/>
      <w:r w:rsidRPr="0020435E">
        <w:rPr>
          <w:rFonts w:ascii="Arial" w:hAnsi="Arial" w:cs="Arial"/>
        </w:rPr>
        <w:t>, the simultaneous test results for the model without interaction are presented in Table 4 below.</w:t>
      </w:r>
    </w:p>
    <w:p w14:paraId="77F02F62" w14:textId="5A8DA64B" w:rsidR="00495A57" w:rsidRPr="0020435E" w:rsidRDefault="00495A57" w:rsidP="0020435E">
      <w:pPr>
        <w:jc w:val="center"/>
        <w:rPr>
          <w:rFonts w:ascii="Arial" w:hAnsi="Arial" w:cs="Arial"/>
          <w:b/>
          <w:bCs/>
        </w:rPr>
      </w:pPr>
      <w:r w:rsidRPr="0020435E">
        <w:rPr>
          <w:rFonts w:ascii="Arial" w:hAnsi="Arial" w:cs="Arial"/>
          <w:b/>
          <w:bCs/>
        </w:rPr>
        <w:t>Table 4. Simultaneous Test</w:t>
      </w:r>
    </w:p>
    <w:tbl>
      <w:tblPr>
        <w:tblStyle w:val="TableGrid"/>
        <w:tblW w:w="5905" w:type="dxa"/>
        <w:jc w:val="center"/>
        <w:tblLook w:val="04A0" w:firstRow="1" w:lastRow="0" w:firstColumn="1" w:lastColumn="0" w:noHBand="0" w:noVBand="1"/>
      </w:tblPr>
      <w:tblGrid>
        <w:gridCol w:w="2852"/>
        <w:gridCol w:w="1833"/>
        <w:gridCol w:w="1220"/>
      </w:tblGrid>
      <w:tr w:rsidR="00495A57" w:rsidRPr="0020435E" w14:paraId="6B9076B6" w14:textId="77777777" w:rsidTr="0020435E">
        <w:trPr>
          <w:trHeight w:val="231"/>
          <w:tblHeader/>
          <w:jc w:val="center"/>
        </w:trPr>
        <w:tc>
          <w:tcPr>
            <w:tcW w:w="2852" w:type="dxa"/>
            <w:shd w:val="clear" w:color="auto" w:fill="F2F2F2" w:themeFill="background1" w:themeFillShade="F2"/>
            <w:vAlign w:val="center"/>
          </w:tcPr>
          <w:p w14:paraId="5456C055" w14:textId="77777777" w:rsidR="00495A57" w:rsidRPr="0020435E" w:rsidRDefault="00495A57" w:rsidP="00785061">
            <w:pPr>
              <w:jc w:val="center"/>
              <w:rPr>
                <w:rFonts w:ascii="Arial" w:hAnsi="Arial" w:cs="Arial"/>
                <w:bCs/>
                <w:sz w:val="20"/>
                <w:szCs w:val="20"/>
              </w:rPr>
            </w:pPr>
          </w:p>
        </w:tc>
        <w:tc>
          <w:tcPr>
            <w:tcW w:w="1833" w:type="dxa"/>
            <w:shd w:val="clear" w:color="auto" w:fill="F2F2F2" w:themeFill="background1" w:themeFillShade="F2"/>
            <w:vAlign w:val="center"/>
          </w:tcPr>
          <w:p w14:paraId="1F1D4EED" w14:textId="77777777" w:rsidR="00495A57" w:rsidRPr="0020435E" w:rsidRDefault="00495A57" w:rsidP="00785061">
            <w:pPr>
              <w:jc w:val="center"/>
              <w:rPr>
                <w:rFonts w:ascii="Arial" w:hAnsi="Arial" w:cs="Arial"/>
                <w:bCs/>
                <w:sz w:val="20"/>
                <w:szCs w:val="20"/>
              </w:rPr>
            </w:pPr>
            <w:r w:rsidRPr="0020435E">
              <w:rPr>
                <w:rFonts w:ascii="Arial" w:eastAsia="Times New Roman" w:hAnsi="Arial" w:cs="Arial"/>
                <w:b/>
                <w:bCs/>
                <w:sz w:val="20"/>
                <w:szCs w:val="20"/>
                <w:lang w:val="en-ID" w:eastAsia="en-ID"/>
              </w:rPr>
              <w:t>Coefficient</w:t>
            </w:r>
          </w:p>
        </w:tc>
        <w:tc>
          <w:tcPr>
            <w:tcW w:w="1220" w:type="dxa"/>
            <w:shd w:val="clear" w:color="auto" w:fill="F2F2F2" w:themeFill="background1" w:themeFillShade="F2"/>
            <w:vAlign w:val="center"/>
          </w:tcPr>
          <w:p w14:paraId="4269AFF7" w14:textId="77777777" w:rsidR="00495A57" w:rsidRPr="0020435E" w:rsidRDefault="00495A57" w:rsidP="00785061">
            <w:pPr>
              <w:jc w:val="center"/>
              <w:rPr>
                <w:rFonts w:ascii="Arial" w:hAnsi="Arial" w:cs="Arial"/>
                <w:bCs/>
                <w:sz w:val="20"/>
                <w:szCs w:val="20"/>
              </w:rPr>
            </w:pPr>
            <w:r w:rsidRPr="0020435E">
              <w:rPr>
                <w:rFonts w:ascii="Arial" w:eastAsia="Times New Roman" w:hAnsi="Arial" w:cs="Arial"/>
                <w:b/>
                <w:bCs/>
                <w:sz w:val="20"/>
                <w:szCs w:val="20"/>
                <w:lang w:val="en-ID" w:eastAsia="en-ID"/>
              </w:rPr>
              <w:t>Prob.</w:t>
            </w:r>
          </w:p>
        </w:tc>
      </w:tr>
      <w:tr w:rsidR="00495A57" w:rsidRPr="0020435E" w14:paraId="394FF027" w14:textId="77777777" w:rsidTr="00785061">
        <w:trPr>
          <w:trHeight w:val="239"/>
          <w:jc w:val="center"/>
        </w:trPr>
        <w:tc>
          <w:tcPr>
            <w:tcW w:w="2852" w:type="dxa"/>
          </w:tcPr>
          <w:p w14:paraId="2027181C" w14:textId="77777777" w:rsidR="00495A57" w:rsidRPr="0020435E" w:rsidRDefault="00495A57" w:rsidP="00785061">
            <w:pPr>
              <w:rPr>
                <w:rFonts w:ascii="Arial" w:hAnsi="Arial" w:cs="Arial"/>
                <w:bCs/>
                <w:sz w:val="20"/>
                <w:szCs w:val="20"/>
              </w:rPr>
            </w:pPr>
            <w:proofErr w:type="spellStart"/>
            <w:r w:rsidRPr="0020435E">
              <w:rPr>
                <w:rFonts w:ascii="Arial" w:hAnsi="Arial" w:cs="Arial"/>
                <w:bCs/>
                <w:sz w:val="20"/>
                <w:szCs w:val="20"/>
              </w:rPr>
              <w:t>Konstanta</w:t>
            </w:r>
            <w:proofErr w:type="spellEnd"/>
            <w:r w:rsidRPr="0020435E">
              <w:rPr>
                <w:rFonts w:ascii="Arial" w:hAnsi="Arial" w:cs="Arial"/>
                <w:bCs/>
                <w:sz w:val="20"/>
                <w:szCs w:val="20"/>
              </w:rPr>
              <w:t xml:space="preserve"> </w:t>
            </w:r>
          </w:p>
        </w:tc>
        <w:tc>
          <w:tcPr>
            <w:tcW w:w="1833" w:type="dxa"/>
            <w:vAlign w:val="bottom"/>
          </w:tcPr>
          <w:p w14:paraId="16D4A48B" w14:textId="77777777" w:rsidR="00495A57" w:rsidRPr="0020435E" w:rsidRDefault="00495A57" w:rsidP="00785061">
            <w:pPr>
              <w:jc w:val="right"/>
              <w:rPr>
                <w:rFonts w:ascii="Arial" w:hAnsi="Arial" w:cs="Arial"/>
                <w:bCs/>
                <w:sz w:val="20"/>
                <w:szCs w:val="20"/>
              </w:rPr>
            </w:pPr>
            <w:r w:rsidRPr="0020435E">
              <w:rPr>
                <w:rFonts w:ascii="Arial" w:hAnsi="Arial" w:cs="Arial"/>
                <w:sz w:val="20"/>
                <w:szCs w:val="20"/>
              </w:rPr>
              <w:t>7.002760</w:t>
            </w:r>
          </w:p>
        </w:tc>
        <w:tc>
          <w:tcPr>
            <w:tcW w:w="1220" w:type="dxa"/>
            <w:vAlign w:val="bottom"/>
          </w:tcPr>
          <w:p w14:paraId="76B92F13" w14:textId="77777777" w:rsidR="00495A57" w:rsidRPr="0020435E" w:rsidRDefault="00495A57" w:rsidP="00785061">
            <w:pPr>
              <w:jc w:val="right"/>
              <w:rPr>
                <w:rFonts w:ascii="Arial" w:hAnsi="Arial" w:cs="Arial"/>
                <w:bCs/>
                <w:sz w:val="20"/>
                <w:szCs w:val="20"/>
              </w:rPr>
            </w:pPr>
            <w:r w:rsidRPr="0020435E">
              <w:rPr>
                <w:rFonts w:ascii="Arial" w:hAnsi="Arial" w:cs="Arial"/>
                <w:sz w:val="20"/>
                <w:szCs w:val="20"/>
              </w:rPr>
              <w:t>0.0022</w:t>
            </w:r>
          </w:p>
        </w:tc>
      </w:tr>
      <w:tr w:rsidR="00495A57" w:rsidRPr="0020435E" w14:paraId="14ACABDF" w14:textId="77777777" w:rsidTr="00785061">
        <w:trPr>
          <w:trHeight w:val="246"/>
          <w:jc w:val="center"/>
        </w:trPr>
        <w:tc>
          <w:tcPr>
            <w:tcW w:w="2852" w:type="dxa"/>
          </w:tcPr>
          <w:p w14:paraId="4ABCD292" w14:textId="77777777" w:rsidR="00495A57" w:rsidRPr="0020435E" w:rsidRDefault="00495A57" w:rsidP="00785061">
            <w:pPr>
              <w:rPr>
                <w:rFonts w:ascii="Arial" w:hAnsi="Arial" w:cs="Arial"/>
                <w:bCs/>
                <w:sz w:val="20"/>
                <w:szCs w:val="20"/>
              </w:rPr>
            </w:pPr>
            <w:r w:rsidRPr="0020435E">
              <w:rPr>
                <w:rFonts w:ascii="Arial" w:hAnsi="Arial" w:cs="Arial"/>
                <w:bCs/>
                <w:sz w:val="20"/>
                <w:szCs w:val="20"/>
              </w:rPr>
              <w:t>GC</w:t>
            </w:r>
          </w:p>
        </w:tc>
        <w:tc>
          <w:tcPr>
            <w:tcW w:w="1833" w:type="dxa"/>
            <w:vAlign w:val="bottom"/>
          </w:tcPr>
          <w:p w14:paraId="48E7130A" w14:textId="77777777" w:rsidR="00495A57" w:rsidRPr="0020435E" w:rsidRDefault="00495A57" w:rsidP="00785061">
            <w:pPr>
              <w:jc w:val="right"/>
              <w:rPr>
                <w:rFonts w:ascii="Arial" w:hAnsi="Arial" w:cs="Arial"/>
                <w:bCs/>
                <w:sz w:val="20"/>
                <w:szCs w:val="20"/>
              </w:rPr>
            </w:pPr>
            <w:r w:rsidRPr="0020435E">
              <w:rPr>
                <w:rFonts w:ascii="Arial" w:hAnsi="Arial" w:cs="Arial"/>
                <w:sz w:val="20"/>
                <w:szCs w:val="20"/>
              </w:rPr>
              <w:t>1.083637</w:t>
            </w:r>
          </w:p>
        </w:tc>
        <w:tc>
          <w:tcPr>
            <w:tcW w:w="1220" w:type="dxa"/>
            <w:vAlign w:val="bottom"/>
          </w:tcPr>
          <w:p w14:paraId="63D244F7" w14:textId="77777777" w:rsidR="00495A57" w:rsidRPr="0020435E" w:rsidRDefault="00495A57" w:rsidP="00785061">
            <w:pPr>
              <w:jc w:val="right"/>
              <w:rPr>
                <w:rFonts w:ascii="Arial" w:hAnsi="Arial" w:cs="Arial"/>
                <w:bCs/>
                <w:sz w:val="20"/>
                <w:szCs w:val="20"/>
              </w:rPr>
            </w:pPr>
            <w:r w:rsidRPr="0020435E">
              <w:rPr>
                <w:rFonts w:ascii="Arial" w:hAnsi="Arial" w:cs="Arial"/>
                <w:sz w:val="20"/>
                <w:szCs w:val="20"/>
              </w:rPr>
              <w:t>0.0894</w:t>
            </w:r>
          </w:p>
        </w:tc>
      </w:tr>
      <w:tr w:rsidR="00495A57" w:rsidRPr="0020435E" w14:paraId="31902F69" w14:textId="77777777" w:rsidTr="00785061">
        <w:trPr>
          <w:trHeight w:val="239"/>
          <w:jc w:val="center"/>
        </w:trPr>
        <w:tc>
          <w:tcPr>
            <w:tcW w:w="2852" w:type="dxa"/>
          </w:tcPr>
          <w:p w14:paraId="3F4A5251" w14:textId="77777777" w:rsidR="00495A57" w:rsidRPr="0020435E" w:rsidRDefault="00495A57" w:rsidP="00785061">
            <w:pPr>
              <w:rPr>
                <w:rFonts w:ascii="Arial" w:hAnsi="Arial" w:cs="Arial"/>
                <w:bCs/>
                <w:sz w:val="20"/>
                <w:szCs w:val="20"/>
              </w:rPr>
            </w:pPr>
            <w:r w:rsidRPr="0020435E">
              <w:rPr>
                <w:rFonts w:ascii="Arial" w:hAnsi="Arial" w:cs="Arial"/>
                <w:bCs/>
                <w:sz w:val="20"/>
                <w:szCs w:val="20"/>
              </w:rPr>
              <w:t>GCSR</w:t>
            </w:r>
          </w:p>
        </w:tc>
        <w:tc>
          <w:tcPr>
            <w:tcW w:w="1833" w:type="dxa"/>
            <w:vAlign w:val="bottom"/>
          </w:tcPr>
          <w:p w14:paraId="2144D222" w14:textId="77777777" w:rsidR="00495A57" w:rsidRPr="0020435E" w:rsidRDefault="00495A57" w:rsidP="00785061">
            <w:pPr>
              <w:jc w:val="right"/>
              <w:rPr>
                <w:rFonts w:ascii="Arial" w:hAnsi="Arial" w:cs="Arial"/>
                <w:bCs/>
                <w:sz w:val="20"/>
                <w:szCs w:val="20"/>
              </w:rPr>
            </w:pPr>
            <w:r w:rsidRPr="0020435E">
              <w:rPr>
                <w:rFonts w:ascii="Arial" w:hAnsi="Arial" w:cs="Arial"/>
                <w:sz w:val="20"/>
                <w:szCs w:val="20"/>
              </w:rPr>
              <w:t>-0.008965</w:t>
            </w:r>
          </w:p>
        </w:tc>
        <w:tc>
          <w:tcPr>
            <w:tcW w:w="1220" w:type="dxa"/>
            <w:vAlign w:val="bottom"/>
          </w:tcPr>
          <w:p w14:paraId="683E1A9F" w14:textId="77777777" w:rsidR="00495A57" w:rsidRPr="0020435E" w:rsidRDefault="00495A57" w:rsidP="00785061">
            <w:pPr>
              <w:jc w:val="right"/>
              <w:rPr>
                <w:rFonts w:ascii="Arial" w:hAnsi="Arial" w:cs="Arial"/>
                <w:sz w:val="20"/>
                <w:szCs w:val="20"/>
              </w:rPr>
            </w:pPr>
            <w:r w:rsidRPr="0020435E">
              <w:rPr>
                <w:rFonts w:ascii="Arial" w:hAnsi="Arial" w:cs="Arial"/>
                <w:sz w:val="20"/>
                <w:szCs w:val="20"/>
              </w:rPr>
              <w:t>0.6942</w:t>
            </w:r>
          </w:p>
        </w:tc>
      </w:tr>
      <w:tr w:rsidR="00495A57" w:rsidRPr="0020435E" w14:paraId="3A869448" w14:textId="77777777" w:rsidTr="00785061">
        <w:trPr>
          <w:trHeight w:val="254"/>
          <w:jc w:val="center"/>
        </w:trPr>
        <w:tc>
          <w:tcPr>
            <w:tcW w:w="2852" w:type="dxa"/>
          </w:tcPr>
          <w:p w14:paraId="0377AD55" w14:textId="77777777" w:rsidR="00495A57" w:rsidRPr="0020435E" w:rsidRDefault="00495A57" w:rsidP="00785061">
            <w:pPr>
              <w:rPr>
                <w:rFonts w:ascii="Arial" w:hAnsi="Arial" w:cs="Arial"/>
                <w:bCs/>
                <w:sz w:val="20"/>
                <w:szCs w:val="20"/>
              </w:rPr>
            </w:pPr>
            <w:r w:rsidRPr="0020435E">
              <w:rPr>
                <w:rFonts w:ascii="Arial" w:hAnsi="Arial" w:cs="Arial"/>
                <w:bCs/>
                <w:sz w:val="20"/>
                <w:szCs w:val="20"/>
              </w:rPr>
              <w:lastRenderedPageBreak/>
              <w:t>DFI</w:t>
            </w:r>
          </w:p>
        </w:tc>
        <w:tc>
          <w:tcPr>
            <w:tcW w:w="1833" w:type="dxa"/>
            <w:vAlign w:val="bottom"/>
          </w:tcPr>
          <w:p w14:paraId="214155B8" w14:textId="77777777" w:rsidR="00495A57" w:rsidRPr="0020435E" w:rsidRDefault="00495A57" w:rsidP="00785061">
            <w:pPr>
              <w:jc w:val="right"/>
              <w:rPr>
                <w:rFonts w:ascii="Arial" w:hAnsi="Arial" w:cs="Arial"/>
                <w:bCs/>
                <w:sz w:val="20"/>
                <w:szCs w:val="20"/>
              </w:rPr>
            </w:pPr>
            <w:r w:rsidRPr="0020435E">
              <w:rPr>
                <w:rFonts w:ascii="Arial" w:hAnsi="Arial" w:cs="Arial"/>
                <w:sz w:val="20"/>
                <w:szCs w:val="20"/>
              </w:rPr>
              <w:t>0.850796</w:t>
            </w:r>
          </w:p>
        </w:tc>
        <w:tc>
          <w:tcPr>
            <w:tcW w:w="1220" w:type="dxa"/>
            <w:vAlign w:val="bottom"/>
          </w:tcPr>
          <w:p w14:paraId="62824464" w14:textId="77777777" w:rsidR="00495A57" w:rsidRPr="0020435E" w:rsidRDefault="00495A57" w:rsidP="00785061">
            <w:pPr>
              <w:jc w:val="right"/>
              <w:rPr>
                <w:rFonts w:ascii="Arial" w:hAnsi="Arial" w:cs="Arial"/>
                <w:sz w:val="20"/>
                <w:szCs w:val="20"/>
              </w:rPr>
            </w:pPr>
            <w:r w:rsidRPr="0020435E">
              <w:rPr>
                <w:rFonts w:ascii="Arial" w:hAnsi="Arial" w:cs="Arial"/>
                <w:sz w:val="20"/>
                <w:szCs w:val="20"/>
              </w:rPr>
              <w:t>0.0806</w:t>
            </w:r>
          </w:p>
        </w:tc>
      </w:tr>
      <w:tr w:rsidR="00495A57" w:rsidRPr="0020435E" w14:paraId="6B73FB9E" w14:textId="77777777" w:rsidTr="00785061">
        <w:trPr>
          <w:trHeight w:val="254"/>
          <w:jc w:val="center"/>
        </w:trPr>
        <w:tc>
          <w:tcPr>
            <w:tcW w:w="2852" w:type="dxa"/>
          </w:tcPr>
          <w:p w14:paraId="57F373D5" w14:textId="77777777" w:rsidR="00495A57" w:rsidRPr="0020435E" w:rsidRDefault="00495A57" w:rsidP="00785061">
            <w:pPr>
              <w:rPr>
                <w:rFonts w:ascii="Arial" w:hAnsi="Arial" w:cs="Arial"/>
                <w:bCs/>
                <w:sz w:val="20"/>
                <w:szCs w:val="20"/>
              </w:rPr>
            </w:pPr>
            <w:r w:rsidRPr="0020435E">
              <w:rPr>
                <w:rFonts w:ascii="Arial" w:hAnsi="Arial" w:cs="Arial"/>
                <w:bCs/>
                <w:sz w:val="20"/>
                <w:szCs w:val="20"/>
              </w:rPr>
              <w:t>NPL</w:t>
            </w:r>
          </w:p>
        </w:tc>
        <w:tc>
          <w:tcPr>
            <w:tcW w:w="1833" w:type="dxa"/>
            <w:vAlign w:val="bottom"/>
          </w:tcPr>
          <w:p w14:paraId="31AF9EE0" w14:textId="77777777" w:rsidR="00495A57" w:rsidRPr="0020435E" w:rsidRDefault="00495A57" w:rsidP="00785061">
            <w:pPr>
              <w:jc w:val="right"/>
              <w:rPr>
                <w:rFonts w:ascii="Arial" w:hAnsi="Arial" w:cs="Arial"/>
                <w:sz w:val="20"/>
                <w:szCs w:val="20"/>
              </w:rPr>
            </w:pPr>
            <w:r w:rsidRPr="0020435E">
              <w:rPr>
                <w:rFonts w:ascii="Arial" w:hAnsi="Arial" w:cs="Arial"/>
                <w:sz w:val="20"/>
                <w:szCs w:val="20"/>
              </w:rPr>
              <w:t>-0.344142</w:t>
            </w:r>
          </w:p>
        </w:tc>
        <w:tc>
          <w:tcPr>
            <w:tcW w:w="1220" w:type="dxa"/>
            <w:vAlign w:val="bottom"/>
          </w:tcPr>
          <w:p w14:paraId="396ED1D0" w14:textId="77777777" w:rsidR="00495A57" w:rsidRPr="0020435E" w:rsidRDefault="00495A57" w:rsidP="00785061">
            <w:pPr>
              <w:jc w:val="right"/>
              <w:rPr>
                <w:rFonts w:ascii="Arial" w:hAnsi="Arial" w:cs="Arial"/>
                <w:sz w:val="20"/>
                <w:szCs w:val="20"/>
              </w:rPr>
            </w:pPr>
            <w:r w:rsidRPr="0020435E">
              <w:rPr>
                <w:rFonts w:ascii="Arial" w:hAnsi="Arial" w:cs="Arial"/>
                <w:sz w:val="20"/>
                <w:szCs w:val="20"/>
              </w:rPr>
              <w:t>0.0000</w:t>
            </w:r>
          </w:p>
        </w:tc>
      </w:tr>
      <w:tr w:rsidR="00495A57" w:rsidRPr="0020435E" w14:paraId="46728A11" w14:textId="77777777" w:rsidTr="00785061">
        <w:trPr>
          <w:trHeight w:val="254"/>
          <w:jc w:val="center"/>
        </w:trPr>
        <w:tc>
          <w:tcPr>
            <w:tcW w:w="2852" w:type="dxa"/>
          </w:tcPr>
          <w:p w14:paraId="5B88BB2E" w14:textId="77777777" w:rsidR="00495A57" w:rsidRPr="0020435E" w:rsidRDefault="00495A57" w:rsidP="00785061">
            <w:pPr>
              <w:rPr>
                <w:rFonts w:ascii="Arial" w:hAnsi="Arial" w:cs="Arial"/>
                <w:bCs/>
                <w:sz w:val="20"/>
                <w:szCs w:val="20"/>
              </w:rPr>
            </w:pPr>
            <w:r w:rsidRPr="0020435E">
              <w:rPr>
                <w:rFonts w:ascii="Arial" w:hAnsi="Arial" w:cs="Arial"/>
                <w:bCs/>
                <w:sz w:val="20"/>
                <w:szCs w:val="20"/>
              </w:rPr>
              <w:t>SIZE</w:t>
            </w:r>
          </w:p>
        </w:tc>
        <w:tc>
          <w:tcPr>
            <w:tcW w:w="1833" w:type="dxa"/>
            <w:vAlign w:val="bottom"/>
          </w:tcPr>
          <w:p w14:paraId="2781CB60" w14:textId="77777777" w:rsidR="00495A57" w:rsidRPr="0020435E" w:rsidRDefault="00495A57" w:rsidP="00785061">
            <w:pPr>
              <w:jc w:val="right"/>
              <w:rPr>
                <w:rFonts w:ascii="Arial" w:hAnsi="Arial" w:cs="Arial"/>
                <w:sz w:val="20"/>
                <w:szCs w:val="20"/>
              </w:rPr>
            </w:pPr>
            <w:r w:rsidRPr="0020435E">
              <w:rPr>
                <w:rFonts w:ascii="Arial" w:hAnsi="Arial" w:cs="Arial"/>
                <w:sz w:val="20"/>
                <w:szCs w:val="20"/>
              </w:rPr>
              <w:t>-0.127670</w:t>
            </w:r>
          </w:p>
        </w:tc>
        <w:tc>
          <w:tcPr>
            <w:tcW w:w="1220" w:type="dxa"/>
            <w:vAlign w:val="bottom"/>
          </w:tcPr>
          <w:p w14:paraId="3963D86C" w14:textId="77777777" w:rsidR="00495A57" w:rsidRPr="0020435E" w:rsidRDefault="00495A57" w:rsidP="00785061">
            <w:pPr>
              <w:jc w:val="right"/>
              <w:rPr>
                <w:rFonts w:ascii="Arial" w:hAnsi="Arial" w:cs="Arial"/>
                <w:sz w:val="20"/>
                <w:szCs w:val="20"/>
              </w:rPr>
            </w:pPr>
            <w:r w:rsidRPr="0020435E">
              <w:rPr>
                <w:rFonts w:ascii="Arial" w:hAnsi="Arial" w:cs="Arial"/>
                <w:sz w:val="20"/>
                <w:szCs w:val="20"/>
              </w:rPr>
              <w:t>0.2205</w:t>
            </w:r>
          </w:p>
        </w:tc>
      </w:tr>
      <w:tr w:rsidR="00495A57" w:rsidRPr="0020435E" w14:paraId="4503487D" w14:textId="77777777" w:rsidTr="00785061">
        <w:trPr>
          <w:trHeight w:val="246"/>
          <w:jc w:val="center"/>
        </w:trPr>
        <w:tc>
          <w:tcPr>
            <w:tcW w:w="2852" w:type="dxa"/>
          </w:tcPr>
          <w:p w14:paraId="3327780E" w14:textId="77777777" w:rsidR="00495A57" w:rsidRPr="0020435E" w:rsidRDefault="00495A57" w:rsidP="00785061">
            <w:pPr>
              <w:rPr>
                <w:rFonts w:ascii="Arial" w:hAnsi="Arial" w:cs="Arial"/>
                <w:bCs/>
                <w:sz w:val="20"/>
                <w:szCs w:val="20"/>
              </w:rPr>
            </w:pPr>
            <w:r w:rsidRPr="0020435E">
              <w:rPr>
                <w:rFonts w:ascii="Arial" w:hAnsi="Arial" w:cs="Arial"/>
                <w:bCs/>
                <w:sz w:val="20"/>
                <w:szCs w:val="20"/>
              </w:rPr>
              <w:t>LEV</w:t>
            </w:r>
          </w:p>
        </w:tc>
        <w:tc>
          <w:tcPr>
            <w:tcW w:w="1833" w:type="dxa"/>
            <w:vAlign w:val="bottom"/>
          </w:tcPr>
          <w:p w14:paraId="0C358EAD" w14:textId="77777777" w:rsidR="00495A57" w:rsidRPr="0020435E" w:rsidRDefault="00495A57" w:rsidP="00785061">
            <w:pPr>
              <w:jc w:val="right"/>
              <w:rPr>
                <w:rFonts w:ascii="Arial" w:hAnsi="Arial" w:cs="Arial"/>
                <w:bCs/>
                <w:sz w:val="20"/>
                <w:szCs w:val="20"/>
              </w:rPr>
            </w:pPr>
            <w:r w:rsidRPr="0020435E">
              <w:rPr>
                <w:rFonts w:ascii="Arial" w:hAnsi="Arial" w:cs="Arial"/>
                <w:sz w:val="20"/>
                <w:szCs w:val="20"/>
              </w:rPr>
              <w:t>-5.998922</w:t>
            </w:r>
          </w:p>
        </w:tc>
        <w:tc>
          <w:tcPr>
            <w:tcW w:w="1220" w:type="dxa"/>
            <w:vAlign w:val="bottom"/>
          </w:tcPr>
          <w:p w14:paraId="7DAF314D" w14:textId="77777777" w:rsidR="00495A57" w:rsidRPr="0020435E" w:rsidRDefault="00495A57" w:rsidP="00785061">
            <w:pPr>
              <w:jc w:val="right"/>
              <w:rPr>
                <w:rFonts w:ascii="Arial" w:hAnsi="Arial" w:cs="Arial"/>
                <w:sz w:val="20"/>
                <w:szCs w:val="20"/>
              </w:rPr>
            </w:pPr>
            <w:r w:rsidRPr="0020435E">
              <w:rPr>
                <w:rFonts w:ascii="Arial" w:hAnsi="Arial" w:cs="Arial"/>
                <w:sz w:val="20"/>
                <w:szCs w:val="20"/>
              </w:rPr>
              <w:t>0.0201</w:t>
            </w:r>
          </w:p>
        </w:tc>
      </w:tr>
      <w:tr w:rsidR="00495A57" w:rsidRPr="0020435E" w14:paraId="74690163" w14:textId="77777777" w:rsidTr="00785061">
        <w:trPr>
          <w:trHeight w:val="239"/>
          <w:jc w:val="center"/>
        </w:trPr>
        <w:tc>
          <w:tcPr>
            <w:tcW w:w="2852" w:type="dxa"/>
            <w:vAlign w:val="bottom"/>
          </w:tcPr>
          <w:p w14:paraId="2A00C472" w14:textId="77777777" w:rsidR="00495A57" w:rsidRPr="0020435E" w:rsidRDefault="00495A57" w:rsidP="00785061">
            <w:pPr>
              <w:rPr>
                <w:rFonts w:ascii="Arial" w:hAnsi="Arial" w:cs="Arial"/>
                <w:bCs/>
                <w:sz w:val="20"/>
                <w:szCs w:val="20"/>
              </w:rPr>
            </w:pPr>
            <w:r w:rsidRPr="0020435E">
              <w:rPr>
                <w:rFonts w:ascii="Arial" w:hAnsi="Arial" w:cs="Arial"/>
                <w:sz w:val="20"/>
                <w:szCs w:val="20"/>
              </w:rPr>
              <w:t>R-squared</w:t>
            </w:r>
          </w:p>
        </w:tc>
        <w:tc>
          <w:tcPr>
            <w:tcW w:w="1833" w:type="dxa"/>
            <w:vAlign w:val="bottom"/>
          </w:tcPr>
          <w:p w14:paraId="7A7D0581" w14:textId="77777777" w:rsidR="00495A57" w:rsidRPr="0020435E" w:rsidRDefault="00495A57" w:rsidP="00785061">
            <w:pPr>
              <w:jc w:val="right"/>
              <w:rPr>
                <w:rFonts w:ascii="Arial" w:hAnsi="Arial" w:cs="Arial"/>
                <w:sz w:val="20"/>
                <w:szCs w:val="20"/>
              </w:rPr>
            </w:pPr>
            <w:r w:rsidRPr="0020435E">
              <w:rPr>
                <w:rFonts w:ascii="Arial" w:hAnsi="Arial" w:cs="Arial"/>
                <w:sz w:val="20"/>
                <w:szCs w:val="20"/>
              </w:rPr>
              <w:t>0.294287</w:t>
            </w:r>
          </w:p>
        </w:tc>
        <w:tc>
          <w:tcPr>
            <w:tcW w:w="1220" w:type="dxa"/>
            <w:vAlign w:val="bottom"/>
          </w:tcPr>
          <w:p w14:paraId="294919A1" w14:textId="77777777" w:rsidR="00495A57" w:rsidRPr="0020435E" w:rsidRDefault="00495A57" w:rsidP="00785061">
            <w:pPr>
              <w:jc w:val="right"/>
              <w:rPr>
                <w:rFonts w:ascii="Arial" w:hAnsi="Arial" w:cs="Arial"/>
                <w:sz w:val="20"/>
                <w:szCs w:val="20"/>
              </w:rPr>
            </w:pPr>
          </w:p>
        </w:tc>
      </w:tr>
      <w:tr w:rsidR="00495A57" w:rsidRPr="0020435E" w14:paraId="12EB0384" w14:textId="77777777" w:rsidTr="00785061">
        <w:trPr>
          <w:trHeight w:val="239"/>
          <w:jc w:val="center"/>
        </w:trPr>
        <w:tc>
          <w:tcPr>
            <w:tcW w:w="2852" w:type="dxa"/>
            <w:vAlign w:val="bottom"/>
          </w:tcPr>
          <w:p w14:paraId="7B67333D" w14:textId="77777777" w:rsidR="00495A57" w:rsidRPr="0020435E" w:rsidRDefault="00495A57" w:rsidP="00785061">
            <w:pPr>
              <w:rPr>
                <w:rFonts w:ascii="Arial" w:hAnsi="Arial" w:cs="Arial"/>
                <w:sz w:val="20"/>
                <w:szCs w:val="20"/>
              </w:rPr>
            </w:pPr>
            <w:r w:rsidRPr="0020435E">
              <w:rPr>
                <w:rFonts w:ascii="Arial" w:hAnsi="Arial" w:cs="Arial"/>
                <w:sz w:val="20"/>
                <w:szCs w:val="20"/>
              </w:rPr>
              <w:t>Adjusted R-squared</w:t>
            </w:r>
          </w:p>
        </w:tc>
        <w:tc>
          <w:tcPr>
            <w:tcW w:w="1833" w:type="dxa"/>
            <w:vAlign w:val="bottom"/>
          </w:tcPr>
          <w:p w14:paraId="4125AA2A" w14:textId="77777777" w:rsidR="00495A57" w:rsidRPr="0020435E" w:rsidRDefault="00495A57" w:rsidP="00785061">
            <w:pPr>
              <w:jc w:val="right"/>
              <w:rPr>
                <w:rFonts w:ascii="Arial" w:hAnsi="Arial" w:cs="Arial"/>
                <w:sz w:val="20"/>
                <w:szCs w:val="20"/>
              </w:rPr>
            </w:pPr>
            <w:r w:rsidRPr="0020435E">
              <w:rPr>
                <w:rFonts w:ascii="Arial" w:hAnsi="Arial" w:cs="Arial"/>
                <w:sz w:val="20"/>
                <w:szCs w:val="20"/>
              </w:rPr>
              <w:t>0.246711</w:t>
            </w:r>
          </w:p>
        </w:tc>
        <w:tc>
          <w:tcPr>
            <w:tcW w:w="1220" w:type="dxa"/>
            <w:vAlign w:val="bottom"/>
          </w:tcPr>
          <w:p w14:paraId="5CFDE29A" w14:textId="77777777" w:rsidR="00495A57" w:rsidRPr="0020435E" w:rsidRDefault="00495A57" w:rsidP="00785061">
            <w:pPr>
              <w:jc w:val="right"/>
              <w:rPr>
                <w:rFonts w:ascii="Arial" w:hAnsi="Arial" w:cs="Arial"/>
                <w:sz w:val="20"/>
                <w:szCs w:val="20"/>
              </w:rPr>
            </w:pPr>
          </w:p>
        </w:tc>
      </w:tr>
      <w:tr w:rsidR="00495A57" w:rsidRPr="0020435E" w14:paraId="5E2794C3" w14:textId="77777777" w:rsidTr="00785061">
        <w:trPr>
          <w:trHeight w:val="246"/>
          <w:jc w:val="center"/>
        </w:trPr>
        <w:tc>
          <w:tcPr>
            <w:tcW w:w="2852" w:type="dxa"/>
            <w:vAlign w:val="bottom"/>
          </w:tcPr>
          <w:p w14:paraId="5CF2A310" w14:textId="77777777" w:rsidR="00495A57" w:rsidRPr="0020435E" w:rsidRDefault="00495A57" w:rsidP="00785061">
            <w:pPr>
              <w:rPr>
                <w:rFonts w:ascii="Arial" w:hAnsi="Arial" w:cs="Arial"/>
                <w:sz w:val="20"/>
                <w:szCs w:val="20"/>
              </w:rPr>
            </w:pPr>
            <w:r w:rsidRPr="0020435E">
              <w:rPr>
                <w:rFonts w:ascii="Arial" w:hAnsi="Arial" w:cs="Arial"/>
                <w:sz w:val="20"/>
                <w:szCs w:val="20"/>
              </w:rPr>
              <w:t>F-statistic</w:t>
            </w:r>
          </w:p>
        </w:tc>
        <w:tc>
          <w:tcPr>
            <w:tcW w:w="1833" w:type="dxa"/>
            <w:vAlign w:val="bottom"/>
          </w:tcPr>
          <w:p w14:paraId="63667AEC" w14:textId="77777777" w:rsidR="00495A57" w:rsidRPr="0020435E" w:rsidRDefault="00495A57" w:rsidP="00785061">
            <w:pPr>
              <w:jc w:val="right"/>
              <w:rPr>
                <w:rFonts w:ascii="Arial" w:hAnsi="Arial" w:cs="Arial"/>
                <w:sz w:val="20"/>
                <w:szCs w:val="20"/>
              </w:rPr>
            </w:pPr>
            <w:r w:rsidRPr="0020435E">
              <w:rPr>
                <w:rFonts w:ascii="Arial" w:hAnsi="Arial" w:cs="Arial"/>
                <w:sz w:val="20"/>
                <w:szCs w:val="20"/>
              </w:rPr>
              <w:t>6.185598</w:t>
            </w:r>
          </w:p>
        </w:tc>
        <w:tc>
          <w:tcPr>
            <w:tcW w:w="1220" w:type="dxa"/>
            <w:vAlign w:val="bottom"/>
          </w:tcPr>
          <w:p w14:paraId="6D868EF7" w14:textId="77777777" w:rsidR="00495A57" w:rsidRPr="0020435E" w:rsidRDefault="00495A57" w:rsidP="00785061">
            <w:pPr>
              <w:jc w:val="right"/>
              <w:rPr>
                <w:rFonts w:ascii="Arial" w:hAnsi="Arial" w:cs="Arial"/>
                <w:sz w:val="20"/>
                <w:szCs w:val="20"/>
              </w:rPr>
            </w:pPr>
          </w:p>
        </w:tc>
      </w:tr>
      <w:tr w:rsidR="00495A57" w:rsidRPr="0020435E" w14:paraId="4836B7C3" w14:textId="77777777" w:rsidTr="00785061">
        <w:trPr>
          <w:trHeight w:val="239"/>
          <w:jc w:val="center"/>
        </w:trPr>
        <w:tc>
          <w:tcPr>
            <w:tcW w:w="2852" w:type="dxa"/>
            <w:vAlign w:val="bottom"/>
          </w:tcPr>
          <w:p w14:paraId="2F82E092" w14:textId="77777777" w:rsidR="00495A57" w:rsidRPr="0020435E" w:rsidRDefault="00495A57" w:rsidP="00785061">
            <w:pPr>
              <w:rPr>
                <w:rFonts w:ascii="Arial" w:hAnsi="Arial" w:cs="Arial"/>
                <w:sz w:val="20"/>
                <w:szCs w:val="20"/>
              </w:rPr>
            </w:pPr>
            <w:r w:rsidRPr="0020435E">
              <w:rPr>
                <w:rFonts w:ascii="Arial" w:hAnsi="Arial" w:cs="Arial"/>
                <w:sz w:val="20"/>
                <w:szCs w:val="20"/>
              </w:rPr>
              <w:t>Prob(F-statistic)</w:t>
            </w:r>
          </w:p>
        </w:tc>
        <w:tc>
          <w:tcPr>
            <w:tcW w:w="1833" w:type="dxa"/>
            <w:vAlign w:val="bottom"/>
          </w:tcPr>
          <w:p w14:paraId="4AEE11D0" w14:textId="77777777" w:rsidR="00495A57" w:rsidRPr="0020435E" w:rsidRDefault="00495A57" w:rsidP="00785061">
            <w:pPr>
              <w:jc w:val="right"/>
              <w:rPr>
                <w:rFonts w:ascii="Arial" w:hAnsi="Arial" w:cs="Arial"/>
                <w:sz w:val="20"/>
                <w:szCs w:val="20"/>
              </w:rPr>
            </w:pPr>
            <w:r w:rsidRPr="0020435E">
              <w:rPr>
                <w:rFonts w:ascii="Arial" w:hAnsi="Arial" w:cs="Arial"/>
                <w:sz w:val="20"/>
                <w:szCs w:val="20"/>
              </w:rPr>
              <w:t>0.000019</w:t>
            </w:r>
          </w:p>
        </w:tc>
        <w:tc>
          <w:tcPr>
            <w:tcW w:w="1220" w:type="dxa"/>
            <w:vAlign w:val="bottom"/>
          </w:tcPr>
          <w:p w14:paraId="2A2E2B0F" w14:textId="77777777" w:rsidR="00495A57" w:rsidRPr="0020435E" w:rsidRDefault="00495A57" w:rsidP="00785061">
            <w:pPr>
              <w:jc w:val="right"/>
              <w:rPr>
                <w:rFonts w:ascii="Arial" w:hAnsi="Arial" w:cs="Arial"/>
                <w:sz w:val="20"/>
                <w:szCs w:val="20"/>
              </w:rPr>
            </w:pPr>
          </w:p>
        </w:tc>
      </w:tr>
    </w:tbl>
    <w:p w14:paraId="7634A175" w14:textId="77777777" w:rsidR="00495A57" w:rsidRPr="0020435E" w:rsidRDefault="00495A57" w:rsidP="00495A57">
      <w:pPr>
        <w:jc w:val="both"/>
        <w:rPr>
          <w:rFonts w:ascii="Arial" w:hAnsi="Arial" w:cs="Arial"/>
          <w:lang w:val="en-ID" w:eastAsia="en-ID"/>
        </w:rPr>
      </w:pPr>
      <w:r w:rsidRPr="0020435E">
        <w:rPr>
          <w:rFonts w:ascii="Arial" w:hAnsi="Arial" w:cs="Arial"/>
          <w:lang w:val="en-ID" w:eastAsia="en-ID"/>
        </w:rPr>
        <w:t xml:space="preserve">                              Source: Processed data using EVIEWS 9</w:t>
      </w:r>
    </w:p>
    <w:p w14:paraId="5C22FBBD" w14:textId="77777777" w:rsidR="00495A57" w:rsidRPr="0020435E" w:rsidRDefault="00495A57" w:rsidP="00495A57">
      <w:pPr>
        <w:jc w:val="both"/>
        <w:rPr>
          <w:rFonts w:ascii="Arial" w:hAnsi="Arial" w:cs="Arial"/>
        </w:rPr>
      </w:pPr>
    </w:p>
    <w:p w14:paraId="452073C7" w14:textId="77777777" w:rsidR="00495A57" w:rsidRPr="0020435E" w:rsidRDefault="00495A57" w:rsidP="00495A57">
      <w:pPr>
        <w:jc w:val="both"/>
        <w:rPr>
          <w:rFonts w:ascii="Arial" w:hAnsi="Arial" w:cs="Arial"/>
        </w:rPr>
      </w:pPr>
      <w:r w:rsidRPr="0020435E">
        <w:rPr>
          <w:rFonts w:ascii="Arial" w:hAnsi="Arial" w:cs="Arial"/>
        </w:rPr>
        <w:t>The regression model equation without interaction is written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6"/>
        <w:gridCol w:w="838"/>
      </w:tblGrid>
      <w:tr w:rsidR="00495A57" w:rsidRPr="0020435E" w14:paraId="0E6086CD" w14:textId="77777777" w:rsidTr="00785061">
        <w:trPr>
          <w:trHeight w:val="552"/>
        </w:trPr>
        <w:tc>
          <w:tcPr>
            <w:tcW w:w="8069" w:type="dxa"/>
          </w:tcPr>
          <w:p w14:paraId="09066546" w14:textId="77777777" w:rsidR="00495A57" w:rsidRPr="0020435E" w:rsidRDefault="00495A57" w:rsidP="00785061">
            <w:pPr>
              <w:ind w:left="601" w:hanging="601"/>
              <w:jc w:val="both"/>
              <w:rPr>
                <w:rFonts w:ascii="Arial" w:hAnsi="Arial" w:cs="Arial"/>
                <w:color w:val="000000" w:themeColor="text1"/>
                <w:sz w:val="20"/>
                <w:szCs w:val="20"/>
              </w:rPr>
            </w:pPr>
            <w:r w:rsidRPr="0020435E">
              <w:rPr>
                <w:rStyle w:val="katex-mathml"/>
                <w:rFonts w:ascii="Arial" w:hAnsi="Arial" w:cs="Arial"/>
                <w:sz w:val="20"/>
                <w:szCs w:val="20"/>
              </w:rPr>
              <w:t xml:space="preserve">ROA=7.002760 + </w:t>
            </w:r>
            <w:r w:rsidRPr="0020435E">
              <w:rPr>
                <w:rFonts w:ascii="Arial" w:hAnsi="Arial" w:cs="Arial"/>
                <w:sz w:val="20"/>
                <w:szCs w:val="20"/>
              </w:rPr>
              <w:t>1.083637</w:t>
            </w:r>
            <w:r w:rsidRPr="0020435E">
              <w:rPr>
                <w:rStyle w:val="katex-mathml"/>
                <w:rFonts w:ascii="Arial" w:hAnsi="Arial" w:cs="Arial"/>
                <w:sz w:val="20"/>
                <w:szCs w:val="20"/>
              </w:rPr>
              <w:t xml:space="preserve">GC </w:t>
            </w:r>
            <w:r w:rsidRPr="0020435E">
              <w:rPr>
                <w:rFonts w:ascii="Arial" w:hAnsi="Arial" w:cs="Arial"/>
                <w:sz w:val="20"/>
                <w:szCs w:val="20"/>
              </w:rPr>
              <w:t xml:space="preserve">- 0.008965 </w:t>
            </w:r>
            <w:r w:rsidRPr="0020435E">
              <w:rPr>
                <w:rStyle w:val="katex-mathml"/>
                <w:rFonts w:ascii="Arial" w:hAnsi="Arial" w:cs="Arial"/>
                <w:sz w:val="20"/>
                <w:szCs w:val="20"/>
              </w:rPr>
              <w:t xml:space="preserve">GCSR + </w:t>
            </w:r>
            <w:r w:rsidRPr="0020435E">
              <w:rPr>
                <w:rFonts w:ascii="Arial" w:hAnsi="Arial" w:cs="Arial"/>
                <w:sz w:val="20"/>
                <w:szCs w:val="20"/>
              </w:rPr>
              <w:t xml:space="preserve">0.850796 </w:t>
            </w:r>
            <w:r w:rsidRPr="0020435E">
              <w:rPr>
                <w:rStyle w:val="katex-mathml"/>
                <w:rFonts w:ascii="Arial" w:hAnsi="Arial" w:cs="Arial"/>
                <w:sz w:val="20"/>
                <w:szCs w:val="20"/>
              </w:rPr>
              <w:t xml:space="preserve">DFI </w:t>
            </w:r>
            <w:r w:rsidRPr="0020435E">
              <w:rPr>
                <w:rFonts w:ascii="Arial" w:hAnsi="Arial" w:cs="Arial"/>
                <w:sz w:val="20"/>
                <w:szCs w:val="20"/>
              </w:rPr>
              <w:t xml:space="preserve">- 0.344142 </w:t>
            </w:r>
            <w:r w:rsidRPr="0020435E">
              <w:rPr>
                <w:rStyle w:val="katex-mathml"/>
                <w:rFonts w:ascii="Arial" w:hAnsi="Arial" w:cs="Arial"/>
                <w:sz w:val="20"/>
                <w:szCs w:val="20"/>
              </w:rPr>
              <w:t xml:space="preserve">NPL </w:t>
            </w:r>
            <w:r w:rsidRPr="0020435E">
              <w:rPr>
                <w:rFonts w:ascii="Arial" w:hAnsi="Arial" w:cs="Arial"/>
                <w:sz w:val="20"/>
                <w:szCs w:val="20"/>
              </w:rPr>
              <w:t xml:space="preserve">- 0.127670 </w:t>
            </w:r>
            <w:r w:rsidRPr="0020435E">
              <w:rPr>
                <w:rStyle w:val="katex-mathml"/>
                <w:rFonts w:ascii="Arial" w:hAnsi="Arial" w:cs="Arial"/>
                <w:sz w:val="20"/>
                <w:szCs w:val="20"/>
              </w:rPr>
              <w:t xml:space="preserve">SIZE </w:t>
            </w:r>
            <w:r w:rsidRPr="0020435E">
              <w:rPr>
                <w:rFonts w:ascii="Arial" w:hAnsi="Arial" w:cs="Arial"/>
                <w:sz w:val="20"/>
                <w:szCs w:val="20"/>
              </w:rPr>
              <w:t xml:space="preserve">- 5.998922 </w:t>
            </w:r>
            <w:r w:rsidRPr="0020435E">
              <w:rPr>
                <w:rStyle w:val="katex-mathml"/>
                <w:rFonts w:ascii="Arial" w:hAnsi="Arial" w:cs="Arial"/>
                <w:sz w:val="20"/>
                <w:szCs w:val="20"/>
              </w:rPr>
              <w:t>LEV</w:t>
            </w:r>
          </w:p>
        </w:tc>
        <w:tc>
          <w:tcPr>
            <w:tcW w:w="868" w:type="dxa"/>
          </w:tcPr>
          <w:p w14:paraId="5567E8F3" w14:textId="77777777" w:rsidR="00495A57" w:rsidRPr="0020435E" w:rsidRDefault="00495A57" w:rsidP="00785061">
            <w:pPr>
              <w:jc w:val="right"/>
              <w:rPr>
                <w:rFonts w:ascii="Arial" w:hAnsi="Arial" w:cs="Arial"/>
                <w:color w:val="000000" w:themeColor="text1"/>
                <w:sz w:val="20"/>
                <w:szCs w:val="20"/>
              </w:rPr>
            </w:pPr>
            <w:r w:rsidRPr="0020435E">
              <w:rPr>
                <w:rFonts w:ascii="Arial" w:hAnsi="Arial" w:cs="Arial"/>
                <w:color w:val="000000" w:themeColor="text1"/>
                <w:sz w:val="20"/>
                <w:szCs w:val="20"/>
              </w:rPr>
              <w:t>(1)</w:t>
            </w:r>
          </w:p>
        </w:tc>
      </w:tr>
    </w:tbl>
    <w:p w14:paraId="7C24CC31" w14:textId="77777777" w:rsidR="00EF6C97" w:rsidRDefault="00495A57" w:rsidP="00495A57">
      <w:pPr>
        <w:jc w:val="both"/>
        <w:rPr>
          <w:rFonts w:ascii="Arial" w:hAnsi="Arial" w:cs="Arial"/>
        </w:rPr>
      </w:pPr>
      <w:r w:rsidRPr="0020435E">
        <w:rPr>
          <w:rFonts w:ascii="Arial" w:hAnsi="Arial" w:cs="Arial"/>
        </w:rPr>
        <w:t>The R-square value or coefficient of determination of 29.43% indicates that the independent variables (GC, GCSR, DFI, LEV, NPL, and SIZE) contribute 29.43% in explaining the dependent variable (ROA), while the remaining 70.57% is explained by other variables outside this study.</w:t>
      </w:r>
    </w:p>
    <w:p w14:paraId="282015C1" w14:textId="0351051E" w:rsidR="00495A57" w:rsidRPr="00EF6C97" w:rsidRDefault="00495A57" w:rsidP="00495A57">
      <w:pPr>
        <w:jc w:val="both"/>
        <w:rPr>
          <w:rFonts w:ascii="Arial" w:hAnsi="Arial" w:cs="Arial"/>
          <w:b/>
          <w:bCs/>
          <w:lang w:val="en-ID" w:eastAsia="en-ID"/>
        </w:rPr>
      </w:pPr>
      <w:r w:rsidRPr="0020435E">
        <w:rPr>
          <w:rFonts w:ascii="Arial" w:hAnsi="Arial" w:cs="Arial"/>
        </w:rPr>
        <w:br/>
      </w:r>
      <w:r w:rsidR="00EF6C97" w:rsidRPr="00EF6C97">
        <w:rPr>
          <w:rFonts w:ascii="Arial" w:hAnsi="Arial" w:cs="Arial"/>
          <w:b/>
          <w:bCs/>
          <w:lang w:val="en-ID" w:eastAsia="en-ID"/>
        </w:rPr>
        <w:t xml:space="preserve">3.1.4 </w:t>
      </w:r>
      <w:r w:rsidRPr="00EF6C97">
        <w:rPr>
          <w:rFonts w:ascii="Arial" w:hAnsi="Arial" w:cs="Arial"/>
          <w:b/>
          <w:bCs/>
          <w:lang w:val="en-ID" w:eastAsia="en-ID"/>
        </w:rPr>
        <w:t>Partial Test</w:t>
      </w:r>
    </w:p>
    <w:p w14:paraId="71EF5830" w14:textId="77777777" w:rsidR="00495A57" w:rsidRPr="00EF6C97" w:rsidRDefault="00495A57" w:rsidP="00495A57">
      <w:pPr>
        <w:jc w:val="both"/>
        <w:rPr>
          <w:rFonts w:ascii="Arial" w:hAnsi="Arial" w:cs="Arial"/>
          <w:lang w:val="en-ID" w:eastAsia="en-ID"/>
        </w:rPr>
      </w:pPr>
      <w:r w:rsidRPr="00EF6C97">
        <w:rPr>
          <w:rFonts w:ascii="Arial" w:hAnsi="Arial" w:cs="Arial"/>
          <w:lang w:val="en-ID" w:eastAsia="en-ID"/>
        </w:rPr>
        <w:t xml:space="preserve">Based on the data processing results using </w:t>
      </w:r>
      <w:proofErr w:type="spellStart"/>
      <w:r w:rsidRPr="00EF6C97">
        <w:rPr>
          <w:rFonts w:ascii="Arial" w:hAnsi="Arial" w:cs="Arial"/>
          <w:lang w:val="en-ID" w:eastAsia="en-ID"/>
        </w:rPr>
        <w:t>Eviews</w:t>
      </w:r>
      <w:proofErr w:type="spellEnd"/>
      <w:r w:rsidRPr="00EF6C97">
        <w:rPr>
          <w:rFonts w:ascii="Arial" w:hAnsi="Arial" w:cs="Arial"/>
          <w:lang w:val="en-ID" w:eastAsia="en-ID"/>
        </w:rPr>
        <w:t>, the partial test results of the model used to answer the research hypotheses are presented in Table 5 below.</w:t>
      </w:r>
    </w:p>
    <w:p w14:paraId="061729CB" w14:textId="77777777" w:rsidR="00495A57" w:rsidRPr="00EF6C97" w:rsidRDefault="00495A57" w:rsidP="00EF6C97">
      <w:pPr>
        <w:jc w:val="center"/>
        <w:rPr>
          <w:rFonts w:ascii="Arial" w:hAnsi="Arial" w:cs="Arial"/>
          <w:b/>
          <w:bCs/>
          <w:lang w:val="en-ID" w:eastAsia="en-ID"/>
        </w:rPr>
      </w:pPr>
      <w:r w:rsidRPr="00EF6C97">
        <w:rPr>
          <w:rFonts w:ascii="Arial" w:hAnsi="Arial" w:cs="Arial"/>
          <w:b/>
          <w:bCs/>
          <w:lang w:val="en-ID" w:eastAsia="en-ID"/>
        </w:rPr>
        <w:t>Table 5: Hypothesis Testing Estimation</w:t>
      </w:r>
    </w:p>
    <w:tbl>
      <w:tblPr>
        <w:tblStyle w:val="TableGrid"/>
        <w:tblW w:w="0" w:type="auto"/>
        <w:jc w:val="center"/>
        <w:tblLook w:val="04A0" w:firstRow="1" w:lastRow="0" w:firstColumn="1" w:lastColumn="0" w:noHBand="0" w:noVBand="1"/>
      </w:tblPr>
      <w:tblGrid>
        <w:gridCol w:w="995"/>
        <w:gridCol w:w="883"/>
        <w:gridCol w:w="1117"/>
        <w:gridCol w:w="1372"/>
        <w:gridCol w:w="1473"/>
      </w:tblGrid>
      <w:tr w:rsidR="00EF6C97" w:rsidRPr="00EF6C97" w14:paraId="1F8BCD16" w14:textId="77777777" w:rsidTr="00EF6C97">
        <w:trPr>
          <w:jc w:val="center"/>
        </w:trPr>
        <w:tc>
          <w:tcPr>
            <w:tcW w:w="0" w:type="auto"/>
            <w:shd w:val="clear" w:color="auto" w:fill="F2F2F2" w:themeFill="background1" w:themeFillShade="F2"/>
            <w:hideMark/>
          </w:tcPr>
          <w:p w14:paraId="41AB0A11" w14:textId="77777777" w:rsidR="00EF6C97" w:rsidRPr="00EF6C97" w:rsidRDefault="00EF6C97" w:rsidP="00785061">
            <w:pPr>
              <w:jc w:val="center"/>
              <w:rPr>
                <w:rFonts w:ascii="Arial" w:eastAsia="Times New Roman" w:hAnsi="Arial" w:cs="Arial"/>
                <w:b/>
                <w:bCs/>
                <w:color w:val="000000" w:themeColor="text1"/>
                <w:sz w:val="20"/>
                <w:szCs w:val="20"/>
                <w:lang w:val="en-ID" w:eastAsia="en-ID"/>
              </w:rPr>
            </w:pPr>
            <w:r w:rsidRPr="00EF6C97">
              <w:rPr>
                <w:rFonts w:ascii="Arial" w:eastAsia="Times New Roman" w:hAnsi="Arial" w:cs="Arial"/>
                <w:b/>
                <w:bCs/>
                <w:color w:val="000000" w:themeColor="text1"/>
                <w:sz w:val="20"/>
                <w:szCs w:val="20"/>
                <w:lang w:val="en-ID" w:eastAsia="en-ID"/>
              </w:rPr>
              <w:t>Variable</w:t>
            </w:r>
          </w:p>
        </w:tc>
        <w:tc>
          <w:tcPr>
            <w:tcW w:w="0" w:type="auto"/>
            <w:shd w:val="clear" w:color="auto" w:fill="F2F2F2" w:themeFill="background1" w:themeFillShade="F2"/>
            <w:hideMark/>
          </w:tcPr>
          <w:p w14:paraId="59AE064A" w14:textId="77777777" w:rsidR="00EF6C97" w:rsidRPr="00EF6C97" w:rsidRDefault="00EF6C97" w:rsidP="00785061">
            <w:pPr>
              <w:jc w:val="center"/>
              <w:rPr>
                <w:rFonts w:ascii="Arial" w:eastAsia="Times New Roman" w:hAnsi="Arial" w:cs="Arial"/>
                <w:b/>
                <w:bCs/>
                <w:color w:val="000000" w:themeColor="text1"/>
                <w:sz w:val="20"/>
                <w:szCs w:val="20"/>
                <w:lang w:val="en-ID" w:eastAsia="en-ID"/>
              </w:rPr>
            </w:pPr>
            <w:r w:rsidRPr="00EF6C97">
              <w:rPr>
                <w:rFonts w:ascii="Arial" w:eastAsia="Times New Roman" w:hAnsi="Arial" w:cs="Arial"/>
                <w:b/>
                <w:bCs/>
                <w:color w:val="000000" w:themeColor="text1"/>
                <w:sz w:val="20"/>
                <w:szCs w:val="20"/>
                <w:lang w:val="en-ID" w:eastAsia="en-ID"/>
              </w:rPr>
              <w:t>Theory</w:t>
            </w:r>
          </w:p>
        </w:tc>
        <w:tc>
          <w:tcPr>
            <w:tcW w:w="0" w:type="auto"/>
            <w:shd w:val="clear" w:color="auto" w:fill="F2F2F2" w:themeFill="background1" w:themeFillShade="F2"/>
            <w:hideMark/>
          </w:tcPr>
          <w:p w14:paraId="0434361A" w14:textId="77777777" w:rsidR="00EF6C97" w:rsidRPr="00EF6C97" w:rsidRDefault="00EF6C97" w:rsidP="00785061">
            <w:pPr>
              <w:jc w:val="center"/>
              <w:rPr>
                <w:rFonts w:ascii="Arial" w:eastAsia="Times New Roman" w:hAnsi="Arial" w:cs="Arial"/>
                <w:b/>
                <w:bCs/>
                <w:color w:val="000000" w:themeColor="text1"/>
                <w:sz w:val="20"/>
                <w:szCs w:val="20"/>
                <w:lang w:val="en-ID" w:eastAsia="en-ID"/>
              </w:rPr>
            </w:pPr>
            <w:proofErr w:type="spellStart"/>
            <w:r w:rsidRPr="00EF6C97">
              <w:rPr>
                <w:rFonts w:ascii="Arial" w:eastAsia="Times New Roman" w:hAnsi="Arial" w:cs="Arial"/>
                <w:b/>
                <w:bCs/>
                <w:color w:val="000000" w:themeColor="text1"/>
                <w:sz w:val="20"/>
                <w:szCs w:val="20"/>
                <w:lang w:val="en-ID" w:eastAsia="en-ID"/>
              </w:rPr>
              <w:t>Coef</w:t>
            </w:r>
            <w:proofErr w:type="spellEnd"/>
          </w:p>
        </w:tc>
        <w:tc>
          <w:tcPr>
            <w:tcW w:w="0" w:type="auto"/>
            <w:shd w:val="clear" w:color="auto" w:fill="F2F2F2" w:themeFill="background1" w:themeFillShade="F2"/>
            <w:hideMark/>
          </w:tcPr>
          <w:p w14:paraId="26AF1C7A" w14:textId="77777777" w:rsidR="00EF6C97" w:rsidRPr="00EF6C97" w:rsidRDefault="00EF6C97" w:rsidP="00785061">
            <w:pPr>
              <w:jc w:val="center"/>
              <w:rPr>
                <w:rFonts w:ascii="Arial" w:eastAsia="Times New Roman" w:hAnsi="Arial" w:cs="Arial"/>
                <w:b/>
                <w:bCs/>
                <w:color w:val="000000" w:themeColor="text1"/>
                <w:sz w:val="20"/>
                <w:szCs w:val="20"/>
                <w:lang w:val="en-ID" w:eastAsia="en-ID"/>
              </w:rPr>
            </w:pPr>
            <w:r w:rsidRPr="00EF6C97">
              <w:rPr>
                <w:rFonts w:ascii="Arial" w:eastAsia="Times New Roman" w:hAnsi="Arial" w:cs="Arial"/>
                <w:b/>
                <w:bCs/>
                <w:color w:val="000000" w:themeColor="text1"/>
                <w:sz w:val="20"/>
                <w:szCs w:val="20"/>
                <w:lang w:val="en-ID" w:eastAsia="en-ID"/>
              </w:rPr>
              <w:t>Prob (1 Tail)</w:t>
            </w:r>
          </w:p>
        </w:tc>
        <w:tc>
          <w:tcPr>
            <w:tcW w:w="0" w:type="auto"/>
            <w:shd w:val="clear" w:color="auto" w:fill="F2F2F2" w:themeFill="background1" w:themeFillShade="F2"/>
            <w:hideMark/>
          </w:tcPr>
          <w:p w14:paraId="26E44DDD" w14:textId="77777777" w:rsidR="00EF6C97" w:rsidRPr="00EF6C97" w:rsidRDefault="00EF6C97" w:rsidP="00785061">
            <w:pPr>
              <w:jc w:val="center"/>
              <w:rPr>
                <w:rFonts w:ascii="Arial" w:eastAsia="Times New Roman" w:hAnsi="Arial" w:cs="Arial"/>
                <w:b/>
                <w:bCs/>
                <w:color w:val="000000" w:themeColor="text1"/>
                <w:sz w:val="20"/>
                <w:szCs w:val="20"/>
                <w:lang w:val="en-ID" w:eastAsia="en-ID"/>
              </w:rPr>
            </w:pPr>
            <w:r w:rsidRPr="00EF6C97">
              <w:rPr>
                <w:rFonts w:ascii="Arial" w:eastAsia="Times New Roman" w:hAnsi="Arial" w:cs="Arial"/>
                <w:b/>
                <w:bCs/>
                <w:color w:val="000000" w:themeColor="text1"/>
                <w:sz w:val="20"/>
                <w:szCs w:val="20"/>
                <w:lang w:val="en-ID" w:eastAsia="en-ID"/>
              </w:rPr>
              <w:t>Conclusion</w:t>
            </w:r>
          </w:p>
        </w:tc>
      </w:tr>
      <w:tr w:rsidR="00EF6C97" w:rsidRPr="00EF6C97" w14:paraId="345B0EAF" w14:textId="77777777" w:rsidTr="00EF6C97">
        <w:trPr>
          <w:jc w:val="center"/>
        </w:trPr>
        <w:tc>
          <w:tcPr>
            <w:tcW w:w="0" w:type="auto"/>
            <w:hideMark/>
          </w:tcPr>
          <w:p w14:paraId="51478880"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C</w:t>
            </w:r>
          </w:p>
        </w:tc>
        <w:tc>
          <w:tcPr>
            <w:tcW w:w="0" w:type="auto"/>
            <w:hideMark/>
          </w:tcPr>
          <w:p w14:paraId="404C8997" w14:textId="77777777" w:rsidR="00EF6C97" w:rsidRPr="00EF6C97" w:rsidRDefault="00EF6C97" w:rsidP="00785061">
            <w:pPr>
              <w:rPr>
                <w:rFonts w:ascii="Arial" w:eastAsia="Times New Roman" w:hAnsi="Arial" w:cs="Arial"/>
                <w:sz w:val="20"/>
                <w:szCs w:val="20"/>
                <w:lang w:val="en-ID" w:eastAsia="en-ID"/>
              </w:rPr>
            </w:pPr>
          </w:p>
        </w:tc>
        <w:tc>
          <w:tcPr>
            <w:tcW w:w="0" w:type="auto"/>
            <w:hideMark/>
          </w:tcPr>
          <w:p w14:paraId="53473FB2"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7.002760</w:t>
            </w:r>
          </w:p>
        </w:tc>
        <w:tc>
          <w:tcPr>
            <w:tcW w:w="0" w:type="auto"/>
            <w:hideMark/>
          </w:tcPr>
          <w:p w14:paraId="780A8A26"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0.0011***</w:t>
            </w:r>
          </w:p>
        </w:tc>
        <w:tc>
          <w:tcPr>
            <w:tcW w:w="0" w:type="auto"/>
            <w:hideMark/>
          </w:tcPr>
          <w:p w14:paraId="4762CCE4" w14:textId="77777777" w:rsidR="00EF6C97" w:rsidRPr="00EF6C97" w:rsidRDefault="00EF6C97" w:rsidP="00785061">
            <w:pPr>
              <w:rPr>
                <w:rFonts w:ascii="Arial" w:eastAsia="Times New Roman" w:hAnsi="Arial" w:cs="Arial"/>
                <w:sz w:val="20"/>
                <w:szCs w:val="20"/>
                <w:lang w:val="en-ID" w:eastAsia="en-ID"/>
              </w:rPr>
            </w:pPr>
          </w:p>
        </w:tc>
      </w:tr>
      <w:tr w:rsidR="00EF6C97" w:rsidRPr="00EF6C97" w14:paraId="784633FD" w14:textId="77777777" w:rsidTr="00EF6C97">
        <w:trPr>
          <w:jc w:val="center"/>
        </w:trPr>
        <w:tc>
          <w:tcPr>
            <w:tcW w:w="0" w:type="auto"/>
            <w:hideMark/>
          </w:tcPr>
          <w:p w14:paraId="244F30D5"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GC</w:t>
            </w:r>
          </w:p>
        </w:tc>
        <w:tc>
          <w:tcPr>
            <w:tcW w:w="0" w:type="auto"/>
            <w:hideMark/>
          </w:tcPr>
          <w:p w14:paraId="0D112C61" w14:textId="77777777" w:rsidR="00EF6C97" w:rsidRPr="00EF6C97" w:rsidRDefault="00EF6C97" w:rsidP="00785061">
            <w:pPr>
              <w:jc w:val="cente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w:t>
            </w:r>
          </w:p>
        </w:tc>
        <w:tc>
          <w:tcPr>
            <w:tcW w:w="0" w:type="auto"/>
            <w:hideMark/>
          </w:tcPr>
          <w:p w14:paraId="66E04646"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1.083637</w:t>
            </w:r>
          </w:p>
        </w:tc>
        <w:tc>
          <w:tcPr>
            <w:tcW w:w="0" w:type="auto"/>
            <w:hideMark/>
          </w:tcPr>
          <w:p w14:paraId="2CA703E0"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0.0447*</w:t>
            </w:r>
          </w:p>
        </w:tc>
        <w:tc>
          <w:tcPr>
            <w:tcW w:w="0" w:type="auto"/>
            <w:hideMark/>
          </w:tcPr>
          <w:p w14:paraId="1E4C82E4"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Significant (+)</w:t>
            </w:r>
          </w:p>
        </w:tc>
      </w:tr>
      <w:tr w:rsidR="00EF6C97" w:rsidRPr="00EF6C97" w14:paraId="035FEBDC" w14:textId="77777777" w:rsidTr="00EF6C97">
        <w:trPr>
          <w:jc w:val="center"/>
        </w:trPr>
        <w:tc>
          <w:tcPr>
            <w:tcW w:w="0" w:type="auto"/>
            <w:hideMark/>
          </w:tcPr>
          <w:p w14:paraId="38455A39"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GCSR</w:t>
            </w:r>
          </w:p>
        </w:tc>
        <w:tc>
          <w:tcPr>
            <w:tcW w:w="0" w:type="auto"/>
            <w:hideMark/>
          </w:tcPr>
          <w:p w14:paraId="57A30EC1" w14:textId="77777777" w:rsidR="00EF6C97" w:rsidRPr="00EF6C97" w:rsidRDefault="00EF6C97" w:rsidP="00785061">
            <w:pPr>
              <w:jc w:val="cente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w:t>
            </w:r>
          </w:p>
        </w:tc>
        <w:tc>
          <w:tcPr>
            <w:tcW w:w="0" w:type="auto"/>
            <w:hideMark/>
          </w:tcPr>
          <w:p w14:paraId="2579D7FC"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-0.008965</w:t>
            </w:r>
          </w:p>
        </w:tc>
        <w:tc>
          <w:tcPr>
            <w:tcW w:w="0" w:type="auto"/>
            <w:hideMark/>
          </w:tcPr>
          <w:p w14:paraId="50B48C9E"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0.3471</w:t>
            </w:r>
          </w:p>
        </w:tc>
        <w:tc>
          <w:tcPr>
            <w:tcW w:w="0" w:type="auto"/>
            <w:hideMark/>
          </w:tcPr>
          <w:p w14:paraId="39837658"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Not significant</w:t>
            </w:r>
          </w:p>
        </w:tc>
      </w:tr>
      <w:tr w:rsidR="00EF6C97" w:rsidRPr="00EF6C97" w14:paraId="4481AEB1" w14:textId="77777777" w:rsidTr="00EF6C97">
        <w:trPr>
          <w:jc w:val="center"/>
        </w:trPr>
        <w:tc>
          <w:tcPr>
            <w:tcW w:w="0" w:type="auto"/>
            <w:hideMark/>
          </w:tcPr>
          <w:p w14:paraId="11E7FAE4"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DFI</w:t>
            </w:r>
          </w:p>
        </w:tc>
        <w:tc>
          <w:tcPr>
            <w:tcW w:w="0" w:type="auto"/>
            <w:hideMark/>
          </w:tcPr>
          <w:p w14:paraId="0B90B780" w14:textId="77777777" w:rsidR="00EF6C97" w:rsidRPr="00EF6C97" w:rsidRDefault="00EF6C97" w:rsidP="00785061">
            <w:pPr>
              <w:jc w:val="cente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w:t>
            </w:r>
          </w:p>
        </w:tc>
        <w:tc>
          <w:tcPr>
            <w:tcW w:w="0" w:type="auto"/>
            <w:hideMark/>
          </w:tcPr>
          <w:p w14:paraId="49DC6598"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0.850796</w:t>
            </w:r>
          </w:p>
        </w:tc>
        <w:tc>
          <w:tcPr>
            <w:tcW w:w="0" w:type="auto"/>
            <w:hideMark/>
          </w:tcPr>
          <w:p w14:paraId="457463CD"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0.0403*</w:t>
            </w:r>
          </w:p>
        </w:tc>
        <w:tc>
          <w:tcPr>
            <w:tcW w:w="0" w:type="auto"/>
            <w:hideMark/>
          </w:tcPr>
          <w:p w14:paraId="1D258C3D"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Significant (+)</w:t>
            </w:r>
          </w:p>
        </w:tc>
      </w:tr>
      <w:tr w:rsidR="00EF6C97" w:rsidRPr="00EF6C97" w14:paraId="5BE60747" w14:textId="77777777" w:rsidTr="00EF6C97">
        <w:trPr>
          <w:jc w:val="center"/>
        </w:trPr>
        <w:tc>
          <w:tcPr>
            <w:tcW w:w="0" w:type="auto"/>
            <w:hideMark/>
          </w:tcPr>
          <w:p w14:paraId="3E178E6C"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NPL</w:t>
            </w:r>
          </w:p>
        </w:tc>
        <w:tc>
          <w:tcPr>
            <w:tcW w:w="0" w:type="auto"/>
            <w:hideMark/>
          </w:tcPr>
          <w:p w14:paraId="28BFA213" w14:textId="77777777" w:rsidR="00EF6C97" w:rsidRPr="00EF6C97" w:rsidRDefault="00EF6C97" w:rsidP="00785061">
            <w:pPr>
              <w:jc w:val="cente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w:t>
            </w:r>
          </w:p>
        </w:tc>
        <w:tc>
          <w:tcPr>
            <w:tcW w:w="0" w:type="auto"/>
            <w:hideMark/>
          </w:tcPr>
          <w:p w14:paraId="5AB96866"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-0.344142</w:t>
            </w:r>
          </w:p>
        </w:tc>
        <w:tc>
          <w:tcPr>
            <w:tcW w:w="0" w:type="auto"/>
            <w:hideMark/>
          </w:tcPr>
          <w:p w14:paraId="3AC778F8"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0.0000***</w:t>
            </w:r>
          </w:p>
        </w:tc>
        <w:tc>
          <w:tcPr>
            <w:tcW w:w="0" w:type="auto"/>
            <w:hideMark/>
          </w:tcPr>
          <w:p w14:paraId="1178A1DB"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Significant (-)</w:t>
            </w:r>
          </w:p>
        </w:tc>
      </w:tr>
      <w:tr w:rsidR="00EF6C97" w:rsidRPr="00EF6C97" w14:paraId="40F179EF" w14:textId="77777777" w:rsidTr="00EF6C97">
        <w:trPr>
          <w:jc w:val="center"/>
        </w:trPr>
        <w:tc>
          <w:tcPr>
            <w:tcW w:w="0" w:type="auto"/>
            <w:hideMark/>
          </w:tcPr>
          <w:p w14:paraId="22B21BE4"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SIZE</w:t>
            </w:r>
          </w:p>
        </w:tc>
        <w:tc>
          <w:tcPr>
            <w:tcW w:w="0" w:type="auto"/>
            <w:hideMark/>
          </w:tcPr>
          <w:p w14:paraId="25E4BF4A" w14:textId="77777777" w:rsidR="00EF6C97" w:rsidRPr="00EF6C97" w:rsidRDefault="00EF6C97" w:rsidP="00785061">
            <w:pPr>
              <w:jc w:val="cente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w:t>
            </w:r>
          </w:p>
        </w:tc>
        <w:tc>
          <w:tcPr>
            <w:tcW w:w="0" w:type="auto"/>
            <w:hideMark/>
          </w:tcPr>
          <w:p w14:paraId="538B3BF8"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-0.127670</w:t>
            </w:r>
          </w:p>
        </w:tc>
        <w:tc>
          <w:tcPr>
            <w:tcW w:w="0" w:type="auto"/>
            <w:hideMark/>
          </w:tcPr>
          <w:p w14:paraId="694A15EF"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0.11025</w:t>
            </w:r>
          </w:p>
        </w:tc>
        <w:tc>
          <w:tcPr>
            <w:tcW w:w="0" w:type="auto"/>
            <w:hideMark/>
          </w:tcPr>
          <w:p w14:paraId="5A3867C3"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Not significant</w:t>
            </w:r>
          </w:p>
        </w:tc>
      </w:tr>
      <w:tr w:rsidR="00EF6C97" w:rsidRPr="00EF6C97" w14:paraId="094EBCF7" w14:textId="77777777" w:rsidTr="00EF6C97">
        <w:trPr>
          <w:jc w:val="center"/>
        </w:trPr>
        <w:tc>
          <w:tcPr>
            <w:tcW w:w="0" w:type="auto"/>
            <w:hideMark/>
          </w:tcPr>
          <w:p w14:paraId="0ADF945A"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LEV</w:t>
            </w:r>
          </w:p>
        </w:tc>
        <w:tc>
          <w:tcPr>
            <w:tcW w:w="0" w:type="auto"/>
            <w:hideMark/>
          </w:tcPr>
          <w:p w14:paraId="3E4B01F5" w14:textId="77777777" w:rsidR="00EF6C97" w:rsidRPr="00EF6C97" w:rsidRDefault="00EF6C97" w:rsidP="00785061">
            <w:pPr>
              <w:jc w:val="cente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w:t>
            </w:r>
          </w:p>
        </w:tc>
        <w:tc>
          <w:tcPr>
            <w:tcW w:w="0" w:type="auto"/>
            <w:hideMark/>
          </w:tcPr>
          <w:p w14:paraId="5E96F5DC"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-5.998922</w:t>
            </w:r>
          </w:p>
        </w:tc>
        <w:tc>
          <w:tcPr>
            <w:tcW w:w="0" w:type="auto"/>
            <w:hideMark/>
          </w:tcPr>
          <w:p w14:paraId="22DE2684"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0.01005**</w:t>
            </w:r>
          </w:p>
        </w:tc>
        <w:tc>
          <w:tcPr>
            <w:tcW w:w="0" w:type="auto"/>
            <w:hideMark/>
          </w:tcPr>
          <w:p w14:paraId="3F786886"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Significant (-)</w:t>
            </w:r>
          </w:p>
        </w:tc>
      </w:tr>
    </w:tbl>
    <w:p w14:paraId="2CB412DE" w14:textId="3D0A7C22" w:rsidR="00495A57" w:rsidRPr="00EF6C97" w:rsidRDefault="00EF6C97" w:rsidP="00495A57">
      <w:pPr>
        <w:pStyle w:val="BodyText"/>
        <w:adjustRightInd w:val="0"/>
        <w:snapToGrid w:val="0"/>
        <w:spacing w:after="0"/>
        <w:rPr>
          <w:rFonts w:ascii="Arial" w:eastAsiaTheme="minorEastAsia" w:hAnsi="Arial" w:cs="Arial"/>
          <w:i/>
        </w:rPr>
      </w:pPr>
      <w:r>
        <w:rPr>
          <w:rFonts w:ascii="Arial" w:eastAsiaTheme="minorEastAsia" w:hAnsi="Arial" w:cs="Arial"/>
        </w:rPr>
        <w:t xml:space="preserve">                     </w:t>
      </w:r>
      <w:r w:rsidR="00495A57" w:rsidRPr="00EF6C97">
        <w:rPr>
          <w:rFonts w:ascii="Arial" w:eastAsiaTheme="minorEastAsia" w:hAnsi="Arial" w:cs="Arial"/>
        </w:rPr>
        <w:t>Source: Processed data using EVIEWS 9</w:t>
      </w:r>
    </w:p>
    <w:p w14:paraId="13449EE6" w14:textId="62D7DB47" w:rsidR="00495A57" w:rsidRPr="00EF6C97" w:rsidRDefault="00EF6C97" w:rsidP="00495A57">
      <w:pPr>
        <w:pStyle w:val="BodyText"/>
        <w:adjustRightInd w:val="0"/>
        <w:snapToGrid w:val="0"/>
        <w:spacing w:after="0"/>
        <w:rPr>
          <w:rFonts w:ascii="Arial" w:eastAsiaTheme="minorEastAsia" w:hAnsi="Arial" w:cs="Arial"/>
          <w:i/>
        </w:rPr>
      </w:pPr>
      <w:r>
        <w:rPr>
          <w:rFonts w:ascii="Arial" w:eastAsiaTheme="minorEastAsia" w:hAnsi="Arial" w:cs="Arial"/>
        </w:rPr>
        <w:t xml:space="preserve">                      </w:t>
      </w:r>
      <w:r w:rsidR="00495A57" w:rsidRPr="00EF6C97">
        <w:rPr>
          <w:rFonts w:ascii="Arial" w:eastAsiaTheme="minorEastAsia" w:hAnsi="Arial" w:cs="Arial"/>
        </w:rPr>
        <w:t>Note: Significance levels ***1%; **5%; *10%</w:t>
      </w:r>
    </w:p>
    <w:p w14:paraId="4A90A5A3" w14:textId="77777777" w:rsidR="00495A57" w:rsidRPr="00EF6C97" w:rsidRDefault="00495A57" w:rsidP="00495A57">
      <w:pPr>
        <w:pStyle w:val="BodyText"/>
        <w:adjustRightInd w:val="0"/>
        <w:snapToGrid w:val="0"/>
        <w:spacing w:after="0"/>
        <w:rPr>
          <w:rFonts w:ascii="Arial" w:eastAsiaTheme="minorEastAsia" w:hAnsi="Arial" w:cs="Arial"/>
          <w:i/>
        </w:rPr>
      </w:pPr>
    </w:p>
    <w:p w14:paraId="2A2F2E04" w14:textId="6DACAE20" w:rsidR="00495A57" w:rsidRPr="00EF6C97" w:rsidRDefault="00495A57" w:rsidP="00EF6C97">
      <w:pPr>
        <w:spacing w:before="240"/>
        <w:jc w:val="both"/>
        <w:rPr>
          <w:rFonts w:ascii="Arial" w:hAnsi="Arial" w:cs="Arial"/>
          <w:lang w:val="en-ID" w:eastAsia="en-ID"/>
        </w:rPr>
      </w:pPr>
      <w:r w:rsidRPr="00EF6C97">
        <w:rPr>
          <w:rFonts w:ascii="Arial" w:hAnsi="Arial" w:cs="Arial"/>
          <w:lang w:val="en-ID" w:eastAsia="en-ID"/>
        </w:rPr>
        <w:t xml:space="preserve">Based on Table 5, these findings indicate the influence of the variables under study green credit (GC), green CSR (GCSR), digital financial inclusion (DFI), leverage (LEV), NPL, and bank size (SIZE)—on bank performance (ROA). </w:t>
      </w:r>
    </w:p>
    <w:p w14:paraId="6F051416" w14:textId="7E6D65F9" w:rsidR="00495A57" w:rsidRPr="00EF6C97" w:rsidRDefault="00495A57" w:rsidP="00EF6C97">
      <w:pPr>
        <w:spacing w:before="240"/>
        <w:jc w:val="both"/>
        <w:rPr>
          <w:rFonts w:ascii="Arial" w:hAnsi="Arial" w:cs="Arial"/>
          <w:b/>
          <w:bCs/>
          <w:lang w:val="en-ID" w:eastAsia="en-ID"/>
        </w:rPr>
      </w:pPr>
      <w:r w:rsidRPr="00EF6C97">
        <w:rPr>
          <w:rFonts w:ascii="Arial" w:hAnsi="Arial" w:cs="Arial"/>
          <w:b/>
          <w:bCs/>
          <w:lang w:val="en-ID" w:eastAsia="en-ID"/>
        </w:rPr>
        <w:t>There is a positive effect of green credit on bank performance</w:t>
      </w:r>
    </w:p>
    <w:p w14:paraId="30E07885" w14:textId="77777777" w:rsidR="00495A57" w:rsidRPr="00EF6C97" w:rsidRDefault="00495A57" w:rsidP="00EF6C97">
      <w:pPr>
        <w:spacing w:before="240"/>
        <w:jc w:val="both"/>
        <w:rPr>
          <w:rFonts w:ascii="Arial" w:hAnsi="Arial" w:cs="Arial"/>
          <w:lang w:val="en-ID" w:eastAsia="en-ID"/>
        </w:rPr>
      </w:pPr>
      <w:r w:rsidRPr="00EF6C97">
        <w:rPr>
          <w:rFonts w:ascii="Arial" w:hAnsi="Arial" w:cs="Arial"/>
          <w:lang w:val="en-ID" w:eastAsia="en-ID"/>
        </w:rPr>
        <w:t>Based on Table 5, the coefficient value of green credit is 1.083637, meaning that if green credit increases by 1 unit, the average bank performance will increase by 1.083637 units. The test results show that the sign of the coefficient is consistent with the hypothesis proposed in this study, where theoretically green credit has a positive effect on bank performance. Furthermore, the p-value is 0.0447* &lt; 0.05 (at the 5% alpha level), indicating that statistically, at the 95% confidence level, green credit has a positive effect on bank performance.</w:t>
      </w:r>
    </w:p>
    <w:p w14:paraId="2E7C48C7" w14:textId="4473D694" w:rsidR="00495A57" w:rsidRPr="00EF6C97" w:rsidRDefault="00495A57" w:rsidP="00EF6C97">
      <w:pPr>
        <w:spacing w:before="240"/>
        <w:jc w:val="both"/>
        <w:rPr>
          <w:rFonts w:ascii="Arial" w:hAnsi="Arial" w:cs="Arial"/>
          <w:b/>
          <w:bCs/>
          <w:lang w:val="en-ID" w:eastAsia="en-ID"/>
        </w:rPr>
      </w:pPr>
      <w:r w:rsidRPr="00EF6C97">
        <w:rPr>
          <w:rFonts w:ascii="Arial" w:hAnsi="Arial" w:cs="Arial"/>
          <w:b/>
          <w:bCs/>
          <w:lang w:val="en-ID" w:eastAsia="en-ID"/>
        </w:rPr>
        <w:t>There is a positive effect of green CSR on bank performance</w:t>
      </w:r>
    </w:p>
    <w:p w14:paraId="7100D88D" w14:textId="4106F7DC" w:rsidR="00495A57" w:rsidRPr="00EF6C97" w:rsidRDefault="00495A57" w:rsidP="00EF6C97">
      <w:pPr>
        <w:spacing w:before="240"/>
        <w:jc w:val="both"/>
        <w:rPr>
          <w:rFonts w:ascii="Arial" w:hAnsi="Arial" w:cs="Arial"/>
          <w:lang w:val="en-ID" w:eastAsia="en-ID"/>
        </w:rPr>
      </w:pPr>
      <w:r w:rsidRPr="00EF6C97">
        <w:rPr>
          <w:rFonts w:ascii="Arial" w:hAnsi="Arial" w:cs="Arial"/>
          <w:lang w:val="en-ID" w:eastAsia="en-ID"/>
        </w:rPr>
        <w:lastRenderedPageBreak/>
        <w:t>Based on Table 5, the coefficient value of green CSR is -0.008965, meaning that if green CSR increases by 1 unit, the average bank performance will decrease by 0.008965 units. The test results show that the coefficient sign does not align with the hypothesis proposed in this study, where theoretically green CSR is expected to have a positive effect on bank performance. Therefore, the hypothesis testing is not continued, and it is concluded that statistically, there is no positive effect of green CSR on bank performance.</w:t>
      </w:r>
    </w:p>
    <w:p w14:paraId="48808665" w14:textId="2CD7C14B" w:rsidR="00495A57" w:rsidRPr="00EF6C97" w:rsidRDefault="00495A57" w:rsidP="00EF6C97">
      <w:pPr>
        <w:spacing w:before="240"/>
        <w:jc w:val="both"/>
        <w:rPr>
          <w:rFonts w:ascii="Arial" w:hAnsi="Arial" w:cs="Arial"/>
          <w:b/>
          <w:bCs/>
          <w:lang w:val="en-ID" w:eastAsia="en-ID"/>
        </w:rPr>
      </w:pPr>
      <w:r w:rsidRPr="00EF6C97">
        <w:rPr>
          <w:rFonts w:ascii="Arial" w:hAnsi="Arial" w:cs="Arial"/>
          <w:b/>
          <w:bCs/>
          <w:lang w:val="en-ID" w:eastAsia="en-ID"/>
        </w:rPr>
        <w:t>There is a negative effect of digital financial inclusion (DFI) on bank performance</w:t>
      </w:r>
    </w:p>
    <w:p w14:paraId="05B09D32" w14:textId="747BE397" w:rsidR="00495A57" w:rsidRPr="00EF6C97" w:rsidRDefault="00495A57" w:rsidP="00EF6C97">
      <w:pPr>
        <w:spacing w:before="240"/>
        <w:jc w:val="both"/>
        <w:rPr>
          <w:rFonts w:ascii="Arial" w:hAnsi="Arial" w:cs="Arial"/>
          <w:lang w:val="en-ID" w:eastAsia="en-ID"/>
        </w:rPr>
      </w:pPr>
      <w:r w:rsidRPr="00EF6C97">
        <w:rPr>
          <w:rFonts w:ascii="Arial" w:hAnsi="Arial" w:cs="Arial"/>
          <w:lang w:val="en-ID" w:eastAsia="en-ID"/>
        </w:rPr>
        <w:t>Based on Table 5, the coefficient value of digital financial inclusion (DFI) is 0.850796, meaning that if DFI increases by 1 unit, the average bank performance will increase by 0.850796 units. The test results show that the coefficient sign does not match the hypothesis proposed in this study, which theorized a negative effect of DFI on bank performance. Therefore, the hypothesis testing is not continued, and it is concluded that statistically, digital financial inclusion does not negatively affect bank performance, but rather has a positive effect on bank performance.</w:t>
      </w:r>
    </w:p>
    <w:p w14:paraId="638B4C19" w14:textId="77777777" w:rsidR="00495A57" w:rsidRPr="00145DC1" w:rsidRDefault="00495A57" w:rsidP="00EF6C97">
      <w:pPr>
        <w:spacing w:before="240"/>
        <w:jc w:val="both"/>
        <w:rPr>
          <w:rFonts w:ascii="Open Sans" w:hAnsi="Open Sans" w:cs="Open Sans"/>
          <w:lang w:val="en-ID" w:eastAsia="en-ID"/>
        </w:rPr>
      </w:pPr>
    </w:p>
    <w:p w14:paraId="71F3391D" w14:textId="11BC5BF5" w:rsidR="00495A57" w:rsidRPr="00EF6C97" w:rsidRDefault="00EF6C97" w:rsidP="00EF6C97">
      <w:pPr>
        <w:pStyle w:val="BodyText"/>
        <w:adjustRightInd w:val="0"/>
        <w:snapToGrid w:val="0"/>
        <w:spacing w:before="240" w:after="0"/>
        <w:jc w:val="both"/>
        <w:rPr>
          <w:rFonts w:ascii="Arial" w:hAnsi="Arial" w:cs="Arial"/>
          <w:b/>
          <w:bCs/>
          <w:i/>
          <w:iCs/>
        </w:rPr>
      </w:pPr>
      <w:r w:rsidRPr="00EF6C97">
        <w:rPr>
          <w:rFonts w:ascii="Arial" w:hAnsi="Arial" w:cs="Arial"/>
          <w:b/>
          <w:bCs/>
          <w:iCs/>
        </w:rPr>
        <w:t xml:space="preserve">3.2 </w:t>
      </w:r>
      <w:r w:rsidR="00495A57" w:rsidRPr="00EF6C97">
        <w:rPr>
          <w:rFonts w:ascii="Arial" w:hAnsi="Arial" w:cs="Arial"/>
          <w:b/>
          <w:bCs/>
          <w:iCs/>
        </w:rPr>
        <w:t>DISCUSSION</w:t>
      </w:r>
    </w:p>
    <w:p w14:paraId="1AE30C2B" w14:textId="56E5DE42" w:rsidR="00495A57" w:rsidRPr="00EF6C97" w:rsidRDefault="00EF6C97" w:rsidP="00EF6C97">
      <w:pPr>
        <w:spacing w:before="240"/>
        <w:jc w:val="both"/>
        <w:rPr>
          <w:rFonts w:ascii="Arial" w:hAnsi="Arial" w:cs="Arial"/>
          <w:color w:val="000000" w:themeColor="text1"/>
          <w:lang w:val="en-ID" w:eastAsia="en-ID"/>
        </w:rPr>
      </w:pPr>
      <w:r w:rsidRPr="00EF6C97">
        <w:rPr>
          <w:rFonts w:ascii="Arial" w:hAnsi="Arial" w:cs="Arial"/>
          <w:b/>
          <w:bCs/>
          <w:color w:val="000000" w:themeColor="text1"/>
          <w:lang w:val="en-ID" w:eastAsia="en-ID"/>
        </w:rPr>
        <w:t xml:space="preserve">3.2.1 </w:t>
      </w:r>
      <w:r w:rsidR="00495A57" w:rsidRPr="00EF6C97">
        <w:rPr>
          <w:rFonts w:ascii="Arial" w:hAnsi="Arial" w:cs="Arial"/>
          <w:b/>
          <w:bCs/>
          <w:color w:val="000000" w:themeColor="text1"/>
          <w:lang w:val="en-ID" w:eastAsia="en-ID"/>
        </w:rPr>
        <w:t>Green Credit and Bank Performance</w:t>
      </w:r>
    </w:p>
    <w:p w14:paraId="13568033" w14:textId="77777777" w:rsidR="00495A57" w:rsidRPr="00EF6C97" w:rsidRDefault="00495A57" w:rsidP="00EF6C97">
      <w:pPr>
        <w:spacing w:before="240"/>
        <w:jc w:val="both"/>
        <w:rPr>
          <w:rFonts w:ascii="Arial" w:hAnsi="Arial" w:cs="Arial"/>
          <w:color w:val="000000" w:themeColor="text1"/>
          <w:lang w:val="en-ID" w:eastAsia="en-ID"/>
        </w:rPr>
      </w:pPr>
      <w:r w:rsidRPr="00EF6C97">
        <w:rPr>
          <w:rFonts w:ascii="Arial" w:hAnsi="Arial" w:cs="Arial"/>
          <w:color w:val="000000" w:themeColor="text1"/>
          <w:lang w:val="en-ID" w:eastAsia="en-ID"/>
        </w:rPr>
        <w:t xml:space="preserve">The analysis of the research findings shows that green credit has a positive effect on profitability. This aligns with the study by </w:t>
      </w:r>
      <w:r w:rsidRPr="00EF6C97">
        <w:rPr>
          <w:rStyle w:val="Strong"/>
          <w:rFonts w:ascii="Arial" w:hAnsi="Arial" w:cs="Arial"/>
          <w:b w:val="0"/>
          <w:bCs w:val="0"/>
          <w:noProof/>
          <w:color w:val="000000" w:themeColor="text1"/>
        </w:rPr>
        <w:t xml:space="preserve">Y. Lian et al </w:t>
      </w:r>
      <w:r w:rsidRPr="00EF6C97">
        <w:rPr>
          <w:rStyle w:val="Strong"/>
          <w:rFonts w:ascii="Arial" w:hAnsi="Arial" w:cs="Arial"/>
          <w:b w:val="0"/>
          <w:bCs w:val="0"/>
          <w:color w:val="000000" w:themeColor="text1"/>
        </w:rPr>
        <w:fldChar w:fldCharType="begin" w:fldLock="1"/>
      </w:r>
      <w:r w:rsidRPr="00EF6C97">
        <w:rPr>
          <w:rStyle w:val="Strong"/>
          <w:rFonts w:ascii="Arial" w:hAnsi="Arial" w:cs="Arial"/>
          <w:b w:val="0"/>
          <w:bCs w:val="0"/>
          <w:color w:val="000000" w:themeColor="text1"/>
        </w:rPr>
        <w:instrText>ADDIN CSL_CITATION {"citationItems":[{"id":"ITEM-1","itemData":{"DOI":"https://doi.org/10.1016/j.jclepro.2022.131069","abstract":"As a major component of China's green finance system, the Chinese government is vigorously encouraging commercial banks to issue green credit. This study examines the impact of green credit on the financial performance of banks from the perspective of heterogeneous regional green development. Using unbalanced panel data for 34 Chinese commercial banks from 2007 to 2018, we empirically examine the impact of green credit issued by commercial banks on their financial performance using a fixed effects model. The results show that green credit improves commercial banks' financial performance, and this improvement is mainly derived from the positive effect of green credit on the rate of return on banks' interest-bearing assets, the level of green development can increase the economic benefits of green credit issued by banks, and higher green economic growth and greater support through government environmental policies imply a higher positive impact of green credit on the financial performance of banks. In conclusion, commercial banks should actively develop their green credit business, and the government should strengthen their green credit incentivizing policies to promote the coordinated development of green finance and a green economy. Introduction Since the 1990s, the global economy has gradually moved toward green, environmentally friendly, and sustainable development. From Agenda 21 adopted at the “Earth Summit” in 1992 to the Kyoto Protocol in 1997, as a supplement to the United Nations Framework Convention on Climate Change, and then to the Paris Agreement adopted in 2015, the importance of a green economy has been repeatedly highlighted. As huge amounts of capital are required for the development of a green economy, the concept of “green finance” has emerged. It is a requirement of green finance that the financial industry should pay attention to ecological protection in relation to investment, increase governance regarding environmental pollution, provide increased support for the development of environmentally friendly industries and innovative green technologies, and promote the sustainable development of the economy and coordinated ecological development by guiding the direction of capital investment (Gray, 2002; Weber, 2014) (Gray and R. Of Messiness, 2002; Weber, 2014). “Green credit system” which is an important element of the green financial system, includes policies, institutional arrangements, and practices that promote energy conservation …","author":[{"dropping-particle":"","family":"Lian","given":"Yonghui","non-dropping-particle":"","parse-names":false,"suffix":""},{"dropping-particle":"","family":"Gao","given":"Jieying","non-dropping-particle":"","parse-names":false,"suffix":""},{"dropping-particle":"","family":"Ye","given":"Tao","non-dropping-particle":"","parse-names":false,"suffix":""}],"container-title":"Journal of Cleaner Production","id":"ITEM-1","issued":{"date-parts":[["2022"]]},"title":"How does Green Credit affect the Financial Performance of Commercial Banks? Evidence from China","type":"article-journal","volume":"344"},"uris":["http://www.mendeley.com/documents/?uuid=91f34440-6d4f-3cc2-bdc3-ae2695564c1d"]}],"mendeley":{"formattedCitation":"(Lian et al., 2022)","manualFormatting":"(2022)","plainTextFormattedCitation":"(Lian et al., 2022)","previouslyFormattedCitation":"(Y. Lian et al., 2022)"},"properties":{"noteIndex":0},"schema":"https://github.com/citation-style-language/schema/raw/master/csl-citation.json"}</w:instrText>
      </w:r>
      <w:r w:rsidRPr="00EF6C97">
        <w:rPr>
          <w:rStyle w:val="Strong"/>
          <w:rFonts w:ascii="Arial" w:hAnsi="Arial" w:cs="Arial"/>
          <w:b w:val="0"/>
          <w:bCs w:val="0"/>
          <w:color w:val="000000" w:themeColor="text1"/>
        </w:rPr>
        <w:fldChar w:fldCharType="separate"/>
      </w:r>
      <w:r w:rsidRPr="00EF6C97">
        <w:rPr>
          <w:rStyle w:val="Strong"/>
          <w:rFonts w:ascii="Arial" w:hAnsi="Arial" w:cs="Arial"/>
          <w:b w:val="0"/>
          <w:bCs w:val="0"/>
          <w:noProof/>
          <w:color w:val="000000" w:themeColor="text1"/>
        </w:rPr>
        <w:t>(2022)</w:t>
      </w:r>
      <w:r w:rsidRPr="00EF6C97">
        <w:rPr>
          <w:rStyle w:val="Strong"/>
          <w:rFonts w:ascii="Arial" w:hAnsi="Arial" w:cs="Arial"/>
          <w:b w:val="0"/>
          <w:bCs w:val="0"/>
          <w:color w:val="000000" w:themeColor="text1"/>
        </w:rPr>
        <w:fldChar w:fldCharType="end"/>
      </w:r>
      <w:r w:rsidRPr="00EF6C97">
        <w:rPr>
          <w:rFonts w:ascii="Arial" w:hAnsi="Arial" w:cs="Arial"/>
          <w:b/>
          <w:bCs/>
          <w:color w:val="000000" w:themeColor="text1"/>
          <w:lang w:val="en-ID" w:eastAsia="en-ID"/>
        </w:rPr>
        <w:t>,</w:t>
      </w:r>
      <w:r w:rsidRPr="00EF6C97">
        <w:rPr>
          <w:rFonts w:ascii="Arial" w:hAnsi="Arial" w:cs="Arial"/>
          <w:color w:val="000000" w:themeColor="text1"/>
          <w:lang w:val="en-ID" w:eastAsia="en-ID"/>
        </w:rPr>
        <w:t xml:space="preserve"> which found that green credit has a significantly positive impact on ROA. In line with </w:t>
      </w:r>
      <w:r w:rsidRPr="00EF6C97">
        <w:rPr>
          <w:rFonts w:ascii="Arial" w:hAnsi="Arial" w:cs="Arial"/>
          <w:noProof/>
          <w:color w:val="000000" w:themeColor="text1"/>
        </w:rPr>
        <w:t xml:space="preserve">Danye </w:t>
      </w:r>
      <w:r w:rsidRPr="00EF6C97">
        <w:rPr>
          <w:rFonts w:ascii="Arial" w:hAnsi="Arial" w:cs="Arial"/>
          <w:color w:val="000000" w:themeColor="text1"/>
        </w:rPr>
        <w:fldChar w:fldCharType="begin" w:fldLock="1"/>
      </w:r>
      <w:r w:rsidRPr="00EF6C97">
        <w:rPr>
          <w:rFonts w:ascii="Arial" w:hAnsi="Arial" w:cs="Arial"/>
          <w:color w:val="000000" w:themeColor="text1"/>
        </w:rPr>
        <w:instrText>ADDIN CSL_CITATION {"citationItems":[{"id":"ITEM-1","itemData":{"DOI":"10.1051/e3sconf/202021403008","ISSN":"22671242","abstract":"This paper reviews the literature on green credit, and has a further understanding of the basic concepts of green credit and profitability of commercial banks, as well as the development status of green credit in China in recent years. Based on empirical data analysis, supplemented by theoretical analysis, this paper makes an empirical analysis of the impact of green credit on the profitability of China's commercial banks. Finally, according to the results of the empirical analysis, the corresponding opinions and suggestions are given.","author":[{"dropping-particle":"","family":"Danye","given":"Huang","non-dropping-particle":"","parse-names":false,"suffix":""}],"container-title":"E3S Web of Conferences","id":"ITEM-1","issued":{"date-parts":[["2020"]]},"page":"1-5","title":"Research on the Impact of Green Credit on Profitability of Commercial Banks in China","type":"article-journal","volume":"214"},"uris":["http://www.mendeley.com/documents/?uuid=abf56da5-0027-4672-8a3a-9df7c5ebf591"]}],"mendeley":{"formattedCitation":"(Danye, 2020)","manualFormatting":"(2020)","plainTextFormattedCitation":"(Danye, 2020)","previouslyFormattedCitation":"(Danye, 2020)"},"properties":{"noteIndex":0},"schema":"https://github.com/citation-style-language/schema/raw/master/csl-citation.json"}</w:instrText>
      </w:r>
      <w:r w:rsidRPr="00EF6C97">
        <w:rPr>
          <w:rFonts w:ascii="Arial" w:hAnsi="Arial" w:cs="Arial"/>
          <w:color w:val="000000" w:themeColor="text1"/>
        </w:rPr>
        <w:fldChar w:fldCharType="separate"/>
      </w:r>
      <w:r w:rsidRPr="00EF6C97">
        <w:rPr>
          <w:rFonts w:ascii="Arial" w:hAnsi="Arial" w:cs="Arial"/>
          <w:noProof/>
          <w:color w:val="000000" w:themeColor="text1"/>
        </w:rPr>
        <w:t>(2020)</w:t>
      </w:r>
      <w:r w:rsidRPr="00EF6C97">
        <w:rPr>
          <w:rFonts w:ascii="Arial" w:hAnsi="Arial" w:cs="Arial"/>
          <w:color w:val="000000" w:themeColor="text1"/>
        </w:rPr>
        <w:fldChar w:fldCharType="end"/>
      </w:r>
      <w:r w:rsidRPr="00EF6C97">
        <w:rPr>
          <w:rFonts w:ascii="Arial" w:hAnsi="Arial" w:cs="Arial"/>
          <w:color w:val="000000" w:themeColor="text1"/>
          <w:lang w:val="en-ID" w:eastAsia="en-ID"/>
        </w:rPr>
        <w:t>, the Green Loan Ratio (GLR) enhances profitability. This is further supported by</w:t>
      </w:r>
      <w:r w:rsidRPr="00EF6C97">
        <w:rPr>
          <w:rFonts w:ascii="Arial" w:hAnsi="Arial" w:cs="Arial"/>
          <w:noProof/>
          <w:color w:val="000000" w:themeColor="text1"/>
        </w:rPr>
        <w:t xml:space="preserve"> Qin et al.,</w:t>
      </w:r>
      <w:r w:rsidRPr="00EF6C97">
        <w:rPr>
          <w:rFonts w:ascii="Arial" w:hAnsi="Arial" w:cs="Arial"/>
          <w:color w:val="000000" w:themeColor="text1"/>
          <w:lang w:val="en-ID" w:eastAsia="en-ID"/>
        </w:rPr>
        <w:t xml:space="preserve"> </w:t>
      </w:r>
      <w:r w:rsidRPr="00EF6C97">
        <w:rPr>
          <w:rFonts w:ascii="Arial" w:hAnsi="Arial" w:cs="Arial"/>
          <w:color w:val="000000" w:themeColor="text1"/>
        </w:rPr>
        <w:fldChar w:fldCharType="begin" w:fldLock="1"/>
      </w:r>
      <w:r w:rsidRPr="00EF6C97">
        <w:rPr>
          <w:rFonts w:ascii="Arial" w:hAnsi="Arial" w:cs="Arial"/>
          <w:color w:val="000000" w:themeColor="text1"/>
        </w:rPr>
        <w:instrText>ADDIN CSL_CITATION {"citationItems":[{"id":"ITEM-1","itemData":{"DOI":"10.3390/risks6040120","author":[{"dropping-particle":"","family":"Qin","given":"Fengming","non-dropping-particle":"","parse-names":false,"suffix":""},{"dropping-particle":"","family":"Zhang","given":"Junru","non-dropping-particle":"","parse-names":false,"suffix":""},{"dropping-particle":"","family":"Zhang","given":"Zhaoyong","non-dropping-particle":"","parse-names":false,"suffix":""}],"container-title":"Risks","id":"ITEM-1","issued":{"date-parts":[["2018"]]},"title":"RMB Exchange Rates and Volatility Spillover across Financial Markets in China and Japan","type":"article-journal"},"uris":["http://www.mendeley.com/documents/?uuid=25434c74-e14e-4eea-b290-a34918816048"]}],"mendeley":{"formattedCitation":"(Qin, Zhang, &amp; Zhang, 2018)","manualFormatting":"(2018)","plainTextFormattedCitation":"(Qin, Zhang, &amp; Zhang, 2018)","previouslyFormattedCitation":"(Qin et al., 2018)"},"properties":{"noteIndex":0},"schema":"https://github.com/citation-style-language/schema/raw/master/csl-citation.json"}</w:instrText>
      </w:r>
      <w:r w:rsidRPr="00EF6C97">
        <w:rPr>
          <w:rFonts w:ascii="Arial" w:hAnsi="Arial" w:cs="Arial"/>
          <w:color w:val="000000" w:themeColor="text1"/>
        </w:rPr>
        <w:fldChar w:fldCharType="separate"/>
      </w:r>
      <w:r w:rsidRPr="00EF6C97">
        <w:rPr>
          <w:rFonts w:ascii="Arial" w:hAnsi="Arial" w:cs="Arial"/>
          <w:noProof/>
          <w:color w:val="000000" w:themeColor="text1"/>
        </w:rPr>
        <w:t>(2018)</w:t>
      </w:r>
      <w:r w:rsidRPr="00EF6C97">
        <w:rPr>
          <w:rFonts w:ascii="Arial" w:hAnsi="Arial" w:cs="Arial"/>
          <w:color w:val="000000" w:themeColor="text1"/>
        </w:rPr>
        <w:fldChar w:fldCharType="end"/>
      </w:r>
      <w:r w:rsidRPr="00EF6C97">
        <w:rPr>
          <w:rFonts w:ascii="Arial" w:hAnsi="Arial" w:cs="Arial"/>
          <w:color w:val="000000" w:themeColor="text1"/>
        </w:rPr>
        <w:t xml:space="preserve"> and </w:t>
      </w:r>
      <w:r w:rsidRPr="00EF6C97">
        <w:rPr>
          <w:rFonts w:ascii="Arial" w:hAnsi="Arial" w:cs="Arial"/>
          <w:noProof/>
          <w:color w:val="000000" w:themeColor="text1"/>
        </w:rPr>
        <w:t>G. Zhou et al.,</w:t>
      </w:r>
      <w:r w:rsidRPr="00EF6C97">
        <w:rPr>
          <w:rFonts w:ascii="Arial" w:hAnsi="Arial" w:cs="Arial"/>
          <w:color w:val="000000" w:themeColor="text1"/>
        </w:rPr>
        <w:t xml:space="preserve"> </w:t>
      </w:r>
      <w:r w:rsidRPr="00EF6C97">
        <w:rPr>
          <w:rFonts w:ascii="Arial" w:hAnsi="Arial" w:cs="Arial"/>
          <w:color w:val="000000" w:themeColor="text1"/>
        </w:rPr>
        <w:fldChar w:fldCharType="begin" w:fldLock="1"/>
      </w:r>
      <w:r w:rsidRPr="00EF6C97">
        <w:rPr>
          <w:rFonts w:ascii="Arial" w:hAnsi="Arial" w:cs="Arial"/>
          <w:color w:val="000000" w:themeColor="text1"/>
        </w:rPr>
        <w:instrText>ADDIN CSL_CITATION {"citationItems":[{"id":"ITEM-1","itemData":{"DOI":"10.1016/j.eneco.2021.105190","ISSN":"01409883","abstract":"Most of the existing studies have ignored the moderating role of green credit in the relationship between corporate social responsibility (CSR) and bank financial performance. Using the data of listed banks in China from 2008 to 2018, this paper investigates the impact of CSR on bank financial performance. Moreover, we document the mediating effect of green credit on their relationship. The results show that CSR would make a negative impact on bank financial performance in the short term. However, this relationship turns out to be positive in the long run. Besides that, green credit does play an important role in this relationship. Furthermore, we do a series of heterogeneity tests. Our conclusion would be useful both to the following researchers and the establishment of environmental policies.","author":[{"dropping-particle":"","family":"Zhou","given":"Guangyou","non-dropping-particle":"","parse-names":false,"suffix":""},{"dropping-particle":"","family":"Sun","given":"Yongkun","non-dropping-particle":"","parse-names":false,"suffix":""},{"dropping-particle":"","family":"Luo","given":"Sumei","non-dropping-particle":"","parse-names":false,"suffix":""},{"dropping-particle":"","family":"Liao","given":"Jiayi","non-dropping-particle":"","parse-names":false,"suffix":""}],"container-title":"Energy Economics","id":"ITEM-1","issued":{"date-parts":[["2021"]]},"page":"105190","publisher":"The Authors","title":"Corporate Social Responsibility and Bank Financial Performance in China: The Moderating Role of Green Credit","type":"article-journal","volume":"97"},"uris":["http://www.mendeley.com/documents/?uuid=66f7a36d-2979-415b-98d1-7d3dd54b306b"]}],"mendeley":{"formattedCitation":"(Guangyou Zhou et al., 2021)","manualFormatting":"(2021)","plainTextFormattedCitation":"(Guangyou Zhou et al., 2021)","previouslyFormattedCitation":"(G. Zhou et al., 2021)"},"properties":{"noteIndex":0},"schema":"https://github.com/citation-style-language/schema/raw/master/csl-citation.json"}</w:instrText>
      </w:r>
      <w:r w:rsidRPr="00EF6C97">
        <w:rPr>
          <w:rFonts w:ascii="Arial" w:hAnsi="Arial" w:cs="Arial"/>
          <w:color w:val="000000" w:themeColor="text1"/>
        </w:rPr>
        <w:fldChar w:fldCharType="separate"/>
      </w:r>
      <w:r w:rsidRPr="00EF6C97">
        <w:rPr>
          <w:rFonts w:ascii="Arial" w:hAnsi="Arial" w:cs="Arial"/>
          <w:noProof/>
          <w:color w:val="000000" w:themeColor="text1"/>
        </w:rPr>
        <w:t>(2021)</w:t>
      </w:r>
      <w:r w:rsidRPr="00EF6C97">
        <w:rPr>
          <w:rFonts w:ascii="Arial" w:hAnsi="Arial" w:cs="Arial"/>
          <w:color w:val="000000" w:themeColor="text1"/>
        </w:rPr>
        <w:fldChar w:fldCharType="end"/>
      </w:r>
      <w:r w:rsidRPr="00EF6C97">
        <w:rPr>
          <w:rFonts w:ascii="Arial" w:hAnsi="Arial" w:cs="Arial"/>
          <w:color w:val="000000" w:themeColor="text1"/>
          <w:lang w:val="en-ID" w:eastAsia="en-ID"/>
        </w:rPr>
        <w:t xml:space="preserve">, who found a positive influence of green credit on both ROA and ROE. Research by </w:t>
      </w:r>
      <w:r w:rsidRPr="00EF6C97">
        <w:rPr>
          <w:rFonts w:ascii="Arial" w:hAnsi="Arial" w:cs="Arial"/>
          <w:noProof/>
          <w:color w:val="000000" w:themeColor="text1"/>
        </w:rPr>
        <w:t>Rahaman et al.,</w:t>
      </w:r>
      <w:r w:rsidRPr="00EF6C97">
        <w:rPr>
          <w:rFonts w:ascii="Arial" w:hAnsi="Arial" w:cs="Arial"/>
          <w:color w:val="000000" w:themeColor="text1"/>
        </w:rPr>
        <w:fldChar w:fldCharType="begin" w:fldLock="1"/>
      </w:r>
      <w:r w:rsidRPr="00EF6C97">
        <w:rPr>
          <w:rFonts w:ascii="Arial" w:hAnsi="Arial" w:cs="Arial"/>
          <w:color w:val="000000" w:themeColor="text1"/>
        </w:rPr>
        <w:instrText>ADDIN CSL_CITATION {"citationItems":[{"id":"ITEM-1","itemData":{"author":[{"dropping-particle":"","family":"Rahaman","given":"M Mizenur","non-dropping-particle":"","parse-names":false,"suffix":""},{"dropping-particle":"","family":"Hoque","given":"M shahidul","non-dropping-particle":"","parse-names":false,"suffix":""},{"dropping-particle":"","family":"Roy","given":"Mrinmay","non-dropping-particle":"","parse-names":false,"suffix":""}],"container-title":"Metropolitan University Journal","id":"ITEM-1","issue":"1","issued":{"date-parts":[["2018"]]},"page":"42-56","title":"Green Financing and Its Impact on Profitability of the Banks: An Empirical Study on Banking Sector of Bangladesh","type":"article-journal","volume":"6"},"uris":["http://www.mendeley.com/documents/?uuid=ebbd60f1-0395-4054-b890-f4ea7389e2fc"]}],"mendeley":{"formattedCitation":"(Rahaman, Hoque, &amp; Roy, 2018)","manualFormatting":"(2018)","plainTextFormattedCitation":"(Rahaman, Hoque, &amp; Roy, 2018)","previouslyFormattedCitation":"(Rahaman et al., 2018)"},"properties":{"noteIndex":0},"schema":"https://github.com/citation-style-language/schema/raw/master/csl-citation.json"}</w:instrText>
      </w:r>
      <w:r w:rsidRPr="00EF6C97">
        <w:rPr>
          <w:rFonts w:ascii="Arial" w:hAnsi="Arial" w:cs="Arial"/>
          <w:color w:val="000000" w:themeColor="text1"/>
        </w:rPr>
        <w:fldChar w:fldCharType="separate"/>
      </w:r>
      <w:r w:rsidRPr="00EF6C97">
        <w:rPr>
          <w:rFonts w:ascii="Arial" w:hAnsi="Arial" w:cs="Arial"/>
          <w:noProof/>
          <w:color w:val="000000" w:themeColor="text1"/>
        </w:rPr>
        <w:t>(2018)</w:t>
      </w:r>
      <w:r w:rsidRPr="00EF6C97">
        <w:rPr>
          <w:rFonts w:ascii="Arial" w:hAnsi="Arial" w:cs="Arial"/>
          <w:color w:val="000000" w:themeColor="text1"/>
        </w:rPr>
        <w:fldChar w:fldCharType="end"/>
      </w:r>
      <w:r w:rsidRPr="00EF6C97">
        <w:rPr>
          <w:rFonts w:ascii="Arial" w:hAnsi="Arial" w:cs="Arial"/>
          <w:color w:val="000000" w:themeColor="text1"/>
        </w:rPr>
        <w:t xml:space="preserve"> </w:t>
      </w:r>
      <w:r w:rsidRPr="00EF6C97">
        <w:rPr>
          <w:rFonts w:ascii="Arial" w:hAnsi="Arial" w:cs="Arial"/>
          <w:color w:val="000000" w:themeColor="text1"/>
          <w:lang w:val="en-ID" w:eastAsia="en-ID"/>
        </w:rPr>
        <w:t xml:space="preserve">suggests that green finance can have a positive effect on ROI. Similarly, the study by </w:t>
      </w:r>
      <w:r w:rsidRPr="00EF6C97">
        <w:rPr>
          <w:rFonts w:ascii="Arial" w:hAnsi="Arial" w:cs="Arial"/>
          <w:noProof/>
          <w:color w:val="000000" w:themeColor="text1"/>
        </w:rPr>
        <w:t xml:space="preserve">Julia &amp; Kassim, </w:t>
      </w:r>
      <w:r w:rsidRPr="00EF6C97">
        <w:rPr>
          <w:rFonts w:ascii="Arial" w:hAnsi="Arial" w:cs="Arial"/>
          <w:color w:val="000000" w:themeColor="text1"/>
        </w:rPr>
        <w:fldChar w:fldCharType="begin" w:fldLock="1"/>
      </w:r>
      <w:r w:rsidRPr="00EF6C97">
        <w:rPr>
          <w:rFonts w:ascii="Arial" w:hAnsi="Arial" w:cs="Arial"/>
          <w:color w:val="000000" w:themeColor="text1"/>
        </w:rPr>
        <w:instrText>ADDIN CSL_CITATION {"citationItems":[{"id":"ITEM-1","itemData":{"author":[{"dropping-particle":"","family":"Julia","given":"Taslima","non-dropping-particle":"","parse-names":false,"suffix":""},{"dropping-particle":"","family":"Kassim","given":"Salina","non-dropping-particle":"","parse-names":false,"suffix":""}],"container-title":"International Journal of Marketing, Financial Services and Management Research","id":"ITEM-1","issue":"1","issued":{"date-parts":[["2016"]]},"page":"307-311","title":"Green Financing and Bank Profitability: Empirical Evidence From The Banking Sector in Bangladesh","type":"article-journal","volume":"2"},"uris":["http://www.mendeley.com/documents/?uuid=790a1c27-eaf9-474e-84f5-0c7f6bf70dd5"]}],"mendeley":{"formattedCitation":"(Julia &amp; Kassim, 2016)","manualFormatting":"(2016)","plainTextFormattedCitation":"(Julia &amp; Kassim, 2016)","previouslyFormattedCitation":"(Julia &amp; Kassim, 2016)"},"properties":{"noteIndex":0},"schema":"https://github.com/citation-style-language/schema/raw/master/csl-citation.json"}</w:instrText>
      </w:r>
      <w:r w:rsidRPr="00EF6C97">
        <w:rPr>
          <w:rFonts w:ascii="Arial" w:hAnsi="Arial" w:cs="Arial"/>
          <w:color w:val="000000" w:themeColor="text1"/>
        </w:rPr>
        <w:fldChar w:fldCharType="separate"/>
      </w:r>
      <w:r w:rsidRPr="00EF6C97">
        <w:rPr>
          <w:rFonts w:ascii="Arial" w:hAnsi="Arial" w:cs="Arial"/>
          <w:noProof/>
          <w:color w:val="000000" w:themeColor="text1"/>
        </w:rPr>
        <w:t>(2016)</w:t>
      </w:r>
      <w:r w:rsidRPr="00EF6C97">
        <w:rPr>
          <w:rFonts w:ascii="Arial" w:hAnsi="Arial" w:cs="Arial"/>
          <w:color w:val="000000" w:themeColor="text1"/>
        </w:rPr>
        <w:fldChar w:fldCharType="end"/>
      </w:r>
      <w:r w:rsidRPr="00EF6C97">
        <w:rPr>
          <w:rFonts w:ascii="Arial" w:hAnsi="Arial" w:cs="Arial"/>
          <w:color w:val="000000" w:themeColor="text1"/>
          <w:lang w:val="en-ID" w:eastAsia="en-ID"/>
        </w:rPr>
        <w:t xml:space="preserve"> confirms that green financing has a significantly positive impact on ROA. </w:t>
      </w:r>
      <w:r w:rsidRPr="00EF6C97">
        <w:rPr>
          <w:rFonts w:ascii="Arial" w:hAnsi="Arial" w:cs="Arial"/>
          <w:noProof/>
          <w:color w:val="000000" w:themeColor="text1"/>
        </w:rPr>
        <w:t>Zhang</w:t>
      </w:r>
      <w:r w:rsidRPr="00EF6C97">
        <w:rPr>
          <w:rFonts w:ascii="Arial" w:hAnsi="Arial" w:cs="Arial"/>
          <w:color w:val="000000" w:themeColor="text1"/>
        </w:rPr>
        <w:t xml:space="preserve"> </w:t>
      </w:r>
      <w:r w:rsidRPr="00EF6C97">
        <w:rPr>
          <w:rFonts w:ascii="Arial" w:hAnsi="Arial" w:cs="Arial"/>
          <w:color w:val="000000" w:themeColor="text1"/>
        </w:rPr>
        <w:fldChar w:fldCharType="begin" w:fldLock="1"/>
      </w:r>
      <w:r w:rsidRPr="00EF6C97">
        <w:rPr>
          <w:rFonts w:ascii="Arial" w:hAnsi="Arial" w:cs="Arial"/>
          <w:color w:val="000000" w:themeColor="text1"/>
        </w:rPr>
        <w:instrText>ADDIN CSL_CITATION {"citationItems":[{"id":"ITEM-1","itemData":{"DOI":"10.2991/meess-18.2018.56","abstract":"Green environmental protection is an important means to realize the economic sustainable development in recent years. The green financial wind is quietly rising. To carry out the green credit will become the focus of the credit business development in future. This study uses the financial data of Industrial Bank from 2005 to 2017, empirically testing the impact of commercial bank green credit on financial performance by analyzing the return on assets. The conclusion shows that green credit has a positive impact on bank's financial performance, providing a basis for the continued development of green credit. In view of the fact that the current products of this business are not rich enough and the management system is not perfect, this study puts forward two reasonable suggestions: innovative green credit products to meet market demand; improve the internal organization structure of banks and the level of green credit management.","author":[{"dropping-particle":"","family":"Zhang","given":"Yue","non-dropping-particle":"","parse-names":false,"suffix":""}],"container-title":"Atlantis Press","id":"ITEM-1","issue":"May 2006","issued":{"date-parts":[["2018"]]},"page":"295-300","title":"Green Credit Rises the Financial Performance of Commercial Bank--A Case Study on Industrial Bank","type":"article-journal","volume":"236"},"uris":["http://www.mendeley.com/documents/?uuid=8bd67050-ccaf-48e3-bddf-d70f25973cd4"]}],"mendeley":{"formattedCitation":"(Zhang, 2018)","manualFormatting":"(2018)","plainTextFormattedCitation":"(Zhang, 2018)","previouslyFormattedCitation":"(Y. Zhang, 2018)"},"properties":{"noteIndex":0},"schema":"https://github.com/citation-style-language/schema/raw/master/csl-citation.json"}</w:instrText>
      </w:r>
      <w:r w:rsidRPr="00EF6C97">
        <w:rPr>
          <w:rFonts w:ascii="Arial" w:hAnsi="Arial" w:cs="Arial"/>
          <w:color w:val="000000" w:themeColor="text1"/>
        </w:rPr>
        <w:fldChar w:fldCharType="separate"/>
      </w:r>
      <w:r w:rsidRPr="00EF6C97">
        <w:rPr>
          <w:rFonts w:ascii="Arial" w:hAnsi="Arial" w:cs="Arial"/>
          <w:noProof/>
          <w:color w:val="000000" w:themeColor="text1"/>
        </w:rPr>
        <w:t>(2018)</w:t>
      </w:r>
      <w:r w:rsidRPr="00EF6C97">
        <w:rPr>
          <w:rFonts w:ascii="Arial" w:hAnsi="Arial" w:cs="Arial"/>
          <w:color w:val="000000" w:themeColor="text1"/>
        </w:rPr>
        <w:fldChar w:fldCharType="end"/>
      </w:r>
      <w:r w:rsidRPr="00EF6C97">
        <w:rPr>
          <w:rFonts w:ascii="Arial" w:hAnsi="Arial" w:cs="Arial"/>
          <w:color w:val="000000" w:themeColor="text1"/>
          <w:lang w:val="en-ID" w:eastAsia="en-ID"/>
        </w:rPr>
        <w:t xml:space="preserve">also noted a positive impact of green credit on financial performance, especially ROA. </w:t>
      </w:r>
      <w:r w:rsidRPr="00EF6C97">
        <w:rPr>
          <w:rFonts w:ascii="Arial" w:hAnsi="Arial" w:cs="Arial"/>
          <w:noProof/>
          <w:color w:val="000000" w:themeColor="text1"/>
        </w:rPr>
        <w:t>Astari et al.,</w:t>
      </w:r>
      <w:r w:rsidRPr="00EF6C97">
        <w:rPr>
          <w:rFonts w:ascii="Arial" w:eastAsia="Calibri" w:hAnsi="Arial" w:cs="Arial"/>
          <w:color w:val="000000" w:themeColor="text1"/>
        </w:rPr>
        <w:t xml:space="preserve"> </w:t>
      </w:r>
      <w:r w:rsidRPr="00EF6C97">
        <w:rPr>
          <w:rFonts w:ascii="Arial" w:hAnsi="Arial" w:cs="Arial"/>
          <w:color w:val="000000" w:themeColor="text1"/>
        </w:rPr>
        <w:fldChar w:fldCharType="begin" w:fldLock="1"/>
      </w:r>
      <w:r w:rsidRPr="00EF6C97">
        <w:rPr>
          <w:rFonts w:ascii="Arial" w:hAnsi="Arial" w:cs="Arial"/>
          <w:color w:val="000000" w:themeColor="text1"/>
        </w:rPr>
        <w:instrText>ADDIN CSL_CITATION {"citationItems":[{"id":"ITEM-1","itemData":{"DOI":"10.1051/e3sconf/202342602024","ISSN":"22671242","abstract":"The industry must deal with environmental issues by implementing green accounting and disclosure of sustainability reports. This study aimed to determine the effect of implementing green accounting and disclosure of sustainability reports on firm value. The research was conducted in Indonesia Manufacturing companies with an observation period of 2019-2021. The data analysis technique used is Multiple Linear Regression Analysis. The study results show that applying green accounting has a positive effect on firm value, and disclosure of sustainability reports has a negative effect on firm value. The application of green accounting can significantly increase the company's value. However, the disclosure of the sustainability report shows a negative result because the company continues to improve its sustainability reports, but the increase is not in line with firm value.","author":[{"dropping-particle":"","family":"Astari","given":"Tri Ayu","non-dropping-particle":"","parse-names":false,"suffix":""},{"dropping-particle":"","family":"Laurens","given":"Sebastianus","non-dropping-particle":"","parse-names":false,"suffix":""},{"dropping-particle":"","family":"Wicaksono","given":"Aries","non-dropping-particle":"","parse-names":false,"suffix":""},{"dropping-particle":"","family":"Sujarminto","given":"Aditya","non-dropping-particle":"","parse-names":false,"suffix":""}],"container-title":"E3S Web of Conferences","id":"ITEM-1","issued":{"date-parts":[["2023"]]},"title":"Green Accounting and Disclosure of Sustainability Report on Firm Values in Indonesia","type":"article-journal","volume":"426"},"uris":["http://www.mendeley.com/documents/?uuid=5fcdea64-b814-42d7-a74c-70b1f51d2157"]}],"mendeley":{"formattedCitation":"(Astari et al., 2023)","manualFormatting":"(2023)","plainTextFormattedCitation":"(Astari et al., 2023)","previouslyFormattedCitation":"(Astari et al., 2023)"},"properties":{"noteIndex":0},"schema":"https://github.com/citation-style-language/schema/raw/master/csl-citation.json"}</w:instrText>
      </w:r>
      <w:r w:rsidRPr="00EF6C97">
        <w:rPr>
          <w:rFonts w:ascii="Arial" w:hAnsi="Arial" w:cs="Arial"/>
          <w:color w:val="000000" w:themeColor="text1"/>
        </w:rPr>
        <w:fldChar w:fldCharType="separate"/>
      </w:r>
      <w:r w:rsidRPr="00EF6C97">
        <w:rPr>
          <w:rFonts w:ascii="Arial" w:hAnsi="Arial" w:cs="Arial"/>
          <w:noProof/>
          <w:color w:val="000000" w:themeColor="text1"/>
        </w:rPr>
        <w:t>(2023)</w:t>
      </w:r>
      <w:r w:rsidRPr="00EF6C97">
        <w:rPr>
          <w:rFonts w:ascii="Arial" w:hAnsi="Arial" w:cs="Arial"/>
          <w:color w:val="000000" w:themeColor="text1"/>
        </w:rPr>
        <w:fldChar w:fldCharType="end"/>
      </w:r>
      <w:r w:rsidRPr="00EF6C97">
        <w:rPr>
          <w:rFonts w:ascii="Arial" w:hAnsi="Arial" w:cs="Arial"/>
          <w:color w:val="000000" w:themeColor="text1"/>
        </w:rPr>
        <w:t xml:space="preserve"> </w:t>
      </w:r>
      <w:r w:rsidRPr="00EF6C97">
        <w:rPr>
          <w:rFonts w:ascii="Arial" w:hAnsi="Arial" w:cs="Arial"/>
          <w:color w:val="000000" w:themeColor="text1"/>
          <w:lang w:val="en-ID" w:eastAsia="en-ID"/>
        </w:rPr>
        <w:t xml:space="preserve">found that the green accounting index has a significant positive influence on Tobin’s Q. </w:t>
      </w:r>
      <w:r w:rsidRPr="00EF6C97">
        <w:rPr>
          <w:rFonts w:ascii="Arial" w:hAnsi="Arial" w:cs="Arial"/>
          <w:iCs/>
          <w:noProof/>
          <w:color w:val="000000" w:themeColor="text1"/>
        </w:rPr>
        <w:t xml:space="preserve">Yasmin &amp; Akhter </w:t>
      </w:r>
      <w:r w:rsidRPr="00EF6C97">
        <w:rPr>
          <w:rFonts w:ascii="Arial" w:hAnsi="Arial" w:cs="Arial"/>
          <w:iCs/>
          <w:color w:val="000000" w:themeColor="text1"/>
        </w:rPr>
        <w:fldChar w:fldCharType="begin" w:fldLock="1"/>
      </w:r>
      <w:r w:rsidRPr="00EF6C97">
        <w:rPr>
          <w:rFonts w:ascii="Arial" w:hAnsi="Arial" w:cs="Arial"/>
          <w:iCs/>
          <w:color w:val="000000" w:themeColor="text1"/>
        </w:rPr>
        <w:instrText>ADDIN CSL_CITATION {"citationItems":[{"id":"ITEM-1","itemData":{"ISSN":"2289-1552","abstract":"Green financing has emerged as a way to promote sustainable economic growth. Due to rising awareness about green finance and national commitments toward the sustainable development goals financial institutions across the world are encouraged in green lending or green credit. Governments and central banks in both developed and developing economies have formulated policies and regulations to promote green financing. Time series data of green credit ratio (GCR) reveal that the banks and other financial institutions of Bangladesh are gradually up-taking the green financing. Literature suggest that green credit have significant positive impact on bank profitability. However, all banks are not progressing at comparable pace in disbursing green credit. Moreover, ups and downs are observed in green lending. The eminent research question is therefore, what are the determinants of green credit? How do these determinants affect green lending? And how does green credit affect bank performance? This research investigates the determinants of green credit and their impact on the former. The research also analyzes the influence of green credit on bank performance. Variables of the study are identified by reviewing relevant literature. The hypotheses are tested using empirical data over the period of 2016 to 2018 from 20 commercial banks listed in Dhaka Stock Exchange. Data are collected from audited annual reports of the banks. Besides simple descriptive statistics, independent sample t-test and regression analysis are used to analyze data. Results indicated that green credit is a function of bank type, return on equity and financial stability. There is a cyclical relation of green credit with profitability and financial stability. In one hand, more profitable and financially stable banks disburse more green credit. In the other hand, banks disbursing more green credit turns out to be more profitable and financially stable. The relationship between green credit and other variables considered in the study namely the loan to deposit ratio and bank size were not statistically significant. The findings of the study provide evidence about the influence of green credit on financial performance and financial stability of banks. Such evidence is crucial for bankers and central bank authority to promote green lending further. However, due to limited data availability the results of the study may not be generalizable. Through this research, the researchers are raising the issue …","author":[{"dropping-particle":"","family":"Yasmin","given":"Shakila","non-dropping-particle":"","parse-names":false,"suffix":""},{"dropping-particle":"","family":"Akhter","given":"Ireen","non-dropping-particle":"","parse-names":false,"suffix":""}],"container-title":"International Journal of Business, Economics and Law","id":"ITEM-1","issue":"2","issued":{"date-parts":[["2021"]]},"page":"31-41","title":"Determinants of Green Credit and Its Influence on Bank Performance in Bangladesh","type":"article-journal","volume":"25"},"uris":["http://www.mendeley.com/documents/?uuid=5bd0c921-1796-40be-beab-516c0e6ed906"]}],"mendeley":{"formattedCitation":"(Yasmin &amp; Akhter, 2021)","manualFormatting":"(2021)","plainTextFormattedCitation":"(Yasmin &amp; Akhter, 2021)","previouslyFormattedCitation":"(Yasmin &amp; Akhter, 2021)"},"properties":{"noteIndex":0},"schema":"https://github.com/citation-style-language/schema/raw/master/csl-citation.json"}</w:instrText>
      </w:r>
      <w:r w:rsidRPr="00EF6C97">
        <w:rPr>
          <w:rFonts w:ascii="Arial" w:hAnsi="Arial" w:cs="Arial"/>
          <w:iCs/>
          <w:color w:val="000000" w:themeColor="text1"/>
        </w:rPr>
        <w:fldChar w:fldCharType="separate"/>
      </w:r>
      <w:r w:rsidRPr="00EF6C97">
        <w:rPr>
          <w:rFonts w:ascii="Arial" w:hAnsi="Arial" w:cs="Arial"/>
          <w:iCs/>
          <w:noProof/>
          <w:color w:val="000000" w:themeColor="text1"/>
        </w:rPr>
        <w:t>(2021)</w:t>
      </w:r>
      <w:r w:rsidRPr="00EF6C97">
        <w:rPr>
          <w:rFonts w:ascii="Arial" w:hAnsi="Arial" w:cs="Arial"/>
          <w:iCs/>
          <w:color w:val="000000" w:themeColor="text1"/>
        </w:rPr>
        <w:fldChar w:fldCharType="end"/>
      </w:r>
      <w:r w:rsidRPr="00EF6C97">
        <w:rPr>
          <w:rFonts w:ascii="Arial" w:hAnsi="Arial" w:cs="Arial"/>
          <w:iCs/>
          <w:color w:val="000000" w:themeColor="text1"/>
        </w:rPr>
        <w:t xml:space="preserve"> </w:t>
      </w:r>
      <w:r w:rsidRPr="00EF6C97">
        <w:rPr>
          <w:rFonts w:ascii="Arial" w:hAnsi="Arial" w:cs="Arial"/>
          <w:color w:val="000000" w:themeColor="text1"/>
          <w:lang w:val="en-ID" w:eastAsia="en-ID"/>
        </w:rPr>
        <w:t xml:space="preserve">discovered that green credit, as measured by the Green Credit to Total Loan (GCTL) ratio and Green Credit to Total Asset (GCTA) ratio, has a significant positive relationship with profitability (ROE) and financial stability (Z-score) in Bangladesh. Julia &amp; Kassim (2016) also confirmed that green financing is significantly positively related to ROA. These findings reflect a direct relationship between green credit and bank performance, and the results are consistent with studies from countries with relatively mature green credit implementation, such as China. A high proportion of green credit has a positive effect on bank profitability due to strong regulatory support and government incentives in China that mitigate credit risk. The study </w:t>
      </w:r>
      <w:r w:rsidRPr="00EF6C97">
        <w:rPr>
          <w:rFonts w:ascii="Arial" w:hAnsi="Arial" w:cs="Arial"/>
          <w:i/>
          <w:iCs/>
          <w:color w:val="000000" w:themeColor="text1"/>
          <w:lang w:val="en-ID" w:eastAsia="en-ID"/>
        </w:rPr>
        <w:t>Green Finance Regulation in China</w:t>
      </w:r>
      <w:r w:rsidRPr="00EF6C97">
        <w:rPr>
          <w:rFonts w:ascii="Arial" w:hAnsi="Arial" w:cs="Arial"/>
          <w:color w:val="000000" w:themeColor="text1"/>
          <w:lang w:val="en-ID" w:eastAsia="en-ID"/>
        </w:rPr>
        <w:t xml:space="preserve"> (2024) explains that the China Banking Regulatory Commission (CBRC) issued Green Credit Guidelines in 2012. In 2022, the China Banking and Insurance Regulatory Commission (CBIRC), now known as the NFRA, issued Green Finance Guidelines for the Banking and Insurance Sectors, building upon the earlier Green Credit Guidelines. This reflects a global trend especially in China where regulatory and policy support has created a conducive ecosystem for green finance. In the future, this trend is expected to strengthen as awareness of climate risks and the importance of sustainability in the financial sector continues to grow.</w:t>
      </w:r>
    </w:p>
    <w:p w14:paraId="7880EF4D" w14:textId="6A4BF446" w:rsidR="00495A57" w:rsidRPr="00BA473C" w:rsidRDefault="00BA473C" w:rsidP="00EF6C97">
      <w:pPr>
        <w:pStyle w:val="BodyText"/>
        <w:adjustRightInd w:val="0"/>
        <w:snapToGrid w:val="0"/>
        <w:spacing w:before="240" w:after="0"/>
        <w:jc w:val="both"/>
        <w:rPr>
          <w:rFonts w:ascii="Arial" w:hAnsi="Arial" w:cs="Arial"/>
          <w:b/>
          <w:bCs/>
          <w:i/>
          <w:iCs/>
          <w:color w:val="000000" w:themeColor="text1"/>
          <w:lang w:val="en-ID" w:eastAsia="en-ID"/>
        </w:rPr>
      </w:pPr>
      <w:r>
        <w:rPr>
          <w:rFonts w:ascii="Arial" w:hAnsi="Arial" w:cs="Arial"/>
          <w:b/>
          <w:bCs/>
          <w:iCs/>
          <w:color w:val="000000" w:themeColor="text1"/>
          <w:lang w:val="en-ID" w:eastAsia="en-ID"/>
        </w:rPr>
        <w:t xml:space="preserve">3.2.2 </w:t>
      </w:r>
      <w:r w:rsidR="00495A57" w:rsidRPr="00BA473C">
        <w:rPr>
          <w:rFonts w:ascii="Arial" w:hAnsi="Arial" w:cs="Arial"/>
          <w:b/>
          <w:bCs/>
          <w:iCs/>
          <w:color w:val="000000" w:themeColor="text1"/>
          <w:lang w:val="en-ID" w:eastAsia="en-ID"/>
        </w:rPr>
        <w:t>Green CSR and Bank Performance</w:t>
      </w:r>
    </w:p>
    <w:p w14:paraId="056967D2" w14:textId="77777777" w:rsidR="00495A57" w:rsidRPr="00EF6C97" w:rsidRDefault="00495A57" w:rsidP="00EF6C97">
      <w:pPr>
        <w:pStyle w:val="BodyText"/>
        <w:adjustRightInd w:val="0"/>
        <w:snapToGrid w:val="0"/>
        <w:spacing w:before="240" w:after="0"/>
        <w:jc w:val="both"/>
        <w:rPr>
          <w:rFonts w:ascii="Arial" w:hAnsi="Arial" w:cs="Arial"/>
          <w:i/>
          <w:iCs/>
          <w:color w:val="FF0000"/>
          <w:lang w:val="en-ID" w:eastAsia="en-ID"/>
        </w:rPr>
      </w:pPr>
      <w:r w:rsidRPr="00EF6C97">
        <w:rPr>
          <w:rFonts w:ascii="Arial" w:hAnsi="Arial" w:cs="Arial"/>
          <w:iCs/>
          <w:color w:val="000000" w:themeColor="text1"/>
          <w:lang w:val="en-ID" w:eastAsia="en-ID"/>
        </w:rPr>
        <w:lastRenderedPageBreak/>
        <w:t xml:space="preserve">The analysis of the research results shows that CSR does not have a significant effect on bank performance, either without moderation or with moderation. This may be because CSR is a long-term investment, and thus the outcomes are not visible in the short term. In the short term, CSR investment is considered a financial burden that banks must bear </w:t>
      </w:r>
      <w:r w:rsidRPr="00EF6C97">
        <w:rPr>
          <w:rFonts w:ascii="Arial" w:hAnsi="Arial" w:cs="Arial"/>
          <w:iCs/>
          <w:noProof/>
          <w:color w:val="000000" w:themeColor="text1"/>
        </w:rPr>
        <w:t xml:space="preserve">Guo et al </w:t>
      </w:r>
      <w:r w:rsidRPr="00EF6C97">
        <w:rPr>
          <w:rFonts w:ascii="Arial" w:hAnsi="Arial" w:cs="Arial"/>
          <w:i/>
          <w:iCs/>
          <w:color w:val="000000" w:themeColor="text1"/>
        </w:rPr>
        <w:fldChar w:fldCharType="begin" w:fldLock="1"/>
      </w:r>
      <w:r w:rsidRPr="00EF6C97">
        <w:rPr>
          <w:rFonts w:ascii="Arial" w:hAnsi="Arial" w:cs="Arial"/>
          <w:iCs/>
          <w:color w:val="000000" w:themeColor="text1"/>
        </w:rPr>
        <w:instrText>ADDIN CSL_CITATION {"citationItems":[{"id":"ITEM-1","itemData":{"DOI":"10.3390/su12208452","ISSN":"20711050","abstract":"Despite the significance of corporate social responsibility (CSR), there remains an extensive debate regarding its implications for firm value. This study examines the moderating effects of financial flexibility and R&amp;D investment on CSR and firm value. Using multiple archival data of 2311 companies from 2010 to 2016, our study finds that CSR is a “double-edged sword” for firm value; specifically, CSR significantly increases systematic risk but reduces firms’ idiosyncratic risk as well as the Tobin’s q. Besides, the results indicate that financial flexibility and R&amp;D investment significantly reduce the negative correlation between CSR and Tobin’s q, the difference between the two being that financial flexibility can reduce the positive relationship between CSR and system risk, while R&amp;D spending can reduce the negative relationship between CSR and idiosyncratic risk. By adding new aspects to the discussion about how CSR affects firm value, the results speak to both theorists and practitioners.","author":[{"dropping-particle":"","family":"Guo","given":"Zhaoyang","non-dropping-particle":"","parse-names":false,"suffix":""},{"dropping-particle":"","family":"Hou","given":"Siyu","non-dropping-particle":"","parse-names":false,"suffix":""},{"dropping-particle":"","family":"Li","given":"Qingchang","non-dropping-particle":"","parse-names":false,"suffix":""}],"container-title":"Sustainability (Switzerland)","id":"ITEM-1","issue":"20","issued":{"date-parts":[["2020"]]},"page":"1-17","title":"Corporate Social Responsibility and Firm value: The moderating effects of Financial Flexibility and R&amp;D Investment","type":"article-journal","volume":"12"},"uris":["http://www.mendeley.com/documents/?uuid=cd9a0147-1715-4649-84f2-00cac353656d"]}],"mendeley":{"formattedCitation":"(Guo, Hou, &amp; Li, 2020)","manualFormatting":"(2020)","plainTextFormattedCitation":"(Guo, Hou, &amp; Li, 2020)","previouslyFormattedCitation":"(Guo et al., 2020)"},"properties":{"noteIndex":0},"schema":"https://github.com/citation-style-language/schema/raw/master/csl-citation.json"}</w:instrText>
      </w:r>
      <w:r w:rsidRPr="00EF6C97">
        <w:rPr>
          <w:rFonts w:ascii="Arial" w:hAnsi="Arial" w:cs="Arial"/>
          <w:i/>
          <w:iCs/>
          <w:color w:val="000000" w:themeColor="text1"/>
        </w:rPr>
        <w:fldChar w:fldCharType="separate"/>
      </w:r>
      <w:r w:rsidRPr="00EF6C97">
        <w:rPr>
          <w:rFonts w:ascii="Arial" w:hAnsi="Arial" w:cs="Arial"/>
          <w:iCs/>
          <w:noProof/>
          <w:color w:val="000000" w:themeColor="text1"/>
        </w:rPr>
        <w:t>(2020)</w:t>
      </w:r>
      <w:r w:rsidRPr="00EF6C97">
        <w:rPr>
          <w:rFonts w:ascii="Arial" w:hAnsi="Arial" w:cs="Arial"/>
          <w:i/>
          <w:iCs/>
          <w:color w:val="000000" w:themeColor="text1"/>
        </w:rPr>
        <w:fldChar w:fldCharType="end"/>
      </w:r>
      <w:r w:rsidRPr="00EF6C97">
        <w:rPr>
          <w:rFonts w:ascii="Arial" w:hAnsi="Arial" w:cs="Arial"/>
          <w:iCs/>
          <w:color w:val="000000" w:themeColor="text1"/>
        </w:rPr>
        <w:t xml:space="preserve"> and </w:t>
      </w:r>
      <w:r w:rsidRPr="00EF6C97">
        <w:rPr>
          <w:rFonts w:ascii="Arial" w:hAnsi="Arial" w:cs="Arial"/>
          <w:iCs/>
          <w:noProof/>
          <w:color w:val="000000" w:themeColor="text1"/>
        </w:rPr>
        <w:t xml:space="preserve">G. Zhou et al </w:t>
      </w:r>
      <w:r w:rsidRPr="00EF6C97">
        <w:rPr>
          <w:rFonts w:ascii="Arial" w:hAnsi="Arial" w:cs="Arial"/>
          <w:iCs/>
          <w:color w:val="000000" w:themeColor="text1"/>
        </w:rPr>
        <w:t xml:space="preserve"> </w:t>
      </w:r>
      <w:r w:rsidRPr="00EF6C97">
        <w:rPr>
          <w:rFonts w:ascii="Arial" w:hAnsi="Arial" w:cs="Arial"/>
          <w:i/>
          <w:iCs/>
          <w:color w:val="000000" w:themeColor="text1"/>
        </w:rPr>
        <w:fldChar w:fldCharType="begin" w:fldLock="1"/>
      </w:r>
      <w:r w:rsidRPr="00EF6C97">
        <w:rPr>
          <w:rFonts w:ascii="Arial" w:hAnsi="Arial" w:cs="Arial"/>
          <w:iCs/>
          <w:color w:val="000000" w:themeColor="text1"/>
        </w:rPr>
        <w:instrText>ADDIN CSL_CITATION {"citationItems":[{"id":"ITEM-1","itemData":{"DOI":"10.1016/j.eneco.2021.105190","ISSN":"01409883","abstract":"Most of the existing studies have ignored the moderating role of green credit in the relationship between corporate social responsibility (CSR) and bank financial performance. Using the data of listed banks in China from 2008 to 2018, this paper investigates the impact of CSR on bank financial performance. Moreover, we document the mediating effect of green credit on their relationship. The results show that CSR would make a negative impact on bank financial performance in the short term. However, this relationship turns out to be positive in the long run. Besides that, green credit does play an important role in this relationship. Furthermore, we do a series of heterogeneity tests. Our conclusion would be useful both to the following researchers and the establishment of environmental policies.","author":[{"dropping-particle":"","family":"Zhou","given":"Guangyou","non-dropping-particle":"","parse-names":false,"suffix":""},{"dropping-particle":"","family":"Sun","given":"Yongkun","non-dropping-particle":"","parse-names":false,"suffix":""},{"dropping-particle":"","family":"Luo","given":"Sumei","non-dropping-particle":"","parse-names":false,"suffix":""},{"dropping-particle":"","family":"Liao","given":"Jiayi","non-dropping-particle":"","parse-names":false,"suffix":""}],"container-title":"Energy Economics","id":"ITEM-1","issued":{"date-parts":[["2021"]]},"page":"105190","publisher":"The Authors","title":"Corporate Social Responsibility and Bank Financial Performance in China: The Moderating Role of Green Credit","type":"article-journal","volume":"97"},"uris":["http://www.mendeley.com/documents/?uuid=66f7a36d-2979-415b-98d1-7d3dd54b306b"]}],"mendeley":{"formattedCitation":"(Guangyou Zhou et al., 2021)","manualFormatting":"( 2021)","plainTextFormattedCitation":"(Guangyou Zhou et al., 2021)","previouslyFormattedCitation":"(G. Zhou et al., 2021)"},"properties":{"noteIndex":0},"schema":"https://github.com/citation-style-language/schema/raw/master/csl-citation.json"}</w:instrText>
      </w:r>
      <w:r w:rsidRPr="00EF6C97">
        <w:rPr>
          <w:rFonts w:ascii="Arial" w:hAnsi="Arial" w:cs="Arial"/>
          <w:i/>
          <w:iCs/>
          <w:color w:val="000000" w:themeColor="text1"/>
        </w:rPr>
        <w:fldChar w:fldCharType="separate"/>
      </w:r>
      <w:r w:rsidRPr="00EF6C97">
        <w:rPr>
          <w:rFonts w:ascii="Arial" w:hAnsi="Arial" w:cs="Arial"/>
          <w:iCs/>
          <w:noProof/>
          <w:color w:val="000000" w:themeColor="text1"/>
        </w:rPr>
        <w:t>( 2021)</w:t>
      </w:r>
      <w:r w:rsidRPr="00EF6C97">
        <w:rPr>
          <w:rFonts w:ascii="Arial" w:hAnsi="Arial" w:cs="Arial"/>
          <w:i/>
          <w:iCs/>
          <w:color w:val="000000" w:themeColor="text1"/>
        </w:rPr>
        <w:fldChar w:fldCharType="end"/>
      </w:r>
      <w:r w:rsidRPr="00EF6C97">
        <w:rPr>
          <w:rFonts w:ascii="Arial" w:hAnsi="Arial" w:cs="Arial"/>
          <w:iCs/>
          <w:color w:val="000000" w:themeColor="text1"/>
          <w:lang w:val="en-ID" w:eastAsia="en-ID"/>
        </w:rPr>
        <w:t xml:space="preserve">. However, in the long run, the impact of CSR becomes more apparent through enhanced reputation, customer loyalty, and public trust, which eventually lead to increased bank value and profitability. Additionally, the lack of impact of CSR on bank performance may occur because CSR implementation is merely symbolic. Consequently, CSR communication is ineffective in reaching the public, thus failing to influence public perception in a way that builds market value. This finding is in line with </w:t>
      </w:r>
      <w:r w:rsidRPr="00EF6C97">
        <w:rPr>
          <w:rFonts w:ascii="Arial" w:hAnsi="Arial" w:cs="Arial"/>
          <w:iCs/>
          <w:noProof/>
          <w:color w:val="000000" w:themeColor="text1"/>
        </w:rPr>
        <w:t xml:space="preserve">Surroca et al </w:t>
      </w:r>
      <w:r w:rsidRPr="00EF6C97">
        <w:rPr>
          <w:rFonts w:ascii="Arial" w:hAnsi="Arial" w:cs="Arial"/>
          <w:i/>
          <w:iCs/>
          <w:color w:val="000000" w:themeColor="text1"/>
        </w:rPr>
        <w:fldChar w:fldCharType="begin" w:fldLock="1"/>
      </w:r>
      <w:r w:rsidRPr="00EF6C97">
        <w:rPr>
          <w:rFonts w:ascii="Arial" w:hAnsi="Arial" w:cs="Arial"/>
          <w:iCs/>
          <w:color w:val="000000" w:themeColor="text1"/>
        </w:rPr>
        <w:instrText>ADDIN CSL_CITATION {"citationItems":[{"id":"ITEM-1","itemData":{"DOI":"https://doi.org/10.1016/j.jclepro.2017.06.142","ISBN":"1097-0266","ISSN":"01432095","abstract":"Examining how compensation structure affects mobility and entrepreneurship decisions of employees, particularly those at the extreme ends of the performance distribution, we find that employees with high performance are less likely to leave firms with highly dispersed compensation. However, if these “high performers” do leave these employers, they are more likely to create or join new firms. Employees with lower performance are more likely to leave firms with high pay dispersion, but less likely to move to new ventures. Additionally, we show that mobility and entrepreneurship result in employees’ receiving higher compensation, regardless of their performance level.","author":[{"dropping-particle":"","family":"Surroca","given":"Jordi","non-dropping-particle":"","parse-names":false,"suffix":""},{"dropping-particle":"","family":"Trbo","given":"Josep","non-dropping-particle":"","parse-names":false,"suffix":""},{"dropping-particle":"","family":"Waddock","given":"Sandra","non-dropping-particle":"","parse-names":false,"suffix":""}],"container-title":"Strategic Management Journal","id":"ITEM-1","issue":"October","issued":{"date-parts":[["2010"]]},"page":"1-43","title":"Corporate Responsibility and Financial Performance: The Role of Intaible Resources","type":"article-journal","volume":"920"},"uris":["http://www.mendeley.com/documents/?uuid=6e188818-af2e-45b2-999f-36d17c5177c3"]}],"mendeley":{"formattedCitation":"(Surroca, Trbo, &amp; Waddock, 2010)","manualFormatting":"(2010)","plainTextFormattedCitation":"(Surroca, Trbo, &amp; Waddock, 2010)","previouslyFormattedCitation":"(Surroca et al., 2010)"},"properties":{"noteIndex":0},"schema":"https://github.com/citation-style-language/schema/raw/master/csl-citation.json"}</w:instrText>
      </w:r>
      <w:r w:rsidRPr="00EF6C97">
        <w:rPr>
          <w:rFonts w:ascii="Arial" w:hAnsi="Arial" w:cs="Arial"/>
          <w:i/>
          <w:iCs/>
          <w:color w:val="000000" w:themeColor="text1"/>
        </w:rPr>
        <w:fldChar w:fldCharType="separate"/>
      </w:r>
      <w:r w:rsidRPr="00EF6C97">
        <w:rPr>
          <w:rFonts w:ascii="Arial" w:hAnsi="Arial" w:cs="Arial"/>
          <w:iCs/>
          <w:noProof/>
          <w:color w:val="000000" w:themeColor="text1"/>
        </w:rPr>
        <w:t>(2010)</w:t>
      </w:r>
      <w:r w:rsidRPr="00EF6C97">
        <w:rPr>
          <w:rFonts w:ascii="Arial" w:hAnsi="Arial" w:cs="Arial"/>
          <w:i/>
          <w:iCs/>
          <w:color w:val="000000" w:themeColor="text1"/>
        </w:rPr>
        <w:fldChar w:fldCharType="end"/>
      </w:r>
      <w:r w:rsidRPr="00EF6C97">
        <w:rPr>
          <w:rFonts w:ascii="Arial" w:hAnsi="Arial" w:cs="Arial"/>
          <w:iCs/>
          <w:color w:val="000000" w:themeColor="text1"/>
        </w:rPr>
        <w:t xml:space="preserve"> and </w:t>
      </w:r>
      <w:r w:rsidRPr="00EF6C97">
        <w:rPr>
          <w:rFonts w:ascii="Arial" w:hAnsi="Arial" w:cs="Arial"/>
          <w:iCs/>
          <w:noProof/>
          <w:color w:val="000000" w:themeColor="text1"/>
        </w:rPr>
        <w:t xml:space="preserve">Soana </w:t>
      </w:r>
      <w:r w:rsidRPr="00EF6C97">
        <w:rPr>
          <w:rFonts w:ascii="Arial" w:hAnsi="Arial" w:cs="Arial"/>
          <w:i/>
          <w:iCs/>
          <w:color w:val="000000" w:themeColor="text1"/>
        </w:rPr>
        <w:fldChar w:fldCharType="begin" w:fldLock="1"/>
      </w:r>
      <w:r w:rsidRPr="00EF6C97">
        <w:rPr>
          <w:rFonts w:ascii="Arial" w:hAnsi="Arial" w:cs="Arial"/>
          <w:iCs/>
          <w:color w:val="000000" w:themeColor="text1"/>
        </w:rPr>
        <w:instrText>ADDIN CSL_CITATION {"citationItems":[{"id":"ITEM-1","itemData":{"DOI":"10.1007/s10551-011-0894-x","ISSN":"01674544","abstract":"ince the 1970s, many Anglo-American studies have investigated the theme of corporate social responsi- bility (CSR) and its costs and benefits. Most studies have tried to test, largely in samples of multiple industries, the relationship between corporate social performance (CSP) and corporate financial performance (CFP). These analy- ses, however, have produced conflicting results and any attempt to give a generalized and coherent conclusion has proved inadequate. This article examines the ways CSP can be proxied and investigates the possible relationship between CSP (measured by ethical rating) and CFP (measured by market and accounting ratios) in the banking sector using correlation methodology. It emerges that there is no statistically significant link between CSP and CFP.","author":[{"dropping-particle":"","family":"Soana","given":"Maria Gaia","non-dropping-particle":"","parse-names":false,"suffix":""}],"container-title":"Journal of Business Ethics","id":"ITEM-1","issue":"1","issued":{"date-parts":[["2011","11"]]},"page":"133-148","title":"The Relationship Between Corporate Social Performance and Corporate Financial Performance in the Banking Sector","type":"article-journal","volume":"104"},"uris":["http://www.mendeley.com/documents/?uuid=1af5e6ec-34d7-3651-a586-8a7e0c49917a"]}],"mendeley":{"formattedCitation":"(Soana, 2011)","manualFormatting":"(2011)","plainTextFormattedCitation":"(Soana, 2011)","previouslyFormattedCitation":"(Soana, 2011)"},"properties":{"noteIndex":0},"schema":"https://github.com/citation-style-language/schema/raw/master/csl-citation.json"}</w:instrText>
      </w:r>
      <w:r w:rsidRPr="00EF6C97">
        <w:rPr>
          <w:rFonts w:ascii="Arial" w:hAnsi="Arial" w:cs="Arial"/>
          <w:i/>
          <w:iCs/>
          <w:color w:val="000000" w:themeColor="text1"/>
        </w:rPr>
        <w:fldChar w:fldCharType="separate"/>
      </w:r>
      <w:r w:rsidRPr="00EF6C97">
        <w:rPr>
          <w:rFonts w:ascii="Arial" w:hAnsi="Arial" w:cs="Arial"/>
          <w:iCs/>
          <w:noProof/>
          <w:color w:val="000000" w:themeColor="text1"/>
        </w:rPr>
        <w:t>(2011)</w:t>
      </w:r>
      <w:r w:rsidRPr="00EF6C97">
        <w:rPr>
          <w:rFonts w:ascii="Arial" w:hAnsi="Arial" w:cs="Arial"/>
          <w:i/>
          <w:iCs/>
          <w:color w:val="000000" w:themeColor="text1"/>
        </w:rPr>
        <w:fldChar w:fldCharType="end"/>
      </w:r>
      <w:r w:rsidRPr="00EF6C97">
        <w:rPr>
          <w:rFonts w:ascii="Arial" w:hAnsi="Arial" w:cs="Arial"/>
          <w:iCs/>
          <w:color w:val="000000" w:themeColor="text1"/>
          <w:lang w:val="en-ID" w:eastAsia="en-ID"/>
        </w:rPr>
        <w:t xml:space="preserve">, who showed no significant relationship between CSR and market value. Their studies emphasize that the influence of CSR on market value or profitability is not direct but depends on mediating variables such as innovation, reputation management, and risk management. Research by </w:t>
      </w:r>
      <w:proofErr w:type="spellStart"/>
      <w:r w:rsidRPr="00EF6C97">
        <w:rPr>
          <w:rStyle w:val="Strong"/>
          <w:rFonts w:ascii="Arial" w:hAnsi="Arial" w:cs="Arial"/>
          <w:b w:val="0"/>
          <w:bCs w:val="0"/>
          <w:iCs/>
          <w:color w:val="000000" w:themeColor="text1"/>
        </w:rPr>
        <w:t>Surroca</w:t>
      </w:r>
      <w:proofErr w:type="spellEnd"/>
      <w:r w:rsidRPr="00EF6C97">
        <w:rPr>
          <w:rStyle w:val="Strong"/>
          <w:rFonts w:ascii="Arial" w:hAnsi="Arial" w:cs="Arial"/>
          <w:b w:val="0"/>
          <w:bCs w:val="0"/>
          <w:iCs/>
          <w:color w:val="000000" w:themeColor="text1"/>
        </w:rPr>
        <w:t xml:space="preserve"> et al. (2010)</w:t>
      </w:r>
      <w:r w:rsidRPr="00EF6C97">
        <w:rPr>
          <w:rFonts w:ascii="Arial" w:hAnsi="Arial" w:cs="Arial"/>
          <w:iCs/>
          <w:color w:val="000000" w:themeColor="text1"/>
        </w:rPr>
        <w:t xml:space="preserve"> and </w:t>
      </w:r>
      <w:r w:rsidRPr="00EF6C97">
        <w:rPr>
          <w:rStyle w:val="Strong"/>
          <w:rFonts w:ascii="Arial" w:hAnsi="Arial" w:cs="Arial"/>
          <w:b w:val="0"/>
          <w:bCs w:val="0"/>
          <w:iCs/>
          <w:color w:val="000000" w:themeColor="text1"/>
        </w:rPr>
        <w:t>Soana (2011)</w:t>
      </w:r>
      <w:r w:rsidRPr="00EF6C97">
        <w:rPr>
          <w:rFonts w:ascii="Arial" w:hAnsi="Arial" w:cs="Arial"/>
          <w:b/>
          <w:bCs/>
          <w:iCs/>
          <w:color w:val="000000" w:themeColor="text1"/>
        </w:rPr>
        <w:t xml:space="preserve">, </w:t>
      </w:r>
      <w:r w:rsidRPr="00EF6C97">
        <w:rPr>
          <w:rFonts w:ascii="Arial" w:hAnsi="Arial" w:cs="Arial"/>
          <w:iCs/>
          <w:color w:val="000000" w:themeColor="text1"/>
          <w:lang w:val="en-ID" w:eastAsia="en-ID"/>
        </w:rPr>
        <w:t xml:space="preserve">also indicates that CSR requires time and strategic implementation to yield financial benefits. On the other hand, empirical phenomena in ASEAN show that CSR is often symbolic and not yet integrated into the core strategies of banks. Many banks conduct CSR merely to comply or as routine programs, which have yet to consistently form a positive perception in the public mind. These results are inconsistent with </w:t>
      </w:r>
      <w:proofErr w:type="spellStart"/>
      <w:r w:rsidRPr="00EF6C97">
        <w:rPr>
          <w:rFonts w:ascii="Arial" w:hAnsi="Arial" w:cs="Arial"/>
          <w:iCs/>
          <w:color w:val="000000" w:themeColor="text1"/>
          <w:lang w:val="en-ID" w:eastAsia="en-ID"/>
        </w:rPr>
        <w:t>Signaling</w:t>
      </w:r>
      <w:proofErr w:type="spellEnd"/>
      <w:r w:rsidRPr="00EF6C97">
        <w:rPr>
          <w:rFonts w:ascii="Arial" w:hAnsi="Arial" w:cs="Arial"/>
          <w:iCs/>
          <w:color w:val="000000" w:themeColor="text1"/>
          <w:lang w:val="en-ID" w:eastAsia="en-ID"/>
        </w:rPr>
        <w:t xml:space="preserve"> Theory and Legitimacy Theory. When banks implement green CSR half-heartedly or inconsistently, it fails to become a competitive resource or a positive signal recognized consistently by the public</w:t>
      </w:r>
      <w:r w:rsidRPr="00EF6C97">
        <w:rPr>
          <w:rFonts w:ascii="Arial" w:hAnsi="Arial" w:cs="Arial"/>
          <w:iCs/>
          <w:color w:val="FF0000"/>
          <w:lang w:val="en-ID" w:eastAsia="en-ID"/>
        </w:rPr>
        <w:t>.</w:t>
      </w:r>
    </w:p>
    <w:p w14:paraId="37C086BB" w14:textId="5E8A619F" w:rsidR="00495A57" w:rsidRPr="00EF6C97" w:rsidRDefault="00EF6C97" w:rsidP="00EF6C97">
      <w:pPr>
        <w:pStyle w:val="BodyText"/>
        <w:adjustRightInd w:val="0"/>
        <w:snapToGrid w:val="0"/>
        <w:spacing w:before="240" w:after="0"/>
        <w:jc w:val="both"/>
        <w:rPr>
          <w:rFonts w:ascii="Arial" w:hAnsi="Arial" w:cs="Arial"/>
          <w:i/>
          <w:iCs/>
          <w:color w:val="000000" w:themeColor="text1"/>
          <w:lang w:val="en-ID" w:eastAsia="en-ID"/>
        </w:rPr>
      </w:pPr>
      <w:r w:rsidRPr="00EF6C97">
        <w:rPr>
          <w:rFonts w:ascii="Arial" w:hAnsi="Arial" w:cs="Arial"/>
          <w:b/>
          <w:bCs/>
          <w:iCs/>
          <w:color w:val="000000" w:themeColor="text1"/>
          <w:lang w:val="en-ID" w:eastAsia="en-ID"/>
        </w:rPr>
        <w:t xml:space="preserve">3.2.3 </w:t>
      </w:r>
      <w:r w:rsidR="00495A57" w:rsidRPr="00EF6C97">
        <w:rPr>
          <w:rFonts w:ascii="Arial" w:hAnsi="Arial" w:cs="Arial"/>
          <w:b/>
          <w:bCs/>
          <w:iCs/>
          <w:color w:val="000000" w:themeColor="text1"/>
          <w:lang w:val="en-ID" w:eastAsia="en-ID"/>
        </w:rPr>
        <w:t>Digital Financial Inclusion and Bank Performance</w:t>
      </w:r>
    </w:p>
    <w:p w14:paraId="4E7ECDA6" w14:textId="783C6ED1" w:rsidR="00790ADA" w:rsidRDefault="00495A57" w:rsidP="00BA473C">
      <w:pPr>
        <w:pStyle w:val="BodyText"/>
        <w:adjustRightInd w:val="0"/>
        <w:snapToGrid w:val="0"/>
        <w:spacing w:before="240" w:after="0"/>
        <w:jc w:val="both"/>
        <w:rPr>
          <w:rFonts w:ascii="Arial" w:hAnsi="Arial" w:cs="Arial"/>
          <w:iCs/>
        </w:rPr>
      </w:pPr>
      <w:r w:rsidRPr="00EF6C97">
        <w:rPr>
          <w:rFonts w:ascii="Arial" w:hAnsi="Arial" w:cs="Arial"/>
          <w:iCs/>
          <w:color w:val="000000" w:themeColor="text1"/>
          <w:lang w:val="en-ID" w:eastAsia="en-ID"/>
        </w:rPr>
        <w:t xml:space="preserve">The analysis of the research indicates that digital financial inclusion (DFI) does not have a negative effect on bank performance. The coefficient value of DFI is positive, supporting previous studies such as </w:t>
      </w:r>
      <w:r w:rsidRPr="00EF6C97">
        <w:rPr>
          <w:rFonts w:ascii="Arial" w:hAnsi="Arial" w:cs="Arial"/>
          <w:iCs/>
          <w:noProof/>
          <w:color w:val="000000" w:themeColor="text1"/>
        </w:rPr>
        <w:t xml:space="preserve">Ratnasari et al. </w:t>
      </w:r>
      <w:r w:rsidRPr="00EF6C97">
        <w:rPr>
          <w:rFonts w:ascii="Arial" w:hAnsi="Arial" w:cs="Arial"/>
          <w:i/>
          <w:iCs/>
          <w:color w:val="000000" w:themeColor="text1"/>
        </w:rPr>
        <w:fldChar w:fldCharType="begin" w:fldLock="1"/>
      </w:r>
      <w:r w:rsidRPr="00EF6C97">
        <w:rPr>
          <w:rFonts w:ascii="Arial" w:hAnsi="Arial" w:cs="Arial"/>
          <w:iCs/>
          <w:color w:val="000000" w:themeColor="text1"/>
        </w:rPr>
        <w:instrText>ADDIN CSL_CITATION {"citationItems":[{"id":"ITEM-1","itemData":{"DOI":"10.1108/S1571-038620210000028018","ISBN":"1571038620","author":[{"dropping-particle":"","family":"Ratnasari","given":"Tria","non-dropping-particle":"","parse-names":false,"suffix":""},{"dropping-particle":"","family":"Surwanti","given":"Arni","non-dropping-particle":"","parse-names":false,"suffix":""},{"dropping-particle":"","family":"Pribadi","given":"Firman","non-dropping-particle":"","parse-names":false,"suffix":""}],"container-title":"International Symposia in Economic Theory and Econometrics","id":"ITEM-1","issued":{"date-parts":[["2021"]]},"page":"317-329","title":"Implementation of Green Banking and Financial Performance on Commercial Banks in Indonesia","type":"article-journal","volume":"28"},"uris":["http://www.mendeley.com/documents/?uuid=af5423a5-0348-418f-a468-49405e70fdea"]}],"mendeley":{"formattedCitation":"(Ratnasari, Surwanti, &amp; Pribadi, 2021)","manualFormatting":"(2021)","plainTextFormattedCitation":"(Ratnasari, Surwanti, &amp; Pribadi, 2021)","previouslyFormattedCitation":"(Ratnasari et al., 2021)"},"properties":{"noteIndex":0},"schema":"https://github.com/citation-style-language/schema/raw/master/csl-citation.json"}</w:instrText>
      </w:r>
      <w:r w:rsidRPr="00EF6C97">
        <w:rPr>
          <w:rFonts w:ascii="Arial" w:hAnsi="Arial" w:cs="Arial"/>
          <w:i/>
          <w:iCs/>
          <w:color w:val="000000" w:themeColor="text1"/>
        </w:rPr>
        <w:fldChar w:fldCharType="separate"/>
      </w:r>
      <w:r w:rsidRPr="00EF6C97">
        <w:rPr>
          <w:rFonts w:ascii="Arial" w:hAnsi="Arial" w:cs="Arial"/>
          <w:iCs/>
          <w:noProof/>
          <w:color w:val="000000" w:themeColor="text1"/>
        </w:rPr>
        <w:t>(2021)</w:t>
      </w:r>
      <w:r w:rsidRPr="00EF6C97">
        <w:rPr>
          <w:rFonts w:ascii="Arial" w:hAnsi="Arial" w:cs="Arial"/>
          <w:i/>
          <w:iCs/>
          <w:color w:val="000000" w:themeColor="text1"/>
        </w:rPr>
        <w:fldChar w:fldCharType="end"/>
      </w:r>
      <w:r w:rsidRPr="00EF6C97">
        <w:rPr>
          <w:rFonts w:ascii="Arial" w:hAnsi="Arial" w:cs="Arial"/>
          <w:iCs/>
          <w:color w:val="000000" w:themeColor="text1"/>
        </w:rPr>
        <w:t xml:space="preserve">, </w:t>
      </w:r>
      <w:r w:rsidRPr="00EF6C97">
        <w:rPr>
          <w:rFonts w:ascii="Arial" w:hAnsi="Arial" w:cs="Arial"/>
          <w:iCs/>
          <w:noProof/>
          <w:color w:val="000000" w:themeColor="text1"/>
        </w:rPr>
        <w:t xml:space="preserve">F. H. Shihadeh et al. </w:t>
      </w:r>
      <w:r w:rsidRPr="00EF6C97">
        <w:rPr>
          <w:rFonts w:ascii="Arial" w:hAnsi="Arial" w:cs="Arial"/>
          <w:i/>
          <w:iCs/>
          <w:color w:val="000000" w:themeColor="text1"/>
        </w:rPr>
        <w:fldChar w:fldCharType="begin" w:fldLock="1"/>
      </w:r>
      <w:r w:rsidRPr="00EF6C97">
        <w:rPr>
          <w:rFonts w:ascii="Arial" w:hAnsi="Arial" w:cs="Arial"/>
          <w:iCs/>
          <w:color w:val="000000" w:themeColor="text1"/>
        </w:rPr>
        <w:instrText>ADDIN CSL_CITATION {"citationItems":[{"id":"ITEM-1","itemData":{"DOI":"10.1108/S0196-382120170000034005","author":[{"dropping-particle":"","family":"Shihadeh","given":"Fadi Hassan","non-dropping-particle":"","parse-names":false,"suffix":""},{"dropping-particle":"","family":"Hannon","given":"Azzam M T","non-dropping-particle":"","parse-names":false,"suffix":""},{"dropping-particle":"","family":"Guan","given":"Jian","non-dropping-particle":"","parse-names":false,"suffix":""},{"dropping-particle":"","family":"Haq","given":"ul Ihtisham","non-dropping-particle":"","parse-names":false,"suffix":""},{"dropping-particle":"","family":"Wang","given":"Xiuhua","non-dropping-particle":"","parse-names":false,"suffix":""}],"container-title":"Global Tensions in Financial Markets","id":"ITEM-1","issued":{"date-parts":[["2018"]]},"page":"117-138","title":"Does Financial Inclusion Improve the Banks ’ Performance ? Evidence from Jordan","type":"article-journal","volume":"34"},"uris":["http://www.mendeley.com/documents/?uuid=3a368011-ead7-44bc-ab0c-8adfa6c43ac2"]}],"mendeley":{"formattedCitation":"(Fadi Hassan Shihadeh, Hannon, Guan, Haq, &amp; Wang, 2018)","manualFormatting":"(2018)","plainTextFormattedCitation":"(Fadi Hassan Shihadeh, Hannon, Guan, Haq, &amp; Wang, 2018)","previouslyFormattedCitation":"(F. H. Shihadeh et al., 2018)"},"properties":{"noteIndex":0},"schema":"https://github.com/citation-style-language/schema/raw/master/csl-citation.json"}</w:instrText>
      </w:r>
      <w:r w:rsidRPr="00EF6C97">
        <w:rPr>
          <w:rFonts w:ascii="Arial" w:hAnsi="Arial" w:cs="Arial"/>
          <w:i/>
          <w:iCs/>
          <w:color w:val="000000" w:themeColor="text1"/>
        </w:rPr>
        <w:fldChar w:fldCharType="separate"/>
      </w:r>
      <w:r w:rsidRPr="00EF6C97">
        <w:rPr>
          <w:rFonts w:ascii="Arial" w:hAnsi="Arial" w:cs="Arial"/>
          <w:iCs/>
          <w:noProof/>
          <w:color w:val="000000" w:themeColor="text1"/>
        </w:rPr>
        <w:t>(2018)</w:t>
      </w:r>
      <w:r w:rsidRPr="00EF6C97">
        <w:rPr>
          <w:rFonts w:ascii="Arial" w:hAnsi="Arial" w:cs="Arial"/>
          <w:i/>
          <w:iCs/>
          <w:color w:val="000000" w:themeColor="text1"/>
        </w:rPr>
        <w:fldChar w:fldCharType="end"/>
      </w:r>
      <w:r w:rsidRPr="00EF6C97">
        <w:rPr>
          <w:rFonts w:ascii="Arial" w:hAnsi="Arial" w:cs="Arial"/>
          <w:iCs/>
          <w:color w:val="000000" w:themeColor="text1"/>
        </w:rPr>
        <w:t xml:space="preserve">, and </w:t>
      </w:r>
      <w:r w:rsidRPr="00EF6C97">
        <w:rPr>
          <w:rFonts w:ascii="Arial" w:hAnsi="Arial" w:cs="Arial"/>
          <w:iCs/>
          <w:noProof/>
          <w:color w:val="000000" w:themeColor="text1"/>
        </w:rPr>
        <w:t xml:space="preserve">D. Anggraini et al. </w:t>
      </w:r>
      <w:r w:rsidRPr="00EF6C97">
        <w:rPr>
          <w:rFonts w:ascii="Arial" w:hAnsi="Arial" w:cs="Arial"/>
          <w:i/>
          <w:iCs/>
          <w:color w:val="000000" w:themeColor="text1"/>
        </w:rPr>
        <w:fldChar w:fldCharType="begin" w:fldLock="1"/>
      </w:r>
      <w:r w:rsidRPr="00EF6C97">
        <w:rPr>
          <w:rFonts w:ascii="Arial" w:hAnsi="Arial" w:cs="Arial"/>
          <w:iCs/>
          <w:color w:val="000000" w:themeColor="text1"/>
        </w:rPr>
        <w:instrText>ADDIN CSL_CITATION {"citationItems":[{"id":"ITEM-1","itemData":{"DOI":"https://doi.org/10.26487/jbmi.v17i2.11264","author":[{"dropping-particle":"","family":"Anggraini","given":"Diah","non-dropping-particle":"","parse-names":false,"suffix":""},{"dropping-particle":"","family":"Aryani","given":"Nita Dwi","non-dropping-particle":"","parse-names":false,"suffix":""},{"dropping-particle":"","family":"Prasetyo","given":"Irawan Budi","non-dropping-particle":"","parse-names":false,"suffix":""}],"container-title":"Jurnal Bisnis, Manajemen dan Informatika","id":"ITEM-1","issue":"2","issued":{"date-parts":[["2020"]]},"title":"Analisis Implementasi Green Banking dan Kinerja Keuangan terhadap Profitabilitas Bank Indonesia (2016-2019)","type":"article-journal","volume":"17"},"uris":["http://www.mendeley.com/documents/?uuid=cccc085a-790c-3282-8782-21a83e0a3394"]}],"mendeley":{"formattedCitation":"(Diah Anggraini, Aryani, &amp; Prasetyo, 2020)","manualFormatting":"(2020)","plainTextFormattedCitation":"(Diah Anggraini, Aryani, &amp; Prasetyo, 2020)","previouslyFormattedCitation":"(D. Anggraini et al., 2020)"},"properties":{"noteIndex":0},"schema":"https://github.com/citation-style-language/schema/raw/master/csl-citation.json"}</w:instrText>
      </w:r>
      <w:r w:rsidRPr="00EF6C97">
        <w:rPr>
          <w:rFonts w:ascii="Arial" w:hAnsi="Arial" w:cs="Arial"/>
          <w:i/>
          <w:iCs/>
          <w:color w:val="000000" w:themeColor="text1"/>
        </w:rPr>
        <w:fldChar w:fldCharType="separate"/>
      </w:r>
      <w:r w:rsidRPr="00EF6C97">
        <w:rPr>
          <w:rFonts w:ascii="Arial" w:hAnsi="Arial" w:cs="Arial"/>
          <w:iCs/>
          <w:noProof/>
          <w:color w:val="000000" w:themeColor="text1"/>
        </w:rPr>
        <w:t>(2020)</w:t>
      </w:r>
      <w:r w:rsidRPr="00EF6C97">
        <w:rPr>
          <w:rFonts w:ascii="Arial" w:hAnsi="Arial" w:cs="Arial"/>
          <w:i/>
          <w:iCs/>
          <w:color w:val="000000" w:themeColor="text1"/>
        </w:rPr>
        <w:fldChar w:fldCharType="end"/>
      </w:r>
      <w:r w:rsidRPr="00EF6C97">
        <w:rPr>
          <w:rFonts w:ascii="Arial" w:hAnsi="Arial" w:cs="Arial"/>
          <w:iCs/>
          <w:color w:val="000000" w:themeColor="text1"/>
          <w:lang w:val="en-ID" w:eastAsia="en-ID"/>
        </w:rPr>
        <w:t xml:space="preserve">, where DFI—measured by the number of ATMs and credit cards—showed a positive coefficient. Similarly, studies by </w:t>
      </w:r>
      <w:r w:rsidRPr="00EF6C97">
        <w:rPr>
          <w:rFonts w:ascii="Arial" w:hAnsi="Arial" w:cs="Arial"/>
          <w:iCs/>
          <w:noProof/>
          <w:color w:val="000000" w:themeColor="text1"/>
        </w:rPr>
        <w:t xml:space="preserve">F. Shihadeh </w:t>
      </w:r>
      <w:r w:rsidRPr="00EF6C97">
        <w:rPr>
          <w:rFonts w:ascii="Arial" w:hAnsi="Arial" w:cs="Arial"/>
          <w:i/>
          <w:iCs/>
          <w:color w:val="000000" w:themeColor="text1"/>
        </w:rPr>
        <w:fldChar w:fldCharType="begin" w:fldLock="1"/>
      </w:r>
      <w:r w:rsidRPr="00EF6C97">
        <w:rPr>
          <w:rFonts w:ascii="Arial" w:hAnsi="Arial" w:cs="Arial"/>
          <w:iCs/>
          <w:color w:val="000000" w:themeColor="text1"/>
        </w:rPr>
        <w:instrText>ADDIN CSL_CITATION {"citationItems":[{"id":"ITEM-1","itemData":{"DOI":"10.21511/imfi.18(1).2021.11","ISSN":"18129358","abstract":"This study aims to examine the relationship between financial inclusion indicators and bank performance in Palestine. The study population and its sample include all 15 banks operating in Palestine and cover the period 2006 to 2016 with panel data from 162 observations. To interpreter the variables, the study uses the volume of loans to SMEs (usage), banking penetration, number of ATMs and branches (access), and online banking, the latter if it is a dummy variable. Further, the study uses operational profits, total revenues and ROE as bank performance indicators and dependent variables. Using empirical analysis, the results indicated that banking penetration tools, branching and ATMs, could enhance bank performance. Despite the decline in lending to SMEs, this factor could positively improve the performance of banks in Palestine. In general, financial inclusion helps banks improve their performance and increase their revenues. This study recommends that government organizations can use the obtained results to formulate their strategies and agendas for improving financial inclusion in Palestine and other developing countries.","author":[{"dropping-particle":"","family":"Shihadeh","given":"Fadi","non-dropping-particle":"","parse-names":false,"suffix":""}],"container-title":"Investment Management and Financial Innovations","id":"ITEM-1","issue":"1","issued":{"date-parts":[["2021","2","8"]]},"page":"126-138","publisher":"LLC CPC Business Perspectives","title":"Financial Inclusion and Banks’ Performance: Evidence from Palestine","type":"article-journal","volume":"18"},"uris":["http://www.mendeley.com/documents/?uuid=1ccb4fc2-37b9-3448-8503-06ac99af6c93"]}],"mendeley":{"formattedCitation":"(Fadi Shihadeh, 2021)","manualFormatting":"(2021)","plainTextFormattedCitation":"(Fadi Shihadeh, 2021)","previouslyFormattedCitation":"(F. Shihadeh, 2021)"},"properties":{"noteIndex":0},"schema":"https://github.com/citation-style-language/schema/raw/master/csl-citation.json"}</w:instrText>
      </w:r>
      <w:r w:rsidRPr="00EF6C97">
        <w:rPr>
          <w:rFonts w:ascii="Arial" w:hAnsi="Arial" w:cs="Arial"/>
          <w:i/>
          <w:iCs/>
          <w:color w:val="000000" w:themeColor="text1"/>
        </w:rPr>
        <w:fldChar w:fldCharType="separate"/>
      </w:r>
      <w:r w:rsidRPr="00EF6C97">
        <w:rPr>
          <w:rFonts w:ascii="Arial" w:hAnsi="Arial" w:cs="Arial"/>
          <w:iCs/>
          <w:noProof/>
          <w:color w:val="000000" w:themeColor="text1"/>
        </w:rPr>
        <w:t>(2021)</w:t>
      </w:r>
      <w:r w:rsidRPr="00EF6C97">
        <w:rPr>
          <w:rFonts w:ascii="Arial" w:hAnsi="Arial" w:cs="Arial"/>
          <w:i/>
          <w:iCs/>
          <w:color w:val="000000" w:themeColor="text1"/>
        </w:rPr>
        <w:fldChar w:fldCharType="end"/>
      </w:r>
      <w:r w:rsidRPr="00EF6C97">
        <w:rPr>
          <w:rFonts w:ascii="Arial" w:hAnsi="Arial" w:cs="Arial"/>
          <w:iCs/>
          <w:color w:val="000000" w:themeColor="text1"/>
        </w:rPr>
        <w:t xml:space="preserve">, </w:t>
      </w:r>
      <w:r w:rsidRPr="00EF6C97">
        <w:rPr>
          <w:rFonts w:ascii="Arial" w:hAnsi="Arial" w:cs="Arial"/>
          <w:iCs/>
          <w:noProof/>
          <w:color w:val="000000" w:themeColor="text1"/>
        </w:rPr>
        <w:t xml:space="preserve">Arilesere et al. </w:t>
      </w:r>
      <w:r w:rsidRPr="00EF6C97">
        <w:rPr>
          <w:rFonts w:ascii="Arial" w:hAnsi="Arial" w:cs="Arial"/>
          <w:i/>
          <w:iCs/>
          <w:color w:val="000000" w:themeColor="text1"/>
        </w:rPr>
        <w:fldChar w:fldCharType="begin" w:fldLock="1"/>
      </w:r>
      <w:r w:rsidRPr="00EF6C97">
        <w:rPr>
          <w:rFonts w:ascii="Arial" w:hAnsi="Arial" w:cs="Arial"/>
          <w:iCs/>
          <w:color w:val="000000" w:themeColor="text1"/>
        </w:rPr>
        <w:instrText>ADDIN CSL_CITATION {"citationItems":[{"id":"ITEM-1","itemData":{"DOI":"https://doi.org/10.26458/21419","abstract":"… a financial technological innovation, and its impact on banks … it entails electronic banking through which bank customers … risk of carrying cash at long distance by customers of banks. …","author":[{"dropping-particle":"","family":"Arilesere","given":"Mustapha Sina","non-dropping-particle":"","parse-names":false,"suffix":""},{"dropping-particle":"","family":"Olaleye","given":"Banji Rildwan","non-dropping-particle":"","parse-names":false,"suffix":""},{"dropping-particle":"","family":"Asaolu","given":"Adeoba Adepoju","non-dropping-particle":"","parse-names":false,"suffix":""},{"dropping-particle":"","family":"Ekienabor","given":"Ehijiele","non-dropping-particle":"","parse-names":false,"suffix":""}],"container-title":"Annals of Spiru Haret …","id":"ITEM-1","issue":"4","issued":{"date-parts":[["2021"]]},"title":"Digital electronic payment and bank performance in Nigeria","type":"article-journal"},"uris":["http://www.mendeley.com/documents/?uuid=447efaa2-da8e-478e-b66f-03f1dafb88af"]}],"mendeley":{"formattedCitation":"(Arilesere, Olaleye, Asaolu, &amp; Ekienabor, 2021)","manualFormatting":"(2021)","plainTextFormattedCitation":"(Arilesere, Olaleye, Asaolu, &amp; Ekienabor, 2021)","previouslyFormattedCitation":"(Arilesere et al., 2021)"},"properties":{"noteIndex":0},"schema":"https://github.com/citation-style-language/schema/raw/master/csl-citation.json"}</w:instrText>
      </w:r>
      <w:r w:rsidRPr="00EF6C97">
        <w:rPr>
          <w:rFonts w:ascii="Arial" w:hAnsi="Arial" w:cs="Arial"/>
          <w:i/>
          <w:iCs/>
          <w:color w:val="000000" w:themeColor="text1"/>
        </w:rPr>
        <w:fldChar w:fldCharType="separate"/>
      </w:r>
      <w:r w:rsidRPr="00EF6C97">
        <w:rPr>
          <w:rFonts w:ascii="Arial" w:hAnsi="Arial" w:cs="Arial"/>
          <w:iCs/>
          <w:noProof/>
          <w:color w:val="000000" w:themeColor="text1"/>
        </w:rPr>
        <w:t>(2021)</w:t>
      </w:r>
      <w:r w:rsidRPr="00EF6C97">
        <w:rPr>
          <w:rFonts w:ascii="Arial" w:hAnsi="Arial" w:cs="Arial"/>
          <w:i/>
          <w:iCs/>
          <w:color w:val="000000" w:themeColor="text1"/>
        </w:rPr>
        <w:fldChar w:fldCharType="end"/>
      </w:r>
      <w:r w:rsidRPr="00EF6C97">
        <w:rPr>
          <w:rFonts w:ascii="Arial" w:hAnsi="Arial" w:cs="Arial"/>
          <w:iCs/>
          <w:color w:val="000000" w:themeColor="text1"/>
        </w:rPr>
        <w:t xml:space="preserve">, </w:t>
      </w:r>
      <w:r w:rsidRPr="00EF6C97">
        <w:rPr>
          <w:rFonts w:ascii="Arial" w:hAnsi="Arial" w:cs="Arial"/>
          <w:iCs/>
          <w:noProof/>
          <w:color w:val="000000" w:themeColor="text1"/>
        </w:rPr>
        <w:t xml:space="preserve">Desalegn et al. </w:t>
      </w:r>
      <w:r w:rsidRPr="00EF6C97">
        <w:rPr>
          <w:rFonts w:ascii="Arial" w:hAnsi="Arial" w:cs="Arial"/>
          <w:i/>
          <w:iCs/>
          <w:color w:val="000000" w:themeColor="text1"/>
        </w:rPr>
        <w:fldChar w:fldCharType="begin" w:fldLock="1"/>
      </w:r>
      <w:r w:rsidRPr="00EF6C97">
        <w:rPr>
          <w:rFonts w:ascii="Arial" w:hAnsi="Arial" w:cs="Arial"/>
          <w:iCs/>
          <w:color w:val="000000" w:themeColor="text1"/>
        </w:rPr>
        <w:instrText>ADDIN CSL_CITATION {"citationItems":[{"id":"ITEM-1","itemData":{"author":[{"dropping-particle":"","family":"Desalegn","given":"Deresa Goshu","non-dropping-particle":"","parse-names":false,"suffix":""},{"dropping-particle":"","family":"Tangl","given":"Anita","non-dropping-particle":"","parse-names":false,"suffix":""},{"dropping-particle":"","family":"Maria","given":"Fekete Farkas","non-dropping-particle":"","parse-names":false,"suffix":""}],"container-title":"Economics &amp; Working Capital","id":"ITEM-1","issue":"August","issued":{"date-parts":[["2022"]]},"page":"55-64","title":"Greening Bank Financial Innovation for Better Financial Performance. Evidence from Ethiopia","type":"article-journal","volume":"1-2"},"uris":["http://www.mendeley.com/documents/?uuid=0654158f-8e45-4d8e-a3dc-4343a0c23162"]}],"mendeley":{"formattedCitation":"(Desalegn, Tangl, &amp; Maria, 2022)","manualFormatting":"(2022)","plainTextFormattedCitation":"(Desalegn, Tangl, &amp; Maria, 2022)","previouslyFormattedCitation":"(Desalegn et al., 2022)"},"properties":{"noteIndex":0},"schema":"https://github.com/citation-style-language/schema/raw/master/csl-citation.json"}</w:instrText>
      </w:r>
      <w:r w:rsidRPr="00EF6C97">
        <w:rPr>
          <w:rFonts w:ascii="Arial" w:hAnsi="Arial" w:cs="Arial"/>
          <w:i/>
          <w:iCs/>
          <w:color w:val="000000" w:themeColor="text1"/>
        </w:rPr>
        <w:fldChar w:fldCharType="separate"/>
      </w:r>
      <w:r w:rsidRPr="00EF6C97">
        <w:rPr>
          <w:rFonts w:ascii="Arial" w:hAnsi="Arial" w:cs="Arial"/>
          <w:iCs/>
          <w:noProof/>
          <w:color w:val="000000" w:themeColor="text1"/>
        </w:rPr>
        <w:t>(2022)</w:t>
      </w:r>
      <w:r w:rsidRPr="00EF6C97">
        <w:rPr>
          <w:rFonts w:ascii="Arial" w:hAnsi="Arial" w:cs="Arial"/>
          <w:i/>
          <w:iCs/>
          <w:color w:val="000000" w:themeColor="text1"/>
        </w:rPr>
        <w:fldChar w:fldCharType="end"/>
      </w:r>
      <w:r w:rsidRPr="00EF6C97">
        <w:rPr>
          <w:rFonts w:ascii="Arial" w:hAnsi="Arial" w:cs="Arial"/>
          <w:iCs/>
          <w:color w:val="000000" w:themeColor="text1"/>
        </w:rPr>
        <w:t xml:space="preserve">, and </w:t>
      </w:r>
      <w:r w:rsidRPr="00EF6C97">
        <w:rPr>
          <w:rFonts w:ascii="Arial" w:hAnsi="Arial" w:cs="Arial"/>
          <w:iCs/>
          <w:noProof/>
          <w:color w:val="000000" w:themeColor="text1"/>
        </w:rPr>
        <w:t xml:space="preserve">Nwankwo &amp; Agbo </w:t>
      </w:r>
      <w:r w:rsidRPr="00EF6C97">
        <w:rPr>
          <w:rFonts w:ascii="Arial" w:hAnsi="Arial" w:cs="Arial"/>
          <w:i/>
          <w:iCs/>
          <w:color w:val="000000" w:themeColor="text1"/>
        </w:rPr>
        <w:fldChar w:fldCharType="begin" w:fldLock="1"/>
      </w:r>
      <w:r w:rsidRPr="00EF6C97">
        <w:rPr>
          <w:rFonts w:ascii="Arial" w:hAnsi="Arial" w:cs="Arial"/>
          <w:iCs/>
          <w:color w:val="000000" w:themeColor="text1"/>
        </w:rPr>
        <w:instrText>ADDIN CSL_CITATION {"citationItems":[{"id":"ITEM-1","itemData":{"DOI":"10.7176/ejbm/12-26-09","abstract":"1. Auflage Vom Verlag als Druckwerk on demand und/oder als E-Book angeboten","author":[{"dropping-particle":"","family":"Nwankwo","given":"Simon Nwagballa","non-dropping-particle":"","parse-names":false,"suffix":""},{"dropping-particle":"","family":"Agbo","given":"Elias Igwebuike","non-dropping-particle":"","parse-names":false,"suffix":""}],"container-title":"European Journal of Business and Management","id":"ITEM-1","issue":"1","issued":{"date-parts":[["2021"]]},"page":"68-81","title":"The Effect of Electronic Banking on Bank Performance in Nigeria","type":"article-journal","volume":"7"},"uris":["http://www.mendeley.com/documents/?uuid=acd1e022-a713-47fc-8717-03ee1dfaecfe"]}],"mendeley":{"formattedCitation":"(Nwankwo &amp; Agbo, 2021)","manualFormatting":"(2021)","plainTextFormattedCitation":"(Nwankwo &amp; Agbo, 2021)","previouslyFormattedCitation":"(Nwankwo &amp; Agbo, 2021)"},"properties":{"noteIndex":0},"schema":"https://github.com/citation-style-language/schema/raw/master/csl-citation.json"}</w:instrText>
      </w:r>
      <w:r w:rsidRPr="00EF6C97">
        <w:rPr>
          <w:rFonts w:ascii="Arial" w:hAnsi="Arial" w:cs="Arial"/>
          <w:i/>
          <w:iCs/>
          <w:color w:val="000000" w:themeColor="text1"/>
        </w:rPr>
        <w:fldChar w:fldCharType="separate"/>
      </w:r>
      <w:r w:rsidRPr="00EF6C97">
        <w:rPr>
          <w:rFonts w:ascii="Arial" w:hAnsi="Arial" w:cs="Arial"/>
          <w:iCs/>
          <w:noProof/>
          <w:color w:val="000000" w:themeColor="text1"/>
        </w:rPr>
        <w:t>(2021)</w:t>
      </w:r>
      <w:r w:rsidRPr="00EF6C97">
        <w:rPr>
          <w:rFonts w:ascii="Arial" w:hAnsi="Arial" w:cs="Arial"/>
          <w:i/>
          <w:iCs/>
          <w:color w:val="000000" w:themeColor="text1"/>
        </w:rPr>
        <w:fldChar w:fldCharType="end"/>
      </w:r>
      <w:r w:rsidRPr="00EF6C97">
        <w:rPr>
          <w:rFonts w:ascii="Arial" w:hAnsi="Arial" w:cs="Arial"/>
          <w:iCs/>
          <w:color w:val="000000" w:themeColor="text1"/>
          <w:lang w:val="en-ID" w:eastAsia="en-ID"/>
        </w:rPr>
        <w:t xml:space="preserve">, which used DFI measurements based on the number of online banking transactions, also found a positive influence on bank performance. </w:t>
      </w:r>
      <w:r w:rsidRPr="00EF6C97">
        <w:rPr>
          <w:rFonts w:ascii="Arial" w:hAnsi="Arial" w:cs="Arial"/>
          <w:iCs/>
        </w:rPr>
        <w:t>In general, Digital Financial Inclusion (DFI) is expected to become a major driving trend in the transformation of the financial industry. Banks will continue to invest in digital services such as mobile banking, internet banking, QR code payments, and e-wallets.</w:t>
      </w:r>
    </w:p>
    <w:p w14:paraId="4338FEBE" w14:textId="77777777" w:rsidR="00BA473C" w:rsidRPr="00BA473C" w:rsidRDefault="00BA473C" w:rsidP="00BA473C">
      <w:pPr>
        <w:pStyle w:val="BodyText"/>
        <w:adjustRightInd w:val="0"/>
        <w:snapToGrid w:val="0"/>
        <w:spacing w:before="240" w:after="0"/>
        <w:jc w:val="both"/>
        <w:rPr>
          <w:rFonts w:ascii="Arial" w:hAnsi="Arial" w:cs="Arial"/>
          <w:i/>
          <w:iCs/>
          <w:color w:val="000000" w:themeColor="text1"/>
          <w:lang w:val="en-ID" w:eastAsia="en-ID"/>
        </w:rPr>
      </w:pPr>
    </w:p>
    <w:p w14:paraId="71A43E2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4F1711A" w14:textId="77777777" w:rsidR="00790ADA" w:rsidRPr="00FB3A86" w:rsidRDefault="00790ADA" w:rsidP="00441B6F">
      <w:pPr>
        <w:pStyle w:val="ConcHead"/>
        <w:spacing w:after="0"/>
        <w:jc w:val="both"/>
        <w:rPr>
          <w:rFonts w:ascii="Arial" w:hAnsi="Arial" w:cs="Arial"/>
        </w:rPr>
      </w:pPr>
    </w:p>
    <w:p w14:paraId="59446325" w14:textId="523C8D73" w:rsidR="00BA473C" w:rsidRDefault="00BA473C" w:rsidP="00BA473C">
      <w:pPr>
        <w:pStyle w:val="Body"/>
        <w:spacing w:after="0"/>
        <w:rPr>
          <w:rFonts w:ascii="Arial" w:hAnsi="Arial" w:cs="Arial"/>
          <w:iCs/>
        </w:rPr>
      </w:pPr>
      <w:r w:rsidRPr="00BA473C">
        <w:rPr>
          <w:rFonts w:ascii="Arial" w:hAnsi="Arial" w:cs="Arial"/>
          <w:iCs/>
        </w:rPr>
        <w:t>This study aims to analyze the effect of green credit, green CSR, and digital financial inclusion (DFI) on profitability. Based on the hypothesis testing results: (1) Green credit has a significant positive effect on profitability; (2) Green CSR does not have a significant effect on profitability; (3) Digital financial inclusion (DFI) does not have a negative effect on profitability, but instead has a positive influence on profitability.</w:t>
      </w:r>
    </w:p>
    <w:p w14:paraId="1584CE39" w14:textId="77777777" w:rsidR="00625DBE" w:rsidRDefault="00625DBE" w:rsidP="00BA473C">
      <w:pPr>
        <w:pStyle w:val="Body"/>
        <w:spacing w:after="0"/>
        <w:rPr>
          <w:rFonts w:ascii="Arial" w:hAnsi="Arial" w:cs="Arial"/>
          <w:iCs/>
        </w:rPr>
      </w:pPr>
    </w:p>
    <w:p w14:paraId="4D0723F2" w14:textId="77777777" w:rsidR="00625DBE" w:rsidRPr="003A29C6" w:rsidRDefault="00625DBE" w:rsidP="00625DBE">
      <w:pPr>
        <w:jc w:val="both"/>
        <w:outlineLvl w:val="0"/>
        <w:rPr>
          <w:rFonts w:ascii="Arial" w:hAnsi="Arial" w:cs="Arial"/>
        </w:rPr>
      </w:pPr>
      <w:r w:rsidRPr="003A29C6">
        <w:rPr>
          <w:rFonts w:ascii="Arial" w:hAnsi="Arial" w:cs="Arial"/>
          <w:b/>
          <w:bCs/>
        </w:rPr>
        <w:t>COMPETING INTERESTS DISCLAIMER:</w:t>
      </w:r>
    </w:p>
    <w:p w14:paraId="25FACE89" w14:textId="77777777" w:rsidR="00625DBE" w:rsidRDefault="00625DBE" w:rsidP="00625DBE">
      <w:r w:rsidRPr="00A10EDE">
        <w:t>Authors have declared that they have no known competing financial interests OR non-financial interests OR personal relationships that could have appeared to influence the work reported in this paper.</w:t>
      </w:r>
    </w:p>
    <w:p w14:paraId="7D8F65A8" w14:textId="77777777" w:rsidR="00625DBE" w:rsidRPr="00BA473C" w:rsidRDefault="00625DBE" w:rsidP="00BA473C">
      <w:pPr>
        <w:pStyle w:val="Body"/>
        <w:spacing w:after="0"/>
        <w:rPr>
          <w:rFonts w:ascii="Arial" w:hAnsi="Arial" w:cs="Arial"/>
        </w:rPr>
      </w:pPr>
    </w:p>
    <w:p w14:paraId="3EDAF175" w14:textId="77777777" w:rsidR="0049418E" w:rsidRDefault="0049418E" w:rsidP="00441B6F">
      <w:pPr>
        <w:pStyle w:val="ReferHead"/>
        <w:spacing w:after="0"/>
        <w:jc w:val="both"/>
        <w:rPr>
          <w:rFonts w:ascii="Arial" w:hAnsi="Arial" w:cs="Arial"/>
        </w:rPr>
      </w:pPr>
    </w:p>
    <w:p w14:paraId="1A0D976F" w14:textId="77777777" w:rsidR="0049418E" w:rsidRDefault="0049418E" w:rsidP="00441B6F">
      <w:pPr>
        <w:pStyle w:val="ReferHead"/>
        <w:spacing w:after="0"/>
        <w:jc w:val="both"/>
        <w:rPr>
          <w:rFonts w:ascii="Arial" w:hAnsi="Arial" w:cs="Arial"/>
        </w:rPr>
      </w:pPr>
    </w:p>
    <w:p w14:paraId="16928EC9" w14:textId="6C63770C" w:rsidR="00B01FCD" w:rsidRDefault="00B01FCD" w:rsidP="00441B6F">
      <w:pPr>
        <w:pStyle w:val="ReferHead"/>
        <w:spacing w:after="0"/>
        <w:jc w:val="both"/>
        <w:rPr>
          <w:rFonts w:ascii="Arial" w:hAnsi="Arial" w:cs="Arial"/>
        </w:rPr>
      </w:pPr>
      <w:r w:rsidRPr="00FB3A86">
        <w:rPr>
          <w:rFonts w:ascii="Arial" w:hAnsi="Arial" w:cs="Arial"/>
        </w:rPr>
        <w:t>References</w:t>
      </w:r>
    </w:p>
    <w:p w14:paraId="6B0EAAB5"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Anggraini, Diah, Aryani, Nita Dwi, &amp; Prasetyo, Irawan Budi. (2020). Analysis of Green Banking Implementation and Financial Performance on Bank Indonesia's Profitability (2016-2019). Journal of Business, Management, and Informatics, 17(2). https://doi.org/https://doi.org/10.26487/jbmi.v17i2.11264</w:t>
      </w:r>
    </w:p>
    <w:p w14:paraId="2CB7C722"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Anggraini, Fivi. (2020). The Role of Intellectual Capital as a Mediator between Corporate Social Responsibility and Banking Company Performance. Journal of Ecobistek, 9(October), 22–31. https://doi.org/10.35134/ekobistek.v9i2.79</w:t>
      </w:r>
    </w:p>
    <w:p w14:paraId="215F340D"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Arilesere, Mustapha Sina, Olaleye, Banji Rildwan, Asaolu, Adeoba Adepoju, &amp; Ekienabor, Ehijiele. (2021). Digital electronic payments and bank performance in Nigeria. Annals of Spiru Haret (4). https://doi.org/https://doi.org/10.26458/21419</w:t>
      </w:r>
    </w:p>
    <w:p w14:paraId="5C5CA240"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Astari, Tri Ayu, Laurens, Sebastianus, Wicaksono, Aries, &amp; Sujarminto, Aditya. (2023). Green Accounting and Disclosure of Sustainability Report on Firm Values in Indonesia. E3S Web of Conferences, 426. https://doi.org/10.1051/e3sconf/202342602024</w:t>
      </w:r>
    </w:p>
    <w:p w14:paraId="68C94EAF"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Atisu, Jerome Christopher, Mensah, Nicholas, Alipoe, Stanley Agbenya, &amp; Abdul-Rahman, Saaka. (2024). The Effect Of Non-Performing Loans On The Financial Performance Of Commercial Banks In Ghana. Journal of Economics And Finance, 15(5), 42–48. https://doi.org/10.9790/5933-1505054248</w:t>
      </w:r>
    </w:p>
    <w:p w14:paraId="0DDC7CD3"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Bellakhal, Rihab, &amp; Mouelhi, Rim. (2023). Digitalization and Firm Performance: Evidence from Tunisian SMEs. International Journal of Productivity and Quality Management, 39(1), 42–65. https://doi.org/10.1504/IJPQM.2023.130872</w:t>
      </w:r>
    </w:p>
    <w:p w14:paraId="5EAD57AF"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Britannia, Agnessa, &amp; Leon, Farah. (2020). The Effect of CSR and Corporate Governance on Stock Price Risk in Indonesian Banking. Faculty of Economics and Business, Trisakti University, (May), 1–21. Retrieved from https://www.researchgate.net/publication/</w:t>
      </w:r>
    </w:p>
    <w:p w14:paraId="3B09B4C8"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Buchory, Herry Achmad. (2020). Banking Intermediation, Asset Quality, Price Earning Ratio and Stock Prices and Their Impact on Corporate Value-Study at the Regional Development Bank of West Java and Banten Provinces in Indonesia. International Journal of Innovation, Creativity and Change, 11(12), 513–527. Retrieved from https://www.researchgate.net/publication/340374981%0ABanking</w:t>
      </w:r>
    </w:p>
    <w:p w14:paraId="7E693F2F"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Coryanata, Isma, Ramli, Elisa Hawalia, Puspita, Lisa Martiah Nila, &amp; Halimatusyadiah. (2023). Digitalization of Banking and Financial Performance of Banking Companies. International Journal of Social Services and Research, 3(2), 366–371. https://doi.org/10.46799/ijssr.v3i2.254</w:t>
      </w:r>
    </w:p>
    <w:p w14:paraId="26A9E8CF"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Danye, Huang. (2020). Research on the Impact of Green Credit on Profitability of Commercial Banks in China. E3S Web of Conferences, 214, 1–5. https://doi.org/10.1051/e3sconf/202021403008</w:t>
      </w:r>
    </w:p>
    <w:p w14:paraId="5F55150E"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Desalegn, Deresa Goshu, Tangl, Anita, &amp; Maria, Fekete Farkas. (2022). Greening Bank Financial Innovation for Better Financial Performance. Evidence from Ethiopia. Economics &amp; Working Capital, 1–2(August), 55–64. Retrieved from http://eworkcapital.com/greening-bank-financial-innovation-for-better-financial-performance-evidence-from-ethiopia/</w:t>
      </w:r>
    </w:p>
    <w:p w14:paraId="5E159B57"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EC. (2022). Sustainable Finance. Retrieved March 6, 2023, from the European Commission website: https://finance.ec.europa.eu/sustainable-finance/overview-sustainable-finance_en</w:t>
      </w:r>
    </w:p>
    <w:p w14:paraId="7DF54FF6"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Fernandes Andry, Johanes, Herlina, &amp; Marcellus Susanto, Filbert. (2023). Descriptive Analysis of Shopee Consumer Behavior: Technology Acceptance Model (TAM). Journal of Technology and Informatics (JoTI), 4(2), 63–68. https://doi.org/10.37802/joti.v4i2.318</w:t>
      </w:r>
    </w:p>
    <w:p w14:paraId="47099E22"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 xml:space="preserve">Fitri, Maulana, Nur, Agustin, Saraswati, Erwin, &amp; Prastiwi, Arum. (2023). Digital Technology and CSR Disclosure on Firm Value Moderated by Financial Flexibility and Firm Size. </w:t>
      </w:r>
      <w:r w:rsidRPr="00BC3118">
        <w:rPr>
          <w:rFonts w:ascii="Arial" w:hAnsi="Arial" w:cs="Arial"/>
          <w:lang w:val="id-ID" w:eastAsia="id-ID"/>
        </w:rPr>
        <w:lastRenderedPageBreak/>
        <w:t>Journal of Finance and Banking, 27(3), 348–359. https://doi.org/10.26905/jkdp.v27i3.10656</w:t>
      </w:r>
    </w:p>
    <w:p w14:paraId="57044B4D"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Fu, Chengbo, Lu, Lei, &amp; Pirabi, Mansoor. (2024). Advancing Green Finance: A Review of Climate Change and Decarbonization. Digital Economy and Sustainable Development, 2(1), 1–23. https://doi.org/10.1007/s44265-023-00026-x</w:t>
      </w:r>
    </w:p>
    <w:p w14:paraId="5AC9B7B7"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Guo, Zhaoyang, Hou, Siyu, &amp; Li, Qingchang. (2020). Corporate Social Responsibility and Firm value: The moderating effects of Financial Flexibility and R&amp;D Investment. Sustainability (Switzerland), 12(20), 1–17. https://doi.org/10.3390/su12208452</w:t>
      </w:r>
    </w:p>
    <w:p w14:paraId="0799D328"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Herlina, Rachmad, Teguh Hidayatul, &amp; Sasongko, Yohanes Probo Dwi. (2024). Digital Business Communication Using TikTok Live Streaming. Journal of Indonesian Economic Research, 2(1), 19–29. Retrieved from https://journal.lenvari.org/index.php/jier/article/view/83%0Ahttps://journal.lenvari.org/index.php/jier/article/download/83/72</w:t>
      </w:r>
    </w:p>
    <w:p w14:paraId="334659AF"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Herlina, &amp; Wilujeng, Fuji Rahayu. (2025). Bank Size as a Moderating Factor in the Relationship Between Risk and Profitability in ASEAN Banking During the COVID-19 Pandemic. Journal of Indonesian Economic Research, 3(1), 13–19.</w:t>
      </w:r>
    </w:p>
    <w:p w14:paraId="0A804C19"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Hinton, Jennifer. (2022). Limits to Profit? A Conceptual Framework for Understanding Profit and Sustainability. Center for Environmental and Climate Science, Lund University, Sweden, 02. https://doi.org/10.13140/RG.2.2.25342.25922</w:t>
      </w:r>
    </w:p>
    <w:p w14:paraId="76F40676"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Hossain, Azmir, Rahman, Mominur, Hossain, Sazzad, &amp; Karim, Razaul. (2020). The Effects of Green Banking Practices on Financial Performance of Listed Banking Companies in Bangladesh. Canadian Journal of Business and Information Studies, 2(6), 120–128. https://doi.org/10.34104/cjbis.020.01200128</w:t>
      </w:r>
    </w:p>
    <w:p w14:paraId="0AA8E398"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Isa-olatinwo, Aisha, Uwaleke, Uche, &amp; Ibrahim, Umar Abbas. (2022). Impact of Digital Financial Services on Financial Performance of Commercial Banks in Nigeria. WSEAS Transactions on Business and Economics, 19, 1121–1129. https://doi.org/10.37394/23207.2022.19.98</w:t>
      </w:r>
    </w:p>
    <w:p w14:paraId="0C2FE21D"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Islam, Tiasha, &amp; Faruquee, Murtaza. (2022). Can Green Banking Thrive in Developing Economies? A Contextual Study On Bangladesh. Journal of Commerce and Accounting Research, 11(3), 56–65. Retrieved from http://publishingindia.com/jcar/</w:t>
      </w:r>
    </w:p>
    <w:p w14:paraId="2402263D"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Julia, Taslima, &amp; Kassim, Salina. (2016). Green Financing and Bank Profitability: Empirical Evidence From The Banking Sector in Bangladesh. International Journal of Marketing, Financial Services and Management Research, 2(1), 307–311. Retrieved from https://journals.iium.edu.my/shajarah/index.php/shaj/article/view/423</w:t>
      </w:r>
    </w:p>
    <w:p w14:paraId="0181B261"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Kumar, Sumit. (2022). Green Financing Initiative in India: Current State and Path Forward. Academy of Accounting and Financial Studies Journal, 26(4), 1–11. Retrieved from https://www.researchgate.net/publication/360342331</w:t>
      </w:r>
    </w:p>
    <w:p w14:paraId="67A4D9E6"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Kuntsman, Adi, Attwood, Samuel, Bane, Michael K., Cookney, Dany, Diskin, Khadijah, Green, Christopher, Helm, Hilde, Lou, Ting, Price, Liz, Senior, Beth, Vargas, Valeria, &amp; Williams, Georgia. (2022). Do digital technologies help or harm the planet: decolonising and decarbonising our digital society. In Manchester Metropolitan University, U.K . Retrieved from https://www.researchgate.net/publication/366250533</w:t>
      </w:r>
    </w:p>
    <w:p w14:paraId="3A484245"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Li, Xudong, Esfahbodi, Ali, &amp; Zhang, Yufeng. (2024). The Impact of Corporate Social Responsibility Implementation on Enterprises’ Financial Performance—Evidence from Chinese Listed Companies. Sustainability (Switzerland) , 16(5). https://doi.org/10.3390/su16051848</w:t>
      </w:r>
    </w:p>
    <w:p w14:paraId="01231DB9"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Lian, Yonghui, Gao, Jieying, &amp; Ye, Tao. (2022). How does Green Credit affect the Financial Performance of Commercial Banks? Evidence from China. Journal of Cleaner Production, 344. https://doi.org/https://doi.org/10.1016/j.jclepro.2022.131069</w:t>
      </w:r>
    </w:p>
    <w:p w14:paraId="3B37EEB7"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Malik, Garima, &amp; Singh, Dharmendra. (2022). Personality Matters : Does an Individual’s Personality Affect Adoption and Continued Use of Green banking Channels ? Internasional Journal of Bank Marketing, 40(4), 746–772. https://doi.org/10.1108/IJBM-04-2021-0133</w:t>
      </w:r>
    </w:p>
    <w:p w14:paraId="6BCDB846"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lastRenderedPageBreak/>
        <w:t>Mamun, Abdullah Al, &amp; Rana, Masud. (2020). Green Banking Practices and Profitability of Commercial Banks in Bangladesh. Journal of Economics and Finance, 2(5), 10–14. https://doi.org/10.9790/5933-1105021014</w:t>
      </w:r>
    </w:p>
    <w:p w14:paraId="4E2339E8"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Mia, Md Shahin, Rahman, SM Mahbubur, Alom, Shahedin, Ahmed, Ferdoushi, &amp; Longpichai, Onanong. (2022). An Insight On Green Banking Practices In Bangladesh: A study On Commercial Banks. International Journal of Education, Business and Economics Research (IJEBER), 2(5), 23–33. Retrieved from https://www.researchgate.net/publication/364043217</w:t>
      </w:r>
    </w:p>
    <w:p w14:paraId="38716973"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Moussa, Mohamed Aymen Ben, &amp; Feidi, Amira El. (2023). The Impact of Leverage on Financial Performance of Tunisian Quoted Firms. International Journal of Economics and Business Administration, XI(4), 101–116. https://doi.org/10.35808/ijeba/827</w:t>
      </w:r>
    </w:p>
    <w:p w14:paraId="71E73764"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Nguyen, Trung Duc, &amp; Du, Quynh Lan Thi. (2022). The Effect of Financial Inclusion on Bank Stability: Evidence from ASEAN. Cogent Economics and Finance, 10(1). https://doi.org/10.1080/23322039.2022.2040126</w:t>
      </w:r>
    </w:p>
    <w:p w14:paraId="4E44F6A1"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Nwankwo, Simon Nwagballa, &amp; Agbo, Elias Igwebuike. (2021). The Effect of Electronic Banking on Bank Performance in Nigeria. European Journal of Business and Management, 7(1), 68–81. https://doi.org/10.7176/ejbm/12-26-09</w:t>
      </w:r>
    </w:p>
    <w:p w14:paraId="46B66FB4"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Ozparlak, Gercek. (2022). Green Finance. Retrieved from https://www.researchgate.net/publication/362223286</w:t>
      </w:r>
    </w:p>
    <w:p w14:paraId="5FE837D6"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Qin, Fengming, Zhang, Junru, &amp; Zhang, Zhaoyong. (2018). RMB Exchange Rates and Volatility Spillover across Financial Markets in China and Japan. Risks. https://doi.org/10.3390/risks6040120</w:t>
      </w:r>
    </w:p>
    <w:p w14:paraId="6AB2F8B6"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Rahaman, M. Mizenur, Hoque, M. shahidul, &amp; Roy, Mrinmay. (2018). Green Financing and Its Impact on Profitability of the Banks: An Empirical Study on Banking Sector of Bangladesh. Metropolitan University Journal, 6(1), 42–56. Retrieved from http://metrouni.edu.bd/research/journal/journal-volume-six/green-financing-and-its-impact-on-profitability-of-the-banks-an-empirical-study-on-banking-sector-of-bangladesh/</w:t>
      </w:r>
    </w:p>
    <w:p w14:paraId="6EFC5480"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Ratnasari, Tria, Surwanti, Arni, &amp; Pribadi, Firman. (2021). Implementation of Green Banking and Financial Performance on Commercial Banks in Indonesia. International Symposia in Economic Theory and Econometrics, 28, 317–329. https://doi.org/10.1108/S1571-038620210000028018</w:t>
      </w:r>
    </w:p>
    <w:p w14:paraId="6142B267"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Riegler, Markus. (2023). Towards a Definition of Sustainable Banking - a Consolidated Approach in the Context of Guidelines and Strategies. International Journal of Corporate Social Responsibility, 8(1). https://doi.org/10.1186/s40991-023-00078-4</w:t>
      </w:r>
    </w:p>
    <w:p w14:paraId="0FF0C890" w14:textId="197E95A2"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Shihadeh, Fadi. (2021).</w:t>
      </w:r>
      <w:r w:rsidRPr="00BC3118">
        <w:t xml:space="preserve"> </w:t>
      </w:r>
      <w:r w:rsidRPr="00BC3118">
        <w:rPr>
          <w:rFonts w:ascii="Arial" w:hAnsi="Arial" w:cs="Arial"/>
          <w:lang w:val="id-ID" w:eastAsia="id-ID"/>
        </w:rPr>
        <w:t>Financial Inclusion and Banks’ Performance: Evidence from Palestine. Investment Management and Financial Innovations, 18(1), 126–138. https://doi.org/10.21511/imfi.18(1).2021.11</w:t>
      </w:r>
    </w:p>
    <w:p w14:paraId="234B01EC"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Shihadeh, Fadi Hassan, Hannon, Azzam M. T., Guan, Jian, Haq, ul Ihtisham, &amp; Wang, Xiuhua. (2018). Does Financial Inclusion Improve the Banks ’ Performance ? Evidence from Jordan. Global Tensions in Financial Markets, 34, 117–138. https://doi.org/10.1108/S0196-382120170000034005</w:t>
      </w:r>
    </w:p>
    <w:p w14:paraId="0F958AC3"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Soana, Maria Gaia. (2011). The Relationship Between Corporate Social Performance and Corporate Financial Performance in the Banking Sector. Journal of Business Ethics, 104(1), 133–148. https://doi.org/10.1007/s10551-011-0894-x</w:t>
      </w:r>
    </w:p>
    <w:p w14:paraId="76F90E03"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Surroca, Jordi, Trbo, Josep, &amp; Waddock, Sandra. (2010). Corporate Responsibility and Financial Performance: The Role of Intaible Resources. Strategic Management Journal, 920(October), 1–43. https://doi.org/https://doi.org/10.1016/j.jclepro.2017.06.142</w:t>
      </w:r>
    </w:p>
    <w:p w14:paraId="4B9B8B9D"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Tran, Ngoc Phu, Dinh, Co Thi Huyen, Hoang, Hien Thi Thu, &amp; Vo, Duc Hong. (2022). Intellectual Capital and Firm Performance in Vietnam: The Moderating Role of Corporate Social Responsibility. Sustainability (Switzerland), 14(19). https://doi.org/10.3390/su141912763</w:t>
      </w:r>
    </w:p>
    <w:p w14:paraId="2947F00F"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lastRenderedPageBreak/>
        <w:t>WMO. (2025). World Meteorological Organization. Retrieved July 2, 2025, from World Meteorological Organization website: https://wmo.int/news/media-centre/wmo-confirms-2024-warmest-year-record-about-155degc-above-pre-industrial-level</w:t>
      </w:r>
    </w:p>
    <w:p w14:paraId="47D14A1D"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Wrespatiningsih, Hayu Mas, &amp; Mahyuni, Luh Putu. (2022). Praktik Green Banking Dalam Memediasi Pengaruh Coorporate Social Responsibility Terhadap Kinerja Perusahaan Perusahaan Perbankan. Jurnal Akuntansi Berkelanjutan Indonesia, 5(1), 29–44. Retrieved from http://openjournal.unpam.ac.id/index.php/JABI</w:t>
      </w:r>
    </w:p>
    <w:p w14:paraId="43150C22"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Wu, Meng Wen, &amp; Shen, Chung Hua. (2013). Corporate Social Responsibility in the Banking Industry: Motives and Financial Performance. Journal of Banking and Finance, 37(9), 3529–3547. https://doi.org/10.1016/j.jbankfin.2013.04.023</w:t>
      </w:r>
    </w:p>
    <w:p w14:paraId="197F46C6"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Xi, Bin, Wang, Yaran, &amp; Yang, Mingqian. (2022). Green Credit, Green reputation, and Corporate Financial Performance: Evidence rom China. Environmental Science and Pollution Research, 29(2), 2401–2419. https://doi.org/10.1007/s11356-021-15646-z</w:t>
      </w:r>
    </w:p>
    <w:p w14:paraId="42CAEC47"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Yasmin, Shakila, &amp; Akhter, Ireen. (2021). Determinants of Green Credit and Its Influence on Bank Performance in Bangladesh. International Journal of Business, Economics and Law, 25(2), 31–41. Retrieved from https://www.researchgate.net/publication/384110825_DETERMINANTS_OF_GREEN_CREDIT_AND_ITS_INFLUENCE_ON_BANK_PERFORMANCE_IN_BANGLADESH</w:t>
      </w:r>
    </w:p>
    <w:p w14:paraId="7DD72B2B"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Zahra, Azin, Ayub, Huma, &amp; Abdullah. (2022). Impact of Green Intellectual Capital on Sustainable Green Banking : Moderating Role of Competitive Pressure. Journal of Accounting and Financein Emerging Economies, 8(2), 251–262. Retrieved from www.publishing.globalcsrc.org/jafee</w:t>
      </w:r>
    </w:p>
    <w:p w14:paraId="42A0067C"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Zhang, Yue. (2018). Green Credit Rises the Financial Performance of Commercial Bank--A Case Study on Industrial Bank. Atlantis Press, 236(May 2006), 295–300. https://doi.org/10.2991/meess-18.2018.56</w:t>
      </w:r>
    </w:p>
    <w:p w14:paraId="10259240"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Zhou, Dan, Kautonen, Mika, Dai, Weiqi, &amp; Zhang, Hui. (2021). Exploring How Digitalization Influences Incumbents in Financial Services: The Role of Entrepreneurial Orientation, Firm assets, and Organizational Legitimacy. Technological Forecasting and Social Change, 173(August), 121120. https://doi.org/10.1016/j.techfore.2021.121120</w:t>
      </w:r>
    </w:p>
    <w:p w14:paraId="0F7C80A1" w14:textId="0C685481" w:rsidR="00790ADA" w:rsidRPr="0049418E" w:rsidRDefault="00BC3118" w:rsidP="00BC3118">
      <w:pPr>
        <w:widowControl w:val="0"/>
        <w:autoSpaceDE w:val="0"/>
        <w:autoSpaceDN w:val="0"/>
        <w:adjustRightInd w:val="0"/>
        <w:ind w:left="480" w:hanging="480"/>
        <w:jc w:val="both"/>
        <w:rPr>
          <w:rFonts w:ascii="Arial" w:hAnsi="Arial" w:cs="Arial"/>
        </w:rPr>
      </w:pPr>
      <w:r w:rsidRPr="00BC3118">
        <w:rPr>
          <w:rFonts w:ascii="Arial" w:hAnsi="Arial" w:cs="Arial"/>
          <w:lang w:val="id-ID" w:eastAsia="id-ID"/>
        </w:rPr>
        <w:t>Zhou, Guangyou, Sun, Yongkun, Luo, Sumei, &amp; Liao, Jiayi. (2021). Corporate Social Responsibility and Bank Financial Performance in China: The Moderating Role of Green Credit. Energy Economics, 97, 105190. https://doi.org/10.1016/j.eneco.2021.105190</w:t>
      </w:r>
    </w:p>
    <w:sectPr w:rsidR="00790ADA" w:rsidRPr="0049418E" w:rsidSect="00EE6BA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CDBF8" w14:textId="77777777" w:rsidR="00A1014C" w:rsidRDefault="00A1014C" w:rsidP="00C37E61">
      <w:r>
        <w:separator/>
      </w:r>
    </w:p>
  </w:endnote>
  <w:endnote w:type="continuationSeparator" w:id="0">
    <w:p w14:paraId="13631C68" w14:textId="77777777" w:rsidR="00A1014C" w:rsidRDefault="00A1014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39343" w14:textId="358D7C02" w:rsidR="00754C9A" w:rsidRPr="00EE6BA5" w:rsidRDefault="00754C9A" w:rsidP="00EE6BA5">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F6557" w14:textId="77777777" w:rsidR="00A1014C" w:rsidRDefault="00A1014C" w:rsidP="00C37E61">
      <w:r>
        <w:separator/>
      </w:r>
    </w:p>
  </w:footnote>
  <w:footnote w:type="continuationSeparator" w:id="0">
    <w:p w14:paraId="6299311F" w14:textId="77777777" w:rsidR="00A1014C" w:rsidRDefault="00A1014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26F6D" w14:textId="77777777" w:rsidR="00296529" w:rsidRPr="00296529" w:rsidRDefault="00296529" w:rsidP="00296529">
    <w:pPr>
      <w:ind w:left="2160"/>
      <w:jc w:val="center"/>
      <w:rPr>
        <w:rFonts w:ascii="Times New Roman" w:eastAsia="Calibri" w:hAnsi="Times New Roman"/>
        <w:i/>
        <w:sz w:val="18"/>
        <w:szCs w:val="22"/>
      </w:rPr>
    </w:pPr>
  </w:p>
  <w:p w14:paraId="6489890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B5AC8F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4DD0D3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F4FD9A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55CE49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7BAF675"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1390"/>
    <w:rsid w:val="001D3A51"/>
    <w:rsid w:val="001E10D2"/>
    <w:rsid w:val="001E25B4"/>
    <w:rsid w:val="001E44FE"/>
    <w:rsid w:val="00200595"/>
    <w:rsid w:val="0020435E"/>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29B8"/>
    <w:rsid w:val="004539DB"/>
    <w:rsid w:val="00471A80"/>
    <w:rsid w:val="00481A74"/>
    <w:rsid w:val="0049418E"/>
    <w:rsid w:val="00495A57"/>
    <w:rsid w:val="004D305E"/>
    <w:rsid w:val="004D4277"/>
    <w:rsid w:val="00502516"/>
    <w:rsid w:val="00505F06"/>
    <w:rsid w:val="00506828"/>
    <w:rsid w:val="0053056E"/>
    <w:rsid w:val="00546CFD"/>
    <w:rsid w:val="00554FDA"/>
    <w:rsid w:val="005C784C"/>
    <w:rsid w:val="005D17F6"/>
    <w:rsid w:val="005E5539"/>
    <w:rsid w:val="00602BF5"/>
    <w:rsid w:val="00617FDD"/>
    <w:rsid w:val="00625DBE"/>
    <w:rsid w:val="00633614"/>
    <w:rsid w:val="00633F68"/>
    <w:rsid w:val="00636EB2"/>
    <w:rsid w:val="006375B8"/>
    <w:rsid w:val="0066510A"/>
    <w:rsid w:val="00673F9F"/>
    <w:rsid w:val="00686953"/>
    <w:rsid w:val="00687DEA"/>
    <w:rsid w:val="00687E67"/>
    <w:rsid w:val="006967F7"/>
    <w:rsid w:val="006A250C"/>
    <w:rsid w:val="006B21D3"/>
    <w:rsid w:val="006B57D0"/>
    <w:rsid w:val="006C527D"/>
    <w:rsid w:val="006D30FF"/>
    <w:rsid w:val="006D6940"/>
    <w:rsid w:val="006E1B4D"/>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A353E"/>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014C"/>
    <w:rsid w:val="00A1134E"/>
    <w:rsid w:val="00A24E7E"/>
    <w:rsid w:val="00A258C3"/>
    <w:rsid w:val="00A347C0"/>
    <w:rsid w:val="00A51431"/>
    <w:rsid w:val="00A539AD"/>
    <w:rsid w:val="00A94063"/>
    <w:rsid w:val="00AA6219"/>
    <w:rsid w:val="00AA74E0"/>
    <w:rsid w:val="00AB703F"/>
    <w:rsid w:val="00AC5598"/>
    <w:rsid w:val="00AC6BB8"/>
    <w:rsid w:val="00AE008F"/>
    <w:rsid w:val="00B01FCD"/>
    <w:rsid w:val="00B138AA"/>
    <w:rsid w:val="00B1776C"/>
    <w:rsid w:val="00B52583"/>
    <w:rsid w:val="00B52896"/>
    <w:rsid w:val="00B95236"/>
    <w:rsid w:val="00B96BD9"/>
    <w:rsid w:val="00BA1B01"/>
    <w:rsid w:val="00BA2641"/>
    <w:rsid w:val="00BA473C"/>
    <w:rsid w:val="00BB37AA"/>
    <w:rsid w:val="00BC3118"/>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87FCD"/>
    <w:rsid w:val="00EA012C"/>
    <w:rsid w:val="00EC6A55"/>
    <w:rsid w:val="00ED0288"/>
    <w:rsid w:val="00ED5BD5"/>
    <w:rsid w:val="00EE52CB"/>
    <w:rsid w:val="00EE6BA5"/>
    <w:rsid w:val="00EF581D"/>
    <w:rsid w:val="00EF6C97"/>
    <w:rsid w:val="00EF7FD8"/>
    <w:rsid w:val="00F06F59"/>
    <w:rsid w:val="00F17988"/>
    <w:rsid w:val="00F469F0"/>
    <w:rsid w:val="00F53273"/>
    <w:rsid w:val="00F755E4"/>
    <w:rsid w:val="00F77D02"/>
    <w:rsid w:val="00F80704"/>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6"/>
      </o:rules>
    </o:shapelayout>
  </w:shapeDefaults>
  <w:decimalSymbol w:val="."/>
  <w:listSeparator w:val=","/>
  <w14:docId w14:val="4C16AB8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8A353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semiHidden/>
    <w:unhideWhenUsed/>
    <w:qFormat/>
    <w:rsid w:val="00546CFD"/>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semiHidden/>
    <w:unhideWhenUsed/>
    <w:qFormat/>
    <w:rsid w:val="0049418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PlaceholderText">
    <w:name w:val="Placeholder Text"/>
    <w:basedOn w:val="DefaultParagraphFont"/>
    <w:uiPriority w:val="99"/>
    <w:semiHidden/>
    <w:rsid w:val="00546CFD"/>
    <w:rPr>
      <w:color w:val="808080"/>
    </w:rPr>
  </w:style>
  <w:style w:type="character" w:customStyle="1" w:styleId="Heading5Char">
    <w:name w:val="Heading 5 Char"/>
    <w:basedOn w:val="DefaultParagraphFont"/>
    <w:link w:val="Heading5"/>
    <w:semiHidden/>
    <w:rsid w:val="00546CFD"/>
    <w:rPr>
      <w:rFonts w:asciiTheme="majorHAnsi" w:eastAsiaTheme="majorEastAsia" w:hAnsiTheme="majorHAnsi" w:cstheme="majorBidi"/>
      <w:color w:val="365F91" w:themeColor="accent1" w:themeShade="BF"/>
    </w:rPr>
  </w:style>
  <w:style w:type="paragraph" w:customStyle="1" w:styleId="AFFILIATION0">
    <w:name w:val="AFFILIATION"/>
    <w:basedOn w:val="Heading5"/>
    <w:link w:val="AFFILIATIONChar"/>
    <w:qFormat/>
    <w:rsid w:val="006E1B4D"/>
    <w:pPr>
      <w:keepNext w:val="0"/>
      <w:keepLines w:val="0"/>
      <w:spacing w:before="0" w:line="240" w:lineRule="atLeast"/>
      <w:jc w:val="center"/>
    </w:pPr>
    <w:rPr>
      <w:rFonts w:ascii="Open Sans" w:eastAsia="Times New Roman" w:hAnsi="Open Sans" w:cs="Open Sans"/>
      <w:b/>
      <w:bCs/>
      <w:i/>
      <w:iCs/>
      <w:color w:val="auto"/>
      <w:sz w:val="18"/>
      <w:szCs w:val="26"/>
      <w:lang w:val="id-ID"/>
    </w:rPr>
  </w:style>
  <w:style w:type="character" w:customStyle="1" w:styleId="AFFILIATIONChar">
    <w:name w:val="AFFILIATION Char"/>
    <w:link w:val="AFFILIATION0"/>
    <w:rsid w:val="006E1B4D"/>
    <w:rPr>
      <w:rFonts w:ascii="Open Sans" w:hAnsi="Open Sans" w:cs="Open Sans"/>
      <w:b/>
      <w:bCs/>
      <w:i/>
      <w:iCs/>
      <w:sz w:val="18"/>
      <w:szCs w:val="26"/>
      <w:lang w:val="id-ID"/>
    </w:rPr>
  </w:style>
  <w:style w:type="character" w:customStyle="1" w:styleId="Heading3Char">
    <w:name w:val="Heading 3 Char"/>
    <w:basedOn w:val="DefaultParagraphFont"/>
    <w:link w:val="Heading3"/>
    <w:uiPriority w:val="9"/>
    <w:rsid w:val="008A353E"/>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8A353E"/>
    <w:rPr>
      <w:rFonts w:cs="Times New Roman"/>
      <w:b/>
      <w:bCs/>
      <w:spacing w:val="0"/>
    </w:rPr>
  </w:style>
  <w:style w:type="paragraph" w:styleId="NormalWeb">
    <w:name w:val="Normal (Web)"/>
    <w:basedOn w:val="Normal"/>
    <w:uiPriority w:val="99"/>
    <w:unhideWhenUsed/>
    <w:rsid w:val="008A353E"/>
    <w:pPr>
      <w:spacing w:before="100" w:beforeAutospacing="1" w:after="100" w:afterAutospacing="1"/>
    </w:pPr>
    <w:rPr>
      <w:rFonts w:ascii="Times New Roman" w:eastAsiaTheme="minorEastAsia" w:hAnsi="Times New Roman"/>
      <w:sz w:val="24"/>
      <w:szCs w:val="24"/>
      <w:lang w:val="id-ID" w:eastAsia="id-ID"/>
    </w:rPr>
  </w:style>
  <w:style w:type="paragraph" w:styleId="ListParagraph">
    <w:name w:val="List Paragraph"/>
    <w:aliases w:val="spasi 2 taiiii,skripsi,HEADING 1,Heading 2 Char1,Char Char,Body of text,koding,List Paragraph1,Colorful List - Accent 11,Heading 11,Medium Grid 1 - Accent 21,Body of text+1,Body of text+2,Body of text+3,List Paragraph11,soal jawab"/>
    <w:basedOn w:val="Normal"/>
    <w:link w:val="ListParagraphChar"/>
    <w:uiPriority w:val="34"/>
    <w:qFormat/>
    <w:rsid w:val="00ED5BD5"/>
    <w:pPr>
      <w:spacing w:after="240" w:line="480" w:lineRule="auto"/>
      <w:ind w:left="720" w:firstLine="360"/>
      <w:contextualSpacing/>
    </w:pPr>
    <w:rPr>
      <w:rFonts w:asciiTheme="minorHAnsi" w:eastAsiaTheme="minorEastAsia" w:hAnsiTheme="minorHAnsi"/>
      <w:sz w:val="22"/>
      <w:szCs w:val="22"/>
    </w:rPr>
  </w:style>
  <w:style w:type="character" w:customStyle="1" w:styleId="ListParagraphChar">
    <w:name w:val="List Paragraph Char"/>
    <w:aliases w:val="spasi 2 taiiii Char,skripsi Char,HEADING 1 Char,Heading 2 Char1 Char,Char Char Char,Body of text Char,koding Char,List Paragraph1 Char,Colorful List - Accent 11 Char,Heading 11 Char,Medium Grid 1 - Accent 21 Char,Body of text+1 Char"/>
    <w:basedOn w:val="DefaultParagraphFont"/>
    <w:link w:val="ListParagraph"/>
    <w:uiPriority w:val="34"/>
    <w:qFormat/>
    <w:locked/>
    <w:rsid w:val="00ED5BD5"/>
    <w:rPr>
      <w:rFonts w:asciiTheme="minorHAnsi" w:eastAsiaTheme="minorEastAsia" w:hAnsiTheme="minorHAnsi"/>
      <w:sz w:val="22"/>
      <w:szCs w:val="22"/>
    </w:rPr>
  </w:style>
  <w:style w:type="paragraph" w:styleId="BodyText">
    <w:name w:val="Body Text"/>
    <w:basedOn w:val="Normal"/>
    <w:link w:val="BodyTextChar"/>
    <w:unhideWhenUsed/>
    <w:rsid w:val="00495A57"/>
    <w:pPr>
      <w:spacing w:after="120"/>
    </w:pPr>
  </w:style>
  <w:style w:type="character" w:customStyle="1" w:styleId="BodyTextChar">
    <w:name w:val="Body Text Char"/>
    <w:basedOn w:val="DefaultParagraphFont"/>
    <w:link w:val="BodyText"/>
    <w:rsid w:val="00495A57"/>
    <w:rPr>
      <w:rFonts w:ascii="Helvetica" w:hAnsi="Helvetica"/>
    </w:rPr>
  </w:style>
  <w:style w:type="paragraph" w:styleId="NoSpacing">
    <w:name w:val="No Spacing"/>
    <w:aliases w:val="Abstract"/>
    <w:basedOn w:val="Normal"/>
    <w:uiPriority w:val="1"/>
    <w:qFormat/>
    <w:rsid w:val="00495A57"/>
    <w:pPr>
      <w:spacing w:before="120" w:after="240"/>
      <w:jc w:val="both"/>
    </w:pPr>
    <w:rPr>
      <w:rFonts w:ascii="Times New Roman" w:eastAsiaTheme="minorEastAsia" w:hAnsi="Times New Roman"/>
      <w:i/>
      <w:sz w:val="24"/>
      <w:szCs w:val="22"/>
    </w:rPr>
  </w:style>
  <w:style w:type="character" w:customStyle="1" w:styleId="katex-mathml">
    <w:name w:val="katex-mathml"/>
    <w:basedOn w:val="DefaultParagraphFont"/>
    <w:rsid w:val="00495A57"/>
  </w:style>
  <w:style w:type="character" w:customStyle="1" w:styleId="Heading9Char">
    <w:name w:val="Heading 9 Char"/>
    <w:basedOn w:val="DefaultParagraphFont"/>
    <w:link w:val="Heading9"/>
    <w:uiPriority w:val="9"/>
    <w:semiHidden/>
    <w:rsid w:val="0049418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FCB0F-7274-4F3C-B763-20907136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59</TotalTime>
  <Pages>14</Pages>
  <Words>26691</Words>
  <Characters>152140</Characters>
  <Application>Microsoft Office Word</Application>
  <DocSecurity>0</DocSecurity>
  <Lines>1267</Lines>
  <Paragraphs>356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178475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20</cp:revision>
  <cp:lastPrinted>1999-07-06T11:00:00Z</cp:lastPrinted>
  <dcterms:created xsi:type="dcterms:W3CDTF">2014-10-25T14:34:00Z</dcterms:created>
  <dcterms:modified xsi:type="dcterms:W3CDTF">2025-08-02T07:41:00Z</dcterms:modified>
</cp:coreProperties>
</file>