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9D849" w14:textId="77777777" w:rsidR="009207A0" w:rsidRPr="00A7504B" w:rsidRDefault="009207A0" w:rsidP="005D213E">
      <w:pPr>
        <w:pStyle w:val="NoSpacing"/>
        <w:spacing w:line="360" w:lineRule="auto"/>
        <w:jc w:val="center"/>
        <w:rPr>
          <w:rFonts w:ascii="Times New Roman" w:hAnsi="Times New Roman"/>
          <w:b/>
          <w:sz w:val="24"/>
          <w:szCs w:val="24"/>
        </w:rPr>
      </w:pPr>
      <w:r w:rsidRPr="00A7504B">
        <w:rPr>
          <w:rFonts w:ascii="Times New Roman" w:hAnsi="Times New Roman"/>
          <w:b/>
          <w:sz w:val="24"/>
          <w:szCs w:val="24"/>
        </w:rPr>
        <w:t>Effect of Phosphorus</w:t>
      </w:r>
      <w:r w:rsidR="0077104D" w:rsidRPr="00A7504B">
        <w:rPr>
          <w:rFonts w:ascii="Times New Roman" w:hAnsi="Times New Roman"/>
          <w:b/>
          <w:sz w:val="24"/>
          <w:szCs w:val="24"/>
        </w:rPr>
        <w:t>, Sulphur and</w:t>
      </w:r>
      <w:r w:rsidRPr="00A7504B">
        <w:rPr>
          <w:rFonts w:ascii="Times New Roman" w:hAnsi="Times New Roman"/>
          <w:b/>
          <w:sz w:val="24"/>
          <w:szCs w:val="24"/>
        </w:rPr>
        <w:t xml:space="preserve"> PSB on Growth, Yield and Nutrient Uptake in Black </w:t>
      </w:r>
      <w:r w:rsidR="0077104D" w:rsidRPr="00A7504B">
        <w:rPr>
          <w:rFonts w:ascii="Times New Roman" w:hAnsi="Times New Roman"/>
          <w:b/>
          <w:sz w:val="24"/>
          <w:szCs w:val="24"/>
        </w:rPr>
        <w:t>gram (</w:t>
      </w:r>
      <w:r w:rsidRPr="00A7504B">
        <w:rPr>
          <w:rFonts w:ascii="Times New Roman" w:hAnsi="Times New Roman"/>
          <w:b/>
          <w:i/>
          <w:sz w:val="24"/>
          <w:szCs w:val="24"/>
        </w:rPr>
        <w:t>Vigna mungo L</w:t>
      </w:r>
      <w:r w:rsidRPr="00A7504B">
        <w:rPr>
          <w:rFonts w:ascii="Times New Roman" w:hAnsi="Times New Roman"/>
          <w:b/>
          <w:sz w:val="24"/>
          <w:szCs w:val="24"/>
        </w:rPr>
        <w:t>.) in Mid-Central Table Land Zone of Odisha.</w:t>
      </w:r>
    </w:p>
    <w:p w14:paraId="7D6B2AAE" w14:textId="77777777" w:rsidR="00A7504B" w:rsidRDefault="00A7504B" w:rsidP="005D213E">
      <w:pPr>
        <w:spacing w:line="360" w:lineRule="auto"/>
        <w:jc w:val="center"/>
        <w:rPr>
          <w:rFonts w:ascii="Times New Roman" w:hAnsi="Times New Roman"/>
          <w:b/>
          <w:sz w:val="24"/>
          <w:szCs w:val="24"/>
        </w:rPr>
      </w:pPr>
    </w:p>
    <w:p w14:paraId="09633BE5" w14:textId="77777777" w:rsidR="00313DEB" w:rsidRDefault="00313DEB" w:rsidP="005D213E">
      <w:pPr>
        <w:spacing w:before="99" w:line="360" w:lineRule="auto"/>
        <w:ind w:left="2880" w:firstLine="720"/>
        <w:jc w:val="both"/>
        <w:rPr>
          <w:rFonts w:ascii="Times New Roman" w:hAnsi="Times New Roman"/>
          <w:b/>
          <w:sz w:val="24"/>
          <w:szCs w:val="24"/>
        </w:rPr>
      </w:pPr>
    </w:p>
    <w:p w14:paraId="741B7AFC" w14:textId="63FD5999" w:rsidR="009207A0" w:rsidRPr="00E343E1" w:rsidRDefault="009207A0" w:rsidP="005D213E">
      <w:pPr>
        <w:spacing w:before="99" w:line="360" w:lineRule="auto"/>
        <w:ind w:left="2880" w:firstLine="720"/>
        <w:jc w:val="both"/>
        <w:rPr>
          <w:rFonts w:ascii="Times New Roman" w:hAnsi="Times New Roman"/>
          <w:b/>
          <w:sz w:val="24"/>
          <w:szCs w:val="24"/>
        </w:rPr>
      </w:pPr>
      <w:r w:rsidRPr="00E343E1">
        <w:rPr>
          <w:rFonts w:ascii="Times New Roman" w:hAnsi="Times New Roman"/>
          <w:b/>
          <w:sz w:val="24"/>
          <w:szCs w:val="24"/>
        </w:rPr>
        <w:t>ABSTRACT</w:t>
      </w:r>
    </w:p>
    <w:p w14:paraId="5D49FE25" w14:textId="77777777" w:rsidR="00E343E1" w:rsidRPr="00E343E1" w:rsidRDefault="00E343E1" w:rsidP="00E343E1">
      <w:pPr>
        <w:pStyle w:val="NormalWeb"/>
        <w:spacing w:line="360" w:lineRule="auto"/>
        <w:jc w:val="both"/>
        <w:rPr>
          <w:b/>
        </w:rPr>
      </w:pPr>
      <w:r w:rsidRPr="00E343E1">
        <w:rPr>
          <w:bCs/>
        </w:rPr>
        <w:t>A field experiment was conducted during</w:t>
      </w:r>
      <w:r w:rsidRPr="00E343E1">
        <w:rPr>
          <w:b/>
        </w:rPr>
        <w:t xml:space="preserve"> </w:t>
      </w:r>
      <w:r w:rsidRPr="00E343E1">
        <w:rPr>
          <w:rStyle w:val="Strong"/>
          <w:b w:val="0"/>
        </w:rPr>
        <w:t>Kharif 2020 and 2021</w:t>
      </w:r>
      <w:r w:rsidRPr="00E343E1">
        <w:rPr>
          <w:b/>
        </w:rPr>
        <w:t xml:space="preserve"> </w:t>
      </w:r>
      <w:r w:rsidRPr="00E343E1">
        <w:rPr>
          <w:bCs/>
        </w:rPr>
        <w:t>at the</w:t>
      </w:r>
      <w:r w:rsidRPr="00E343E1">
        <w:rPr>
          <w:b/>
        </w:rPr>
        <w:t xml:space="preserve"> </w:t>
      </w:r>
      <w:r w:rsidRPr="00E343E1">
        <w:rPr>
          <w:rStyle w:val="Strong"/>
          <w:b w:val="0"/>
        </w:rPr>
        <w:t xml:space="preserve">Regional Research and Technology Transfer Station (OUAT), </w:t>
      </w:r>
      <w:proofErr w:type="spellStart"/>
      <w:r w:rsidRPr="00E343E1">
        <w:rPr>
          <w:rStyle w:val="Strong"/>
          <w:b w:val="0"/>
        </w:rPr>
        <w:t>Mahisapat</w:t>
      </w:r>
      <w:proofErr w:type="spellEnd"/>
      <w:r w:rsidRPr="00E343E1">
        <w:rPr>
          <w:bCs/>
        </w:rPr>
        <w:t xml:space="preserve"> to study the </w:t>
      </w:r>
      <w:r w:rsidRPr="00E343E1">
        <w:rPr>
          <w:rStyle w:val="Emphasis"/>
          <w:bCs/>
        </w:rPr>
        <w:t>effect of phosphorus, sulphur, and phosphate-solubilizing bacteria (PSB) on growth, yield, and nutrient uptake in black gram</w:t>
      </w:r>
      <w:r w:rsidRPr="00E343E1">
        <w:rPr>
          <w:bCs/>
        </w:rPr>
        <w:t xml:space="preserve"> (</w:t>
      </w:r>
      <w:r w:rsidRPr="00E343E1">
        <w:rPr>
          <w:rStyle w:val="Emphasis"/>
          <w:bCs/>
        </w:rPr>
        <w:t>Vigna mungo</w:t>
      </w:r>
      <w:r w:rsidRPr="00E343E1">
        <w:rPr>
          <w:bCs/>
        </w:rPr>
        <w:t xml:space="preserve"> L.). The soil of the experimental site was classified as</w:t>
      </w:r>
      <w:r w:rsidRPr="00E343E1">
        <w:rPr>
          <w:b/>
        </w:rPr>
        <w:t xml:space="preserve"> </w:t>
      </w:r>
      <w:proofErr w:type="spellStart"/>
      <w:r w:rsidRPr="00E343E1">
        <w:rPr>
          <w:rStyle w:val="Strong"/>
          <w:b w:val="0"/>
        </w:rPr>
        <w:t>Alfisol</w:t>
      </w:r>
      <w:proofErr w:type="spellEnd"/>
      <w:r w:rsidRPr="00E343E1">
        <w:rPr>
          <w:bCs/>
        </w:rPr>
        <w:t xml:space="preserve">, low in available nitrogen (221 kg/ha), medium in phosphorus (11.6 kg/ha), and high in potassium (185 kg/ha), with an </w:t>
      </w:r>
      <w:r w:rsidRPr="00E343E1">
        <w:rPr>
          <w:rStyle w:val="Strong"/>
          <w:b w:val="0"/>
        </w:rPr>
        <w:t>acidic pH of 5.6</w:t>
      </w:r>
      <w:r w:rsidRPr="00E343E1">
        <w:rPr>
          <w:bCs/>
        </w:rPr>
        <w:t xml:space="preserve">. The experiment was laid out in a </w:t>
      </w:r>
      <w:r w:rsidRPr="00E343E1">
        <w:rPr>
          <w:rStyle w:val="Strong"/>
          <w:b w:val="0"/>
        </w:rPr>
        <w:t>Randomized Block Design (RBD)</w:t>
      </w:r>
      <w:r w:rsidRPr="00E343E1">
        <w:rPr>
          <w:b/>
        </w:rPr>
        <w:t xml:space="preserve"> with </w:t>
      </w:r>
      <w:r w:rsidRPr="00E343E1">
        <w:rPr>
          <w:rStyle w:val="Strong"/>
          <w:b w:val="0"/>
        </w:rPr>
        <w:t>three replications</w:t>
      </w:r>
      <w:r w:rsidRPr="00E343E1">
        <w:rPr>
          <w:b/>
        </w:rPr>
        <w:t xml:space="preserve"> </w:t>
      </w:r>
      <w:r w:rsidRPr="00E343E1">
        <w:rPr>
          <w:bCs/>
        </w:rPr>
        <w:t xml:space="preserve">and </w:t>
      </w:r>
      <w:r w:rsidRPr="00E343E1">
        <w:rPr>
          <w:rStyle w:val="Strong"/>
          <w:b w:val="0"/>
        </w:rPr>
        <w:t>eight treatment combinations</w:t>
      </w:r>
      <w:r w:rsidRPr="00E343E1">
        <w:rPr>
          <w:bCs/>
        </w:rPr>
        <w:t xml:space="preserve">, including control, varying levels of phosphorus (20 and 40 kg P₂O₅/ha), sulphur (20 kg S/ha), and PSB (4.0 kg/ha), applied alone or in combinations. The </w:t>
      </w:r>
      <w:r w:rsidRPr="00E343E1">
        <w:rPr>
          <w:rStyle w:val="Strong"/>
          <w:b w:val="0"/>
        </w:rPr>
        <w:t>black gram cultivar PU-31</w:t>
      </w:r>
      <w:r w:rsidRPr="00E343E1">
        <w:rPr>
          <w:b/>
        </w:rPr>
        <w:t xml:space="preserve"> </w:t>
      </w:r>
      <w:r w:rsidRPr="00E343E1">
        <w:rPr>
          <w:bCs/>
        </w:rPr>
        <w:t>was used for the study.</w:t>
      </w:r>
      <w:r>
        <w:rPr>
          <w:bCs/>
        </w:rPr>
        <w:t xml:space="preserve"> </w:t>
      </w:r>
      <w:r w:rsidRPr="00E343E1">
        <w:rPr>
          <w:bCs/>
        </w:rPr>
        <w:t xml:space="preserve">Among all treatments, </w:t>
      </w:r>
      <w:r w:rsidRPr="00E343E1">
        <w:rPr>
          <w:rStyle w:val="Strong"/>
          <w:b w:val="0"/>
        </w:rPr>
        <w:t>T₆ (40 kg P₂O₅/ha + 20 kg S/ha + PSB 4.0 kg/ha)</w:t>
      </w:r>
      <w:r w:rsidRPr="00E343E1">
        <w:rPr>
          <w:b/>
        </w:rPr>
        <w:t xml:space="preserve"> </w:t>
      </w:r>
      <w:r w:rsidRPr="00E343E1">
        <w:rPr>
          <w:bCs/>
        </w:rPr>
        <w:t>recorded significantly superior results across all growth, yield, and nutrient uptake parameters. This treatment resulted in</w:t>
      </w:r>
      <w:r w:rsidRPr="00E343E1">
        <w:rPr>
          <w:b/>
        </w:rPr>
        <w:t xml:space="preserve"> </w:t>
      </w:r>
      <w:r w:rsidRPr="00E343E1">
        <w:rPr>
          <w:rStyle w:val="Strong"/>
          <w:b w:val="0"/>
        </w:rPr>
        <w:t>maximum plant height (38.03 cm)</w:t>
      </w:r>
      <w:r w:rsidRPr="00E343E1">
        <w:rPr>
          <w:b/>
        </w:rPr>
        <w:t xml:space="preserve">, </w:t>
      </w:r>
      <w:r w:rsidRPr="00E343E1">
        <w:rPr>
          <w:rStyle w:val="Strong"/>
          <w:b w:val="0"/>
        </w:rPr>
        <w:t>branches per plant (6.34)</w:t>
      </w:r>
      <w:r w:rsidRPr="00E343E1">
        <w:rPr>
          <w:b/>
        </w:rPr>
        <w:t xml:space="preserve">, </w:t>
      </w:r>
      <w:r w:rsidRPr="00E343E1">
        <w:rPr>
          <w:rStyle w:val="Strong"/>
          <w:b w:val="0"/>
        </w:rPr>
        <w:t>number of pods per plant (20.2)</w:t>
      </w:r>
      <w:r w:rsidRPr="00E343E1">
        <w:rPr>
          <w:b/>
        </w:rPr>
        <w:t xml:space="preserve">, </w:t>
      </w:r>
      <w:r w:rsidRPr="00E343E1">
        <w:rPr>
          <w:rStyle w:val="Strong"/>
          <w:b w:val="0"/>
        </w:rPr>
        <w:t>pod length (4.1 cm)</w:t>
      </w:r>
      <w:r w:rsidRPr="00E343E1">
        <w:rPr>
          <w:b/>
        </w:rPr>
        <w:t xml:space="preserve">, </w:t>
      </w:r>
      <w:r w:rsidRPr="00E343E1">
        <w:rPr>
          <w:rStyle w:val="Strong"/>
          <w:b w:val="0"/>
        </w:rPr>
        <w:t>seeds per pod (6.27)</w:t>
      </w:r>
      <w:r w:rsidRPr="00E343E1">
        <w:rPr>
          <w:bCs/>
        </w:rPr>
        <w:t>, and</w:t>
      </w:r>
      <w:r w:rsidRPr="00E343E1">
        <w:rPr>
          <w:b/>
        </w:rPr>
        <w:t xml:space="preserve"> </w:t>
      </w:r>
      <w:r w:rsidRPr="00E343E1">
        <w:rPr>
          <w:rStyle w:val="Strong"/>
          <w:b w:val="0"/>
        </w:rPr>
        <w:t>test weight (36.0 g)</w:t>
      </w:r>
      <w:r w:rsidRPr="00E343E1">
        <w:rPr>
          <w:bCs/>
        </w:rPr>
        <w:t>, leading to the highest</w:t>
      </w:r>
      <w:r w:rsidRPr="00E343E1">
        <w:rPr>
          <w:b/>
        </w:rPr>
        <w:t xml:space="preserve"> </w:t>
      </w:r>
      <w:r w:rsidRPr="00E343E1">
        <w:rPr>
          <w:rStyle w:val="Strong"/>
          <w:b w:val="0"/>
        </w:rPr>
        <w:t>seed yield (8.50 q/ha)</w:t>
      </w:r>
      <w:r w:rsidRPr="00E343E1">
        <w:rPr>
          <w:b/>
        </w:rPr>
        <w:t xml:space="preserve"> </w:t>
      </w:r>
      <w:r w:rsidRPr="00E343E1">
        <w:rPr>
          <w:bCs/>
        </w:rPr>
        <w:t>and</w:t>
      </w:r>
      <w:r w:rsidRPr="00E343E1">
        <w:rPr>
          <w:b/>
        </w:rPr>
        <w:t xml:space="preserve"> </w:t>
      </w:r>
      <w:r w:rsidRPr="00E343E1">
        <w:rPr>
          <w:rStyle w:val="Strong"/>
          <w:b w:val="0"/>
        </w:rPr>
        <w:t>haulm yield (18.56 q/ha)</w:t>
      </w:r>
      <w:r w:rsidRPr="00E343E1">
        <w:rPr>
          <w:b/>
        </w:rPr>
        <w:t xml:space="preserve">. </w:t>
      </w:r>
      <w:r w:rsidRPr="00E343E1">
        <w:rPr>
          <w:bCs/>
        </w:rPr>
        <w:t>Correspondingly, T₆ also recorded the</w:t>
      </w:r>
      <w:r w:rsidRPr="00E343E1">
        <w:rPr>
          <w:b/>
        </w:rPr>
        <w:t xml:space="preserve"> </w:t>
      </w:r>
      <w:r w:rsidRPr="00E343E1">
        <w:rPr>
          <w:rStyle w:val="Strong"/>
          <w:b w:val="0"/>
        </w:rPr>
        <w:t>highest nutrient uptake</w:t>
      </w:r>
      <w:r w:rsidRPr="00E343E1">
        <w:rPr>
          <w:b/>
        </w:rPr>
        <w:t xml:space="preserve">: </w:t>
      </w:r>
      <w:r w:rsidRPr="00E343E1">
        <w:rPr>
          <w:rStyle w:val="Strong"/>
          <w:b w:val="0"/>
        </w:rPr>
        <w:t>nitrogen (48.2 kg/ha)</w:t>
      </w:r>
      <w:r w:rsidRPr="00E343E1">
        <w:rPr>
          <w:b/>
        </w:rPr>
        <w:t xml:space="preserve">, </w:t>
      </w:r>
      <w:r w:rsidRPr="00E343E1">
        <w:rPr>
          <w:rStyle w:val="Strong"/>
          <w:b w:val="0"/>
        </w:rPr>
        <w:t>phosphorus (7.8 kg/ha)</w:t>
      </w:r>
      <w:r w:rsidRPr="00E343E1">
        <w:rPr>
          <w:bCs/>
        </w:rPr>
        <w:t xml:space="preserve">, and </w:t>
      </w:r>
      <w:r w:rsidRPr="00E343E1">
        <w:rPr>
          <w:rStyle w:val="Strong"/>
          <w:b w:val="0"/>
        </w:rPr>
        <w:t>potassium (36.7 kg/ha</w:t>
      </w:r>
      <w:r w:rsidRPr="00E343E1">
        <w:rPr>
          <w:rStyle w:val="Strong"/>
          <w:bCs w:val="0"/>
        </w:rPr>
        <w:t>)</w:t>
      </w:r>
      <w:r w:rsidRPr="00E343E1">
        <w:rPr>
          <w:bCs/>
        </w:rPr>
        <w:t>, followed by T₇ and T₅. The control plot (T₁) showed the lowest performance with only</w:t>
      </w:r>
      <w:r w:rsidRPr="00E343E1">
        <w:rPr>
          <w:b/>
        </w:rPr>
        <w:t xml:space="preserve"> </w:t>
      </w:r>
      <w:r w:rsidRPr="00E343E1">
        <w:rPr>
          <w:rStyle w:val="Strong"/>
          <w:b w:val="0"/>
        </w:rPr>
        <w:t>26.3 kg/ha N</w:t>
      </w:r>
      <w:r w:rsidRPr="00E343E1">
        <w:rPr>
          <w:b/>
        </w:rPr>
        <w:t xml:space="preserve">, </w:t>
      </w:r>
      <w:r w:rsidRPr="00E343E1">
        <w:rPr>
          <w:rStyle w:val="Strong"/>
          <w:b w:val="0"/>
        </w:rPr>
        <w:t>3.2 kg/ha P</w:t>
      </w:r>
      <w:r w:rsidRPr="00E343E1">
        <w:rPr>
          <w:bCs/>
        </w:rPr>
        <w:t>, and</w:t>
      </w:r>
      <w:r w:rsidRPr="00E343E1">
        <w:rPr>
          <w:b/>
        </w:rPr>
        <w:t xml:space="preserve"> </w:t>
      </w:r>
      <w:r w:rsidRPr="00E343E1">
        <w:rPr>
          <w:rStyle w:val="Strong"/>
          <w:b w:val="0"/>
        </w:rPr>
        <w:t>21.8 kg/ha K</w:t>
      </w:r>
      <w:r w:rsidRPr="00E343E1">
        <w:rPr>
          <w:b/>
        </w:rPr>
        <w:t xml:space="preserve"> </w:t>
      </w:r>
      <w:r w:rsidRPr="00E343E1">
        <w:rPr>
          <w:bCs/>
        </w:rPr>
        <w:t>uptake</w:t>
      </w:r>
      <w:r w:rsidRPr="00E343E1">
        <w:rPr>
          <w:b/>
        </w:rPr>
        <w:t>.</w:t>
      </w:r>
      <w:r>
        <w:rPr>
          <w:b/>
        </w:rPr>
        <w:t xml:space="preserve"> </w:t>
      </w:r>
      <w:r w:rsidRPr="00E343E1">
        <w:rPr>
          <w:bCs/>
        </w:rPr>
        <w:t>These results clearly demonstrate that the</w:t>
      </w:r>
      <w:r w:rsidRPr="00E343E1">
        <w:rPr>
          <w:b/>
        </w:rPr>
        <w:t xml:space="preserve"> </w:t>
      </w:r>
      <w:r w:rsidRPr="00E343E1">
        <w:rPr>
          <w:rStyle w:val="Strong"/>
          <w:b w:val="0"/>
        </w:rPr>
        <w:t>integrated application</w:t>
      </w:r>
      <w:r w:rsidRPr="00E343E1">
        <w:rPr>
          <w:b/>
        </w:rPr>
        <w:t xml:space="preserve"> </w:t>
      </w:r>
      <w:r w:rsidRPr="00E343E1">
        <w:rPr>
          <w:bCs/>
        </w:rPr>
        <w:t xml:space="preserve">of </w:t>
      </w:r>
      <w:r w:rsidRPr="00E343E1">
        <w:rPr>
          <w:rStyle w:val="Strong"/>
          <w:b w:val="0"/>
        </w:rPr>
        <w:t>phosphorus, sulphur, and PSB</w:t>
      </w:r>
      <w:r w:rsidRPr="00E343E1">
        <w:rPr>
          <w:b/>
        </w:rPr>
        <w:t xml:space="preserve"> </w:t>
      </w:r>
      <w:r w:rsidRPr="00E343E1">
        <w:rPr>
          <w:bCs/>
        </w:rPr>
        <w:t>significantly enhances black gram productivity, nutrient use efficiency, and soil fertility under acidic soil conditions. Therefore, this nutrient management strategy can be recommended as a sustainable approach for improving black gram performance in the</w:t>
      </w:r>
      <w:r w:rsidRPr="00E343E1">
        <w:rPr>
          <w:b/>
        </w:rPr>
        <w:t xml:space="preserve"> </w:t>
      </w:r>
      <w:r w:rsidRPr="00E343E1">
        <w:rPr>
          <w:rStyle w:val="Strong"/>
          <w:b w:val="0"/>
        </w:rPr>
        <w:t>Mid-Central Table Land Zone of Odisha</w:t>
      </w:r>
      <w:r w:rsidRPr="00E343E1">
        <w:rPr>
          <w:b/>
        </w:rPr>
        <w:t>.</w:t>
      </w:r>
    </w:p>
    <w:p w14:paraId="7AA7C128" w14:textId="3EFD7697" w:rsidR="009207A0" w:rsidRDefault="009207A0" w:rsidP="005D213E">
      <w:pPr>
        <w:pStyle w:val="TableParagraph"/>
        <w:spacing w:before="71" w:line="360" w:lineRule="auto"/>
        <w:ind w:left="149"/>
        <w:jc w:val="both"/>
        <w:rPr>
          <w:sz w:val="24"/>
          <w:szCs w:val="24"/>
        </w:rPr>
      </w:pPr>
      <w:r w:rsidRPr="00E343E1">
        <w:rPr>
          <w:b/>
          <w:i/>
          <w:iCs/>
          <w:sz w:val="24"/>
          <w:szCs w:val="24"/>
        </w:rPr>
        <w:t>Keywords:</w:t>
      </w:r>
      <w:r w:rsidRPr="00A7504B">
        <w:rPr>
          <w:b/>
          <w:sz w:val="24"/>
          <w:szCs w:val="24"/>
        </w:rPr>
        <w:t xml:space="preserve">  </w:t>
      </w:r>
      <w:r w:rsidRPr="00A7504B">
        <w:rPr>
          <w:sz w:val="24"/>
          <w:szCs w:val="24"/>
        </w:rPr>
        <w:t xml:space="preserve">Black gram, </w:t>
      </w:r>
      <w:r w:rsidRPr="00A7504B">
        <w:rPr>
          <w:bCs/>
          <w:sz w:val="24"/>
          <w:szCs w:val="24"/>
        </w:rPr>
        <w:t>Phosphorus</w:t>
      </w:r>
      <w:r w:rsidR="002C631E" w:rsidRPr="00A7504B">
        <w:rPr>
          <w:bCs/>
          <w:sz w:val="24"/>
          <w:szCs w:val="24"/>
        </w:rPr>
        <w:t>, Sulphur</w:t>
      </w:r>
      <w:r w:rsidRPr="00A7504B">
        <w:rPr>
          <w:bCs/>
          <w:sz w:val="24"/>
          <w:szCs w:val="24"/>
        </w:rPr>
        <w:t>, PSB</w:t>
      </w:r>
      <w:r w:rsidRPr="00A7504B">
        <w:rPr>
          <w:sz w:val="24"/>
          <w:szCs w:val="24"/>
        </w:rPr>
        <w:t>, Growth and Yield.</w:t>
      </w:r>
    </w:p>
    <w:p w14:paraId="1CBB53C0" w14:textId="5988BEDF" w:rsidR="00313DEB" w:rsidRDefault="00313DEB" w:rsidP="005D213E">
      <w:pPr>
        <w:pStyle w:val="TableParagraph"/>
        <w:spacing w:before="71" w:line="360" w:lineRule="auto"/>
        <w:ind w:left="149"/>
        <w:jc w:val="both"/>
        <w:rPr>
          <w:sz w:val="24"/>
          <w:szCs w:val="24"/>
        </w:rPr>
      </w:pPr>
    </w:p>
    <w:p w14:paraId="6E0F4DD8" w14:textId="77777777" w:rsidR="00313DEB" w:rsidRPr="00A7504B" w:rsidRDefault="00313DEB" w:rsidP="005D213E">
      <w:pPr>
        <w:pStyle w:val="TableParagraph"/>
        <w:spacing w:before="71" w:line="360" w:lineRule="auto"/>
        <w:ind w:left="149"/>
        <w:jc w:val="both"/>
        <w:rPr>
          <w:sz w:val="24"/>
          <w:szCs w:val="24"/>
        </w:rPr>
      </w:pPr>
    </w:p>
    <w:p w14:paraId="10AA1511" w14:textId="56307394" w:rsidR="00DF2DD0" w:rsidRDefault="00DE7A8E" w:rsidP="005D213E">
      <w:pPr>
        <w:pStyle w:val="NormalWeb"/>
        <w:spacing w:line="360" w:lineRule="auto"/>
        <w:jc w:val="both"/>
      </w:pPr>
      <w:r>
        <w:rPr>
          <w:rStyle w:val="Strong"/>
        </w:rPr>
        <w:lastRenderedPageBreak/>
        <w:t>INTRODUCTION</w:t>
      </w:r>
    </w:p>
    <w:p w14:paraId="5892413C" w14:textId="61CF1911" w:rsidR="006E2702" w:rsidRDefault="006E2702" w:rsidP="00F6286F">
      <w:pPr>
        <w:pStyle w:val="NormalWeb"/>
        <w:spacing w:line="360" w:lineRule="auto"/>
        <w:jc w:val="both"/>
      </w:pPr>
      <w:r>
        <w:t>Black gram (</w:t>
      </w:r>
      <w:r>
        <w:rPr>
          <w:rStyle w:val="Emphasis"/>
        </w:rPr>
        <w:t>Vigna mungo</w:t>
      </w:r>
      <w:r>
        <w:t xml:space="preserve"> L.), also known as urad bean, is one of the most important pulse crops cultivated in India, serving as a rich source of protein and contributing significantly to soil fertility through biological nitrogen fixation. Globally, pulses are cultivated on approximately 93.18 million hectares (</w:t>
      </w:r>
      <w:proofErr w:type="spellStart"/>
      <w:r>
        <w:t>Mha</w:t>
      </w:r>
      <w:proofErr w:type="spellEnd"/>
      <w:r>
        <w:t xml:space="preserve">), producing around 89.82 million tonnes (Mt), with an average productivity of 964 kg/ha. India leads the world in pulse cultivation, accounting for over 28 </w:t>
      </w:r>
      <w:proofErr w:type="spellStart"/>
      <w:r>
        <w:t>Mha</w:t>
      </w:r>
      <w:proofErr w:type="spellEnd"/>
      <w:r>
        <w:t xml:space="preserve"> under pulses, contributing approximately 31% of the global area and 28% of global production (Directorate of Pulses Development, 2021). Despite this, the national productivity of pulses remains suboptimal, recorded at 885 kg/ha in 2020–21, due to a combination of biotic, abiotic, and nutritional constraints (</w:t>
      </w:r>
      <w:r w:rsidR="00F6286F">
        <w:t>Pang et al., 2024</w:t>
      </w:r>
      <w:r>
        <w:t>).</w:t>
      </w:r>
    </w:p>
    <w:p w14:paraId="7DDD92E7" w14:textId="52340C00" w:rsidR="006E2702" w:rsidRDefault="006E2702" w:rsidP="00F6286F">
      <w:pPr>
        <w:pStyle w:val="NormalWeb"/>
        <w:spacing w:line="360" w:lineRule="auto"/>
        <w:jc w:val="both"/>
      </w:pPr>
      <w:r>
        <w:t>Among the key agronomic factors influencing black gram productivity, nutrient management—especially phosphorus (P) and sulphur (S) nutrition—plays a critical role. Phosphorus is essential for root proliferation, photosynthesis, energy transfer, and reproductive development. It is well documented that phosphorus deficiency adversely affects the growth and yield of legumes, including black gram (</w:t>
      </w:r>
      <w:r w:rsidR="00F6286F">
        <w:t>Logesh et al., 2024</w:t>
      </w:r>
      <w:r>
        <w:t xml:space="preserve">; </w:t>
      </w:r>
      <w:r w:rsidR="00F6286F">
        <w:t>Chen et al., 2023</w:t>
      </w:r>
      <w:r>
        <w:t>). However, the phosphorus use efficiency in Indian soils is low, with only 15–20% of the applied phosphorus utilized by plants; the rest becomes fixed in the soil as insoluble forms, especially in acidic and alkaline soils (</w:t>
      </w:r>
      <w:r w:rsidR="00F6286F">
        <w:t>Pang et al., 2024</w:t>
      </w:r>
      <w:r>
        <w:t>). This necessitates the exploration of synergistic approaches, such as the use of biofertilizers, to enhance phosphorus availability and uptake.</w:t>
      </w:r>
    </w:p>
    <w:p w14:paraId="3859AEA4" w14:textId="55DB171F" w:rsidR="006E2702" w:rsidRDefault="006E2702" w:rsidP="00F6286F">
      <w:pPr>
        <w:pStyle w:val="NormalWeb"/>
        <w:spacing w:line="360" w:lineRule="auto"/>
        <w:jc w:val="both"/>
      </w:pPr>
      <w:r>
        <w:t>Sulphur, considered the fourth major plant nutrient after nitrogen, phosphorus, and potassium, is gaining attention for its vital role in chlorophyll synthesis, enzyme activation, and amino acid (cysteine and methionine) formation. It also enhances biological nitrogen fixation in legumes by supporting nodule development (</w:t>
      </w:r>
      <w:r w:rsidR="00F6286F">
        <w:t>Ramandeep et al., 2024</w:t>
      </w:r>
      <w:r>
        <w:t>). In recent years, sulphur deficiencies have become widespread in Indian soils, particularly in sandy and low organic matter soils, largely due to the extensive use of sulphur-free fertilizers such as urea and DAP. Consequently, sulphur supplementation has shown promising results in improving both the quantitative and qualitative traits of pulses (</w:t>
      </w:r>
      <w:r w:rsidR="00F6286F">
        <w:t>Ramandeep et al., 2024</w:t>
      </w:r>
      <w:r>
        <w:t>).</w:t>
      </w:r>
    </w:p>
    <w:p w14:paraId="638D93D5" w14:textId="46B27DA4" w:rsidR="006E2702" w:rsidRDefault="006E2702" w:rsidP="00F6286F">
      <w:pPr>
        <w:pStyle w:val="NormalWeb"/>
        <w:spacing w:line="360" w:lineRule="auto"/>
        <w:jc w:val="both"/>
      </w:pPr>
      <w:r>
        <w:lastRenderedPageBreak/>
        <w:t xml:space="preserve">Moreover, the role of phosphate-solubilizing bacteria (PSB) in enhancing phosphorus bioavailability is well recognized. Microbial inoculants like </w:t>
      </w:r>
      <w:r>
        <w:rPr>
          <w:rStyle w:val="Emphasis"/>
        </w:rPr>
        <w:t>Pseudomonas</w:t>
      </w:r>
      <w:r>
        <w:t xml:space="preserve"> spp. and </w:t>
      </w:r>
      <w:r>
        <w:rPr>
          <w:rStyle w:val="Emphasis"/>
        </w:rPr>
        <w:t>Bacillus</w:t>
      </w:r>
      <w:r>
        <w:t xml:space="preserve"> spp. secrete organic acids and enzymes that convert insoluble phosphorus into plant-available forms, thereby enhancing nutrient use efficiency and plant productivity (</w:t>
      </w:r>
      <w:r w:rsidR="00F6286F">
        <w:t>Logesh et al., 2024</w:t>
      </w:r>
      <w:r>
        <w:t xml:space="preserve">; </w:t>
      </w:r>
      <w:r w:rsidR="00F6286F">
        <w:t>Pang et al., 2024</w:t>
      </w:r>
      <w:r>
        <w:t>). The use of such biofertilizers also contributes to sustainable agriculture by reducing dependence on chemical inputs (</w:t>
      </w:r>
      <w:r w:rsidR="00F6286F">
        <w:t>Chen et al., 2023</w:t>
      </w:r>
      <w:r>
        <w:t>).</w:t>
      </w:r>
    </w:p>
    <w:p w14:paraId="496D2C71" w14:textId="77777777" w:rsidR="006E2702" w:rsidRDefault="006E2702" w:rsidP="00F6286F">
      <w:pPr>
        <w:pStyle w:val="NormalWeb"/>
        <w:spacing w:line="360" w:lineRule="auto"/>
        <w:jc w:val="both"/>
      </w:pPr>
      <w:r>
        <w:t xml:space="preserve">Given the persistent yield gap in pulse crops and the increasing demand for sustainable nutrient management, it becomes imperative to integrate inorganic nutrient sources with biological inputs. Therefore, the present investigation was undertaken to evaluate the effects of the combined application of phosphorus, sulphur, and phosphate-solubilizing biofertilizers on growth, yield, and nutrient uptake of black gram under the </w:t>
      </w:r>
      <w:proofErr w:type="spellStart"/>
      <w:r>
        <w:t>agro</w:t>
      </w:r>
      <w:proofErr w:type="spellEnd"/>
      <w:r>
        <w:t>-climatic conditions of the Mid-Central Table Land Zone of Odisha. This study aims to provide insights into optimized nutrient strategies that can enhance productivity and resource use efficiency in pulse-based farming systems.</w:t>
      </w:r>
    </w:p>
    <w:p w14:paraId="023A35AD" w14:textId="6BA47644" w:rsidR="003E7CE1" w:rsidRPr="00A7504B" w:rsidRDefault="00DE7A8E" w:rsidP="005D213E">
      <w:pPr>
        <w:pStyle w:val="Heading1"/>
        <w:spacing w:line="360" w:lineRule="auto"/>
        <w:ind w:left="0"/>
        <w:jc w:val="both"/>
      </w:pPr>
      <w:r w:rsidRPr="00A7504B">
        <w:t>MATERIALS AND METHODS</w:t>
      </w:r>
    </w:p>
    <w:p w14:paraId="0E29D9FC" w14:textId="77777777" w:rsidR="003E7CE1" w:rsidRPr="00134028" w:rsidRDefault="003E7CE1" w:rsidP="005D213E">
      <w:pPr>
        <w:pStyle w:val="BodyText"/>
        <w:spacing w:line="360" w:lineRule="auto"/>
        <w:ind w:right="26" w:firstLine="720"/>
        <w:jc w:val="both"/>
      </w:pPr>
      <w:r w:rsidRPr="00A7504B">
        <w:t xml:space="preserve">A field experiment was conducted at Regional Research &amp; Technology Transfer Station </w:t>
      </w:r>
      <w:r w:rsidR="007B0AE4">
        <w:t>(</w:t>
      </w:r>
      <w:r w:rsidRPr="00A7504B">
        <w:t>OUAT</w:t>
      </w:r>
      <w:r w:rsidR="007B0AE4">
        <w:t>)</w:t>
      </w:r>
      <w:r w:rsidRPr="00A7504B">
        <w:t xml:space="preserve">, </w:t>
      </w:r>
      <w:proofErr w:type="spellStart"/>
      <w:r w:rsidRPr="00A7504B">
        <w:t>Mahisapat</w:t>
      </w:r>
      <w:proofErr w:type="spellEnd"/>
      <w:r w:rsidRPr="00A7504B">
        <w:t xml:space="preserve"> situated at geographical parallels between 20</w:t>
      </w:r>
      <w:r w:rsidRPr="00A7504B">
        <w:rPr>
          <w:vertAlign w:val="superscript"/>
        </w:rPr>
        <w:t>0</w:t>
      </w:r>
      <w:r w:rsidRPr="00A7504B">
        <w:t>3’ and 21</w:t>
      </w:r>
      <w:r w:rsidRPr="00A7504B">
        <w:rPr>
          <w:vertAlign w:val="superscript"/>
        </w:rPr>
        <w:t>0</w:t>
      </w:r>
      <w:r w:rsidRPr="00A7504B">
        <w:t>16’ N latitudes and 84</w:t>
      </w:r>
      <w:r w:rsidRPr="00A7504B">
        <w:rPr>
          <w:vertAlign w:val="superscript"/>
        </w:rPr>
        <w:t>0</w:t>
      </w:r>
      <w:r w:rsidR="00166EFD" w:rsidRPr="00A7504B">
        <w:t>0’</w:t>
      </w:r>
      <w:r w:rsidRPr="00A7504B">
        <w:t xml:space="preserve"> and 86</w:t>
      </w:r>
      <w:r w:rsidRPr="00A7504B">
        <w:rPr>
          <w:vertAlign w:val="superscript"/>
        </w:rPr>
        <w:t>0</w:t>
      </w:r>
      <w:r w:rsidRPr="00A7504B">
        <w:t xml:space="preserve">6’ E longitude, during </w:t>
      </w:r>
      <w:r w:rsidRPr="00A7504B">
        <w:rPr>
          <w:i/>
        </w:rPr>
        <w:t xml:space="preserve">kharif </w:t>
      </w:r>
      <w:r w:rsidRPr="00A7504B">
        <w:t xml:space="preserve">seasons </w:t>
      </w:r>
      <w:r w:rsidRPr="00A7504B">
        <w:rPr>
          <w:spacing w:val="1"/>
        </w:rPr>
        <w:t xml:space="preserve">of </w:t>
      </w:r>
      <w:r w:rsidRPr="00A7504B">
        <w:t xml:space="preserve">2020 &amp; 2021 on acidic </w:t>
      </w:r>
      <w:proofErr w:type="spellStart"/>
      <w:r w:rsidRPr="00A7504B">
        <w:rPr>
          <w:i/>
        </w:rPr>
        <w:t>Alfisols</w:t>
      </w:r>
      <w:proofErr w:type="spellEnd"/>
      <w:r w:rsidRPr="00A7504B">
        <w:rPr>
          <w:i/>
        </w:rPr>
        <w:t xml:space="preserve"> </w:t>
      </w:r>
      <w:r w:rsidRPr="00A7504B">
        <w:rPr>
          <w:iCs/>
        </w:rPr>
        <w:t xml:space="preserve">soils </w:t>
      </w:r>
      <w:r w:rsidRPr="00A7504B">
        <w:t xml:space="preserve">of Odisha </w:t>
      </w:r>
      <w:r w:rsidR="00E45C5A" w:rsidRPr="00A7504B">
        <w:t>with an objective to</w:t>
      </w:r>
      <w:r w:rsidRPr="00A7504B">
        <w:t xml:space="preserve"> study the effect</w:t>
      </w:r>
      <w:r w:rsidR="0022267C" w:rsidRPr="00A7504B">
        <w:t xml:space="preserve"> of</w:t>
      </w:r>
      <w:r w:rsidRPr="00A7504B">
        <w:t xml:space="preserve"> </w:t>
      </w:r>
      <w:r w:rsidR="003D09EF" w:rsidRPr="00A7504B">
        <w:rPr>
          <w:bCs/>
        </w:rPr>
        <w:t>Phosphorus, Sulphur and</w:t>
      </w:r>
      <w:r w:rsidR="009E6602" w:rsidRPr="00A7504B">
        <w:rPr>
          <w:bCs/>
        </w:rPr>
        <w:t xml:space="preserve"> PSB on Growth, </w:t>
      </w:r>
      <w:r w:rsidRPr="00A7504B">
        <w:rPr>
          <w:bCs/>
        </w:rPr>
        <w:t>Yield and</w:t>
      </w:r>
      <w:r w:rsidR="009E6602" w:rsidRPr="00A7504B">
        <w:rPr>
          <w:bCs/>
        </w:rPr>
        <w:t xml:space="preserve"> Nutrient Uptake in Black gram </w:t>
      </w:r>
      <w:r w:rsidRPr="00A7504B">
        <w:rPr>
          <w:bCs/>
        </w:rPr>
        <w:t>(</w:t>
      </w:r>
      <w:r w:rsidRPr="00A7504B">
        <w:rPr>
          <w:bCs/>
          <w:i/>
        </w:rPr>
        <w:t xml:space="preserve">Vigna mungo </w:t>
      </w:r>
      <w:r w:rsidRPr="007330AB">
        <w:rPr>
          <w:bCs/>
        </w:rPr>
        <w:t>L</w:t>
      </w:r>
      <w:r w:rsidRPr="00A7504B">
        <w:rPr>
          <w:bCs/>
        </w:rPr>
        <w:t>.)</w:t>
      </w:r>
      <w:r w:rsidRPr="00A7504B">
        <w:t xml:space="preserve">. </w:t>
      </w:r>
      <w:r w:rsidR="009E6602" w:rsidRPr="00A7504B">
        <w:t xml:space="preserve">The Black gram cultivar PU-31 was used </w:t>
      </w:r>
      <w:r w:rsidR="00E45C5A" w:rsidRPr="00A7504B">
        <w:t>for</w:t>
      </w:r>
      <w:r w:rsidR="009E6602" w:rsidRPr="00A7504B">
        <w:t xml:space="preserve"> </w:t>
      </w:r>
      <w:r w:rsidR="0022267C" w:rsidRPr="00A7504B">
        <w:t xml:space="preserve">the </w:t>
      </w:r>
      <w:r w:rsidR="009E6602" w:rsidRPr="00A7504B">
        <w:t>experiment</w:t>
      </w:r>
      <w:r w:rsidR="00E45C5A" w:rsidRPr="00A7504B">
        <w:t>ation</w:t>
      </w:r>
      <w:r w:rsidR="009E6602" w:rsidRPr="00A7504B">
        <w:t xml:space="preserve">. </w:t>
      </w:r>
      <w:r w:rsidRPr="00A7504B">
        <w:t xml:space="preserve">The soil of experimental site was sandy loam in texture, low in </w:t>
      </w:r>
      <w:r w:rsidR="0022267C" w:rsidRPr="00A7504B">
        <w:t>nitrogen (221 kg/ha) medium in phosphorus (11.6 kg/ha) and high in potassium (185 kg/ha) with pH 5.6</w:t>
      </w:r>
      <w:r w:rsidRPr="00A7504B">
        <w:rPr>
          <w:i/>
        </w:rPr>
        <w:t>.</w:t>
      </w:r>
      <w:r w:rsidR="0022267C" w:rsidRPr="00A7504B">
        <w:rPr>
          <w:i/>
        </w:rPr>
        <w:t xml:space="preserve"> </w:t>
      </w:r>
      <w:r w:rsidRPr="00A7504B">
        <w:t xml:space="preserve">The average annual rainfall of the region </w:t>
      </w:r>
      <w:r w:rsidR="0022267C" w:rsidRPr="00A7504B">
        <w:t xml:space="preserve">was </w:t>
      </w:r>
      <w:r w:rsidRPr="00A7504B">
        <w:t xml:space="preserve">1400 mm. The experiment was conducted in randomized block design with three replications and </w:t>
      </w:r>
      <w:r w:rsidRPr="00A7504B">
        <w:rPr>
          <w:spacing w:val="1"/>
        </w:rPr>
        <w:t xml:space="preserve">eight </w:t>
      </w:r>
      <w:r w:rsidRPr="00A7504B">
        <w:t xml:space="preserve">treatment </w:t>
      </w:r>
      <w:r w:rsidR="0022267C" w:rsidRPr="00A7504B">
        <w:t>combinations (T</w:t>
      </w:r>
      <w:r w:rsidR="0022267C" w:rsidRPr="00A7504B">
        <w:rPr>
          <w:vertAlign w:val="subscript"/>
        </w:rPr>
        <w:t>1</w:t>
      </w:r>
      <w:r w:rsidR="007B0AE4">
        <w:rPr>
          <w:vertAlign w:val="subscript"/>
        </w:rPr>
        <w:t xml:space="preserve"> </w:t>
      </w:r>
      <w:r w:rsidR="007B0AE4">
        <w:t>-</w:t>
      </w:r>
      <w:r w:rsidR="0022267C" w:rsidRPr="00A7504B">
        <w:t xml:space="preserve"> Control, T</w:t>
      </w:r>
      <w:r w:rsidR="0022267C" w:rsidRPr="00A7504B">
        <w:rPr>
          <w:vertAlign w:val="subscript"/>
        </w:rPr>
        <w:t>2</w:t>
      </w:r>
      <w:r w:rsidR="007B0AE4">
        <w:rPr>
          <w:vertAlign w:val="subscript"/>
        </w:rPr>
        <w:t xml:space="preserve"> </w:t>
      </w:r>
      <w:r w:rsidR="007B0AE4">
        <w:t>-</w:t>
      </w:r>
      <w:r w:rsidR="0022267C" w:rsidRPr="00A7504B">
        <w:t xml:space="preserve"> 40 kg P</w:t>
      </w:r>
      <w:r w:rsidR="0022267C" w:rsidRPr="00A7504B">
        <w:rPr>
          <w:vertAlign w:val="subscript"/>
        </w:rPr>
        <w:t>2</w:t>
      </w:r>
      <w:r w:rsidR="0022267C" w:rsidRPr="00A7504B">
        <w:t>O</w:t>
      </w:r>
      <w:r w:rsidR="0022267C" w:rsidRPr="00A7504B">
        <w:rPr>
          <w:vertAlign w:val="subscript"/>
        </w:rPr>
        <w:t>5</w:t>
      </w:r>
      <w:r w:rsidR="0022267C" w:rsidRPr="00A7504B">
        <w:t xml:space="preserve"> /ha , T</w:t>
      </w:r>
      <w:r w:rsidR="0022267C" w:rsidRPr="00A7504B">
        <w:rPr>
          <w:vertAlign w:val="subscript"/>
        </w:rPr>
        <w:t>3</w:t>
      </w:r>
      <w:r w:rsidR="007B0AE4">
        <w:rPr>
          <w:vertAlign w:val="subscript"/>
        </w:rPr>
        <w:t xml:space="preserve"> </w:t>
      </w:r>
      <w:r w:rsidR="007B0AE4">
        <w:t>-</w:t>
      </w:r>
      <w:r w:rsidR="0022267C" w:rsidRPr="00A7504B">
        <w:t xml:space="preserve"> 40 kg P</w:t>
      </w:r>
      <w:r w:rsidR="0022267C" w:rsidRPr="00A7504B">
        <w:rPr>
          <w:vertAlign w:val="subscript"/>
        </w:rPr>
        <w:t>2</w:t>
      </w:r>
      <w:r w:rsidR="0022267C" w:rsidRPr="00A7504B">
        <w:t>O</w:t>
      </w:r>
      <w:r w:rsidR="0022267C" w:rsidRPr="00A7504B">
        <w:rPr>
          <w:vertAlign w:val="subscript"/>
        </w:rPr>
        <w:t>5</w:t>
      </w:r>
      <w:r w:rsidR="0022267C" w:rsidRPr="00A7504B">
        <w:t xml:space="preserve"> /ha + Soil application of PSB 4.0 kg/ha, T</w:t>
      </w:r>
      <w:r w:rsidR="0022267C" w:rsidRPr="00A7504B">
        <w:rPr>
          <w:vertAlign w:val="subscript"/>
        </w:rPr>
        <w:t>4</w:t>
      </w:r>
      <w:r w:rsidR="007B0AE4">
        <w:rPr>
          <w:vertAlign w:val="subscript"/>
        </w:rPr>
        <w:t xml:space="preserve"> </w:t>
      </w:r>
      <w:r w:rsidR="007B0AE4">
        <w:t xml:space="preserve">- </w:t>
      </w:r>
      <w:r w:rsidR="0022267C" w:rsidRPr="00A7504B">
        <w:t xml:space="preserve"> 20 kg P</w:t>
      </w:r>
      <w:r w:rsidR="0022267C" w:rsidRPr="00A7504B">
        <w:rPr>
          <w:vertAlign w:val="subscript"/>
        </w:rPr>
        <w:t>2</w:t>
      </w:r>
      <w:r w:rsidR="0022267C" w:rsidRPr="00A7504B">
        <w:t>O</w:t>
      </w:r>
      <w:r w:rsidR="0022267C" w:rsidRPr="00A7504B">
        <w:rPr>
          <w:vertAlign w:val="subscript"/>
        </w:rPr>
        <w:t xml:space="preserve">5 </w:t>
      </w:r>
      <w:r w:rsidR="0022267C" w:rsidRPr="00A7504B">
        <w:t>/ha+ Soil application of PSB 4.0 kg/ha , T</w:t>
      </w:r>
      <w:r w:rsidR="0022267C" w:rsidRPr="00A7504B">
        <w:rPr>
          <w:vertAlign w:val="subscript"/>
        </w:rPr>
        <w:t>5</w:t>
      </w:r>
      <w:r w:rsidR="007B0AE4">
        <w:rPr>
          <w:vertAlign w:val="subscript"/>
        </w:rPr>
        <w:t xml:space="preserve"> </w:t>
      </w:r>
      <w:r w:rsidR="007B0AE4">
        <w:t>-</w:t>
      </w:r>
      <w:r w:rsidR="0022267C" w:rsidRPr="00A7504B">
        <w:t xml:space="preserve"> 40 kg P</w:t>
      </w:r>
      <w:r w:rsidR="0022267C" w:rsidRPr="00A7504B">
        <w:rPr>
          <w:vertAlign w:val="subscript"/>
        </w:rPr>
        <w:t>2</w:t>
      </w:r>
      <w:r w:rsidR="0022267C" w:rsidRPr="00A7504B">
        <w:t>O</w:t>
      </w:r>
      <w:r w:rsidR="0022267C" w:rsidRPr="00A7504B">
        <w:rPr>
          <w:vertAlign w:val="subscript"/>
        </w:rPr>
        <w:t>5</w:t>
      </w:r>
      <w:r w:rsidR="0022267C" w:rsidRPr="00A7504B">
        <w:t xml:space="preserve"> /ha  + 20 kg S/ha , T</w:t>
      </w:r>
      <w:r w:rsidR="0022267C" w:rsidRPr="00A7504B">
        <w:rPr>
          <w:vertAlign w:val="subscript"/>
        </w:rPr>
        <w:t>6</w:t>
      </w:r>
      <w:r w:rsidR="007B0AE4">
        <w:rPr>
          <w:vertAlign w:val="subscript"/>
        </w:rPr>
        <w:t xml:space="preserve"> </w:t>
      </w:r>
      <w:r w:rsidR="007B0AE4">
        <w:t>-</w:t>
      </w:r>
      <w:r w:rsidR="0022267C" w:rsidRPr="00A7504B">
        <w:t xml:space="preserve"> 40 kg P</w:t>
      </w:r>
      <w:r w:rsidR="0022267C" w:rsidRPr="00A7504B">
        <w:rPr>
          <w:vertAlign w:val="subscript"/>
        </w:rPr>
        <w:t>2</w:t>
      </w:r>
      <w:r w:rsidR="0022267C" w:rsidRPr="00A7504B">
        <w:t>O</w:t>
      </w:r>
      <w:r w:rsidR="0022267C" w:rsidRPr="00A7504B">
        <w:rPr>
          <w:vertAlign w:val="subscript"/>
        </w:rPr>
        <w:t>5</w:t>
      </w:r>
      <w:r w:rsidR="0022267C" w:rsidRPr="00A7504B">
        <w:t xml:space="preserve"> /ha + 20 kg S/ha + Soil application of PSB 4.0 kg/ha, T</w:t>
      </w:r>
      <w:r w:rsidR="0022267C" w:rsidRPr="00A7504B">
        <w:rPr>
          <w:vertAlign w:val="subscript"/>
        </w:rPr>
        <w:t xml:space="preserve">7 </w:t>
      </w:r>
      <w:r w:rsidR="007B0AE4">
        <w:t>-</w:t>
      </w:r>
      <w:r w:rsidR="0022267C" w:rsidRPr="00A7504B">
        <w:t xml:space="preserve"> 20 kg P</w:t>
      </w:r>
      <w:r w:rsidR="0022267C" w:rsidRPr="00A7504B">
        <w:rPr>
          <w:vertAlign w:val="subscript"/>
        </w:rPr>
        <w:t>2</w:t>
      </w:r>
      <w:r w:rsidR="0022267C" w:rsidRPr="00A7504B">
        <w:t>O</w:t>
      </w:r>
      <w:r w:rsidR="0022267C" w:rsidRPr="00A7504B">
        <w:rPr>
          <w:vertAlign w:val="subscript"/>
        </w:rPr>
        <w:t>5</w:t>
      </w:r>
      <w:r w:rsidR="0022267C" w:rsidRPr="00A7504B">
        <w:t xml:space="preserve"> /ha+ 20 kg S/ha + Soil application of PSB 4.0 kg/ha and T</w:t>
      </w:r>
      <w:r w:rsidR="0022267C" w:rsidRPr="00A7504B">
        <w:rPr>
          <w:vertAlign w:val="subscript"/>
        </w:rPr>
        <w:t>8</w:t>
      </w:r>
      <w:r w:rsidR="0059253C">
        <w:rPr>
          <w:vertAlign w:val="subscript"/>
        </w:rPr>
        <w:t xml:space="preserve"> </w:t>
      </w:r>
      <w:r w:rsidR="0059253C">
        <w:t>-</w:t>
      </w:r>
      <w:r w:rsidR="0022267C" w:rsidRPr="00A7504B">
        <w:t xml:space="preserve"> Soil application of  PSB 4.0 kg/ha)</w:t>
      </w:r>
      <w:r w:rsidRPr="00A7504B">
        <w:t>.</w:t>
      </w:r>
      <w:r w:rsidR="0022267C" w:rsidRPr="00A7504B">
        <w:t xml:space="preserve"> </w:t>
      </w:r>
      <w:r w:rsidRPr="00A7504B">
        <w:t xml:space="preserve">The seed </w:t>
      </w:r>
      <w:r w:rsidR="0022267C" w:rsidRPr="00A7504B">
        <w:t xml:space="preserve">rate </w:t>
      </w:r>
      <w:r w:rsidRPr="00A7504B">
        <w:rPr>
          <w:spacing w:val="-1"/>
        </w:rPr>
        <w:t xml:space="preserve">was </w:t>
      </w:r>
      <w:r w:rsidR="002A510F" w:rsidRPr="00A7504B">
        <w:t>2</w:t>
      </w:r>
      <w:r w:rsidRPr="00A7504B">
        <w:t>5.0</w:t>
      </w:r>
      <w:r w:rsidR="0022267C" w:rsidRPr="00A7504B">
        <w:t xml:space="preserve"> </w:t>
      </w:r>
      <w:r w:rsidRPr="00A7504B">
        <w:t>kg</w:t>
      </w:r>
      <w:r w:rsidR="0022267C" w:rsidRPr="00A7504B">
        <w:t>/</w:t>
      </w:r>
      <w:r w:rsidRPr="00A7504B">
        <w:t xml:space="preserve"> ha</w:t>
      </w:r>
      <w:r w:rsidR="0022267C" w:rsidRPr="00A7504B">
        <w:t xml:space="preserve"> with a spacing of 30</w:t>
      </w:r>
      <w:r w:rsidRPr="00A7504B">
        <w:t xml:space="preserve"> cm </w:t>
      </w:r>
      <w:r w:rsidR="0022267C" w:rsidRPr="00A7504B">
        <w:t>row to row</w:t>
      </w:r>
      <w:r w:rsidRPr="00A7504B">
        <w:t xml:space="preserve"> and 10 cm plant to plant. The crop was fertilized with recommended dose </w:t>
      </w:r>
      <w:r w:rsidR="0022267C" w:rsidRPr="00A7504B">
        <w:t>of nitrogen</w:t>
      </w:r>
      <w:r w:rsidR="002A510F" w:rsidRPr="00A7504B">
        <w:t xml:space="preserve"> and potassic </w:t>
      </w:r>
      <w:r w:rsidRPr="00A7504B">
        <w:t>fertilizer</w:t>
      </w:r>
      <w:r w:rsidR="002A510F" w:rsidRPr="00A7504B">
        <w:t>s of NK</w:t>
      </w:r>
      <w:r w:rsidRPr="00A7504B">
        <w:t xml:space="preserve"> i.e., </w:t>
      </w:r>
      <w:r w:rsidR="002A510F" w:rsidRPr="00A7504B">
        <w:t>2</w:t>
      </w:r>
      <w:r w:rsidRPr="00A7504B">
        <w:t>0</w:t>
      </w:r>
      <w:r w:rsidR="002A510F" w:rsidRPr="00A7504B">
        <w:t>:</w:t>
      </w:r>
      <w:r w:rsidRPr="00A7504B">
        <w:t>20 kg</w:t>
      </w:r>
      <w:r w:rsidR="0022267C" w:rsidRPr="00A7504B">
        <w:t>/</w:t>
      </w:r>
      <w:r w:rsidRPr="00A7504B">
        <w:t xml:space="preserve"> ha</w:t>
      </w:r>
      <w:r w:rsidR="0022267C" w:rsidRPr="00A7504B">
        <w:t xml:space="preserve"> </w:t>
      </w:r>
      <w:r w:rsidRPr="00A7504B">
        <w:t>th</w:t>
      </w:r>
      <w:r w:rsidR="00E45C5A" w:rsidRPr="00A7504B">
        <w:t>r</w:t>
      </w:r>
      <w:r w:rsidRPr="00A7504B">
        <w:t>ough urea and MOP</w:t>
      </w:r>
      <w:r w:rsidR="002A510F" w:rsidRPr="00A7504B">
        <w:t xml:space="preserve">. </w:t>
      </w:r>
      <w:r w:rsidR="0022267C" w:rsidRPr="00A7504B">
        <w:t>P</w:t>
      </w:r>
      <w:r w:rsidR="004F289B" w:rsidRPr="00A7504B">
        <w:t>hosphorus and sulphur were applied th</w:t>
      </w:r>
      <w:r w:rsidR="0022267C" w:rsidRPr="00A7504B">
        <w:t>r</w:t>
      </w:r>
      <w:r w:rsidR="004F289B" w:rsidRPr="00A7504B">
        <w:t xml:space="preserve">ough SSP and elemental </w:t>
      </w:r>
      <w:r w:rsidR="0059253C">
        <w:t>S</w:t>
      </w:r>
      <w:r w:rsidR="004F289B" w:rsidRPr="00A7504B">
        <w:t xml:space="preserve">, respectively as per treatments. </w:t>
      </w:r>
      <w:r w:rsidR="004F289B" w:rsidRPr="00A7504B">
        <w:lastRenderedPageBreak/>
        <w:t xml:space="preserve">Further, </w:t>
      </w:r>
      <w:r w:rsidR="0022267C" w:rsidRPr="00A7504B">
        <w:t>the soil</w:t>
      </w:r>
      <w:r w:rsidR="004F289B" w:rsidRPr="00A7504B">
        <w:t xml:space="preserve"> application of PSB was also done as per </w:t>
      </w:r>
      <w:r w:rsidR="005D0DD3">
        <w:rPr>
          <w:lang w:val="en-US"/>
        </w:rPr>
        <w:t xml:space="preserve">the </w:t>
      </w:r>
      <w:r w:rsidR="004F289B" w:rsidRPr="00A7504B">
        <w:t>treatments.</w:t>
      </w:r>
      <w:r w:rsidR="0022267C" w:rsidRPr="00A7504B">
        <w:t xml:space="preserve"> </w:t>
      </w:r>
      <w:r w:rsidRPr="00A7504B">
        <w:t xml:space="preserve">For recording of data in each plot, five plants of </w:t>
      </w:r>
      <w:r w:rsidR="002A510F" w:rsidRPr="00A7504B">
        <w:t>black gram</w:t>
      </w:r>
      <w:r w:rsidRPr="00A7504B">
        <w:t xml:space="preserve"> were selected randomly and labeled properly. The growth attributing characters </w:t>
      </w:r>
      <w:r w:rsidRPr="00A7504B">
        <w:rPr>
          <w:i/>
        </w:rPr>
        <w:t xml:space="preserve">viz. </w:t>
      </w:r>
      <w:r w:rsidRPr="00A7504B">
        <w:t xml:space="preserve">plant height (cm), number of </w:t>
      </w:r>
      <w:r w:rsidR="003D09EF" w:rsidRPr="00A7504B">
        <w:t>branches/ plants</w:t>
      </w:r>
      <w:r w:rsidR="00E45C5A" w:rsidRPr="00A7504B">
        <w:t xml:space="preserve">, number of </w:t>
      </w:r>
      <w:r w:rsidR="003D09EF" w:rsidRPr="00A7504B">
        <w:t>pods/plants</w:t>
      </w:r>
      <w:r w:rsidR="002A510F" w:rsidRPr="00A7504B">
        <w:t>, pod</w:t>
      </w:r>
      <w:r w:rsidR="0022267C" w:rsidRPr="00A7504B">
        <w:t xml:space="preserve"> </w:t>
      </w:r>
      <w:r w:rsidR="003D09EF" w:rsidRPr="00A7504B">
        <w:t>length, number</w:t>
      </w:r>
      <w:r w:rsidR="002A510F" w:rsidRPr="00A7504B">
        <w:t xml:space="preserve"> of </w:t>
      </w:r>
      <w:r w:rsidR="003D09EF" w:rsidRPr="00A7504B">
        <w:t>seeds/pods,</w:t>
      </w:r>
      <w:r w:rsidR="002A510F" w:rsidRPr="00A7504B">
        <w:t xml:space="preserve"> seed </w:t>
      </w:r>
      <w:r w:rsidR="003D09EF" w:rsidRPr="00A7504B">
        <w:t>yield and</w:t>
      </w:r>
      <w:r w:rsidR="002A510F" w:rsidRPr="00A7504B">
        <w:t xml:space="preserve"> haulm yield</w:t>
      </w:r>
      <w:r w:rsidR="002A510F" w:rsidRPr="00A7504B">
        <w:rPr>
          <w:spacing w:val="1"/>
        </w:rPr>
        <w:t xml:space="preserve"> in </w:t>
      </w:r>
      <w:r w:rsidR="002A510F" w:rsidRPr="00A7504B">
        <w:t>kg</w:t>
      </w:r>
      <w:r w:rsidR="0022267C" w:rsidRPr="00A7504B">
        <w:t>/</w:t>
      </w:r>
      <w:r w:rsidR="002A510F" w:rsidRPr="00A7504B">
        <w:t xml:space="preserve">ha were </w:t>
      </w:r>
      <w:r w:rsidRPr="00A7504B">
        <w:t>recorded at the time of harvest.</w:t>
      </w:r>
      <w:r w:rsidR="005472A7" w:rsidRPr="00A7504B">
        <w:t xml:space="preserve"> </w:t>
      </w:r>
      <w:r w:rsidR="002A510F" w:rsidRPr="00A7504B">
        <w:t xml:space="preserve">The </w:t>
      </w:r>
      <w:r w:rsidR="00F74B7D" w:rsidRPr="00A7504B">
        <w:t xml:space="preserve">post-harvest </w:t>
      </w:r>
      <w:r w:rsidR="00A4077C" w:rsidRPr="00A7504B">
        <w:t>soil analysis was done in th</w:t>
      </w:r>
      <w:r w:rsidR="003D09EF" w:rsidRPr="00A7504B">
        <w:t>e</w:t>
      </w:r>
      <w:r w:rsidR="00A4077C" w:rsidRPr="00A7504B">
        <w:t xml:space="preserve"> laboratory for </w:t>
      </w:r>
      <w:r w:rsidR="002A510F" w:rsidRPr="00A7504B">
        <w:t xml:space="preserve">available N, P and K. </w:t>
      </w:r>
      <w:r w:rsidRPr="00A7504B">
        <w:t xml:space="preserve"> All the data were subjected to the analysis of variance (ANOVA) as per the standard procedure </w:t>
      </w:r>
      <w:r w:rsidRPr="00134028">
        <w:t>(Gomez</w:t>
      </w:r>
      <w:r w:rsidR="003D09EF" w:rsidRPr="00134028">
        <w:t xml:space="preserve"> </w:t>
      </w:r>
      <w:r w:rsidRPr="00134028">
        <w:t>and</w:t>
      </w:r>
      <w:r w:rsidR="003D09EF" w:rsidRPr="00134028">
        <w:t xml:space="preserve"> </w:t>
      </w:r>
      <w:r w:rsidRPr="00134028">
        <w:t>Gomez</w:t>
      </w:r>
      <w:r w:rsidR="00A4077C" w:rsidRPr="00134028">
        <w:t>, 1984</w:t>
      </w:r>
      <w:r w:rsidRPr="00134028">
        <w:t>).</w:t>
      </w:r>
    </w:p>
    <w:p w14:paraId="769C4B7F" w14:textId="77777777" w:rsidR="00956158" w:rsidRPr="00A7504B" w:rsidRDefault="00956158" w:rsidP="005D213E">
      <w:pPr>
        <w:pStyle w:val="Heading1"/>
        <w:spacing w:line="360" w:lineRule="auto"/>
        <w:jc w:val="both"/>
      </w:pPr>
    </w:p>
    <w:p w14:paraId="65094BC2" w14:textId="57DD86B1" w:rsidR="00956158" w:rsidRPr="00A7504B" w:rsidRDefault="00DE7A8E" w:rsidP="005D213E">
      <w:pPr>
        <w:pStyle w:val="Heading1"/>
        <w:spacing w:line="360" w:lineRule="auto"/>
        <w:ind w:hanging="300"/>
        <w:jc w:val="both"/>
      </w:pPr>
      <w:r w:rsidRPr="00A7504B">
        <w:t>RESULTS AND DISCUSSION</w:t>
      </w:r>
    </w:p>
    <w:p w14:paraId="3350C1B6" w14:textId="77777777" w:rsidR="00D53CCF" w:rsidRPr="00D53CCF" w:rsidRDefault="00D53CCF" w:rsidP="0086606F">
      <w:pPr>
        <w:spacing w:before="100" w:beforeAutospacing="1" w:after="100" w:afterAutospacing="1" w:line="360" w:lineRule="auto"/>
        <w:rPr>
          <w:rFonts w:ascii="Times New Roman" w:hAnsi="Times New Roman"/>
          <w:sz w:val="24"/>
          <w:szCs w:val="24"/>
          <w:lang w:val="en-IN" w:eastAsia="en-IN"/>
        </w:rPr>
      </w:pPr>
      <w:r w:rsidRPr="00D53CCF">
        <w:rPr>
          <w:rFonts w:ascii="Times New Roman" w:hAnsi="Times New Roman"/>
          <w:sz w:val="24"/>
          <w:szCs w:val="24"/>
          <w:lang w:val="en-IN" w:eastAsia="en-IN"/>
        </w:rPr>
        <w:t>The experimental data from Kharif 2020 and 2021 (Tables 1–3) revealed a significant influence of integrated nutrient management on the growth, yield, and nutrient uptake of black gram (</w:t>
      </w:r>
      <w:r w:rsidRPr="00D53CCF">
        <w:rPr>
          <w:rFonts w:ascii="Times New Roman" w:hAnsi="Times New Roman"/>
          <w:i/>
          <w:iCs/>
          <w:sz w:val="24"/>
          <w:szCs w:val="24"/>
          <w:lang w:val="en-IN" w:eastAsia="en-IN"/>
        </w:rPr>
        <w:t>Vigna mungo</w:t>
      </w:r>
      <w:r w:rsidRPr="00D53CCF">
        <w:rPr>
          <w:rFonts w:ascii="Times New Roman" w:hAnsi="Times New Roman"/>
          <w:sz w:val="24"/>
          <w:szCs w:val="24"/>
          <w:lang w:val="en-IN" w:eastAsia="en-IN"/>
        </w:rPr>
        <w:t xml:space="preserve"> L.). Among all treatments, the combined application of 40.0 kg P₂O₅/ha, 20.0 kg S/ha, and phosphate-solubilizing bacteria (PSB) at 4.0 kg/ha (T6) consistently recorded the highest values across multiple agronomic and physiological parameters.</w:t>
      </w:r>
    </w:p>
    <w:p w14:paraId="3C2423DB" w14:textId="77777777" w:rsidR="00D53CCF" w:rsidRPr="00D53CCF" w:rsidRDefault="00D53CCF" w:rsidP="0086606F">
      <w:pPr>
        <w:spacing w:before="100" w:beforeAutospacing="1" w:after="100" w:afterAutospacing="1" w:line="360" w:lineRule="auto"/>
        <w:outlineLvl w:val="2"/>
        <w:rPr>
          <w:rFonts w:ascii="Times New Roman" w:hAnsi="Times New Roman"/>
          <w:b/>
          <w:bCs/>
          <w:sz w:val="24"/>
          <w:szCs w:val="24"/>
          <w:lang w:val="en-IN" w:eastAsia="en-IN"/>
        </w:rPr>
      </w:pPr>
      <w:r w:rsidRPr="00D53CCF">
        <w:rPr>
          <w:rFonts w:ascii="Times New Roman" w:hAnsi="Times New Roman"/>
          <w:b/>
          <w:bCs/>
          <w:sz w:val="24"/>
          <w:szCs w:val="24"/>
          <w:lang w:val="en-IN" w:eastAsia="en-IN"/>
        </w:rPr>
        <w:t>Growth Attributes</w:t>
      </w:r>
    </w:p>
    <w:p w14:paraId="51806000" w14:textId="5CCCD787" w:rsidR="00D53CCF" w:rsidRPr="00D53CCF" w:rsidRDefault="00D53CCF" w:rsidP="0086606F">
      <w:pPr>
        <w:spacing w:before="100" w:beforeAutospacing="1" w:after="100" w:afterAutospacing="1" w:line="360" w:lineRule="auto"/>
        <w:rPr>
          <w:rFonts w:ascii="Times New Roman" w:hAnsi="Times New Roman"/>
          <w:sz w:val="24"/>
          <w:szCs w:val="24"/>
          <w:lang w:val="en-IN" w:eastAsia="en-IN"/>
        </w:rPr>
      </w:pPr>
      <w:r w:rsidRPr="00D53CCF">
        <w:rPr>
          <w:rFonts w:ascii="Times New Roman" w:hAnsi="Times New Roman"/>
          <w:sz w:val="24"/>
          <w:szCs w:val="24"/>
          <w:lang w:val="en-IN" w:eastAsia="en-IN"/>
        </w:rPr>
        <w:t>Maximum plant height (38.03 cm), number of branches per plant (6.34), leaf area index (0.98), nodule number per plant (23.5), and dry matter accumulation (9.2 g/plant) were observed in T6 (Table 1). These results indicate a synergistic effect of balanced phosphorus and sulphur nutrition along with enhanced microbial activity due to PSB. Phosphorus is crucial for early root growth, cell division, and energy transfer, which leads to better nutrient uptake and enhanced vegetative development. Sulphur contributes to chlorophyll synthesis, protein formation, and cell elongation, all of which collectively support plant biomass accumulation and nodulation (</w:t>
      </w:r>
      <w:r w:rsidR="00F6286F">
        <w:rPr>
          <w:rFonts w:ascii="Times New Roman" w:hAnsi="Times New Roman"/>
          <w:sz w:val="24"/>
          <w:szCs w:val="24"/>
          <w:lang w:val="en-IN" w:eastAsia="en-IN"/>
        </w:rPr>
        <w:t>Ramandeep et al., 2024</w:t>
      </w:r>
      <w:r w:rsidRPr="00D53CCF">
        <w:rPr>
          <w:rFonts w:ascii="Times New Roman" w:hAnsi="Times New Roman"/>
          <w:sz w:val="24"/>
          <w:szCs w:val="24"/>
          <w:lang w:val="en-IN" w:eastAsia="en-IN"/>
        </w:rPr>
        <w:t>).</w:t>
      </w:r>
    </w:p>
    <w:p w14:paraId="44EFB8DD" w14:textId="62DED27A" w:rsidR="00D53CCF" w:rsidRPr="00D53CCF" w:rsidRDefault="00D53CCF" w:rsidP="0086606F">
      <w:pPr>
        <w:spacing w:before="100" w:beforeAutospacing="1" w:after="100" w:afterAutospacing="1" w:line="360" w:lineRule="auto"/>
        <w:rPr>
          <w:rFonts w:ascii="Times New Roman" w:hAnsi="Times New Roman"/>
          <w:sz w:val="24"/>
          <w:szCs w:val="24"/>
          <w:lang w:val="en-IN" w:eastAsia="en-IN"/>
        </w:rPr>
      </w:pPr>
      <w:r w:rsidRPr="00D53CCF">
        <w:rPr>
          <w:rFonts w:ascii="Times New Roman" w:hAnsi="Times New Roman"/>
          <w:sz w:val="24"/>
          <w:szCs w:val="24"/>
          <w:lang w:val="en-IN" w:eastAsia="en-IN"/>
        </w:rPr>
        <w:t xml:space="preserve">Biofertilizers such as PSB enhance phosphorus availability by solubilizing insoluble soil phosphates through organic acid production, thus improving root absorption and plant </w:t>
      </w:r>
      <w:proofErr w:type="spellStart"/>
      <w:r w:rsidRPr="00D53CCF">
        <w:rPr>
          <w:rFonts w:ascii="Times New Roman" w:hAnsi="Times New Roman"/>
          <w:sz w:val="24"/>
          <w:szCs w:val="24"/>
          <w:lang w:val="en-IN" w:eastAsia="en-IN"/>
        </w:rPr>
        <w:t>vigor</w:t>
      </w:r>
      <w:proofErr w:type="spellEnd"/>
      <w:r w:rsidRPr="00D53CCF">
        <w:rPr>
          <w:rFonts w:ascii="Times New Roman" w:hAnsi="Times New Roman"/>
          <w:sz w:val="24"/>
          <w:szCs w:val="24"/>
          <w:lang w:val="en-IN" w:eastAsia="en-IN"/>
        </w:rPr>
        <w:t xml:space="preserve"> (</w:t>
      </w:r>
      <w:r w:rsidR="00F6286F">
        <w:rPr>
          <w:rFonts w:ascii="Times New Roman" w:hAnsi="Times New Roman"/>
          <w:sz w:val="24"/>
          <w:szCs w:val="24"/>
          <w:lang w:val="en-IN" w:eastAsia="en-IN"/>
        </w:rPr>
        <w:t>Logesh et al., 2024</w:t>
      </w:r>
      <w:r w:rsidRPr="00D53CCF">
        <w:rPr>
          <w:rFonts w:ascii="Times New Roman" w:hAnsi="Times New Roman"/>
          <w:sz w:val="24"/>
          <w:szCs w:val="24"/>
          <w:lang w:val="en-IN" w:eastAsia="en-IN"/>
        </w:rPr>
        <w:t xml:space="preserve">; </w:t>
      </w:r>
      <w:r w:rsidR="00F6286F">
        <w:rPr>
          <w:rFonts w:ascii="Times New Roman" w:hAnsi="Times New Roman"/>
          <w:sz w:val="24"/>
          <w:szCs w:val="24"/>
          <w:lang w:val="en-IN" w:eastAsia="en-IN"/>
        </w:rPr>
        <w:t>Pang et al., 2024</w:t>
      </w:r>
      <w:r w:rsidRPr="00D53CCF">
        <w:rPr>
          <w:rFonts w:ascii="Times New Roman" w:hAnsi="Times New Roman"/>
          <w:sz w:val="24"/>
          <w:szCs w:val="24"/>
          <w:lang w:val="en-IN" w:eastAsia="en-IN"/>
        </w:rPr>
        <w:t>). Similar findings were reported by Muneer et al. (2023), who demonstrated improved black gram growth and nodulation with microbial inoculation under phosphorus-deficient conditions.</w:t>
      </w:r>
    </w:p>
    <w:p w14:paraId="3316D11B" w14:textId="77777777" w:rsidR="00D53CCF" w:rsidRPr="00D53CCF" w:rsidRDefault="00D53CCF" w:rsidP="00D53CCF">
      <w:pPr>
        <w:spacing w:before="100" w:beforeAutospacing="1" w:after="100" w:afterAutospacing="1" w:line="240" w:lineRule="auto"/>
        <w:outlineLvl w:val="2"/>
        <w:rPr>
          <w:rFonts w:ascii="Times New Roman" w:hAnsi="Times New Roman"/>
          <w:b/>
          <w:bCs/>
          <w:sz w:val="24"/>
          <w:szCs w:val="24"/>
          <w:lang w:val="en-IN" w:eastAsia="en-IN"/>
        </w:rPr>
      </w:pPr>
      <w:r w:rsidRPr="00D53CCF">
        <w:rPr>
          <w:rFonts w:ascii="Times New Roman" w:hAnsi="Times New Roman"/>
          <w:b/>
          <w:bCs/>
          <w:sz w:val="24"/>
          <w:szCs w:val="24"/>
          <w:lang w:val="en-IN" w:eastAsia="en-IN"/>
        </w:rPr>
        <w:lastRenderedPageBreak/>
        <w:t>Yield and Yield Attributes</w:t>
      </w:r>
    </w:p>
    <w:p w14:paraId="0D60C22B" w14:textId="77777777" w:rsidR="00D53CCF" w:rsidRPr="00D53CCF" w:rsidRDefault="00D53CCF" w:rsidP="0086606F">
      <w:pPr>
        <w:spacing w:before="100" w:beforeAutospacing="1" w:after="100" w:afterAutospacing="1" w:line="360" w:lineRule="auto"/>
        <w:rPr>
          <w:rFonts w:ascii="Times New Roman" w:hAnsi="Times New Roman"/>
          <w:sz w:val="24"/>
          <w:szCs w:val="24"/>
          <w:lang w:val="en-IN" w:eastAsia="en-IN"/>
        </w:rPr>
      </w:pPr>
      <w:r w:rsidRPr="00D53CCF">
        <w:rPr>
          <w:rFonts w:ascii="Times New Roman" w:hAnsi="Times New Roman"/>
          <w:sz w:val="24"/>
          <w:szCs w:val="24"/>
          <w:lang w:val="en-IN" w:eastAsia="en-IN"/>
        </w:rPr>
        <w:t>Yield parameters including number of pods per plant (20.2), pod length (4.06 cm), seeds per pod (6.27), and test weight (36.0 g) were also highest under T6 (Table 2). These attributes translated into significantly higher seed yield (8.50 q/ha) and haulm yield (18.56 q/ha), with the highest benefit-cost ratio (1.98), indicating both biological and economic superiority of this nutrient combination.</w:t>
      </w:r>
    </w:p>
    <w:p w14:paraId="5405986D" w14:textId="61E869AF" w:rsidR="00D53CCF" w:rsidRPr="00D53CCF" w:rsidRDefault="00D53CCF" w:rsidP="0086606F">
      <w:pPr>
        <w:spacing w:before="100" w:beforeAutospacing="1" w:after="100" w:afterAutospacing="1" w:line="360" w:lineRule="auto"/>
        <w:rPr>
          <w:rFonts w:ascii="Times New Roman" w:hAnsi="Times New Roman"/>
          <w:sz w:val="24"/>
          <w:szCs w:val="24"/>
          <w:lang w:val="en-IN" w:eastAsia="en-IN"/>
        </w:rPr>
      </w:pPr>
      <w:r w:rsidRPr="00D53CCF">
        <w:rPr>
          <w:rFonts w:ascii="Times New Roman" w:hAnsi="Times New Roman"/>
          <w:sz w:val="24"/>
          <w:szCs w:val="24"/>
          <w:lang w:val="en-IN" w:eastAsia="en-IN"/>
        </w:rPr>
        <w:t>The improved reproductive output can be attributed to enhanced photosynthate accumulation and partitioning toward reproductive sinks during flowering and pod filling stages. Phosphorus enhances energy production via ATP, while sulphur supports nitrogen metabolism and amino acid synthesis—both of which are critical during reproductive development (</w:t>
      </w:r>
      <w:r w:rsidR="00F6286F">
        <w:rPr>
          <w:rFonts w:ascii="Times New Roman" w:hAnsi="Times New Roman"/>
          <w:sz w:val="24"/>
          <w:szCs w:val="24"/>
          <w:lang w:val="en-IN" w:eastAsia="en-IN"/>
        </w:rPr>
        <w:t>Ramandeep et al., 2024</w:t>
      </w:r>
      <w:r w:rsidRPr="00D53CCF">
        <w:rPr>
          <w:rFonts w:ascii="Times New Roman" w:hAnsi="Times New Roman"/>
          <w:sz w:val="24"/>
          <w:szCs w:val="24"/>
          <w:lang w:val="en-IN" w:eastAsia="en-IN"/>
        </w:rPr>
        <w:t>). Additionally, the increased number of nodules and higher nitrogen fixation likely supported better seed filling.</w:t>
      </w:r>
    </w:p>
    <w:p w14:paraId="75B57F43" w14:textId="7F49B159" w:rsidR="00D53CCF" w:rsidRPr="00D53CCF" w:rsidRDefault="00D53CCF" w:rsidP="0086606F">
      <w:pPr>
        <w:spacing w:before="100" w:beforeAutospacing="1" w:after="100" w:afterAutospacing="1" w:line="360" w:lineRule="auto"/>
        <w:rPr>
          <w:rFonts w:ascii="Times New Roman" w:hAnsi="Times New Roman"/>
          <w:sz w:val="24"/>
          <w:szCs w:val="24"/>
          <w:lang w:val="en-IN" w:eastAsia="en-IN"/>
        </w:rPr>
      </w:pPr>
      <w:r w:rsidRPr="00D53CCF">
        <w:rPr>
          <w:rFonts w:ascii="Times New Roman" w:hAnsi="Times New Roman"/>
          <w:sz w:val="24"/>
          <w:szCs w:val="24"/>
          <w:lang w:val="en-IN" w:eastAsia="en-IN"/>
        </w:rPr>
        <w:t>The enhanced productivity in the presence of PSB also reflects the microbial role in promoting root development and improving phosphorus use efficiency, which is particularly important given that only 15–20% of applied phosphorus is typically available to crops due to fixation in Indian soils (</w:t>
      </w:r>
      <w:r w:rsidR="00F6286F">
        <w:rPr>
          <w:rFonts w:ascii="Times New Roman" w:hAnsi="Times New Roman"/>
          <w:sz w:val="24"/>
          <w:szCs w:val="24"/>
          <w:lang w:val="en-IN" w:eastAsia="en-IN"/>
        </w:rPr>
        <w:t>Pang et al., 2024</w:t>
      </w:r>
      <w:r w:rsidRPr="00D53CCF">
        <w:rPr>
          <w:rFonts w:ascii="Times New Roman" w:hAnsi="Times New Roman"/>
          <w:sz w:val="24"/>
          <w:szCs w:val="24"/>
          <w:lang w:val="en-IN" w:eastAsia="en-IN"/>
        </w:rPr>
        <w:t>).</w:t>
      </w:r>
    </w:p>
    <w:p w14:paraId="06A7FD0C" w14:textId="77777777" w:rsidR="00D53CCF" w:rsidRPr="00D53CCF" w:rsidRDefault="00D53CCF" w:rsidP="00D53CCF">
      <w:pPr>
        <w:spacing w:before="100" w:beforeAutospacing="1" w:after="100" w:afterAutospacing="1" w:line="240" w:lineRule="auto"/>
        <w:outlineLvl w:val="2"/>
        <w:rPr>
          <w:rFonts w:ascii="Times New Roman" w:hAnsi="Times New Roman"/>
          <w:b/>
          <w:bCs/>
          <w:sz w:val="24"/>
          <w:szCs w:val="24"/>
          <w:lang w:val="en-IN" w:eastAsia="en-IN"/>
        </w:rPr>
      </w:pPr>
      <w:r w:rsidRPr="00D53CCF">
        <w:rPr>
          <w:rFonts w:ascii="Times New Roman" w:hAnsi="Times New Roman"/>
          <w:b/>
          <w:bCs/>
          <w:sz w:val="24"/>
          <w:szCs w:val="24"/>
          <w:lang w:val="en-IN" w:eastAsia="en-IN"/>
        </w:rPr>
        <w:t>Nutrient Uptake</w:t>
      </w:r>
    </w:p>
    <w:p w14:paraId="75A36144" w14:textId="77777777" w:rsidR="00D53CCF" w:rsidRPr="00D53CCF" w:rsidRDefault="00D53CCF" w:rsidP="0086606F">
      <w:pPr>
        <w:spacing w:before="100" w:beforeAutospacing="1" w:after="100" w:afterAutospacing="1" w:line="360" w:lineRule="auto"/>
        <w:jc w:val="both"/>
        <w:rPr>
          <w:rFonts w:ascii="Times New Roman" w:hAnsi="Times New Roman"/>
          <w:sz w:val="24"/>
          <w:szCs w:val="24"/>
          <w:lang w:val="en-IN" w:eastAsia="en-IN"/>
        </w:rPr>
      </w:pPr>
      <w:r w:rsidRPr="00D53CCF">
        <w:rPr>
          <w:rFonts w:ascii="Times New Roman" w:hAnsi="Times New Roman"/>
          <w:sz w:val="24"/>
          <w:szCs w:val="24"/>
          <w:lang w:val="en-IN" w:eastAsia="en-IN"/>
        </w:rPr>
        <w:t>Table 3 data further support the growth and yield observations. Nutrient uptake (N, P, K) was significantly higher in treatments involving PSB and sulphur, with the highest uptake in T6: nitrogen (48.2 kg/ha), phosphorus (7.8 kg/ha), and potassium (36.7 kg/ha). This increase reflects better root system development, improved microbial activity, and efficient translocation of nutrients facilitated by optimal nutrient availability and balanced nutrition.</w:t>
      </w:r>
    </w:p>
    <w:p w14:paraId="17D7587B" w14:textId="142D9791" w:rsidR="00D53CCF" w:rsidRPr="00D53CCF" w:rsidRDefault="00D53CCF" w:rsidP="0086606F">
      <w:pPr>
        <w:spacing w:before="100" w:beforeAutospacing="1" w:after="100" w:afterAutospacing="1" w:line="360" w:lineRule="auto"/>
        <w:jc w:val="both"/>
        <w:rPr>
          <w:rFonts w:ascii="Times New Roman" w:hAnsi="Times New Roman"/>
          <w:sz w:val="24"/>
          <w:szCs w:val="24"/>
          <w:lang w:val="en-IN" w:eastAsia="en-IN"/>
        </w:rPr>
      </w:pPr>
      <w:r w:rsidRPr="00D53CCF">
        <w:rPr>
          <w:rFonts w:ascii="Times New Roman" w:hAnsi="Times New Roman"/>
          <w:sz w:val="24"/>
          <w:szCs w:val="24"/>
          <w:lang w:val="en-IN" w:eastAsia="en-IN"/>
        </w:rPr>
        <w:t>The PSB strains likely mobilized phosphorus from soil reserves, while sulphur helped improve nitrogen assimilation and enzyme activity related to nutrient uptake (</w:t>
      </w:r>
      <w:r w:rsidR="00F6286F">
        <w:rPr>
          <w:rFonts w:ascii="Times New Roman" w:hAnsi="Times New Roman"/>
          <w:sz w:val="24"/>
          <w:szCs w:val="24"/>
          <w:lang w:val="en-IN" w:eastAsia="en-IN"/>
        </w:rPr>
        <w:t>Chen et al., 2023</w:t>
      </w:r>
      <w:r w:rsidRPr="00D53CCF">
        <w:rPr>
          <w:rFonts w:ascii="Times New Roman" w:hAnsi="Times New Roman"/>
          <w:sz w:val="24"/>
          <w:szCs w:val="24"/>
          <w:lang w:val="en-IN" w:eastAsia="en-IN"/>
        </w:rPr>
        <w:t xml:space="preserve">; </w:t>
      </w:r>
      <w:r w:rsidR="00F6286F">
        <w:rPr>
          <w:rFonts w:ascii="Times New Roman" w:hAnsi="Times New Roman"/>
          <w:sz w:val="24"/>
          <w:szCs w:val="24"/>
          <w:lang w:val="en-IN" w:eastAsia="en-IN"/>
        </w:rPr>
        <w:t>Pang et al., 2024</w:t>
      </w:r>
      <w:r w:rsidRPr="00D53CCF">
        <w:rPr>
          <w:rFonts w:ascii="Times New Roman" w:hAnsi="Times New Roman"/>
          <w:sz w:val="24"/>
          <w:szCs w:val="24"/>
          <w:lang w:val="en-IN" w:eastAsia="en-IN"/>
        </w:rPr>
        <w:t>). The marked improvement in phosphorus uptake (144% increase over control) and nitrogen uptake (83%) demonstrates the efficacy of integrating biofertilizers with chemical inputs to overcome the inherent inefficiencies of conventional fertilization in pulse-based systems.</w:t>
      </w:r>
    </w:p>
    <w:p w14:paraId="3B6A1404" w14:textId="77777777" w:rsidR="00D53CCF" w:rsidRPr="00D53CCF" w:rsidRDefault="00D53CCF" w:rsidP="0086606F">
      <w:pPr>
        <w:spacing w:before="100" w:beforeAutospacing="1" w:after="100" w:afterAutospacing="1" w:line="360" w:lineRule="auto"/>
        <w:jc w:val="both"/>
        <w:rPr>
          <w:rFonts w:ascii="Times New Roman" w:hAnsi="Times New Roman"/>
          <w:sz w:val="24"/>
          <w:szCs w:val="24"/>
          <w:lang w:val="en-IN" w:eastAsia="en-IN"/>
        </w:rPr>
      </w:pPr>
      <w:r w:rsidRPr="00D53CCF">
        <w:rPr>
          <w:rFonts w:ascii="Times New Roman" w:hAnsi="Times New Roman"/>
          <w:sz w:val="24"/>
          <w:szCs w:val="24"/>
          <w:lang w:val="en-IN" w:eastAsia="en-IN"/>
        </w:rPr>
        <w:lastRenderedPageBreak/>
        <w:t>These results align with those of Awasthi et al. (2021), who reported enhanced phosphorus uptake and improved crop performance with microbial solubilizers, and with Kumar et al. (2022), who observed that sulphur nutrition improves nitrogen metabolism and yield in pulses.</w:t>
      </w:r>
    </w:p>
    <w:p w14:paraId="6DDD5158" w14:textId="77777777" w:rsidR="005D213E" w:rsidRPr="005D213E" w:rsidRDefault="005D213E" w:rsidP="005D213E">
      <w:pPr>
        <w:tabs>
          <w:tab w:val="num" w:pos="720"/>
        </w:tabs>
        <w:spacing w:before="100" w:beforeAutospacing="1" w:after="100" w:afterAutospacing="1" w:line="360" w:lineRule="auto"/>
        <w:jc w:val="both"/>
        <w:rPr>
          <w:rFonts w:ascii="Times New Roman" w:hAnsi="Times New Roman"/>
          <w:sz w:val="24"/>
          <w:szCs w:val="24"/>
          <w:lang w:val="en-IN" w:eastAsia="en-IN"/>
        </w:rPr>
      </w:pPr>
      <w:r w:rsidRPr="005D213E">
        <w:rPr>
          <w:rFonts w:ascii="Times New Roman" w:hAnsi="Times New Roman"/>
          <w:sz w:val="24"/>
          <w:szCs w:val="24"/>
          <w:lang w:val="en-IN" w:eastAsia="en-IN"/>
        </w:rPr>
        <w:t>Taken together, the results clearly indicate that the integrated application of 40 kg P₂O₅/ha + 20 kg S/ha + PSB 4 kg/ha improves</w:t>
      </w:r>
      <w:r>
        <w:rPr>
          <w:rFonts w:ascii="Times New Roman" w:hAnsi="Times New Roman"/>
          <w:sz w:val="24"/>
          <w:szCs w:val="24"/>
          <w:lang w:val="en-IN" w:eastAsia="en-IN"/>
        </w:rPr>
        <w:t xml:space="preserve"> the r</w:t>
      </w:r>
      <w:r w:rsidRPr="005D213E">
        <w:rPr>
          <w:rFonts w:ascii="Times New Roman" w:hAnsi="Times New Roman"/>
          <w:sz w:val="24"/>
          <w:szCs w:val="24"/>
          <w:lang w:val="en-IN" w:eastAsia="en-IN"/>
        </w:rPr>
        <w:t>oot growth and nodule formation</w:t>
      </w:r>
      <w:r>
        <w:rPr>
          <w:rFonts w:ascii="Times New Roman" w:hAnsi="Times New Roman"/>
          <w:sz w:val="24"/>
          <w:szCs w:val="24"/>
          <w:lang w:val="en-IN" w:eastAsia="en-IN"/>
        </w:rPr>
        <w:t>, p</w:t>
      </w:r>
      <w:r w:rsidRPr="005D213E">
        <w:rPr>
          <w:rFonts w:ascii="Times New Roman" w:hAnsi="Times New Roman"/>
          <w:sz w:val="24"/>
          <w:szCs w:val="24"/>
          <w:lang w:val="en-IN" w:eastAsia="en-IN"/>
        </w:rPr>
        <w:t xml:space="preserve">hotosynthesis and chlorophyll </w:t>
      </w:r>
      <w:proofErr w:type="spellStart"/>
      <w:proofErr w:type="gramStart"/>
      <w:r w:rsidRPr="005D213E">
        <w:rPr>
          <w:rFonts w:ascii="Times New Roman" w:hAnsi="Times New Roman"/>
          <w:sz w:val="24"/>
          <w:szCs w:val="24"/>
          <w:lang w:val="en-IN" w:eastAsia="en-IN"/>
        </w:rPr>
        <w:t>content</w:t>
      </w:r>
      <w:r>
        <w:rPr>
          <w:rFonts w:ascii="Times New Roman" w:hAnsi="Times New Roman"/>
          <w:sz w:val="24"/>
          <w:szCs w:val="24"/>
          <w:lang w:val="en-IN" w:eastAsia="en-IN"/>
        </w:rPr>
        <w:t>,n</w:t>
      </w:r>
      <w:r w:rsidRPr="005D213E">
        <w:rPr>
          <w:rFonts w:ascii="Times New Roman" w:hAnsi="Times New Roman"/>
          <w:sz w:val="24"/>
          <w:szCs w:val="24"/>
          <w:lang w:val="en-IN" w:eastAsia="en-IN"/>
        </w:rPr>
        <w:t>utrient</w:t>
      </w:r>
      <w:proofErr w:type="spellEnd"/>
      <w:proofErr w:type="gramEnd"/>
      <w:r w:rsidRPr="005D213E">
        <w:rPr>
          <w:rFonts w:ascii="Times New Roman" w:hAnsi="Times New Roman"/>
          <w:sz w:val="24"/>
          <w:szCs w:val="24"/>
          <w:lang w:val="en-IN" w:eastAsia="en-IN"/>
        </w:rPr>
        <w:t xml:space="preserve"> use efficiency (especially P and N)</w:t>
      </w:r>
      <w:r>
        <w:rPr>
          <w:rFonts w:ascii="Times New Roman" w:hAnsi="Times New Roman"/>
          <w:sz w:val="24"/>
          <w:szCs w:val="24"/>
          <w:lang w:val="en-IN" w:eastAsia="en-IN"/>
        </w:rPr>
        <w:t>,  y</w:t>
      </w:r>
      <w:r w:rsidRPr="005D213E">
        <w:rPr>
          <w:rFonts w:ascii="Times New Roman" w:hAnsi="Times New Roman"/>
          <w:sz w:val="24"/>
          <w:szCs w:val="24"/>
          <w:lang w:val="en-IN" w:eastAsia="en-IN"/>
        </w:rPr>
        <w:t>ield attributes and economic returns</w:t>
      </w:r>
      <w:r>
        <w:rPr>
          <w:rFonts w:ascii="Times New Roman" w:hAnsi="Times New Roman"/>
          <w:sz w:val="24"/>
          <w:szCs w:val="24"/>
          <w:lang w:val="en-IN" w:eastAsia="en-IN"/>
        </w:rPr>
        <w:t xml:space="preserve">. </w:t>
      </w:r>
      <w:r w:rsidRPr="005D213E">
        <w:rPr>
          <w:rFonts w:ascii="Times New Roman" w:hAnsi="Times New Roman"/>
          <w:sz w:val="24"/>
          <w:szCs w:val="24"/>
          <w:lang w:val="en-IN" w:eastAsia="en-IN"/>
        </w:rPr>
        <w:t xml:space="preserve">This integrated approach addresses both macro- and micronutrient deficiencies and enhances the biological potential of black gram under the </w:t>
      </w:r>
      <w:proofErr w:type="spellStart"/>
      <w:r w:rsidRPr="005D213E">
        <w:rPr>
          <w:rFonts w:ascii="Times New Roman" w:hAnsi="Times New Roman"/>
          <w:sz w:val="24"/>
          <w:szCs w:val="24"/>
          <w:lang w:val="en-IN" w:eastAsia="en-IN"/>
        </w:rPr>
        <w:t>agro</w:t>
      </w:r>
      <w:proofErr w:type="spellEnd"/>
      <w:r w:rsidRPr="005D213E">
        <w:rPr>
          <w:rFonts w:ascii="Times New Roman" w:hAnsi="Times New Roman"/>
          <w:sz w:val="24"/>
          <w:szCs w:val="24"/>
          <w:lang w:val="en-IN" w:eastAsia="en-IN"/>
        </w:rPr>
        <w:t>-climatic conditions of the Mid-Central Table Land Zone of Odisha.</w:t>
      </w:r>
    </w:p>
    <w:p w14:paraId="5E867FA6" w14:textId="0CD9273F" w:rsidR="00956158" w:rsidRPr="00A7504B" w:rsidRDefault="00DE7A8E" w:rsidP="005D213E">
      <w:pPr>
        <w:pStyle w:val="Heading1"/>
        <w:spacing w:before="87" w:line="360" w:lineRule="auto"/>
        <w:ind w:left="0"/>
        <w:jc w:val="both"/>
      </w:pPr>
      <w:r w:rsidRPr="00A7504B">
        <w:t>CONCLUSION</w:t>
      </w:r>
    </w:p>
    <w:p w14:paraId="5707575E" w14:textId="77777777" w:rsidR="005D213E" w:rsidRPr="005D213E" w:rsidRDefault="005D213E" w:rsidP="005D213E">
      <w:pPr>
        <w:pStyle w:val="NormalWeb"/>
        <w:spacing w:line="360" w:lineRule="auto"/>
        <w:jc w:val="both"/>
      </w:pPr>
      <w:r w:rsidRPr="005D213E">
        <w:t xml:space="preserve">The present investigation clearly demonstrates that the integrated application of </w:t>
      </w:r>
      <w:r w:rsidRPr="005D213E">
        <w:rPr>
          <w:rStyle w:val="Strong"/>
          <w:b w:val="0"/>
          <w:bCs w:val="0"/>
        </w:rPr>
        <w:t>40 kg P₂O₅/ha</w:t>
      </w:r>
      <w:r w:rsidRPr="005D213E">
        <w:rPr>
          <w:b/>
          <w:bCs/>
        </w:rPr>
        <w:t xml:space="preserve">, </w:t>
      </w:r>
      <w:r w:rsidRPr="005D213E">
        <w:rPr>
          <w:rStyle w:val="Strong"/>
          <w:b w:val="0"/>
          <w:bCs w:val="0"/>
        </w:rPr>
        <w:t>20 kg S/ha</w:t>
      </w:r>
      <w:r w:rsidRPr="005D213E">
        <w:rPr>
          <w:b/>
          <w:bCs/>
        </w:rPr>
        <w:t xml:space="preserve">, </w:t>
      </w:r>
      <w:r w:rsidRPr="005D213E">
        <w:t xml:space="preserve">and </w:t>
      </w:r>
      <w:r w:rsidRPr="005D213E">
        <w:rPr>
          <w:rStyle w:val="Strong"/>
          <w:b w:val="0"/>
          <w:bCs w:val="0"/>
        </w:rPr>
        <w:t>phosphate-solubilizing bacteria (PSB) at 4.0 kg/ha</w:t>
      </w:r>
      <w:r w:rsidRPr="005D213E">
        <w:rPr>
          <w:b/>
          <w:bCs/>
        </w:rPr>
        <w:t xml:space="preserve"> </w:t>
      </w:r>
      <w:r w:rsidRPr="005D213E">
        <w:t xml:space="preserve">significantly enhances the growth, yield attributes, nutrient uptake, and overall productivity of black gram under the Mid-Central Table Land Zone of Odisha. This treatment combination not only maximized plant height, pod formation, and seed yield but also substantially improved the uptake of nitrogen, phosphorus, and potassium, indicating superior nutrient use </w:t>
      </w:r>
      <w:proofErr w:type="spellStart"/>
      <w:proofErr w:type="gramStart"/>
      <w:r w:rsidRPr="005D213E">
        <w:t>efficiency.The</w:t>
      </w:r>
      <w:proofErr w:type="spellEnd"/>
      <w:proofErr w:type="gramEnd"/>
      <w:r w:rsidRPr="005D213E">
        <w:t xml:space="preserve"> enhanced benefit-cost ratio under this integrated approach further highlights its economic viability for pulse farmers. The synergy between chemical fertilizers and biofertilizers, particularly PSB, plays a pivotal role in solubilizing otherwise unavailable phosphorus and supporting biological nitrogen fixation through improved nodulation.</w:t>
      </w:r>
      <w:r>
        <w:t xml:space="preserve"> </w:t>
      </w:r>
      <w:r w:rsidRPr="005D213E">
        <w:t xml:space="preserve">Therefore, this integrated nutrient management strategy can be recommended as a sustainable and resource-efficient practice to bridge the yield gap in black gram cultivation. Adoption of such holistic approaches will contribute significantly to pulse productivity, soil health, and long-term agricultural sustainability in semi-arid and rainfed </w:t>
      </w:r>
      <w:proofErr w:type="spellStart"/>
      <w:r w:rsidRPr="005D213E">
        <w:t>agro</w:t>
      </w:r>
      <w:proofErr w:type="spellEnd"/>
      <w:r w:rsidRPr="005D213E">
        <w:t>-ecosystems.</w:t>
      </w:r>
    </w:p>
    <w:p w14:paraId="4FAFA776" w14:textId="77777777" w:rsidR="005D0DD3" w:rsidRPr="005D213E" w:rsidRDefault="005D0DD3" w:rsidP="005D213E">
      <w:pPr>
        <w:pStyle w:val="NoSpacing"/>
        <w:spacing w:line="360" w:lineRule="auto"/>
        <w:jc w:val="both"/>
        <w:rPr>
          <w:rFonts w:ascii="Times New Roman" w:hAnsi="Times New Roman"/>
          <w:b/>
          <w:sz w:val="28"/>
          <w:szCs w:val="28"/>
          <w:lang w:val="en-IN"/>
        </w:rPr>
      </w:pPr>
    </w:p>
    <w:p w14:paraId="20B82C71" w14:textId="77777777" w:rsidR="005D0DD3" w:rsidRDefault="005D0DD3" w:rsidP="005D213E">
      <w:pPr>
        <w:pStyle w:val="NoSpacing"/>
        <w:spacing w:line="360" w:lineRule="auto"/>
        <w:jc w:val="both"/>
        <w:rPr>
          <w:rFonts w:ascii="Times New Roman" w:hAnsi="Times New Roman"/>
          <w:b/>
          <w:sz w:val="24"/>
          <w:szCs w:val="24"/>
        </w:rPr>
      </w:pPr>
    </w:p>
    <w:p w14:paraId="548DA4F8" w14:textId="77777777" w:rsidR="005D0DD3" w:rsidRDefault="005D0DD3" w:rsidP="005D213E">
      <w:pPr>
        <w:pStyle w:val="NoSpacing"/>
        <w:spacing w:line="360" w:lineRule="auto"/>
        <w:jc w:val="both"/>
        <w:rPr>
          <w:rFonts w:ascii="Times New Roman" w:hAnsi="Times New Roman"/>
          <w:b/>
          <w:sz w:val="24"/>
          <w:szCs w:val="24"/>
        </w:rPr>
      </w:pPr>
    </w:p>
    <w:p w14:paraId="58FEA797" w14:textId="77777777" w:rsidR="005D0DD3" w:rsidRDefault="005D0DD3" w:rsidP="005D213E">
      <w:pPr>
        <w:pStyle w:val="NoSpacing"/>
        <w:spacing w:line="360" w:lineRule="auto"/>
        <w:jc w:val="both"/>
        <w:rPr>
          <w:rFonts w:ascii="Times New Roman" w:hAnsi="Times New Roman"/>
          <w:b/>
          <w:sz w:val="24"/>
          <w:szCs w:val="24"/>
        </w:rPr>
      </w:pPr>
    </w:p>
    <w:p w14:paraId="3C704278" w14:textId="77777777" w:rsidR="00177951" w:rsidRPr="00A7504B" w:rsidRDefault="00177951" w:rsidP="005D213E">
      <w:pPr>
        <w:pStyle w:val="NoSpacing"/>
        <w:spacing w:line="360" w:lineRule="auto"/>
        <w:jc w:val="both"/>
        <w:rPr>
          <w:rFonts w:ascii="Times New Roman" w:hAnsi="Times New Roman"/>
          <w:b/>
          <w:sz w:val="24"/>
          <w:szCs w:val="24"/>
        </w:rPr>
      </w:pPr>
      <w:r w:rsidRPr="00A7504B">
        <w:rPr>
          <w:rFonts w:ascii="Times New Roman" w:hAnsi="Times New Roman"/>
          <w:b/>
          <w:sz w:val="24"/>
          <w:szCs w:val="24"/>
        </w:rPr>
        <w:lastRenderedPageBreak/>
        <w:t xml:space="preserve">Table </w:t>
      </w:r>
      <w:r w:rsidR="002552B9" w:rsidRPr="00A7504B">
        <w:rPr>
          <w:rFonts w:ascii="Times New Roman" w:hAnsi="Times New Roman"/>
          <w:b/>
          <w:sz w:val="24"/>
          <w:szCs w:val="24"/>
        </w:rPr>
        <w:t>1:</w:t>
      </w:r>
      <w:r w:rsidRPr="00A7504B">
        <w:rPr>
          <w:rFonts w:ascii="Times New Roman" w:hAnsi="Times New Roman"/>
          <w:b/>
          <w:sz w:val="24"/>
          <w:szCs w:val="24"/>
        </w:rPr>
        <w:t xml:space="preserve"> Effect of different levels of P, S and PSB on </w:t>
      </w:r>
      <w:r w:rsidR="00C43326" w:rsidRPr="00A7504B">
        <w:rPr>
          <w:rFonts w:ascii="Times New Roman" w:hAnsi="Times New Roman"/>
          <w:b/>
          <w:sz w:val="24"/>
          <w:szCs w:val="24"/>
        </w:rPr>
        <w:t>g</w:t>
      </w:r>
      <w:r w:rsidRPr="00A7504B">
        <w:rPr>
          <w:rFonts w:ascii="Times New Roman" w:hAnsi="Times New Roman"/>
          <w:b/>
          <w:sz w:val="24"/>
          <w:szCs w:val="24"/>
        </w:rPr>
        <w:t xml:space="preserve">rowth </w:t>
      </w:r>
      <w:r w:rsidR="00C43326" w:rsidRPr="00A7504B">
        <w:rPr>
          <w:rFonts w:ascii="Times New Roman" w:hAnsi="Times New Roman"/>
          <w:b/>
          <w:sz w:val="24"/>
          <w:szCs w:val="24"/>
        </w:rPr>
        <w:t xml:space="preserve">attributes </w:t>
      </w:r>
      <w:r w:rsidRPr="00A7504B">
        <w:rPr>
          <w:rFonts w:ascii="Times New Roman" w:hAnsi="Times New Roman"/>
          <w:b/>
          <w:sz w:val="24"/>
          <w:szCs w:val="24"/>
        </w:rPr>
        <w:t xml:space="preserve">of </w:t>
      </w:r>
      <w:r w:rsidR="002552B9" w:rsidRPr="00A7504B">
        <w:rPr>
          <w:rFonts w:ascii="Times New Roman" w:hAnsi="Times New Roman"/>
          <w:b/>
          <w:sz w:val="24"/>
          <w:szCs w:val="24"/>
        </w:rPr>
        <w:t>black gram</w:t>
      </w:r>
      <w:r w:rsidRPr="00A7504B">
        <w:rPr>
          <w:rFonts w:ascii="Times New Roman" w:hAnsi="Times New Roman"/>
          <w:b/>
          <w:sz w:val="24"/>
          <w:szCs w:val="24"/>
        </w:rPr>
        <w:t xml:space="preserve"> (</w:t>
      </w:r>
      <w:r w:rsidR="00716E9E">
        <w:rPr>
          <w:rFonts w:ascii="Times New Roman" w:hAnsi="Times New Roman"/>
          <w:b/>
          <w:sz w:val="24"/>
          <w:szCs w:val="24"/>
        </w:rPr>
        <w:t xml:space="preserve">Pooled of </w:t>
      </w:r>
      <w:r w:rsidRPr="00A7504B">
        <w:rPr>
          <w:rFonts w:ascii="Times New Roman" w:hAnsi="Times New Roman"/>
          <w:b/>
          <w:i/>
          <w:iCs/>
          <w:sz w:val="24"/>
          <w:szCs w:val="24"/>
        </w:rPr>
        <w:t>Kharif</w:t>
      </w:r>
      <w:r w:rsidRPr="00A7504B">
        <w:rPr>
          <w:rFonts w:ascii="Times New Roman" w:hAnsi="Times New Roman"/>
          <w:b/>
          <w:sz w:val="24"/>
          <w:szCs w:val="24"/>
        </w:rPr>
        <w:t>, 2020 &amp;</w:t>
      </w:r>
      <w:r w:rsidR="002552B9" w:rsidRPr="00A7504B">
        <w:rPr>
          <w:rFonts w:ascii="Times New Roman" w:hAnsi="Times New Roman"/>
          <w:b/>
          <w:sz w:val="24"/>
          <w:szCs w:val="24"/>
        </w:rPr>
        <w:t xml:space="preserve"> </w:t>
      </w:r>
      <w:r w:rsidRPr="00A7504B">
        <w:rPr>
          <w:rFonts w:ascii="Times New Roman" w:hAnsi="Times New Roman"/>
          <w:b/>
          <w:sz w:val="24"/>
          <w:szCs w:val="24"/>
        </w:rPr>
        <w:t>2021)</w:t>
      </w:r>
    </w:p>
    <w:p w14:paraId="39B2BDAD" w14:textId="77777777" w:rsidR="00D6194C" w:rsidRPr="00A7504B" w:rsidRDefault="00D6194C" w:rsidP="005D213E">
      <w:pPr>
        <w:pStyle w:val="NoSpacing"/>
        <w:spacing w:line="360" w:lineRule="auto"/>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9"/>
        <w:gridCol w:w="1672"/>
        <w:gridCol w:w="1547"/>
        <w:gridCol w:w="1396"/>
        <w:gridCol w:w="1679"/>
        <w:gridCol w:w="1537"/>
      </w:tblGrid>
      <w:tr w:rsidR="00C43326" w:rsidRPr="00A7504B" w14:paraId="4F867C1C" w14:textId="77777777" w:rsidTr="000C14AE">
        <w:tc>
          <w:tcPr>
            <w:tcW w:w="1526" w:type="dxa"/>
            <w:vAlign w:val="center"/>
          </w:tcPr>
          <w:p w14:paraId="192365A6" w14:textId="77777777" w:rsidR="00C43326" w:rsidRPr="00A7504B" w:rsidRDefault="00C43326" w:rsidP="005D213E">
            <w:pPr>
              <w:pStyle w:val="Default"/>
              <w:spacing w:line="360" w:lineRule="auto"/>
              <w:jc w:val="both"/>
            </w:pPr>
            <w:r w:rsidRPr="00A7504B">
              <w:rPr>
                <w:bCs/>
              </w:rPr>
              <w:t>Treatments</w:t>
            </w:r>
          </w:p>
        </w:tc>
        <w:tc>
          <w:tcPr>
            <w:tcW w:w="1701" w:type="dxa"/>
            <w:vAlign w:val="center"/>
          </w:tcPr>
          <w:p w14:paraId="7DFF55F0" w14:textId="77777777" w:rsidR="00C43326" w:rsidRPr="00A7504B" w:rsidRDefault="00C43326" w:rsidP="005D213E">
            <w:pPr>
              <w:pStyle w:val="Default"/>
              <w:spacing w:line="360" w:lineRule="auto"/>
              <w:jc w:val="center"/>
            </w:pPr>
            <w:r w:rsidRPr="00A7504B">
              <w:rPr>
                <w:bCs/>
              </w:rPr>
              <w:t>Plant height</w:t>
            </w:r>
          </w:p>
          <w:p w14:paraId="4790C0B6" w14:textId="77777777" w:rsidR="00C43326" w:rsidRPr="00A7504B" w:rsidRDefault="00C43326" w:rsidP="005D213E">
            <w:pPr>
              <w:pStyle w:val="Default"/>
              <w:spacing w:line="360" w:lineRule="auto"/>
              <w:jc w:val="center"/>
            </w:pPr>
            <w:r w:rsidRPr="00A7504B">
              <w:rPr>
                <w:bCs/>
              </w:rPr>
              <w:t>(cm)</w:t>
            </w:r>
          </w:p>
        </w:tc>
        <w:tc>
          <w:tcPr>
            <w:tcW w:w="1559" w:type="dxa"/>
            <w:vAlign w:val="center"/>
          </w:tcPr>
          <w:p w14:paraId="173DEEF2" w14:textId="77777777" w:rsidR="00C43326" w:rsidRPr="00A7504B" w:rsidRDefault="00716E9E" w:rsidP="005D213E">
            <w:pPr>
              <w:pStyle w:val="Default"/>
              <w:spacing w:line="360" w:lineRule="auto"/>
              <w:jc w:val="center"/>
            </w:pPr>
            <w:r>
              <w:rPr>
                <w:bCs/>
              </w:rPr>
              <w:t>B</w:t>
            </w:r>
            <w:r w:rsidR="00C43326" w:rsidRPr="00A7504B">
              <w:rPr>
                <w:bCs/>
              </w:rPr>
              <w:t>ranches/</w:t>
            </w:r>
          </w:p>
          <w:p w14:paraId="3E0471D0" w14:textId="77777777" w:rsidR="00C43326" w:rsidRPr="00A7504B" w:rsidRDefault="00716E9E" w:rsidP="005D213E">
            <w:pPr>
              <w:pStyle w:val="Default"/>
              <w:spacing w:line="360" w:lineRule="auto"/>
              <w:jc w:val="center"/>
            </w:pPr>
            <w:r w:rsidRPr="00A7504B">
              <w:rPr>
                <w:bCs/>
              </w:rPr>
              <w:t>P</w:t>
            </w:r>
            <w:r w:rsidR="00C43326" w:rsidRPr="00A7504B">
              <w:rPr>
                <w:bCs/>
              </w:rPr>
              <w:t>lant</w:t>
            </w:r>
            <w:r>
              <w:rPr>
                <w:bCs/>
              </w:rPr>
              <w:t xml:space="preserve"> (nos.)</w:t>
            </w:r>
          </w:p>
        </w:tc>
        <w:tc>
          <w:tcPr>
            <w:tcW w:w="1418" w:type="dxa"/>
            <w:vAlign w:val="center"/>
          </w:tcPr>
          <w:p w14:paraId="4B8EFF5F" w14:textId="77777777" w:rsidR="00C43326" w:rsidRPr="00A7504B" w:rsidRDefault="00C43326"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Leaf area index</w:t>
            </w:r>
          </w:p>
        </w:tc>
        <w:tc>
          <w:tcPr>
            <w:tcW w:w="1701" w:type="dxa"/>
            <w:vAlign w:val="center"/>
          </w:tcPr>
          <w:p w14:paraId="47E7ABF0" w14:textId="77777777" w:rsidR="00C43326" w:rsidRPr="00A7504B" w:rsidRDefault="00716E9E" w:rsidP="005D213E">
            <w:pPr>
              <w:pStyle w:val="NoSpacing"/>
              <w:spacing w:line="360" w:lineRule="auto"/>
              <w:jc w:val="center"/>
              <w:rPr>
                <w:rFonts w:ascii="Times New Roman" w:eastAsia="Calibri" w:hAnsi="Times New Roman"/>
                <w:sz w:val="24"/>
                <w:szCs w:val="24"/>
              </w:rPr>
            </w:pPr>
            <w:r>
              <w:rPr>
                <w:rFonts w:ascii="Times New Roman" w:eastAsia="Calibri" w:hAnsi="Times New Roman"/>
                <w:sz w:val="24"/>
                <w:szCs w:val="24"/>
              </w:rPr>
              <w:t>N</w:t>
            </w:r>
            <w:r w:rsidR="00C43326" w:rsidRPr="00A7504B">
              <w:rPr>
                <w:rFonts w:ascii="Times New Roman" w:eastAsia="Calibri" w:hAnsi="Times New Roman"/>
                <w:sz w:val="24"/>
                <w:szCs w:val="24"/>
              </w:rPr>
              <w:t>odules per plant</w:t>
            </w:r>
            <w:r>
              <w:rPr>
                <w:rFonts w:ascii="Times New Roman" w:eastAsia="Calibri" w:hAnsi="Times New Roman"/>
                <w:sz w:val="24"/>
                <w:szCs w:val="24"/>
              </w:rPr>
              <w:t xml:space="preserve"> (nos.)</w:t>
            </w:r>
          </w:p>
        </w:tc>
        <w:tc>
          <w:tcPr>
            <w:tcW w:w="1559" w:type="dxa"/>
            <w:vAlign w:val="center"/>
          </w:tcPr>
          <w:p w14:paraId="1DBBFA85" w14:textId="77777777" w:rsidR="00C43326" w:rsidRPr="00A7504B" w:rsidRDefault="00C43326"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Dry weight (g)</w:t>
            </w:r>
          </w:p>
        </w:tc>
      </w:tr>
      <w:tr w:rsidR="00C43326" w:rsidRPr="00A7504B" w14:paraId="52022C64" w14:textId="77777777" w:rsidTr="000C14AE">
        <w:tc>
          <w:tcPr>
            <w:tcW w:w="1526" w:type="dxa"/>
          </w:tcPr>
          <w:p w14:paraId="7554160F" w14:textId="77777777" w:rsidR="00C43326" w:rsidRPr="00A7504B" w:rsidRDefault="00C43326" w:rsidP="005D213E">
            <w:pPr>
              <w:pStyle w:val="Default"/>
              <w:spacing w:line="360" w:lineRule="auto"/>
              <w:jc w:val="both"/>
            </w:pPr>
            <w:r w:rsidRPr="00A7504B">
              <w:rPr>
                <w:bCs/>
              </w:rPr>
              <w:t>T1</w:t>
            </w:r>
          </w:p>
        </w:tc>
        <w:tc>
          <w:tcPr>
            <w:tcW w:w="1701" w:type="dxa"/>
          </w:tcPr>
          <w:p w14:paraId="35DF4020" w14:textId="77777777" w:rsidR="00C43326" w:rsidRPr="00A7504B" w:rsidRDefault="00C43326" w:rsidP="005D213E">
            <w:pPr>
              <w:pStyle w:val="Default"/>
              <w:spacing w:line="360" w:lineRule="auto"/>
              <w:jc w:val="center"/>
            </w:pPr>
            <w:r w:rsidRPr="00A7504B">
              <w:rPr>
                <w:bCs/>
              </w:rPr>
              <w:t>25.73</w:t>
            </w:r>
          </w:p>
        </w:tc>
        <w:tc>
          <w:tcPr>
            <w:tcW w:w="1559" w:type="dxa"/>
          </w:tcPr>
          <w:p w14:paraId="50ABDD12" w14:textId="77777777" w:rsidR="00C43326" w:rsidRPr="00A7504B" w:rsidRDefault="00C43326" w:rsidP="005D213E">
            <w:pPr>
              <w:pStyle w:val="Default"/>
              <w:spacing w:line="360" w:lineRule="auto"/>
              <w:jc w:val="center"/>
            </w:pPr>
            <w:r w:rsidRPr="00A7504B">
              <w:rPr>
                <w:bCs/>
              </w:rPr>
              <w:t>4.29</w:t>
            </w:r>
          </w:p>
        </w:tc>
        <w:tc>
          <w:tcPr>
            <w:tcW w:w="1418" w:type="dxa"/>
          </w:tcPr>
          <w:p w14:paraId="6C4CE662"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0.70</w:t>
            </w:r>
          </w:p>
        </w:tc>
        <w:tc>
          <w:tcPr>
            <w:tcW w:w="1701" w:type="dxa"/>
          </w:tcPr>
          <w:p w14:paraId="5D2F3E8D"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19.4</w:t>
            </w:r>
          </w:p>
        </w:tc>
        <w:tc>
          <w:tcPr>
            <w:tcW w:w="1559" w:type="dxa"/>
          </w:tcPr>
          <w:p w14:paraId="787F9849" w14:textId="77777777" w:rsidR="00C43326" w:rsidRPr="00A7504B" w:rsidRDefault="00773B59"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7.4</w:t>
            </w:r>
          </w:p>
        </w:tc>
      </w:tr>
      <w:tr w:rsidR="00C43326" w:rsidRPr="00A7504B" w14:paraId="0BC185EA" w14:textId="77777777" w:rsidTr="000C14AE">
        <w:tc>
          <w:tcPr>
            <w:tcW w:w="1526" w:type="dxa"/>
          </w:tcPr>
          <w:p w14:paraId="386DEC8B" w14:textId="77777777" w:rsidR="00C43326" w:rsidRPr="00A7504B" w:rsidRDefault="00C43326" w:rsidP="005D213E">
            <w:pPr>
              <w:pStyle w:val="Default"/>
              <w:spacing w:line="360" w:lineRule="auto"/>
              <w:jc w:val="both"/>
            </w:pPr>
            <w:r w:rsidRPr="00A7504B">
              <w:rPr>
                <w:bCs/>
              </w:rPr>
              <w:t>T2</w:t>
            </w:r>
          </w:p>
        </w:tc>
        <w:tc>
          <w:tcPr>
            <w:tcW w:w="1701" w:type="dxa"/>
          </w:tcPr>
          <w:p w14:paraId="6C185FC5" w14:textId="77777777" w:rsidR="00C43326" w:rsidRPr="00A7504B" w:rsidRDefault="00C43326" w:rsidP="005D213E">
            <w:pPr>
              <w:pStyle w:val="Default"/>
              <w:spacing w:line="360" w:lineRule="auto"/>
              <w:jc w:val="center"/>
            </w:pPr>
            <w:r w:rsidRPr="00A7504B">
              <w:rPr>
                <w:bCs/>
              </w:rPr>
              <w:t>25.75</w:t>
            </w:r>
          </w:p>
        </w:tc>
        <w:tc>
          <w:tcPr>
            <w:tcW w:w="1559" w:type="dxa"/>
          </w:tcPr>
          <w:p w14:paraId="7E1EE925" w14:textId="77777777" w:rsidR="00C43326" w:rsidRPr="00A7504B" w:rsidRDefault="00C43326" w:rsidP="005D213E">
            <w:pPr>
              <w:pStyle w:val="Default"/>
              <w:spacing w:line="360" w:lineRule="auto"/>
              <w:jc w:val="center"/>
            </w:pPr>
            <w:r w:rsidRPr="00A7504B">
              <w:rPr>
                <w:bCs/>
              </w:rPr>
              <w:t>4.29</w:t>
            </w:r>
          </w:p>
        </w:tc>
        <w:tc>
          <w:tcPr>
            <w:tcW w:w="1418" w:type="dxa"/>
          </w:tcPr>
          <w:p w14:paraId="02E335E5"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0.72</w:t>
            </w:r>
          </w:p>
        </w:tc>
        <w:tc>
          <w:tcPr>
            <w:tcW w:w="1701" w:type="dxa"/>
          </w:tcPr>
          <w:p w14:paraId="619732A2"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21.2</w:t>
            </w:r>
          </w:p>
        </w:tc>
        <w:tc>
          <w:tcPr>
            <w:tcW w:w="1559" w:type="dxa"/>
          </w:tcPr>
          <w:p w14:paraId="007E63A6" w14:textId="77777777" w:rsidR="00C43326" w:rsidRPr="00A7504B" w:rsidRDefault="00773B59"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7.2</w:t>
            </w:r>
          </w:p>
        </w:tc>
      </w:tr>
      <w:tr w:rsidR="00C43326" w:rsidRPr="00A7504B" w14:paraId="12A0A60E" w14:textId="77777777" w:rsidTr="000C14AE">
        <w:tc>
          <w:tcPr>
            <w:tcW w:w="1526" w:type="dxa"/>
          </w:tcPr>
          <w:p w14:paraId="1A3B14BD" w14:textId="77777777" w:rsidR="00C43326" w:rsidRPr="00A7504B" w:rsidRDefault="00C43326" w:rsidP="005D213E">
            <w:pPr>
              <w:pStyle w:val="Default"/>
              <w:spacing w:line="360" w:lineRule="auto"/>
              <w:jc w:val="both"/>
            </w:pPr>
            <w:r w:rsidRPr="00A7504B">
              <w:rPr>
                <w:bCs/>
              </w:rPr>
              <w:t>T3</w:t>
            </w:r>
          </w:p>
        </w:tc>
        <w:tc>
          <w:tcPr>
            <w:tcW w:w="1701" w:type="dxa"/>
          </w:tcPr>
          <w:p w14:paraId="67975483" w14:textId="77777777" w:rsidR="00C43326" w:rsidRPr="00A7504B" w:rsidRDefault="00C43326" w:rsidP="005D213E">
            <w:pPr>
              <w:pStyle w:val="Default"/>
              <w:spacing w:line="360" w:lineRule="auto"/>
              <w:jc w:val="center"/>
            </w:pPr>
            <w:r w:rsidRPr="00A7504B">
              <w:rPr>
                <w:bCs/>
              </w:rPr>
              <w:t>36.82</w:t>
            </w:r>
          </w:p>
        </w:tc>
        <w:tc>
          <w:tcPr>
            <w:tcW w:w="1559" w:type="dxa"/>
          </w:tcPr>
          <w:p w14:paraId="3392107A" w14:textId="77777777" w:rsidR="00C43326" w:rsidRPr="00A7504B" w:rsidRDefault="00C43326" w:rsidP="005D213E">
            <w:pPr>
              <w:pStyle w:val="Default"/>
              <w:spacing w:line="360" w:lineRule="auto"/>
              <w:jc w:val="center"/>
            </w:pPr>
            <w:r w:rsidRPr="00A7504B">
              <w:rPr>
                <w:bCs/>
              </w:rPr>
              <w:t>6.14</w:t>
            </w:r>
          </w:p>
        </w:tc>
        <w:tc>
          <w:tcPr>
            <w:tcW w:w="1418" w:type="dxa"/>
          </w:tcPr>
          <w:p w14:paraId="058EE341"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0.85</w:t>
            </w:r>
          </w:p>
        </w:tc>
        <w:tc>
          <w:tcPr>
            <w:tcW w:w="1701" w:type="dxa"/>
          </w:tcPr>
          <w:p w14:paraId="55B0DA4D"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21.8</w:t>
            </w:r>
          </w:p>
        </w:tc>
        <w:tc>
          <w:tcPr>
            <w:tcW w:w="1559" w:type="dxa"/>
          </w:tcPr>
          <w:p w14:paraId="7CB3A3D2" w14:textId="77777777" w:rsidR="00C43326" w:rsidRPr="00A7504B" w:rsidRDefault="00773B59"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7.5</w:t>
            </w:r>
          </w:p>
        </w:tc>
      </w:tr>
      <w:tr w:rsidR="00C43326" w:rsidRPr="00A7504B" w14:paraId="6DA41895" w14:textId="77777777" w:rsidTr="000C14AE">
        <w:tc>
          <w:tcPr>
            <w:tcW w:w="1526" w:type="dxa"/>
          </w:tcPr>
          <w:p w14:paraId="380F16D1" w14:textId="77777777" w:rsidR="00C43326" w:rsidRPr="00A7504B" w:rsidRDefault="00C43326" w:rsidP="005D213E">
            <w:pPr>
              <w:pStyle w:val="Default"/>
              <w:spacing w:line="360" w:lineRule="auto"/>
              <w:jc w:val="both"/>
            </w:pPr>
            <w:r w:rsidRPr="00A7504B">
              <w:rPr>
                <w:bCs/>
              </w:rPr>
              <w:t>T4</w:t>
            </w:r>
          </w:p>
        </w:tc>
        <w:tc>
          <w:tcPr>
            <w:tcW w:w="1701" w:type="dxa"/>
          </w:tcPr>
          <w:p w14:paraId="35EB1E74" w14:textId="77777777" w:rsidR="00C43326" w:rsidRPr="00A7504B" w:rsidRDefault="00C43326" w:rsidP="005D213E">
            <w:pPr>
              <w:pStyle w:val="Default"/>
              <w:spacing w:line="360" w:lineRule="auto"/>
              <w:jc w:val="center"/>
            </w:pPr>
            <w:r w:rsidRPr="00A7504B">
              <w:rPr>
                <w:bCs/>
              </w:rPr>
              <w:t>28.02</w:t>
            </w:r>
          </w:p>
        </w:tc>
        <w:tc>
          <w:tcPr>
            <w:tcW w:w="1559" w:type="dxa"/>
          </w:tcPr>
          <w:p w14:paraId="17FC0968" w14:textId="77777777" w:rsidR="00C43326" w:rsidRPr="00A7504B" w:rsidRDefault="00C43326" w:rsidP="005D213E">
            <w:pPr>
              <w:pStyle w:val="Default"/>
              <w:spacing w:line="360" w:lineRule="auto"/>
              <w:jc w:val="center"/>
            </w:pPr>
            <w:r w:rsidRPr="00A7504B">
              <w:rPr>
                <w:bCs/>
              </w:rPr>
              <w:t>4.67</w:t>
            </w:r>
          </w:p>
        </w:tc>
        <w:tc>
          <w:tcPr>
            <w:tcW w:w="1418" w:type="dxa"/>
          </w:tcPr>
          <w:p w14:paraId="3B019646"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0.76</w:t>
            </w:r>
          </w:p>
        </w:tc>
        <w:tc>
          <w:tcPr>
            <w:tcW w:w="1701" w:type="dxa"/>
          </w:tcPr>
          <w:p w14:paraId="46EEDDCF"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22.7</w:t>
            </w:r>
          </w:p>
        </w:tc>
        <w:tc>
          <w:tcPr>
            <w:tcW w:w="1559" w:type="dxa"/>
          </w:tcPr>
          <w:p w14:paraId="54C03AFF" w14:textId="77777777" w:rsidR="00C43326" w:rsidRPr="00A7504B" w:rsidRDefault="00773B59"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7.8</w:t>
            </w:r>
          </w:p>
        </w:tc>
      </w:tr>
      <w:tr w:rsidR="00C43326" w:rsidRPr="00A7504B" w14:paraId="22C20362" w14:textId="77777777" w:rsidTr="000C14AE">
        <w:tc>
          <w:tcPr>
            <w:tcW w:w="1526" w:type="dxa"/>
          </w:tcPr>
          <w:p w14:paraId="4B500510" w14:textId="77777777" w:rsidR="00C43326" w:rsidRPr="00A7504B" w:rsidRDefault="00C43326" w:rsidP="005D213E">
            <w:pPr>
              <w:pStyle w:val="Default"/>
              <w:spacing w:line="360" w:lineRule="auto"/>
              <w:jc w:val="both"/>
            </w:pPr>
            <w:r w:rsidRPr="00A7504B">
              <w:rPr>
                <w:bCs/>
              </w:rPr>
              <w:t>T5</w:t>
            </w:r>
          </w:p>
        </w:tc>
        <w:tc>
          <w:tcPr>
            <w:tcW w:w="1701" w:type="dxa"/>
          </w:tcPr>
          <w:p w14:paraId="57DF173E" w14:textId="77777777" w:rsidR="00C43326" w:rsidRPr="00A7504B" w:rsidRDefault="00C43326" w:rsidP="005D213E">
            <w:pPr>
              <w:pStyle w:val="Default"/>
              <w:spacing w:line="360" w:lineRule="auto"/>
              <w:jc w:val="center"/>
            </w:pPr>
            <w:r w:rsidRPr="00A7504B">
              <w:rPr>
                <w:bCs/>
              </w:rPr>
              <w:t>37.37</w:t>
            </w:r>
          </w:p>
        </w:tc>
        <w:tc>
          <w:tcPr>
            <w:tcW w:w="1559" w:type="dxa"/>
          </w:tcPr>
          <w:p w14:paraId="248B9CF6" w14:textId="77777777" w:rsidR="00C43326" w:rsidRPr="00A7504B" w:rsidRDefault="00C43326" w:rsidP="005D213E">
            <w:pPr>
              <w:pStyle w:val="Default"/>
              <w:spacing w:line="360" w:lineRule="auto"/>
              <w:jc w:val="center"/>
            </w:pPr>
            <w:r w:rsidRPr="00A7504B">
              <w:rPr>
                <w:bCs/>
              </w:rPr>
              <w:t>6.23</w:t>
            </w:r>
          </w:p>
        </w:tc>
        <w:tc>
          <w:tcPr>
            <w:tcW w:w="1418" w:type="dxa"/>
          </w:tcPr>
          <w:p w14:paraId="1B115160"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0.81</w:t>
            </w:r>
          </w:p>
        </w:tc>
        <w:tc>
          <w:tcPr>
            <w:tcW w:w="1701" w:type="dxa"/>
          </w:tcPr>
          <w:p w14:paraId="026B98B6"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22.1</w:t>
            </w:r>
          </w:p>
        </w:tc>
        <w:tc>
          <w:tcPr>
            <w:tcW w:w="1559" w:type="dxa"/>
          </w:tcPr>
          <w:p w14:paraId="74CE2082" w14:textId="77777777" w:rsidR="00C43326" w:rsidRPr="00A7504B" w:rsidRDefault="00773B59"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8.1</w:t>
            </w:r>
          </w:p>
        </w:tc>
      </w:tr>
      <w:tr w:rsidR="00C43326" w:rsidRPr="00A7504B" w14:paraId="422F8E78" w14:textId="77777777" w:rsidTr="000C14AE">
        <w:tc>
          <w:tcPr>
            <w:tcW w:w="1526" w:type="dxa"/>
          </w:tcPr>
          <w:p w14:paraId="08087D3A" w14:textId="77777777" w:rsidR="00C43326" w:rsidRPr="00A7504B" w:rsidRDefault="00C43326" w:rsidP="005D213E">
            <w:pPr>
              <w:pStyle w:val="Default"/>
              <w:spacing w:line="360" w:lineRule="auto"/>
              <w:jc w:val="both"/>
            </w:pPr>
            <w:r w:rsidRPr="00A7504B">
              <w:rPr>
                <w:bCs/>
              </w:rPr>
              <w:t>T6</w:t>
            </w:r>
          </w:p>
        </w:tc>
        <w:tc>
          <w:tcPr>
            <w:tcW w:w="1701" w:type="dxa"/>
          </w:tcPr>
          <w:p w14:paraId="48B8DD81" w14:textId="77777777" w:rsidR="00C43326" w:rsidRPr="00A7504B" w:rsidRDefault="00C43326" w:rsidP="005D213E">
            <w:pPr>
              <w:pStyle w:val="Default"/>
              <w:spacing w:line="360" w:lineRule="auto"/>
              <w:jc w:val="center"/>
            </w:pPr>
            <w:r w:rsidRPr="00A7504B">
              <w:rPr>
                <w:bCs/>
              </w:rPr>
              <w:t>38.03</w:t>
            </w:r>
          </w:p>
        </w:tc>
        <w:tc>
          <w:tcPr>
            <w:tcW w:w="1559" w:type="dxa"/>
          </w:tcPr>
          <w:p w14:paraId="771689FB" w14:textId="77777777" w:rsidR="00C43326" w:rsidRPr="00A7504B" w:rsidRDefault="00C43326" w:rsidP="005D213E">
            <w:pPr>
              <w:pStyle w:val="Default"/>
              <w:spacing w:line="360" w:lineRule="auto"/>
              <w:jc w:val="center"/>
            </w:pPr>
            <w:r w:rsidRPr="00A7504B">
              <w:rPr>
                <w:bCs/>
              </w:rPr>
              <w:t>6.34</w:t>
            </w:r>
          </w:p>
        </w:tc>
        <w:tc>
          <w:tcPr>
            <w:tcW w:w="1418" w:type="dxa"/>
          </w:tcPr>
          <w:p w14:paraId="36B86682"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0.98</w:t>
            </w:r>
          </w:p>
        </w:tc>
        <w:tc>
          <w:tcPr>
            <w:tcW w:w="1701" w:type="dxa"/>
          </w:tcPr>
          <w:p w14:paraId="5B415AAC"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23.5</w:t>
            </w:r>
          </w:p>
        </w:tc>
        <w:tc>
          <w:tcPr>
            <w:tcW w:w="1559" w:type="dxa"/>
          </w:tcPr>
          <w:p w14:paraId="75406354" w14:textId="77777777" w:rsidR="00C43326" w:rsidRPr="00A7504B" w:rsidRDefault="00773B59"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9.2</w:t>
            </w:r>
          </w:p>
        </w:tc>
      </w:tr>
      <w:tr w:rsidR="00C43326" w:rsidRPr="00A7504B" w14:paraId="324416E3" w14:textId="77777777" w:rsidTr="000C14AE">
        <w:tc>
          <w:tcPr>
            <w:tcW w:w="1526" w:type="dxa"/>
          </w:tcPr>
          <w:p w14:paraId="35795C4C" w14:textId="77777777" w:rsidR="00C43326" w:rsidRPr="00A7504B" w:rsidRDefault="00C43326" w:rsidP="005D213E">
            <w:pPr>
              <w:pStyle w:val="Default"/>
              <w:spacing w:line="360" w:lineRule="auto"/>
              <w:jc w:val="both"/>
            </w:pPr>
            <w:r w:rsidRPr="00A7504B">
              <w:rPr>
                <w:bCs/>
              </w:rPr>
              <w:t>T7</w:t>
            </w:r>
          </w:p>
        </w:tc>
        <w:tc>
          <w:tcPr>
            <w:tcW w:w="1701" w:type="dxa"/>
          </w:tcPr>
          <w:p w14:paraId="0BD6AD20" w14:textId="77777777" w:rsidR="00C43326" w:rsidRPr="00A7504B" w:rsidRDefault="00C43326" w:rsidP="005D213E">
            <w:pPr>
              <w:pStyle w:val="Default"/>
              <w:spacing w:line="360" w:lineRule="auto"/>
              <w:jc w:val="center"/>
            </w:pPr>
            <w:r w:rsidRPr="00A7504B">
              <w:rPr>
                <w:bCs/>
              </w:rPr>
              <w:t>37.57</w:t>
            </w:r>
          </w:p>
        </w:tc>
        <w:tc>
          <w:tcPr>
            <w:tcW w:w="1559" w:type="dxa"/>
          </w:tcPr>
          <w:p w14:paraId="45BC4C1D" w14:textId="77777777" w:rsidR="00C43326" w:rsidRPr="00A7504B" w:rsidRDefault="00C43326" w:rsidP="005D213E">
            <w:pPr>
              <w:pStyle w:val="Default"/>
              <w:spacing w:line="360" w:lineRule="auto"/>
              <w:jc w:val="center"/>
            </w:pPr>
            <w:r w:rsidRPr="00A7504B">
              <w:rPr>
                <w:bCs/>
              </w:rPr>
              <w:t>6.26</w:t>
            </w:r>
          </w:p>
        </w:tc>
        <w:tc>
          <w:tcPr>
            <w:tcW w:w="1418" w:type="dxa"/>
          </w:tcPr>
          <w:p w14:paraId="63C0C3CF"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0.92</w:t>
            </w:r>
          </w:p>
        </w:tc>
        <w:tc>
          <w:tcPr>
            <w:tcW w:w="1701" w:type="dxa"/>
          </w:tcPr>
          <w:p w14:paraId="7524BCC7"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23.2</w:t>
            </w:r>
          </w:p>
        </w:tc>
        <w:tc>
          <w:tcPr>
            <w:tcW w:w="1559" w:type="dxa"/>
          </w:tcPr>
          <w:p w14:paraId="1D6B23AB" w14:textId="77777777" w:rsidR="00C43326" w:rsidRPr="00A7504B" w:rsidRDefault="00773B59"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8.4</w:t>
            </w:r>
          </w:p>
        </w:tc>
      </w:tr>
      <w:tr w:rsidR="00C43326" w:rsidRPr="00A7504B" w14:paraId="62F5E1B6" w14:textId="77777777" w:rsidTr="000C14AE">
        <w:tc>
          <w:tcPr>
            <w:tcW w:w="1526" w:type="dxa"/>
          </w:tcPr>
          <w:p w14:paraId="792ECC0B" w14:textId="77777777" w:rsidR="00C43326" w:rsidRPr="00A7504B" w:rsidRDefault="00C43326" w:rsidP="005D213E">
            <w:pPr>
              <w:pStyle w:val="Default"/>
              <w:spacing w:line="360" w:lineRule="auto"/>
              <w:jc w:val="both"/>
            </w:pPr>
            <w:r w:rsidRPr="00A7504B">
              <w:rPr>
                <w:bCs/>
              </w:rPr>
              <w:t>T8</w:t>
            </w:r>
          </w:p>
        </w:tc>
        <w:tc>
          <w:tcPr>
            <w:tcW w:w="1701" w:type="dxa"/>
          </w:tcPr>
          <w:p w14:paraId="1356AA13" w14:textId="77777777" w:rsidR="00C43326" w:rsidRPr="00A7504B" w:rsidRDefault="00C43326" w:rsidP="005D213E">
            <w:pPr>
              <w:pStyle w:val="Default"/>
              <w:spacing w:line="360" w:lineRule="auto"/>
              <w:jc w:val="center"/>
            </w:pPr>
            <w:r w:rsidRPr="00A7504B">
              <w:rPr>
                <w:bCs/>
              </w:rPr>
              <w:t>28.08</w:t>
            </w:r>
          </w:p>
        </w:tc>
        <w:tc>
          <w:tcPr>
            <w:tcW w:w="1559" w:type="dxa"/>
          </w:tcPr>
          <w:p w14:paraId="7EC759EA" w14:textId="77777777" w:rsidR="00C43326" w:rsidRPr="00A7504B" w:rsidRDefault="00C43326" w:rsidP="005D213E">
            <w:pPr>
              <w:pStyle w:val="Default"/>
              <w:spacing w:line="360" w:lineRule="auto"/>
              <w:jc w:val="center"/>
            </w:pPr>
            <w:r w:rsidRPr="00A7504B">
              <w:rPr>
                <w:bCs/>
              </w:rPr>
              <w:t>4.68</w:t>
            </w:r>
          </w:p>
        </w:tc>
        <w:tc>
          <w:tcPr>
            <w:tcW w:w="1418" w:type="dxa"/>
          </w:tcPr>
          <w:p w14:paraId="40D15CFF"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0.74</w:t>
            </w:r>
          </w:p>
        </w:tc>
        <w:tc>
          <w:tcPr>
            <w:tcW w:w="1701" w:type="dxa"/>
          </w:tcPr>
          <w:p w14:paraId="3AE96732"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20.6</w:t>
            </w:r>
          </w:p>
        </w:tc>
        <w:tc>
          <w:tcPr>
            <w:tcW w:w="1559" w:type="dxa"/>
          </w:tcPr>
          <w:p w14:paraId="2728CAB9" w14:textId="77777777" w:rsidR="00C43326" w:rsidRPr="00A7504B" w:rsidRDefault="00773B59"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7.3</w:t>
            </w:r>
          </w:p>
        </w:tc>
      </w:tr>
      <w:tr w:rsidR="00C43326" w:rsidRPr="00A7504B" w14:paraId="2AEFB53B" w14:textId="77777777" w:rsidTr="000C14AE">
        <w:tc>
          <w:tcPr>
            <w:tcW w:w="1526" w:type="dxa"/>
          </w:tcPr>
          <w:p w14:paraId="0DE10067" w14:textId="77777777" w:rsidR="00C43326" w:rsidRPr="00A7504B" w:rsidRDefault="00C43326" w:rsidP="005D213E">
            <w:pPr>
              <w:pStyle w:val="Default"/>
              <w:spacing w:line="360" w:lineRule="auto"/>
              <w:jc w:val="both"/>
            </w:pPr>
            <w:proofErr w:type="spellStart"/>
            <w:r w:rsidRPr="00A7504B">
              <w:rPr>
                <w:bCs/>
              </w:rPr>
              <w:t>SEm</w:t>
            </w:r>
            <w:proofErr w:type="spellEnd"/>
            <w:r w:rsidRPr="00A7504B">
              <w:rPr>
                <w:bCs/>
              </w:rPr>
              <w:t xml:space="preserve"> </w:t>
            </w:r>
            <w:proofErr w:type="gramStart"/>
            <w:r w:rsidRPr="00A7504B">
              <w:rPr>
                <w:bCs/>
              </w:rPr>
              <w:t>( +</w:t>
            </w:r>
            <w:proofErr w:type="gramEnd"/>
            <w:r w:rsidRPr="00A7504B">
              <w:t>)</w:t>
            </w:r>
          </w:p>
        </w:tc>
        <w:tc>
          <w:tcPr>
            <w:tcW w:w="1701" w:type="dxa"/>
          </w:tcPr>
          <w:p w14:paraId="0BD91782" w14:textId="77777777" w:rsidR="00C43326" w:rsidRPr="00A7504B" w:rsidRDefault="00C43326" w:rsidP="005D213E">
            <w:pPr>
              <w:pStyle w:val="Default"/>
              <w:spacing w:line="360" w:lineRule="auto"/>
              <w:jc w:val="center"/>
            </w:pPr>
            <w:r w:rsidRPr="00A7504B">
              <w:rPr>
                <w:bCs/>
              </w:rPr>
              <w:t>2.58</w:t>
            </w:r>
          </w:p>
        </w:tc>
        <w:tc>
          <w:tcPr>
            <w:tcW w:w="1559" w:type="dxa"/>
          </w:tcPr>
          <w:p w14:paraId="22679086" w14:textId="77777777" w:rsidR="00C43326" w:rsidRPr="00A7504B" w:rsidRDefault="00C43326" w:rsidP="005D213E">
            <w:pPr>
              <w:pStyle w:val="Default"/>
              <w:spacing w:line="360" w:lineRule="auto"/>
              <w:jc w:val="center"/>
            </w:pPr>
            <w:r w:rsidRPr="00A7504B">
              <w:rPr>
                <w:bCs/>
              </w:rPr>
              <w:t>0.80</w:t>
            </w:r>
          </w:p>
        </w:tc>
        <w:tc>
          <w:tcPr>
            <w:tcW w:w="1418" w:type="dxa"/>
          </w:tcPr>
          <w:p w14:paraId="7A20244A"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0.02</w:t>
            </w:r>
          </w:p>
        </w:tc>
        <w:tc>
          <w:tcPr>
            <w:tcW w:w="1701" w:type="dxa"/>
          </w:tcPr>
          <w:p w14:paraId="3E1D3341" w14:textId="77777777" w:rsidR="00C43326" w:rsidRPr="00A7504B" w:rsidRDefault="00174DA0"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0.48</w:t>
            </w:r>
          </w:p>
        </w:tc>
        <w:tc>
          <w:tcPr>
            <w:tcW w:w="1559" w:type="dxa"/>
          </w:tcPr>
          <w:p w14:paraId="01440E92" w14:textId="77777777" w:rsidR="00C43326" w:rsidRPr="00A7504B" w:rsidRDefault="00773B59"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0.56</w:t>
            </w:r>
          </w:p>
        </w:tc>
      </w:tr>
      <w:tr w:rsidR="00C43326" w:rsidRPr="00A7504B" w14:paraId="7D409A94" w14:textId="77777777" w:rsidTr="000C14AE">
        <w:tc>
          <w:tcPr>
            <w:tcW w:w="1526" w:type="dxa"/>
          </w:tcPr>
          <w:p w14:paraId="49086922" w14:textId="77777777" w:rsidR="00C43326" w:rsidRPr="00A7504B" w:rsidRDefault="00C43326" w:rsidP="005D213E">
            <w:pPr>
              <w:pStyle w:val="Default"/>
              <w:spacing w:line="360" w:lineRule="auto"/>
              <w:jc w:val="both"/>
            </w:pPr>
            <w:r w:rsidRPr="00A7504B">
              <w:rPr>
                <w:bCs/>
              </w:rPr>
              <w:t>CD (5%)</w:t>
            </w:r>
          </w:p>
        </w:tc>
        <w:tc>
          <w:tcPr>
            <w:tcW w:w="1701" w:type="dxa"/>
          </w:tcPr>
          <w:p w14:paraId="62B61461" w14:textId="77777777" w:rsidR="00C43326" w:rsidRPr="00A7504B" w:rsidRDefault="00C43326" w:rsidP="005D213E">
            <w:pPr>
              <w:pStyle w:val="Default"/>
              <w:spacing w:line="360" w:lineRule="auto"/>
              <w:jc w:val="center"/>
            </w:pPr>
            <w:r w:rsidRPr="00A7504B">
              <w:rPr>
                <w:bCs/>
              </w:rPr>
              <w:t>5.05</w:t>
            </w:r>
          </w:p>
        </w:tc>
        <w:tc>
          <w:tcPr>
            <w:tcW w:w="1559" w:type="dxa"/>
          </w:tcPr>
          <w:p w14:paraId="7E38B948" w14:textId="77777777" w:rsidR="00C43326" w:rsidRPr="00A7504B" w:rsidRDefault="00C43326" w:rsidP="005D213E">
            <w:pPr>
              <w:pStyle w:val="Default"/>
              <w:spacing w:line="360" w:lineRule="auto"/>
              <w:jc w:val="center"/>
            </w:pPr>
            <w:r w:rsidRPr="00A7504B">
              <w:rPr>
                <w:bCs/>
              </w:rPr>
              <w:t>1.56</w:t>
            </w:r>
          </w:p>
        </w:tc>
        <w:tc>
          <w:tcPr>
            <w:tcW w:w="1418" w:type="dxa"/>
          </w:tcPr>
          <w:p w14:paraId="6128FC82"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0.05</w:t>
            </w:r>
          </w:p>
        </w:tc>
        <w:tc>
          <w:tcPr>
            <w:tcW w:w="1701" w:type="dxa"/>
          </w:tcPr>
          <w:p w14:paraId="7C6C0314" w14:textId="77777777" w:rsidR="00C43326" w:rsidRPr="00A7504B" w:rsidRDefault="00174DA0"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1.24</w:t>
            </w:r>
          </w:p>
        </w:tc>
        <w:tc>
          <w:tcPr>
            <w:tcW w:w="1559" w:type="dxa"/>
          </w:tcPr>
          <w:p w14:paraId="56BF2022" w14:textId="77777777" w:rsidR="00C43326" w:rsidRPr="00A7504B" w:rsidRDefault="00773B59"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1.57</w:t>
            </w:r>
          </w:p>
        </w:tc>
      </w:tr>
    </w:tbl>
    <w:p w14:paraId="327724FD" w14:textId="77777777" w:rsidR="00D6194C" w:rsidRPr="00A7504B" w:rsidRDefault="00D6194C" w:rsidP="005D213E">
      <w:pPr>
        <w:pStyle w:val="NoSpacing"/>
        <w:spacing w:line="360" w:lineRule="auto"/>
        <w:jc w:val="both"/>
        <w:rPr>
          <w:rFonts w:ascii="Times New Roman" w:hAnsi="Times New Roman"/>
          <w:b/>
          <w:sz w:val="24"/>
          <w:szCs w:val="24"/>
        </w:rPr>
      </w:pPr>
    </w:p>
    <w:p w14:paraId="1FD2D641" w14:textId="77777777" w:rsidR="00816E9C" w:rsidRDefault="00816E9C" w:rsidP="005D213E">
      <w:pPr>
        <w:pStyle w:val="NoSpacing"/>
        <w:spacing w:line="360" w:lineRule="auto"/>
        <w:jc w:val="both"/>
        <w:rPr>
          <w:rFonts w:ascii="Times New Roman" w:hAnsi="Times New Roman"/>
          <w:b/>
          <w:sz w:val="24"/>
          <w:szCs w:val="24"/>
        </w:rPr>
      </w:pPr>
    </w:p>
    <w:p w14:paraId="76723501" w14:textId="77777777" w:rsidR="00033A1F" w:rsidRPr="00A7504B" w:rsidRDefault="00033A1F" w:rsidP="005D213E">
      <w:pPr>
        <w:pStyle w:val="NoSpacing"/>
        <w:spacing w:line="360" w:lineRule="auto"/>
        <w:jc w:val="both"/>
        <w:rPr>
          <w:rFonts w:ascii="Times New Roman" w:hAnsi="Times New Roman"/>
          <w:b/>
          <w:sz w:val="24"/>
          <w:szCs w:val="24"/>
        </w:rPr>
      </w:pPr>
      <w:r w:rsidRPr="00A7504B">
        <w:rPr>
          <w:rFonts w:ascii="Times New Roman" w:hAnsi="Times New Roman"/>
          <w:b/>
          <w:sz w:val="24"/>
          <w:szCs w:val="24"/>
        </w:rPr>
        <w:t>Table 2: Effect of different levels of P, S and PSB on yield and yield attributes of black gram (</w:t>
      </w:r>
      <w:r>
        <w:rPr>
          <w:rFonts w:ascii="Times New Roman" w:hAnsi="Times New Roman"/>
          <w:b/>
          <w:sz w:val="24"/>
          <w:szCs w:val="24"/>
        </w:rPr>
        <w:t xml:space="preserve">Pooled of </w:t>
      </w:r>
      <w:r w:rsidRPr="00A7504B">
        <w:rPr>
          <w:rFonts w:ascii="Times New Roman" w:hAnsi="Times New Roman"/>
          <w:b/>
          <w:i/>
          <w:iCs/>
          <w:sz w:val="24"/>
          <w:szCs w:val="24"/>
        </w:rPr>
        <w:t>Kharif</w:t>
      </w:r>
      <w:r w:rsidRPr="00A7504B">
        <w:rPr>
          <w:rFonts w:ascii="Times New Roman" w:hAnsi="Times New Roman"/>
          <w:b/>
          <w:sz w:val="24"/>
          <w:szCs w:val="24"/>
        </w:rPr>
        <w:t>, 2020 &amp; 2021)</w:t>
      </w:r>
    </w:p>
    <w:p w14:paraId="16686CD0" w14:textId="77777777" w:rsidR="00033A1F" w:rsidRPr="00A7504B" w:rsidRDefault="00033A1F" w:rsidP="005D213E">
      <w:pPr>
        <w:spacing w:line="360" w:lineRule="auto"/>
        <w:jc w:val="both"/>
        <w:rPr>
          <w:rFonts w:ascii="Times New Roman" w:hAnsi="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4"/>
        <w:gridCol w:w="1128"/>
        <w:gridCol w:w="1119"/>
        <w:gridCol w:w="1120"/>
        <w:gridCol w:w="986"/>
        <w:gridCol w:w="1117"/>
        <w:gridCol w:w="1256"/>
        <w:gridCol w:w="1110"/>
      </w:tblGrid>
      <w:tr w:rsidR="00033A1F" w:rsidRPr="00A7504B" w14:paraId="23F8CFF6" w14:textId="77777777" w:rsidTr="00E84F72">
        <w:tc>
          <w:tcPr>
            <w:tcW w:w="1526" w:type="dxa"/>
            <w:vAlign w:val="center"/>
          </w:tcPr>
          <w:p w14:paraId="3F232E5F" w14:textId="77777777" w:rsidR="00033A1F" w:rsidRPr="00A7504B" w:rsidRDefault="00033A1F" w:rsidP="005D213E">
            <w:pPr>
              <w:pStyle w:val="Default"/>
              <w:spacing w:line="360" w:lineRule="auto"/>
              <w:jc w:val="both"/>
            </w:pPr>
            <w:r w:rsidRPr="00A7504B">
              <w:rPr>
                <w:bCs/>
              </w:rPr>
              <w:t>Treatments</w:t>
            </w:r>
          </w:p>
        </w:tc>
        <w:tc>
          <w:tcPr>
            <w:tcW w:w="1134" w:type="dxa"/>
            <w:vAlign w:val="center"/>
          </w:tcPr>
          <w:p w14:paraId="43B6BEF0" w14:textId="77777777" w:rsidR="00033A1F" w:rsidRPr="00A7504B" w:rsidRDefault="00033A1F" w:rsidP="005D213E">
            <w:pPr>
              <w:pStyle w:val="Default"/>
              <w:spacing w:line="360" w:lineRule="auto"/>
              <w:jc w:val="center"/>
            </w:pPr>
            <w:r w:rsidRPr="00A7504B">
              <w:rPr>
                <w:bCs/>
              </w:rPr>
              <w:t>Number</w:t>
            </w:r>
          </w:p>
          <w:p w14:paraId="54C7E184" w14:textId="77777777" w:rsidR="00033A1F" w:rsidRPr="00A7504B" w:rsidRDefault="00033A1F" w:rsidP="005D213E">
            <w:pPr>
              <w:pStyle w:val="Default"/>
              <w:spacing w:line="360" w:lineRule="auto"/>
              <w:jc w:val="center"/>
            </w:pPr>
            <w:r w:rsidRPr="00A7504B">
              <w:rPr>
                <w:bCs/>
              </w:rPr>
              <w:t>of Pods/</w:t>
            </w:r>
          </w:p>
          <w:p w14:paraId="1323671D" w14:textId="77777777" w:rsidR="00033A1F" w:rsidRPr="00A7504B" w:rsidRDefault="00033A1F" w:rsidP="005D213E">
            <w:pPr>
              <w:pStyle w:val="Default"/>
              <w:spacing w:line="360" w:lineRule="auto"/>
              <w:jc w:val="center"/>
            </w:pPr>
            <w:r w:rsidRPr="00A7504B">
              <w:rPr>
                <w:bCs/>
              </w:rPr>
              <w:t>plant</w:t>
            </w:r>
          </w:p>
        </w:tc>
        <w:tc>
          <w:tcPr>
            <w:tcW w:w="1134" w:type="dxa"/>
            <w:vAlign w:val="center"/>
          </w:tcPr>
          <w:p w14:paraId="50377510" w14:textId="77777777" w:rsidR="00033A1F" w:rsidRPr="00A7504B" w:rsidRDefault="00033A1F" w:rsidP="005D213E">
            <w:pPr>
              <w:pStyle w:val="Default"/>
              <w:spacing w:line="360" w:lineRule="auto"/>
              <w:jc w:val="center"/>
            </w:pPr>
            <w:r w:rsidRPr="00A7504B">
              <w:rPr>
                <w:bCs/>
              </w:rPr>
              <w:t>Pod length</w:t>
            </w:r>
          </w:p>
          <w:p w14:paraId="7A92C31F" w14:textId="77777777" w:rsidR="00033A1F" w:rsidRPr="00A7504B" w:rsidRDefault="00033A1F" w:rsidP="005D213E">
            <w:pPr>
              <w:pStyle w:val="Default"/>
              <w:spacing w:line="360" w:lineRule="auto"/>
              <w:jc w:val="center"/>
            </w:pPr>
            <w:r w:rsidRPr="00A7504B">
              <w:rPr>
                <w:bCs/>
              </w:rPr>
              <w:t>(cm)</w:t>
            </w:r>
          </w:p>
        </w:tc>
        <w:tc>
          <w:tcPr>
            <w:tcW w:w="1134" w:type="dxa"/>
            <w:vAlign w:val="center"/>
          </w:tcPr>
          <w:p w14:paraId="6B547412" w14:textId="77777777" w:rsidR="00033A1F" w:rsidRPr="00A7504B" w:rsidRDefault="00033A1F" w:rsidP="005D213E">
            <w:pPr>
              <w:pStyle w:val="Default"/>
              <w:spacing w:line="360" w:lineRule="auto"/>
              <w:jc w:val="center"/>
            </w:pPr>
            <w:r w:rsidRPr="00A7504B">
              <w:rPr>
                <w:bCs/>
              </w:rPr>
              <w:t>No. of Seeds/ pod</w:t>
            </w:r>
          </w:p>
        </w:tc>
        <w:tc>
          <w:tcPr>
            <w:tcW w:w="992" w:type="dxa"/>
            <w:vAlign w:val="center"/>
          </w:tcPr>
          <w:p w14:paraId="21F5C177" w14:textId="77777777" w:rsidR="00033A1F" w:rsidRPr="00A7504B" w:rsidRDefault="00033A1F" w:rsidP="005D213E">
            <w:pPr>
              <w:pStyle w:val="Default"/>
              <w:spacing w:line="360" w:lineRule="auto"/>
              <w:jc w:val="center"/>
              <w:rPr>
                <w:bCs/>
              </w:rPr>
            </w:pPr>
            <w:r w:rsidRPr="00A7504B">
              <w:rPr>
                <w:bCs/>
              </w:rPr>
              <w:t>Test weight</w:t>
            </w:r>
          </w:p>
          <w:p w14:paraId="6C0BAD7F" w14:textId="77777777" w:rsidR="00033A1F" w:rsidRPr="00A7504B" w:rsidRDefault="00033A1F" w:rsidP="005D213E">
            <w:pPr>
              <w:pStyle w:val="Default"/>
              <w:spacing w:line="360" w:lineRule="auto"/>
              <w:jc w:val="center"/>
              <w:rPr>
                <w:bCs/>
              </w:rPr>
            </w:pPr>
            <w:r w:rsidRPr="00A7504B">
              <w:rPr>
                <w:bCs/>
              </w:rPr>
              <w:t>(g)</w:t>
            </w:r>
          </w:p>
        </w:tc>
        <w:tc>
          <w:tcPr>
            <w:tcW w:w="1134" w:type="dxa"/>
            <w:vAlign w:val="center"/>
          </w:tcPr>
          <w:p w14:paraId="170BD4FB" w14:textId="77777777" w:rsidR="00033A1F" w:rsidRPr="00A7504B" w:rsidRDefault="00033A1F" w:rsidP="005D213E">
            <w:pPr>
              <w:pStyle w:val="Default"/>
              <w:spacing w:line="360" w:lineRule="auto"/>
              <w:jc w:val="center"/>
              <w:rPr>
                <w:bCs/>
              </w:rPr>
            </w:pPr>
            <w:r w:rsidRPr="00A7504B">
              <w:rPr>
                <w:bCs/>
              </w:rPr>
              <w:t>Seed</w:t>
            </w:r>
          </w:p>
          <w:p w14:paraId="3BF64DC4" w14:textId="77777777" w:rsidR="00033A1F" w:rsidRPr="00A7504B" w:rsidRDefault="00033A1F" w:rsidP="005D213E">
            <w:pPr>
              <w:pStyle w:val="Default"/>
              <w:spacing w:line="360" w:lineRule="auto"/>
              <w:jc w:val="center"/>
            </w:pPr>
            <w:r w:rsidRPr="00A7504B">
              <w:rPr>
                <w:bCs/>
              </w:rPr>
              <w:t>Yield</w:t>
            </w:r>
          </w:p>
          <w:p w14:paraId="731234F6" w14:textId="77777777" w:rsidR="00033A1F" w:rsidRPr="00A7504B" w:rsidRDefault="00033A1F" w:rsidP="005D213E">
            <w:pPr>
              <w:pStyle w:val="Default"/>
              <w:spacing w:line="360" w:lineRule="auto"/>
              <w:jc w:val="center"/>
            </w:pPr>
            <w:r w:rsidRPr="00A7504B">
              <w:rPr>
                <w:bCs/>
              </w:rPr>
              <w:t>(q/ha)</w:t>
            </w:r>
          </w:p>
        </w:tc>
        <w:tc>
          <w:tcPr>
            <w:tcW w:w="1276" w:type="dxa"/>
            <w:vAlign w:val="center"/>
          </w:tcPr>
          <w:p w14:paraId="1C86BCA0" w14:textId="77777777" w:rsidR="00033A1F" w:rsidRPr="00A7504B" w:rsidRDefault="00033A1F" w:rsidP="005D213E">
            <w:pPr>
              <w:pStyle w:val="Default"/>
              <w:spacing w:line="360" w:lineRule="auto"/>
              <w:jc w:val="center"/>
            </w:pPr>
            <w:r w:rsidRPr="00A7504B">
              <w:rPr>
                <w:bCs/>
              </w:rPr>
              <w:t>Haulm Yield</w:t>
            </w:r>
          </w:p>
          <w:p w14:paraId="77FF1851" w14:textId="77777777" w:rsidR="00033A1F" w:rsidRPr="00A7504B" w:rsidRDefault="00033A1F" w:rsidP="005D213E">
            <w:pPr>
              <w:pStyle w:val="Default"/>
              <w:spacing w:line="360" w:lineRule="auto"/>
              <w:jc w:val="center"/>
            </w:pPr>
            <w:r w:rsidRPr="00A7504B">
              <w:rPr>
                <w:bCs/>
              </w:rPr>
              <w:t>(q/ha)</w:t>
            </w:r>
          </w:p>
        </w:tc>
        <w:tc>
          <w:tcPr>
            <w:tcW w:w="1134" w:type="dxa"/>
            <w:vAlign w:val="center"/>
          </w:tcPr>
          <w:p w14:paraId="1054E599" w14:textId="77777777" w:rsidR="00033A1F" w:rsidRPr="00A7504B" w:rsidRDefault="00033A1F" w:rsidP="005D213E">
            <w:pPr>
              <w:pStyle w:val="Default"/>
              <w:spacing w:line="360" w:lineRule="auto"/>
              <w:jc w:val="center"/>
              <w:rPr>
                <w:bCs/>
              </w:rPr>
            </w:pPr>
            <w:r w:rsidRPr="00A7504B">
              <w:rPr>
                <w:bCs/>
              </w:rPr>
              <w:t>B:C</w:t>
            </w:r>
          </w:p>
        </w:tc>
      </w:tr>
      <w:tr w:rsidR="00033A1F" w:rsidRPr="00A7504B" w14:paraId="783070AF" w14:textId="77777777" w:rsidTr="00E84F72">
        <w:tc>
          <w:tcPr>
            <w:tcW w:w="1526" w:type="dxa"/>
          </w:tcPr>
          <w:p w14:paraId="1B4EDEBF" w14:textId="77777777" w:rsidR="00033A1F" w:rsidRPr="00A7504B" w:rsidRDefault="00033A1F" w:rsidP="005D213E">
            <w:pPr>
              <w:pStyle w:val="Default"/>
              <w:spacing w:line="360" w:lineRule="auto"/>
              <w:jc w:val="both"/>
            </w:pPr>
            <w:r w:rsidRPr="00A7504B">
              <w:rPr>
                <w:bCs/>
              </w:rPr>
              <w:t>T</w:t>
            </w:r>
            <w:r w:rsidRPr="00716E9E">
              <w:rPr>
                <w:bCs/>
                <w:vertAlign w:val="subscript"/>
              </w:rPr>
              <w:t>1</w:t>
            </w:r>
          </w:p>
        </w:tc>
        <w:tc>
          <w:tcPr>
            <w:tcW w:w="1134" w:type="dxa"/>
          </w:tcPr>
          <w:p w14:paraId="3BC3F8B7" w14:textId="77777777" w:rsidR="00033A1F" w:rsidRPr="00A7504B" w:rsidRDefault="00033A1F" w:rsidP="005D213E">
            <w:pPr>
              <w:pStyle w:val="Default"/>
              <w:spacing w:line="360" w:lineRule="auto"/>
              <w:jc w:val="center"/>
            </w:pPr>
            <w:r w:rsidRPr="00A7504B">
              <w:rPr>
                <w:bCs/>
              </w:rPr>
              <w:t>8.57</w:t>
            </w:r>
          </w:p>
        </w:tc>
        <w:tc>
          <w:tcPr>
            <w:tcW w:w="1134" w:type="dxa"/>
          </w:tcPr>
          <w:p w14:paraId="68294837" w14:textId="77777777" w:rsidR="00033A1F" w:rsidRPr="00A7504B" w:rsidRDefault="00033A1F" w:rsidP="005D213E">
            <w:pPr>
              <w:pStyle w:val="Default"/>
              <w:spacing w:line="360" w:lineRule="auto"/>
              <w:jc w:val="center"/>
            </w:pPr>
            <w:r w:rsidRPr="00A7504B">
              <w:rPr>
                <w:bCs/>
              </w:rPr>
              <w:t>3.19</w:t>
            </w:r>
          </w:p>
        </w:tc>
        <w:tc>
          <w:tcPr>
            <w:tcW w:w="1134" w:type="dxa"/>
          </w:tcPr>
          <w:p w14:paraId="12C4479D" w14:textId="77777777" w:rsidR="00033A1F" w:rsidRPr="00A7504B" w:rsidRDefault="00033A1F" w:rsidP="005D213E">
            <w:pPr>
              <w:pStyle w:val="Default"/>
              <w:spacing w:line="360" w:lineRule="auto"/>
              <w:jc w:val="center"/>
            </w:pPr>
            <w:r w:rsidRPr="00A7504B">
              <w:rPr>
                <w:bCs/>
              </w:rPr>
              <w:t>5.33</w:t>
            </w:r>
          </w:p>
        </w:tc>
        <w:tc>
          <w:tcPr>
            <w:tcW w:w="992" w:type="dxa"/>
          </w:tcPr>
          <w:p w14:paraId="0EFC1F84" w14:textId="77777777" w:rsidR="00033A1F" w:rsidRPr="00A7504B" w:rsidRDefault="00033A1F" w:rsidP="005D213E">
            <w:pPr>
              <w:pStyle w:val="Default"/>
              <w:spacing w:line="360" w:lineRule="auto"/>
              <w:jc w:val="center"/>
              <w:rPr>
                <w:bCs/>
              </w:rPr>
            </w:pPr>
            <w:r w:rsidRPr="00A7504B">
              <w:rPr>
                <w:bCs/>
              </w:rPr>
              <w:t>34.2</w:t>
            </w:r>
          </w:p>
        </w:tc>
        <w:tc>
          <w:tcPr>
            <w:tcW w:w="1134" w:type="dxa"/>
          </w:tcPr>
          <w:p w14:paraId="7951B762" w14:textId="77777777" w:rsidR="00033A1F" w:rsidRPr="00A7504B" w:rsidRDefault="00033A1F" w:rsidP="005D213E">
            <w:pPr>
              <w:pStyle w:val="Default"/>
              <w:spacing w:line="360" w:lineRule="auto"/>
              <w:jc w:val="center"/>
            </w:pPr>
            <w:r w:rsidRPr="00A7504B">
              <w:rPr>
                <w:bCs/>
              </w:rPr>
              <w:t>6.34</w:t>
            </w:r>
          </w:p>
        </w:tc>
        <w:tc>
          <w:tcPr>
            <w:tcW w:w="1276" w:type="dxa"/>
          </w:tcPr>
          <w:p w14:paraId="4EF51FCA" w14:textId="77777777" w:rsidR="00033A1F" w:rsidRPr="00A7504B" w:rsidRDefault="00033A1F" w:rsidP="005D213E">
            <w:pPr>
              <w:pStyle w:val="Default"/>
              <w:spacing w:line="360" w:lineRule="auto"/>
              <w:jc w:val="center"/>
            </w:pPr>
            <w:r w:rsidRPr="00A7504B">
              <w:rPr>
                <w:bCs/>
              </w:rPr>
              <w:t>13.65</w:t>
            </w:r>
          </w:p>
        </w:tc>
        <w:tc>
          <w:tcPr>
            <w:tcW w:w="1134" w:type="dxa"/>
          </w:tcPr>
          <w:p w14:paraId="2CD16585" w14:textId="77777777" w:rsidR="00033A1F" w:rsidRPr="00A7504B" w:rsidRDefault="00033A1F" w:rsidP="005D213E">
            <w:pPr>
              <w:pStyle w:val="Default"/>
              <w:spacing w:line="360" w:lineRule="auto"/>
              <w:jc w:val="center"/>
              <w:rPr>
                <w:bCs/>
              </w:rPr>
            </w:pPr>
            <w:r w:rsidRPr="00A7504B">
              <w:rPr>
                <w:bCs/>
              </w:rPr>
              <w:t>1.08</w:t>
            </w:r>
          </w:p>
        </w:tc>
      </w:tr>
      <w:tr w:rsidR="00033A1F" w:rsidRPr="00A7504B" w14:paraId="5AF6AB78" w14:textId="77777777" w:rsidTr="00E84F72">
        <w:tc>
          <w:tcPr>
            <w:tcW w:w="1526" w:type="dxa"/>
          </w:tcPr>
          <w:p w14:paraId="755FF3D0" w14:textId="77777777" w:rsidR="00033A1F" w:rsidRPr="00A7504B" w:rsidRDefault="00033A1F" w:rsidP="005D213E">
            <w:pPr>
              <w:pStyle w:val="Default"/>
              <w:spacing w:line="360" w:lineRule="auto"/>
              <w:jc w:val="both"/>
            </w:pPr>
            <w:r w:rsidRPr="00A7504B">
              <w:rPr>
                <w:bCs/>
              </w:rPr>
              <w:t>T</w:t>
            </w:r>
            <w:r w:rsidRPr="00716E9E">
              <w:rPr>
                <w:bCs/>
                <w:vertAlign w:val="subscript"/>
              </w:rPr>
              <w:t>2</w:t>
            </w:r>
          </w:p>
        </w:tc>
        <w:tc>
          <w:tcPr>
            <w:tcW w:w="1134" w:type="dxa"/>
          </w:tcPr>
          <w:p w14:paraId="7D1977B5" w14:textId="77777777" w:rsidR="00033A1F" w:rsidRPr="00A7504B" w:rsidRDefault="00033A1F" w:rsidP="005D213E">
            <w:pPr>
              <w:pStyle w:val="Default"/>
              <w:spacing w:line="360" w:lineRule="auto"/>
              <w:jc w:val="center"/>
            </w:pPr>
            <w:r w:rsidRPr="00A7504B">
              <w:rPr>
                <w:bCs/>
              </w:rPr>
              <w:t>11.52</w:t>
            </w:r>
          </w:p>
        </w:tc>
        <w:tc>
          <w:tcPr>
            <w:tcW w:w="1134" w:type="dxa"/>
          </w:tcPr>
          <w:p w14:paraId="5512526A" w14:textId="77777777" w:rsidR="00033A1F" w:rsidRPr="00A7504B" w:rsidRDefault="00033A1F" w:rsidP="005D213E">
            <w:pPr>
              <w:pStyle w:val="Default"/>
              <w:spacing w:line="360" w:lineRule="auto"/>
              <w:jc w:val="center"/>
            </w:pPr>
            <w:r w:rsidRPr="00A7504B">
              <w:rPr>
                <w:bCs/>
              </w:rPr>
              <w:t>3.66</w:t>
            </w:r>
          </w:p>
        </w:tc>
        <w:tc>
          <w:tcPr>
            <w:tcW w:w="1134" w:type="dxa"/>
          </w:tcPr>
          <w:p w14:paraId="3AF0897F" w14:textId="77777777" w:rsidR="00033A1F" w:rsidRPr="00A7504B" w:rsidRDefault="00033A1F" w:rsidP="005D213E">
            <w:pPr>
              <w:pStyle w:val="Default"/>
              <w:spacing w:line="360" w:lineRule="auto"/>
              <w:jc w:val="center"/>
            </w:pPr>
            <w:r w:rsidRPr="00A7504B">
              <w:rPr>
                <w:bCs/>
              </w:rPr>
              <w:t>5.70</w:t>
            </w:r>
          </w:p>
        </w:tc>
        <w:tc>
          <w:tcPr>
            <w:tcW w:w="992" w:type="dxa"/>
          </w:tcPr>
          <w:p w14:paraId="38D79093" w14:textId="77777777" w:rsidR="00033A1F" w:rsidRPr="00A7504B" w:rsidRDefault="00033A1F" w:rsidP="005D213E">
            <w:pPr>
              <w:pStyle w:val="Default"/>
              <w:spacing w:line="360" w:lineRule="auto"/>
              <w:jc w:val="center"/>
              <w:rPr>
                <w:bCs/>
              </w:rPr>
            </w:pPr>
            <w:r w:rsidRPr="00A7504B">
              <w:rPr>
                <w:bCs/>
              </w:rPr>
              <w:t>34.7</w:t>
            </w:r>
          </w:p>
        </w:tc>
        <w:tc>
          <w:tcPr>
            <w:tcW w:w="1134" w:type="dxa"/>
          </w:tcPr>
          <w:p w14:paraId="40D21D29" w14:textId="77777777" w:rsidR="00033A1F" w:rsidRPr="00A7504B" w:rsidRDefault="00033A1F" w:rsidP="005D213E">
            <w:pPr>
              <w:pStyle w:val="Default"/>
              <w:spacing w:line="360" w:lineRule="auto"/>
              <w:jc w:val="center"/>
            </w:pPr>
            <w:r w:rsidRPr="00A7504B">
              <w:rPr>
                <w:bCs/>
              </w:rPr>
              <w:t>6.90</w:t>
            </w:r>
          </w:p>
        </w:tc>
        <w:tc>
          <w:tcPr>
            <w:tcW w:w="1276" w:type="dxa"/>
          </w:tcPr>
          <w:p w14:paraId="57B58BDA" w14:textId="77777777" w:rsidR="00033A1F" w:rsidRPr="00A7504B" w:rsidRDefault="00033A1F" w:rsidP="005D213E">
            <w:pPr>
              <w:pStyle w:val="Default"/>
              <w:spacing w:line="360" w:lineRule="auto"/>
              <w:jc w:val="center"/>
            </w:pPr>
            <w:r w:rsidRPr="00A7504B">
              <w:rPr>
                <w:bCs/>
              </w:rPr>
              <w:t>14.85</w:t>
            </w:r>
          </w:p>
        </w:tc>
        <w:tc>
          <w:tcPr>
            <w:tcW w:w="1134" w:type="dxa"/>
          </w:tcPr>
          <w:p w14:paraId="6AC321DA" w14:textId="77777777" w:rsidR="00033A1F" w:rsidRPr="00A7504B" w:rsidRDefault="00033A1F" w:rsidP="005D213E">
            <w:pPr>
              <w:pStyle w:val="Default"/>
              <w:spacing w:line="360" w:lineRule="auto"/>
              <w:jc w:val="center"/>
              <w:rPr>
                <w:bCs/>
              </w:rPr>
            </w:pPr>
            <w:r w:rsidRPr="00A7504B">
              <w:rPr>
                <w:bCs/>
              </w:rPr>
              <w:t>1.32</w:t>
            </w:r>
          </w:p>
        </w:tc>
      </w:tr>
      <w:tr w:rsidR="00033A1F" w:rsidRPr="00A7504B" w14:paraId="28DDAC12" w14:textId="77777777" w:rsidTr="00E84F72">
        <w:tc>
          <w:tcPr>
            <w:tcW w:w="1526" w:type="dxa"/>
          </w:tcPr>
          <w:p w14:paraId="441CFD6D" w14:textId="77777777" w:rsidR="00033A1F" w:rsidRPr="00A7504B" w:rsidRDefault="00033A1F" w:rsidP="005D213E">
            <w:pPr>
              <w:pStyle w:val="Default"/>
              <w:spacing w:line="360" w:lineRule="auto"/>
              <w:jc w:val="both"/>
            </w:pPr>
            <w:r w:rsidRPr="00A7504B">
              <w:rPr>
                <w:bCs/>
              </w:rPr>
              <w:t>T</w:t>
            </w:r>
            <w:r w:rsidRPr="00716E9E">
              <w:rPr>
                <w:bCs/>
                <w:vertAlign w:val="subscript"/>
              </w:rPr>
              <w:t>3</w:t>
            </w:r>
          </w:p>
        </w:tc>
        <w:tc>
          <w:tcPr>
            <w:tcW w:w="1134" w:type="dxa"/>
          </w:tcPr>
          <w:p w14:paraId="2733087B" w14:textId="77777777" w:rsidR="00033A1F" w:rsidRPr="00A7504B" w:rsidRDefault="00033A1F" w:rsidP="005D213E">
            <w:pPr>
              <w:pStyle w:val="Default"/>
              <w:spacing w:line="360" w:lineRule="auto"/>
              <w:jc w:val="center"/>
            </w:pPr>
            <w:r w:rsidRPr="00A7504B">
              <w:rPr>
                <w:bCs/>
              </w:rPr>
              <w:t>15.47</w:t>
            </w:r>
          </w:p>
        </w:tc>
        <w:tc>
          <w:tcPr>
            <w:tcW w:w="1134" w:type="dxa"/>
          </w:tcPr>
          <w:p w14:paraId="6BD90DE7" w14:textId="77777777" w:rsidR="00033A1F" w:rsidRPr="00A7504B" w:rsidRDefault="00033A1F" w:rsidP="005D213E">
            <w:pPr>
              <w:pStyle w:val="Default"/>
              <w:spacing w:line="360" w:lineRule="auto"/>
              <w:jc w:val="center"/>
            </w:pPr>
            <w:r w:rsidRPr="00A7504B">
              <w:rPr>
                <w:bCs/>
              </w:rPr>
              <w:t>3.73</w:t>
            </w:r>
          </w:p>
        </w:tc>
        <w:tc>
          <w:tcPr>
            <w:tcW w:w="1134" w:type="dxa"/>
          </w:tcPr>
          <w:p w14:paraId="00F7521B" w14:textId="77777777" w:rsidR="00033A1F" w:rsidRPr="00A7504B" w:rsidRDefault="00033A1F" w:rsidP="005D213E">
            <w:pPr>
              <w:pStyle w:val="Default"/>
              <w:spacing w:line="360" w:lineRule="auto"/>
              <w:jc w:val="center"/>
            </w:pPr>
            <w:r w:rsidRPr="00A7504B">
              <w:rPr>
                <w:bCs/>
              </w:rPr>
              <w:t>6.00</w:t>
            </w:r>
          </w:p>
        </w:tc>
        <w:tc>
          <w:tcPr>
            <w:tcW w:w="992" w:type="dxa"/>
          </w:tcPr>
          <w:p w14:paraId="2B157A9A" w14:textId="77777777" w:rsidR="00033A1F" w:rsidRPr="00A7504B" w:rsidRDefault="00033A1F" w:rsidP="005D213E">
            <w:pPr>
              <w:pStyle w:val="Default"/>
              <w:spacing w:line="360" w:lineRule="auto"/>
              <w:jc w:val="center"/>
              <w:rPr>
                <w:bCs/>
              </w:rPr>
            </w:pPr>
            <w:r w:rsidRPr="00A7504B">
              <w:rPr>
                <w:bCs/>
              </w:rPr>
              <w:t>34.4</w:t>
            </w:r>
          </w:p>
        </w:tc>
        <w:tc>
          <w:tcPr>
            <w:tcW w:w="1134" w:type="dxa"/>
          </w:tcPr>
          <w:p w14:paraId="720D208A" w14:textId="77777777" w:rsidR="00033A1F" w:rsidRPr="00A7504B" w:rsidRDefault="00033A1F" w:rsidP="005D213E">
            <w:pPr>
              <w:pStyle w:val="Default"/>
              <w:spacing w:line="360" w:lineRule="auto"/>
              <w:jc w:val="center"/>
            </w:pPr>
            <w:r w:rsidRPr="00A7504B">
              <w:rPr>
                <w:bCs/>
              </w:rPr>
              <w:t>7.72</w:t>
            </w:r>
          </w:p>
        </w:tc>
        <w:tc>
          <w:tcPr>
            <w:tcW w:w="1276" w:type="dxa"/>
          </w:tcPr>
          <w:p w14:paraId="7CA6351E" w14:textId="77777777" w:rsidR="00033A1F" w:rsidRPr="00A7504B" w:rsidRDefault="00033A1F" w:rsidP="005D213E">
            <w:pPr>
              <w:pStyle w:val="Default"/>
              <w:spacing w:line="360" w:lineRule="auto"/>
              <w:jc w:val="center"/>
            </w:pPr>
            <w:r w:rsidRPr="00A7504B">
              <w:rPr>
                <w:bCs/>
              </w:rPr>
              <w:t>16.70</w:t>
            </w:r>
          </w:p>
        </w:tc>
        <w:tc>
          <w:tcPr>
            <w:tcW w:w="1134" w:type="dxa"/>
          </w:tcPr>
          <w:p w14:paraId="0F50C68C" w14:textId="77777777" w:rsidR="00033A1F" w:rsidRPr="00A7504B" w:rsidRDefault="00033A1F" w:rsidP="005D213E">
            <w:pPr>
              <w:pStyle w:val="Default"/>
              <w:spacing w:line="360" w:lineRule="auto"/>
              <w:jc w:val="center"/>
              <w:rPr>
                <w:bCs/>
              </w:rPr>
            </w:pPr>
            <w:r w:rsidRPr="00A7504B">
              <w:rPr>
                <w:bCs/>
              </w:rPr>
              <w:t>1.45</w:t>
            </w:r>
          </w:p>
        </w:tc>
      </w:tr>
      <w:tr w:rsidR="00033A1F" w:rsidRPr="00A7504B" w14:paraId="2DEFC044" w14:textId="77777777" w:rsidTr="00E84F72">
        <w:tc>
          <w:tcPr>
            <w:tcW w:w="1526" w:type="dxa"/>
          </w:tcPr>
          <w:p w14:paraId="5B1F05C1" w14:textId="77777777" w:rsidR="00033A1F" w:rsidRPr="00A7504B" w:rsidRDefault="00033A1F" w:rsidP="005D213E">
            <w:pPr>
              <w:pStyle w:val="Default"/>
              <w:spacing w:line="360" w:lineRule="auto"/>
              <w:jc w:val="both"/>
            </w:pPr>
            <w:r w:rsidRPr="00A7504B">
              <w:rPr>
                <w:bCs/>
              </w:rPr>
              <w:t>T</w:t>
            </w:r>
            <w:r w:rsidRPr="00716E9E">
              <w:rPr>
                <w:bCs/>
                <w:vertAlign w:val="subscript"/>
              </w:rPr>
              <w:t>4</w:t>
            </w:r>
          </w:p>
        </w:tc>
        <w:tc>
          <w:tcPr>
            <w:tcW w:w="1134" w:type="dxa"/>
          </w:tcPr>
          <w:p w14:paraId="502CA770" w14:textId="77777777" w:rsidR="00033A1F" w:rsidRPr="00A7504B" w:rsidRDefault="00033A1F" w:rsidP="005D213E">
            <w:pPr>
              <w:pStyle w:val="Default"/>
              <w:spacing w:line="360" w:lineRule="auto"/>
              <w:jc w:val="center"/>
            </w:pPr>
            <w:r w:rsidRPr="00A7504B">
              <w:rPr>
                <w:bCs/>
              </w:rPr>
              <w:t>13.40</w:t>
            </w:r>
          </w:p>
        </w:tc>
        <w:tc>
          <w:tcPr>
            <w:tcW w:w="1134" w:type="dxa"/>
          </w:tcPr>
          <w:p w14:paraId="5C2043DC" w14:textId="77777777" w:rsidR="00033A1F" w:rsidRPr="00A7504B" w:rsidRDefault="00033A1F" w:rsidP="005D213E">
            <w:pPr>
              <w:pStyle w:val="Default"/>
              <w:spacing w:line="360" w:lineRule="auto"/>
              <w:jc w:val="center"/>
            </w:pPr>
            <w:r w:rsidRPr="00A7504B">
              <w:rPr>
                <w:bCs/>
              </w:rPr>
              <w:t>3.69</w:t>
            </w:r>
          </w:p>
        </w:tc>
        <w:tc>
          <w:tcPr>
            <w:tcW w:w="1134" w:type="dxa"/>
          </w:tcPr>
          <w:p w14:paraId="5CD83665" w14:textId="77777777" w:rsidR="00033A1F" w:rsidRPr="00A7504B" w:rsidRDefault="00033A1F" w:rsidP="005D213E">
            <w:pPr>
              <w:pStyle w:val="Default"/>
              <w:spacing w:line="360" w:lineRule="auto"/>
              <w:jc w:val="center"/>
            </w:pPr>
            <w:r w:rsidRPr="00A7504B">
              <w:rPr>
                <w:bCs/>
              </w:rPr>
              <w:t>5.87</w:t>
            </w:r>
          </w:p>
        </w:tc>
        <w:tc>
          <w:tcPr>
            <w:tcW w:w="992" w:type="dxa"/>
          </w:tcPr>
          <w:p w14:paraId="6DABBAF9" w14:textId="77777777" w:rsidR="00033A1F" w:rsidRPr="00A7504B" w:rsidRDefault="00033A1F" w:rsidP="005D213E">
            <w:pPr>
              <w:pStyle w:val="Default"/>
              <w:spacing w:line="360" w:lineRule="auto"/>
              <w:jc w:val="center"/>
              <w:rPr>
                <w:bCs/>
              </w:rPr>
            </w:pPr>
            <w:r w:rsidRPr="00A7504B">
              <w:rPr>
                <w:bCs/>
              </w:rPr>
              <w:t>33.5</w:t>
            </w:r>
          </w:p>
        </w:tc>
        <w:tc>
          <w:tcPr>
            <w:tcW w:w="1134" w:type="dxa"/>
          </w:tcPr>
          <w:p w14:paraId="7030CD14" w14:textId="77777777" w:rsidR="00033A1F" w:rsidRPr="00A7504B" w:rsidRDefault="00033A1F" w:rsidP="005D213E">
            <w:pPr>
              <w:pStyle w:val="Default"/>
              <w:spacing w:line="360" w:lineRule="auto"/>
              <w:jc w:val="center"/>
            </w:pPr>
            <w:r w:rsidRPr="00A7504B">
              <w:rPr>
                <w:bCs/>
              </w:rPr>
              <w:t>7.44</w:t>
            </w:r>
          </w:p>
        </w:tc>
        <w:tc>
          <w:tcPr>
            <w:tcW w:w="1276" w:type="dxa"/>
          </w:tcPr>
          <w:p w14:paraId="1B386464" w14:textId="77777777" w:rsidR="00033A1F" w:rsidRPr="00A7504B" w:rsidRDefault="00033A1F" w:rsidP="005D213E">
            <w:pPr>
              <w:pStyle w:val="Default"/>
              <w:spacing w:line="360" w:lineRule="auto"/>
              <w:jc w:val="center"/>
            </w:pPr>
            <w:r w:rsidRPr="00A7504B">
              <w:rPr>
                <w:bCs/>
              </w:rPr>
              <w:t>15.87</w:t>
            </w:r>
          </w:p>
        </w:tc>
        <w:tc>
          <w:tcPr>
            <w:tcW w:w="1134" w:type="dxa"/>
          </w:tcPr>
          <w:p w14:paraId="5D700800" w14:textId="77777777" w:rsidR="00033A1F" w:rsidRPr="00A7504B" w:rsidRDefault="00033A1F" w:rsidP="005D213E">
            <w:pPr>
              <w:pStyle w:val="Default"/>
              <w:spacing w:line="360" w:lineRule="auto"/>
              <w:jc w:val="center"/>
              <w:rPr>
                <w:bCs/>
              </w:rPr>
            </w:pPr>
            <w:r w:rsidRPr="00A7504B">
              <w:rPr>
                <w:bCs/>
              </w:rPr>
              <w:t>1.35</w:t>
            </w:r>
          </w:p>
        </w:tc>
      </w:tr>
      <w:tr w:rsidR="00033A1F" w:rsidRPr="00A7504B" w14:paraId="1ABCDCAD" w14:textId="77777777" w:rsidTr="00E84F72">
        <w:tc>
          <w:tcPr>
            <w:tcW w:w="1526" w:type="dxa"/>
          </w:tcPr>
          <w:p w14:paraId="61AFC97E" w14:textId="77777777" w:rsidR="00033A1F" w:rsidRPr="00A7504B" w:rsidRDefault="00033A1F" w:rsidP="005D213E">
            <w:pPr>
              <w:pStyle w:val="Default"/>
              <w:spacing w:line="360" w:lineRule="auto"/>
              <w:jc w:val="both"/>
            </w:pPr>
            <w:r w:rsidRPr="00A7504B">
              <w:rPr>
                <w:bCs/>
              </w:rPr>
              <w:t>T</w:t>
            </w:r>
            <w:r w:rsidRPr="00716E9E">
              <w:rPr>
                <w:bCs/>
                <w:vertAlign w:val="subscript"/>
              </w:rPr>
              <w:t>5</w:t>
            </w:r>
          </w:p>
        </w:tc>
        <w:tc>
          <w:tcPr>
            <w:tcW w:w="1134" w:type="dxa"/>
          </w:tcPr>
          <w:p w14:paraId="2FD1C9FB" w14:textId="77777777" w:rsidR="00033A1F" w:rsidRPr="00A7504B" w:rsidRDefault="00033A1F" w:rsidP="005D213E">
            <w:pPr>
              <w:pStyle w:val="Default"/>
              <w:spacing w:line="360" w:lineRule="auto"/>
              <w:jc w:val="center"/>
            </w:pPr>
            <w:r w:rsidRPr="00A7504B">
              <w:rPr>
                <w:bCs/>
              </w:rPr>
              <w:t>18.45</w:t>
            </w:r>
          </w:p>
        </w:tc>
        <w:tc>
          <w:tcPr>
            <w:tcW w:w="1134" w:type="dxa"/>
          </w:tcPr>
          <w:p w14:paraId="1E3E688B" w14:textId="77777777" w:rsidR="00033A1F" w:rsidRPr="00A7504B" w:rsidRDefault="00033A1F" w:rsidP="005D213E">
            <w:pPr>
              <w:pStyle w:val="Default"/>
              <w:spacing w:line="360" w:lineRule="auto"/>
              <w:jc w:val="center"/>
            </w:pPr>
            <w:r w:rsidRPr="00A7504B">
              <w:rPr>
                <w:bCs/>
              </w:rPr>
              <w:t>3.78</w:t>
            </w:r>
          </w:p>
        </w:tc>
        <w:tc>
          <w:tcPr>
            <w:tcW w:w="1134" w:type="dxa"/>
          </w:tcPr>
          <w:p w14:paraId="5B3D657A" w14:textId="77777777" w:rsidR="00033A1F" w:rsidRPr="00A7504B" w:rsidRDefault="00033A1F" w:rsidP="005D213E">
            <w:pPr>
              <w:pStyle w:val="Default"/>
              <w:spacing w:line="360" w:lineRule="auto"/>
              <w:jc w:val="center"/>
            </w:pPr>
            <w:r w:rsidRPr="00A7504B">
              <w:rPr>
                <w:bCs/>
              </w:rPr>
              <w:t>6.13</w:t>
            </w:r>
          </w:p>
        </w:tc>
        <w:tc>
          <w:tcPr>
            <w:tcW w:w="992" w:type="dxa"/>
          </w:tcPr>
          <w:p w14:paraId="5D6AD003" w14:textId="77777777" w:rsidR="00033A1F" w:rsidRPr="00A7504B" w:rsidRDefault="00033A1F" w:rsidP="005D213E">
            <w:pPr>
              <w:pStyle w:val="Default"/>
              <w:spacing w:line="360" w:lineRule="auto"/>
              <w:jc w:val="center"/>
              <w:rPr>
                <w:bCs/>
              </w:rPr>
            </w:pPr>
            <w:r w:rsidRPr="00A7504B">
              <w:rPr>
                <w:bCs/>
              </w:rPr>
              <w:t>35.1</w:t>
            </w:r>
          </w:p>
        </w:tc>
        <w:tc>
          <w:tcPr>
            <w:tcW w:w="1134" w:type="dxa"/>
          </w:tcPr>
          <w:p w14:paraId="65BAE2FF" w14:textId="77777777" w:rsidR="00033A1F" w:rsidRPr="00A7504B" w:rsidRDefault="00033A1F" w:rsidP="005D213E">
            <w:pPr>
              <w:pStyle w:val="Default"/>
              <w:spacing w:line="360" w:lineRule="auto"/>
              <w:jc w:val="center"/>
            </w:pPr>
            <w:r w:rsidRPr="00A7504B">
              <w:rPr>
                <w:bCs/>
              </w:rPr>
              <w:t>8.04</w:t>
            </w:r>
          </w:p>
        </w:tc>
        <w:tc>
          <w:tcPr>
            <w:tcW w:w="1276" w:type="dxa"/>
          </w:tcPr>
          <w:p w14:paraId="4DA33DA8" w14:textId="77777777" w:rsidR="00033A1F" w:rsidRPr="00A7504B" w:rsidRDefault="00033A1F" w:rsidP="005D213E">
            <w:pPr>
              <w:pStyle w:val="Default"/>
              <w:spacing w:line="360" w:lineRule="auto"/>
              <w:jc w:val="center"/>
            </w:pPr>
            <w:r w:rsidRPr="00A7504B">
              <w:rPr>
                <w:bCs/>
              </w:rPr>
              <w:t>17.31</w:t>
            </w:r>
          </w:p>
        </w:tc>
        <w:tc>
          <w:tcPr>
            <w:tcW w:w="1134" w:type="dxa"/>
          </w:tcPr>
          <w:p w14:paraId="0A813AE3" w14:textId="77777777" w:rsidR="00033A1F" w:rsidRPr="00A7504B" w:rsidRDefault="00033A1F" w:rsidP="005D213E">
            <w:pPr>
              <w:pStyle w:val="Default"/>
              <w:spacing w:line="360" w:lineRule="auto"/>
              <w:jc w:val="center"/>
              <w:rPr>
                <w:bCs/>
              </w:rPr>
            </w:pPr>
            <w:r w:rsidRPr="00A7504B">
              <w:rPr>
                <w:bCs/>
              </w:rPr>
              <w:t>1.76</w:t>
            </w:r>
          </w:p>
        </w:tc>
      </w:tr>
      <w:tr w:rsidR="00033A1F" w:rsidRPr="00A7504B" w14:paraId="23F4B635" w14:textId="77777777" w:rsidTr="00E84F72">
        <w:tc>
          <w:tcPr>
            <w:tcW w:w="1526" w:type="dxa"/>
          </w:tcPr>
          <w:p w14:paraId="5A6A93E4" w14:textId="77777777" w:rsidR="00033A1F" w:rsidRPr="00A7504B" w:rsidRDefault="00033A1F" w:rsidP="005D213E">
            <w:pPr>
              <w:pStyle w:val="Default"/>
              <w:spacing w:line="360" w:lineRule="auto"/>
              <w:jc w:val="both"/>
            </w:pPr>
            <w:r w:rsidRPr="00A7504B">
              <w:rPr>
                <w:bCs/>
              </w:rPr>
              <w:t>T</w:t>
            </w:r>
            <w:r w:rsidRPr="00716E9E">
              <w:rPr>
                <w:bCs/>
                <w:vertAlign w:val="subscript"/>
              </w:rPr>
              <w:t>6</w:t>
            </w:r>
          </w:p>
        </w:tc>
        <w:tc>
          <w:tcPr>
            <w:tcW w:w="1134" w:type="dxa"/>
          </w:tcPr>
          <w:p w14:paraId="45B870C3" w14:textId="77777777" w:rsidR="00033A1F" w:rsidRPr="00A7504B" w:rsidRDefault="00033A1F" w:rsidP="005D213E">
            <w:pPr>
              <w:pStyle w:val="Default"/>
              <w:spacing w:line="360" w:lineRule="auto"/>
              <w:jc w:val="center"/>
            </w:pPr>
            <w:r w:rsidRPr="00A7504B">
              <w:rPr>
                <w:bCs/>
              </w:rPr>
              <w:t>20.20</w:t>
            </w:r>
          </w:p>
        </w:tc>
        <w:tc>
          <w:tcPr>
            <w:tcW w:w="1134" w:type="dxa"/>
          </w:tcPr>
          <w:p w14:paraId="4FCAC800" w14:textId="77777777" w:rsidR="00033A1F" w:rsidRPr="00A7504B" w:rsidRDefault="00033A1F" w:rsidP="005D213E">
            <w:pPr>
              <w:pStyle w:val="Default"/>
              <w:spacing w:line="360" w:lineRule="auto"/>
              <w:jc w:val="center"/>
            </w:pPr>
            <w:r w:rsidRPr="00A7504B">
              <w:rPr>
                <w:bCs/>
              </w:rPr>
              <w:t>4.06</w:t>
            </w:r>
          </w:p>
        </w:tc>
        <w:tc>
          <w:tcPr>
            <w:tcW w:w="1134" w:type="dxa"/>
          </w:tcPr>
          <w:p w14:paraId="316775B4" w14:textId="77777777" w:rsidR="00033A1F" w:rsidRPr="00A7504B" w:rsidRDefault="00033A1F" w:rsidP="005D213E">
            <w:pPr>
              <w:pStyle w:val="Default"/>
              <w:spacing w:line="360" w:lineRule="auto"/>
              <w:jc w:val="center"/>
            </w:pPr>
            <w:r w:rsidRPr="00A7504B">
              <w:rPr>
                <w:bCs/>
              </w:rPr>
              <w:t>6.27</w:t>
            </w:r>
          </w:p>
        </w:tc>
        <w:tc>
          <w:tcPr>
            <w:tcW w:w="992" w:type="dxa"/>
          </w:tcPr>
          <w:p w14:paraId="691B3BBA" w14:textId="77777777" w:rsidR="00033A1F" w:rsidRPr="00A7504B" w:rsidRDefault="00033A1F" w:rsidP="005D213E">
            <w:pPr>
              <w:pStyle w:val="Default"/>
              <w:spacing w:line="360" w:lineRule="auto"/>
              <w:jc w:val="center"/>
              <w:rPr>
                <w:bCs/>
              </w:rPr>
            </w:pPr>
            <w:r w:rsidRPr="00A7504B">
              <w:rPr>
                <w:bCs/>
              </w:rPr>
              <w:t>36.0</w:t>
            </w:r>
          </w:p>
        </w:tc>
        <w:tc>
          <w:tcPr>
            <w:tcW w:w="1134" w:type="dxa"/>
          </w:tcPr>
          <w:p w14:paraId="54CF3765" w14:textId="77777777" w:rsidR="00033A1F" w:rsidRPr="00A7504B" w:rsidRDefault="00033A1F" w:rsidP="005D213E">
            <w:pPr>
              <w:pStyle w:val="Default"/>
              <w:spacing w:line="360" w:lineRule="auto"/>
              <w:jc w:val="center"/>
            </w:pPr>
            <w:r w:rsidRPr="00A7504B">
              <w:rPr>
                <w:bCs/>
              </w:rPr>
              <w:t>8.50</w:t>
            </w:r>
          </w:p>
        </w:tc>
        <w:tc>
          <w:tcPr>
            <w:tcW w:w="1276" w:type="dxa"/>
          </w:tcPr>
          <w:p w14:paraId="2C8CFBF4" w14:textId="77777777" w:rsidR="00033A1F" w:rsidRPr="00A7504B" w:rsidRDefault="00033A1F" w:rsidP="005D213E">
            <w:pPr>
              <w:pStyle w:val="Default"/>
              <w:spacing w:line="360" w:lineRule="auto"/>
              <w:jc w:val="center"/>
            </w:pPr>
            <w:r w:rsidRPr="00A7504B">
              <w:rPr>
                <w:bCs/>
              </w:rPr>
              <w:t>18.56</w:t>
            </w:r>
          </w:p>
        </w:tc>
        <w:tc>
          <w:tcPr>
            <w:tcW w:w="1134" w:type="dxa"/>
          </w:tcPr>
          <w:p w14:paraId="37AA8673" w14:textId="77777777" w:rsidR="00033A1F" w:rsidRPr="00A7504B" w:rsidRDefault="00033A1F" w:rsidP="005D213E">
            <w:pPr>
              <w:pStyle w:val="Default"/>
              <w:spacing w:line="360" w:lineRule="auto"/>
              <w:jc w:val="center"/>
              <w:rPr>
                <w:bCs/>
              </w:rPr>
            </w:pPr>
            <w:r w:rsidRPr="00A7504B">
              <w:rPr>
                <w:bCs/>
              </w:rPr>
              <w:t>1.98</w:t>
            </w:r>
          </w:p>
        </w:tc>
      </w:tr>
      <w:tr w:rsidR="00033A1F" w:rsidRPr="00A7504B" w14:paraId="408B3009" w14:textId="77777777" w:rsidTr="00E84F72">
        <w:tc>
          <w:tcPr>
            <w:tcW w:w="1526" w:type="dxa"/>
          </w:tcPr>
          <w:p w14:paraId="7DFECD37" w14:textId="77777777" w:rsidR="00033A1F" w:rsidRPr="00A7504B" w:rsidRDefault="00033A1F" w:rsidP="005D213E">
            <w:pPr>
              <w:pStyle w:val="Default"/>
              <w:spacing w:line="360" w:lineRule="auto"/>
              <w:jc w:val="both"/>
            </w:pPr>
            <w:r w:rsidRPr="00A7504B">
              <w:rPr>
                <w:bCs/>
              </w:rPr>
              <w:t>T</w:t>
            </w:r>
            <w:r w:rsidRPr="00716E9E">
              <w:rPr>
                <w:bCs/>
                <w:vertAlign w:val="subscript"/>
              </w:rPr>
              <w:t>7</w:t>
            </w:r>
          </w:p>
        </w:tc>
        <w:tc>
          <w:tcPr>
            <w:tcW w:w="1134" w:type="dxa"/>
          </w:tcPr>
          <w:p w14:paraId="3313BF80" w14:textId="77777777" w:rsidR="00033A1F" w:rsidRPr="00A7504B" w:rsidRDefault="00033A1F" w:rsidP="005D213E">
            <w:pPr>
              <w:pStyle w:val="Default"/>
              <w:spacing w:line="360" w:lineRule="auto"/>
              <w:jc w:val="center"/>
            </w:pPr>
            <w:r w:rsidRPr="00A7504B">
              <w:rPr>
                <w:bCs/>
              </w:rPr>
              <w:t>19.92</w:t>
            </w:r>
          </w:p>
        </w:tc>
        <w:tc>
          <w:tcPr>
            <w:tcW w:w="1134" w:type="dxa"/>
          </w:tcPr>
          <w:p w14:paraId="17A6698B" w14:textId="77777777" w:rsidR="00033A1F" w:rsidRPr="00A7504B" w:rsidRDefault="00033A1F" w:rsidP="005D213E">
            <w:pPr>
              <w:pStyle w:val="Default"/>
              <w:spacing w:line="360" w:lineRule="auto"/>
              <w:jc w:val="center"/>
            </w:pPr>
            <w:r w:rsidRPr="00A7504B">
              <w:rPr>
                <w:bCs/>
              </w:rPr>
              <w:t>3.81</w:t>
            </w:r>
          </w:p>
        </w:tc>
        <w:tc>
          <w:tcPr>
            <w:tcW w:w="1134" w:type="dxa"/>
          </w:tcPr>
          <w:p w14:paraId="662BBD61" w14:textId="77777777" w:rsidR="00033A1F" w:rsidRPr="00A7504B" w:rsidRDefault="00033A1F" w:rsidP="005D213E">
            <w:pPr>
              <w:pStyle w:val="Default"/>
              <w:spacing w:line="360" w:lineRule="auto"/>
              <w:jc w:val="center"/>
            </w:pPr>
            <w:r w:rsidRPr="00A7504B">
              <w:rPr>
                <w:bCs/>
              </w:rPr>
              <w:t>6.20</w:t>
            </w:r>
          </w:p>
        </w:tc>
        <w:tc>
          <w:tcPr>
            <w:tcW w:w="992" w:type="dxa"/>
          </w:tcPr>
          <w:p w14:paraId="370D21CF" w14:textId="77777777" w:rsidR="00033A1F" w:rsidRPr="00A7504B" w:rsidRDefault="00033A1F" w:rsidP="005D213E">
            <w:pPr>
              <w:pStyle w:val="Default"/>
              <w:spacing w:line="360" w:lineRule="auto"/>
              <w:jc w:val="center"/>
              <w:rPr>
                <w:bCs/>
              </w:rPr>
            </w:pPr>
            <w:r w:rsidRPr="00A7504B">
              <w:rPr>
                <w:bCs/>
              </w:rPr>
              <w:t>35.4</w:t>
            </w:r>
          </w:p>
        </w:tc>
        <w:tc>
          <w:tcPr>
            <w:tcW w:w="1134" w:type="dxa"/>
          </w:tcPr>
          <w:p w14:paraId="0DD6C770" w14:textId="77777777" w:rsidR="00033A1F" w:rsidRPr="00A7504B" w:rsidRDefault="00033A1F" w:rsidP="005D213E">
            <w:pPr>
              <w:pStyle w:val="Default"/>
              <w:spacing w:line="360" w:lineRule="auto"/>
              <w:jc w:val="center"/>
            </w:pPr>
            <w:r w:rsidRPr="00A7504B">
              <w:rPr>
                <w:bCs/>
              </w:rPr>
              <w:t>8.28</w:t>
            </w:r>
          </w:p>
        </w:tc>
        <w:tc>
          <w:tcPr>
            <w:tcW w:w="1276" w:type="dxa"/>
          </w:tcPr>
          <w:p w14:paraId="03ADC0E0" w14:textId="77777777" w:rsidR="00033A1F" w:rsidRPr="00A7504B" w:rsidRDefault="00033A1F" w:rsidP="005D213E">
            <w:pPr>
              <w:pStyle w:val="Default"/>
              <w:spacing w:line="360" w:lineRule="auto"/>
              <w:jc w:val="center"/>
            </w:pPr>
            <w:r w:rsidRPr="00A7504B">
              <w:rPr>
                <w:bCs/>
              </w:rPr>
              <w:t>17.69</w:t>
            </w:r>
          </w:p>
        </w:tc>
        <w:tc>
          <w:tcPr>
            <w:tcW w:w="1134" w:type="dxa"/>
          </w:tcPr>
          <w:p w14:paraId="3BCCF2CB" w14:textId="77777777" w:rsidR="00033A1F" w:rsidRPr="00A7504B" w:rsidRDefault="00033A1F" w:rsidP="005D213E">
            <w:pPr>
              <w:pStyle w:val="Default"/>
              <w:spacing w:line="360" w:lineRule="auto"/>
              <w:jc w:val="center"/>
              <w:rPr>
                <w:bCs/>
              </w:rPr>
            </w:pPr>
            <w:r w:rsidRPr="00A7504B">
              <w:rPr>
                <w:bCs/>
              </w:rPr>
              <w:t>1.80</w:t>
            </w:r>
          </w:p>
        </w:tc>
      </w:tr>
      <w:tr w:rsidR="00033A1F" w:rsidRPr="00A7504B" w14:paraId="3DB4D5A9" w14:textId="77777777" w:rsidTr="00E84F72">
        <w:tc>
          <w:tcPr>
            <w:tcW w:w="1526" w:type="dxa"/>
          </w:tcPr>
          <w:p w14:paraId="36BE9E64" w14:textId="77777777" w:rsidR="00033A1F" w:rsidRPr="00A7504B" w:rsidRDefault="00033A1F" w:rsidP="005D213E">
            <w:pPr>
              <w:pStyle w:val="Default"/>
              <w:spacing w:line="360" w:lineRule="auto"/>
              <w:jc w:val="both"/>
            </w:pPr>
            <w:r w:rsidRPr="00A7504B">
              <w:rPr>
                <w:bCs/>
              </w:rPr>
              <w:lastRenderedPageBreak/>
              <w:t>T</w:t>
            </w:r>
            <w:r w:rsidRPr="00716E9E">
              <w:rPr>
                <w:bCs/>
                <w:vertAlign w:val="subscript"/>
              </w:rPr>
              <w:t>8</w:t>
            </w:r>
          </w:p>
        </w:tc>
        <w:tc>
          <w:tcPr>
            <w:tcW w:w="1134" w:type="dxa"/>
          </w:tcPr>
          <w:p w14:paraId="49CF22FE" w14:textId="77777777" w:rsidR="00033A1F" w:rsidRPr="00A7504B" w:rsidRDefault="00033A1F" w:rsidP="005D213E">
            <w:pPr>
              <w:pStyle w:val="Default"/>
              <w:spacing w:line="360" w:lineRule="auto"/>
              <w:jc w:val="center"/>
            </w:pPr>
            <w:r w:rsidRPr="00A7504B">
              <w:rPr>
                <w:bCs/>
              </w:rPr>
              <w:t>14.90</w:t>
            </w:r>
          </w:p>
        </w:tc>
        <w:tc>
          <w:tcPr>
            <w:tcW w:w="1134" w:type="dxa"/>
          </w:tcPr>
          <w:p w14:paraId="2A7E3AC0" w14:textId="77777777" w:rsidR="00033A1F" w:rsidRPr="00A7504B" w:rsidRDefault="00033A1F" w:rsidP="005D213E">
            <w:pPr>
              <w:pStyle w:val="Default"/>
              <w:spacing w:line="360" w:lineRule="auto"/>
              <w:jc w:val="center"/>
            </w:pPr>
            <w:r w:rsidRPr="00A7504B">
              <w:rPr>
                <w:bCs/>
              </w:rPr>
              <w:t>3.72</w:t>
            </w:r>
          </w:p>
        </w:tc>
        <w:tc>
          <w:tcPr>
            <w:tcW w:w="1134" w:type="dxa"/>
          </w:tcPr>
          <w:p w14:paraId="47A08E5F" w14:textId="77777777" w:rsidR="00033A1F" w:rsidRPr="00A7504B" w:rsidRDefault="00033A1F" w:rsidP="005D213E">
            <w:pPr>
              <w:pStyle w:val="Default"/>
              <w:spacing w:line="360" w:lineRule="auto"/>
              <w:jc w:val="center"/>
            </w:pPr>
            <w:r w:rsidRPr="00A7504B">
              <w:rPr>
                <w:bCs/>
              </w:rPr>
              <w:t>5.93</w:t>
            </w:r>
          </w:p>
        </w:tc>
        <w:tc>
          <w:tcPr>
            <w:tcW w:w="992" w:type="dxa"/>
          </w:tcPr>
          <w:p w14:paraId="7582BC4F" w14:textId="77777777" w:rsidR="00033A1F" w:rsidRPr="00A7504B" w:rsidRDefault="00033A1F" w:rsidP="005D213E">
            <w:pPr>
              <w:pStyle w:val="Default"/>
              <w:spacing w:line="360" w:lineRule="auto"/>
              <w:jc w:val="center"/>
              <w:rPr>
                <w:bCs/>
              </w:rPr>
            </w:pPr>
            <w:r w:rsidRPr="00A7504B">
              <w:rPr>
                <w:bCs/>
              </w:rPr>
              <w:t>33.8</w:t>
            </w:r>
          </w:p>
        </w:tc>
        <w:tc>
          <w:tcPr>
            <w:tcW w:w="1134" w:type="dxa"/>
          </w:tcPr>
          <w:p w14:paraId="337F0ED2" w14:textId="77777777" w:rsidR="00033A1F" w:rsidRPr="00A7504B" w:rsidRDefault="00033A1F" w:rsidP="005D213E">
            <w:pPr>
              <w:pStyle w:val="Default"/>
              <w:spacing w:line="360" w:lineRule="auto"/>
              <w:jc w:val="center"/>
            </w:pPr>
            <w:r w:rsidRPr="00A7504B">
              <w:rPr>
                <w:bCs/>
              </w:rPr>
              <w:t>7.47</w:t>
            </w:r>
          </w:p>
        </w:tc>
        <w:tc>
          <w:tcPr>
            <w:tcW w:w="1276" w:type="dxa"/>
          </w:tcPr>
          <w:p w14:paraId="2C686C53" w14:textId="77777777" w:rsidR="00033A1F" w:rsidRPr="00A7504B" w:rsidRDefault="00033A1F" w:rsidP="005D213E">
            <w:pPr>
              <w:pStyle w:val="Default"/>
              <w:spacing w:line="360" w:lineRule="auto"/>
              <w:jc w:val="center"/>
            </w:pPr>
            <w:r w:rsidRPr="00A7504B">
              <w:rPr>
                <w:bCs/>
              </w:rPr>
              <w:t>16.10</w:t>
            </w:r>
          </w:p>
        </w:tc>
        <w:tc>
          <w:tcPr>
            <w:tcW w:w="1134" w:type="dxa"/>
          </w:tcPr>
          <w:p w14:paraId="3D10846B" w14:textId="77777777" w:rsidR="00033A1F" w:rsidRPr="00A7504B" w:rsidRDefault="00033A1F" w:rsidP="005D213E">
            <w:pPr>
              <w:pStyle w:val="Default"/>
              <w:spacing w:line="360" w:lineRule="auto"/>
              <w:jc w:val="center"/>
              <w:rPr>
                <w:bCs/>
              </w:rPr>
            </w:pPr>
            <w:r w:rsidRPr="00A7504B">
              <w:rPr>
                <w:bCs/>
              </w:rPr>
              <w:t>1.44</w:t>
            </w:r>
          </w:p>
        </w:tc>
      </w:tr>
      <w:tr w:rsidR="00033A1F" w:rsidRPr="00A7504B" w14:paraId="50A606D2" w14:textId="77777777" w:rsidTr="00E84F72">
        <w:tc>
          <w:tcPr>
            <w:tcW w:w="1526" w:type="dxa"/>
          </w:tcPr>
          <w:p w14:paraId="5D759799" w14:textId="77777777" w:rsidR="00033A1F" w:rsidRPr="00A7504B" w:rsidRDefault="00033A1F" w:rsidP="005D213E">
            <w:pPr>
              <w:pStyle w:val="Default"/>
              <w:spacing w:line="360" w:lineRule="auto"/>
              <w:jc w:val="both"/>
            </w:pPr>
            <w:proofErr w:type="spellStart"/>
            <w:r w:rsidRPr="00A7504B">
              <w:rPr>
                <w:bCs/>
              </w:rPr>
              <w:t>SEm</w:t>
            </w:r>
            <w:proofErr w:type="spellEnd"/>
            <w:r w:rsidRPr="00A7504B">
              <w:rPr>
                <w:bCs/>
              </w:rPr>
              <w:t xml:space="preserve"> (</w:t>
            </w:r>
            <w:r w:rsidRPr="00A7504B">
              <w:rPr>
                <w:bCs/>
                <w:u w:val="single"/>
              </w:rPr>
              <w:t>+</w:t>
            </w:r>
            <w:r w:rsidRPr="00A7504B">
              <w:t>)</w:t>
            </w:r>
          </w:p>
        </w:tc>
        <w:tc>
          <w:tcPr>
            <w:tcW w:w="1134" w:type="dxa"/>
          </w:tcPr>
          <w:p w14:paraId="0345B54F" w14:textId="77777777" w:rsidR="00033A1F" w:rsidRPr="00A7504B" w:rsidRDefault="00033A1F" w:rsidP="005D213E">
            <w:pPr>
              <w:pStyle w:val="Default"/>
              <w:spacing w:line="360" w:lineRule="auto"/>
              <w:jc w:val="center"/>
            </w:pPr>
            <w:r w:rsidRPr="00A7504B">
              <w:rPr>
                <w:bCs/>
              </w:rPr>
              <w:t>1.94</w:t>
            </w:r>
          </w:p>
        </w:tc>
        <w:tc>
          <w:tcPr>
            <w:tcW w:w="1134" w:type="dxa"/>
          </w:tcPr>
          <w:p w14:paraId="24493A51" w14:textId="77777777" w:rsidR="00033A1F" w:rsidRPr="00A7504B" w:rsidRDefault="00033A1F" w:rsidP="005D213E">
            <w:pPr>
              <w:pStyle w:val="Default"/>
              <w:spacing w:line="360" w:lineRule="auto"/>
              <w:jc w:val="center"/>
            </w:pPr>
            <w:r w:rsidRPr="00A7504B">
              <w:rPr>
                <w:bCs/>
              </w:rPr>
              <w:t>0.20</w:t>
            </w:r>
          </w:p>
        </w:tc>
        <w:tc>
          <w:tcPr>
            <w:tcW w:w="1134" w:type="dxa"/>
          </w:tcPr>
          <w:p w14:paraId="284F0C1F" w14:textId="77777777" w:rsidR="00033A1F" w:rsidRPr="00A7504B" w:rsidRDefault="00033A1F" w:rsidP="005D213E">
            <w:pPr>
              <w:pStyle w:val="Default"/>
              <w:spacing w:line="360" w:lineRule="auto"/>
              <w:jc w:val="center"/>
            </w:pPr>
            <w:r w:rsidRPr="00A7504B">
              <w:rPr>
                <w:bCs/>
              </w:rPr>
              <w:t>0.45</w:t>
            </w:r>
          </w:p>
        </w:tc>
        <w:tc>
          <w:tcPr>
            <w:tcW w:w="992" w:type="dxa"/>
          </w:tcPr>
          <w:p w14:paraId="7B90D1CE" w14:textId="77777777" w:rsidR="00033A1F" w:rsidRPr="00A7504B" w:rsidRDefault="00033A1F" w:rsidP="005D213E">
            <w:pPr>
              <w:pStyle w:val="Default"/>
              <w:spacing w:line="360" w:lineRule="auto"/>
              <w:jc w:val="center"/>
              <w:rPr>
                <w:bCs/>
              </w:rPr>
            </w:pPr>
            <w:r w:rsidRPr="00A7504B">
              <w:rPr>
                <w:bCs/>
              </w:rPr>
              <w:t>0.27</w:t>
            </w:r>
          </w:p>
        </w:tc>
        <w:tc>
          <w:tcPr>
            <w:tcW w:w="1134" w:type="dxa"/>
          </w:tcPr>
          <w:p w14:paraId="7DCDD626" w14:textId="77777777" w:rsidR="00033A1F" w:rsidRPr="00A7504B" w:rsidRDefault="00033A1F" w:rsidP="005D213E">
            <w:pPr>
              <w:pStyle w:val="Default"/>
              <w:spacing w:line="360" w:lineRule="auto"/>
              <w:jc w:val="center"/>
            </w:pPr>
            <w:r w:rsidRPr="00A7504B">
              <w:rPr>
                <w:bCs/>
              </w:rPr>
              <w:t>0.28</w:t>
            </w:r>
          </w:p>
        </w:tc>
        <w:tc>
          <w:tcPr>
            <w:tcW w:w="1276" w:type="dxa"/>
          </w:tcPr>
          <w:p w14:paraId="5C9D7BFE" w14:textId="77777777" w:rsidR="00033A1F" w:rsidRPr="00A7504B" w:rsidRDefault="00033A1F" w:rsidP="005D213E">
            <w:pPr>
              <w:pStyle w:val="Default"/>
              <w:spacing w:line="360" w:lineRule="auto"/>
              <w:jc w:val="center"/>
            </w:pPr>
            <w:r w:rsidRPr="00A7504B">
              <w:rPr>
                <w:bCs/>
              </w:rPr>
              <w:t>0.59</w:t>
            </w:r>
          </w:p>
        </w:tc>
        <w:tc>
          <w:tcPr>
            <w:tcW w:w="1134" w:type="dxa"/>
          </w:tcPr>
          <w:p w14:paraId="20AAB9C9" w14:textId="77777777" w:rsidR="00033A1F" w:rsidRPr="00A7504B" w:rsidRDefault="00033A1F" w:rsidP="005D213E">
            <w:pPr>
              <w:pStyle w:val="Default"/>
              <w:spacing w:line="360" w:lineRule="auto"/>
              <w:jc w:val="center"/>
              <w:rPr>
                <w:bCs/>
              </w:rPr>
            </w:pPr>
            <w:r w:rsidRPr="00A7504B">
              <w:rPr>
                <w:bCs/>
              </w:rPr>
              <w:t>-</w:t>
            </w:r>
          </w:p>
        </w:tc>
      </w:tr>
      <w:tr w:rsidR="00033A1F" w:rsidRPr="00A7504B" w14:paraId="62047850" w14:textId="77777777" w:rsidTr="00E84F72">
        <w:tc>
          <w:tcPr>
            <w:tcW w:w="1526" w:type="dxa"/>
          </w:tcPr>
          <w:p w14:paraId="0C6085FA" w14:textId="77777777" w:rsidR="00033A1F" w:rsidRPr="00A7504B" w:rsidRDefault="00033A1F" w:rsidP="005D213E">
            <w:pPr>
              <w:pStyle w:val="Default"/>
              <w:spacing w:line="360" w:lineRule="auto"/>
              <w:jc w:val="both"/>
            </w:pPr>
            <w:r w:rsidRPr="00A7504B">
              <w:rPr>
                <w:bCs/>
              </w:rPr>
              <w:t>CD (5%)</w:t>
            </w:r>
          </w:p>
        </w:tc>
        <w:tc>
          <w:tcPr>
            <w:tcW w:w="1134" w:type="dxa"/>
          </w:tcPr>
          <w:p w14:paraId="6E007992" w14:textId="77777777" w:rsidR="00033A1F" w:rsidRPr="00A7504B" w:rsidRDefault="00033A1F" w:rsidP="005D213E">
            <w:pPr>
              <w:pStyle w:val="Default"/>
              <w:spacing w:line="360" w:lineRule="auto"/>
              <w:jc w:val="center"/>
            </w:pPr>
            <w:r w:rsidRPr="00A7504B">
              <w:rPr>
                <w:bCs/>
              </w:rPr>
              <w:t>3.80</w:t>
            </w:r>
          </w:p>
        </w:tc>
        <w:tc>
          <w:tcPr>
            <w:tcW w:w="1134" w:type="dxa"/>
          </w:tcPr>
          <w:p w14:paraId="2344C742" w14:textId="77777777" w:rsidR="00033A1F" w:rsidRPr="00A7504B" w:rsidRDefault="00033A1F" w:rsidP="005D213E">
            <w:pPr>
              <w:pStyle w:val="Default"/>
              <w:spacing w:line="360" w:lineRule="auto"/>
              <w:jc w:val="center"/>
            </w:pPr>
            <w:r w:rsidRPr="00A7504B">
              <w:rPr>
                <w:bCs/>
              </w:rPr>
              <w:t>0.39</w:t>
            </w:r>
          </w:p>
        </w:tc>
        <w:tc>
          <w:tcPr>
            <w:tcW w:w="1134" w:type="dxa"/>
          </w:tcPr>
          <w:p w14:paraId="209CF423" w14:textId="77777777" w:rsidR="00033A1F" w:rsidRPr="00A7504B" w:rsidRDefault="00033A1F" w:rsidP="005D213E">
            <w:pPr>
              <w:pStyle w:val="Default"/>
              <w:spacing w:line="360" w:lineRule="auto"/>
              <w:jc w:val="center"/>
            </w:pPr>
            <w:r w:rsidRPr="00A7504B">
              <w:rPr>
                <w:bCs/>
              </w:rPr>
              <w:t>0.89</w:t>
            </w:r>
          </w:p>
        </w:tc>
        <w:tc>
          <w:tcPr>
            <w:tcW w:w="992" w:type="dxa"/>
          </w:tcPr>
          <w:p w14:paraId="404EAF4B" w14:textId="77777777" w:rsidR="00033A1F" w:rsidRPr="00A7504B" w:rsidRDefault="00033A1F" w:rsidP="005D213E">
            <w:pPr>
              <w:pStyle w:val="Default"/>
              <w:spacing w:line="360" w:lineRule="auto"/>
              <w:jc w:val="center"/>
              <w:rPr>
                <w:bCs/>
              </w:rPr>
            </w:pPr>
            <w:r w:rsidRPr="00A7504B">
              <w:rPr>
                <w:bCs/>
              </w:rPr>
              <w:t>0.78</w:t>
            </w:r>
          </w:p>
        </w:tc>
        <w:tc>
          <w:tcPr>
            <w:tcW w:w="1134" w:type="dxa"/>
          </w:tcPr>
          <w:p w14:paraId="25A79C26" w14:textId="77777777" w:rsidR="00033A1F" w:rsidRPr="00A7504B" w:rsidRDefault="00033A1F" w:rsidP="005D213E">
            <w:pPr>
              <w:pStyle w:val="Default"/>
              <w:spacing w:line="360" w:lineRule="auto"/>
              <w:jc w:val="center"/>
            </w:pPr>
            <w:r w:rsidRPr="00A7504B">
              <w:rPr>
                <w:bCs/>
              </w:rPr>
              <w:t>0.55</w:t>
            </w:r>
          </w:p>
        </w:tc>
        <w:tc>
          <w:tcPr>
            <w:tcW w:w="1276" w:type="dxa"/>
          </w:tcPr>
          <w:p w14:paraId="2A1E37B8" w14:textId="77777777" w:rsidR="00033A1F" w:rsidRPr="00A7504B" w:rsidRDefault="00033A1F" w:rsidP="005D213E">
            <w:pPr>
              <w:pStyle w:val="Default"/>
              <w:spacing w:line="360" w:lineRule="auto"/>
              <w:jc w:val="center"/>
            </w:pPr>
            <w:r w:rsidRPr="00A7504B">
              <w:rPr>
                <w:bCs/>
              </w:rPr>
              <w:t>1.16</w:t>
            </w:r>
          </w:p>
        </w:tc>
        <w:tc>
          <w:tcPr>
            <w:tcW w:w="1134" w:type="dxa"/>
          </w:tcPr>
          <w:p w14:paraId="644C667B" w14:textId="77777777" w:rsidR="00033A1F" w:rsidRPr="00A7504B" w:rsidRDefault="00033A1F" w:rsidP="005D213E">
            <w:pPr>
              <w:pStyle w:val="Default"/>
              <w:spacing w:line="360" w:lineRule="auto"/>
              <w:jc w:val="center"/>
              <w:rPr>
                <w:bCs/>
              </w:rPr>
            </w:pPr>
            <w:r w:rsidRPr="00A7504B">
              <w:rPr>
                <w:bCs/>
              </w:rPr>
              <w:t>-</w:t>
            </w:r>
          </w:p>
        </w:tc>
      </w:tr>
    </w:tbl>
    <w:p w14:paraId="60888A06" w14:textId="77777777" w:rsidR="005D213E" w:rsidRPr="005D213E" w:rsidRDefault="005D213E" w:rsidP="005D213E">
      <w:pPr>
        <w:spacing w:after="0" w:line="360" w:lineRule="auto"/>
        <w:ind w:right="-279"/>
        <w:jc w:val="both"/>
        <w:rPr>
          <w:rFonts w:ascii="Times New Roman" w:hAnsi="Times New Roman"/>
          <w:b/>
          <w:sz w:val="24"/>
          <w:szCs w:val="24"/>
        </w:rPr>
      </w:pPr>
      <w:r w:rsidRPr="005D213E">
        <w:rPr>
          <w:rFonts w:ascii="Times New Roman" w:hAnsi="Times New Roman"/>
          <w:b/>
          <w:sz w:val="24"/>
          <w:szCs w:val="24"/>
        </w:rPr>
        <w:t xml:space="preserve">Table </w:t>
      </w:r>
      <w:proofErr w:type="gramStart"/>
      <w:r w:rsidRPr="005D213E">
        <w:rPr>
          <w:rFonts w:ascii="Times New Roman" w:hAnsi="Times New Roman"/>
          <w:b/>
          <w:sz w:val="24"/>
          <w:szCs w:val="24"/>
        </w:rPr>
        <w:t>3 :</w:t>
      </w:r>
      <w:proofErr w:type="gramEnd"/>
      <w:r w:rsidRPr="005D213E">
        <w:rPr>
          <w:rFonts w:ascii="Times New Roman" w:hAnsi="Times New Roman"/>
          <w:b/>
          <w:sz w:val="24"/>
          <w:szCs w:val="24"/>
        </w:rPr>
        <w:t xml:space="preserve"> Effect of different levels of P, S and PSB on Nutrient Uptake of Black  gram (</w:t>
      </w:r>
      <w:r w:rsidRPr="005D213E">
        <w:rPr>
          <w:rFonts w:ascii="Times New Roman" w:hAnsi="Times New Roman"/>
          <w:b/>
          <w:i/>
          <w:iCs/>
          <w:sz w:val="24"/>
          <w:szCs w:val="24"/>
        </w:rPr>
        <w:t>Kharif</w:t>
      </w:r>
      <w:r w:rsidRPr="005D213E">
        <w:rPr>
          <w:rFonts w:ascii="Times New Roman" w:hAnsi="Times New Roman"/>
          <w:b/>
          <w:sz w:val="24"/>
          <w:szCs w:val="24"/>
        </w:rPr>
        <w:t>, 2020 &amp;2021)</w:t>
      </w:r>
    </w:p>
    <w:p w14:paraId="7123F6C5" w14:textId="77777777" w:rsidR="005D213E" w:rsidRPr="005D213E" w:rsidRDefault="005D213E" w:rsidP="005D213E">
      <w:pPr>
        <w:spacing w:line="360" w:lineRule="auto"/>
        <w:jc w:val="both"/>
        <w:rPr>
          <w:rFonts w:ascii="Times New Roman" w:hAnsi="Times New Roman"/>
          <w:b/>
          <w:sz w:val="24"/>
          <w:szCs w:val="24"/>
        </w:rPr>
      </w:pPr>
    </w:p>
    <w:tbl>
      <w:tblPr>
        <w:tblpPr w:leftFromText="180" w:rightFromText="180" w:vertAnchor="text" w:horzAnchor="margin" w:tblpX="-414" w:tblpY="189"/>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4806"/>
        <w:gridCol w:w="1260"/>
        <w:gridCol w:w="1368"/>
        <w:gridCol w:w="1260"/>
      </w:tblGrid>
      <w:tr w:rsidR="005D213E" w:rsidRPr="005D213E" w14:paraId="7956C62A" w14:textId="77777777">
        <w:tc>
          <w:tcPr>
            <w:tcW w:w="1188" w:type="dxa"/>
            <w:shd w:val="clear" w:color="auto" w:fill="auto"/>
          </w:tcPr>
          <w:p w14:paraId="0BBEE7AB"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Tr.</w:t>
            </w:r>
          </w:p>
          <w:p w14:paraId="35CA4797"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No.</w:t>
            </w:r>
          </w:p>
        </w:tc>
        <w:tc>
          <w:tcPr>
            <w:tcW w:w="4806" w:type="dxa"/>
            <w:shd w:val="clear" w:color="auto" w:fill="auto"/>
          </w:tcPr>
          <w:p w14:paraId="2C2935BC"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Treatments</w:t>
            </w:r>
          </w:p>
        </w:tc>
        <w:tc>
          <w:tcPr>
            <w:tcW w:w="1260" w:type="dxa"/>
            <w:shd w:val="clear" w:color="auto" w:fill="auto"/>
          </w:tcPr>
          <w:p w14:paraId="43FF4AE2"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 xml:space="preserve"> N</w:t>
            </w:r>
          </w:p>
          <w:p w14:paraId="33E894EC"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(kg/ha)</w:t>
            </w:r>
          </w:p>
        </w:tc>
        <w:tc>
          <w:tcPr>
            <w:tcW w:w="1368" w:type="dxa"/>
            <w:shd w:val="clear" w:color="auto" w:fill="auto"/>
          </w:tcPr>
          <w:p w14:paraId="7CA5ECE2"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 xml:space="preserve">P </w:t>
            </w:r>
          </w:p>
          <w:p w14:paraId="047DA16D"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 xml:space="preserve"> (kg/ha)</w:t>
            </w:r>
          </w:p>
        </w:tc>
        <w:tc>
          <w:tcPr>
            <w:tcW w:w="1260" w:type="dxa"/>
            <w:shd w:val="clear" w:color="auto" w:fill="auto"/>
          </w:tcPr>
          <w:p w14:paraId="62A687DF"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 xml:space="preserve">  K</w:t>
            </w:r>
          </w:p>
          <w:p w14:paraId="29B75579" w14:textId="77777777" w:rsidR="005D213E" w:rsidRPr="005D213E" w:rsidRDefault="005D213E">
            <w:pPr>
              <w:spacing w:after="0" w:line="360" w:lineRule="auto"/>
              <w:jc w:val="both"/>
              <w:rPr>
                <w:rFonts w:ascii="Times New Roman" w:eastAsia="Calibri" w:hAnsi="Times New Roman"/>
                <w:sz w:val="24"/>
                <w:szCs w:val="24"/>
                <w:lang w:val="en-IN"/>
              </w:rPr>
            </w:pPr>
            <w:proofErr w:type="gramStart"/>
            <w:r w:rsidRPr="005D213E">
              <w:rPr>
                <w:rFonts w:ascii="Times New Roman" w:eastAsia="Calibri" w:hAnsi="Times New Roman"/>
                <w:sz w:val="24"/>
                <w:szCs w:val="24"/>
                <w:lang w:val="en-IN"/>
              </w:rPr>
              <w:t>( kg</w:t>
            </w:r>
            <w:proofErr w:type="gramEnd"/>
            <w:r w:rsidRPr="005D213E">
              <w:rPr>
                <w:rFonts w:ascii="Times New Roman" w:eastAsia="Calibri" w:hAnsi="Times New Roman"/>
                <w:sz w:val="24"/>
                <w:szCs w:val="24"/>
                <w:lang w:val="en-IN"/>
              </w:rPr>
              <w:t>/ha)</w:t>
            </w:r>
          </w:p>
        </w:tc>
      </w:tr>
      <w:tr w:rsidR="005D213E" w:rsidRPr="005D213E" w14:paraId="2C35A986" w14:textId="77777777">
        <w:tc>
          <w:tcPr>
            <w:tcW w:w="1188" w:type="dxa"/>
            <w:shd w:val="clear" w:color="auto" w:fill="auto"/>
          </w:tcPr>
          <w:p w14:paraId="10FD36D7"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T</w:t>
            </w:r>
            <w:r w:rsidRPr="005D213E">
              <w:rPr>
                <w:rFonts w:ascii="Times New Roman" w:eastAsia="Calibri" w:hAnsi="Times New Roman"/>
                <w:sz w:val="24"/>
                <w:szCs w:val="24"/>
                <w:vertAlign w:val="subscript"/>
                <w:lang w:val="en-IN"/>
              </w:rPr>
              <w:t>1</w:t>
            </w:r>
          </w:p>
        </w:tc>
        <w:tc>
          <w:tcPr>
            <w:tcW w:w="4806" w:type="dxa"/>
            <w:shd w:val="clear" w:color="auto" w:fill="auto"/>
          </w:tcPr>
          <w:p w14:paraId="5D2D9A10"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bCs/>
                <w:color w:val="000000"/>
                <w:sz w:val="24"/>
                <w:szCs w:val="24"/>
                <w:lang w:val="en-IN"/>
              </w:rPr>
              <w:t>Control</w:t>
            </w:r>
          </w:p>
        </w:tc>
        <w:tc>
          <w:tcPr>
            <w:tcW w:w="1260" w:type="dxa"/>
            <w:shd w:val="clear" w:color="auto" w:fill="auto"/>
          </w:tcPr>
          <w:p w14:paraId="397C4E5A"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26.3</w:t>
            </w:r>
          </w:p>
        </w:tc>
        <w:tc>
          <w:tcPr>
            <w:tcW w:w="1368" w:type="dxa"/>
            <w:shd w:val="clear" w:color="auto" w:fill="auto"/>
          </w:tcPr>
          <w:p w14:paraId="70D693CE"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3.2</w:t>
            </w:r>
          </w:p>
        </w:tc>
        <w:tc>
          <w:tcPr>
            <w:tcW w:w="1260" w:type="dxa"/>
            <w:shd w:val="clear" w:color="auto" w:fill="auto"/>
          </w:tcPr>
          <w:p w14:paraId="72F1401E"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21.8</w:t>
            </w:r>
          </w:p>
        </w:tc>
      </w:tr>
      <w:tr w:rsidR="005D213E" w:rsidRPr="005D213E" w14:paraId="79E7E834" w14:textId="77777777">
        <w:tc>
          <w:tcPr>
            <w:tcW w:w="1188" w:type="dxa"/>
            <w:shd w:val="clear" w:color="auto" w:fill="auto"/>
          </w:tcPr>
          <w:p w14:paraId="21B53F71"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T</w:t>
            </w:r>
            <w:r w:rsidRPr="005D213E">
              <w:rPr>
                <w:rFonts w:ascii="Times New Roman" w:eastAsia="Calibri" w:hAnsi="Times New Roman"/>
                <w:sz w:val="24"/>
                <w:szCs w:val="24"/>
                <w:vertAlign w:val="subscript"/>
                <w:lang w:val="en-IN"/>
              </w:rPr>
              <w:t>2</w:t>
            </w:r>
          </w:p>
        </w:tc>
        <w:tc>
          <w:tcPr>
            <w:tcW w:w="4806" w:type="dxa"/>
            <w:shd w:val="clear" w:color="auto" w:fill="auto"/>
          </w:tcPr>
          <w:p w14:paraId="414F89A6"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bCs/>
                <w:color w:val="000000"/>
                <w:sz w:val="24"/>
                <w:szCs w:val="24"/>
                <w:lang w:val="en-IN"/>
              </w:rPr>
              <w:t>40.0 kg P</w:t>
            </w:r>
            <w:r w:rsidRPr="005D213E">
              <w:rPr>
                <w:rFonts w:ascii="Times New Roman" w:eastAsia="Calibri" w:hAnsi="Times New Roman"/>
                <w:bCs/>
                <w:color w:val="000000"/>
                <w:sz w:val="24"/>
                <w:szCs w:val="24"/>
                <w:vertAlign w:val="subscript"/>
                <w:lang w:val="en-IN"/>
              </w:rPr>
              <w:t>2</w:t>
            </w:r>
            <w:r w:rsidRPr="005D213E">
              <w:rPr>
                <w:rFonts w:ascii="Times New Roman" w:eastAsia="Calibri" w:hAnsi="Times New Roman"/>
                <w:bCs/>
                <w:color w:val="000000"/>
                <w:sz w:val="24"/>
                <w:szCs w:val="24"/>
                <w:lang w:val="en-IN"/>
              </w:rPr>
              <w:t>O</w:t>
            </w:r>
            <w:r w:rsidRPr="005D213E">
              <w:rPr>
                <w:rFonts w:ascii="Times New Roman" w:eastAsia="Calibri" w:hAnsi="Times New Roman"/>
                <w:bCs/>
                <w:color w:val="000000"/>
                <w:sz w:val="24"/>
                <w:szCs w:val="24"/>
                <w:vertAlign w:val="subscript"/>
                <w:lang w:val="en-IN"/>
              </w:rPr>
              <w:t>5</w:t>
            </w:r>
            <w:r w:rsidRPr="005D213E">
              <w:rPr>
                <w:rFonts w:ascii="Times New Roman" w:eastAsia="Calibri" w:hAnsi="Times New Roman"/>
                <w:bCs/>
                <w:color w:val="000000"/>
                <w:sz w:val="24"/>
                <w:szCs w:val="24"/>
                <w:lang w:val="en-IN"/>
              </w:rPr>
              <w:t>/ha</w:t>
            </w:r>
          </w:p>
        </w:tc>
        <w:tc>
          <w:tcPr>
            <w:tcW w:w="1260" w:type="dxa"/>
            <w:shd w:val="clear" w:color="auto" w:fill="auto"/>
          </w:tcPr>
          <w:p w14:paraId="2360769B"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33.7</w:t>
            </w:r>
          </w:p>
        </w:tc>
        <w:tc>
          <w:tcPr>
            <w:tcW w:w="1368" w:type="dxa"/>
            <w:shd w:val="clear" w:color="auto" w:fill="auto"/>
          </w:tcPr>
          <w:p w14:paraId="46B2CEDB"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4.3</w:t>
            </w:r>
          </w:p>
        </w:tc>
        <w:tc>
          <w:tcPr>
            <w:tcW w:w="1260" w:type="dxa"/>
            <w:shd w:val="clear" w:color="auto" w:fill="auto"/>
          </w:tcPr>
          <w:p w14:paraId="54B68A63"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26.4</w:t>
            </w:r>
          </w:p>
        </w:tc>
      </w:tr>
      <w:tr w:rsidR="005D213E" w:rsidRPr="005D213E" w14:paraId="5DD12AEA" w14:textId="77777777">
        <w:tc>
          <w:tcPr>
            <w:tcW w:w="1188" w:type="dxa"/>
            <w:shd w:val="clear" w:color="auto" w:fill="auto"/>
          </w:tcPr>
          <w:p w14:paraId="50C416D7"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T</w:t>
            </w:r>
            <w:r w:rsidRPr="005D213E">
              <w:rPr>
                <w:rFonts w:ascii="Times New Roman" w:eastAsia="Calibri" w:hAnsi="Times New Roman"/>
                <w:sz w:val="24"/>
                <w:szCs w:val="24"/>
                <w:vertAlign w:val="subscript"/>
                <w:lang w:val="en-IN"/>
              </w:rPr>
              <w:t>3</w:t>
            </w:r>
          </w:p>
        </w:tc>
        <w:tc>
          <w:tcPr>
            <w:tcW w:w="4806" w:type="dxa"/>
            <w:shd w:val="clear" w:color="auto" w:fill="auto"/>
          </w:tcPr>
          <w:p w14:paraId="0DAD0B01"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bCs/>
                <w:color w:val="000000"/>
                <w:sz w:val="24"/>
                <w:szCs w:val="24"/>
                <w:lang w:val="en-IN"/>
              </w:rPr>
              <w:t>T</w:t>
            </w:r>
            <w:r w:rsidRPr="005D213E">
              <w:rPr>
                <w:rFonts w:ascii="Times New Roman" w:eastAsia="Calibri" w:hAnsi="Times New Roman"/>
                <w:bCs/>
                <w:color w:val="000000"/>
                <w:sz w:val="24"/>
                <w:szCs w:val="24"/>
                <w:vertAlign w:val="subscript"/>
                <w:lang w:val="en-IN"/>
              </w:rPr>
              <w:t>2</w:t>
            </w:r>
            <w:r w:rsidRPr="005D213E">
              <w:rPr>
                <w:rFonts w:ascii="Times New Roman" w:eastAsia="Calibri" w:hAnsi="Times New Roman"/>
                <w:bCs/>
                <w:color w:val="000000"/>
                <w:sz w:val="24"/>
                <w:szCs w:val="24"/>
                <w:lang w:val="en-IN"/>
              </w:rPr>
              <w:t xml:space="preserve"> + Soil application of </w:t>
            </w:r>
            <w:proofErr w:type="gramStart"/>
            <w:r w:rsidRPr="005D213E">
              <w:rPr>
                <w:rFonts w:ascii="Times New Roman" w:eastAsia="Calibri" w:hAnsi="Times New Roman"/>
                <w:bCs/>
                <w:color w:val="000000"/>
                <w:sz w:val="24"/>
                <w:szCs w:val="24"/>
                <w:lang w:val="en-IN"/>
              </w:rPr>
              <w:t>PSB  4.0</w:t>
            </w:r>
            <w:proofErr w:type="gramEnd"/>
            <w:r w:rsidRPr="005D213E">
              <w:rPr>
                <w:rFonts w:ascii="Times New Roman" w:eastAsia="Calibri" w:hAnsi="Times New Roman"/>
                <w:bCs/>
                <w:color w:val="000000"/>
                <w:sz w:val="24"/>
                <w:szCs w:val="24"/>
                <w:lang w:val="en-IN"/>
              </w:rPr>
              <w:t xml:space="preserve"> kg /ha</w:t>
            </w:r>
          </w:p>
        </w:tc>
        <w:tc>
          <w:tcPr>
            <w:tcW w:w="1260" w:type="dxa"/>
            <w:shd w:val="clear" w:color="auto" w:fill="auto"/>
          </w:tcPr>
          <w:p w14:paraId="428BD11F"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40.5</w:t>
            </w:r>
          </w:p>
        </w:tc>
        <w:tc>
          <w:tcPr>
            <w:tcW w:w="1368" w:type="dxa"/>
            <w:shd w:val="clear" w:color="auto" w:fill="auto"/>
          </w:tcPr>
          <w:p w14:paraId="08E26F1A"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6.0</w:t>
            </w:r>
          </w:p>
        </w:tc>
        <w:tc>
          <w:tcPr>
            <w:tcW w:w="1260" w:type="dxa"/>
            <w:shd w:val="clear" w:color="auto" w:fill="auto"/>
          </w:tcPr>
          <w:p w14:paraId="71CCEDF1"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29.7</w:t>
            </w:r>
          </w:p>
        </w:tc>
      </w:tr>
      <w:tr w:rsidR="005D213E" w:rsidRPr="005D213E" w14:paraId="619ADB98" w14:textId="77777777">
        <w:tc>
          <w:tcPr>
            <w:tcW w:w="1188" w:type="dxa"/>
            <w:shd w:val="clear" w:color="auto" w:fill="auto"/>
          </w:tcPr>
          <w:p w14:paraId="3C68304B"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T</w:t>
            </w:r>
            <w:r w:rsidRPr="005D213E">
              <w:rPr>
                <w:rFonts w:ascii="Times New Roman" w:eastAsia="Calibri" w:hAnsi="Times New Roman"/>
                <w:sz w:val="24"/>
                <w:szCs w:val="24"/>
                <w:vertAlign w:val="subscript"/>
                <w:lang w:val="en-IN"/>
              </w:rPr>
              <w:t>4</w:t>
            </w:r>
          </w:p>
        </w:tc>
        <w:tc>
          <w:tcPr>
            <w:tcW w:w="4806" w:type="dxa"/>
            <w:shd w:val="clear" w:color="auto" w:fill="auto"/>
          </w:tcPr>
          <w:p w14:paraId="04118C8F"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bCs/>
                <w:color w:val="000000"/>
                <w:sz w:val="24"/>
                <w:szCs w:val="24"/>
                <w:lang w:val="en-IN"/>
              </w:rPr>
              <w:t>20.0 kg P</w:t>
            </w:r>
            <w:r w:rsidRPr="005D213E">
              <w:rPr>
                <w:rFonts w:ascii="Times New Roman" w:eastAsia="Calibri" w:hAnsi="Times New Roman"/>
                <w:bCs/>
                <w:color w:val="000000"/>
                <w:sz w:val="24"/>
                <w:szCs w:val="24"/>
                <w:vertAlign w:val="subscript"/>
                <w:lang w:val="en-IN"/>
              </w:rPr>
              <w:t>2</w:t>
            </w:r>
            <w:r w:rsidRPr="005D213E">
              <w:rPr>
                <w:rFonts w:ascii="Times New Roman" w:eastAsia="Calibri" w:hAnsi="Times New Roman"/>
                <w:bCs/>
                <w:color w:val="000000"/>
                <w:sz w:val="24"/>
                <w:szCs w:val="24"/>
                <w:lang w:val="en-IN"/>
              </w:rPr>
              <w:t>O</w:t>
            </w:r>
            <w:r w:rsidRPr="005D213E">
              <w:rPr>
                <w:rFonts w:ascii="Times New Roman" w:eastAsia="Calibri" w:hAnsi="Times New Roman"/>
                <w:bCs/>
                <w:color w:val="000000"/>
                <w:sz w:val="24"/>
                <w:szCs w:val="24"/>
                <w:vertAlign w:val="subscript"/>
                <w:lang w:val="en-IN"/>
              </w:rPr>
              <w:t>5</w:t>
            </w:r>
            <w:r w:rsidRPr="005D213E">
              <w:rPr>
                <w:rFonts w:ascii="Times New Roman" w:eastAsia="Calibri" w:hAnsi="Times New Roman"/>
                <w:bCs/>
                <w:color w:val="000000"/>
                <w:sz w:val="24"/>
                <w:szCs w:val="24"/>
                <w:lang w:val="en-IN"/>
              </w:rPr>
              <w:t xml:space="preserve">/ha + Soil application of </w:t>
            </w:r>
            <w:proofErr w:type="gramStart"/>
            <w:r w:rsidRPr="005D213E">
              <w:rPr>
                <w:rFonts w:ascii="Times New Roman" w:eastAsia="Calibri" w:hAnsi="Times New Roman"/>
                <w:bCs/>
                <w:color w:val="000000"/>
                <w:sz w:val="24"/>
                <w:szCs w:val="24"/>
                <w:lang w:val="en-IN"/>
              </w:rPr>
              <w:t>PSB  4.0</w:t>
            </w:r>
            <w:proofErr w:type="gramEnd"/>
            <w:r w:rsidRPr="005D213E">
              <w:rPr>
                <w:rFonts w:ascii="Times New Roman" w:eastAsia="Calibri" w:hAnsi="Times New Roman"/>
                <w:bCs/>
                <w:color w:val="000000"/>
                <w:sz w:val="24"/>
                <w:szCs w:val="24"/>
                <w:lang w:val="en-IN"/>
              </w:rPr>
              <w:t xml:space="preserve"> kg /ha</w:t>
            </w:r>
          </w:p>
        </w:tc>
        <w:tc>
          <w:tcPr>
            <w:tcW w:w="1260" w:type="dxa"/>
            <w:shd w:val="clear" w:color="auto" w:fill="auto"/>
          </w:tcPr>
          <w:p w14:paraId="3049FF39"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36.8</w:t>
            </w:r>
          </w:p>
        </w:tc>
        <w:tc>
          <w:tcPr>
            <w:tcW w:w="1368" w:type="dxa"/>
            <w:shd w:val="clear" w:color="auto" w:fill="auto"/>
          </w:tcPr>
          <w:p w14:paraId="21D10D2B"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5.0</w:t>
            </w:r>
          </w:p>
        </w:tc>
        <w:tc>
          <w:tcPr>
            <w:tcW w:w="1260" w:type="dxa"/>
            <w:shd w:val="clear" w:color="auto" w:fill="auto"/>
          </w:tcPr>
          <w:p w14:paraId="6BF2EDD4"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28.1</w:t>
            </w:r>
          </w:p>
        </w:tc>
      </w:tr>
      <w:tr w:rsidR="005D213E" w:rsidRPr="005D213E" w14:paraId="47C1F64F" w14:textId="77777777">
        <w:tc>
          <w:tcPr>
            <w:tcW w:w="1188" w:type="dxa"/>
            <w:shd w:val="clear" w:color="auto" w:fill="auto"/>
          </w:tcPr>
          <w:p w14:paraId="0CE7408C"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T</w:t>
            </w:r>
            <w:r w:rsidRPr="005D213E">
              <w:rPr>
                <w:rFonts w:ascii="Times New Roman" w:eastAsia="Calibri" w:hAnsi="Times New Roman"/>
                <w:sz w:val="24"/>
                <w:szCs w:val="24"/>
                <w:vertAlign w:val="subscript"/>
                <w:lang w:val="en-IN"/>
              </w:rPr>
              <w:t>5</w:t>
            </w:r>
          </w:p>
        </w:tc>
        <w:tc>
          <w:tcPr>
            <w:tcW w:w="4806" w:type="dxa"/>
            <w:shd w:val="clear" w:color="auto" w:fill="auto"/>
          </w:tcPr>
          <w:p w14:paraId="1EA3E4AC"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bCs/>
                <w:color w:val="000000"/>
                <w:sz w:val="24"/>
                <w:szCs w:val="24"/>
                <w:lang w:val="en-IN"/>
              </w:rPr>
              <w:t>T</w:t>
            </w:r>
            <w:r w:rsidRPr="005D213E">
              <w:rPr>
                <w:rFonts w:ascii="Times New Roman" w:eastAsia="Calibri" w:hAnsi="Times New Roman"/>
                <w:bCs/>
                <w:color w:val="000000"/>
                <w:sz w:val="24"/>
                <w:szCs w:val="24"/>
                <w:vertAlign w:val="subscript"/>
                <w:lang w:val="en-IN"/>
              </w:rPr>
              <w:t>2</w:t>
            </w:r>
            <w:r w:rsidRPr="005D213E">
              <w:rPr>
                <w:rFonts w:ascii="Times New Roman" w:eastAsia="Calibri" w:hAnsi="Times New Roman"/>
                <w:bCs/>
                <w:color w:val="000000"/>
                <w:sz w:val="24"/>
                <w:szCs w:val="24"/>
                <w:lang w:val="en-IN"/>
              </w:rPr>
              <w:t xml:space="preserve"> + 20 kg S/ha</w:t>
            </w:r>
          </w:p>
        </w:tc>
        <w:tc>
          <w:tcPr>
            <w:tcW w:w="1260" w:type="dxa"/>
            <w:shd w:val="clear" w:color="auto" w:fill="auto"/>
          </w:tcPr>
          <w:p w14:paraId="10885B9A"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42.8</w:t>
            </w:r>
          </w:p>
        </w:tc>
        <w:tc>
          <w:tcPr>
            <w:tcW w:w="1368" w:type="dxa"/>
            <w:shd w:val="clear" w:color="auto" w:fill="auto"/>
          </w:tcPr>
          <w:p w14:paraId="5A2ED080"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6.5</w:t>
            </w:r>
          </w:p>
        </w:tc>
        <w:tc>
          <w:tcPr>
            <w:tcW w:w="1260" w:type="dxa"/>
            <w:shd w:val="clear" w:color="auto" w:fill="auto"/>
          </w:tcPr>
          <w:p w14:paraId="5101A91F"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31.7</w:t>
            </w:r>
          </w:p>
        </w:tc>
      </w:tr>
      <w:tr w:rsidR="005D213E" w:rsidRPr="005D213E" w14:paraId="454BD452" w14:textId="77777777">
        <w:tc>
          <w:tcPr>
            <w:tcW w:w="1188" w:type="dxa"/>
            <w:shd w:val="clear" w:color="auto" w:fill="auto"/>
          </w:tcPr>
          <w:p w14:paraId="77130BB0"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T</w:t>
            </w:r>
            <w:r w:rsidRPr="005D213E">
              <w:rPr>
                <w:rFonts w:ascii="Times New Roman" w:eastAsia="Calibri" w:hAnsi="Times New Roman"/>
                <w:sz w:val="24"/>
                <w:szCs w:val="24"/>
                <w:vertAlign w:val="subscript"/>
                <w:lang w:val="en-IN"/>
              </w:rPr>
              <w:t>6</w:t>
            </w:r>
          </w:p>
        </w:tc>
        <w:tc>
          <w:tcPr>
            <w:tcW w:w="4806" w:type="dxa"/>
            <w:shd w:val="clear" w:color="auto" w:fill="auto"/>
          </w:tcPr>
          <w:p w14:paraId="30B45AB8"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bCs/>
                <w:color w:val="000000"/>
                <w:sz w:val="24"/>
                <w:szCs w:val="24"/>
                <w:lang w:val="en-IN"/>
              </w:rPr>
              <w:t>T</w:t>
            </w:r>
            <w:r w:rsidRPr="005D213E">
              <w:rPr>
                <w:rFonts w:ascii="Times New Roman" w:eastAsia="Calibri" w:hAnsi="Times New Roman"/>
                <w:bCs/>
                <w:color w:val="000000"/>
                <w:sz w:val="24"/>
                <w:szCs w:val="24"/>
                <w:vertAlign w:val="subscript"/>
                <w:lang w:val="en-IN"/>
              </w:rPr>
              <w:t>3</w:t>
            </w:r>
            <w:r w:rsidRPr="005D213E">
              <w:rPr>
                <w:rFonts w:ascii="Times New Roman" w:eastAsia="Calibri" w:hAnsi="Times New Roman"/>
                <w:bCs/>
                <w:color w:val="000000"/>
                <w:sz w:val="24"/>
                <w:szCs w:val="24"/>
                <w:lang w:val="en-IN"/>
              </w:rPr>
              <w:t xml:space="preserve"> + 20 kg S/ha</w:t>
            </w:r>
          </w:p>
        </w:tc>
        <w:tc>
          <w:tcPr>
            <w:tcW w:w="1260" w:type="dxa"/>
            <w:shd w:val="clear" w:color="auto" w:fill="auto"/>
          </w:tcPr>
          <w:p w14:paraId="12092162"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48.2</w:t>
            </w:r>
          </w:p>
        </w:tc>
        <w:tc>
          <w:tcPr>
            <w:tcW w:w="1368" w:type="dxa"/>
            <w:shd w:val="clear" w:color="auto" w:fill="auto"/>
          </w:tcPr>
          <w:p w14:paraId="03526C98"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7.8</w:t>
            </w:r>
          </w:p>
        </w:tc>
        <w:tc>
          <w:tcPr>
            <w:tcW w:w="1260" w:type="dxa"/>
            <w:shd w:val="clear" w:color="auto" w:fill="auto"/>
          </w:tcPr>
          <w:p w14:paraId="0C1CBB58"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36.7</w:t>
            </w:r>
          </w:p>
        </w:tc>
      </w:tr>
      <w:tr w:rsidR="005D213E" w:rsidRPr="005D213E" w14:paraId="44911C64" w14:textId="77777777">
        <w:tc>
          <w:tcPr>
            <w:tcW w:w="1188" w:type="dxa"/>
            <w:shd w:val="clear" w:color="auto" w:fill="auto"/>
          </w:tcPr>
          <w:p w14:paraId="091D24DA"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T</w:t>
            </w:r>
            <w:r w:rsidRPr="005D213E">
              <w:rPr>
                <w:rFonts w:ascii="Times New Roman" w:eastAsia="Calibri" w:hAnsi="Times New Roman"/>
                <w:sz w:val="24"/>
                <w:szCs w:val="24"/>
                <w:vertAlign w:val="subscript"/>
                <w:lang w:val="en-IN"/>
              </w:rPr>
              <w:t>7</w:t>
            </w:r>
          </w:p>
        </w:tc>
        <w:tc>
          <w:tcPr>
            <w:tcW w:w="4806" w:type="dxa"/>
            <w:shd w:val="clear" w:color="auto" w:fill="auto"/>
          </w:tcPr>
          <w:p w14:paraId="3E1B65EF"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bCs/>
                <w:color w:val="000000"/>
                <w:sz w:val="24"/>
                <w:szCs w:val="24"/>
                <w:lang w:val="en-IN"/>
              </w:rPr>
              <w:t>T</w:t>
            </w:r>
            <w:r w:rsidRPr="005D213E">
              <w:rPr>
                <w:rFonts w:ascii="Times New Roman" w:eastAsia="Calibri" w:hAnsi="Times New Roman"/>
                <w:bCs/>
                <w:color w:val="000000"/>
                <w:sz w:val="24"/>
                <w:szCs w:val="24"/>
                <w:vertAlign w:val="subscript"/>
                <w:lang w:val="en-IN"/>
              </w:rPr>
              <w:t>4</w:t>
            </w:r>
            <w:r w:rsidRPr="005D213E">
              <w:rPr>
                <w:rFonts w:ascii="Times New Roman" w:eastAsia="Calibri" w:hAnsi="Times New Roman"/>
                <w:bCs/>
                <w:color w:val="000000"/>
                <w:sz w:val="24"/>
                <w:szCs w:val="24"/>
                <w:lang w:val="en-IN"/>
              </w:rPr>
              <w:t xml:space="preserve"> + 20 kg S/ha</w:t>
            </w:r>
          </w:p>
        </w:tc>
        <w:tc>
          <w:tcPr>
            <w:tcW w:w="1260" w:type="dxa"/>
            <w:shd w:val="clear" w:color="auto" w:fill="auto"/>
          </w:tcPr>
          <w:p w14:paraId="3C225824"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45.6</w:t>
            </w:r>
          </w:p>
        </w:tc>
        <w:tc>
          <w:tcPr>
            <w:tcW w:w="1368" w:type="dxa"/>
            <w:shd w:val="clear" w:color="auto" w:fill="auto"/>
          </w:tcPr>
          <w:p w14:paraId="0C9C4083"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7.1</w:t>
            </w:r>
          </w:p>
        </w:tc>
        <w:tc>
          <w:tcPr>
            <w:tcW w:w="1260" w:type="dxa"/>
            <w:shd w:val="clear" w:color="auto" w:fill="auto"/>
          </w:tcPr>
          <w:p w14:paraId="6163967D"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34.8</w:t>
            </w:r>
          </w:p>
        </w:tc>
      </w:tr>
      <w:tr w:rsidR="005D213E" w:rsidRPr="005D213E" w14:paraId="42552FFE" w14:textId="77777777">
        <w:tc>
          <w:tcPr>
            <w:tcW w:w="1188" w:type="dxa"/>
            <w:shd w:val="clear" w:color="auto" w:fill="auto"/>
          </w:tcPr>
          <w:p w14:paraId="0DFB0026"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T</w:t>
            </w:r>
            <w:r w:rsidRPr="005D213E">
              <w:rPr>
                <w:rFonts w:ascii="Times New Roman" w:eastAsia="Calibri" w:hAnsi="Times New Roman"/>
                <w:sz w:val="24"/>
                <w:szCs w:val="24"/>
                <w:vertAlign w:val="subscript"/>
                <w:lang w:val="en-IN"/>
              </w:rPr>
              <w:t>8</w:t>
            </w:r>
          </w:p>
        </w:tc>
        <w:tc>
          <w:tcPr>
            <w:tcW w:w="4806" w:type="dxa"/>
            <w:shd w:val="clear" w:color="auto" w:fill="auto"/>
          </w:tcPr>
          <w:p w14:paraId="714160C8"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bCs/>
                <w:sz w:val="24"/>
                <w:szCs w:val="24"/>
                <w:lang w:val="en-IN"/>
              </w:rPr>
              <w:t xml:space="preserve">Soil application of PSB </w:t>
            </w:r>
            <w:bookmarkStart w:id="0" w:name="_GoBack"/>
            <w:r w:rsidRPr="005D213E">
              <w:rPr>
                <w:rFonts w:ascii="Times New Roman" w:eastAsia="Calibri" w:hAnsi="Times New Roman"/>
                <w:bCs/>
                <w:sz w:val="24"/>
                <w:szCs w:val="24"/>
                <w:lang w:val="en-IN"/>
              </w:rPr>
              <w:t>@</w:t>
            </w:r>
            <w:bookmarkEnd w:id="0"/>
            <w:r w:rsidRPr="005D213E">
              <w:rPr>
                <w:rFonts w:ascii="Times New Roman" w:eastAsia="Calibri" w:hAnsi="Times New Roman"/>
                <w:bCs/>
                <w:sz w:val="24"/>
                <w:szCs w:val="24"/>
                <w:lang w:val="en-IN"/>
              </w:rPr>
              <w:t xml:space="preserve"> 4.0 kg /ha</w:t>
            </w:r>
          </w:p>
        </w:tc>
        <w:tc>
          <w:tcPr>
            <w:tcW w:w="1260" w:type="dxa"/>
            <w:shd w:val="clear" w:color="auto" w:fill="auto"/>
          </w:tcPr>
          <w:p w14:paraId="742AD496"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37.1</w:t>
            </w:r>
          </w:p>
        </w:tc>
        <w:tc>
          <w:tcPr>
            <w:tcW w:w="1368" w:type="dxa"/>
            <w:shd w:val="clear" w:color="auto" w:fill="auto"/>
          </w:tcPr>
          <w:p w14:paraId="2A2A691E"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5.3</w:t>
            </w:r>
          </w:p>
        </w:tc>
        <w:tc>
          <w:tcPr>
            <w:tcW w:w="1260" w:type="dxa"/>
            <w:shd w:val="clear" w:color="auto" w:fill="auto"/>
          </w:tcPr>
          <w:p w14:paraId="380F69A8"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28.6</w:t>
            </w:r>
          </w:p>
        </w:tc>
      </w:tr>
      <w:tr w:rsidR="005D213E" w:rsidRPr="005D213E" w14:paraId="36E19240" w14:textId="77777777">
        <w:trPr>
          <w:trHeight w:val="305"/>
        </w:trPr>
        <w:tc>
          <w:tcPr>
            <w:tcW w:w="1188" w:type="dxa"/>
            <w:shd w:val="clear" w:color="auto" w:fill="auto"/>
          </w:tcPr>
          <w:p w14:paraId="591EF492" w14:textId="77777777" w:rsidR="005D213E" w:rsidRPr="005D213E" w:rsidRDefault="005D213E">
            <w:pPr>
              <w:spacing w:after="0" w:line="360" w:lineRule="auto"/>
              <w:jc w:val="both"/>
              <w:rPr>
                <w:rFonts w:ascii="Times New Roman" w:eastAsia="Calibri" w:hAnsi="Times New Roman"/>
                <w:sz w:val="24"/>
                <w:szCs w:val="24"/>
                <w:lang w:val="en-IN"/>
              </w:rPr>
            </w:pPr>
            <w:proofErr w:type="spellStart"/>
            <w:r w:rsidRPr="005D213E">
              <w:rPr>
                <w:rFonts w:ascii="Times New Roman" w:eastAsia="Calibri" w:hAnsi="Times New Roman"/>
                <w:sz w:val="24"/>
                <w:szCs w:val="24"/>
                <w:lang w:val="en-IN"/>
              </w:rPr>
              <w:t>SEm</w:t>
            </w:r>
            <w:proofErr w:type="spellEnd"/>
          </w:p>
          <w:p w14:paraId="139961F4"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w:t>
            </w:r>
            <w:r w:rsidRPr="005D213E">
              <w:rPr>
                <w:rFonts w:ascii="Times New Roman" w:eastAsia="Calibri" w:hAnsi="Times New Roman"/>
                <w:sz w:val="24"/>
                <w:szCs w:val="24"/>
                <w:u w:val="single"/>
                <w:lang w:val="en-IN"/>
              </w:rPr>
              <w:t>+</w:t>
            </w:r>
            <w:r w:rsidRPr="005D213E">
              <w:rPr>
                <w:rFonts w:ascii="Times New Roman" w:eastAsia="Calibri" w:hAnsi="Times New Roman"/>
                <w:sz w:val="24"/>
                <w:szCs w:val="24"/>
                <w:lang w:val="en-IN"/>
              </w:rPr>
              <w:t xml:space="preserve"> )</w:t>
            </w:r>
          </w:p>
        </w:tc>
        <w:tc>
          <w:tcPr>
            <w:tcW w:w="4806" w:type="dxa"/>
            <w:shd w:val="clear" w:color="auto" w:fill="auto"/>
          </w:tcPr>
          <w:p w14:paraId="7E4F8A1B" w14:textId="77777777" w:rsidR="005D213E" w:rsidRPr="005D213E" w:rsidRDefault="005D213E">
            <w:pPr>
              <w:spacing w:after="0" w:line="360" w:lineRule="auto"/>
              <w:jc w:val="both"/>
              <w:rPr>
                <w:rFonts w:ascii="Times New Roman" w:eastAsia="Calibri" w:hAnsi="Times New Roman"/>
                <w:sz w:val="24"/>
                <w:szCs w:val="24"/>
                <w:lang w:val="en-IN"/>
              </w:rPr>
            </w:pPr>
          </w:p>
        </w:tc>
        <w:tc>
          <w:tcPr>
            <w:tcW w:w="1260" w:type="dxa"/>
            <w:shd w:val="clear" w:color="auto" w:fill="auto"/>
          </w:tcPr>
          <w:p w14:paraId="4C721E0D"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0.28</w:t>
            </w:r>
          </w:p>
        </w:tc>
        <w:tc>
          <w:tcPr>
            <w:tcW w:w="1368" w:type="dxa"/>
            <w:shd w:val="clear" w:color="auto" w:fill="auto"/>
          </w:tcPr>
          <w:p w14:paraId="50F7B675"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0.08</w:t>
            </w:r>
          </w:p>
        </w:tc>
        <w:tc>
          <w:tcPr>
            <w:tcW w:w="1260" w:type="dxa"/>
            <w:shd w:val="clear" w:color="auto" w:fill="auto"/>
          </w:tcPr>
          <w:p w14:paraId="4A1F8942"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0.19</w:t>
            </w:r>
          </w:p>
        </w:tc>
      </w:tr>
      <w:tr w:rsidR="005D213E" w:rsidRPr="005D213E" w14:paraId="39EB8DB6" w14:textId="77777777">
        <w:trPr>
          <w:trHeight w:val="260"/>
        </w:trPr>
        <w:tc>
          <w:tcPr>
            <w:tcW w:w="1188" w:type="dxa"/>
            <w:shd w:val="clear" w:color="auto" w:fill="auto"/>
          </w:tcPr>
          <w:p w14:paraId="06B482F6"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CD</w:t>
            </w:r>
          </w:p>
          <w:p w14:paraId="5610C572"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(P=0.05)</w:t>
            </w:r>
          </w:p>
        </w:tc>
        <w:tc>
          <w:tcPr>
            <w:tcW w:w="4806" w:type="dxa"/>
            <w:shd w:val="clear" w:color="auto" w:fill="auto"/>
          </w:tcPr>
          <w:p w14:paraId="5C739B73" w14:textId="77777777" w:rsidR="005D213E" w:rsidRPr="005D213E" w:rsidRDefault="005D213E">
            <w:pPr>
              <w:spacing w:after="0" w:line="360" w:lineRule="auto"/>
              <w:jc w:val="both"/>
              <w:rPr>
                <w:rFonts w:ascii="Times New Roman" w:eastAsia="Calibri" w:hAnsi="Times New Roman"/>
                <w:sz w:val="24"/>
                <w:szCs w:val="24"/>
                <w:lang w:val="en-IN"/>
              </w:rPr>
            </w:pPr>
          </w:p>
        </w:tc>
        <w:tc>
          <w:tcPr>
            <w:tcW w:w="1260" w:type="dxa"/>
            <w:shd w:val="clear" w:color="auto" w:fill="auto"/>
          </w:tcPr>
          <w:p w14:paraId="5A1F8057"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0.85</w:t>
            </w:r>
          </w:p>
        </w:tc>
        <w:tc>
          <w:tcPr>
            <w:tcW w:w="1368" w:type="dxa"/>
            <w:shd w:val="clear" w:color="auto" w:fill="auto"/>
          </w:tcPr>
          <w:p w14:paraId="058B6339"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0.25</w:t>
            </w:r>
          </w:p>
        </w:tc>
        <w:tc>
          <w:tcPr>
            <w:tcW w:w="1260" w:type="dxa"/>
            <w:shd w:val="clear" w:color="auto" w:fill="auto"/>
          </w:tcPr>
          <w:p w14:paraId="4F6A3E79"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0.54</w:t>
            </w:r>
          </w:p>
        </w:tc>
      </w:tr>
    </w:tbl>
    <w:p w14:paraId="1CA84C39" w14:textId="77777777" w:rsidR="009F0679" w:rsidRPr="005D213E" w:rsidRDefault="009F0679" w:rsidP="005D213E">
      <w:pPr>
        <w:pStyle w:val="NoSpacing"/>
        <w:spacing w:line="360" w:lineRule="auto"/>
        <w:jc w:val="both"/>
        <w:rPr>
          <w:rFonts w:ascii="Times New Roman" w:hAnsi="Times New Roman"/>
          <w:b/>
          <w:sz w:val="24"/>
          <w:szCs w:val="24"/>
        </w:rPr>
      </w:pPr>
    </w:p>
    <w:p w14:paraId="7F80D6A8" w14:textId="77777777" w:rsidR="005C748A" w:rsidRPr="00A7504B" w:rsidRDefault="00033A1F" w:rsidP="005D213E">
      <w:pPr>
        <w:pStyle w:val="NoSpacing"/>
        <w:spacing w:line="360" w:lineRule="auto"/>
        <w:jc w:val="both"/>
        <w:rPr>
          <w:rFonts w:ascii="Times New Roman" w:hAnsi="Times New Roman"/>
          <w:b/>
          <w:sz w:val="24"/>
          <w:szCs w:val="24"/>
        </w:rPr>
      </w:pPr>
      <w:r w:rsidRPr="00A7504B">
        <w:rPr>
          <w:rFonts w:ascii="Times New Roman" w:hAnsi="Times New Roman"/>
          <w:b/>
          <w:sz w:val="24"/>
          <w:szCs w:val="24"/>
        </w:rPr>
        <w:t xml:space="preserve"> </w:t>
      </w:r>
    </w:p>
    <w:p w14:paraId="49ADFEEA" w14:textId="03093339" w:rsidR="00F6286F" w:rsidRDefault="00DE7A8E" w:rsidP="00F6286F">
      <w:pPr>
        <w:spacing w:line="360" w:lineRule="auto"/>
        <w:ind w:right="137"/>
        <w:jc w:val="both"/>
        <w:rPr>
          <w:rFonts w:ascii="Times New Roman" w:hAnsi="Times New Roman"/>
          <w:b/>
          <w:sz w:val="24"/>
          <w:szCs w:val="24"/>
        </w:rPr>
      </w:pPr>
      <w:r>
        <w:rPr>
          <w:rFonts w:ascii="Times New Roman" w:hAnsi="Times New Roman"/>
          <w:b/>
          <w:sz w:val="24"/>
          <w:szCs w:val="24"/>
        </w:rPr>
        <w:t>REFERENCES</w:t>
      </w:r>
    </w:p>
    <w:p w14:paraId="03F12BEE" w14:textId="0DA7A7E0" w:rsidR="00FF4FEF" w:rsidRDefault="00FF4FEF" w:rsidP="00575AF1">
      <w:pPr>
        <w:pStyle w:val="NormalWeb"/>
        <w:spacing w:line="360" w:lineRule="auto"/>
        <w:jc w:val="both"/>
      </w:pPr>
      <w:r>
        <w:t>Chen, D., Saeed, M., Ali, M. N. H. A., Raheel, M., Ashraf, W., Hassan, Z., Hassan, M. Z., Farooq, U., Hakim, M. F., Rao, M. J., &amp; others. (2023</w:t>
      </w:r>
      <w:proofErr w:type="gramStart"/>
      <w:r>
        <w:t>).Plant</w:t>
      </w:r>
      <w:proofErr w:type="gramEnd"/>
      <w:r>
        <w:t xml:space="preserve"> growth promoting rhizobacteria (PGPR) and arbuscular mycorrhizal fungi combined application reveals enhanced soil fertility and rice production. </w:t>
      </w:r>
      <w:r>
        <w:rPr>
          <w:rStyle w:val="Emphasis"/>
        </w:rPr>
        <w:t>Agronomy</w:t>
      </w:r>
      <w:r>
        <w:t xml:space="preserve">, </w:t>
      </w:r>
      <w:r>
        <w:rPr>
          <w:rStyle w:val="Emphasis"/>
        </w:rPr>
        <w:t>13</w:t>
      </w:r>
      <w:r>
        <w:t>(2), 550.</w:t>
      </w:r>
      <w:r w:rsidR="00575AF1">
        <w:t xml:space="preserve"> </w:t>
      </w:r>
      <w:hyperlink r:id="rId8" w:tgtFrame="_new" w:history="1">
        <w:r>
          <w:rPr>
            <w:rStyle w:val="Hyperlink"/>
          </w:rPr>
          <w:t>https://doi.org/10.3390/agronomy13020550</w:t>
        </w:r>
      </w:hyperlink>
    </w:p>
    <w:p w14:paraId="562EFC90" w14:textId="72D5DAC9" w:rsidR="00FF4FEF" w:rsidRDefault="00FF4FEF" w:rsidP="00575AF1">
      <w:pPr>
        <w:pStyle w:val="NormalWeb"/>
        <w:spacing w:line="360" w:lineRule="auto"/>
        <w:jc w:val="both"/>
      </w:pPr>
      <w:r>
        <w:lastRenderedPageBreak/>
        <w:t>Directorate of Pulses Development. (2021</w:t>
      </w:r>
      <w:proofErr w:type="gramStart"/>
      <w:r>
        <w:t>).</w:t>
      </w:r>
      <w:r>
        <w:rPr>
          <w:rStyle w:val="Emphasis"/>
        </w:rPr>
        <w:t>Annual</w:t>
      </w:r>
      <w:proofErr w:type="gramEnd"/>
      <w:r>
        <w:rPr>
          <w:rStyle w:val="Emphasis"/>
        </w:rPr>
        <w:t xml:space="preserve"> report 2021–22.</w:t>
      </w:r>
      <w:r>
        <w:t xml:space="preserve"> Government of India, Ministry of Agriculture and Farmers </w:t>
      </w:r>
      <w:proofErr w:type="spellStart"/>
      <w:r>
        <w:t>Welfare.</w:t>
      </w:r>
      <w:hyperlink r:id="rId9" w:tgtFrame="_new" w:history="1">
        <w:r>
          <w:rPr>
            <w:rStyle w:val="Hyperlink"/>
          </w:rPr>
          <w:t>https</w:t>
        </w:r>
        <w:proofErr w:type="spellEnd"/>
        <w:r>
          <w:rPr>
            <w:rStyle w:val="Hyperlink"/>
          </w:rPr>
          <w:t>://dpd.dacnet.nic.in/Publication.htm</w:t>
        </w:r>
      </w:hyperlink>
    </w:p>
    <w:p w14:paraId="2FA18FFC" w14:textId="2BF81549" w:rsidR="00575AF1" w:rsidRDefault="00FF4FEF" w:rsidP="00575AF1">
      <w:pPr>
        <w:pStyle w:val="NormalWeb"/>
        <w:spacing w:line="360" w:lineRule="auto"/>
        <w:jc w:val="both"/>
      </w:pPr>
      <w:r w:rsidRPr="00FF4FEF">
        <w:rPr>
          <w:lang w:val="it-IT"/>
        </w:rPr>
        <w:t>Gomez, K. A., &amp; Gomez, A. A. (1984).</w:t>
      </w:r>
      <w:r w:rsidR="00575AF1">
        <w:rPr>
          <w:lang w:val="it-IT"/>
        </w:rPr>
        <w:t xml:space="preserve"> </w:t>
      </w:r>
      <w:r>
        <w:rPr>
          <w:rStyle w:val="Emphasis"/>
        </w:rPr>
        <w:t>Statistical procedures for agricultural research</w:t>
      </w:r>
      <w:r>
        <w:t xml:space="preserve"> (2nd ed.). John Wiley &amp; Sons.</w:t>
      </w:r>
      <w:hyperlink r:id="rId10" w:tgtFrame="_new" w:history="1">
        <w:r>
          <w:rPr>
            <w:rStyle w:val="Hyperlink"/>
          </w:rPr>
          <w:t>https://www.scirp.org/reference/referencespapers?referenceid=2253909</w:t>
        </w:r>
      </w:hyperlink>
    </w:p>
    <w:p w14:paraId="712643DB" w14:textId="4FABF7A3" w:rsidR="00FF4FEF" w:rsidRDefault="00FF4FEF" w:rsidP="00575AF1">
      <w:pPr>
        <w:pStyle w:val="NormalWeb"/>
        <w:spacing w:line="360" w:lineRule="auto"/>
        <w:jc w:val="both"/>
      </w:pPr>
      <w:r>
        <w:t xml:space="preserve"> Kumar, L. K. P., Ravi, K., </w:t>
      </w:r>
      <w:proofErr w:type="spellStart"/>
      <w:r>
        <w:t>Showmiyan</w:t>
      </w:r>
      <w:proofErr w:type="spellEnd"/>
      <w:r>
        <w:t>, U. K., Saran, R. S. M., &amp; Lakshmi, A. C. (2024).</w:t>
      </w:r>
      <w:r w:rsidR="00575AF1">
        <w:t xml:space="preserve"> </w:t>
      </w:r>
      <w:r>
        <w:t xml:space="preserve">Enhancing fruit crop performance: The role of phosphate-solubilizing bacteria in growth, yield and quality improvement. </w:t>
      </w:r>
      <w:r>
        <w:rPr>
          <w:rStyle w:val="Emphasis"/>
        </w:rPr>
        <w:t>International Journal of Plant &amp; Soil Science</w:t>
      </w:r>
      <w:r>
        <w:t xml:space="preserve">, </w:t>
      </w:r>
      <w:r>
        <w:rPr>
          <w:rStyle w:val="Emphasis"/>
        </w:rPr>
        <w:t>36</w:t>
      </w:r>
      <w:r>
        <w:t>(7), 670–684.</w:t>
      </w:r>
      <w:r>
        <w:br/>
      </w:r>
      <w:hyperlink r:id="rId11" w:tgtFrame="_new" w:history="1">
        <w:r>
          <w:rPr>
            <w:rStyle w:val="Hyperlink"/>
          </w:rPr>
          <w:t>https://doi.org/10.9734/ijpss/2024/v36i74779</w:t>
        </w:r>
      </w:hyperlink>
    </w:p>
    <w:p w14:paraId="64061B46" w14:textId="0F7F3AA5" w:rsidR="00FF4FEF" w:rsidRDefault="00FF4FEF" w:rsidP="00575AF1">
      <w:pPr>
        <w:pStyle w:val="NormalWeb"/>
        <w:spacing w:line="360" w:lineRule="auto"/>
        <w:jc w:val="both"/>
      </w:pPr>
      <w:r>
        <w:t>Pang, F., Li, Q., Solanki, M. K., Wang, Z., Xing, Y.-X., &amp; Dong, D.-F. (2024).</w:t>
      </w:r>
      <w:r>
        <w:br/>
        <w:t xml:space="preserve">Soil phosphorus transformation and plant uptake driven by phosphate-solubilizing microorganisms. </w:t>
      </w:r>
      <w:r>
        <w:rPr>
          <w:rStyle w:val="Emphasis"/>
        </w:rPr>
        <w:t>Frontiers in Microbiology</w:t>
      </w:r>
      <w:r>
        <w:t xml:space="preserve">, </w:t>
      </w:r>
      <w:r>
        <w:rPr>
          <w:rStyle w:val="Emphasis"/>
        </w:rPr>
        <w:t>15</w:t>
      </w:r>
      <w:r>
        <w:t>, Article 1383813.</w:t>
      </w:r>
      <w:r>
        <w:br/>
      </w:r>
      <w:hyperlink r:id="rId12" w:tgtFrame="_new" w:history="1">
        <w:r>
          <w:rPr>
            <w:rStyle w:val="Hyperlink"/>
          </w:rPr>
          <w:t>https://doi.org/10.3389/fmicb.2024.1383813</w:t>
        </w:r>
      </w:hyperlink>
    </w:p>
    <w:p w14:paraId="595129DD" w14:textId="3824C3D7" w:rsidR="00FF4FEF" w:rsidRDefault="00FF4FEF" w:rsidP="00575AF1">
      <w:pPr>
        <w:pStyle w:val="NormalWeb"/>
        <w:spacing w:line="360" w:lineRule="auto"/>
        <w:jc w:val="both"/>
      </w:pPr>
      <w:r>
        <w:t>Sharma, R. K., Cox, M. S., Oglesby, C., &amp; Dhillon, J. S. (2024).</w:t>
      </w:r>
      <w:r>
        <w:br/>
        <w:t xml:space="preserve">Revisiting the role of </w:t>
      </w:r>
      <w:proofErr w:type="spellStart"/>
      <w:r>
        <w:t>sulfur</w:t>
      </w:r>
      <w:proofErr w:type="spellEnd"/>
      <w:r>
        <w:t xml:space="preserve"> in crop production: A narrative review. </w:t>
      </w:r>
      <w:r>
        <w:rPr>
          <w:rStyle w:val="Emphasis"/>
        </w:rPr>
        <w:t>Journal of Agriculture and Food Research</w:t>
      </w:r>
      <w:r>
        <w:t xml:space="preserve">, </w:t>
      </w:r>
      <w:r>
        <w:rPr>
          <w:rStyle w:val="Emphasis"/>
        </w:rPr>
        <w:t>15</w:t>
      </w:r>
      <w:r>
        <w:t>, 101013.</w:t>
      </w:r>
      <w:r w:rsidR="00575AF1">
        <w:t xml:space="preserve"> </w:t>
      </w:r>
      <w:hyperlink r:id="rId13" w:tgtFrame="_new" w:history="1">
        <w:r>
          <w:rPr>
            <w:rStyle w:val="Hyperlink"/>
          </w:rPr>
          <w:t>https://doi.org/10.1016/j.jafr.2024.101013</w:t>
        </w:r>
      </w:hyperlink>
    </w:p>
    <w:p w14:paraId="7158E694" w14:textId="77777777" w:rsidR="00FF4FEF" w:rsidRDefault="00FF4FEF" w:rsidP="00575AF1">
      <w:pPr>
        <w:pStyle w:val="NormalWeb"/>
        <w:spacing w:line="360" w:lineRule="auto"/>
        <w:ind w:left="993" w:hanging="851"/>
        <w:jc w:val="both"/>
      </w:pPr>
    </w:p>
    <w:sectPr w:rsidR="00FF4FEF" w:rsidSect="0095615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2BE50" w14:textId="77777777" w:rsidR="00EB06A2" w:rsidRDefault="00EB06A2" w:rsidP="001906F7">
      <w:pPr>
        <w:spacing w:after="0" w:line="240" w:lineRule="auto"/>
      </w:pPr>
      <w:r>
        <w:separator/>
      </w:r>
    </w:p>
  </w:endnote>
  <w:endnote w:type="continuationSeparator" w:id="0">
    <w:p w14:paraId="3F4FFA1C" w14:textId="77777777" w:rsidR="00EB06A2" w:rsidRDefault="00EB06A2" w:rsidP="00190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E9D03" w14:textId="77777777" w:rsidR="00313DEB" w:rsidRDefault="00313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5DA90" w14:textId="77777777" w:rsidR="001906F7" w:rsidRDefault="002616B0">
    <w:pPr>
      <w:pStyle w:val="Footer"/>
      <w:jc w:val="center"/>
    </w:pPr>
    <w:r>
      <w:fldChar w:fldCharType="begin"/>
    </w:r>
    <w:r w:rsidR="004A4ADE">
      <w:instrText xml:space="preserve"> PAGE   \* MERGEFORMAT </w:instrText>
    </w:r>
    <w:r>
      <w:fldChar w:fldCharType="separate"/>
    </w:r>
    <w:r w:rsidR="005D0DD3">
      <w:rPr>
        <w:noProof/>
      </w:rPr>
      <w:t>6</w:t>
    </w:r>
    <w:r>
      <w:rPr>
        <w:noProof/>
      </w:rPr>
      <w:fldChar w:fldCharType="end"/>
    </w:r>
  </w:p>
  <w:p w14:paraId="2B2E9F07" w14:textId="77777777" w:rsidR="001906F7" w:rsidRDefault="001906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B6488" w14:textId="77777777" w:rsidR="00313DEB" w:rsidRDefault="00313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13577" w14:textId="77777777" w:rsidR="00EB06A2" w:rsidRDefault="00EB06A2" w:rsidP="001906F7">
      <w:pPr>
        <w:spacing w:after="0" w:line="240" w:lineRule="auto"/>
      </w:pPr>
      <w:r>
        <w:separator/>
      </w:r>
    </w:p>
  </w:footnote>
  <w:footnote w:type="continuationSeparator" w:id="0">
    <w:p w14:paraId="22D8DB87" w14:textId="77777777" w:rsidR="00EB06A2" w:rsidRDefault="00EB06A2" w:rsidP="00190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F4963" w14:textId="1480A516" w:rsidR="00313DEB" w:rsidRDefault="00313DEB">
    <w:pPr>
      <w:pStyle w:val="Header"/>
    </w:pPr>
    <w:r>
      <w:rPr>
        <w:noProof/>
      </w:rPr>
      <w:pict w14:anchorId="325F7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410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ADF0C" w14:textId="33C053FC" w:rsidR="00313DEB" w:rsidRDefault="00313DEB">
    <w:pPr>
      <w:pStyle w:val="Header"/>
    </w:pPr>
    <w:r>
      <w:rPr>
        <w:noProof/>
      </w:rPr>
      <w:pict w14:anchorId="070A5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410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3FEC2" w14:textId="5635DC26" w:rsidR="00313DEB" w:rsidRDefault="00313DEB">
    <w:pPr>
      <w:pStyle w:val="Header"/>
    </w:pPr>
    <w:r>
      <w:rPr>
        <w:noProof/>
      </w:rPr>
      <w:pict w14:anchorId="4B1DED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410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406BD"/>
    <w:multiLevelType w:val="hybridMultilevel"/>
    <w:tmpl w:val="26F25D48"/>
    <w:lvl w:ilvl="0" w:tplc="F4EA5BFE">
      <w:start w:val="1"/>
      <w:numFmt w:val="decimal"/>
      <w:lvlText w:val="%1."/>
      <w:lvlJc w:val="left"/>
      <w:pPr>
        <w:ind w:left="820" w:hanging="360"/>
      </w:pPr>
      <w:rPr>
        <w:rFonts w:ascii="Times New Roman" w:eastAsia="Times New Roman" w:hAnsi="Times New Roman" w:cs="Times New Roman" w:hint="default"/>
        <w:w w:val="100"/>
        <w:sz w:val="20"/>
        <w:szCs w:val="20"/>
        <w:lang w:val="en-US" w:eastAsia="en-US" w:bidi="ar-SA"/>
      </w:rPr>
    </w:lvl>
    <w:lvl w:ilvl="1" w:tplc="958EEC66">
      <w:numFmt w:val="bullet"/>
      <w:lvlText w:val="•"/>
      <w:lvlJc w:val="left"/>
      <w:pPr>
        <w:ind w:left="1840" w:hanging="360"/>
      </w:pPr>
      <w:rPr>
        <w:rFonts w:hint="default"/>
        <w:lang w:val="en-US" w:eastAsia="en-US" w:bidi="ar-SA"/>
      </w:rPr>
    </w:lvl>
    <w:lvl w:ilvl="2" w:tplc="8CB6B292">
      <w:numFmt w:val="bullet"/>
      <w:lvlText w:val="•"/>
      <w:lvlJc w:val="left"/>
      <w:pPr>
        <w:ind w:left="2860" w:hanging="360"/>
      </w:pPr>
      <w:rPr>
        <w:rFonts w:hint="default"/>
        <w:lang w:val="en-US" w:eastAsia="en-US" w:bidi="ar-SA"/>
      </w:rPr>
    </w:lvl>
    <w:lvl w:ilvl="3" w:tplc="07604270">
      <w:numFmt w:val="bullet"/>
      <w:lvlText w:val="•"/>
      <w:lvlJc w:val="left"/>
      <w:pPr>
        <w:ind w:left="3880" w:hanging="360"/>
      </w:pPr>
      <w:rPr>
        <w:rFonts w:hint="default"/>
        <w:lang w:val="en-US" w:eastAsia="en-US" w:bidi="ar-SA"/>
      </w:rPr>
    </w:lvl>
    <w:lvl w:ilvl="4" w:tplc="1400A7BE">
      <w:numFmt w:val="bullet"/>
      <w:lvlText w:val="•"/>
      <w:lvlJc w:val="left"/>
      <w:pPr>
        <w:ind w:left="4900" w:hanging="360"/>
      </w:pPr>
      <w:rPr>
        <w:rFonts w:hint="default"/>
        <w:lang w:val="en-US" w:eastAsia="en-US" w:bidi="ar-SA"/>
      </w:rPr>
    </w:lvl>
    <w:lvl w:ilvl="5" w:tplc="98FC794E">
      <w:numFmt w:val="bullet"/>
      <w:lvlText w:val="•"/>
      <w:lvlJc w:val="left"/>
      <w:pPr>
        <w:ind w:left="5920" w:hanging="360"/>
      </w:pPr>
      <w:rPr>
        <w:rFonts w:hint="default"/>
        <w:lang w:val="en-US" w:eastAsia="en-US" w:bidi="ar-SA"/>
      </w:rPr>
    </w:lvl>
    <w:lvl w:ilvl="6" w:tplc="3CAE2FE0">
      <w:numFmt w:val="bullet"/>
      <w:lvlText w:val="•"/>
      <w:lvlJc w:val="left"/>
      <w:pPr>
        <w:ind w:left="6940" w:hanging="360"/>
      </w:pPr>
      <w:rPr>
        <w:rFonts w:hint="default"/>
        <w:lang w:val="en-US" w:eastAsia="en-US" w:bidi="ar-SA"/>
      </w:rPr>
    </w:lvl>
    <w:lvl w:ilvl="7" w:tplc="218ED15A">
      <w:numFmt w:val="bullet"/>
      <w:lvlText w:val="•"/>
      <w:lvlJc w:val="left"/>
      <w:pPr>
        <w:ind w:left="7960" w:hanging="360"/>
      </w:pPr>
      <w:rPr>
        <w:rFonts w:hint="default"/>
        <w:lang w:val="en-US" w:eastAsia="en-US" w:bidi="ar-SA"/>
      </w:rPr>
    </w:lvl>
    <w:lvl w:ilvl="8" w:tplc="20E67372">
      <w:numFmt w:val="bullet"/>
      <w:lvlText w:val="•"/>
      <w:lvlJc w:val="left"/>
      <w:pPr>
        <w:ind w:left="8980" w:hanging="360"/>
      </w:pPr>
      <w:rPr>
        <w:rFonts w:hint="default"/>
        <w:lang w:val="en-US" w:eastAsia="en-US" w:bidi="ar-SA"/>
      </w:rPr>
    </w:lvl>
  </w:abstractNum>
  <w:abstractNum w:abstractNumId="1" w15:restartNumberingAfterBreak="0">
    <w:nsid w:val="14077DD7"/>
    <w:multiLevelType w:val="hybridMultilevel"/>
    <w:tmpl w:val="D6E0F158"/>
    <w:lvl w:ilvl="0" w:tplc="63C4E366">
      <w:start w:val="1"/>
      <w:numFmt w:val="decimal"/>
      <w:lvlText w:val="%1."/>
      <w:lvlJc w:val="left"/>
      <w:pPr>
        <w:ind w:left="485" w:hanging="362"/>
      </w:pPr>
      <w:rPr>
        <w:rFonts w:ascii="Times New Roman" w:eastAsia="Times New Roman" w:hAnsi="Times New Roman" w:cs="Times New Roman" w:hint="default"/>
        <w:w w:val="99"/>
        <w:sz w:val="20"/>
        <w:szCs w:val="20"/>
        <w:lang w:val="en-US" w:eastAsia="en-US" w:bidi="ar-SA"/>
      </w:rPr>
    </w:lvl>
    <w:lvl w:ilvl="1" w:tplc="500661A2">
      <w:numFmt w:val="bullet"/>
      <w:lvlText w:val="•"/>
      <w:lvlJc w:val="left"/>
      <w:pPr>
        <w:ind w:left="948" w:hanging="362"/>
      </w:pPr>
      <w:rPr>
        <w:rFonts w:hint="default"/>
        <w:lang w:val="en-US" w:eastAsia="en-US" w:bidi="ar-SA"/>
      </w:rPr>
    </w:lvl>
    <w:lvl w:ilvl="2" w:tplc="D9B8F080">
      <w:numFmt w:val="bullet"/>
      <w:lvlText w:val="•"/>
      <w:lvlJc w:val="left"/>
      <w:pPr>
        <w:ind w:left="1417" w:hanging="362"/>
      </w:pPr>
      <w:rPr>
        <w:rFonts w:hint="default"/>
        <w:lang w:val="en-US" w:eastAsia="en-US" w:bidi="ar-SA"/>
      </w:rPr>
    </w:lvl>
    <w:lvl w:ilvl="3" w:tplc="066EF02A">
      <w:numFmt w:val="bullet"/>
      <w:lvlText w:val="•"/>
      <w:lvlJc w:val="left"/>
      <w:pPr>
        <w:ind w:left="1886" w:hanging="362"/>
      </w:pPr>
      <w:rPr>
        <w:rFonts w:hint="default"/>
        <w:lang w:val="en-US" w:eastAsia="en-US" w:bidi="ar-SA"/>
      </w:rPr>
    </w:lvl>
    <w:lvl w:ilvl="4" w:tplc="378A312C">
      <w:numFmt w:val="bullet"/>
      <w:lvlText w:val="•"/>
      <w:lvlJc w:val="left"/>
      <w:pPr>
        <w:ind w:left="2354" w:hanging="362"/>
      </w:pPr>
      <w:rPr>
        <w:rFonts w:hint="default"/>
        <w:lang w:val="en-US" w:eastAsia="en-US" w:bidi="ar-SA"/>
      </w:rPr>
    </w:lvl>
    <w:lvl w:ilvl="5" w:tplc="AF6E8B5A">
      <w:numFmt w:val="bullet"/>
      <w:lvlText w:val="•"/>
      <w:lvlJc w:val="left"/>
      <w:pPr>
        <w:ind w:left="2823" w:hanging="362"/>
      </w:pPr>
      <w:rPr>
        <w:rFonts w:hint="default"/>
        <w:lang w:val="en-US" w:eastAsia="en-US" w:bidi="ar-SA"/>
      </w:rPr>
    </w:lvl>
    <w:lvl w:ilvl="6" w:tplc="8B28DF92">
      <w:numFmt w:val="bullet"/>
      <w:lvlText w:val="•"/>
      <w:lvlJc w:val="left"/>
      <w:pPr>
        <w:ind w:left="3292" w:hanging="362"/>
      </w:pPr>
      <w:rPr>
        <w:rFonts w:hint="default"/>
        <w:lang w:val="en-US" w:eastAsia="en-US" w:bidi="ar-SA"/>
      </w:rPr>
    </w:lvl>
    <w:lvl w:ilvl="7" w:tplc="6BD688D6">
      <w:numFmt w:val="bullet"/>
      <w:lvlText w:val="•"/>
      <w:lvlJc w:val="left"/>
      <w:pPr>
        <w:ind w:left="3761" w:hanging="362"/>
      </w:pPr>
      <w:rPr>
        <w:rFonts w:hint="default"/>
        <w:lang w:val="en-US" w:eastAsia="en-US" w:bidi="ar-SA"/>
      </w:rPr>
    </w:lvl>
    <w:lvl w:ilvl="8" w:tplc="ED4AB82A">
      <w:numFmt w:val="bullet"/>
      <w:lvlText w:val="•"/>
      <w:lvlJc w:val="left"/>
      <w:pPr>
        <w:ind w:left="4229" w:hanging="362"/>
      </w:pPr>
      <w:rPr>
        <w:rFonts w:hint="default"/>
        <w:lang w:val="en-US" w:eastAsia="en-US" w:bidi="ar-SA"/>
      </w:rPr>
    </w:lvl>
  </w:abstractNum>
  <w:abstractNum w:abstractNumId="2" w15:restartNumberingAfterBreak="0">
    <w:nsid w:val="3F03159C"/>
    <w:multiLevelType w:val="hybridMultilevel"/>
    <w:tmpl w:val="26F25D48"/>
    <w:lvl w:ilvl="0" w:tplc="F4EA5BFE">
      <w:start w:val="1"/>
      <w:numFmt w:val="decimal"/>
      <w:lvlText w:val="%1."/>
      <w:lvlJc w:val="left"/>
      <w:pPr>
        <w:ind w:left="820" w:hanging="360"/>
      </w:pPr>
      <w:rPr>
        <w:rFonts w:ascii="Times New Roman" w:eastAsia="Times New Roman" w:hAnsi="Times New Roman" w:cs="Times New Roman" w:hint="default"/>
        <w:w w:val="100"/>
        <w:sz w:val="20"/>
        <w:szCs w:val="20"/>
        <w:lang w:val="en-US" w:eastAsia="en-US" w:bidi="ar-SA"/>
      </w:rPr>
    </w:lvl>
    <w:lvl w:ilvl="1" w:tplc="958EEC66">
      <w:numFmt w:val="bullet"/>
      <w:lvlText w:val="•"/>
      <w:lvlJc w:val="left"/>
      <w:pPr>
        <w:ind w:left="1840" w:hanging="360"/>
      </w:pPr>
      <w:rPr>
        <w:rFonts w:hint="default"/>
        <w:lang w:val="en-US" w:eastAsia="en-US" w:bidi="ar-SA"/>
      </w:rPr>
    </w:lvl>
    <w:lvl w:ilvl="2" w:tplc="8CB6B292">
      <w:numFmt w:val="bullet"/>
      <w:lvlText w:val="•"/>
      <w:lvlJc w:val="left"/>
      <w:pPr>
        <w:ind w:left="2860" w:hanging="360"/>
      </w:pPr>
      <w:rPr>
        <w:rFonts w:hint="default"/>
        <w:lang w:val="en-US" w:eastAsia="en-US" w:bidi="ar-SA"/>
      </w:rPr>
    </w:lvl>
    <w:lvl w:ilvl="3" w:tplc="07604270">
      <w:numFmt w:val="bullet"/>
      <w:lvlText w:val="•"/>
      <w:lvlJc w:val="left"/>
      <w:pPr>
        <w:ind w:left="3880" w:hanging="360"/>
      </w:pPr>
      <w:rPr>
        <w:rFonts w:hint="default"/>
        <w:lang w:val="en-US" w:eastAsia="en-US" w:bidi="ar-SA"/>
      </w:rPr>
    </w:lvl>
    <w:lvl w:ilvl="4" w:tplc="1400A7BE">
      <w:numFmt w:val="bullet"/>
      <w:lvlText w:val="•"/>
      <w:lvlJc w:val="left"/>
      <w:pPr>
        <w:ind w:left="4900" w:hanging="360"/>
      </w:pPr>
      <w:rPr>
        <w:rFonts w:hint="default"/>
        <w:lang w:val="en-US" w:eastAsia="en-US" w:bidi="ar-SA"/>
      </w:rPr>
    </w:lvl>
    <w:lvl w:ilvl="5" w:tplc="98FC794E">
      <w:numFmt w:val="bullet"/>
      <w:lvlText w:val="•"/>
      <w:lvlJc w:val="left"/>
      <w:pPr>
        <w:ind w:left="5920" w:hanging="360"/>
      </w:pPr>
      <w:rPr>
        <w:rFonts w:hint="default"/>
        <w:lang w:val="en-US" w:eastAsia="en-US" w:bidi="ar-SA"/>
      </w:rPr>
    </w:lvl>
    <w:lvl w:ilvl="6" w:tplc="3CAE2FE0">
      <w:numFmt w:val="bullet"/>
      <w:lvlText w:val="•"/>
      <w:lvlJc w:val="left"/>
      <w:pPr>
        <w:ind w:left="6940" w:hanging="360"/>
      </w:pPr>
      <w:rPr>
        <w:rFonts w:hint="default"/>
        <w:lang w:val="en-US" w:eastAsia="en-US" w:bidi="ar-SA"/>
      </w:rPr>
    </w:lvl>
    <w:lvl w:ilvl="7" w:tplc="218ED15A">
      <w:numFmt w:val="bullet"/>
      <w:lvlText w:val="•"/>
      <w:lvlJc w:val="left"/>
      <w:pPr>
        <w:ind w:left="7960" w:hanging="360"/>
      </w:pPr>
      <w:rPr>
        <w:rFonts w:hint="default"/>
        <w:lang w:val="en-US" w:eastAsia="en-US" w:bidi="ar-SA"/>
      </w:rPr>
    </w:lvl>
    <w:lvl w:ilvl="8" w:tplc="20E67372">
      <w:numFmt w:val="bullet"/>
      <w:lvlText w:val="•"/>
      <w:lvlJc w:val="left"/>
      <w:pPr>
        <w:ind w:left="8980" w:hanging="360"/>
      </w:pPr>
      <w:rPr>
        <w:rFonts w:hint="default"/>
        <w:lang w:val="en-US" w:eastAsia="en-US" w:bidi="ar-SA"/>
      </w:rPr>
    </w:lvl>
  </w:abstractNum>
  <w:abstractNum w:abstractNumId="3" w15:restartNumberingAfterBreak="0">
    <w:nsid w:val="475707E8"/>
    <w:multiLevelType w:val="hybridMultilevel"/>
    <w:tmpl w:val="1E38CB90"/>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15:restartNumberingAfterBreak="0">
    <w:nsid w:val="4A4217D8"/>
    <w:multiLevelType w:val="multilevel"/>
    <w:tmpl w:val="BC24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7A0"/>
    <w:rsid w:val="00002D80"/>
    <w:rsid w:val="00011303"/>
    <w:rsid w:val="00033A1F"/>
    <w:rsid w:val="000373F2"/>
    <w:rsid w:val="00095F36"/>
    <w:rsid w:val="000961F2"/>
    <w:rsid w:val="000A2B55"/>
    <w:rsid w:val="000C14AE"/>
    <w:rsid w:val="000F43F4"/>
    <w:rsid w:val="00102E74"/>
    <w:rsid w:val="00131F13"/>
    <w:rsid w:val="00134028"/>
    <w:rsid w:val="00140643"/>
    <w:rsid w:val="001440A7"/>
    <w:rsid w:val="00160891"/>
    <w:rsid w:val="00166EFD"/>
    <w:rsid w:val="00174DA0"/>
    <w:rsid w:val="00177951"/>
    <w:rsid w:val="001906F7"/>
    <w:rsid w:val="001C6568"/>
    <w:rsid w:val="001E4C00"/>
    <w:rsid w:val="001F09C3"/>
    <w:rsid w:val="001F3CF7"/>
    <w:rsid w:val="0020323C"/>
    <w:rsid w:val="00213F3B"/>
    <w:rsid w:val="0022267C"/>
    <w:rsid w:val="00231C19"/>
    <w:rsid w:val="002552B9"/>
    <w:rsid w:val="002616B0"/>
    <w:rsid w:val="0026639E"/>
    <w:rsid w:val="002907EC"/>
    <w:rsid w:val="002A510F"/>
    <w:rsid w:val="002B0D94"/>
    <w:rsid w:val="002C631E"/>
    <w:rsid w:val="002D5E14"/>
    <w:rsid w:val="0030100A"/>
    <w:rsid w:val="00313DEB"/>
    <w:rsid w:val="003257A6"/>
    <w:rsid w:val="00365656"/>
    <w:rsid w:val="00395E62"/>
    <w:rsid w:val="003A74B0"/>
    <w:rsid w:val="003B4940"/>
    <w:rsid w:val="003C4597"/>
    <w:rsid w:val="003D09EF"/>
    <w:rsid w:val="003D7CB6"/>
    <w:rsid w:val="003E27C7"/>
    <w:rsid w:val="003E7CE1"/>
    <w:rsid w:val="004028F1"/>
    <w:rsid w:val="0042137A"/>
    <w:rsid w:val="0043418F"/>
    <w:rsid w:val="004904F4"/>
    <w:rsid w:val="004A4ADE"/>
    <w:rsid w:val="004C4851"/>
    <w:rsid w:val="004F289B"/>
    <w:rsid w:val="004F6A40"/>
    <w:rsid w:val="00540738"/>
    <w:rsid w:val="005472A7"/>
    <w:rsid w:val="005514ED"/>
    <w:rsid w:val="00552C0F"/>
    <w:rsid w:val="005600D9"/>
    <w:rsid w:val="00561686"/>
    <w:rsid w:val="00566C0B"/>
    <w:rsid w:val="00575AF1"/>
    <w:rsid w:val="0059253C"/>
    <w:rsid w:val="005C748A"/>
    <w:rsid w:val="005D0DD3"/>
    <w:rsid w:val="005D213E"/>
    <w:rsid w:val="005F5B77"/>
    <w:rsid w:val="006030E6"/>
    <w:rsid w:val="00631223"/>
    <w:rsid w:val="006964C0"/>
    <w:rsid w:val="006E2702"/>
    <w:rsid w:val="006F0235"/>
    <w:rsid w:val="0070214D"/>
    <w:rsid w:val="00716E9E"/>
    <w:rsid w:val="007330AB"/>
    <w:rsid w:val="00745350"/>
    <w:rsid w:val="00746286"/>
    <w:rsid w:val="00761FE8"/>
    <w:rsid w:val="0077104D"/>
    <w:rsid w:val="00773B59"/>
    <w:rsid w:val="00774FFD"/>
    <w:rsid w:val="007B0AE4"/>
    <w:rsid w:val="007E0E97"/>
    <w:rsid w:val="00803F8B"/>
    <w:rsid w:val="00814424"/>
    <w:rsid w:val="00816E9C"/>
    <w:rsid w:val="00822F77"/>
    <w:rsid w:val="008478A5"/>
    <w:rsid w:val="008534F1"/>
    <w:rsid w:val="008615A4"/>
    <w:rsid w:val="0086606F"/>
    <w:rsid w:val="008C65E2"/>
    <w:rsid w:val="008E0766"/>
    <w:rsid w:val="008F405A"/>
    <w:rsid w:val="0090402E"/>
    <w:rsid w:val="00905143"/>
    <w:rsid w:val="009207A0"/>
    <w:rsid w:val="00933256"/>
    <w:rsid w:val="00956158"/>
    <w:rsid w:val="0095653F"/>
    <w:rsid w:val="00997437"/>
    <w:rsid w:val="009C782F"/>
    <w:rsid w:val="009E6602"/>
    <w:rsid w:val="009F0679"/>
    <w:rsid w:val="009F45D5"/>
    <w:rsid w:val="00A22086"/>
    <w:rsid w:val="00A375BC"/>
    <w:rsid w:val="00A4077C"/>
    <w:rsid w:val="00A40AE5"/>
    <w:rsid w:val="00A41B12"/>
    <w:rsid w:val="00A6284E"/>
    <w:rsid w:val="00A724F0"/>
    <w:rsid w:val="00A7296D"/>
    <w:rsid w:val="00A7504B"/>
    <w:rsid w:val="00AA0E0C"/>
    <w:rsid w:val="00AB733C"/>
    <w:rsid w:val="00AC0B44"/>
    <w:rsid w:val="00AC62C2"/>
    <w:rsid w:val="00AD3EA0"/>
    <w:rsid w:val="00AE1C65"/>
    <w:rsid w:val="00AE6B4C"/>
    <w:rsid w:val="00AF1A51"/>
    <w:rsid w:val="00BD4EBD"/>
    <w:rsid w:val="00BE381B"/>
    <w:rsid w:val="00C43326"/>
    <w:rsid w:val="00C51C2F"/>
    <w:rsid w:val="00C70275"/>
    <w:rsid w:val="00C708B3"/>
    <w:rsid w:val="00CC1CA2"/>
    <w:rsid w:val="00CC3810"/>
    <w:rsid w:val="00CC3EC2"/>
    <w:rsid w:val="00CD777C"/>
    <w:rsid w:val="00CE5B1C"/>
    <w:rsid w:val="00D135B1"/>
    <w:rsid w:val="00D174D1"/>
    <w:rsid w:val="00D36297"/>
    <w:rsid w:val="00D536EC"/>
    <w:rsid w:val="00D53CCF"/>
    <w:rsid w:val="00D6194C"/>
    <w:rsid w:val="00D71040"/>
    <w:rsid w:val="00DA428A"/>
    <w:rsid w:val="00DD6B8A"/>
    <w:rsid w:val="00DE7A8E"/>
    <w:rsid w:val="00DE7F38"/>
    <w:rsid w:val="00DF2DD0"/>
    <w:rsid w:val="00E232E6"/>
    <w:rsid w:val="00E31E5A"/>
    <w:rsid w:val="00E343E1"/>
    <w:rsid w:val="00E36FA6"/>
    <w:rsid w:val="00E45C5A"/>
    <w:rsid w:val="00E54712"/>
    <w:rsid w:val="00E62E3D"/>
    <w:rsid w:val="00E70DF1"/>
    <w:rsid w:val="00E84F72"/>
    <w:rsid w:val="00EB06A2"/>
    <w:rsid w:val="00EF7FE3"/>
    <w:rsid w:val="00F05037"/>
    <w:rsid w:val="00F43477"/>
    <w:rsid w:val="00F57C9F"/>
    <w:rsid w:val="00F6286F"/>
    <w:rsid w:val="00F63470"/>
    <w:rsid w:val="00F71274"/>
    <w:rsid w:val="00F74B7D"/>
    <w:rsid w:val="00FA1275"/>
    <w:rsid w:val="00FC6657"/>
    <w:rsid w:val="00FD507E"/>
    <w:rsid w:val="00FF4FE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C82115"/>
  <w15:chartTrackingRefBased/>
  <w15:docId w15:val="{2D83FF3C-2C7E-42DA-AAC3-03E99CCE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8A5"/>
    <w:pPr>
      <w:spacing w:after="200" w:line="276" w:lineRule="auto"/>
    </w:pPr>
    <w:rPr>
      <w:sz w:val="22"/>
      <w:szCs w:val="22"/>
      <w:lang w:val="en-US" w:eastAsia="en-US"/>
    </w:rPr>
  </w:style>
  <w:style w:type="paragraph" w:styleId="Heading1">
    <w:name w:val="heading 1"/>
    <w:basedOn w:val="Normal"/>
    <w:link w:val="Heading1Char"/>
    <w:uiPriority w:val="9"/>
    <w:qFormat/>
    <w:rsid w:val="003E7CE1"/>
    <w:pPr>
      <w:widowControl w:val="0"/>
      <w:autoSpaceDE w:val="0"/>
      <w:autoSpaceDN w:val="0"/>
      <w:spacing w:after="0" w:line="240" w:lineRule="auto"/>
      <w:ind w:left="300"/>
      <w:outlineLvl w:val="0"/>
    </w:pPr>
    <w:rPr>
      <w:rFonts w:ascii="Times New Roman" w:hAnsi="Times New Roman"/>
      <w:b/>
      <w:bCs/>
      <w:sz w:val="24"/>
      <w:szCs w:val="24"/>
      <w:lang w:val="x-none" w:eastAsia="x-none"/>
    </w:rPr>
  </w:style>
  <w:style w:type="paragraph" w:styleId="Heading2">
    <w:name w:val="heading 2"/>
    <w:basedOn w:val="Normal"/>
    <w:next w:val="Normal"/>
    <w:link w:val="Heading2Char"/>
    <w:uiPriority w:val="9"/>
    <w:semiHidden/>
    <w:unhideWhenUsed/>
    <w:qFormat/>
    <w:rsid w:val="005D213E"/>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70214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207A0"/>
    <w:pPr>
      <w:widowControl w:val="0"/>
      <w:autoSpaceDE w:val="0"/>
      <w:autoSpaceDN w:val="0"/>
      <w:spacing w:after="0" w:line="268" w:lineRule="exact"/>
      <w:ind w:left="107"/>
    </w:pPr>
    <w:rPr>
      <w:rFonts w:ascii="Times New Roman" w:hAnsi="Times New Roman"/>
    </w:rPr>
  </w:style>
  <w:style w:type="paragraph" w:styleId="Title">
    <w:name w:val="Title"/>
    <w:basedOn w:val="Normal"/>
    <w:link w:val="TitleChar"/>
    <w:uiPriority w:val="10"/>
    <w:qFormat/>
    <w:rsid w:val="009207A0"/>
    <w:pPr>
      <w:widowControl w:val="0"/>
      <w:autoSpaceDE w:val="0"/>
      <w:autoSpaceDN w:val="0"/>
      <w:spacing w:before="79" w:after="0" w:line="240" w:lineRule="auto"/>
      <w:ind w:left="300"/>
    </w:pPr>
    <w:rPr>
      <w:rFonts w:ascii="Times New Roman" w:hAnsi="Times New Roman"/>
      <w:b/>
      <w:bCs/>
      <w:sz w:val="26"/>
      <w:szCs w:val="26"/>
      <w:lang w:val="x-none" w:eastAsia="x-none"/>
    </w:rPr>
  </w:style>
  <w:style w:type="character" w:customStyle="1" w:styleId="TitleChar">
    <w:name w:val="Title Char"/>
    <w:link w:val="Title"/>
    <w:uiPriority w:val="10"/>
    <w:rsid w:val="009207A0"/>
    <w:rPr>
      <w:rFonts w:ascii="Times New Roman" w:eastAsia="Times New Roman" w:hAnsi="Times New Roman" w:cs="Times New Roman"/>
      <w:b/>
      <w:bCs/>
      <w:sz w:val="26"/>
      <w:szCs w:val="26"/>
    </w:rPr>
  </w:style>
  <w:style w:type="paragraph" w:styleId="ListParagraph">
    <w:name w:val="List Paragraph"/>
    <w:basedOn w:val="Normal"/>
    <w:uiPriority w:val="1"/>
    <w:qFormat/>
    <w:rsid w:val="0043418F"/>
    <w:pPr>
      <w:widowControl w:val="0"/>
      <w:autoSpaceDE w:val="0"/>
      <w:autoSpaceDN w:val="0"/>
      <w:spacing w:after="0" w:line="240" w:lineRule="auto"/>
      <w:ind w:left="604" w:hanging="504"/>
    </w:pPr>
    <w:rPr>
      <w:rFonts w:ascii="Times New Roman" w:hAnsi="Times New Roman"/>
    </w:rPr>
  </w:style>
  <w:style w:type="character" w:customStyle="1" w:styleId="Heading1Char">
    <w:name w:val="Heading 1 Char"/>
    <w:link w:val="Heading1"/>
    <w:uiPriority w:val="9"/>
    <w:rsid w:val="003E7CE1"/>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3E7CE1"/>
    <w:pPr>
      <w:widowControl w:val="0"/>
      <w:autoSpaceDE w:val="0"/>
      <w:autoSpaceDN w:val="0"/>
      <w:spacing w:after="0" w:line="240" w:lineRule="auto"/>
    </w:pPr>
    <w:rPr>
      <w:rFonts w:ascii="Times New Roman" w:hAnsi="Times New Roman"/>
      <w:sz w:val="24"/>
      <w:szCs w:val="24"/>
      <w:lang w:val="x-none" w:eastAsia="x-none"/>
    </w:rPr>
  </w:style>
  <w:style w:type="character" w:customStyle="1" w:styleId="BodyTextChar">
    <w:name w:val="Body Text Char"/>
    <w:link w:val="BodyText"/>
    <w:uiPriority w:val="1"/>
    <w:rsid w:val="003E7CE1"/>
    <w:rPr>
      <w:rFonts w:ascii="Times New Roman" w:eastAsia="Times New Roman" w:hAnsi="Times New Roman" w:cs="Times New Roman"/>
      <w:sz w:val="24"/>
      <w:szCs w:val="24"/>
    </w:rPr>
  </w:style>
  <w:style w:type="paragraph" w:customStyle="1" w:styleId="Default">
    <w:name w:val="Default"/>
    <w:rsid w:val="00997437"/>
    <w:pPr>
      <w:autoSpaceDE w:val="0"/>
      <w:autoSpaceDN w:val="0"/>
      <w:adjustRightInd w:val="0"/>
    </w:pPr>
    <w:rPr>
      <w:rFonts w:ascii="Times New Roman" w:eastAsia="Calibri" w:hAnsi="Times New Roman"/>
      <w:color w:val="000000"/>
      <w:sz w:val="24"/>
      <w:szCs w:val="24"/>
      <w:lang w:val="en-US" w:eastAsia="en-US"/>
    </w:rPr>
  </w:style>
  <w:style w:type="paragraph" w:styleId="Header">
    <w:name w:val="header"/>
    <w:basedOn w:val="Normal"/>
    <w:link w:val="HeaderChar"/>
    <w:uiPriority w:val="99"/>
    <w:unhideWhenUsed/>
    <w:rsid w:val="00190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6F7"/>
  </w:style>
  <w:style w:type="paragraph" w:styleId="Footer">
    <w:name w:val="footer"/>
    <w:basedOn w:val="Normal"/>
    <w:link w:val="FooterChar"/>
    <w:uiPriority w:val="99"/>
    <w:unhideWhenUsed/>
    <w:rsid w:val="00190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6F7"/>
  </w:style>
  <w:style w:type="paragraph" w:styleId="NoSpacing">
    <w:name w:val="No Spacing"/>
    <w:uiPriority w:val="1"/>
    <w:qFormat/>
    <w:rsid w:val="00177951"/>
    <w:rPr>
      <w:sz w:val="22"/>
      <w:szCs w:val="22"/>
      <w:lang w:val="en-US" w:eastAsia="en-US"/>
    </w:rPr>
  </w:style>
  <w:style w:type="table" w:styleId="TableGrid">
    <w:name w:val="Table Grid"/>
    <w:basedOn w:val="TableNormal"/>
    <w:uiPriority w:val="39"/>
    <w:rsid w:val="005C748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DF2DD0"/>
    <w:pPr>
      <w:spacing w:before="100" w:beforeAutospacing="1" w:after="100" w:afterAutospacing="1" w:line="240" w:lineRule="auto"/>
    </w:pPr>
    <w:rPr>
      <w:rFonts w:ascii="Times New Roman" w:hAnsi="Times New Roman"/>
      <w:sz w:val="24"/>
      <w:szCs w:val="24"/>
      <w:lang w:val="en-IN" w:eastAsia="en-IN"/>
    </w:rPr>
  </w:style>
  <w:style w:type="character" w:styleId="Strong">
    <w:name w:val="Strong"/>
    <w:uiPriority w:val="22"/>
    <w:qFormat/>
    <w:rsid w:val="00DF2DD0"/>
    <w:rPr>
      <w:b/>
      <w:bCs/>
    </w:rPr>
  </w:style>
  <w:style w:type="character" w:styleId="Emphasis">
    <w:name w:val="Emphasis"/>
    <w:uiPriority w:val="20"/>
    <w:qFormat/>
    <w:rsid w:val="00DF2DD0"/>
    <w:rPr>
      <w:i/>
      <w:iCs/>
    </w:rPr>
  </w:style>
  <w:style w:type="character" w:customStyle="1" w:styleId="Heading3Char">
    <w:name w:val="Heading 3 Char"/>
    <w:link w:val="Heading3"/>
    <w:uiPriority w:val="9"/>
    <w:semiHidden/>
    <w:rsid w:val="0070214D"/>
    <w:rPr>
      <w:rFonts w:ascii="Calibri Light" w:eastAsia="Times New Roman" w:hAnsi="Calibri Light" w:cs="Times New Roman"/>
      <w:b/>
      <w:bCs/>
      <w:sz w:val="26"/>
      <w:szCs w:val="26"/>
      <w:lang w:val="en-US" w:eastAsia="en-US"/>
    </w:rPr>
  </w:style>
  <w:style w:type="table" w:customStyle="1" w:styleId="TableGrid1">
    <w:name w:val="Table Grid1"/>
    <w:basedOn w:val="TableNormal"/>
    <w:next w:val="TableGrid"/>
    <w:uiPriority w:val="39"/>
    <w:rsid w:val="005D213E"/>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uiPriority w:val="9"/>
    <w:semiHidden/>
    <w:rsid w:val="005D213E"/>
    <w:rPr>
      <w:rFonts w:ascii="Calibri Light" w:eastAsia="Times New Roman" w:hAnsi="Calibri Light" w:cs="Times New Roman"/>
      <w:b/>
      <w:bCs/>
      <w:i/>
      <w:iCs/>
      <w:sz w:val="28"/>
      <w:szCs w:val="28"/>
      <w:lang w:val="en-US" w:eastAsia="en-US"/>
    </w:rPr>
  </w:style>
  <w:style w:type="character" w:styleId="Hyperlink">
    <w:name w:val="Hyperlink"/>
    <w:basedOn w:val="DefaultParagraphFont"/>
    <w:uiPriority w:val="99"/>
    <w:unhideWhenUsed/>
    <w:rsid w:val="00AA0E0C"/>
    <w:rPr>
      <w:color w:val="0000FF"/>
      <w:u w:val="single"/>
    </w:rPr>
  </w:style>
  <w:style w:type="character" w:styleId="UnresolvedMention">
    <w:name w:val="Unresolved Mention"/>
    <w:basedOn w:val="DefaultParagraphFont"/>
    <w:uiPriority w:val="99"/>
    <w:semiHidden/>
    <w:unhideWhenUsed/>
    <w:rsid w:val="00325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11837">
      <w:bodyDiv w:val="1"/>
      <w:marLeft w:val="0"/>
      <w:marRight w:val="0"/>
      <w:marTop w:val="0"/>
      <w:marBottom w:val="0"/>
      <w:divBdr>
        <w:top w:val="none" w:sz="0" w:space="0" w:color="auto"/>
        <w:left w:val="none" w:sz="0" w:space="0" w:color="auto"/>
        <w:bottom w:val="none" w:sz="0" w:space="0" w:color="auto"/>
        <w:right w:val="none" w:sz="0" w:space="0" w:color="auto"/>
      </w:divBdr>
    </w:div>
    <w:div w:id="114907866">
      <w:bodyDiv w:val="1"/>
      <w:marLeft w:val="0"/>
      <w:marRight w:val="0"/>
      <w:marTop w:val="0"/>
      <w:marBottom w:val="0"/>
      <w:divBdr>
        <w:top w:val="none" w:sz="0" w:space="0" w:color="auto"/>
        <w:left w:val="none" w:sz="0" w:space="0" w:color="auto"/>
        <w:bottom w:val="none" w:sz="0" w:space="0" w:color="auto"/>
        <w:right w:val="none" w:sz="0" w:space="0" w:color="auto"/>
      </w:divBdr>
    </w:div>
    <w:div w:id="183371567">
      <w:bodyDiv w:val="1"/>
      <w:marLeft w:val="0"/>
      <w:marRight w:val="0"/>
      <w:marTop w:val="0"/>
      <w:marBottom w:val="0"/>
      <w:divBdr>
        <w:top w:val="none" w:sz="0" w:space="0" w:color="auto"/>
        <w:left w:val="none" w:sz="0" w:space="0" w:color="auto"/>
        <w:bottom w:val="none" w:sz="0" w:space="0" w:color="auto"/>
        <w:right w:val="none" w:sz="0" w:space="0" w:color="auto"/>
      </w:divBdr>
    </w:div>
    <w:div w:id="280843081">
      <w:bodyDiv w:val="1"/>
      <w:marLeft w:val="0"/>
      <w:marRight w:val="0"/>
      <w:marTop w:val="0"/>
      <w:marBottom w:val="0"/>
      <w:divBdr>
        <w:top w:val="none" w:sz="0" w:space="0" w:color="auto"/>
        <w:left w:val="none" w:sz="0" w:space="0" w:color="auto"/>
        <w:bottom w:val="none" w:sz="0" w:space="0" w:color="auto"/>
        <w:right w:val="none" w:sz="0" w:space="0" w:color="auto"/>
      </w:divBdr>
      <w:divsChild>
        <w:div w:id="12539317">
          <w:marLeft w:val="0"/>
          <w:marRight w:val="0"/>
          <w:marTop w:val="0"/>
          <w:marBottom w:val="0"/>
          <w:divBdr>
            <w:top w:val="none" w:sz="0" w:space="0" w:color="auto"/>
            <w:left w:val="none" w:sz="0" w:space="0" w:color="auto"/>
            <w:bottom w:val="none" w:sz="0" w:space="0" w:color="auto"/>
            <w:right w:val="none" w:sz="0" w:space="0" w:color="auto"/>
          </w:divBdr>
        </w:div>
      </w:divsChild>
    </w:div>
    <w:div w:id="468788928">
      <w:bodyDiv w:val="1"/>
      <w:marLeft w:val="0"/>
      <w:marRight w:val="0"/>
      <w:marTop w:val="0"/>
      <w:marBottom w:val="0"/>
      <w:divBdr>
        <w:top w:val="none" w:sz="0" w:space="0" w:color="auto"/>
        <w:left w:val="none" w:sz="0" w:space="0" w:color="auto"/>
        <w:bottom w:val="none" w:sz="0" w:space="0" w:color="auto"/>
        <w:right w:val="none" w:sz="0" w:space="0" w:color="auto"/>
      </w:divBdr>
    </w:div>
    <w:div w:id="632759505">
      <w:bodyDiv w:val="1"/>
      <w:marLeft w:val="0"/>
      <w:marRight w:val="0"/>
      <w:marTop w:val="0"/>
      <w:marBottom w:val="0"/>
      <w:divBdr>
        <w:top w:val="none" w:sz="0" w:space="0" w:color="auto"/>
        <w:left w:val="none" w:sz="0" w:space="0" w:color="auto"/>
        <w:bottom w:val="none" w:sz="0" w:space="0" w:color="auto"/>
        <w:right w:val="none" w:sz="0" w:space="0" w:color="auto"/>
      </w:divBdr>
    </w:div>
    <w:div w:id="907108455">
      <w:bodyDiv w:val="1"/>
      <w:marLeft w:val="0"/>
      <w:marRight w:val="0"/>
      <w:marTop w:val="0"/>
      <w:marBottom w:val="0"/>
      <w:divBdr>
        <w:top w:val="none" w:sz="0" w:space="0" w:color="auto"/>
        <w:left w:val="none" w:sz="0" w:space="0" w:color="auto"/>
        <w:bottom w:val="none" w:sz="0" w:space="0" w:color="auto"/>
        <w:right w:val="none" w:sz="0" w:space="0" w:color="auto"/>
      </w:divBdr>
    </w:div>
    <w:div w:id="1063791052">
      <w:bodyDiv w:val="1"/>
      <w:marLeft w:val="0"/>
      <w:marRight w:val="0"/>
      <w:marTop w:val="0"/>
      <w:marBottom w:val="0"/>
      <w:divBdr>
        <w:top w:val="none" w:sz="0" w:space="0" w:color="auto"/>
        <w:left w:val="none" w:sz="0" w:space="0" w:color="auto"/>
        <w:bottom w:val="none" w:sz="0" w:space="0" w:color="auto"/>
        <w:right w:val="none" w:sz="0" w:space="0" w:color="auto"/>
      </w:divBdr>
    </w:div>
    <w:div w:id="1069689929">
      <w:bodyDiv w:val="1"/>
      <w:marLeft w:val="0"/>
      <w:marRight w:val="0"/>
      <w:marTop w:val="0"/>
      <w:marBottom w:val="0"/>
      <w:divBdr>
        <w:top w:val="none" w:sz="0" w:space="0" w:color="auto"/>
        <w:left w:val="none" w:sz="0" w:space="0" w:color="auto"/>
        <w:bottom w:val="none" w:sz="0" w:space="0" w:color="auto"/>
        <w:right w:val="none" w:sz="0" w:space="0" w:color="auto"/>
      </w:divBdr>
    </w:div>
    <w:div w:id="1132557218">
      <w:bodyDiv w:val="1"/>
      <w:marLeft w:val="0"/>
      <w:marRight w:val="0"/>
      <w:marTop w:val="0"/>
      <w:marBottom w:val="0"/>
      <w:divBdr>
        <w:top w:val="none" w:sz="0" w:space="0" w:color="auto"/>
        <w:left w:val="none" w:sz="0" w:space="0" w:color="auto"/>
        <w:bottom w:val="none" w:sz="0" w:space="0" w:color="auto"/>
        <w:right w:val="none" w:sz="0" w:space="0" w:color="auto"/>
      </w:divBdr>
      <w:divsChild>
        <w:div w:id="1101071282">
          <w:marLeft w:val="0"/>
          <w:marRight w:val="0"/>
          <w:marTop w:val="0"/>
          <w:marBottom w:val="0"/>
          <w:divBdr>
            <w:top w:val="none" w:sz="0" w:space="0" w:color="auto"/>
            <w:left w:val="none" w:sz="0" w:space="0" w:color="auto"/>
            <w:bottom w:val="none" w:sz="0" w:space="0" w:color="auto"/>
            <w:right w:val="none" w:sz="0" w:space="0" w:color="auto"/>
          </w:divBdr>
        </w:div>
      </w:divsChild>
    </w:div>
    <w:div w:id="1176074824">
      <w:bodyDiv w:val="1"/>
      <w:marLeft w:val="0"/>
      <w:marRight w:val="0"/>
      <w:marTop w:val="0"/>
      <w:marBottom w:val="0"/>
      <w:divBdr>
        <w:top w:val="none" w:sz="0" w:space="0" w:color="auto"/>
        <w:left w:val="none" w:sz="0" w:space="0" w:color="auto"/>
        <w:bottom w:val="none" w:sz="0" w:space="0" w:color="auto"/>
        <w:right w:val="none" w:sz="0" w:space="0" w:color="auto"/>
      </w:divBdr>
      <w:divsChild>
        <w:div w:id="1759328839">
          <w:marLeft w:val="0"/>
          <w:marRight w:val="0"/>
          <w:marTop w:val="0"/>
          <w:marBottom w:val="0"/>
          <w:divBdr>
            <w:top w:val="none" w:sz="0" w:space="0" w:color="auto"/>
            <w:left w:val="none" w:sz="0" w:space="0" w:color="auto"/>
            <w:bottom w:val="none" w:sz="0" w:space="0" w:color="auto"/>
            <w:right w:val="none" w:sz="0" w:space="0" w:color="auto"/>
          </w:divBdr>
        </w:div>
      </w:divsChild>
    </w:div>
    <w:div w:id="1333951184">
      <w:bodyDiv w:val="1"/>
      <w:marLeft w:val="0"/>
      <w:marRight w:val="0"/>
      <w:marTop w:val="0"/>
      <w:marBottom w:val="0"/>
      <w:divBdr>
        <w:top w:val="none" w:sz="0" w:space="0" w:color="auto"/>
        <w:left w:val="none" w:sz="0" w:space="0" w:color="auto"/>
        <w:bottom w:val="none" w:sz="0" w:space="0" w:color="auto"/>
        <w:right w:val="none" w:sz="0" w:space="0" w:color="auto"/>
      </w:divBdr>
    </w:div>
    <w:div w:id="1526020785">
      <w:bodyDiv w:val="1"/>
      <w:marLeft w:val="0"/>
      <w:marRight w:val="0"/>
      <w:marTop w:val="0"/>
      <w:marBottom w:val="0"/>
      <w:divBdr>
        <w:top w:val="none" w:sz="0" w:space="0" w:color="auto"/>
        <w:left w:val="none" w:sz="0" w:space="0" w:color="auto"/>
        <w:bottom w:val="none" w:sz="0" w:space="0" w:color="auto"/>
        <w:right w:val="none" w:sz="0" w:space="0" w:color="auto"/>
      </w:divBdr>
    </w:div>
    <w:div w:id="1693871009">
      <w:bodyDiv w:val="1"/>
      <w:marLeft w:val="0"/>
      <w:marRight w:val="0"/>
      <w:marTop w:val="0"/>
      <w:marBottom w:val="0"/>
      <w:divBdr>
        <w:top w:val="none" w:sz="0" w:space="0" w:color="auto"/>
        <w:left w:val="none" w:sz="0" w:space="0" w:color="auto"/>
        <w:bottom w:val="none" w:sz="0" w:space="0" w:color="auto"/>
        <w:right w:val="none" w:sz="0" w:space="0" w:color="auto"/>
      </w:divBdr>
    </w:div>
    <w:div w:id="1710646212">
      <w:bodyDiv w:val="1"/>
      <w:marLeft w:val="0"/>
      <w:marRight w:val="0"/>
      <w:marTop w:val="0"/>
      <w:marBottom w:val="0"/>
      <w:divBdr>
        <w:top w:val="none" w:sz="0" w:space="0" w:color="auto"/>
        <w:left w:val="none" w:sz="0" w:space="0" w:color="auto"/>
        <w:bottom w:val="none" w:sz="0" w:space="0" w:color="auto"/>
        <w:right w:val="none" w:sz="0" w:space="0" w:color="auto"/>
      </w:divBdr>
    </w:div>
    <w:div w:id="1713845818">
      <w:bodyDiv w:val="1"/>
      <w:marLeft w:val="0"/>
      <w:marRight w:val="0"/>
      <w:marTop w:val="0"/>
      <w:marBottom w:val="0"/>
      <w:divBdr>
        <w:top w:val="none" w:sz="0" w:space="0" w:color="auto"/>
        <w:left w:val="none" w:sz="0" w:space="0" w:color="auto"/>
        <w:bottom w:val="none" w:sz="0" w:space="0" w:color="auto"/>
        <w:right w:val="none" w:sz="0" w:space="0" w:color="auto"/>
      </w:divBdr>
    </w:div>
    <w:div w:id="181660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gronomy13020550" TargetMode="External"/><Relationship Id="rId13" Type="http://schemas.openxmlformats.org/officeDocument/2006/relationships/hyperlink" Target="https://doi.org/10.1016/j.jafr.2024.101013"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89/fmicb.2024.138381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ijpss/2024/v36i7477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cirp.org/reference/referencespapers?referenceid=2253909"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pd.dacnet.nic.in/Publication.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7D015-477C-420E-8AAF-9ED6EB577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2588</Words>
  <Characters>14753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SDI 1084</cp:lastModifiedBy>
  <cp:revision>25</cp:revision>
  <dcterms:created xsi:type="dcterms:W3CDTF">2025-08-05T11:02:00Z</dcterms:created>
  <dcterms:modified xsi:type="dcterms:W3CDTF">2025-08-06T11:35:00Z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9cf79d3f-9579-491d-95c1-f200b74b0c8d</vt:lpwstr>
  </property>
</Properties>
</file>