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Title"/>
        <w:jc w:val="both"/>
        <w:rPr>
          <w:rFonts w:ascii="Arial" w:hAnsi="Arial" w:cs="Arial"/>
          <w:bCs/>
          <w:i/>
          <w:iCs/>
          <w:u w:val="single"/>
        </w:rPr>
      </w:pPr>
      <w:r>
        <w:rPr>
          <w:rFonts w:ascii="Arial" w:hAnsi="Arial" w:cs="Arial"/>
          <w:bCs/>
          <w:i/>
          <w:iCs/>
          <w:u w:val="single"/>
        </w:rPr>
        <w:t>Short Research Article</w:t>
      </w:r>
    </w:p>
    <w:p>
      <w:pPr>
        <w:pStyle w:val="Title"/>
        <w:spacing w:after="0"/>
        <w:jc w:val="both"/>
        <w:rPr>
          <w:rFonts w:ascii="Arial" w:hAnsi="Arial" w:cs="Arial"/>
        </w:rPr>
      </w:pPr>
    </w:p>
    <w:p>
      <w:pPr>
        <w:pStyle w:val="Author"/>
        <w:spacing w:line="240" w:lineRule="auto"/>
        <w:rPr>
          <w:rFonts w:ascii="Arial" w:hAnsi="Arial" w:cs="Arial"/>
          <w:bCs/>
          <w:iCs/>
          <w:kern w:val="28"/>
          <w:sz w:val="36"/>
          <w:lang w:val="en-GB"/>
        </w:rPr>
      </w:pPr>
      <w:r>
        <w:rPr>
          <w:rFonts w:ascii="Arial" w:hAnsi="Arial" w:cs="Arial"/>
          <w:bCs/>
          <w:iCs/>
          <w:kern w:val="28"/>
          <w:sz w:val="36"/>
          <w:lang w:val="en-GB"/>
        </w:rPr>
        <w:t>The effect of five grapevine rootstocks on fruit characteristics and must composition of the winegrape cultivar Assyrtiko (</w:t>
      </w:r>
      <w:r>
        <w:rPr>
          <w:rFonts w:ascii="Arial" w:hAnsi="Arial" w:cs="Arial"/>
          <w:bCs/>
          <w:i/>
          <w:iCs/>
          <w:kern w:val="28"/>
          <w:sz w:val="36"/>
          <w:lang w:val="en-GB"/>
        </w:rPr>
        <w:t>Vitis vinifera</w:t>
      </w:r>
      <w:r>
        <w:rPr>
          <w:rFonts w:ascii="Arial" w:hAnsi="Arial" w:cs="Arial"/>
          <w:bCs/>
          <w:iCs/>
          <w:kern w:val="28"/>
          <w:sz w:val="36"/>
          <w:lang w:val="en-GB"/>
        </w:rPr>
        <w:t xml:space="preserve"> L.)</w:t>
      </w:r>
    </w:p>
    <w:p>
      <w:pPr>
        <w:pStyle w:val="Author"/>
        <w:spacing w:line="240" w:lineRule="auto"/>
        <w:jc w:val="both"/>
        <w:rPr>
          <w:rFonts w:ascii="Arial" w:hAnsi="Arial" w:cs="Arial"/>
          <w:sz w:val="36"/>
          <w:lang w:val="en-GB"/>
        </w:rPr>
      </w:pPr>
    </w:p>
    <w:p>
      <w:pPr>
        <w:pStyle w:val="Affiliation"/>
        <w:spacing w:after="0" w:line="240" w:lineRule="auto"/>
        <w:jc w:val="both"/>
        <w:rPr>
          <w:rFonts w:ascii="Arial" w:hAnsi="Arial" w:cs="Arial"/>
        </w:rPr>
      </w:pPr>
    </w:p>
    <w:p>
      <w:pPr>
        <w:pStyle w:val="Affiliation"/>
        <w:spacing w:after="0" w:line="240" w:lineRule="auto"/>
        <w:jc w:val="both"/>
        <w:rPr>
          <w:rFonts w:ascii="Arial" w:hAnsi="Arial" w:cs="Arial"/>
        </w:rPr>
      </w:pPr>
    </w:p>
    <w:p>
      <w:pPr>
        <w:pStyle w:val="Affiliation"/>
        <w:spacing w:after="0" w:line="240" w:lineRule="auto"/>
        <w:jc w:val="both"/>
        <w:rPr>
          <w:rFonts w:ascii="Arial" w:hAnsi="Arial" w:cs="Arial"/>
        </w:rPr>
      </w:pPr>
    </w:p>
    <w:p>
      <w:pPr>
        <w:pStyle w:val="Affiliation"/>
        <w:spacing w:after="0" w:line="240" w:lineRule="auto"/>
        <w:jc w:val="both"/>
        <w:rPr>
          <w:rFonts w:ascii="Arial" w:hAnsi="Arial" w:cs="Arial"/>
        </w:rPr>
      </w:pPr>
    </w:p>
    <w:p>
      <w:pPr>
        <w:pStyle w:val="Copyright"/>
        <w:spacing w:after="0" w:line="240" w:lineRule="auto"/>
        <w:jc w:val="both"/>
        <w:rPr>
          <w:rFonts w:ascii="Arial" w:hAnsi="Arial" w:cs="Arial"/>
        </w:rPr>
        <w:sectPr>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Pr>
          <w:rFonts w:ascii="Arial" w:hAnsi="Arial" w:cs="Arial"/>
        </w:rPr>
        <w:t>.</w:t>
      </w:r>
    </w:p>
    <w:p>
      <w:pPr>
        <w:pStyle w:val="AbstHead"/>
        <w:spacing w:after="0"/>
        <w:jc w:val="both"/>
        <w:rPr>
          <w:rFonts w:ascii="Arial" w:hAnsi="Arial" w:cs="Arial"/>
        </w:rPr>
      </w:pPr>
      <w:r>
        <w:rPr>
          <w:rFonts w:ascii="Arial" w:hAnsi="Arial" w:cs="Arial"/>
        </w:rPr>
        <w:t>ABSTRACT</w:t>
      </w:r>
    </w:p>
    <w:p>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tc>
          <w:tcPr>
            <w:tcW w:w="9576" w:type="dxa"/>
            <w:shd w:val="clear" w:color="auto" w:fill="F2F2F2"/>
          </w:tcPr>
          <w:p>
            <w:pPr>
              <w:pStyle w:val="Body"/>
              <w:rPr>
                <w:rFonts w:ascii="Arial" w:eastAsia="Calibri" w:hAnsi="Arial" w:cs="Arial"/>
                <w:szCs w:val="22"/>
              </w:rPr>
            </w:pPr>
            <w:r>
              <w:rPr>
                <w:rFonts w:ascii="Arial" w:eastAsia="Calibri" w:hAnsi="Arial" w:cs="Arial"/>
                <w:szCs w:val="22"/>
              </w:rPr>
              <w:t>This study assessed the influence of five widely used grapevine rootstocks</w:t>
            </w:r>
            <w:r>
              <w:rPr>
                <w:rFonts w:ascii="Arial" w:eastAsia="Calibri" w:hAnsi="Arial" w:cs="Arial"/>
                <w:szCs w:val="22"/>
                <w:lang w:val="en-GB"/>
              </w:rPr>
              <w:t xml:space="preserve"> (R 110, 140 Ru, 3309 Couderc, 41 B, and </w:t>
            </w:r>
            <w:proofErr w:type="spellStart"/>
            <w:r>
              <w:rPr>
                <w:rFonts w:ascii="Arial" w:eastAsia="Calibri" w:hAnsi="Arial" w:cs="Arial"/>
                <w:szCs w:val="22"/>
                <w:lang w:val="en-GB"/>
              </w:rPr>
              <w:t>Fercal</w:t>
            </w:r>
            <w:proofErr w:type="spellEnd"/>
            <w:r>
              <w:rPr>
                <w:rFonts w:ascii="Arial" w:eastAsia="Calibri" w:hAnsi="Arial" w:cs="Arial"/>
                <w:szCs w:val="22"/>
                <w:lang w:val="en-GB"/>
              </w:rPr>
              <w:t xml:space="preserve">) on grape morphology and must composition of the prominent white-wine variety Assyrtiko. The study was implemented over two consecutive vintages (2023 - 2024), under uniform vineyard conditions. Rootstock genotype significantly affected cluster weight and length, berry diameter and weight, as well as sugar content, acidity, pH and phenolic concentration. R 110 was consistently the least productive, producing the smallest and lightest clusters, while 140 Ru yielded the heaviest (207.13 g in 2023). 41 B resulted in the highest berry mass (309.51 g/100 berries), and 3309 C the largest berry diameter. In terms of must composition, R 110 and 3309 C had the highest sugar levels (13.5° </w:t>
            </w:r>
            <w:proofErr w:type="spellStart"/>
            <w:r>
              <w:rPr>
                <w:rFonts w:ascii="Arial" w:eastAsia="Calibri" w:hAnsi="Arial" w:cs="Arial"/>
                <w:szCs w:val="22"/>
                <w:lang w:val="en-GB"/>
              </w:rPr>
              <w:t>Baumé</w:t>
            </w:r>
            <w:proofErr w:type="spellEnd"/>
            <w:r>
              <w:rPr>
                <w:rFonts w:ascii="Arial" w:eastAsia="Calibri" w:hAnsi="Arial" w:cs="Arial"/>
                <w:szCs w:val="22"/>
                <w:lang w:val="en-GB"/>
              </w:rPr>
              <w:t xml:space="preserve">), while </w:t>
            </w:r>
            <w:proofErr w:type="spellStart"/>
            <w:r>
              <w:rPr>
                <w:rFonts w:ascii="Arial" w:eastAsia="Calibri" w:hAnsi="Arial" w:cs="Arial"/>
                <w:szCs w:val="22"/>
                <w:lang w:val="en-GB"/>
              </w:rPr>
              <w:t>Fercal</w:t>
            </w:r>
            <w:proofErr w:type="spellEnd"/>
            <w:r>
              <w:rPr>
                <w:rFonts w:ascii="Arial" w:eastAsia="Calibri" w:hAnsi="Arial" w:cs="Arial"/>
                <w:szCs w:val="22"/>
                <w:lang w:val="en-GB"/>
              </w:rPr>
              <w:t xml:space="preserve"> displayed the highest phenolic index (12.8 in 2024). 140 Ru promoted higher acidity and lower pH, indicating potential for freshness retention. These results underline the importance of rootstock choice in optimizing grape and wine attributes. </w:t>
            </w:r>
            <w:r>
              <w:rPr>
                <w:rFonts w:ascii="Arial" w:eastAsia="Calibri" w:hAnsi="Arial" w:cs="Arial"/>
                <w:szCs w:val="22"/>
              </w:rPr>
              <w:t>Further research is needed to comprehensively evaluate rootstock-scion interactions, with particular emphasis on the sensory and chemical attributes of the resulting wines, as well as</w:t>
            </w:r>
            <w:bookmarkStart w:id="0" w:name="_GoBack"/>
            <w:bookmarkEnd w:id="0"/>
            <w:r>
              <w:rPr>
                <w:rFonts w:ascii="Arial" w:eastAsia="Calibri" w:hAnsi="Arial" w:cs="Arial"/>
                <w:szCs w:val="22"/>
              </w:rPr>
              <w:t xml:space="preserve"> on comparative physiological responses between grafted and own-rooted vines.</w:t>
            </w:r>
          </w:p>
          <w:p>
            <w:pPr>
              <w:pStyle w:val="Body"/>
              <w:spacing w:after="0"/>
              <w:rPr>
                <w:rFonts w:ascii="Arial" w:eastAsia="Calibri" w:hAnsi="Arial" w:cs="Arial"/>
                <w:szCs w:val="22"/>
              </w:rPr>
            </w:pPr>
          </w:p>
        </w:tc>
      </w:tr>
    </w:tbl>
    <w:p>
      <w:pPr>
        <w:pStyle w:val="Body"/>
        <w:spacing w:after="0"/>
        <w:rPr>
          <w:rFonts w:ascii="Arial" w:hAnsi="Arial" w:cs="Arial"/>
          <w:i/>
        </w:rPr>
      </w:pPr>
    </w:p>
    <w:p>
      <w:pPr>
        <w:pStyle w:val="Body"/>
        <w:rPr>
          <w:rFonts w:ascii="Arial" w:hAnsi="Arial" w:cs="Arial"/>
          <w:i/>
          <w:lang w:val="en-GB"/>
        </w:rPr>
      </w:pPr>
      <w:r>
        <w:rPr>
          <w:rFonts w:ascii="Arial" w:hAnsi="Arial" w:cs="Arial"/>
          <w:i/>
        </w:rPr>
        <w:t xml:space="preserve">Keywords: </w:t>
      </w:r>
      <w:r>
        <w:rPr>
          <w:rFonts w:ascii="Arial" w:hAnsi="Arial" w:cs="Arial"/>
          <w:i/>
          <w:iCs/>
          <w:lang w:val="en-GB"/>
        </w:rPr>
        <w:t>Vitis vinifera</w:t>
      </w:r>
      <w:r>
        <w:rPr>
          <w:rFonts w:ascii="Arial" w:hAnsi="Arial" w:cs="Arial"/>
          <w:i/>
          <w:lang w:val="en-GB"/>
        </w:rPr>
        <w:t>, Assyrtiko, grapevine rootstock, grape characteristics, must composition</w:t>
      </w:r>
    </w:p>
    <w:p>
      <w:pPr>
        <w:pStyle w:val="Body"/>
        <w:spacing w:after="0"/>
        <w:rPr>
          <w:rFonts w:ascii="Arial" w:hAnsi="Arial" w:cs="Arial"/>
          <w:i/>
        </w:rPr>
      </w:pPr>
    </w:p>
    <w:p>
      <w:pPr>
        <w:pStyle w:val="AbstHead"/>
        <w:spacing w:after="0"/>
        <w:jc w:val="both"/>
        <w:rPr>
          <w:rFonts w:ascii="Arial" w:hAnsi="Arial" w:cs="Arial"/>
        </w:rPr>
      </w:pPr>
      <w:r>
        <w:rPr>
          <w:rFonts w:ascii="Arial" w:hAnsi="Arial" w:cs="Arial"/>
        </w:rPr>
        <w:t xml:space="preserve">1. INTRODUCTION </w:t>
      </w:r>
    </w:p>
    <w:p>
      <w:pPr>
        <w:pStyle w:val="AbstHead"/>
        <w:spacing w:after="0"/>
        <w:jc w:val="both"/>
        <w:rPr>
          <w:rFonts w:ascii="Arial" w:hAnsi="Arial" w:cs="Arial"/>
        </w:rPr>
      </w:pPr>
    </w:p>
    <w:p>
      <w:pPr>
        <w:pStyle w:val="Body"/>
        <w:rPr>
          <w:rFonts w:ascii="Arial" w:hAnsi="Arial" w:cs="Arial"/>
          <w:b/>
          <w:bCs/>
          <w:lang w:val="en-GB"/>
        </w:rPr>
      </w:pPr>
      <w:r>
        <w:rPr>
          <w:rFonts w:ascii="Arial" w:hAnsi="Arial" w:cs="Arial"/>
          <w:lang w:val="en-GB"/>
        </w:rPr>
        <w:t>Grafting grapevines onto rootstocks is a standard practice in viticulture that provides resistance to phylloxera, nematodes and certain soil-borne pathogens while also affecting vine vigour, nutrient uptake, drought tolerance, and ultimately, grape and wine composition (Harbertson &amp; Keller, 2012; Lecourt et al., 2015). Previous studies have demonstrated that rootstock genotype significantly modulates berry quality attributes such as sugar accumulation, total acidity, pH, phenolic content, and volatile profiles (Berdeja et al., 2014; Blank et al., 2022). Moreover, rootstock-induced variations in berry metabolism have been observed under conditions of water stress or nutrient limitation, indicating that rootstocks can act as regulators of scion physiological responses (Schreiner et al., 2014; Lecourt et al., 2015). In recent studies, rootstock selection has also been reported to influence key oenological traits including colour, tannin intensity and aromatic expression in wines (Olarte Mantilla et al., 2018; Blank et al., 2022).</w:t>
      </w:r>
    </w:p>
    <w:p>
      <w:pPr>
        <w:pStyle w:val="Body"/>
        <w:rPr>
          <w:rFonts w:ascii="Arial" w:hAnsi="Arial" w:cs="Arial"/>
          <w:lang w:val="en-GB"/>
        </w:rPr>
      </w:pPr>
      <w:r>
        <w:rPr>
          <w:rFonts w:ascii="Arial" w:hAnsi="Arial" w:cs="Arial"/>
          <w:lang w:val="en-GB"/>
        </w:rPr>
        <w:lastRenderedPageBreak/>
        <w:t xml:space="preserve">The effects of different rootstocks on international cultivars such as Pinot Noir, Cabernet Sauvignon, and Shiraz have been examined to some extent (Harbertson &amp; Keller, 2012; Berdeja et al., 2014; Olarte Mantilla et al., 2018). Studies on cultivars such as </w:t>
      </w:r>
      <w:proofErr w:type="spellStart"/>
      <w:r>
        <w:rPr>
          <w:rFonts w:ascii="Arial" w:hAnsi="Arial" w:cs="Arial"/>
          <w:lang w:val="en-GB"/>
        </w:rPr>
        <w:t>Albariño</w:t>
      </w:r>
      <w:proofErr w:type="spellEnd"/>
      <w:r>
        <w:rPr>
          <w:rFonts w:ascii="Arial" w:hAnsi="Arial" w:cs="Arial"/>
          <w:lang w:val="en-GB"/>
        </w:rPr>
        <w:t xml:space="preserve"> in Galicia (</w:t>
      </w:r>
      <w:proofErr w:type="spellStart"/>
      <w:r>
        <w:rPr>
          <w:rFonts w:ascii="Arial" w:hAnsi="Arial" w:cs="Arial"/>
          <w:lang w:val="en-GB"/>
        </w:rPr>
        <w:t>Vilanova</w:t>
      </w:r>
      <w:proofErr w:type="spellEnd"/>
      <w:r>
        <w:rPr>
          <w:rFonts w:ascii="Arial" w:hAnsi="Arial" w:cs="Arial"/>
          <w:lang w:val="en-GB"/>
        </w:rPr>
        <w:t xml:space="preserve"> et al., 2021) and Cabernet Sauvignon in Brazil (Miele, 2017) have shown that rootstocks can significantly alter grape composition, particularly affecting must density, titratable acidity, pH, and potassium levels. However, there is a clear lack of data regarding rootstock effects on native varieties.</w:t>
      </w:r>
    </w:p>
    <w:p>
      <w:pPr>
        <w:pStyle w:val="Body"/>
        <w:rPr>
          <w:rFonts w:ascii="Arial" w:hAnsi="Arial" w:cs="Arial"/>
          <w:lang w:val="en-GB"/>
        </w:rPr>
      </w:pPr>
      <w:r>
        <w:rPr>
          <w:rFonts w:ascii="Arial" w:hAnsi="Arial" w:cs="Arial"/>
          <w:lang w:val="en-GB"/>
        </w:rPr>
        <w:t>Assyrtiko (</w:t>
      </w:r>
      <w:r>
        <w:rPr>
          <w:rFonts w:ascii="Arial" w:hAnsi="Arial" w:cs="Arial"/>
          <w:i/>
          <w:iCs/>
          <w:lang w:val="en-GB"/>
        </w:rPr>
        <w:t>Vitis vinifera</w:t>
      </w:r>
      <w:r>
        <w:rPr>
          <w:rFonts w:ascii="Arial" w:hAnsi="Arial" w:cs="Arial"/>
          <w:lang w:val="en-GB"/>
        </w:rPr>
        <w:t xml:space="preserve"> L.) is a prominent indigenous Greek grapevine cultivar, primarily associated with the island of Santorini, yet increasingly cultivated across other viticultural zones in Greece and abroad (Sgouros et al., 2023). Assyrtiko is well known for its ability to retain high acidity under warm and dry conditions. Despite its high viticultural and oenological potential, it has not been studied in relation to rootstock performance. Given the increasing emphasis on terroir expression, sustainability, and adaptation to climate change, it is crucial to understand the interactions between scion and rootstock in local cultivars.</w:t>
      </w:r>
    </w:p>
    <w:p>
      <w:pPr>
        <w:pStyle w:val="Body"/>
        <w:rPr>
          <w:rFonts w:ascii="Arial" w:hAnsi="Arial" w:cs="Arial"/>
          <w:lang w:val="en-GB"/>
        </w:rPr>
      </w:pPr>
      <w:r>
        <w:rPr>
          <w:rFonts w:ascii="Arial" w:hAnsi="Arial" w:cs="Arial"/>
          <w:lang w:val="en-GB"/>
        </w:rPr>
        <w:t xml:space="preserve">The main objective of the present study was to evaluate the impact of five commonly used rootstocks (R 110, 140 Ru, 3309 Couderc, 41 B, and </w:t>
      </w:r>
      <w:proofErr w:type="spellStart"/>
      <w:r>
        <w:rPr>
          <w:rFonts w:ascii="Arial" w:hAnsi="Arial" w:cs="Arial"/>
          <w:lang w:val="en-GB"/>
        </w:rPr>
        <w:t>Fercal</w:t>
      </w:r>
      <w:proofErr w:type="spellEnd"/>
      <w:r>
        <w:rPr>
          <w:rFonts w:ascii="Arial" w:hAnsi="Arial" w:cs="Arial"/>
          <w:lang w:val="en-GB"/>
        </w:rPr>
        <w:t xml:space="preserve">) on grape characteristics and must composition of Assyrtiko. </w:t>
      </w:r>
    </w:p>
    <w:p>
      <w:pPr>
        <w:pStyle w:val="Body"/>
        <w:spacing w:after="0"/>
        <w:rPr>
          <w:rFonts w:ascii="Arial" w:hAnsi="Arial" w:cs="Arial"/>
          <w:lang w:val="en-GB"/>
        </w:rPr>
      </w:pPr>
    </w:p>
    <w:p>
      <w:pPr>
        <w:pStyle w:val="AbstHead"/>
        <w:spacing w:after="0"/>
        <w:jc w:val="both"/>
        <w:rPr>
          <w:rFonts w:ascii="Arial" w:hAnsi="Arial" w:cs="Arial"/>
        </w:rPr>
      </w:pPr>
      <w:r>
        <w:rPr>
          <w:rFonts w:ascii="Arial" w:hAnsi="Arial" w:cs="Arial"/>
        </w:rPr>
        <w:t xml:space="preserve">2. materialS and methods </w:t>
      </w:r>
    </w:p>
    <w:p>
      <w:pPr>
        <w:pStyle w:val="AbstHead"/>
        <w:spacing w:after="0"/>
        <w:jc w:val="both"/>
        <w:rPr>
          <w:rFonts w:ascii="Arial" w:hAnsi="Arial" w:cs="Arial"/>
        </w:rPr>
      </w:pPr>
    </w:p>
    <w:p>
      <w:pPr>
        <w:pStyle w:val="Body"/>
        <w:rPr>
          <w:rFonts w:ascii="Arial" w:hAnsi="Arial" w:cs="Arial"/>
          <w:b/>
          <w:sz w:val="22"/>
          <w:szCs w:val="22"/>
        </w:rPr>
      </w:pPr>
      <w:bookmarkStart w:id="1" w:name="_Hlk204545443"/>
      <w:r>
        <w:rPr>
          <w:rFonts w:ascii="Arial" w:hAnsi="Arial" w:cs="Arial"/>
          <w:b/>
          <w:sz w:val="22"/>
          <w:szCs w:val="22"/>
        </w:rPr>
        <w:t>2.1 Vineyard site and experimental design</w:t>
      </w:r>
      <w:bookmarkEnd w:id="1"/>
    </w:p>
    <w:p>
      <w:pPr>
        <w:pStyle w:val="Body"/>
        <w:rPr>
          <w:rFonts w:ascii="Arial" w:hAnsi="Arial" w:cs="Arial"/>
          <w:lang w:val="en-GB"/>
        </w:rPr>
      </w:pPr>
      <w:r>
        <w:rPr>
          <w:rFonts w:ascii="Arial" w:hAnsi="Arial" w:cs="Arial"/>
          <w:lang w:val="en-GB"/>
        </w:rPr>
        <w:t xml:space="preserve">The study was conducted at the experimental vineyard of the university of West Attica in </w:t>
      </w:r>
      <w:proofErr w:type="spellStart"/>
      <w:r>
        <w:rPr>
          <w:rFonts w:ascii="Arial" w:hAnsi="Arial" w:cs="Arial"/>
          <w:lang w:val="en-GB"/>
        </w:rPr>
        <w:t>Egaleo</w:t>
      </w:r>
      <w:proofErr w:type="spellEnd"/>
      <w:r>
        <w:rPr>
          <w:rFonts w:ascii="Arial" w:hAnsi="Arial" w:cs="Arial"/>
          <w:lang w:val="en-GB"/>
        </w:rPr>
        <w:t xml:space="preserve"> Grove (</w:t>
      </w:r>
      <w:r>
        <w:rPr>
          <w:rFonts w:ascii="Arial" w:hAnsi="Arial" w:cs="Arial"/>
        </w:rPr>
        <w:t>37º59'52"</w:t>
      </w:r>
      <w:r>
        <w:rPr>
          <w:rFonts w:ascii="Arial" w:hAnsi="Arial" w:cs="Arial"/>
          <w:lang w:val="el-GR"/>
        </w:rPr>
        <w:t>Ν</w:t>
      </w:r>
      <w:r>
        <w:rPr>
          <w:rFonts w:ascii="Arial" w:hAnsi="Arial" w:cs="Arial"/>
        </w:rPr>
        <w:t>, 23º40'34"</w:t>
      </w:r>
      <w:r>
        <w:rPr>
          <w:rFonts w:ascii="Arial" w:hAnsi="Arial" w:cs="Arial"/>
          <w:lang w:val="el-GR"/>
        </w:rPr>
        <w:t>Ε</w:t>
      </w:r>
      <w:r>
        <w:rPr>
          <w:rFonts w:ascii="Arial" w:hAnsi="Arial" w:cs="Arial"/>
        </w:rPr>
        <w:t>)</w:t>
      </w:r>
      <w:r>
        <w:rPr>
          <w:rFonts w:ascii="Arial" w:hAnsi="Arial" w:cs="Arial"/>
          <w:lang w:val="en-GB"/>
        </w:rPr>
        <w:t xml:space="preserve">. The soil was found to be homogeneous throughout the entire plot and characterized as "loam" (sand 50.1%, silt 34.5%, and clay 15.5%), with pH 7.3, organic matter content 1.84%, and total </w:t>
      </w:r>
      <w:proofErr w:type="spellStart"/>
      <w:r>
        <w:rPr>
          <w:rFonts w:ascii="Arial" w:hAnsi="Arial" w:cs="Arial"/>
          <w:lang w:val="en-GB"/>
        </w:rPr>
        <w:t>CaCO</w:t>
      </w:r>
      <w:proofErr w:type="spellEnd"/>
      <w:r>
        <w:rPr>
          <w:rFonts w:ascii="Cambria Math" w:hAnsi="Cambria Math" w:cs="Cambria Math"/>
          <w:lang w:val="en-GB"/>
        </w:rPr>
        <w:t>₃</w:t>
      </w:r>
      <w:r>
        <w:rPr>
          <w:rFonts w:ascii="Arial" w:hAnsi="Arial" w:cs="Arial"/>
          <w:lang w:val="en-GB"/>
        </w:rPr>
        <w:t xml:space="preserve"> 25.5%. Climatic and weather conditions were consistent across all vines within the plot. All vines shared the same scion, as they were grafted with Assyrtiko - clone E16 VNB. Therefore, the only variable among the vines was rootstock. Each pair of planting rows was assigned to a different rootstock, with each row consisting of 30 vines. The vines were trained to a unilateral “Cordon de </w:t>
      </w:r>
      <w:proofErr w:type="spellStart"/>
      <w:r>
        <w:rPr>
          <w:rFonts w:ascii="Arial" w:hAnsi="Arial" w:cs="Arial"/>
          <w:lang w:val="en-GB"/>
        </w:rPr>
        <w:t>Royat</w:t>
      </w:r>
      <w:proofErr w:type="spellEnd"/>
      <w:r>
        <w:rPr>
          <w:rFonts w:ascii="Arial" w:hAnsi="Arial" w:cs="Arial"/>
          <w:lang w:val="en-GB"/>
        </w:rPr>
        <w:t>” system. In both 2023 and 2024 growing seasons, shoot thinning was performed, shoots were topped at a length of 1.10 m, and drip irrigation was applied every 14 days starting on May 10.</w:t>
      </w:r>
      <w:r>
        <w:rPr>
          <w:rFonts w:ascii="Arial" w:hAnsi="Arial" w:cs="Arial"/>
          <w:b/>
          <w:sz w:val="22"/>
          <w:szCs w:val="22"/>
        </w:rPr>
        <w:t xml:space="preserve"> </w:t>
      </w:r>
      <w:r>
        <w:rPr>
          <w:rFonts w:ascii="Arial" w:hAnsi="Arial" w:cs="Arial"/>
          <w:lang w:val="en-GB"/>
        </w:rPr>
        <w:t xml:space="preserve">Grape harvest was conducted at full ripeness (August 29 in 2023 and September 7 in 2024) during the morning hours. Berry sampling was performed by randomly collecting 6–8 berries from each cluster. In addition, for every three vines, one whole cluster was randomly harvested for analyses requiring entire bunches (Figure 1). Each group of plants with the same rootstock was divided into three blocks. Grapes from each rootstock and each block were placed on separate plastic bags and immediately transferred to the Laboratory of Wine analysis in the University of West Attica. Must was extracted by manually crushing the grapes in a 3 L plastic basin with a 2 mm mesh screen. The resulting juice was filtered through a 0.5 mm sieve. Each must sample was transferred into a 250 mL graduated cylinder, sealed with Parafilm® </w:t>
      </w:r>
      <w:r>
        <w:rPr>
          <w:rFonts w:ascii="Arial" w:hAnsi="Arial" w:cs="Arial"/>
        </w:rPr>
        <w:t>(Bemis Inc., Neenah, WI, USA)</w:t>
      </w:r>
      <w:r>
        <w:rPr>
          <w:rFonts w:ascii="Arial" w:hAnsi="Arial" w:cs="Arial"/>
          <w:lang w:val="en-GB"/>
        </w:rPr>
        <w:t>, and immediately stored at 4°C until oenological analyses were carried out.</w:t>
      </w:r>
    </w:p>
    <w:p>
      <w:pPr>
        <w:pStyle w:val="NormalWeb"/>
        <w:rPr>
          <w:lang w:val="en-GB"/>
        </w:rPr>
      </w:pPr>
      <w:r>
        <w:rPr>
          <w:noProof/>
        </w:rPr>
        <w:drawing>
          <wp:inline distT="0" distB="0" distL="0" distR="0">
            <wp:extent cx="5837237" cy="1602740"/>
            <wp:effectExtent l="0" t="0" r="0" b="0"/>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4992" cy="1632326"/>
                    </a:xfrm>
                    <a:prstGeom prst="rect">
                      <a:avLst/>
                    </a:prstGeom>
                    <a:noFill/>
                    <a:ln>
                      <a:noFill/>
                    </a:ln>
                  </pic:spPr>
                </pic:pic>
              </a:graphicData>
            </a:graphic>
          </wp:inline>
        </w:drawing>
      </w:r>
    </w:p>
    <w:p>
      <w:pPr>
        <w:pStyle w:val="Body"/>
        <w:rPr>
          <w:rFonts w:ascii="Arial" w:hAnsi="Arial" w:cs="Arial"/>
          <w:b/>
        </w:rPr>
      </w:pPr>
      <w:r>
        <w:rPr>
          <w:rFonts w:ascii="Arial" w:hAnsi="Arial" w:cs="Arial"/>
          <w:b/>
        </w:rPr>
        <w:t xml:space="preserve">Figure 1. Grape clusters of Assyrtiko, grafted onto the rootstocks R 110 (A), 140 Ru (B), 3309 C (C), 41 B (D) and </w:t>
      </w:r>
      <w:proofErr w:type="spellStart"/>
      <w:r>
        <w:rPr>
          <w:rFonts w:ascii="Arial" w:hAnsi="Arial" w:cs="Arial"/>
          <w:b/>
        </w:rPr>
        <w:t>Fercal</w:t>
      </w:r>
      <w:proofErr w:type="spellEnd"/>
      <w:r>
        <w:rPr>
          <w:rFonts w:ascii="Arial" w:hAnsi="Arial" w:cs="Arial"/>
          <w:b/>
        </w:rPr>
        <w:t xml:space="preserve"> (E), sampled for estimation of morphological characteristics</w:t>
      </w:r>
    </w:p>
    <w:p>
      <w:pPr>
        <w:pStyle w:val="Body"/>
        <w:rPr>
          <w:rFonts w:ascii="Arial" w:hAnsi="Arial" w:cs="Arial"/>
          <w:sz w:val="22"/>
          <w:szCs w:val="22"/>
        </w:rPr>
      </w:pPr>
      <w:bookmarkStart w:id="2" w:name="_Hlk204545592"/>
      <w:r>
        <w:rPr>
          <w:rFonts w:ascii="Arial" w:hAnsi="Arial" w:cs="Arial"/>
          <w:b/>
          <w:sz w:val="22"/>
          <w:szCs w:val="22"/>
        </w:rPr>
        <w:t>2.2 Measurements of grapes’</w:t>
      </w:r>
      <w:bookmarkEnd w:id="2"/>
      <w:r>
        <w:rPr>
          <w:rFonts w:ascii="Arial" w:hAnsi="Arial" w:cs="Arial"/>
          <w:b/>
          <w:sz w:val="22"/>
          <w:szCs w:val="22"/>
        </w:rPr>
        <w:t xml:space="preserve"> morphological characteristics and chemical composition</w:t>
      </w:r>
    </w:p>
    <w:p>
      <w:pPr>
        <w:pStyle w:val="Body"/>
        <w:rPr>
          <w:rFonts w:ascii="Arial" w:hAnsi="Arial" w:cs="Arial"/>
          <w:lang w:val="en-GB"/>
        </w:rPr>
      </w:pPr>
      <w:r>
        <w:rPr>
          <w:rFonts w:ascii="Arial" w:hAnsi="Arial" w:cs="Arial"/>
        </w:rPr>
        <w:t xml:space="preserve">Bunch weight was measured using a precision digital scale </w:t>
      </w:r>
      <w:bookmarkStart w:id="3" w:name="_Hlk203397334"/>
      <w:r>
        <w:rPr>
          <w:rFonts w:ascii="Arial" w:hAnsi="Arial" w:cs="Arial"/>
        </w:rPr>
        <w:t xml:space="preserve">(EMS, 3000 / 0.01 g, KERN, </w:t>
      </w:r>
      <w:proofErr w:type="spellStart"/>
      <w:r>
        <w:rPr>
          <w:rFonts w:ascii="Arial" w:hAnsi="Arial" w:cs="Arial"/>
        </w:rPr>
        <w:t>Balingen</w:t>
      </w:r>
      <w:proofErr w:type="spellEnd"/>
      <w:r>
        <w:rPr>
          <w:rFonts w:ascii="Arial" w:hAnsi="Arial" w:cs="Arial"/>
        </w:rPr>
        <w:t xml:space="preserve">, Germany). </w:t>
      </w:r>
      <w:bookmarkEnd w:id="3"/>
      <w:r>
        <w:rPr>
          <w:rFonts w:ascii="Arial" w:hAnsi="Arial" w:cs="Arial"/>
        </w:rPr>
        <w:t xml:space="preserve">Bunch length was assessed with a 30 cm plastic ruler, measuring from the peduncle to the lowest berry. Berry count was performed manually for six bunches per rootstock, including recounting after detachment to ensure accuracy. Berry diameter was determined by measuring 25 randomly selected berries per block using a digital </w:t>
      </w:r>
      <w:proofErr w:type="spellStart"/>
      <w:r>
        <w:rPr>
          <w:rFonts w:ascii="Arial" w:hAnsi="Arial" w:cs="Arial"/>
        </w:rPr>
        <w:t>calliper</w:t>
      </w:r>
      <w:proofErr w:type="spellEnd"/>
      <w:r>
        <w:rPr>
          <w:rFonts w:ascii="Arial" w:hAnsi="Arial" w:cs="Arial"/>
        </w:rPr>
        <w:t xml:space="preserve"> (0-150 mm, </w:t>
      </w:r>
      <w:r>
        <w:rPr>
          <w:rFonts w:ascii="Arial" w:hAnsi="Arial" w:cs="Arial"/>
        </w:rPr>
        <w:lastRenderedPageBreak/>
        <w:t xml:space="preserve">POWERFIX, </w:t>
      </w:r>
      <w:proofErr w:type="spellStart"/>
      <w:r>
        <w:rPr>
          <w:rFonts w:ascii="Arial" w:hAnsi="Arial" w:cs="Arial"/>
        </w:rPr>
        <w:t>Neckarsulm</w:t>
      </w:r>
      <w:proofErr w:type="spellEnd"/>
      <w:r>
        <w:rPr>
          <w:rFonts w:ascii="Arial" w:hAnsi="Arial" w:cs="Arial"/>
        </w:rPr>
        <w:t xml:space="preserve">, Germany). For the weight of 100 berries, samples were randomly collected and weighed using the digital scale (EMS, 3000 KERN). Sugar content was evaluated with a Baumé hydrometer at 20°C in 250 mL graduated cylinders using 200 mL of must per sample, with temperature corrections applied as necessary. </w:t>
      </w:r>
      <w:r>
        <w:rPr>
          <w:rFonts w:ascii="Arial" w:hAnsi="Arial" w:cs="Arial"/>
          <w:lang w:val="en-GB"/>
        </w:rPr>
        <w:t xml:space="preserve">Total acidity was determined using 250 mL Erlenmeyer flasks, burette, pipettes (5-20 mL), deionized water, 0.1 N NaOH solution, and phenolphthalein as an indicator. Under continuous stirring, 0.1 N NaOH was gradually added from the burette until a persistent pink </w:t>
      </w:r>
      <w:proofErr w:type="spellStart"/>
      <w:r>
        <w:rPr>
          <w:rFonts w:ascii="Arial" w:hAnsi="Arial" w:cs="Arial"/>
          <w:lang w:val="en-GB"/>
        </w:rPr>
        <w:t>color</w:t>
      </w:r>
      <w:proofErr w:type="spellEnd"/>
      <w:r>
        <w:rPr>
          <w:rFonts w:ascii="Arial" w:hAnsi="Arial" w:cs="Arial"/>
          <w:lang w:val="en-GB"/>
        </w:rPr>
        <w:t xml:space="preserve"> appeared. The NaOH volume used was recorded to calculate total acidity. Six measurements were taken per rootstock</w:t>
      </w:r>
      <w:r>
        <w:rPr>
          <w:rFonts w:ascii="Arial" w:hAnsi="Arial" w:cs="Arial"/>
        </w:rPr>
        <w:t xml:space="preserve">, </w:t>
      </w:r>
      <w:r>
        <w:rPr>
          <w:rFonts w:ascii="Arial" w:hAnsi="Arial" w:cs="Arial"/>
          <w:lang w:val="en-GB"/>
        </w:rPr>
        <w:t>two from each block.</w:t>
      </w:r>
      <w:r>
        <w:rPr>
          <w:rFonts w:ascii="Arial" w:hAnsi="Arial" w:cs="Arial"/>
        </w:rPr>
        <w:t xml:space="preserve"> pH was measured with a calibrated digital pH meter (HI 2002</w:t>
      </w:r>
      <w:r>
        <w:rPr>
          <w:rFonts w:ascii="Arial" w:hAnsi="Arial" w:cs="Arial"/>
        </w:rPr>
        <w:noBreakHyphen/>
        <w:t>02 edge®, HANNA Instruments, Woonsocket, RI, USA) using must samples in 50 mL beakers. Total phenolic index was assessed by centrifuging must samples at 4000 rpm for 5 minutes, diluting the supernatant (1:100) with deionized water, and measuring absorbance at 280 nm using a spectrophotometer with 1 cm quartz cuvettes.</w:t>
      </w:r>
    </w:p>
    <w:p>
      <w:pPr>
        <w:pStyle w:val="Body"/>
        <w:rPr>
          <w:rFonts w:ascii="Arial" w:hAnsi="Arial" w:cs="Arial"/>
          <w:sz w:val="22"/>
          <w:szCs w:val="22"/>
        </w:rPr>
      </w:pPr>
      <w:r>
        <w:rPr>
          <w:rFonts w:ascii="Arial" w:hAnsi="Arial" w:cs="Arial"/>
          <w:b/>
          <w:sz w:val="22"/>
          <w:szCs w:val="22"/>
        </w:rPr>
        <w:t>2.3 Statistical analysis</w:t>
      </w:r>
    </w:p>
    <w:p>
      <w:pPr>
        <w:pStyle w:val="Body"/>
        <w:rPr>
          <w:rFonts w:ascii="Arial" w:hAnsi="Arial" w:cs="Arial"/>
        </w:rPr>
      </w:pPr>
      <w:r>
        <w:rPr>
          <w:rFonts w:ascii="Arial" w:hAnsi="Arial" w:cs="Arial"/>
        </w:rPr>
        <w:t xml:space="preserve">Statistical analysis was conducted using SPSS version 29. One-Way Analysis of Variance (ANOVA) was performed for each parameter and year to detect significant differences. When detected, </w:t>
      </w:r>
      <w:r>
        <w:rPr>
          <w:rFonts w:ascii="Arial" w:hAnsi="Arial" w:cs="Arial"/>
          <w:lang w:val="en-GB"/>
        </w:rPr>
        <w:t>ANOVA</w:t>
      </w:r>
      <w:r>
        <w:rPr>
          <w:rFonts w:ascii="Arial" w:hAnsi="Arial" w:cs="Arial"/>
        </w:rPr>
        <w:t xml:space="preserve"> was followed by post-hoc tests to indicate differences between specific rootstocks. Prior to analysis, Levene’s test was performed to examine the assumption of equal variances (homogeneity of variance). </w:t>
      </w:r>
    </w:p>
    <w:p>
      <w:pPr>
        <w:pStyle w:val="Body"/>
        <w:spacing w:after="0"/>
        <w:rPr>
          <w:rFonts w:ascii="Arial" w:hAnsi="Arial" w:cs="Arial"/>
        </w:rPr>
      </w:pPr>
    </w:p>
    <w:p>
      <w:pPr>
        <w:pStyle w:val="Head1"/>
        <w:spacing w:after="0"/>
        <w:jc w:val="both"/>
        <w:rPr>
          <w:rFonts w:ascii="Arial" w:hAnsi="Arial" w:cs="Arial"/>
        </w:rPr>
      </w:pPr>
      <w:r>
        <w:rPr>
          <w:rFonts w:ascii="Arial" w:hAnsi="Arial" w:cs="Arial"/>
        </w:rPr>
        <w:t>3. results and discussion</w:t>
      </w:r>
    </w:p>
    <w:p>
      <w:pPr>
        <w:pStyle w:val="Head1"/>
        <w:spacing w:after="0"/>
        <w:jc w:val="both"/>
        <w:rPr>
          <w:rFonts w:ascii="Arial" w:hAnsi="Arial" w:cs="Arial"/>
        </w:rPr>
      </w:pPr>
    </w:p>
    <w:p>
      <w:pPr>
        <w:pStyle w:val="Body"/>
        <w:rPr>
          <w:rFonts w:ascii="Arial" w:hAnsi="Arial" w:cs="Arial"/>
          <w:lang w:val="en-GB"/>
        </w:rPr>
      </w:pPr>
      <w:r>
        <w:rPr>
          <w:rFonts w:ascii="Arial" w:hAnsi="Arial" w:cs="Arial"/>
        </w:rPr>
        <w:t>Rootstock selection significantly influenced most of the morphological characteristics of Assyrtiko grapes over two consecutive vintages. In 2023, 140 Ru produced the heaviest clusters (207.13 g), while R 110 had the lightest (109.12 g), indicating a strong rootstock effect on yield components (Table 1). Similar results were observed in 2024; however, no significant difference was detected in cluster weight this year (</w:t>
      </w:r>
      <w:r>
        <w:rPr>
          <w:rFonts w:ascii="Arial" w:hAnsi="Arial" w:cs="Arial"/>
          <w:i/>
          <w:iCs/>
        </w:rPr>
        <w:t>P</w:t>
      </w:r>
      <w:r>
        <w:rPr>
          <w:rFonts w:ascii="Arial" w:hAnsi="Arial" w:cs="Arial"/>
        </w:rPr>
        <w:t xml:space="preserve"> = 0.3492). Cluster length was also greater in 140 Ru, 41 B, and </w:t>
      </w:r>
      <w:proofErr w:type="spellStart"/>
      <w:r>
        <w:rPr>
          <w:rFonts w:ascii="Arial" w:hAnsi="Arial" w:cs="Arial"/>
        </w:rPr>
        <w:t>Fercal</w:t>
      </w:r>
      <w:proofErr w:type="spellEnd"/>
      <w:r>
        <w:rPr>
          <w:rFonts w:ascii="Arial" w:hAnsi="Arial" w:cs="Arial"/>
        </w:rPr>
        <w:t xml:space="preserve">, while R 110 consistently showed shorter clusters across both years. Berry diameter of 3309 C was the largest in 2023, suggesting a rootstock-related increase in berry cell expansion. Notably, the weight of 100 berries reached a maximum in 41 B (309.51 g), reflecting both berry size and density advantages. </w:t>
      </w:r>
      <w:bookmarkStart w:id="4" w:name="_Hlk203442068"/>
      <w:r>
        <w:rPr>
          <w:rFonts w:ascii="Arial" w:hAnsi="Arial" w:cs="Arial"/>
        </w:rPr>
        <w:t>In 2023, the number of berries per cluster varied significantly, while in 2024 did not (</w:t>
      </w:r>
      <w:bookmarkStart w:id="5" w:name="_Hlk203442863"/>
      <w:r>
        <w:rPr>
          <w:rFonts w:ascii="Arial" w:hAnsi="Arial" w:cs="Arial"/>
          <w:i/>
          <w:iCs/>
        </w:rPr>
        <w:t>P</w:t>
      </w:r>
      <w:r>
        <w:rPr>
          <w:rFonts w:ascii="Arial" w:hAnsi="Arial" w:cs="Arial"/>
        </w:rPr>
        <w:t xml:space="preserve"> = 0.4548</w:t>
      </w:r>
      <w:bookmarkEnd w:id="5"/>
      <w:r>
        <w:rPr>
          <w:rFonts w:ascii="Arial" w:hAnsi="Arial" w:cs="Arial"/>
        </w:rPr>
        <w:t xml:space="preserve">), indicating vintage-related variability. </w:t>
      </w:r>
      <w:bookmarkEnd w:id="4"/>
      <w:r>
        <w:rPr>
          <w:rFonts w:ascii="Arial" w:hAnsi="Arial" w:cs="Arial"/>
        </w:rPr>
        <w:t>Overall, these results are consistent with previous work showing that rootstock genotype can affect reproductive development (Harbertson &amp; Keller, 2012; Lecourt et al., 2015).</w:t>
      </w:r>
    </w:p>
    <w:p>
      <w:pPr>
        <w:tabs>
          <w:tab w:val="left" w:pos="1080"/>
        </w:tabs>
        <w:jc w:val="both"/>
        <w:rPr>
          <w:rFonts w:ascii="Arial" w:hAnsi="Arial"/>
          <w:b/>
          <w:lang w:val="en-GB"/>
        </w:rPr>
      </w:pPr>
      <w:r>
        <w:rPr>
          <w:rFonts w:ascii="Arial" w:hAnsi="Arial"/>
          <w:b/>
        </w:rPr>
        <w:t xml:space="preserve">Table 1. </w:t>
      </w:r>
      <w:bookmarkStart w:id="6" w:name="_Hlk202572224"/>
      <w:r>
        <w:rPr>
          <w:rFonts w:ascii="Arial" w:hAnsi="Arial"/>
          <w:b/>
          <w:lang w:val="en-GB"/>
        </w:rPr>
        <w:t xml:space="preserve">Grape characteristics of Assyrtiko grafted onto five different rootstocks. Values represent means ± SE. Different lower-case letters indicate significant differences </w:t>
      </w:r>
      <w:bookmarkStart w:id="7" w:name="_Hlk203422825"/>
      <w:r>
        <w:rPr>
          <w:rFonts w:ascii="Arial" w:hAnsi="Arial"/>
          <w:b/>
          <w:lang w:val="en-GB"/>
        </w:rPr>
        <w:t>(</w:t>
      </w:r>
      <w:r>
        <w:rPr>
          <w:rFonts w:ascii="Arial" w:hAnsi="Arial"/>
          <w:b/>
          <w:i/>
          <w:iCs/>
          <w:lang w:val="en-GB"/>
        </w:rPr>
        <w:t>P</w:t>
      </w:r>
      <w:r>
        <w:rPr>
          <w:rFonts w:ascii="Arial" w:hAnsi="Arial"/>
          <w:b/>
          <w:lang w:val="en-GB"/>
        </w:rPr>
        <w:t xml:space="preserve"> </w:t>
      </w:r>
      <w:r>
        <w:rPr>
          <w:rFonts w:ascii="Arial" w:hAnsi="Arial" w:cs="Arial"/>
          <w:b/>
          <w:lang w:val="en-GB"/>
        </w:rPr>
        <w:t>˂</w:t>
      </w:r>
      <w:r>
        <w:rPr>
          <w:rFonts w:ascii="Arial" w:hAnsi="Arial"/>
          <w:b/>
          <w:lang w:val="en-GB"/>
        </w:rPr>
        <w:t xml:space="preserve"> 0.05)</w:t>
      </w:r>
      <w:bookmarkEnd w:id="7"/>
      <w:r>
        <w:rPr>
          <w:rFonts w:ascii="Arial" w:hAnsi="Arial"/>
          <w:b/>
          <w:lang w:val="en-GB"/>
        </w:rPr>
        <w:t xml:space="preserve"> between different rootstocks for each characteristic and year separately.</w:t>
      </w:r>
      <w:bookmarkEnd w:id="6"/>
    </w:p>
    <w:tbl>
      <w:tblPr>
        <w:tblStyle w:val="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708"/>
        <w:gridCol w:w="1560"/>
        <w:gridCol w:w="1417"/>
        <w:gridCol w:w="1276"/>
        <w:gridCol w:w="1276"/>
        <w:gridCol w:w="1559"/>
      </w:tblGrid>
      <w:tr>
        <w:trPr>
          <w:cantSplit/>
          <w:trHeight w:val="627"/>
        </w:trPr>
        <w:tc>
          <w:tcPr>
            <w:tcW w:w="993" w:type="dxa"/>
            <w:tcBorders>
              <w:top w:val="single" w:sz="12" w:space="0" w:color="000000"/>
              <w:bottom w:val="single" w:sz="12" w:space="0" w:color="000000"/>
            </w:tcBorders>
            <w:noWrap/>
            <w:vAlign w:val="center"/>
            <w:hideMark/>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Rootstock</w:t>
            </w:r>
          </w:p>
        </w:tc>
        <w:tc>
          <w:tcPr>
            <w:tcW w:w="708" w:type="dxa"/>
            <w:tcBorders>
              <w:top w:val="single" w:sz="12" w:space="0" w:color="000000"/>
              <w:bottom w:val="single" w:sz="12" w:space="0" w:color="000000"/>
            </w:tcBorders>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 xml:space="preserve">       Year</w:t>
            </w:r>
          </w:p>
        </w:tc>
        <w:tc>
          <w:tcPr>
            <w:tcW w:w="1560" w:type="dxa"/>
            <w:tcBorders>
              <w:top w:val="single" w:sz="12" w:space="0" w:color="000000"/>
              <w:bottom w:val="single" w:sz="12" w:space="0" w:color="000000"/>
            </w:tcBorders>
            <w:noWrap/>
            <w:vAlign w:val="center"/>
            <w:hideMark/>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Cluster weight (g)</w:t>
            </w:r>
          </w:p>
        </w:tc>
        <w:tc>
          <w:tcPr>
            <w:tcW w:w="1417" w:type="dxa"/>
            <w:tcBorders>
              <w:top w:val="single" w:sz="12" w:space="0" w:color="000000"/>
              <w:bottom w:val="single" w:sz="12" w:space="0" w:color="000000"/>
            </w:tcBorders>
            <w:noWrap/>
            <w:vAlign w:val="center"/>
            <w:hideMark/>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Cluster length (cm)</w:t>
            </w:r>
          </w:p>
        </w:tc>
        <w:tc>
          <w:tcPr>
            <w:tcW w:w="1276" w:type="dxa"/>
            <w:tcBorders>
              <w:top w:val="single" w:sz="12" w:space="0" w:color="000000"/>
              <w:bottom w:val="single" w:sz="12" w:space="0" w:color="000000"/>
            </w:tcBorders>
            <w:noWrap/>
            <w:vAlign w:val="center"/>
            <w:hideMark/>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Number of berries per cluster</w:t>
            </w:r>
          </w:p>
        </w:tc>
        <w:tc>
          <w:tcPr>
            <w:tcW w:w="1276" w:type="dxa"/>
            <w:tcBorders>
              <w:top w:val="single" w:sz="12" w:space="0" w:color="000000"/>
              <w:bottom w:val="single" w:sz="12" w:space="0" w:color="000000"/>
            </w:tcBorders>
            <w:vAlign w:val="center"/>
            <w:hideMark/>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Berry diameter (mm)</w:t>
            </w:r>
          </w:p>
        </w:tc>
        <w:tc>
          <w:tcPr>
            <w:tcW w:w="1559" w:type="dxa"/>
            <w:tcBorders>
              <w:top w:val="single" w:sz="12" w:space="0" w:color="000000"/>
              <w:bottom w:val="single" w:sz="12" w:space="0" w:color="000000"/>
            </w:tcBorders>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Weight of 100 berries (g)</w:t>
            </w:r>
          </w:p>
        </w:tc>
      </w:tr>
      <w:tr>
        <w:trPr>
          <w:cantSplit/>
          <w:trHeight w:val="374"/>
        </w:trPr>
        <w:tc>
          <w:tcPr>
            <w:tcW w:w="993" w:type="dxa"/>
            <w:tcBorders>
              <w:top w:val="single" w:sz="12" w:space="0" w:color="000000"/>
            </w:tcBorders>
            <w:noWrap/>
            <w:vAlign w:val="center"/>
            <w:hideMark/>
          </w:tcPr>
          <w:p>
            <w:pPr>
              <w:keepNext/>
              <w:spacing w:after="120"/>
              <w:rPr>
                <w:rFonts w:ascii="Times New Roman" w:eastAsia="Calibri" w:hAnsi="Times New Roman" w:cs="Times New Roman"/>
                <w:b/>
                <w:bCs/>
                <w:szCs w:val="20"/>
              </w:rPr>
            </w:pPr>
            <w:bookmarkStart w:id="8" w:name="_Hlk202394963"/>
            <w:r>
              <w:rPr>
                <w:rFonts w:ascii="Times New Roman" w:eastAsia="Calibri" w:hAnsi="Times New Roman" w:cs="Times New Roman"/>
                <w:b/>
                <w:bCs/>
                <w:szCs w:val="20"/>
              </w:rPr>
              <w:t>R 110</w:t>
            </w:r>
          </w:p>
        </w:tc>
        <w:tc>
          <w:tcPr>
            <w:tcW w:w="708" w:type="dxa"/>
            <w:tcBorders>
              <w:top w:val="single" w:sz="12" w:space="0" w:color="000000"/>
            </w:tcBorders>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2023</w:t>
            </w:r>
          </w:p>
        </w:tc>
        <w:tc>
          <w:tcPr>
            <w:tcW w:w="1560" w:type="dxa"/>
            <w:tcBorders>
              <w:top w:val="single" w:sz="12" w:space="0" w:color="000000"/>
            </w:tcBorders>
            <w:noWrap/>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109.12±8.55</w:t>
            </w:r>
            <w:r>
              <w:rPr>
                <w:rFonts w:ascii="Times New Roman" w:eastAsia="Calibri" w:hAnsi="Times New Roman" w:cs="Times New Roman"/>
                <w:szCs w:val="20"/>
                <w:vertAlign w:val="superscript"/>
              </w:rPr>
              <w:t>c</w:t>
            </w:r>
          </w:p>
        </w:tc>
        <w:tc>
          <w:tcPr>
            <w:tcW w:w="1417" w:type="dxa"/>
            <w:tcBorders>
              <w:top w:val="single" w:sz="12" w:space="0" w:color="000000"/>
            </w:tcBorders>
            <w:noWrap/>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14.0±0.6</w:t>
            </w:r>
            <w:r>
              <w:rPr>
                <w:rFonts w:ascii="Times New Roman" w:eastAsia="Calibri" w:hAnsi="Times New Roman" w:cs="Times New Roman"/>
                <w:szCs w:val="20"/>
                <w:vertAlign w:val="superscript"/>
              </w:rPr>
              <w:t>b</w:t>
            </w:r>
          </w:p>
        </w:tc>
        <w:tc>
          <w:tcPr>
            <w:tcW w:w="1276" w:type="dxa"/>
            <w:tcBorders>
              <w:top w:val="single" w:sz="12" w:space="0" w:color="000000"/>
            </w:tcBorders>
            <w:noWrap/>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71.5±4.3</w:t>
            </w:r>
            <w:r>
              <w:rPr>
                <w:rFonts w:ascii="Times New Roman" w:eastAsia="Calibri" w:hAnsi="Times New Roman" w:cs="Times New Roman"/>
                <w:szCs w:val="20"/>
                <w:vertAlign w:val="superscript"/>
              </w:rPr>
              <w:t>a</w:t>
            </w:r>
          </w:p>
        </w:tc>
        <w:tc>
          <w:tcPr>
            <w:tcW w:w="1276" w:type="dxa"/>
            <w:tcBorders>
              <w:top w:val="single" w:sz="12" w:space="0" w:color="000000"/>
            </w:tcBorders>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15.9</w:t>
            </w:r>
            <w:r>
              <w:rPr>
                <w:rFonts w:ascii="Times New Roman" w:eastAsia="Calibri" w:hAnsi="Times New Roman" w:cs="Times New Roman"/>
                <w:szCs w:val="20"/>
                <w:lang w:val="en-US"/>
              </w:rPr>
              <w:t>0</w:t>
            </w:r>
            <w:r>
              <w:rPr>
                <w:rFonts w:ascii="Times New Roman" w:eastAsia="Calibri" w:hAnsi="Times New Roman" w:cs="Times New Roman"/>
                <w:szCs w:val="20"/>
              </w:rPr>
              <w:t>±0.16</w:t>
            </w:r>
            <w:r>
              <w:rPr>
                <w:rFonts w:ascii="Times New Roman" w:eastAsia="Calibri" w:hAnsi="Times New Roman" w:cs="Times New Roman"/>
                <w:szCs w:val="20"/>
                <w:vertAlign w:val="superscript"/>
              </w:rPr>
              <w:t>b</w:t>
            </w:r>
          </w:p>
        </w:tc>
        <w:tc>
          <w:tcPr>
            <w:tcW w:w="1559" w:type="dxa"/>
            <w:tcBorders>
              <w:top w:val="single" w:sz="12" w:space="0" w:color="000000"/>
            </w:tcBorders>
            <w:vAlign w:val="center"/>
          </w:tcPr>
          <w:p>
            <w:pPr>
              <w:spacing w:after="120"/>
              <w:jc w:val="center"/>
              <w:rPr>
                <w:rFonts w:ascii="Times New Roman" w:eastAsia="Calibri" w:hAnsi="Times New Roman" w:cs="Times New Roman"/>
                <w:color w:val="000000"/>
              </w:rPr>
            </w:pPr>
            <w:r>
              <w:rPr>
                <w:rFonts w:ascii="Times New Roman" w:eastAsia="Calibri" w:hAnsi="Times New Roman" w:cs="Times New Roman"/>
                <w:color w:val="000000"/>
              </w:rPr>
              <w:t>258.4</w:t>
            </w:r>
            <w:r>
              <w:rPr>
                <w:rFonts w:ascii="Times New Roman" w:eastAsia="Calibri" w:hAnsi="Times New Roman" w:cs="Times New Roman"/>
              </w:rPr>
              <w:t>±0.70</w:t>
            </w:r>
            <w:r>
              <w:rPr>
                <w:rFonts w:ascii="Times New Roman" w:eastAsia="Calibri" w:hAnsi="Times New Roman" w:cs="Times New Roman"/>
                <w:szCs w:val="20"/>
                <w:vertAlign w:val="superscript"/>
              </w:rPr>
              <w:t>d</w:t>
            </w:r>
          </w:p>
        </w:tc>
      </w:tr>
      <w:tr>
        <w:trPr>
          <w:cantSplit/>
          <w:trHeight w:val="374"/>
        </w:trPr>
        <w:tc>
          <w:tcPr>
            <w:tcW w:w="993" w:type="dxa"/>
            <w:noWrap/>
            <w:vAlign w:val="center"/>
            <w:hideMark/>
          </w:tcPr>
          <w:p>
            <w:pPr>
              <w:keepNext/>
              <w:spacing w:after="120"/>
              <w:rPr>
                <w:rFonts w:ascii="Times New Roman" w:eastAsia="Calibri" w:hAnsi="Times New Roman" w:cs="Times New Roman"/>
                <w:b/>
                <w:bCs/>
                <w:szCs w:val="20"/>
              </w:rPr>
            </w:pPr>
            <w:r>
              <w:rPr>
                <w:rFonts w:ascii="Times New Roman" w:eastAsia="Calibri" w:hAnsi="Times New Roman" w:cs="Times New Roman"/>
                <w:b/>
                <w:bCs/>
                <w:szCs w:val="20"/>
              </w:rPr>
              <w:t>140 Ru</w:t>
            </w:r>
          </w:p>
        </w:tc>
        <w:tc>
          <w:tcPr>
            <w:tcW w:w="708" w:type="dxa"/>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2023</w:t>
            </w:r>
          </w:p>
        </w:tc>
        <w:tc>
          <w:tcPr>
            <w:tcW w:w="1560" w:type="dxa"/>
            <w:noWrap/>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207.13±9.34</w:t>
            </w:r>
            <w:r>
              <w:rPr>
                <w:rFonts w:ascii="Times New Roman" w:eastAsia="Calibri" w:hAnsi="Times New Roman" w:cs="Times New Roman"/>
                <w:szCs w:val="20"/>
                <w:vertAlign w:val="superscript"/>
              </w:rPr>
              <w:t>a</w:t>
            </w:r>
          </w:p>
        </w:tc>
        <w:tc>
          <w:tcPr>
            <w:tcW w:w="1417" w:type="dxa"/>
            <w:noWrap/>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16.8±0.4</w:t>
            </w:r>
            <w:r>
              <w:rPr>
                <w:rFonts w:ascii="Times New Roman" w:eastAsia="Calibri" w:hAnsi="Times New Roman" w:cs="Times New Roman"/>
                <w:szCs w:val="20"/>
                <w:vertAlign w:val="superscript"/>
              </w:rPr>
              <w:t>a</w:t>
            </w:r>
          </w:p>
        </w:tc>
        <w:tc>
          <w:tcPr>
            <w:tcW w:w="1276" w:type="dxa"/>
            <w:noWrap/>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7</w:t>
            </w:r>
            <w:r>
              <w:rPr>
                <w:rFonts w:ascii="Times New Roman" w:eastAsia="Calibri" w:hAnsi="Times New Roman" w:cs="Times New Roman"/>
                <w:szCs w:val="20"/>
                <w:lang w:val="en-US"/>
              </w:rPr>
              <w:t>1.5</w:t>
            </w:r>
            <w:r>
              <w:rPr>
                <w:rFonts w:ascii="Times New Roman" w:eastAsia="Calibri" w:hAnsi="Times New Roman" w:cs="Times New Roman"/>
                <w:szCs w:val="20"/>
              </w:rPr>
              <w:t>±4.3</w:t>
            </w:r>
            <w:r>
              <w:rPr>
                <w:rFonts w:ascii="Times New Roman" w:eastAsia="Calibri" w:hAnsi="Times New Roman" w:cs="Times New Roman"/>
                <w:szCs w:val="20"/>
                <w:vertAlign w:val="superscript"/>
              </w:rPr>
              <w:t>a</w:t>
            </w:r>
          </w:p>
        </w:tc>
        <w:tc>
          <w:tcPr>
            <w:tcW w:w="1276" w:type="dxa"/>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16.49±0.20</w:t>
            </w:r>
            <w:r>
              <w:rPr>
                <w:rFonts w:ascii="Times New Roman" w:eastAsia="Calibri" w:hAnsi="Times New Roman" w:cs="Times New Roman"/>
                <w:szCs w:val="20"/>
                <w:vertAlign w:val="superscript"/>
              </w:rPr>
              <w:t>b</w:t>
            </w:r>
          </w:p>
        </w:tc>
        <w:tc>
          <w:tcPr>
            <w:tcW w:w="1559" w:type="dxa"/>
            <w:vAlign w:val="center"/>
          </w:tcPr>
          <w:p>
            <w:pPr>
              <w:spacing w:after="120"/>
              <w:jc w:val="center"/>
              <w:rPr>
                <w:rFonts w:ascii="Times New Roman" w:eastAsia="Calibri" w:hAnsi="Times New Roman" w:cs="Times New Roman"/>
                <w:color w:val="000000"/>
                <w:lang w:val="en-US"/>
              </w:rPr>
            </w:pPr>
            <w:r>
              <w:rPr>
                <w:rFonts w:ascii="Times New Roman" w:eastAsia="Calibri" w:hAnsi="Times New Roman" w:cs="Times New Roman"/>
                <w:color w:val="000000"/>
              </w:rPr>
              <w:t>285.65</w:t>
            </w:r>
            <w:r>
              <w:rPr>
                <w:rFonts w:ascii="Times New Roman" w:eastAsia="Calibri" w:hAnsi="Times New Roman" w:cs="Times New Roman"/>
              </w:rPr>
              <w:t>±0.84</w:t>
            </w:r>
            <w:r>
              <w:rPr>
                <w:rFonts w:ascii="Times New Roman" w:eastAsia="Calibri" w:hAnsi="Times New Roman" w:cs="Times New Roman"/>
                <w:szCs w:val="20"/>
                <w:vertAlign w:val="superscript"/>
                <w:lang w:val="en-US"/>
              </w:rPr>
              <w:t>b</w:t>
            </w:r>
          </w:p>
        </w:tc>
      </w:tr>
      <w:tr>
        <w:trPr>
          <w:cantSplit/>
          <w:trHeight w:val="374"/>
        </w:trPr>
        <w:tc>
          <w:tcPr>
            <w:tcW w:w="993" w:type="dxa"/>
            <w:noWrap/>
            <w:vAlign w:val="center"/>
            <w:hideMark/>
          </w:tcPr>
          <w:p>
            <w:pPr>
              <w:keepNext/>
              <w:spacing w:after="120"/>
              <w:rPr>
                <w:rFonts w:ascii="Times New Roman" w:eastAsia="Calibri" w:hAnsi="Times New Roman" w:cs="Times New Roman"/>
                <w:b/>
                <w:bCs/>
                <w:szCs w:val="20"/>
              </w:rPr>
            </w:pPr>
            <w:r>
              <w:rPr>
                <w:rFonts w:ascii="Times New Roman" w:eastAsia="Calibri" w:hAnsi="Times New Roman" w:cs="Times New Roman"/>
                <w:b/>
                <w:bCs/>
                <w:szCs w:val="20"/>
              </w:rPr>
              <w:t>3309 C</w:t>
            </w:r>
          </w:p>
        </w:tc>
        <w:tc>
          <w:tcPr>
            <w:tcW w:w="708" w:type="dxa"/>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2023</w:t>
            </w:r>
          </w:p>
        </w:tc>
        <w:tc>
          <w:tcPr>
            <w:tcW w:w="1560" w:type="dxa"/>
            <w:noWrap/>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141.08±10.47</w:t>
            </w:r>
            <w:r>
              <w:rPr>
                <w:rFonts w:ascii="Times New Roman" w:eastAsia="Calibri" w:hAnsi="Times New Roman" w:cs="Times New Roman"/>
                <w:szCs w:val="20"/>
                <w:vertAlign w:val="superscript"/>
              </w:rPr>
              <w:t>bc</w:t>
            </w:r>
          </w:p>
        </w:tc>
        <w:tc>
          <w:tcPr>
            <w:tcW w:w="1417" w:type="dxa"/>
            <w:noWrap/>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16.1±0.9</w:t>
            </w:r>
            <w:r>
              <w:rPr>
                <w:rFonts w:ascii="Times New Roman" w:eastAsia="Calibri" w:hAnsi="Times New Roman" w:cs="Times New Roman"/>
                <w:szCs w:val="20"/>
                <w:vertAlign w:val="superscript"/>
              </w:rPr>
              <w:t>ab</w:t>
            </w:r>
          </w:p>
        </w:tc>
        <w:tc>
          <w:tcPr>
            <w:tcW w:w="1276" w:type="dxa"/>
            <w:noWrap/>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60.6±</w:t>
            </w:r>
            <w:r>
              <w:rPr>
                <w:rFonts w:ascii="Times New Roman" w:eastAsia="Calibri" w:hAnsi="Times New Roman" w:cs="Times New Roman"/>
                <w:szCs w:val="20"/>
                <w:lang w:val="en-US"/>
              </w:rPr>
              <w:t>4.7</w:t>
            </w:r>
            <w:r>
              <w:rPr>
                <w:rFonts w:ascii="Times New Roman" w:eastAsia="Calibri" w:hAnsi="Times New Roman" w:cs="Times New Roman"/>
                <w:szCs w:val="20"/>
                <w:vertAlign w:val="superscript"/>
              </w:rPr>
              <w:t>ab</w:t>
            </w:r>
          </w:p>
        </w:tc>
        <w:tc>
          <w:tcPr>
            <w:tcW w:w="1276" w:type="dxa"/>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17.23±0.15</w:t>
            </w:r>
            <w:r>
              <w:rPr>
                <w:rFonts w:ascii="Times New Roman" w:eastAsia="Calibri" w:hAnsi="Times New Roman" w:cs="Times New Roman"/>
                <w:szCs w:val="20"/>
                <w:vertAlign w:val="superscript"/>
              </w:rPr>
              <w:t>a</w:t>
            </w:r>
          </w:p>
        </w:tc>
        <w:tc>
          <w:tcPr>
            <w:tcW w:w="1559" w:type="dxa"/>
            <w:vAlign w:val="center"/>
          </w:tcPr>
          <w:p>
            <w:pPr>
              <w:spacing w:after="120"/>
              <w:jc w:val="center"/>
              <w:rPr>
                <w:rFonts w:ascii="Times New Roman" w:eastAsia="Calibri" w:hAnsi="Times New Roman" w:cs="Times New Roman"/>
                <w:color w:val="000000"/>
              </w:rPr>
            </w:pPr>
            <w:r>
              <w:rPr>
                <w:rFonts w:ascii="Times New Roman" w:eastAsia="Calibri" w:hAnsi="Times New Roman" w:cs="Times New Roman"/>
                <w:color w:val="000000"/>
              </w:rPr>
              <w:t>274.2</w:t>
            </w:r>
            <w:r>
              <w:rPr>
                <w:rFonts w:ascii="Times New Roman" w:eastAsia="Calibri" w:hAnsi="Times New Roman" w:cs="Times New Roman"/>
              </w:rPr>
              <w:t>±1.03</w:t>
            </w:r>
            <w:r>
              <w:rPr>
                <w:rFonts w:ascii="Times New Roman" w:eastAsia="Calibri" w:hAnsi="Times New Roman" w:cs="Times New Roman"/>
                <w:szCs w:val="20"/>
                <w:vertAlign w:val="superscript"/>
              </w:rPr>
              <w:t>c</w:t>
            </w:r>
          </w:p>
        </w:tc>
      </w:tr>
      <w:tr>
        <w:trPr>
          <w:cantSplit/>
          <w:trHeight w:val="374"/>
        </w:trPr>
        <w:tc>
          <w:tcPr>
            <w:tcW w:w="993" w:type="dxa"/>
            <w:noWrap/>
            <w:vAlign w:val="center"/>
            <w:hideMark/>
          </w:tcPr>
          <w:p>
            <w:pPr>
              <w:keepNext/>
              <w:spacing w:after="120"/>
              <w:rPr>
                <w:rFonts w:ascii="Times New Roman" w:eastAsia="Calibri" w:hAnsi="Times New Roman" w:cs="Times New Roman"/>
                <w:b/>
                <w:bCs/>
                <w:szCs w:val="20"/>
              </w:rPr>
            </w:pPr>
            <w:r>
              <w:rPr>
                <w:rFonts w:ascii="Times New Roman" w:eastAsia="Calibri" w:hAnsi="Times New Roman" w:cs="Times New Roman"/>
                <w:b/>
                <w:bCs/>
                <w:szCs w:val="20"/>
              </w:rPr>
              <w:t>41 B</w:t>
            </w:r>
          </w:p>
        </w:tc>
        <w:tc>
          <w:tcPr>
            <w:tcW w:w="708" w:type="dxa"/>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2023</w:t>
            </w:r>
          </w:p>
        </w:tc>
        <w:tc>
          <w:tcPr>
            <w:tcW w:w="1560" w:type="dxa"/>
            <w:noWrap/>
            <w:vAlign w:val="center"/>
            <w:hideMark/>
          </w:tcPr>
          <w:p>
            <w:pPr>
              <w:keepNext/>
              <w:spacing w:after="120"/>
              <w:jc w:val="center"/>
              <w:rPr>
                <w:rFonts w:ascii="Times New Roman" w:eastAsia="Calibri" w:hAnsi="Times New Roman" w:cs="Times New Roman"/>
                <w:szCs w:val="20"/>
                <w:lang w:val="en-US"/>
              </w:rPr>
            </w:pPr>
            <w:r>
              <w:rPr>
                <w:rFonts w:ascii="Times New Roman" w:eastAsia="Calibri" w:hAnsi="Times New Roman" w:cs="Times New Roman"/>
                <w:szCs w:val="20"/>
              </w:rPr>
              <w:t>175.67±10.26</w:t>
            </w:r>
            <w:r>
              <w:rPr>
                <w:rFonts w:ascii="Times New Roman" w:eastAsia="Calibri" w:hAnsi="Times New Roman" w:cs="Times New Roman"/>
                <w:szCs w:val="20"/>
                <w:vertAlign w:val="superscript"/>
              </w:rPr>
              <w:t>a</w:t>
            </w:r>
            <w:r>
              <w:rPr>
                <w:rFonts w:ascii="Times New Roman" w:eastAsia="Calibri" w:hAnsi="Times New Roman" w:cs="Times New Roman"/>
                <w:szCs w:val="20"/>
                <w:vertAlign w:val="superscript"/>
                <w:lang w:val="en-US"/>
              </w:rPr>
              <w:t>b</w:t>
            </w:r>
          </w:p>
        </w:tc>
        <w:tc>
          <w:tcPr>
            <w:tcW w:w="1417" w:type="dxa"/>
            <w:noWrap/>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16.8±0.5</w:t>
            </w:r>
            <w:r>
              <w:rPr>
                <w:rFonts w:ascii="Times New Roman" w:eastAsia="Calibri" w:hAnsi="Times New Roman" w:cs="Times New Roman"/>
                <w:szCs w:val="20"/>
                <w:vertAlign w:val="superscript"/>
              </w:rPr>
              <w:t>a</w:t>
            </w:r>
          </w:p>
        </w:tc>
        <w:tc>
          <w:tcPr>
            <w:tcW w:w="1276" w:type="dxa"/>
            <w:noWrap/>
            <w:vAlign w:val="center"/>
            <w:hideMark/>
          </w:tcPr>
          <w:p>
            <w:pPr>
              <w:keepNext/>
              <w:spacing w:after="120"/>
              <w:jc w:val="center"/>
              <w:rPr>
                <w:rFonts w:ascii="Times New Roman" w:eastAsia="Calibri" w:hAnsi="Times New Roman" w:cs="Times New Roman"/>
                <w:szCs w:val="20"/>
                <w:lang w:val="el-GR"/>
              </w:rPr>
            </w:pPr>
            <w:r>
              <w:rPr>
                <w:rFonts w:ascii="Times New Roman" w:eastAsia="Calibri" w:hAnsi="Times New Roman" w:cs="Times New Roman"/>
                <w:szCs w:val="20"/>
              </w:rPr>
              <w:t>5</w:t>
            </w:r>
            <w:r>
              <w:rPr>
                <w:rFonts w:ascii="Times New Roman" w:eastAsia="Calibri" w:hAnsi="Times New Roman" w:cs="Times New Roman"/>
                <w:szCs w:val="20"/>
                <w:lang w:val="en-US"/>
              </w:rPr>
              <w:t>4.6</w:t>
            </w:r>
            <w:r>
              <w:rPr>
                <w:rFonts w:ascii="Times New Roman" w:eastAsia="Calibri" w:hAnsi="Times New Roman" w:cs="Times New Roman"/>
                <w:szCs w:val="20"/>
              </w:rPr>
              <w:t>±</w:t>
            </w:r>
            <w:r>
              <w:rPr>
                <w:rFonts w:ascii="Times New Roman" w:eastAsia="Calibri" w:hAnsi="Times New Roman" w:cs="Times New Roman"/>
                <w:szCs w:val="20"/>
                <w:lang w:val="en-US"/>
              </w:rPr>
              <w:t>2.9</w:t>
            </w:r>
            <w:r>
              <w:rPr>
                <w:rFonts w:ascii="Times New Roman" w:eastAsia="Calibri" w:hAnsi="Times New Roman" w:cs="Times New Roman"/>
                <w:szCs w:val="20"/>
                <w:vertAlign w:val="superscript"/>
              </w:rPr>
              <w:t>b</w:t>
            </w:r>
          </w:p>
        </w:tc>
        <w:tc>
          <w:tcPr>
            <w:tcW w:w="1276" w:type="dxa"/>
            <w:vAlign w:val="center"/>
            <w:hideMark/>
          </w:tcPr>
          <w:p>
            <w:pPr>
              <w:keepNext/>
              <w:spacing w:after="120"/>
              <w:jc w:val="center"/>
              <w:rPr>
                <w:rFonts w:ascii="Times New Roman" w:eastAsia="Calibri" w:hAnsi="Times New Roman" w:cs="Times New Roman"/>
                <w:szCs w:val="20"/>
                <w:lang w:val="en-US"/>
              </w:rPr>
            </w:pPr>
            <w:r>
              <w:rPr>
                <w:rFonts w:ascii="Times New Roman" w:eastAsia="Calibri" w:hAnsi="Times New Roman" w:cs="Times New Roman"/>
                <w:szCs w:val="20"/>
              </w:rPr>
              <w:t>16.42±0.19</w:t>
            </w:r>
            <w:r>
              <w:rPr>
                <w:rFonts w:ascii="Times New Roman" w:eastAsia="Calibri" w:hAnsi="Times New Roman" w:cs="Times New Roman"/>
                <w:szCs w:val="20"/>
                <w:vertAlign w:val="superscript"/>
              </w:rPr>
              <w:t>b</w:t>
            </w:r>
          </w:p>
        </w:tc>
        <w:tc>
          <w:tcPr>
            <w:tcW w:w="1559" w:type="dxa"/>
            <w:vAlign w:val="center"/>
          </w:tcPr>
          <w:p>
            <w:pPr>
              <w:spacing w:after="120"/>
              <w:jc w:val="center"/>
              <w:rPr>
                <w:rFonts w:ascii="Times New Roman" w:eastAsia="Calibri" w:hAnsi="Times New Roman" w:cs="Times New Roman"/>
                <w:color w:val="000000"/>
                <w:lang w:val="en-US"/>
              </w:rPr>
            </w:pPr>
            <w:r>
              <w:rPr>
                <w:rFonts w:ascii="Times New Roman" w:eastAsia="Calibri" w:hAnsi="Times New Roman" w:cs="Times New Roman"/>
                <w:color w:val="000000"/>
              </w:rPr>
              <w:t>309.51</w:t>
            </w:r>
            <w:r>
              <w:rPr>
                <w:rFonts w:ascii="Times New Roman" w:eastAsia="Calibri" w:hAnsi="Times New Roman" w:cs="Times New Roman"/>
              </w:rPr>
              <w:t>±1.33</w:t>
            </w:r>
            <w:r>
              <w:rPr>
                <w:rFonts w:ascii="Times New Roman" w:eastAsia="Calibri" w:hAnsi="Times New Roman" w:cs="Times New Roman"/>
                <w:szCs w:val="20"/>
                <w:vertAlign w:val="superscript"/>
              </w:rPr>
              <w:t>a</w:t>
            </w:r>
          </w:p>
        </w:tc>
      </w:tr>
      <w:bookmarkEnd w:id="8"/>
      <w:tr>
        <w:trPr>
          <w:cantSplit/>
          <w:trHeight w:val="374"/>
        </w:trPr>
        <w:tc>
          <w:tcPr>
            <w:tcW w:w="993" w:type="dxa"/>
            <w:tcBorders>
              <w:bottom w:val="single" w:sz="12" w:space="0" w:color="000000"/>
            </w:tcBorders>
            <w:noWrap/>
            <w:vAlign w:val="center"/>
          </w:tcPr>
          <w:p>
            <w:pPr>
              <w:keepNext/>
              <w:spacing w:after="120"/>
              <w:rPr>
                <w:rFonts w:ascii="Times New Roman" w:eastAsia="Calibri" w:hAnsi="Times New Roman" w:cs="Times New Roman"/>
                <w:b/>
                <w:bCs/>
                <w:szCs w:val="20"/>
              </w:rPr>
            </w:pPr>
            <w:proofErr w:type="spellStart"/>
            <w:r>
              <w:rPr>
                <w:rFonts w:ascii="Times New Roman" w:eastAsia="Calibri" w:hAnsi="Times New Roman" w:cs="Times New Roman"/>
                <w:b/>
                <w:bCs/>
                <w:szCs w:val="20"/>
                <w:lang w:val="en-US"/>
              </w:rPr>
              <w:t>Fercal</w:t>
            </w:r>
            <w:proofErr w:type="spellEnd"/>
          </w:p>
        </w:tc>
        <w:tc>
          <w:tcPr>
            <w:tcW w:w="708" w:type="dxa"/>
            <w:tcBorders>
              <w:bottom w:val="single" w:sz="12" w:space="0" w:color="000000"/>
            </w:tcBorders>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2023</w:t>
            </w:r>
          </w:p>
        </w:tc>
        <w:tc>
          <w:tcPr>
            <w:tcW w:w="1560" w:type="dxa"/>
            <w:tcBorders>
              <w:bottom w:val="single" w:sz="12" w:space="0" w:color="000000"/>
            </w:tcBorders>
            <w:noWrap/>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137.94±5.73</w:t>
            </w:r>
            <w:r>
              <w:rPr>
                <w:rFonts w:ascii="Times New Roman" w:eastAsia="Calibri" w:hAnsi="Times New Roman" w:cs="Times New Roman"/>
                <w:szCs w:val="20"/>
                <w:vertAlign w:val="superscript"/>
              </w:rPr>
              <w:t>bc</w:t>
            </w:r>
          </w:p>
        </w:tc>
        <w:tc>
          <w:tcPr>
            <w:tcW w:w="1417" w:type="dxa"/>
            <w:tcBorders>
              <w:bottom w:val="single" w:sz="12" w:space="0" w:color="000000"/>
            </w:tcBorders>
            <w:noWrap/>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17.0±0.3</w:t>
            </w:r>
            <w:r>
              <w:rPr>
                <w:rFonts w:ascii="Times New Roman" w:eastAsia="Calibri" w:hAnsi="Times New Roman" w:cs="Times New Roman"/>
                <w:szCs w:val="20"/>
                <w:vertAlign w:val="superscript"/>
              </w:rPr>
              <w:t>a</w:t>
            </w:r>
          </w:p>
        </w:tc>
        <w:tc>
          <w:tcPr>
            <w:tcW w:w="1276" w:type="dxa"/>
            <w:tcBorders>
              <w:bottom w:val="single" w:sz="12" w:space="0" w:color="000000"/>
            </w:tcBorders>
            <w:noWrap/>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55.0±</w:t>
            </w:r>
            <w:r>
              <w:rPr>
                <w:rFonts w:ascii="Times New Roman" w:eastAsia="Calibri" w:hAnsi="Times New Roman" w:cs="Times New Roman"/>
                <w:szCs w:val="20"/>
                <w:lang w:val="en-US"/>
              </w:rPr>
              <w:t>4.0</w:t>
            </w:r>
            <w:r>
              <w:rPr>
                <w:rFonts w:ascii="Times New Roman" w:eastAsia="Calibri" w:hAnsi="Times New Roman" w:cs="Times New Roman"/>
                <w:szCs w:val="20"/>
                <w:vertAlign w:val="superscript"/>
              </w:rPr>
              <w:t>b</w:t>
            </w:r>
          </w:p>
        </w:tc>
        <w:tc>
          <w:tcPr>
            <w:tcW w:w="1276" w:type="dxa"/>
            <w:tcBorders>
              <w:bottom w:val="single" w:sz="12" w:space="0" w:color="000000"/>
            </w:tcBorders>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15.83±0.16</w:t>
            </w:r>
            <w:r>
              <w:rPr>
                <w:rFonts w:ascii="Times New Roman" w:eastAsia="Calibri" w:hAnsi="Times New Roman" w:cs="Times New Roman"/>
                <w:szCs w:val="20"/>
                <w:vertAlign w:val="superscript"/>
              </w:rPr>
              <w:t>b</w:t>
            </w:r>
          </w:p>
        </w:tc>
        <w:tc>
          <w:tcPr>
            <w:tcW w:w="1559" w:type="dxa"/>
            <w:tcBorders>
              <w:bottom w:val="single" w:sz="12" w:space="0" w:color="000000"/>
            </w:tcBorders>
            <w:vAlign w:val="center"/>
          </w:tcPr>
          <w:p>
            <w:pPr>
              <w:spacing w:after="120"/>
              <w:jc w:val="center"/>
              <w:rPr>
                <w:rFonts w:ascii="Times New Roman" w:eastAsia="Calibri" w:hAnsi="Times New Roman" w:cs="Times New Roman"/>
                <w:color w:val="000000"/>
              </w:rPr>
            </w:pPr>
            <w:r>
              <w:rPr>
                <w:rFonts w:ascii="Times New Roman" w:eastAsia="Calibri" w:hAnsi="Times New Roman" w:cs="Times New Roman"/>
                <w:color w:val="000000"/>
              </w:rPr>
              <w:t>284.44</w:t>
            </w:r>
            <w:r>
              <w:rPr>
                <w:rFonts w:ascii="Times New Roman" w:eastAsia="Calibri" w:hAnsi="Times New Roman" w:cs="Times New Roman"/>
              </w:rPr>
              <w:t>±0.84</w:t>
            </w:r>
            <w:r>
              <w:rPr>
                <w:rFonts w:ascii="Times New Roman" w:eastAsia="Calibri" w:hAnsi="Times New Roman" w:cs="Times New Roman"/>
                <w:szCs w:val="20"/>
                <w:vertAlign w:val="superscript"/>
              </w:rPr>
              <w:t>b</w:t>
            </w:r>
          </w:p>
        </w:tc>
      </w:tr>
      <w:tr>
        <w:trPr>
          <w:cantSplit/>
          <w:trHeight w:val="374"/>
        </w:trPr>
        <w:tc>
          <w:tcPr>
            <w:tcW w:w="993" w:type="dxa"/>
            <w:tcBorders>
              <w:top w:val="single" w:sz="12" w:space="0" w:color="000000"/>
            </w:tcBorders>
            <w:noWrap/>
            <w:vAlign w:val="center"/>
          </w:tcPr>
          <w:p>
            <w:pPr>
              <w:keepNext/>
              <w:spacing w:after="120"/>
              <w:rPr>
                <w:rFonts w:ascii="Times New Roman" w:eastAsia="Calibri" w:hAnsi="Times New Roman" w:cs="Times New Roman"/>
                <w:b/>
                <w:bCs/>
                <w:szCs w:val="20"/>
              </w:rPr>
            </w:pPr>
            <w:r>
              <w:rPr>
                <w:rFonts w:ascii="Times New Roman" w:eastAsia="Calibri" w:hAnsi="Times New Roman" w:cs="Times New Roman"/>
                <w:b/>
                <w:bCs/>
                <w:szCs w:val="20"/>
              </w:rPr>
              <w:t xml:space="preserve">R 110 </w:t>
            </w:r>
          </w:p>
        </w:tc>
        <w:tc>
          <w:tcPr>
            <w:tcW w:w="708" w:type="dxa"/>
            <w:tcBorders>
              <w:top w:val="single" w:sz="12" w:space="0" w:color="000000"/>
            </w:tcBorders>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2024</w:t>
            </w:r>
          </w:p>
        </w:tc>
        <w:tc>
          <w:tcPr>
            <w:tcW w:w="1560" w:type="dxa"/>
            <w:tcBorders>
              <w:top w:val="single" w:sz="12" w:space="0" w:color="000000"/>
            </w:tcBorders>
            <w:noWrap/>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115.11±10.10</w:t>
            </w:r>
            <w:r>
              <w:rPr>
                <w:rFonts w:ascii="Times New Roman" w:eastAsia="Calibri" w:hAnsi="Times New Roman" w:cs="Times New Roman"/>
                <w:szCs w:val="20"/>
                <w:vertAlign w:val="superscript"/>
              </w:rPr>
              <w:t>a</w:t>
            </w:r>
          </w:p>
        </w:tc>
        <w:tc>
          <w:tcPr>
            <w:tcW w:w="1417" w:type="dxa"/>
            <w:tcBorders>
              <w:top w:val="single" w:sz="12" w:space="0" w:color="000000"/>
            </w:tcBorders>
            <w:noWrap/>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14.4±0.6</w:t>
            </w:r>
            <w:r>
              <w:rPr>
                <w:rFonts w:ascii="Times New Roman" w:eastAsia="Calibri" w:hAnsi="Times New Roman" w:cs="Times New Roman"/>
                <w:szCs w:val="20"/>
                <w:vertAlign w:val="superscript"/>
              </w:rPr>
              <w:t>b</w:t>
            </w:r>
          </w:p>
        </w:tc>
        <w:tc>
          <w:tcPr>
            <w:tcW w:w="1276" w:type="dxa"/>
            <w:tcBorders>
              <w:top w:val="single" w:sz="12" w:space="0" w:color="000000"/>
            </w:tcBorders>
            <w:noWrap/>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43.3±4.6</w:t>
            </w:r>
            <w:r>
              <w:rPr>
                <w:rFonts w:ascii="Times New Roman" w:eastAsia="Calibri" w:hAnsi="Times New Roman" w:cs="Times New Roman"/>
                <w:szCs w:val="20"/>
                <w:vertAlign w:val="superscript"/>
              </w:rPr>
              <w:t>a</w:t>
            </w:r>
          </w:p>
        </w:tc>
        <w:tc>
          <w:tcPr>
            <w:tcW w:w="1276" w:type="dxa"/>
            <w:tcBorders>
              <w:top w:val="single" w:sz="12" w:space="0" w:color="000000"/>
            </w:tcBorders>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16.12±0.18</w:t>
            </w:r>
            <w:r>
              <w:rPr>
                <w:rFonts w:ascii="Times New Roman" w:eastAsia="Calibri" w:hAnsi="Times New Roman" w:cs="Times New Roman"/>
                <w:szCs w:val="20"/>
                <w:vertAlign w:val="superscript"/>
              </w:rPr>
              <w:t>ab</w:t>
            </w:r>
          </w:p>
        </w:tc>
        <w:tc>
          <w:tcPr>
            <w:tcW w:w="1559" w:type="dxa"/>
            <w:tcBorders>
              <w:top w:val="single" w:sz="12" w:space="0" w:color="000000"/>
            </w:tcBorders>
            <w:vAlign w:val="center"/>
          </w:tcPr>
          <w:p>
            <w:pPr>
              <w:spacing w:after="120"/>
              <w:jc w:val="center"/>
              <w:rPr>
                <w:rFonts w:ascii="Times New Roman" w:eastAsia="Calibri" w:hAnsi="Times New Roman" w:cs="Times New Roman"/>
                <w:color w:val="000000"/>
              </w:rPr>
            </w:pPr>
            <w:r>
              <w:rPr>
                <w:rFonts w:ascii="Times New Roman" w:eastAsia="Calibri" w:hAnsi="Times New Roman" w:cs="Times New Roman"/>
                <w:color w:val="000000"/>
              </w:rPr>
              <w:t>270.43</w:t>
            </w:r>
            <w:r>
              <w:rPr>
                <w:rFonts w:ascii="Times New Roman" w:eastAsia="Calibri" w:hAnsi="Times New Roman" w:cs="Times New Roman"/>
              </w:rPr>
              <w:t>±3.23</w:t>
            </w:r>
            <w:r>
              <w:rPr>
                <w:rFonts w:ascii="Times New Roman" w:eastAsia="Calibri" w:hAnsi="Times New Roman" w:cs="Times New Roman"/>
                <w:szCs w:val="20"/>
                <w:vertAlign w:val="superscript"/>
              </w:rPr>
              <w:t>c</w:t>
            </w:r>
          </w:p>
        </w:tc>
      </w:tr>
      <w:tr>
        <w:trPr>
          <w:cantSplit/>
          <w:trHeight w:val="374"/>
        </w:trPr>
        <w:tc>
          <w:tcPr>
            <w:tcW w:w="993" w:type="dxa"/>
            <w:noWrap/>
            <w:vAlign w:val="center"/>
          </w:tcPr>
          <w:p>
            <w:pPr>
              <w:keepNext/>
              <w:spacing w:after="120"/>
              <w:rPr>
                <w:rFonts w:ascii="Times New Roman" w:eastAsia="Calibri" w:hAnsi="Times New Roman" w:cs="Times New Roman"/>
                <w:b/>
                <w:bCs/>
                <w:szCs w:val="20"/>
              </w:rPr>
            </w:pPr>
            <w:r>
              <w:rPr>
                <w:rFonts w:ascii="Times New Roman" w:eastAsia="Calibri" w:hAnsi="Times New Roman" w:cs="Times New Roman"/>
                <w:b/>
                <w:bCs/>
                <w:szCs w:val="20"/>
              </w:rPr>
              <w:t>140 Ru</w:t>
            </w:r>
          </w:p>
        </w:tc>
        <w:tc>
          <w:tcPr>
            <w:tcW w:w="708" w:type="dxa"/>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2024</w:t>
            </w:r>
          </w:p>
        </w:tc>
        <w:tc>
          <w:tcPr>
            <w:tcW w:w="1560" w:type="dxa"/>
            <w:noWrap/>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151.9±14.06</w:t>
            </w:r>
            <w:r>
              <w:rPr>
                <w:rFonts w:ascii="Times New Roman" w:eastAsia="Calibri" w:hAnsi="Times New Roman" w:cs="Times New Roman"/>
                <w:szCs w:val="20"/>
                <w:vertAlign w:val="superscript"/>
              </w:rPr>
              <w:t>a</w:t>
            </w:r>
          </w:p>
        </w:tc>
        <w:tc>
          <w:tcPr>
            <w:tcW w:w="1417" w:type="dxa"/>
            <w:noWrap/>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15.6±1.0</w:t>
            </w:r>
            <w:r>
              <w:rPr>
                <w:rFonts w:ascii="Times New Roman" w:eastAsia="Calibri" w:hAnsi="Times New Roman" w:cs="Times New Roman"/>
                <w:szCs w:val="20"/>
                <w:vertAlign w:val="superscript"/>
              </w:rPr>
              <w:t>ab</w:t>
            </w:r>
          </w:p>
        </w:tc>
        <w:tc>
          <w:tcPr>
            <w:tcW w:w="1276" w:type="dxa"/>
            <w:noWrap/>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52.6±6.6</w:t>
            </w:r>
            <w:r>
              <w:rPr>
                <w:rFonts w:ascii="Times New Roman" w:eastAsia="Calibri" w:hAnsi="Times New Roman" w:cs="Times New Roman"/>
                <w:szCs w:val="20"/>
                <w:vertAlign w:val="superscript"/>
              </w:rPr>
              <w:t>a</w:t>
            </w:r>
          </w:p>
        </w:tc>
        <w:tc>
          <w:tcPr>
            <w:tcW w:w="1276" w:type="dxa"/>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15.44±0.25</w:t>
            </w:r>
            <w:r>
              <w:rPr>
                <w:rFonts w:ascii="Times New Roman" w:eastAsia="Calibri" w:hAnsi="Times New Roman" w:cs="Times New Roman"/>
                <w:szCs w:val="20"/>
                <w:vertAlign w:val="superscript"/>
              </w:rPr>
              <w:t>b</w:t>
            </w:r>
          </w:p>
        </w:tc>
        <w:tc>
          <w:tcPr>
            <w:tcW w:w="1559" w:type="dxa"/>
            <w:vAlign w:val="center"/>
          </w:tcPr>
          <w:p>
            <w:pPr>
              <w:spacing w:after="120"/>
              <w:jc w:val="center"/>
              <w:rPr>
                <w:rFonts w:ascii="Times New Roman" w:eastAsia="Calibri" w:hAnsi="Times New Roman" w:cs="Times New Roman"/>
                <w:color w:val="000000"/>
              </w:rPr>
            </w:pPr>
            <w:r>
              <w:rPr>
                <w:rFonts w:ascii="Times New Roman" w:eastAsia="Calibri" w:hAnsi="Times New Roman" w:cs="Times New Roman"/>
                <w:color w:val="000000"/>
              </w:rPr>
              <w:t>288.38</w:t>
            </w:r>
            <w:r>
              <w:rPr>
                <w:rFonts w:ascii="Times New Roman" w:eastAsia="Calibri" w:hAnsi="Times New Roman" w:cs="Times New Roman"/>
              </w:rPr>
              <w:t>±2.42</w:t>
            </w:r>
            <w:r>
              <w:rPr>
                <w:rFonts w:ascii="Times New Roman" w:eastAsia="Calibri" w:hAnsi="Times New Roman" w:cs="Times New Roman"/>
                <w:szCs w:val="20"/>
                <w:vertAlign w:val="superscript"/>
              </w:rPr>
              <w:t>ab</w:t>
            </w:r>
          </w:p>
        </w:tc>
      </w:tr>
      <w:tr>
        <w:trPr>
          <w:cantSplit/>
          <w:trHeight w:val="374"/>
        </w:trPr>
        <w:tc>
          <w:tcPr>
            <w:tcW w:w="993" w:type="dxa"/>
            <w:noWrap/>
            <w:vAlign w:val="center"/>
          </w:tcPr>
          <w:p>
            <w:pPr>
              <w:keepNext/>
              <w:spacing w:after="120"/>
              <w:rPr>
                <w:rFonts w:ascii="Times New Roman" w:eastAsia="Calibri" w:hAnsi="Times New Roman" w:cs="Times New Roman"/>
                <w:b/>
                <w:bCs/>
                <w:szCs w:val="20"/>
              </w:rPr>
            </w:pPr>
            <w:r>
              <w:rPr>
                <w:rFonts w:ascii="Times New Roman" w:eastAsia="Calibri" w:hAnsi="Times New Roman" w:cs="Times New Roman"/>
                <w:b/>
                <w:bCs/>
                <w:szCs w:val="20"/>
              </w:rPr>
              <w:t>3309 C</w:t>
            </w:r>
          </w:p>
        </w:tc>
        <w:tc>
          <w:tcPr>
            <w:tcW w:w="708" w:type="dxa"/>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2024</w:t>
            </w:r>
          </w:p>
        </w:tc>
        <w:tc>
          <w:tcPr>
            <w:tcW w:w="1560" w:type="dxa"/>
            <w:noWrap/>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143.93±12.55</w:t>
            </w:r>
            <w:r>
              <w:rPr>
                <w:rFonts w:ascii="Times New Roman" w:eastAsia="Calibri" w:hAnsi="Times New Roman" w:cs="Times New Roman"/>
                <w:szCs w:val="20"/>
                <w:vertAlign w:val="superscript"/>
              </w:rPr>
              <w:t>a</w:t>
            </w:r>
          </w:p>
        </w:tc>
        <w:tc>
          <w:tcPr>
            <w:tcW w:w="1417" w:type="dxa"/>
            <w:noWrap/>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16.6±1.0</w:t>
            </w:r>
            <w:r>
              <w:rPr>
                <w:rFonts w:ascii="Times New Roman" w:eastAsia="Calibri" w:hAnsi="Times New Roman" w:cs="Times New Roman"/>
                <w:szCs w:val="20"/>
                <w:vertAlign w:val="superscript"/>
              </w:rPr>
              <w:t>ab</w:t>
            </w:r>
          </w:p>
        </w:tc>
        <w:tc>
          <w:tcPr>
            <w:tcW w:w="1276" w:type="dxa"/>
            <w:noWrap/>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48.6±4.1</w:t>
            </w:r>
            <w:r>
              <w:rPr>
                <w:rFonts w:ascii="Times New Roman" w:eastAsia="Calibri" w:hAnsi="Times New Roman" w:cs="Times New Roman"/>
                <w:szCs w:val="20"/>
                <w:vertAlign w:val="superscript"/>
              </w:rPr>
              <w:t>a</w:t>
            </w:r>
          </w:p>
        </w:tc>
        <w:tc>
          <w:tcPr>
            <w:tcW w:w="1276" w:type="dxa"/>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16.38±0.20</w:t>
            </w:r>
            <w:r>
              <w:rPr>
                <w:rFonts w:ascii="Times New Roman" w:eastAsia="Calibri" w:hAnsi="Times New Roman" w:cs="Times New Roman"/>
                <w:szCs w:val="20"/>
                <w:vertAlign w:val="superscript"/>
              </w:rPr>
              <w:t>a</w:t>
            </w:r>
          </w:p>
        </w:tc>
        <w:tc>
          <w:tcPr>
            <w:tcW w:w="1559" w:type="dxa"/>
            <w:vAlign w:val="center"/>
          </w:tcPr>
          <w:p>
            <w:pPr>
              <w:spacing w:after="120"/>
              <w:jc w:val="center"/>
              <w:rPr>
                <w:rFonts w:ascii="Times New Roman" w:eastAsia="Calibri" w:hAnsi="Times New Roman" w:cs="Times New Roman"/>
                <w:color w:val="000000"/>
              </w:rPr>
            </w:pPr>
            <w:r>
              <w:rPr>
                <w:rFonts w:ascii="Times New Roman" w:eastAsia="Calibri" w:hAnsi="Times New Roman" w:cs="Times New Roman"/>
                <w:color w:val="000000"/>
              </w:rPr>
              <w:t>294.69</w:t>
            </w:r>
            <w:r>
              <w:rPr>
                <w:rFonts w:ascii="Times New Roman" w:eastAsia="Calibri" w:hAnsi="Times New Roman" w:cs="Times New Roman"/>
              </w:rPr>
              <w:t>±3.64</w:t>
            </w:r>
            <w:r>
              <w:rPr>
                <w:rFonts w:ascii="Times New Roman" w:eastAsia="Calibri" w:hAnsi="Times New Roman" w:cs="Times New Roman"/>
                <w:szCs w:val="20"/>
                <w:vertAlign w:val="superscript"/>
              </w:rPr>
              <w:t>a</w:t>
            </w:r>
          </w:p>
        </w:tc>
      </w:tr>
      <w:tr>
        <w:trPr>
          <w:cantSplit/>
          <w:trHeight w:val="374"/>
        </w:trPr>
        <w:tc>
          <w:tcPr>
            <w:tcW w:w="993" w:type="dxa"/>
            <w:noWrap/>
            <w:vAlign w:val="center"/>
          </w:tcPr>
          <w:p>
            <w:pPr>
              <w:keepNext/>
              <w:spacing w:after="120"/>
              <w:rPr>
                <w:rFonts w:ascii="Times New Roman" w:eastAsia="Calibri" w:hAnsi="Times New Roman" w:cs="Times New Roman"/>
                <w:b/>
                <w:bCs/>
                <w:szCs w:val="20"/>
              </w:rPr>
            </w:pPr>
            <w:r>
              <w:rPr>
                <w:rFonts w:ascii="Times New Roman" w:eastAsia="Calibri" w:hAnsi="Times New Roman" w:cs="Times New Roman"/>
                <w:b/>
                <w:bCs/>
                <w:szCs w:val="20"/>
              </w:rPr>
              <w:t>41 B</w:t>
            </w:r>
          </w:p>
        </w:tc>
        <w:tc>
          <w:tcPr>
            <w:tcW w:w="708" w:type="dxa"/>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2024</w:t>
            </w:r>
          </w:p>
        </w:tc>
        <w:tc>
          <w:tcPr>
            <w:tcW w:w="1560" w:type="dxa"/>
            <w:noWrap/>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152.55±15.27</w:t>
            </w:r>
            <w:r>
              <w:rPr>
                <w:rFonts w:ascii="Times New Roman" w:eastAsia="Calibri" w:hAnsi="Times New Roman" w:cs="Times New Roman"/>
                <w:szCs w:val="20"/>
                <w:vertAlign w:val="superscript"/>
              </w:rPr>
              <w:t>a</w:t>
            </w:r>
          </w:p>
        </w:tc>
        <w:tc>
          <w:tcPr>
            <w:tcW w:w="1417" w:type="dxa"/>
            <w:noWrap/>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17.7±0.9</w:t>
            </w:r>
            <w:r>
              <w:rPr>
                <w:rFonts w:ascii="Times New Roman" w:eastAsia="Calibri" w:hAnsi="Times New Roman" w:cs="Times New Roman"/>
                <w:szCs w:val="20"/>
                <w:vertAlign w:val="superscript"/>
              </w:rPr>
              <w:t>ab</w:t>
            </w:r>
          </w:p>
        </w:tc>
        <w:tc>
          <w:tcPr>
            <w:tcW w:w="1276" w:type="dxa"/>
            <w:noWrap/>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53.1±6.7</w:t>
            </w:r>
            <w:r>
              <w:rPr>
                <w:rFonts w:ascii="Times New Roman" w:eastAsia="Calibri" w:hAnsi="Times New Roman" w:cs="Times New Roman"/>
                <w:szCs w:val="20"/>
                <w:vertAlign w:val="superscript"/>
              </w:rPr>
              <w:t>a</w:t>
            </w:r>
          </w:p>
        </w:tc>
        <w:tc>
          <w:tcPr>
            <w:tcW w:w="1276" w:type="dxa"/>
            <w:vAlign w:val="center"/>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16.13±0.20</w:t>
            </w:r>
            <w:r>
              <w:rPr>
                <w:rFonts w:ascii="Times New Roman" w:eastAsia="Calibri" w:hAnsi="Times New Roman" w:cs="Times New Roman"/>
                <w:szCs w:val="20"/>
                <w:vertAlign w:val="superscript"/>
              </w:rPr>
              <w:t>ab</w:t>
            </w:r>
          </w:p>
        </w:tc>
        <w:tc>
          <w:tcPr>
            <w:tcW w:w="1559" w:type="dxa"/>
            <w:vAlign w:val="center"/>
          </w:tcPr>
          <w:p>
            <w:pPr>
              <w:spacing w:after="120"/>
              <w:jc w:val="center"/>
              <w:rPr>
                <w:rFonts w:ascii="Times New Roman" w:eastAsia="Calibri" w:hAnsi="Times New Roman" w:cs="Times New Roman"/>
                <w:color w:val="000000"/>
              </w:rPr>
            </w:pPr>
            <w:r>
              <w:rPr>
                <w:rFonts w:ascii="Times New Roman" w:eastAsia="Calibri" w:hAnsi="Times New Roman" w:cs="Times New Roman"/>
                <w:color w:val="000000"/>
              </w:rPr>
              <w:t>285.11</w:t>
            </w:r>
            <w:r>
              <w:rPr>
                <w:rFonts w:ascii="Times New Roman" w:eastAsia="Calibri" w:hAnsi="Times New Roman" w:cs="Times New Roman"/>
              </w:rPr>
              <w:t>±3.29</w:t>
            </w:r>
            <w:r>
              <w:rPr>
                <w:rFonts w:ascii="Times New Roman" w:eastAsia="Calibri" w:hAnsi="Times New Roman" w:cs="Times New Roman"/>
                <w:szCs w:val="20"/>
                <w:vertAlign w:val="superscript"/>
              </w:rPr>
              <w:t>ab</w:t>
            </w:r>
          </w:p>
        </w:tc>
      </w:tr>
      <w:tr>
        <w:trPr>
          <w:cantSplit/>
          <w:trHeight w:val="374"/>
        </w:trPr>
        <w:tc>
          <w:tcPr>
            <w:tcW w:w="993" w:type="dxa"/>
            <w:tcBorders>
              <w:bottom w:val="single" w:sz="12" w:space="0" w:color="000000"/>
            </w:tcBorders>
            <w:noWrap/>
            <w:vAlign w:val="center"/>
            <w:hideMark/>
          </w:tcPr>
          <w:p>
            <w:pPr>
              <w:keepNext/>
              <w:spacing w:after="120"/>
              <w:rPr>
                <w:rFonts w:ascii="Times New Roman" w:eastAsia="Calibri" w:hAnsi="Times New Roman" w:cs="Times New Roman"/>
                <w:b/>
                <w:bCs/>
                <w:szCs w:val="20"/>
                <w:lang w:val="en-US"/>
              </w:rPr>
            </w:pPr>
            <w:proofErr w:type="spellStart"/>
            <w:r>
              <w:rPr>
                <w:rFonts w:ascii="Times New Roman" w:eastAsia="Calibri" w:hAnsi="Times New Roman" w:cs="Times New Roman"/>
                <w:b/>
                <w:bCs/>
                <w:szCs w:val="20"/>
                <w:lang w:val="en-US"/>
              </w:rPr>
              <w:t>Fercal</w:t>
            </w:r>
            <w:proofErr w:type="spellEnd"/>
          </w:p>
        </w:tc>
        <w:tc>
          <w:tcPr>
            <w:tcW w:w="708" w:type="dxa"/>
            <w:tcBorders>
              <w:bottom w:val="single" w:sz="12" w:space="0" w:color="000000"/>
            </w:tcBorders>
          </w:tcPr>
          <w:p>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2024</w:t>
            </w:r>
          </w:p>
        </w:tc>
        <w:tc>
          <w:tcPr>
            <w:tcW w:w="1560" w:type="dxa"/>
            <w:tcBorders>
              <w:bottom w:val="single" w:sz="12" w:space="0" w:color="000000"/>
            </w:tcBorders>
            <w:noWrap/>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138.52±18.54</w:t>
            </w:r>
            <w:r>
              <w:rPr>
                <w:rFonts w:ascii="Times New Roman" w:eastAsia="Calibri" w:hAnsi="Times New Roman" w:cs="Times New Roman"/>
                <w:szCs w:val="20"/>
                <w:vertAlign w:val="superscript"/>
              </w:rPr>
              <w:t>a</w:t>
            </w:r>
          </w:p>
        </w:tc>
        <w:tc>
          <w:tcPr>
            <w:tcW w:w="1417" w:type="dxa"/>
            <w:tcBorders>
              <w:bottom w:val="single" w:sz="12" w:space="0" w:color="000000"/>
            </w:tcBorders>
            <w:noWrap/>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18.1±0.8</w:t>
            </w:r>
            <w:r>
              <w:rPr>
                <w:rFonts w:ascii="Times New Roman" w:eastAsia="Calibri" w:hAnsi="Times New Roman" w:cs="Times New Roman"/>
                <w:szCs w:val="20"/>
                <w:vertAlign w:val="superscript"/>
              </w:rPr>
              <w:t>a</w:t>
            </w:r>
          </w:p>
        </w:tc>
        <w:tc>
          <w:tcPr>
            <w:tcW w:w="1276" w:type="dxa"/>
            <w:tcBorders>
              <w:bottom w:val="single" w:sz="12" w:space="0" w:color="000000"/>
            </w:tcBorders>
            <w:noWrap/>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41.2±5.2</w:t>
            </w:r>
            <w:r>
              <w:rPr>
                <w:rFonts w:ascii="Times New Roman" w:eastAsia="Calibri" w:hAnsi="Times New Roman" w:cs="Times New Roman"/>
                <w:szCs w:val="20"/>
                <w:vertAlign w:val="superscript"/>
              </w:rPr>
              <w:t>a</w:t>
            </w:r>
          </w:p>
        </w:tc>
        <w:tc>
          <w:tcPr>
            <w:tcW w:w="1276" w:type="dxa"/>
            <w:tcBorders>
              <w:bottom w:val="single" w:sz="12" w:space="0" w:color="000000"/>
            </w:tcBorders>
            <w:vAlign w:val="center"/>
            <w:hideMark/>
          </w:tcPr>
          <w:p>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16.00±0.28</w:t>
            </w:r>
            <w:r>
              <w:rPr>
                <w:rFonts w:ascii="Times New Roman" w:eastAsia="Calibri" w:hAnsi="Times New Roman" w:cs="Times New Roman"/>
                <w:szCs w:val="20"/>
                <w:vertAlign w:val="superscript"/>
              </w:rPr>
              <w:t>ab</w:t>
            </w:r>
          </w:p>
        </w:tc>
        <w:tc>
          <w:tcPr>
            <w:tcW w:w="1559" w:type="dxa"/>
            <w:tcBorders>
              <w:bottom w:val="single" w:sz="12" w:space="0" w:color="000000"/>
            </w:tcBorders>
            <w:vAlign w:val="center"/>
          </w:tcPr>
          <w:p>
            <w:pPr>
              <w:spacing w:after="120"/>
              <w:jc w:val="center"/>
              <w:rPr>
                <w:rFonts w:ascii="Times New Roman" w:eastAsia="Calibri" w:hAnsi="Times New Roman" w:cs="Times New Roman"/>
                <w:color w:val="000000"/>
              </w:rPr>
            </w:pPr>
            <w:r>
              <w:rPr>
                <w:rFonts w:ascii="Times New Roman" w:eastAsia="Calibri" w:hAnsi="Times New Roman" w:cs="Times New Roman"/>
                <w:color w:val="000000"/>
              </w:rPr>
              <w:t>281.11</w:t>
            </w:r>
            <w:r>
              <w:rPr>
                <w:rFonts w:ascii="Times New Roman" w:eastAsia="Calibri" w:hAnsi="Times New Roman" w:cs="Times New Roman"/>
              </w:rPr>
              <w:t>±4.21</w:t>
            </w:r>
            <w:r>
              <w:rPr>
                <w:rFonts w:ascii="Times New Roman" w:eastAsia="Calibri" w:hAnsi="Times New Roman" w:cs="Times New Roman"/>
                <w:szCs w:val="20"/>
                <w:vertAlign w:val="superscript"/>
              </w:rPr>
              <w:t>b</w:t>
            </w:r>
          </w:p>
        </w:tc>
      </w:tr>
    </w:tbl>
    <w:p>
      <w:pPr>
        <w:pStyle w:val="BodyText3"/>
        <w:tabs>
          <w:tab w:val="left" w:pos="1080"/>
        </w:tabs>
        <w:spacing w:after="0"/>
        <w:ind w:left="1080" w:hanging="1080"/>
        <w:jc w:val="both"/>
        <w:rPr>
          <w:rFonts w:ascii="Arial" w:hAnsi="Arial"/>
          <w:b/>
          <w:sz w:val="20"/>
          <w:szCs w:val="20"/>
        </w:rPr>
      </w:pPr>
    </w:p>
    <w:p>
      <w:pPr>
        <w:pStyle w:val="Body"/>
        <w:spacing w:after="0"/>
        <w:rPr>
          <w:rFonts w:ascii="Arial" w:hAnsi="Arial" w:cs="Arial"/>
        </w:rPr>
      </w:pPr>
      <w:r>
        <w:rPr>
          <w:rFonts w:ascii="Arial" w:hAnsi="Arial" w:cs="Arial"/>
        </w:rPr>
        <w:t xml:space="preserve">Must composition also </w:t>
      </w:r>
      <w:proofErr w:type="gramStart"/>
      <w:r>
        <w:rPr>
          <w:rFonts w:ascii="Arial" w:hAnsi="Arial" w:cs="Arial"/>
        </w:rPr>
        <w:t>exhibited</w:t>
      </w:r>
      <w:proofErr w:type="gramEnd"/>
      <w:r>
        <w:rPr>
          <w:rFonts w:ascii="Arial" w:hAnsi="Arial" w:cs="Arial"/>
        </w:rPr>
        <w:t xml:space="preserve"> significant differences among rootstocks. In 2023, R 110 and 3309 C achieved the highest sugar concentrations, with Baumé values of 13.5°, compared to only 12.3° in 140 Ru. In 2024, </w:t>
      </w:r>
      <w:proofErr w:type="spellStart"/>
      <w:r>
        <w:rPr>
          <w:rFonts w:ascii="Arial" w:hAnsi="Arial" w:cs="Arial"/>
        </w:rPr>
        <w:t>Fercal</w:t>
      </w:r>
      <w:proofErr w:type="spellEnd"/>
      <w:r>
        <w:rPr>
          <w:rFonts w:ascii="Arial" w:hAnsi="Arial" w:cs="Arial"/>
        </w:rPr>
        <w:t xml:space="preserve"> reached the highest Baumé (12.8°), while 140 Ru remained the lowest (11.7°). These differences in sugar accumulation suggest that </w:t>
      </w:r>
      <w:r>
        <w:rPr>
          <w:rFonts w:ascii="Arial" w:hAnsi="Arial" w:cs="Arial"/>
        </w:rPr>
        <w:lastRenderedPageBreak/>
        <w:t xml:space="preserve">140 Ru may promote delayed ripening or higher dilution of solutes. In contrast, in a previous study conducted on Cabernet Sauvignon with the same rootstocks, Nuzzo &amp; Mathews (2006) did not detect significant effects on sugar accumulation. Density values aligned closely with sugar content. Regarding acidity, all rootstocks showed lower total acidity in 2024 compared to 2023, consistent with greater ripeness at harvest. In both vintages, 41 B musts had the highest acidity, while 3309 C significantly the lowest. These results are in accordance with Walker et al. (1998) who also found that rootstock affects total acidity in must and wine. Across both years, pH values ranged from 3.59 (140 Ru and 41 B in 2023) to a peak of 4.25 in R 110 (2024), confirming distinct acid-buffering capacities. Total phenolic content showed sharp differences in both vintages. In 2024, </w:t>
      </w:r>
      <w:proofErr w:type="spellStart"/>
      <w:r>
        <w:rPr>
          <w:rFonts w:ascii="Arial" w:hAnsi="Arial" w:cs="Arial"/>
        </w:rPr>
        <w:t>Fercal</w:t>
      </w:r>
      <w:proofErr w:type="spellEnd"/>
      <w:r>
        <w:rPr>
          <w:rFonts w:ascii="Arial" w:hAnsi="Arial" w:cs="Arial"/>
        </w:rPr>
        <w:t xml:space="preserve"> musts reached 12.8, while 140 Ru was lowest at 11.7 (Table 2). These differences are agronomically and oenologically relevant, given the importance of phenolics in wine body, stability, and ageing potential (Blank et al., 2022; Schreiner et al., 2014).</w:t>
      </w:r>
    </w:p>
    <w:p>
      <w:pPr>
        <w:keepNext/>
        <w:spacing w:after="200"/>
        <w:jc w:val="both"/>
        <w:rPr>
          <w:rFonts w:ascii="Arial" w:eastAsia="Calibri" w:hAnsi="Arial" w:cs="Arial"/>
          <w:b/>
          <w:bCs/>
          <w:color w:val="000000"/>
          <w:kern w:val="2"/>
          <w:lang w:val="en-GB"/>
        </w:rPr>
      </w:pPr>
      <w:r>
        <w:rPr>
          <w:rFonts w:ascii="Arial" w:eastAsia="Calibri" w:hAnsi="Arial" w:cs="Arial"/>
          <w:b/>
          <w:bCs/>
          <w:color w:val="000000"/>
          <w:kern w:val="2"/>
          <w:lang w:val="en-GB"/>
        </w:rPr>
        <w:t>Table 2. Chemical composition of Assyrtiko musts from plants grafted onto five different rootstocks. Values represent means ± SE. Different lower-case letters indicate significant differences (</w:t>
      </w:r>
      <w:r>
        <w:rPr>
          <w:rFonts w:ascii="Arial" w:eastAsia="Calibri" w:hAnsi="Arial" w:cs="Arial"/>
          <w:b/>
          <w:bCs/>
          <w:i/>
          <w:iCs/>
          <w:color w:val="000000"/>
          <w:kern w:val="2"/>
          <w:lang w:val="en-GB"/>
        </w:rPr>
        <w:t>P</w:t>
      </w:r>
      <w:r>
        <w:rPr>
          <w:rFonts w:ascii="Arial" w:eastAsia="Calibri" w:hAnsi="Arial" w:cs="Arial"/>
          <w:b/>
          <w:bCs/>
          <w:color w:val="000000"/>
          <w:kern w:val="2"/>
          <w:lang w:val="en-GB"/>
        </w:rPr>
        <w:t xml:space="preserve"> ˂ 0.05) between different rootstocks for each chemical parameter and year separately.</w:t>
      </w:r>
    </w:p>
    <w:tbl>
      <w:tblPr>
        <w:tblStyle w:val="1"/>
        <w:tblW w:w="82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82"/>
        <w:gridCol w:w="683"/>
        <w:gridCol w:w="1127"/>
        <w:gridCol w:w="1700"/>
        <w:gridCol w:w="1399"/>
        <w:gridCol w:w="1129"/>
        <w:gridCol w:w="1264"/>
      </w:tblGrid>
      <w:tr>
        <w:trPr>
          <w:cantSplit/>
          <w:trHeight w:val="699"/>
          <w:tblHeader/>
          <w:jc w:val="center"/>
        </w:trPr>
        <w:tc>
          <w:tcPr>
            <w:tcW w:w="982" w:type="dxa"/>
            <w:tcBorders>
              <w:top w:val="single" w:sz="12" w:space="0" w:color="auto"/>
              <w:bottom w:val="single" w:sz="12" w:space="0" w:color="auto"/>
            </w:tcBorders>
            <w:vAlign w:val="center"/>
            <w:hideMark/>
          </w:tcPr>
          <w:p>
            <w:pPr>
              <w:jc w:val="center"/>
              <w:rPr>
                <w:rFonts w:ascii="Times New Roman" w:eastAsia="Calibri" w:hAnsi="Times New Roman" w:cs="Times New Roman"/>
                <w:b/>
                <w:bCs/>
              </w:rPr>
            </w:pPr>
            <w:r>
              <w:rPr>
                <w:rFonts w:ascii="Times New Roman" w:eastAsia="Calibri" w:hAnsi="Times New Roman" w:cs="Times New Roman"/>
                <w:b/>
                <w:bCs/>
              </w:rPr>
              <w:t>Rootstock</w:t>
            </w:r>
          </w:p>
        </w:tc>
        <w:tc>
          <w:tcPr>
            <w:tcW w:w="683" w:type="dxa"/>
            <w:tcBorders>
              <w:top w:val="single" w:sz="12" w:space="0" w:color="auto"/>
              <w:bottom w:val="single" w:sz="12" w:space="0" w:color="auto"/>
            </w:tcBorders>
          </w:tcPr>
          <w:p>
            <w:pPr>
              <w:jc w:val="center"/>
              <w:rPr>
                <w:rFonts w:ascii="Times New Roman" w:eastAsia="Calibri" w:hAnsi="Times New Roman" w:cs="Times New Roman"/>
                <w:b/>
                <w:bCs/>
              </w:rPr>
            </w:pPr>
            <w:r>
              <w:rPr>
                <w:rFonts w:ascii="Times New Roman" w:eastAsia="Calibri" w:hAnsi="Times New Roman" w:cs="Times New Roman"/>
                <w:b/>
                <w:bCs/>
              </w:rPr>
              <w:t xml:space="preserve">       Year</w:t>
            </w:r>
          </w:p>
        </w:tc>
        <w:tc>
          <w:tcPr>
            <w:tcW w:w="1127" w:type="dxa"/>
            <w:tcBorders>
              <w:top w:val="single" w:sz="12" w:space="0" w:color="auto"/>
              <w:bottom w:val="single" w:sz="12" w:space="0" w:color="auto"/>
            </w:tcBorders>
            <w:vAlign w:val="center"/>
            <w:hideMark/>
          </w:tcPr>
          <w:p>
            <w:pPr>
              <w:jc w:val="center"/>
              <w:rPr>
                <w:rFonts w:ascii="Times New Roman" w:eastAsia="Calibri" w:hAnsi="Times New Roman" w:cs="Times New Roman"/>
                <w:b/>
                <w:bCs/>
              </w:rPr>
            </w:pPr>
            <w:r>
              <w:rPr>
                <w:rFonts w:ascii="Times New Roman" w:eastAsia="Calibri" w:hAnsi="Times New Roman" w:cs="Times New Roman"/>
                <w:b/>
                <w:bCs/>
              </w:rPr>
              <w:t>Baume˚</w:t>
            </w:r>
          </w:p>
        </w:tc>
        <w:tc>
          <w:tcPr>
            <w:tcW w:w="1700" w:type="dxa"/>
            <w:tcBorders>
              <w:top w:val="single" w:sz="12" w:space="0" w:color="auto"/>
              <w:bottom w:val="single" w:sz="12" w:space="0" w:color="auto"/>
            </w:tcBorders>
            <w:vAlign w:val="center"/>
            <w:hideMark/>
          </w:tcPr>
          <w:p>
            <w:pPr>
              <w:jc w:val="center"/>
              <w:rPr>
                <w:rFonts w:ascii="Times New Roman" w:eastAsia="Calibri" w:hAnsi="Times New Roman" w:cs="Times New Roman"/>
                <w:b/>
                <w:bCs/>
              </w:rPr>
            </w:pPr>
            <w:r>
              <w:rPr>
                <w:rFonts w:ascii="Times New Roman" w:eastAsia="Calibri" w:hAnsi="Times New Roman" w:cs="Times New Roman"/>
                <w:b/>
                <w:bCs/>
              </w:rPr>
              <w:t>Density (g/L)</w:t>
            </w:r>
          </w:p>
        </w:tc>
        <w:tc>
          <w:tcPr>
            <w:tcW w:w="1399" w:type="dxa"/>
            <w:tcBorders>
              <w:top w:val="single" w:sz="12" w:space="0" w:color="auto"/>
              <w:bottom w:val="single" w:sz="12" w:space="0" w:color="auto"/>
            </w:tcBorders>
            <w:vAlign w:val="center"/>
            <w:hideMark/>
          </w:tcPr>
          <w:p>
            <w:pPr>
              <w:jc w:val="center"/>
              <w:rPr>
                <w:rFonts w:ascii="Times New Roman" w:eastAsia="Calibri" w:hAnsi="Times New Roman" w:cs="Times New Roman"/>
                <w:b/>
                <w:bCs/>
              </w:rPr>
            </w:pPr>
            <w:r>
              <w:rPr>
                <w:rFonts w:ascii="Times New Roman" w:eastAsia="Calibri" w:hAnsi="Times New Roman" w:cs="Times New Roman"/>
                <w:b/>
                <w:bCs/>
              </w:rPr>
              <w:t xml:space="preserve">Total acidity     </w:t>
            </w:r>
            <w:proofErr w:type="gramStart"/>
            <w:r>
              <w:rPr>
                <w:rFonts w:ascii="Times New Roman" w:eastAsia="Calibri" w:hAnsi="Times New Roman" w:cs="Times New Roman"/>
                <w:b/>
                <w:bCs/>
              </w:rPr>
              <w:t xml:space="preserve">   (</w:t>
            </w:r>
            <w:proofErr w:type="gramEnd"/>
            <w:r>
              <w:rPr>
                <w:rFonts w:ascii="Times New Roman" w:eastAsia="Calibri" w:hAnsi="Times New Roman" w:cs="Times New Roman"/>
                <w:b/>
                <w:bCs/>
              </w:rPr>
              <w:t>g/L)</w:t>
            </w:r>
          </w:p>
        </w:tc>
        <w:tc>
          <w:tcPr>
            <w:tcW w:w="1129" w:type="dxa"/>
            <w:tcBorders>
              <w:top w:val="single" w:sz="12" w:space="0" w:color="auto"/>
              <w:bottom w:val="single" w:sz="12" w:space="0" w:color="auto"/>
            </w:tcBorders>
            <w:vAlign w:val="center"/>
            <w:hideMark/>
          </w:tcPr>
          <w:p>
            <w:pPr>
              <w:jc w:val="center"/>
              <w:rPr>
                <w:rFonts w:ascii="Times New Roman" w:eastAsia="Calibri" w:hAnsi="Times New Roman" w:cs="Times New Roman"/>
                <w:b/>
                <w:bCs/>
              </w:rPr>
            </w:pPr>
            <w:r>
              <w:rPr>
                <w:rFonts w:ascii="Times New Roman" w:eastAsia="Calibri" w:hAnsi="Times New Roman" w:cs="Times New Roman"/>
                <w:b/>
                <w:bCs/>
              </w:rPr>
              <w:t>pH</w:t>
            </w:r>
          </w:p>
        </w:tc>
        <w:tc>
          <w:tcPr>
            <w:tcW w:w="1264" w:type="dxa"/>
            <w:tcBorders>
              <w:top w:val="single" w:sz="12" w:space="0" w:color="auto"/>
              <w:bottom w:val="single" w:sz="12" w:space="0" w:color="auto"/>
            </w:tcBorders>
            <w:vAlign w:val="center"/>
          </w:tcPr>
          <w:p>
            <w:pPr>
              <w:jc w:val="center"/>
              <w:rPr>
                <w:rFonts w:ascii="Times New Roman" w:eastAsia="Calibri" w:hAnsi="Times New Roman" w:cs="Times New Roman"/>
                <w:b/>
                <w:bCs/>
              </w:rPr>
            </w:pPr>
            <w:r>
              <w:rPr>
                <w:rFonts w:ascii="Times New Roman" w:eastAsia="Calibri" w:hAnsi="Times New Roman" w:cs="Times New Roman"/>
                <w:b/>
                <w:bCs/>
              </w:rPr>
              <w:t>Total phenolic content</w:t>
            </w:r>
          </w:p>
        </w:tc>
      </w:tr>
      <w:tr>
        <w:trPr>
          <w:cantSplit/>
          <w:trHeight w:val="418"/>
          <w:tblHeader/>
          <w:jc w:val="center"/>
        </w:trPr>
        <w:tc>
          <w:tcPr>
            <w:tcW w:w="982" w:type="dxa"/>
            <w:tcBorders>
              <w:top w:val="single" w:sz="12" w:space="0" w:color="auto"/>
            </w:tcBorders>
            <w:vAlign w:val="center"/>
            <w:hideMark/>
          </w:tcPr>
          <w:p>
            <w:pPr>
              <w:rPr>
                <w:rFonts w:ascii="Times New Roman" w:eastAsia="Calibri" w:hAnsi="Times New Roman" w:cs="Times New Roman"/>
                <w:b/>
                <w:bCs/>
              </w:rPr>
            </w:pPr>
            <w:r>
              <w:rPr>
                <w:rFonts w:ascii="Times New Roman" w:eastAsia="Calibri" w:hAnsi="Times New Roman" w:cs="Times New Roman"/>
                <w:b/>
                <w:bCs/>
              </w:rPr>
              <w:t xml:space="preserve">R 110 </w:t>
            </w:r>
          </w:p>
        </w:tc>
        <w:tc>
          <w:tcPr>
            <w:tcW w:w="683" w:type="dxa"/>
            <w:tcBorders>
              <w:top w:val="single" w:sz="12" w:space="0" w:color="auto"/>
            </w:tcBorders>
          </w:tcPr>
          <w:p>
            <w:pPr>
              <w:jc w:val="center"/>
              <w:rPr>
                <w:rFonts w:ascii="Times New Roman" w:eastAsia="Calibri" w:hAnsi="Times New Roman" w:cs="Times New Roman"/>
                <w:b/>
                <w:bCs/>
              </w:rPr>
            </w:pPr>
            <w:r>
              <w:rPr>
                <w:rFonts w:ascii="Times New Roman" w:eastAsia="Calibri" w:hAnsi="Times New Roman" w:cs="Times New Roman"/>
                <w:b/>
                <w:bCs/>
              </w:rPr>
              <w:t>2023</w:t>
            </w:r>
          </w:p>
        </w:tc>
        <w:tc>
          <w:tcPr>
            <w:tcW w:w="1127" w:type="dxa"/>
            <w:tcBorders>
              <w:top w:val="single" w:sz="12" w:space="0" w:color="auto"/>
            </w:tcBorders>
            <w:vAlign w:val="center"/>
            <w:hideMark/>
          </w:tcPr>
          <w:p>
            <w:pPr>
              <w:jc w:val="center"/>
              <w:rPr>
                <w:rFonts w:ascii="Times New Roman" w:eastAsia="Calibri" w:hAnsi="Times New Roman" w:cs="Times New Roman"/>
              </w:rPr>
            </w:pPr>
            <w:r>
              <w:rPr>
                <w:rFonts w:ascii="Times New Roman" w:eastAsia="Calibri" w:hAnsi="Times New Roman" w:cs="Times New Roman"/>
              </w:rPr>
              <w:t>13.5±0.0</w:t>
            </w:r>
            <w:r>
              <w:rPr>
                <w:rFonts w:ascii="Times New Roman" w:eastAsia="Calibri" w:hAnsi="Times New Roman" w:cs="Times New Roman"/>
                <w:vertAlign w:val="superscript"/>
              </w:rPr>
              <w:t>a</w:t>
            </w:r>
          </w:p>
        </w:tc>
        <w:tc>
          <w:tcPr>
            <w:tcW w:w="1700" w:type="dxa"/>
            <w:tcBorders>
              <w:top w:val="single" w:sz="12" w:space="0" w:color="auto"/>
            </w:tcBorders>
            <w:vAlign w:val="center"/>
            <w:hideMark/>
          </w:tcPr>
          <w:p>
            <w:pPr>
              <w:jc w:val="center"/>
              <w:rPr>
                <w:rFonts w:ascii="Times New Roman" w:eastAsia="Calibri" w:hAnsi="Times New Roman" w:cs="Times New Roman"/>
              </w:rPr>
            </w:pPr>
            <w:r>
              <w:rPr>
                <w:rFonts w:ascii="Times New Roman" w:eastAsia="Calibri" w:hAnsi="Times New Roman" w:cs="Times New Roman"/>
              </w:rPr>
              <w:t>1.0925±0.0002</w:t>
            </w:r>
            <w:r>
              <w:rPr>
                <w:rFonts w:ascii="Times New Roman" w:eastAsia="Calibri" w:hAnsi="Times New Roman" w:cs="Times New Roman"/>
                <w:vertAlign w:val="superscript"/>
              </w:rPr>
              <w:t>b</w:t>
            </w:r>
          </w:p>
        </w:tc>
        <w:tc>
          <w:tcPr>
            <w:tcW w:w="1399" w:type="dxa"/>
            <w:tcBorders>
              <w:top w:val="single" w:sz="12" w:space="0" w:color="auto"/>
            </w:tcBorders>
            <w:vAlign w:val="center"/>
            <w:hideMark/>
          </w:tcPr>
          <w:p>
            <w:pPr>
              <w:jc w:val="center"/>
              <w:rPr>
                <w:rFonts w:ascii="Times New Roman" w:eastAsia="Calibri" w:hAnsi="Times New Roman" w:cs="Times New Roman"/>
              </w:rPr>
            </w:pPr>
            <w:r>
              <w:rPr>
                <w:rFonts w:ascii="Times New Roman" w:eastAsia="Calibri" w:hAnsi="Times New Roman" w:cs="Times New Roman"/>
              </w:rPr>
              <w:t>6.02±0.03</w:t>
            </w:r>
            <w:r>
              <w:rPr>
                <w:rFonts w:ascii="Times New Roman" w:eastAsia="Calibri" w:hAnsi="Times New Roman" w:cs="Times New Roman"/>
                <w:vertAlign w:val="superscript"/>
              </w:rPr>
              <w:t>a</w:t>
            </w:r>
          </w:p>
        </w:tc>
        <w:tc>
          <w:tcPr>
            <w:tcW w:w="1129" w:type="dxa"/>
            <w:tcBorders>
              <w:top w:val="single" w:sz="12" w:space="0" w:color="auto"/>
            </w:tcBorders>
            <w:vAlign w:val="center"/>
            <w:hideMark/>
          </w:tcPr>
          <w:p>
            <w:pPr>
              <w:jc w:val="center"/>
              <w:rPr>
                <w:rFonts w:ascii="Times New Roman" w:eastAsia="Calibri" w:hAnsi="Times New Roman" w:cs="Times New Roman"/>
              </w:rPr>
            </w:pPr>
            <w:r>
              <w:rPr>
                <w:rFonts w:ascii="Times New Roman" w:eastAsia="Calibri" w:hAnsi="Times New Roman" w:cs="Times New Roman"/>
              </w:rPr>
              <w:t>3.92±0.09</w:t>
            </w:r>
            <w:r>
              <w:rPr>
                <w:rFonts w:ascii="Times New Roman" w:eastAsia="Calibri" w:hAnsi="Times New Roman" w:cs="Times New Roman"/>
                <w:vertAlign w:val="superscript"/>
              </w:rPr>
              <w:t>a</w:t>
            </w:r>
          </w:p>
        </w:tc>
        <w:tc>
          <w:tcPr>
            <w:tcW w:w="1264" w:type="dxa"/>
            <w:tcBorders>
              <w:top w:val="single" w:sz="12" w:space="0" w:color="auto"/>
            </w:tcBorders>
            <w:vAlign w:val="center"/>
          </w:tcPr>
          <w:p>
            <w:pPr>
              <w:jc w:val="center"/>
              <w:rPr>
                <w:rFonts w:ascii="Times New Roman" w:eastAsia="Calibri" w:hAnsi="Times New Roman" w:cs="Times New Roman"/>
              </w:rPr>
            </w:pPr>
            <w:r>
              <w:rPr>
                <w:rFonts w:ascii="Times New Roman" w:eastAsia="Calibri" w:hAnsi="Times New Roman" w:cs="Times New Roman"/>
                <w:szCs w:val="20"/>
              </w:rPr>
              <w:t>8.8±0.1</w:t>
            </w:r>
            <w:r>
              <w:rPr>
                <w:rFonts w:ascii="Times New Roman" w:eastAsia="Calibri" w:hAnsi="Times New Roman" w:cs="Times New Roman"/>
                <w:szCs w:val="20"/>
                <w:vertAlign w:val="superscript"/>
              </w:rPr>
              <w:t>a</w:t>
            </w:r>
          </w:p>
        </w:tc>
      </w:tr>
      <w:tr>
        <w:trPr>
          <w:cantSplit/>
          <w:trHeight w:val="418"/>
          <w:tblHeader/>
          <w:jc w:val="center"/>
        </w:trPr>
        <w:tc>
          <w:tcPr>
            <w:tcW w:w="982" w:type="dxa"/>
            <w:vAlign w:val="center"/>
            <w:hideMark/>
          </w:tcPr>
          <w:p>
            <w:pPr>
              <w:rPr>
                <w:rFonts w:ascii="Times New Roman" w:eastAsia="Calibri" w:hAnsi="Times New Roman" w:cs="Times New Roman"/>
                <w:b/>
                <w:bCs/>
              </w:rPr>
            </w:pPr>
            <w:r>
              <w:rPr>
                <w:rFonts w:ascii="Times New Roman" w:eastAsia="Calibri" w:hAnsi="Times New Roman" w:cs="Times New Roman"/>
                <w:b/>
                <w:bCs/>
              </w:rPr>
              <w:t>140 Ru</w:t>
            </w:r>
          </w:p>
        </w:tc>
        <w:tc>
          <w:tcPr>
            <w:tcW w:w="683" w:type="dxa"/>
          </w:tcPr>
          <w:p>
            <w:pPr>
              <w:jc w:val="center"/>
              <w:rPr>
                <w:rFonts w:ascii="Times New Roman" w:eastAsia="Calibri" w:hAnsi="Times New Roman" w:cs="Times New Roman"/>
                <w:b/>
                <w:bCs/>
              </w:rPr>
            </w:pPr>
            <w:r>
              <w:rPr>
                <w:rFonts w:ascii="Times New Roman" w:eastAsia="Calibri" w:hAnsi="Times New Roman" w:cs="Times New Roman"/>
                <w:b/>
                <w:bCs/>
              </w:rPr>
              <w:t>2023</w:t>
            </w:r>
          </w:p>
        </w:tc>
        <w:tc>
          <w:tcPr>
            <w:tcW w:w="1127" w:type="dxa"/>
            <w:vAlign w:val="center"/>
            <w:hideMark/>
          </w:tcPr>
          <w:p>
            <w:pPr>
              <w:jc w:val="center"/>
              <w:rPr>
                <w:rFonts w:ascii="Times New Roman" w:eastAsia="Calibri" w:hAnsi="Times New Roman" w:cs="Times New Roman"/>
              </w:rPr>
            </w:pPr>
            <w:r>
              <w:rPr>
                <w:rFonts w:ascii="Times New Roman" w:eastAsia="Calibri" w:hAnsi="Times New Roman" w:cs="Times New Roman"/>
              </w:rPr>
              <w:t>12.3±0.1</w:t>
            </w:r>
            <w:r>
              <w:rPr>
                <w:rFonts w:ascii="Times New Roman" w:eastAsia="Calibri" w:hAnsi="Times New Roman" w:cs="Times New Roman"/>
                <w:vertAlign w:val="superscript"/>
              </w:rPr>
              <w:t>c</w:t>
            </w:r>
          </w:p>
        </w:tc>
        <w:tc>
          <w:tcPr>
            <w:tcW w:w="1700" w:type="dxa"/>
            <w:vAlign w:val="center"/>
            <w:hideMark/>
          </w:tcPr>
          <w:p>
            <w:pPr>
              <w:jc w:val="center"/>
              <w:rPr>
                <w:rFonts w:ascii="Times New Roman" w:eastAsia="Calibri" w:hAnsi="Times New Roman" w:cs="Times New Roman"/>
              </w:rPr>
            </w:pPr>
            <w:r>
              <w:rPr>
                <w:rFonts w:ascii="Times New Roman" w:eastAsia="Calibri" w:hAnsi="Times New Roman" w:cs="Times New Roman"/>
              </w:rPr>
              <w:t>1.0866±0.0001</w:t>
            </w:r>
            <w:r>
              <w:rPr>
                <w:rFonts w:ascii="Times New Roman" w:eastAsia="Calibri" w:hAnsi="Times New Roman" w:cs="Times New Roman"/>
                <w:vertAlign w:val="superscript"/>
              </w:rPr>
              <w:t>c</w:t>
            </w:r>
          </w:p>
        </w:tc>
        <w:tc>
          <w:tcPr>
            <w:tcW w:w="1399" w:type="dxa"/>
            <w:vAlign w:val="center"/>
            <w:hideMark/>
          </w:tcPr>
          <w:p>
            <w:pPr>
              <w:jc w:val="center"/>
              <w:rPr>
                <w:rFonts w:ascii="Times New Roman" w:eastAsia="Calibri" w:hAnsi="Times New Roman" w:cs="Times New Roman"/>
              </w:rPr>
            </w:pPr>
            <w:r>
              <w:rPr>
                <w:rFonts w:ascii="Times New Roman" w:eastAsia="Calibri" w:hAnsi="Times New Roman" w:cs="Times New Roman"/>
              </w:rPr>
              <w:t>5.96±0.03</w:t>
            </w:r>
            <w:r>
              <w:rPr>
                <w:rFonts w:ascii="Times New Roman" w:eastAsia="Calibri" w:hAnsi="Times New Roman" w:cs="Times New Roman"/>
                <w:vertAlign w:val="superscript"/>
              </w:rPr>
              <w:t>a</w:t>
            </w:r>
          </w:p>
        </w:tc>
        <w:tc>
          <w:tcPr>
            <w:tcW w:w="1129" w:type="dxa"/>
            <w:vAlign w:val="center"/>
            <w:hideMark/>
          </w:tcPr>
          <w:p>
            <w:pPr>
              <w:jc w:val="center"/>
              <w:rPr>
                <w:rFonts w:ascii="Times New Roman" w:eastAsia="Calibri" w:hAnsi="Times New Roman" w:cs="Times New Roman"/>
              </w:rPr>
            </w:pPr>
            <w:r>
              <w:rPr>
                <w:rFonts w:ascii="Times New Roman" w:eastAsia="Calibri" w:hAnsi="Times New Roman" w:cs="Times New Roman"/>
              </w:rPr>
              <w:t>3.59±0.02</w:t>
            </w:r>
            <w:r>
              <w:rPr>
                <w:rFonts w:ascii="Times New Roman" w:eastAsia="Calibri" w:hAnsi="Times New Roman" w:cs="Times New Roman"/>
                <w:vertAlign w:val="superscript"/>
              </w:rPr>
              <w:t>b</w:t>
            </w:r>
          </w:p>
        </w:tc>
        <w:tc>
          <w:tcPr>
            <w:tcW w:w="1264" w:type="dxa"/>
            <w:vAlign w:val="center"/>
          </w:tcPr>
          <w:p>
            <w:pPr>
              <w:jc w:val="center"/>
              <w:rPr>
                <w:rFonts w:ascii="Times New Roman" w:eastAsia="Calibri" w:hAnsi="Times New Roman" w:cs="Times New Roman"/>
              </w:rPr>
            </w:pPr>
            <w:r>
              <w:rPr>
                <w:rFonts w:ascii="Times New Roman" w:eastAsia="Calibri" w:hAnsi="Times New Roman" w:cs="Times New Roman"/>
                <w:szCs w:val="20"/>
              </w:rPr>
              <w:t>6.6±0.1</w:t>
            </w:r>
            <w:r>
              <w:rPr>
                <w:rFonts w:ascii="Times New Roman" w:eastAsia="Calibri" w:hAnsi="Times New Roman" w:cs="Times New Roman"/>
                <w:szCs w:val="20"/>
                <w:vertAlign w:val="superscript"/>
              </w:rPr>
              <w:t>c</w:t>
            </w:r>
          </w:p>
        </w:tc>
      </w:tr>
      <w:tr>
        <w:trPr>
          <w:cantSplit/>
          <w:trHeight w:val="418"/>
          <w:tblHeader/>
          <w:jc w:val="center"/>
        </w:trPr>
        <w:tc>
          <w:tcPr>
            <w:tcW w:w="982" w:type="dxa"/>
            <w:vAlign w:val="center"/>
            <w:hideMark/>
          </w:tcPr>
          <w:p>
            <w:pPr>
              <w:rPr>
                <w:rFonts w:ascii="Times New Roman" w:eastAsia="Calibri" w:hAnsi="Times New Roman" w:cs="Times New Roman"/>
                <w:b/>
                <w:bCs/>
              </w:rPr>
            </w:pPr>
            <w:r>
              <w:rPr>
                <w:rFonts w:ascii="Times New Roman" w:eastAsia="Calibri" w:hAnsi="Times New Roman" w:cs="Times New Roman"/>
                <w:b/>
                <w:bCs/>
              </w:rPr>
              <w:t>3309 C</w:t>
            </w:r>
          </w:p>
        </w:tc>
        <w:tc>
          <w:tcPr>
            <w:tcW w:w="683" w:type="dxa"/>
          </w:tcPr>
          <w:p>
            <w:pPr>
              <w:jc w:val="center"/>
              <w:rPr>
                <w:rFonts w:ascii="Times New Roman" w:eastAsia="Calibri" w:hAnsi="Times New Roman" w:cs="Times New Roman"/>
                <w:b/>
                <w:bCs/>
              </w:rPr>
            </w:pPr>
            <w:r>
              <w:rPr>
                <w:rFonts w:ascii="Times New Roman" w:eastAsia="Calibri" w:hAnsi="Times New Roman" w:cs="Times New Roman"/>
                <w:b/>
                <w:bCs/>
              </w:rPr>
              <w:t>2023</w:t>
            </w:r>
          </w:p>
        </w:tc>
        <w:tc>
          <w:tcPr>
            <w:tcW w:w="1127" w:type="dxa"/>
            <w:vAlign w:val="center"/>
            <w:hideMark/>
          </w:tcPr>
          <w:p>
            <w:pPr>
              <w:jc w:val="center"/>
              <w:rPr>
                <w:rFonts w:ascii="Times New Roman" w:eastAsia="Calibri" w:hAnsi="Times New Roman" w:cs="Times New Roman"/>
                <w:lang w:val="en-US"/>
              </w:rPr>
            </w:pPr>
            <w:r>
              <w:rPr>
                <w:rFonts w:ascii="Times New Roman" w:eastAsia="Calibri" w:hAnsi="Times New Roman" w:cs="Times New Roman"/>
              </w:rPr>
              <w:t>13.5±0.0</w:t>
            </w:r>
            <w:r>
              <w:rPr>
                <w:rFonts w:ascii="Times New Roman" w:eastAsia="Calibri" w:hAnsi="Times New Roman" w:cs="Times New Roman"/>
                <w:vertAlign w:val="superscript"/>
              </w:rPr>
              <w:t>a</w:t>
            </w:r>
          </w:p>
        </w:tc>
        <w:tc>
          <w:tcPr>
            <w:tcW w:w="1700" w:type="dxa"/>
            <w:vAlign w:val="center"/>
            <w:hideMark/>
          </w:tcPr>
          <w:p>
            <w:pPr>
              <w:jc w:val="center"/>
              <w:rPr>
                <w:rFonts w:ascii="Times New Roman" w:eastAsia="Calibri" w:hAnsi="Times New Roman" w:cs="Times New Roman"/>
              </w:rPr>
            </w:pPr>
            <w:r>
              <w:rPr>
                <w:rFonts w:ascii="Times New Roman" w:eastAsia="Calibri" w:hAnsi="Times New Roman" w:cs="Times New Roman"/>
              </w:rPr>
              <w:t>1.0927±0.0002</w:t>
            </w:r>
            <w:r>
              <w:rPr>
                <w:rFonts w:ascii="Times New Roman" w:eastAsia="Calibri" w:hAnsi="Times New Roman" w:cs="Times New Roman"/>
                <w:vertAlign w:val="superscript"/>
              </w:rPr>
              <w:t>b</w:t>
            </w:r>
          </w:p>
        </w:tc>
        <w:tc>
          <w:tcPr>
            <w:tcW w:w="1399" w:type="dxa"/>
            <w:vAlign w:val="center"/>
            <w:hideMark/>
          </w:tcPr>
          <w:p>
            <w:pPr>
              <w:jc w:val="center"/>
              <w:rPr>
                <w:rFonts w:ascii="Times New Roman" w:eastAsia="Calibri" w:hAnsi="Times New Roman" w:cs="Times New Roman"/>
              </w:rPr>
            </w:pPr>
            <w:r>
              <w:rPr>
                <w:rFonts w:ascii="Times New Roman" w:eastAsia="Calibri" w:hAnsi="Times New Roman" w:cs="Times New Roman"/>
              </w:rPr>
              <w:t>5.25±0.06</w:t>
            </w:r>
            <w:r>
              <w:rPr>
                <w:rFonts w:ascii="Times New Roman" w:eastAsia="Calibri" w:hAnsi="Times New Roman" w:cs="Times New Roman"/>
                <w:vertAlign w:val="superscript"/>
              </w:rPr>
              <w:t>c</w:t>
            </w:r>
          </w:p>
        </w:tc>
        <w:tc>
          <w:tcPr>
            <w:tcW w:w="1129" w:type="dxa"/>
            <w:vAlign w:val="center"/>
            <w:hideMark/>
          </w:tcPr>
          <w:p>
            <w:pPr>
              <w:jc w:val="center"/>
              <w:rPr>
                <w:rFonts w:ascii="Times New Roman" w:eastAsia="Calibri" w:hAnsi="Times New Roman" w:cs="Times New Roman"/>
                <w:lang w:val="en-US"/>
              </w:rPr>
            </w:pPr>
            <w:r>
              <w:rPr>
                <w:rFonts w:ascii="Times New Roman" w:eastAsia="Calibri" w:hAnsi="Times New Roman" w:cs="Times New Roman"/>
              </w:rPr>
              <w:t>3.96±0.06</w:t>
            </w:r>
            <w:r>
              <w:rPr>
                <w:rFonts w:ascii="Times New Roman" w:eastAsia="Calibri" w:hAnsi="Times New Roman" w:cs="Times New Roman"/>
                <w:vertAlign w:val="superscript"/>
              </w:rPr>
              <w:t>a</w:t>
            </w:r>
          </w:p>
        </w:tc>
        <w:tc>
          <w:tcPr>
            <w:tcW w:w="1264" w:type="dxa"/>
            <w:vAlign w:val="center"/>
          </w:tcPr>
          <w:p>
            <w:pPr>
              <w:jc w:val="center"/>
              <w:rPr>
                <w:rFonts w:ascii="Times New Roman" w:eastAsia="Calibri" w:hAnsi="Times New Roman" w:cs="Times New Roman"/>
              </w:rPr>
            </w:pPr>
            <w:r>
              <w:rPr>
                <w:rFonts w:ascii="Times New Roman" w:eastAsia="Calibri" w:hAnsi="Times New Roman" w:cs="Times New Roman"/>
                <w:szCs w:val="20"/>
              </w:rPr>
              <w:t>6.3±0.2</w:t>
            </w:r>
            <w:r>
              <w:rPr>
                <w:rFonts w:ascii="Times New Roman" w:eastAsia="Calibri" w:hAnsi="Times New Roman" w:cs="Times New Roman"/>
                <w:szCs w:val="20"/>
                <w:vertAlign w:val="superscript"/>
              </w:rPr>
              <w:t>c</w:t>
            </w:r>
          </w:p>
        </w:tc>
      </w:tr>
      <w:tr>
        <w:trPr>
          <w:cantSplit/>
          <w:trHeight w:val="418"/>
          <w:tblHeader/>
          <w:jc w:val="center"/>
        </w:trPr>
        <w:tc>
          <w:tcPr>
            <w:tcW w:w="982" w:type="dxa"/>
            <w:vAlign w:val="center"/>
            <w:hideMark/>
          </w:tcPr>
          <w:p>
            <w:pPr>
              <w:rPr>
                <w:rFonts w:ascii="Times New Roman" w:eastAsia="Calibri" w:hAnsi="Times New Roman" w:cs="Times New Roman"/>
                <w:b/>
                <w:bCs/>
              </w:rPr>
            </w:pPr>
            <w:r>
              <w:rPr>
                <w:rFonts w:ascii="Times New Roman" w:eastAsia="Calibri" w:hAnsi="Times New Roman" w:cs="Times New Roman"/>
                <w:b/>
                <w:bCs/>
              </w:rPr>
              <w:t>41 B</w:t>
            </w:r>
          </w:p>
        </w:tc>
        <w:tc>
          <w:tcPr>
            <w:tcW w:w="683" w:type="dxa"/>
          </w:tcPr>
          <w:p>
            <w:pPr>
              <w:jc w:val="center"/>
              <w:rPr>
                <w:rFonts w:ascii="Times New Roman" w:eastAsia="Calibri" w:hAnsi="Times New Roman" w:cs="Times New Roman"/>
                <w:b/>
                <w:bCs/>
              </w:rPr>
            </w:pPr>
            <w:r>
              <w:rPr>
                <w:rFonts w:ascii="Times New Roman" w:eastAsia="Calibri" w:hAnsi="Times New Roman" w:cs="Times New Roman"/>
                <w:b/>
                <w:bCs/>
              </w:rPr>
              <w:t>2023</w:t>
            </w:r>
          </w:p>
        </w:tc>
        <w:tc>
          <w:tcPr>
            <w:tcW w:w="1127" w:type="dxa"/>
            <w:vAlign w:val="center"/>
            <w:hideMark/>
          </w:tcPr>
          <w:p>
            <w:pPr>
              <w:jc w:val="center"/>
              <w:rPr>
                <w:rFonts w:ascii="Times New Roman" w:eastAsia="Calibri" w:hAnsi="Times New Roman" w:cs="Times New Roman"/>
              </w:rPr>
            </w:pPr>
            <w:r>
              <w:rPr>
                <w:rFonts w:ascii="Times New Roman" w:eastAsia="Calibri" w:hAnsi="Times New Roman" w:cs="Times New Roman"/>
              </w:rPr>
              <w:t>12.6±0.6</w:t>
            </w:r>
            <w:r>
              <w:rPr>
                <w:rFonts w:ascii="Times New Roman" w:eastAsia="Calibri" w:hAnsi="Times New Roman" w:cs="Times New Roman"/>
                <w:vertAlign w:val="superscript"/>
              </w:rPr>
              <w:t>b</w:t>
            </w:r>
          </w:p>
        </w:tc>
        <w:tc>
          <w:tcPr>
            <w:tcW w:w="1700" w:type="dxa"/>
            <w:vAlign w:val="center"/>
            <w:hideMark/>
          </w:tcPr>
          <w:p>
            <w:pPr>
              <w:jc w:val="center"/>
              <w:rPr>
                <w:rFonts w:ascii="Times New Roman" w:eastAsia="Calibri" w:hAnsi="Times New Roman" w:cs="Times New Roman"/>
              </w:rPr>
            </w:pPr>
            <w:r>
              <w:rPr>
                <w:rFonts w:ascii="Times New Roman" w:eastAsia="Calibri" w:hAnsi="Times New Roman" w:cs="Times New Roman"/>
              </w:rPr>
              <w:t>1.0955±0.0001</w:t>
            </w:r>
            <w:r>
              <w:rPr>
                <w:rFonts w:ascii="Times New Roman" w:eastAsia="Calibri" w:hAnsi="Times New Roman" w:cs="Times New Roman"/>
                <w:vertAlign w:val="superscript"/>
              </w:rPr>
              <w:t>a</w:t>
            </w:r>
          </w:p>
        </w:tc>
        <w:tc>
          <w:tcPr>
            <w:tcW w:w="1399" w:type="dxa"/>
            <w:vAlign w:val="center"/>
            <w:hideMark/>
          </w:tcPr>
          <w:p>
            <w:pPr>
              <w:jc w:val="center"/>
              <w:rPr>
                <w:rFonts w:ascii="Times New Roman" w:eastAsia="Calibri" w:hAnsi="Times New Roman" w:cs="Times New Roman"/>
              </w:rPr>
            </w:pPr>
            <w:r>
              <w:rPr>
                <w:rFonts w:ascii="Times New Roman" w:eastAsia="Calibri" w:hAnsi="Times New Roman" w:cs="Times New Roman"/>
              </w:rPr>
              <w:t>6.06±0.06</w:t>
            </w:r>
            <w:r>
              <w:rPr>
                <w:rFonts w:ascii="Times New Roman" w:eastAsia="Calibri" w:hAnsi="Times New Roman" w:cs="Times New Roman"/>
                <w:vertAlign w:val="superscript"/>
              </w:rPr>
              <w:t>a</w:t>
            </w:r>
          </w:p>
        </w:tc>
        <w:tc>
          <w:tcPr>
            <w:tcW w:w="1129" w:type="dxa"/>
            <w:vAlign w:val="center"/>
            <w:hideMark/>
          </w:tcPr>
          <w:p>
            <w:pPr>
              <w:jc w:val="center"/>
              <w:rPr>
                <w:rFonts w:ascii="Times New Roman" w:eastAsia="Calibri" w:hAnsi="Times New Roman" w:cs="Times New Roman"/>
              </w:rPr>
            </w:pPr>
            <w:r>
              <w:rPr>
                <w:rFonts w:ascii="Times New Roman" w:eastAsia="Calibri" w:hAnsi="Times New Roman" w:cs="Times New Roman"/>
              </w:rPr>
              <w:t>3.59±0.02</w:t>
            </w:r>
            <w:r>
              <w:rPr>
                <w:rFonts w:ascii="Times New Roman" w:eastAsia="Calibri" w:hAnsi="Times New Roman" w:cs="Times New Roman"/>
                <w:vertAlign w:val="superscript"/>
              </w:rPr>
              <w:t>b</w:t>
            </w:r>
          </w:p>
        </w:tc>
        <w:tc>
          <w:tcPr>
            <w:tcW w:w="1264" w:type="dxa"/>
            <w:vAlign w:val="center"/>
          </w:tcPr>
          <w:p>
            <w:pPr>
              <w:jc w:val="center"/>
              <w:rPr>
                <w:rFonts w:ascii="Times New Roman" w:eastAsia="Calibri" w:hAnsi="Times New Roman" w:cs="Times New Roman"/>
              </w:rPr>
            </w:pPr>
            <w:r>
              <w:rPr>
                <w:rFonts w:ascii="Times New Roman" w:eastAsia="Calibri" w:hAnsi="Times New Roman" w:cs="Times New Roman"/>
                <w:szCs w:val="20"/>
              </w:rPr>
              <w:t>7.0±0.1</w:t>
            </w:r>
            <w:r>
              <w:rPr>
                <w:rFonts w:ascii="Times New Roman" w:eastAsia="Calibri" w:hAnsi="Times New Roman" w:cs="Times New Roman"/>
                <w:szCs w:val="20"/>
                <w:vertAlign w:val="superscript"/>
              </w:rPr>
              <w:t>b</w:t>
            </w:r>
          </w:p>
        </w:tc>
      </w:tr>
      <w:tr>
        <w:trPr>
          <w:cantSplit/>
          <w:trHeight w:val="418"/>
          <w:tblHeader/>
          <w:jc w:val="center"/>
        </w:trPr>
        <w:tc>
          <w:tcPr>
            <w:tcW w:w="982" w:type="dxa"/>
            <w:tcBorders>
              <w:bottom w:val="single" w:sz="12" w:space="0" w:color="000000"/>
            </w:tcBorders>
            <w:vAlign w:val="center"/>
            <w:hideMark/>
          </w:tcPr>
          <w:p>
            <w:pPr>
              <w:rPr>
                <w:rFonts w:ascii="Times New Roman" w:eastAsia="Calibri" w:hAnsi="Times New Roman" w:cs="Times New Roman"/>
                <w:b/>
                <w:bCs/>
              </w:rPr>
            </w:pPr>
            <w:proofErr w:type="spellStart"/>
            <w:r>
              <w:rPr>
                <w:rFonts w:ascii="Times New Roman" w:eastAsia="Calibri" w:hAnsi="Times New Roman" w:cs="Times New Roman"/>
                <w:b/>
                <w:bCs/>
              </w:rPr>
              <w:t>Fercal</w:t>
            </w:r>
            <w:proofErr w:type="spellEnd"/>
          </w:p>
        </w:tc>
        <w:tc>
          <w:tcPr>
            <w:tcW w:w="683" w:type="dxa"/>
            <w:tcBorders>
              <w:bottom w:val="single" w:sz="12" w:space="0" w:color="000000"/>
            </w:tcBorders>
          </w:tcPr>
          <w:p>
            <w:pPr>
              <w:jc w:val="center"/>
              <w:rPr>
                <w:rFonts w:ascii="Times New Roman" w:eastAsia="Calibri" w:hAnsi="Times New Roman" w:cs="Times New Roman"/>
                <w:b/>
                <w:bCs/>
              </w:rPr>
            </w:pPr>
            <w:r>
              <w:rPr>
                <w:rFonts w:ascii="Times New Roman" w:eastAsia="Calibri" w:hAnsi="Times New Roman" w:cs="Times New Roman"/>
                <w:b/>
                <w:bCs/>
              </w:rPr>
              <w:t>2023</w:t>
            </w:r>
          </w:p>
        </w:tc>
        <w:tc>
          <w:tcPr>
            <w:tcW w:w="1127" w:type="dxa"/>
            <w:tcBorders>
              <w:bottom w:val="single" w:sz="12" w:space="0" w:color="000000"/>
            </w:tcBorders>
            <w:vAlign w:val="center"/>
            <w:hideMark/>
          </w:tcPr>
          <w:p>
            <w:pPr>
              <w:jc w:val="center"/>
              <w:rPr>
                <w:rFonts w:ascii="Times New Roman" w:eastAsia="Calibri" w:hAnsi="Times New Roman" w:cs="Times New Roman"/>
              </w:rPr>
            </w:pPr>
            <w:r>
              <w:rPr>
                <w:rFonts w:ascii="Times New Roman" w:eastAsia="Calibri" w:hAnsi="Times New Roman" w:cs="Times New Roman"/>
              </w:rPr>
              <w:t>12.6±0.2</w:t>
            </w:r>
            <w:r>
              <w:rPr>
                <w:rFonts w:ascii="Times New Roman" w:eastAsia="Calibri" w:hAnsi="Times New Roman" w:cs="Times New Roman"/>
                <w:vertAlign w:val="superscript"/>
              </w:rPr>
              <w:t>b</w:t>
            </w:r>
          </w:p>
        </w:tc>
        <w:tc>
          <w:tcPr>
            <w:tcW w:w="1700" w:type="dxa"/>
            <w:tcBorders>
              <w:bottom w:val="single" w:sz="12" w:space="0" w:color="000000"/>
            </w:tcBorders>
            <w:vAlign w:val="center"/>
            <w:hideMark/>
          </w:tcPr>
          <w:p>
            <w:pPr>
              <w:jc w:val="center"/>
              <w:rPr>
                <w:rFonts w:ascii="Times New Roman" w:eastAsia="Calibri" w:hAnsi="Times New Roman" w:cs="Times New Roman"/>
              </w:rPr>
            </w:pPr>
            <w:r>
              <w:rPr>
                <w:rFonts w:ascii="Times New Roman" w:eastAsia="Calibri" w:hAnsi="Times New Roman" w:cs="Times New Roman"/>
              </w:rPr>
              <w:t>1.0950±0.0001</w:t>
            </w:r>
            <w:r>
              <w:rPr>
                <w:rFonts w:ascii="Times New Roman" w:eastAsia="Calibri" w:hAnsi="Times New Roman" w:cs="Times New Roman"/>
                <w:vertAlign w:val="superscript"/>
              </w:rPr>
              <w:t>a</w:t>
            </w:r>
          </w:p>
        </w:tc>
        <w:tc>
          <w:tcPr>
            <w:tcW w:w="1399" w:type="dxa"/>
            <w:tcBorders>
              <w:bottom w:val="single" w:sz="12" w:space="0" w:color="000000"/>
            </w:tcBorders>
            <w:vAlign w:val="center"/>
            <w:hideMark/>
          </w:tcPr>
          <w:p>
            <w:pPr>
              <w:jc w:val="center"/>
              <w:rPr>
                <w:rFonts w:ascii="Times New Roman" w:eastAsia="Calibri" w:hAnsi="Times New Roman" w:cs="Times New Roman"/>
                <w:lang w:val="en-US"/>
              </w:rPr>
            </w:pPr>
            <w:r>
              <w:rPr>
                <w:rFonts w:ascii="Times New Roman" w:eastAsia="Calibri" w:hAnsi="Times New Roman" w:cs="Times New Roman"/>
              </w:rPr>
              <w:t>5.59±0.07</w:t>
            </w:r>
            <w:r>
              <w:rPr>
                <w:rFonts w:ascii="Times New Roman" w:eastAsia="Calibri" w:hAnsi="Times New Roman" w:cs="Times New Roman"/>
                <w:vertAlign w:val="superscript"/>
                <w:lang w:val="en-US"/>
              </w:rPr>
              <w:t>b</w:t>
            </w:r>
          </w:p>
        </w:tc>
        <w:tc>
          <w:tcPr>
            <w:tcW w:w="1129" w:type="dxa"/>
            <w:tcBorders>
              <w:bottom w:val="single" w:sz="12" w:space="0" w:color="000000"/>
            </w:tcBorders>
            <w:vAlign w:val="center"/>
            <w:hideMark/>
          </w:tcPr>
          <w:p>
            <w:pPr>
              <w:jc w:val="center"/>
              <w:rPr>
                <w:rFonts w:ascii="Times New Roman" w:eastAsia="Calibri" w:hAnsi="Times New Roman" w:cs="Times New Roman"/>
              </w:rPr>
            </w:pPr>
            <w:r>
              <w:rPr>
                <w:rFonts w:ascii="Times New Roman" w:eastAsia="Calibri" w:hAnsi="Times New Roman" w:cs="Times New Roman"/>
              </w:rPr>
              <w:t>3.82±0.04</w:t>
            </w:r>
            <w:r>
              <w:rPr>
                <w:rFonts w:ascii="Times New Roman" w:eastAsia="Calibri" w:hAnsi="Times New Roman" w:cs="Times New Roman"/>
                <w:vertAlign w:val="superscript"/>
              </w:rPr>
              <w:t>a</w:t>
            </w:r>
          </w:p>
        </w:tc>
        <w:tc>
          <w:tcPr>
            <w:tcW w:w="1264" w:type="dxa"/>
            <w:tcBorders>
              <w:bottom w:val="single" w:sz="12" w:space="0" w:color="000000"/>
            </w:tcBorders>
            <w:vAlign w:val="center"/>
          </w:tcPr>
          <w:p>
            <w:pPr>
              <w:jc w:val="center"/>
              <w:rPr>
                <w:rFonts w:ascii="Times New Roman" w:eastAsia="Calibri" w:hAnsi="Times New Roman" w:cs="Times New Roman"/>
              </w:rPr>
            </w:pPr>
            <w:r>
              <w:rPr>
                <w:rFonts w:ascii="Times New Roman" w:eastAsia="Calibri" w:hAnsi="Times New Roman" w:cs="Times New Roman"/>
                <w:szCs w:val="20"/>
              </w:rPr>
              <w:t>8.9±0.1</w:t>
            </w:r>
            <w:r>
              <w:rPr>
                <w:rFonts w:ascii="Times New Roman" w:eastAsia="Calibri" w:hAnsi="Times New Roman" w:cs="Times New Roman"/>
                <w:szCs w:val="20"/>
                <w:vertAlign w:val="superscript"/>
              </w:rPr>
              <w:t>a</w:t>
            </w:r>
          </w:p>
        </w:tc>
      </w:tr>
      <w:tr>
        <w:trPr>
          <w:cantSplit/>
          <w:trHeight w:val="418"/>
          <w:tblHeader/>
          <w:jc w:val="center"/>
        </w:trPr>
        <w:tc>
          <w:tcPr>
            <w:tcW w:w="982" w:type="dxa"/>
            <w:tcBorders>
              <w:top w:val="single" w:sz="12" w:space="0" w:color="000000"/>
            </w:tcBorders>
          </w:tcPr>
          <w:p>
            <w:pPr>
              <w:rPr>
                <w:rFonts w:ascii="Times New Roman" w:eastAsia="Calibri" w:hAnsi="Times New Roman" w:cs="Times New Roman"/>
                <w:b/>
                <w:bCs/>
                <w:szCs w:val="20"/>
              </w:rPr>
            </w:pPr>
            <w:r>
              <w:rPr>
                <w:rFonts w:ascii="Times New Roman" w:eastAsia="Aptos" w:hAnsi="Times New Roman" w:cs="Times New Roman"/>
                <w:b/>
                <w:bCs/>
                <w:szCs w:val="20"/>
              </w:rPr>
              <w:t xml:space="preserve">R 110 </w:t>
            </w:r>
          </w:p>
        </w:tc>
        <w:tc>
          <w:tcPr>
            <w:tcW w:w="683" w:type="dxa"/>
            <w:tcBorders>
              <w:top w:val="single" w:sz="12" w:space="0" w:color="000000"/>
            </w:tcBorders>
          </w:tcPr>
          <w:p>
            <w:pPr>
              <w:jc w:val="center"/>
              <w:rPr>
                <w:rFonts w:ascii="Times New Roman" w:eastAsia="Calibri" w:hAnsi="Times New Roman" w:cs="Times New Roman"/>
                <w:b/>
                <w:bCs/>
              </w:rPr>
            </w:pPr>
            <w:r>
              <w:rPr>
                <w:rFonts w:ascii="Times New Roman" w:eastAsia="Calibri" w:hAnsi="Times New Roman" w:cs="Times New Roman"/>
                <w:b/>
                <w:bCs/>
              </w:rPr>
              <w:t>2024</w:t>
            </w:r>
          </w:p>
        </w:tc>
        <w:tc>
          <w:tcPr>
            <w:tcW w:w="1127" w:type="dxa"/>
            <w:tcBorders>
              <w:top w:val="single" w:sz="12" w:space="0" w:color="auto"/>
            </w:tcBorders>
            <w:vAlign w:val="center"/>
          </w:tcPr>
          <w:p>
            <w:pPr>
              <w:jc w:val="center"/>
              <w:rPr>
                <w:rFonts w:ascii="Times New Roman" w:eastAsia="Calibri" w:hAnsi="Times New Roman" w:cs="Times New Roman"/>
              </w:rPr>
            </w:pPr>
            <w:r>
              <w:rPr>
                <w:rFonts w:ascii="Times New Roman" w:eastAsia="Calibri" w:hAnsi="Times New Roman" w:cs="Times New Roman"/>
              </w:rPr>
              <w:t>12.5±0.2</w:t>
            </w:r>
            <w:r>
              <w:rPr>
                <w:rFonts w:ascii="Times New Roman" w:eastAsia="Calibri" w:hAnsi="Times New Roman" w:cs="Times New Roman"/>
                <w:vertAlign w:val="superscript"/>
              </w:rPr>
              <w:t>c</w:t>
            </w:r>
          </w:p>
        </w:tc>
        <w:tc>
          <w:tcPr>
            <w:tcW w:w="1700" w:type="dxa"/>
            <w:tcBorders>
              <w:top w:val="single" w:sz="12" w:space="0" w:color="auto"/>
            </w:tcBorders>
            <w:vAlign w:val="center"/>
          </w:tcPr>
          <w:p>
            <w:pPr>
              <w:jc w:val="center"/>
              <w:rPr>
                <w:rFonts w:ascii="Times New Roman" w:eastAsia="Calibri" w:hAnsi="Times New Roman" w:cs="Times New Roman"/>
              </w:rPr>
            </w:pPr>
            <w:r>
              <w:rPr>
                <w:rFonts w:ascii="Times New Roman" w:eastAsia="Calibri" w:hAnsi="Times New Roman" w:cs="Times New Roman"/>
              </w:rPr>
              <w:t>1.0925±0.0002</w:t>
            </w:r>
            <w:r>
              <w:rPr>
                <w:rFonts w:ascii="Times New Roman" w:eastAsia="Calibri" w:hAnsi="Times New Roman" w:cs="Times New Roman"/>
                <w:vertAlign w:val="superscript"/>
              </w:rPr>
              <w:t>b</w:t>
            </w:r>
          </w:p>
        </w:tc>
        <w:tc>
          <w:tcPr>
            <w:tcW w:w="1399" w:type="dxa"/>
            <w:tcBorders>
              <w:top w:val="single" w:sz="12" w:space="0" w:color="auto"/>
            </w:tcBorders>
            <w:vAlign w:val="center"/>
          </w:tcPr>
          <w:p>
            <w:pPr>
              <w:jc w:val="center"/>
              <w:rPr>
                <w:rFonts w:ascii="Times New Roman" w:eastAsia="Calibri" w:hAnsi="Times New Roman" w:cs="Times New Roman"/>
              </w:rPr>
            </w:pPr>
            <w:r>
              <w:rPr>
                <w:rFonts w:ascii="Times New Roman" w:eastAsia="Calibri" w:hAnsi="Times New Roman" w:cs="Times New Roman"/>
              </w:rPr>
              <w:t>4.70±0.1</w:t>
            </w:r>
            <w:r>
              <w:rPr>
                <w:rFonts w:ascii="Times New Roman" w:eastAsia="Calibri" w:hAnsi="Times New Roman" w:cs="Times New Roman"/>
                <w:vertAlign w:val="superscript"/>
                <w:lang w:val="el-GR"/>
              </w:rPr>
              <w:t>ab</w:t>
            </w:r>
          </w:p>
        </w:tc>
        <w:tc>
          <w:tcPr>
            <w:tcW w:w="1129" w:type="dxa"/>
            <w:tcBorders>
              <w:top w:val="single" w:sz="12" w:space="0" w:color="auto"/>
            </w:tcBorders>
            <w:vAlign w:val="center"/>
          </w:tcPr>
          <w:p>
            <w:pPr>
              <w:jc w:val="center"/>
              <w:rPr>
                <w:rFonts w:ascii="Times New Roman" w:eastAsia="Calibri" w:hAnsi="Times New Roman" w:cs="Times New Roman"/>
              </w:rPr>
            </w:pPr>
            <w:r>
              <w:rPr>
                <w:rFonts w:ascii="Times New Roman" w:eastAsia="Calibri" w:hAnsi="Times New Roman" w:cs="Times New Roman"/>
              </w:rPr>
              <w:t>4.25±0.00</w:t>
            </w:r>
            <w:r>
              <w:rPr>
                <w:rFonts w:ascii="Times New Roman" w:eastAsia="Calibri" w:hAnsi="Times New Roman" w:cs="Times New Roman"/>
                <w:vertAlign w:val="superscript"/>
              </w:rPr>
              <w:t>a</w:t>
            </w:r>
          </w:p>
        </w:tc>
        <w:tc>
          <w:tcPr>
            <w:tcW w:w="1264" w:type="dxa"/>
            <w:tcBorders>
              <w:top w:val="single" w:sz="12" w:space="0" w:color="auto"/>
            </w:tcBorders>
            <w:vAlign w:val="center"/>
          </w:tcPr>
          <w:p>
            <w:pPr>
              <w:jc w:val="center"/>
              <w:rPr>
                <w:rFonts w:ascii="Times New Roman" w:eastAsia="Calibri" w:hAnsi="Times New Roman" w:cs="Times New Roman"/>
                <w:szCs w:val="20"/>
              </w:rPr>
            </w:pPr>
            <w:r>
              <w:rPr>
                <w:rFonts w:ascii="Times New Roman" w:eastAsia="Calibri" w:hAnsi="Times New Roman" w:cs="Times New Roman"/>
              </w:rPr>
              <w:t>12.5±0.3</w:t>
            </w:r>
            <w:r>
              <w:rPr>
                <w:rFonts w:ascii="Times New Roman" w:eastAsia="Calibri" w:hAnsi="Times New Roman" w:cs="Times New Roman"/>
                <w:vertAlign w:val="superscript"/>
              </w:rPr>
              <w:t>c</w:t>
            </w:r>
          </w:p>
        </w:tc>
      </w:tr>
      <w:tr>
        <w:trPr>
          <w:cantSplit/>
          <w:trHeight w:val="418"/>
          <w:tblHeader/>
          <w:jc w:val="center"/>
        </w:trPr>
        <w:tc>
          <w:tcPr>
            <w:tcW w:w="982" w:type="dxa"/>
          </w:tcPr>
          <w:p>
            <w:pPr>
              <w:rPr>
                <w:rFonts w:ascii="Times New Roman" w:eastAsia="Calibri" w:hAnsi="Times New Roman" w:cs="Times New Roman"/>
                <w:b/>
                <w:bCs/>
                <w:szCs w:val="20"/>
              </w:rPr>
            </w:pPr>
            <w:r>
              <w:rPr>
                <w:rFonts w:ascii="Times New Roman" w:eastAsia="Aptos" w:hAnsi="Times New Roman" w:cs="Times New Roman"/>
                <w:b/>
                <w:bCs/>
                <w:szCs w:val="20"/>
              </w:rPr>
              <w:t>140 Ru</w:t>
            </w:r>
          </w:p>
        </w:tc>
        <w:tc>
          <w:tcPr>
            <w:tcW w:w="683" w:type="dxa"/>
          </w:tcPr>
          <w:p>
            <w:pPr>
              <w:jc w:val="center"/>
              <w:rPr>
                <w:rFonts w:ascii="Times New Roman" w:eastAsia="Calibri" w:hAnsi="Times New Roman" w:cs="Times New Roman"/>
                <w:b/>
                <w:bCs/>
              </w:rPr>
            </w:pPr>
            <w:r>
              <w:rPr>
                <w:rFonts w:ascii="Times New Roman" w:eastAsia="Calibri" w:hAnsi="Times New Roman" w:cs="Times New Roman"/>
                <w:b/>
                <w:bCs/>
              </w:rPr>
              <w:t>2024</w:t>
            </w:r>
          </w:p>
        </w:tc>
        <w:tc>
          <w:tcPr>
            <w:tcW w:w="1127" w:type="dxa"/>
            <w:vAlign w:val="center"/>
          </w:tcPr>
          <w:p>
            <w:pPr>
              <w:jc w:val="center"/>
              <w:rPr>
                <w:rFonts w:ascii="Times New Roman" w:eastAsia="Calibri" w:hAnsi="Times New Roman" w:cs="Times New Roman"/>
              </w:rPr>
            </w:pPr>
            <w:r>
              <w:rPr>
                <w:rFonts w:ascii="Times New Roman" w:eastAsia="Calibri" w:hAnsi="Times New Roman" w:cs="Times New Roman"/>
              </w:rPr>
              <w:t>11.7±0.3</w:t>
            </w:r>
            <w:r>
              <w:rPr>
                <w:rFonts w:ascii="Times New Roman" w:eastAsia="Calibri" w:hAnsi="Times New Roman" w:cs="Times New Roman"/>
                <w:vertAlign w:val="superscript"/>
              </w:rPr>
              <w:t>d</w:t>
            </w:r>
          </w:p>
        </w:tc>
        <w:tc>
          <w:tcPr>
            <w:tcW w:w="1700" w:type="dxa"/>
            <w:vAlign w:val="center"/>
          </w:tcPr>
          <w:p>
            <w:pPr>
              <w:jc w:val="center"/>
              <w:rPr>
                <w:rFonts w:ascii="Times New Roman" w:eastAsia="Calibri" w:hAnsi="Times New Roman" w:cs="Times New Roman"/>
              </w:rPr>
            </w:pPr>
            <w:r>
              <w:rPr>
                <w:rFonts w:ascii="Times New Roman" w:eastAsia="Calibri" w:hAnsi="Times New Roman" w:cs="Times New Roman"/>
              </w:rPr>
              <w:t>1.0866±0.0001</w:t>
            </w:r>
            <w:r>
              <w:rPr>
                <w:rFonts w:ascii="Times New Roman" w:eastAsia="Calibri" w:hAnsi="Times New Roman" w:cs="Times New Roman"/>
                <w:vertAlign w:val="superscript"/>
              </w:rPr>
              <w:t>c</w:t>
            </w:r>
          </w:p>
        </w:tc>
        <w:tc>
          <w:tcPr>
            <w:tcW w:w="1399" w:type="dxa"/>
            <w:vAlign w:val="center"/>
          </w:tcPr>
          <w:p>
            <w:pPr>
              <w:jc w:val="center"/>
              <w:rPr>
                <w:rFonts w:ascii="Times New Roman" w:eastAsia="Calibri" w:hAnsi="Times New Roman" w:cs="Times New Roman"/>
              </w:rPr>
            </w:pPr>
            <w:r>
              <w:rPr>
                <w:rFonts w:ascii="Times New Roman" w:eastAsia="Calibri" w:hAnsi="Times New Roman" w:cs="Times New Roman"/>
              </w:rPr>
              <w:t>4.88±0.1</w:t>
            </w:r>
            <w:r>
              <w:rPr>
                <w:rFonts w:ascii="Times New Roman" w:eastAsia="Calibri" w:hAnsi="Times New Roman" w:cs="Times New Roman"/>
                <w:vertAlign w:val="superscript"/>
                <w:lang w:val="el-GR"/>
              </w:rPr>
              <w:t>a</w:t>
            </w:r>
          </w:p>
        </w:tc>
        <w:tc>
          <w:tcPr>
            <w:tcW w:w="1129" w:type="dxa"/>
            <w:vAlign w:val="center"/>
          </w:tcPr>
          <w:p>
            <w:pPr>
              <w:jc w:val="center"/>
              <w:rPr>
                <w:rFonts w:ascii="Times New Roman" w:eastAsia="Calibri" w:hAnsi="Times New Roman" w:cs="Times New Roman"/>
              </w:rPr>
            </w:pPr>
            <w:r>
              <w:rPr>
                <w:rFonts w:ascii="Times New Roman" w:eastAsia="Calibri" w:hAnsi="Times New Roman" w:cs="Times New Roman"/>
              </w:rPr>
              <w:t>4.13±0.01</w:t>
            </w:r>
            <w:r>
              <w:rPr>
                <w:rFonts w:ascii="Times New Roman" w:eastAsia="Calibri" w:hAnsi="Times New Roman" w:cs="Times New Roman"/>
                <w:vertAlign w:val="superscript"/>
              </w:rPr>
              <w:t>b</w:t>
            </w:r>
          </w:p>
        </w:tc>
        <w:tc>
          <w:tcPr>
            <w:tcW w:w="1264" w:type="dxa"/>
            <w:vAlign w:val="center"/>
          </w:tcPr>
          <w:p>
            <w:pPr>
              <w:jc w:val="center"/>
              <w:rPr>
                <w:rFonts w:ascii="Times New Roman" w:eastAsia="Calibri" w:hAnsi="Times New Roman" w:cs="Times New Roman"/>
                <w:szCs w:val="20"/>
              </w:rPr>
            </w:pPr>
            <w:r>
              <w:rPr>
                <w:rFonts w:ascii="Times New Roman" w:eastAsia="Calibri" w:hAnsi="Times New Roman" w:cs="Times New Roman"/>
              </w:rPr>
              <w:t>11.7±0.0</w:t>
            </w:r>
            <w:r>
              <w:rPr>
                <w:rFonts w:ascii="Times New Roman" w:eastAsia="Calibri" w:hAnsi="Times New Roman" w:cs="Times New Roman"/>
                <w:vertAlign w:val="superscript"/>
              </w:rPr>
              <w:t>d</w:t>
            </w:r>
          </w:p>
        </w:tc>
      </w:tr>
      <w:tr>
        <w:trPr>
          <w:cantSplit/>
          <w:trHeight w:val="418"/>
          <w:tblHeader/>
          <w:jc w:val="center"/>
        </w:trPr>
        <w:tc>
          <w:tcPr>
            <w:tcW w:w="982" w:type="dxa"/>
          </w:tcPr>
          <w:p>
            <w:pPr>
              <w:rPr>
                <w:rFonts w:ascii="Times New Roman" w:eastAsia="Calibri" w:hAnsi="Times New Roman" w:cs="Times New Roman"/>
                <w:b/>
                <w:bCs/>
                <w:szCs w:val="20"/>
              </w:rPr>
            </w:pPr>
            <w:r>
              <w:rPr>
                <w:rFonts w:ascii="Times New Roman" w:eastAsia="Aptos" w:hAnsi="Times New Roman" w:cs="Times New Roman"/>
                <w:b/>
                <w:bCs/>
                <w:szCs w:val="20"/>
              </w:rPr>
              <w:t>3309 C</w:t>
            </w:r>
          </w:p>
        </w:tc>
        <w:tc>
          <w:tcPr>
            <w:tcW w:w="683" w:type="dxa"/>
          </w:tcPr>
          <w:p>
            <w:pPr>
              <w:jc w:val="center"/>
              <w:rPr>
                <w:rFonts w:ascii="Times New Roman" w:eastAsia="Calibri" w:hAnsi="Times New Roman" w:cs="Times New Roman"/>
                <w:b/>
                <w:bCs/>
              </w:rPr>
            </w:pPr>
            <w:r>
              <w:rPr>
                <w:rFonts w:ascii="Times New Roman" w:eastAsia="Calibri" w:hAnsi="Times New Roman" w:cs="Times New Roman"/>
                <w:b/>
                <w:bCs/>
              </w:rPr>
              <w:t>2024</w:t>
            </w:r>
          </w:p>
        </w:tc>
        <w:tc>
          <w:tcPr>
            <w:tcW w:w="1127" w:type="dxa"/>
            <w:vAlign w:val="center"/>
          </w:tcPr>
          <w:p>
            <w:pPr>
              <w:jc w:val="center"/>
              <w:rPr>
                <w:rFonts w:ascii="Times New Roman" w:eastAsia="Calibri" w:hAnsi="Times New Roman" w:cs="Times New Roman"/>
              </w:rPr>
            </w:pPr>
            <w:r>
              <w:rPr>
                <w:rFonts w:ascii="Times New Roman" w:eastAsia="Calibri" w:hAnsi="Times New Roman" w:cs="Times New Roman"/>
              </w:rPr>
              <w:t>12.4±0.0</w:t>
            </w:r>
            <w:r>
              <w:rPr>
                <w:rFonts w:ascii="Times New Roman" w:eastAsia="Calibri" w:hAnsi="Times New Roman" w:cs="Times New Roman"/>
                <w:vertAlign w:val="superscript"/>
              </w:rPr>
              <w:t>c</w:t>
            </w:r>
          </w:p>
        </w:tc>
        <w:tc>
          <w:tcPr>
            <w:tcW w:w="1700" w:type="dxa"/>
            <w:vAlign w:val="center"/>
          </w:tcPr>
          <w:p>
            <w:pPr>
              <w:jc w:val="center"/>
              <w:rPr>
                <w:rFonts w:ascii="Times New Roman" w:eastAsia="Calibri" w:hAnsi="Times New Roman" w:cs="Times New Roman"/>
              </w:rPr>
            </w:pPr>
            <w:r>
              <w:rPr>
                <w:rFonts w:ascii="Times New Roman" w:eastAsia="Calibri" w:hAnsi="Times New Roman" w:cs="Times New Roman"/>
              </w:rPr>
              <w:t>1.0927±0.0002</w:t>
            </w:r>
            <w:r>
              <w:rPr>
                <w:rFonts w:ascii="Times New Roman" w:eastAsia="Calibri" w:hAnsi="Times New Roman" w:cs="Times New Roman"/>
                <w:vertAlign w:val="superscript"/>
              </w:rPr>
              <w:t>b</w:t>
            </w:r>
          </w:p>
        </w:tc>
        <w:tc>
          <w:tcPr>
            <w:tcW w:w="1399" w:type="dxa"/>
            <w:vAlign w:val="center"/>
          </w:tcPr>
          <w:p>
            <w:pPr>
              <w:jc w:val="center"/>
              <w:rPr>
                <w:rFonts w:ascii="Times New Roman" w:eastAsia="Calibri" w:hAnsi="Times New Roman" w:cs="Times New Roman"/>
              </w:rPr>
            </w:pPr>
            <w:r>
              <w:rPr>
                <w:rFonts w:ascii="Times New Roman" w:eastAsia="Calibri" w:hAnsi="Times New Roman" w:cs="Times New Roman"/>
              </w:rPr>
              <w:t>4.48±0.1ᵇ</w:t>
            </w:r>
          </w:p>
        </w:tc>
        <w:tc>
          <w:tcPr>
            <w:tcW w:w="1129" w:type="dxa"/>
            <w:vAlign w:val="center"/>
          </w:tcPr>
          <w:p>
            <w:pPr>
              <w:jc w:val="center"/>
              <w:rPr>
                <w:rFonts w:ascii="Times New Roman" w:eastAsia="Calibri" w:hAnsi="Times New Roman" w:cs="Times New Roman"/>
              </w:rPr>
            </w:pPr>
            <w:r>
              <w:rPr>
                <w:rFonts w:ascii="Times New Roman" w:eastAsia="Calibri" w:hAnsi="Times New Roman" w:cs="Times New Roman"/>
              </w:rPr>
              <w:t>4.07±0.00</w:t>
            </w:r>
            <w:r>
              <w:rPr>
                <w:rFonts w:ascii="Times New Roman" w:eastAsia="Calibri" w:hAnsi="Times New Roman" w:cs="Times New Roman"/>
                <w:vertAlign w:val="superscript"/>
              </w:rPr>
              <w:t>c</w:t>
            </w:r>
          </w:p>
        </w:tc>
        <w:tc>
          <w:tcPr>
            <w:tcW w:w="1264" w:type="dxa"/>
            <w:vAlign w:val="center"/>
          </w:tcPr>
          <w:p>
            <w:pPr>
              <w:jc w:val="center"/>
              <w:rPr>
                <w:rFonts w:ascii="Times New Roman" w:eastAsia="Calibri" w:hAnsi="Times New Roman" w:cs="Times New Roman"/>
                <w:szCs w:val="20"/>
              </w:rPr>
            </w:pPr>
            <w:r>
              <w:rPr>
                <w:rFonts w:ascii="Times New Roman" w:eastAsia="Calibri" w:hAnsi="Times New Roman" w:cs="Times New Roman"/>
              </w:rPr>
              <w:t>12.4±0.2</w:t>
            </w:r>
            <w:r>
              <w:rPr>
                <w:rFonts w:ascii="Times New Roman" w:eastAsia="Calibri" w:hAnsi="Times New Roman" w:cs="Times New Roman"/>
                <w:vertAlign w:val="superscript"/>
              </w:rPr>
              <w:t>c</w:t>
            </w:r>
          </w:p>
        </w:tc>
      </w:tr>
      <w:tr>
        <w:trPr>
          <w:cantSplit/>
          <w:trHeight w:val="418"/>
          <w:tblHeader/>
          <w:jc w:val="center"/>
        </w:trPr>
        <w:tc>
          <w:tcPr>
            <w:tcW w:w="982" w:type="dxa"/>
          </w:tcPr>
          <w:p>
            <w:pPr>
              <w:rPr>
                <w:rFonts w:ascii="Times New Roman" w:eastAsia="Calibri" w:hAnsi="Times New Roman" w:cs="Times New Roman"/>
                <w:b/>
                <w:bCs/>
                <w:szCs w:val="20"/>
              </w:rPr>
            </w:pPr>
            <w:r>
              <w:rPr>
                <w:rFonts w:ascii="Times New Roman" w:eastAsia="Aptos" w:hAnsi="Times New Roman" w:cs="Times New Roman"/>
                <w:b/>
                <w:bCs/>
                <w:szCs w:val="20"/>
              </w:rPr>
              <w:t>41 B</w:t>
            </w:r>
          </w:p>
        </w:tc>
        <w:tc>
          <w:tcPr>
            <w:tcW w:w="683" w:type="dxa"/>
          </w:tcPr>
          <w:p>
            <w:pPr>
              <w:jc w:val="center"/>
              <w:rPr>
                <w:rFonts w:ascii="Times New Roman" w:eastAsia="Calibri" w:hAnsi="Times New Roman" w:cs="Times New Roman"/>
                <w:b/>
                <w:bCs/>
              </w:rPr>
            </w:pPr>
            <w:r>
              <w:rPr>
                <w:rFonts w:ascii="Times New Roman" w:eastAsia="Calibri" w:hAnsi="Times New Roman" w:cs="Times New Roman"/>
                <w:b/>
                <w:bCs/>
              </w:rPr>
              <w:t>2024</w:t>
            </w:r>
          </w:p>
        </w:tc>
        <w:tc>
          <w:tcPr>
            <w:tcW w:w="1127" w:type="dxa"/>
            <w:vAlign w:val="center"/>
          </w:tcPr>
          <w:p>
            <w:pPr>
              <w:jc w:val="center"/>
              <w:rPr>
                <w:rFonts w:ascii="Times New Roman" w:eastAsia="Calibri" w:hAnsi="Times New Roman" w:cs="Times New Roman"/>
              </w:rPr>
            </w:pPr>
            <w:r>
              <w:rPr>
                <w:rFonts w:ascii="Times New Roman" w:eastAsia="Calibri" w:hAnsi="Times New Roman" w:cs="Times New Roman"/>
              </w:rPr>
              <w:t>12.6±0.2</w:t>
            </w:r>
            <w:r>
              <w:rPr>
                <w:rFonts w:ascii="Times New Roman" w:eastAsia="Calibri" w:hAnsi="Times New Roman" w:cs="Times New Roman"/>
                <w:vertAlign w:val="superscript"/>
              </w:rPr>
              <w:t>b</w:t>
            </w:r>
          </w:p>
        </w:tc>
        <w:tc>
          <w:tcPr>
            <w:tcW w:w="1700" w:type="dxa"/>
            <w:vAlign w:val="center"/>
          </w:tcPr>
          <w:p>
            <w:pPr>
              <w:jc w:val="center"/>
              <w:rPr>
                <w:rFonts w:ascii="Times New Roman" w:eastAsia="Calibri" w:hAnsi="Times New Roman" w:cs="Times New Roman"/>
              </w:rPr>
            </w:pPr>
            <w:r>
              <w:rPr>
                <w:rFonts w:ascii="Times New Roman" w:eastAsia="Calibri" w:hAnsi="Times New Roman" w:cs="Times New Roman"/>
              </w:rPr>
              <w:t>1.0955±0.0001</w:t>
            </w:r>
            <w:r>
              <w:rPr>
                <w:rFonts w:ascii="Times New Roman" w:eastAsia="Calibri" w:hAnsi="Times New Roman" w:cs="Times New Roman"/>
                <w:vertAlign w:val="superscript"/>
              </w:rPr>
              <w:t>a</w:t>
            </w:r>
          </w:p>
        </w:tc>
        <w:tc>
          <w:tcPr>
            <w:tcW w:w="1399" w:type="dxa"/>
            <w:vAlign w:val="center"/>
          </w:tcPr>
          <w:p>
            <w:pPr>
              <w:jc w:val="center"/>
              <w:rPr>
                <w:rFonts w:ascii="Times New Roman" w:eastAsia="Calibri" w:hAnsi="Times New Roman" w:cs="Times New Roman"/>
              </w:rPr>
            </w:pPr>
            <w:r>
              <w:rPr>
                <w:rFonts w:ascii="Times New Roman" w:eastAsia="Calibri" w:hAnsi="Times New Roman" w:cs="Times New Roman"/>
              </w:rPr>
              <w:t>4.93±0.2</w:t>
            </w:r>
            <w:r>
              <w:rPr>
                <w:rFonts w:ascii="Times New Roman" w:eastAsia="Calibri" w:hAnsi="Times New Roman" w:cs="Times New Roman"/>
                <w:vertAlign w:val="superscript"/>
              </w:rPr>
              <w:t>a</w:t>
            </w:r>
          </w:p>
        </w:tc>
        <w:tc>
          <w:tcPr>
            <w:tcW w:w="1129" w:type="dxa"/>
            <w:vAlign w:val="center"/>
          </w:tcPr>
          <w:p>
            <w:pPr>
              <w:jc w:val="center"/>
              <w:rPr>
                <w:rFonts w:ascii="Times New Roman" w:eastAsia="Calibri" w:hAnsi="Times New Roman" w:cs="Times New Roman"/>
              </w:rPr>
            </w:pPr>
            <w:r>
              <w:rPr>
                <w:rFonts w:ascii="Times New Roman" w:eastAsia="Calibri" w:hAnsi="Times New Roman" w:cs="Times New Roman"/>
              </w:rPr>
              <w:t>4.01±0.01</w:t>
            </w:r>
            <w:r>
              <w:rPr>
                <w:rFonts w:ascii="Times New Roman" w:eastAsia="Calibri" w:hAnsi="Times New Roman" w:cs="Times New Roman"/>
                <w:vertAlign w:val="superscript"/>
              </w:rPr>
              <w:t>d</w:t>
            </w:r>
          </w:p>
        </w:tc>
        <w:tc>
          <w:tcPr>
            <w:tcW w:w="1264" w:type="dxa"/>
            <w:vAlign w:val="center"/>
          </w:tcPr>
          <w:p>
            <w:pPr>
              <w:jc w:val="center"/>
              <w:rPr>
                <w:rFonts w:ascii="Times New Roman" w:eastAsia="Calibri" w:hAnsi="Times New Roman" w:cs="Times New Roman"/>
                <w:szCs w:val="20"/>
              </w:rPr>
            </w:pPr>
            <w:r>
              <w:rPr>
                <w:rFonts w:ascii="Times New Roman" w:eastAsia="Calibri" w:hAnsi="Times New Roman" w:cs="Times New Roman"/>
              </w:rPr>
              <w:t>12.6±0.4</w:t>
            </w:r>
            <w:r>
              <w:rPr>
                <w:rFonts w:ascii="Times New Roman" w:eastAsia="Calibri" w:hAnsi="Times New Roman" w:cs="Times New Roman"/>
                <w:vertAlign w:val="superscript"/>
              </w:rPr>
              <w:t>b</w:t>
            </w:r>
          </w:p>
        </w:tc>
      </w:tr>
      <w:tr>
        <w:trPr>
          <w:cantSplit/>
          <w:trHeight w:val="418"/>
          <w:tblHeader/>
          <w:jc w:val="center"/>
        </w:trPr>
        <w:tc>
          <w:tcPr>
            <w:tcW w:w="982" w:type="dxa"/>
            <w:tcBorders>
              <w:bottom w:val="single" w:sz="12" w:space="0" w:color="000000"/>
            </w:tcBorders>
          </w:tcPr>
          <w:p>
            <w:pPr>
              <w:rPr>
                <w:rFonts w:ascii="Times New Roman" w:eastAsia="Calibri" w:hAnsi="Times New Roman" w:cs="Times New Roman"/>
                <w:b/>
                <w:bCs/>
                <w:szCs w:val="20"/>
              </w:rPr>
            </w:pPr>
            <w:proofErr w:type="spellStart"/>
            <w:r>
              <w:rPr>
                <w:rFonts w:ascii="Times New Roman" w:eastAsia="Aptos" w:hAnsi="Times New Roman" w:cs="Times New Roman"/>
                <w:b/>
                <w:bCs/>
                <w:szCs w:val="20"/>
              </w:rPr>
              <w:t>Fercal</w:t>
            </w:r>
            <w:proofErr w:type="spellEnd"/>
          </w:p>
        </w:tc>
        <w:tc>
          <w:tcPr>
            <w:tcW w:w="683" w:type="dxa"/>
            <w:tcBorders>
              <w:bottom w:val="single" w:sz="12" w:space="0" w:color="000000"/>
            </w:tcBorders>
          </w:tcPr>
          <w:p>
            <w:pPr>
              <w:jc w:val="center"/>
              <w:rPr>
                <w:rFonts w:ascii="Times New Roman" w:eastAsia="Calibri" w:hAnsi="Times New Roman" w:cs="Times New Roman"/>
                <w:b/>
                <w:bCs/>
              </w:rPr>
            </w:pPr>
            <w:r>
              <w:rPr>
                <w:rFonts w:ascii="Times New Roman" w:eastAsia="Calibri" w:hAnsi="Times New Roman" w:cs="Times New Roman"/>
                <w:b/>
                <w:bCs/>
              </w:rPr>
              <w:t>2024</w:t>
            </w:r>
          </w:p>
        </w:tc>
        <w:tc>
          <w:tcPr>
            <w:tcW w:w="1127" w:type="dxa"/>
            <w:tcBorders>
              <w:bottom w:val="single" w:sz="12" w:space="0" w:color="000000"/>
            </w:tcBorders>
            <w:vAlign w:val="center"/>
          </w:tcPr>
          <w:p>
            <w:pPr>
              <w:jc w:val="center"/>
              <w:rPr>
                <w:rFonts w:ascii="Times New Roman" w:eastAsia="Calibri" w:hAnsi="Times New Roman" w:cs="Times New Roman"/>
              </w:rPr>
            </w:pPr>
            <w:r>
              <w:rPr>
                <w:rFonts w:ascii="Times New Roman" w:eastAsia="Calibri" w:hAnsi="Times New Roman" w:cs="Times New Roman"/>
              </w:rPr>
              <w:t>12.8±0.4</w:t>
            </w:r>
            <w:r>
              <w:rPr>
                <w:rFonts w:ascii="Times New Roman" w:eastAsia="Calibri" w:hAnsi="Times New Roman" w:cs="Times New Roman"/>
                <w:vertAlign w:val="superscript"/>
              </w:rPr>
              <w:t>a</w:t>
            </w:r>
          </w:p>
        </w:tc>
        <w:tc>
          <w:tcPr>
            <w:tcW w:w="1700" w:type="dxa"/>
            <w:tcBorders>
              <w:bottom w:val="single" w:sz="12" w:space="0" w:color="000000"/>
            </w:tcBorders>
            <w:vAlign w:val="center"/>
          </w:tcPr>
          <w:p>
            <w:pPr>
              <w:jc w:val="center"/>
              <w:rPr>
                <w:rFonts w:ascii="Times New Roman" w:eastAsia="Calibri" w:hAnsi="Times New Roman" w:cs="Times New Roman"/>
              </w:rPr>
            </w:pPr>
            <w:r>
              <w:rPr>
                <w:rFonts w:ascii="Times New Roman" w:eastAsia="Calibri" w:hAnsi="Times New Roman" w:cs="Times New Roman"/>
              </w:rPr>
              <w:t>1.0950±0.0001</w:t>
            </w:r>
            <w:r>
              <w:rPr>
                <w:rFonts w:ascii="Times New Roman" w:eastAsia="Calibri" w:hAnsi="Times New Roman" w:cs="Times New Roman"/>
                <w:vertAlign w:val="superscript"/>
              </w:rPr>
              <w:t>a</w:t>
            </w:r>
          </w:p>
        </w:tc>
        <w:tc>
          <w:tcPr>
            <w:tcW w:w="1399" w:type="dxa"/>
            <w:tcBorders>
              <w:bottom w:val="single" w:sz="12" w:space="0" w:color="000000"/>
            </w:tcBorders>
            <w:vAlign w:val="center"/>
          </w:tcPr>
          <w:p>
            <w:pPr>
              <w:jc w:val="center"/>
              <w:rPr>
                <w:rFonts w:ascii="Times New Roman" w:eastAsia="Calibri" w:hAnsi="Times New Roman" w:cs="Times New Roman"/>
              </w:rPr>
            </w:pPr>
            <w:r>
              <w:rPr>
                <w:rFonts w:ascii="Times New Roman" w:eastAsia="Calibri" w:hAnsi="Times New Roman" w:cs="Times New Roman"/>
              </w:rPr>
              <w:t>4.90±0.0</w:t>
            </w:r>
            <w:r>
              <w:rPr>
                <w:rFonts w:ascii="Times New Roman" w:eastAsia="Calibri" w:hAnsi="Times New Roman" w:cs="Times New Roman"/>
                <w:vertAlign w:val="superscript"/>
              </w:rPr>
              <w:t>a</w:t>
            </w:r>
          </w:p>
        </w:tc>
        <w:tc>
          <w:tcPr>
            <w:tcW w:w="1129" w:type="dxa"/>
            <w:tcBorders>
              <w:bottom w:val="single" w:sz="12" w:space="0" w:color="000000"/>
            </w:tcBorders>
            <w:vAlign w:val="center"/>
          </w:tcPr>
          <w:p>
            <w:pPr>
              <w:jc w:val="center"/>
              <w:rPr>
                <w:rFonts w:ascii="Times New Roman" w:eastAsia="Calibri" w:hAnsi="Times New Roman" w:cs="Times New Roman"/>
              </w:rPr>
            </w:pPr>
            <w:r>
              <w:rPr>
                <w:rFonts w:ascii="Times New Roman" w:eastAsia="Calibri" w:hAnsi="Times New Roman" w:cs="Times New Roman"/>
              </w:rPr>
              <w:t>4.07±0.01</w:t>
            </w:r>
            <w:r>
              <w:rPr>
                <w:rFonts w:ascii="Times New Roman" w:eastAsia="Calibri" w:hAnsi="Times New Roman" w:cs="Times New Roman"/>
                <w:vertAlign w:val="superscript"/>
              </w:rPr>
              <w:t>c</w:t>
            </w:r>
          </w:p>
        </w:tc>
        <w:tc>
          <w:tcPr>
            <w:tcW w:w="1264" w:type="dxa"/>
            <w:tcBorders>
              <w:bottom w:val="single" w:sz="12" w:space="0" w:color="000000"/>
            </w:tcBorders>
            <w:vAlign w:val="center"/>
          </w:tcPr>
          <w:p>
            <w:pPr>
              <w:jc w:val="center"/>
              <w:rPr>
                <w:rFonts w:ascii="Times New Roman" w:eastAsia="Calibri" w:hAnsi="Times New Roman" w:cs="Times New Roman"/>
                <w:szCs w:val="20"/>
              </w:rPr>
            </w:pPr>
            <w:r>
              <w:rPr>
                <w:rFonts w:ascii="Times New Roman" w:eastAsia="Calibri" w:hAnsi="Times New Roman" w:cs="Times New Roman"/>
              </w:rPr>
              <w:t>12.8±0.2</w:t>
            </w:r>
            <w:r>
              <w:rPr>
                <w:rFonts w:ascii="Times New Roman" w:eastAsia="Calibri" w:hAnsi="Times New Roman" w:cs="Times New Roman"/>
                <w:vertAlign w:val="superscript"/>
              </w:rPr>
              <w:t>a</w:t>
            </w:r>
          </w:p>
        </w:tc>
      </w:tr>
    </w:tbl>
    <w:p>
      <w:pPr>
        <w:pStyle w:val="Body"/>
        <w:spacing w:after="0"/>
        <w:rPr>
          <w:rFonts w:ascii="Arial" w:hAnsi="Arial" w:cs="Arial"/>
        </w:rPr>
      </w:pPr>
    </w:p>
    <w:p>
      <w:pPr>
        <w:pStyle w:val="Body"/>
        <w:spacing w:after="0"/>
        <w:rPr>
          <w:rFonts w:ascii="Arial" w:hAnsi="Arial" w:cs="Arial"/>
        </w:rPr>
      </w:pPr>
    </w:p>
    <w:p>
      <w:pPr>
        <w:pStyle w:val="ConcHead"/>
        <w:spacing w:after="0"/>
        <w:jc w:val="both"/>
        <w:rPr>
          <w:rFonts w:ascii="Arial" w:hAnsi="Arial" w:cs="Arial"/>
        </w:rPr>
      </w:pPr>
      <w:r>
        <w:rPr>
          <w:rFonts w:ascii="Arial" w:hAnsi="Arial" w:cs="Arial"/>
        </w:rPr>
        <w:t>4. Conclusion</w:t>
      </w:r>
    </w:p>
    <w:p>
      <w:pPr>
        <w:pStyle w:val="ConcHead"/>
        <w:spacing w:after="0"/>
        <w:jc w:val="both"/>
        <w:rPr>
          <w:rFonts w:ascii="Arial" w:hAnsi="Arial" w:cs="Arial"/>
        </w:rPr>
      </w:pPr>
    </w:p>
    <w:p>
      <w:pPr>
        <w:pStyle w:val="Body"/>
        <w:rPr>
          <w:rFonts w:ascii="Arial" w:hAnsi="Arial" w:cs="Arial"/>
        </w:rPr>
      </w:pPr>
      <w:r>
        <w:rPr>
          <w:rFonts w:ascii="Arial" w:hAnsi="Arial" w:cs="Arial"/>
        </w:rPr>
        <w:t xml:space="preserve">Overall, the present study demonstrates that rootstock selection significantly influences the morphological traits of grape berries and clusters as well as the chemical composition of must in Assyrtiko. Rootstocks such as </w:t>
      </w:r>
      <w:proofErr w:type="spellStart"/>
      <w:r>
        <w:rPr>
          <w:rFonts w:ascii="Arial" w:hAnsi="Arial" w:cs="Arial"/>
        </w:rPr>
        <w:t>Fercal</w:t>
      </w:r>
      <w:proofErr w:type="spellEnd"/>
      <w:r>
        <w:rPr>
          <w:rFonts w:ascii="Arial" w:hAnsi="Arial" w:cs="Arial"/>
        </w:rPr>
        <w:t xml:space="preserve"> and 41 B enhanced sugar accumulation, phenolic content, and berry size. Conversely, 140 Ru favored higher yields and acid retention. The variability observed between the two vintages highlights the importance of long-term evaluation under changing environmental conditions. These findings contribute valuable knowledge to the limited literature on rootstock–scion interactions in native Greek cultivars and offer practical guidance towards the direction of optimizing grape and wine quality.</w:t>
      </w:r>
    </w:p>
    <w:p>
      <w:pPr>
        <w:pStyle w:val="Body"/>
        <w:rPr>
          <w:rFonts w:ascii="Arial" w:hAnsi="Arial" w:cs="Arial"/>
          <w:b/>
          <w:sz w:val="22"/>
          <w:szCs w:val="22"/>
        </w:rPr>
      </w:pPr>
      <w:r>
        <w:rPr>
          <w:rFonts w:ascii="Arial" w:hAnsi="Arial" w:cs="Arial"/>
          <w:b/>
          <w:sz w:val="22"/>
          <w:szCs w:val="22"/>
        </w:rPr>
        <w:t>COMPETING INTERESTS</w:t>
      </w:r>
    </w:p>
    <w:p>
      <w:pPr>
        <w:pStyle w:val="Body"/>
        <w:rPr>
          <w:rFonts w:ascii="Arial" w:hAnsi="Arial" w:cs="Arial"/>
        </w:rPr>
      </w:pPr>
      <w:r>
        <w:rPr>
          <w:rFonts w:ascii="Arial" w:hAnsi="Arial" w:cs="Arial"/>
        </w:rPr>
        <w:t>Authors have declared that no competing interests exist.</w:t>
      </w:r>
    </w:p>
    <w:p>
      <w:pPr>
        <w:pStyle w:val="ReferHead"/>
        <w:spacing w:after="0"/>
        <w:jc w:val="both"/>
        <w:rPr>
          <w:rFonts w:ascii="Arial" w:hAnsi="Arial" w:cs="Arial"/>
          <w:b w:val="0"/>
          <w:caps w:val="0"/>
          <w:sz w:val="20"/>
        </w:rPr>
      </w:pPr>
    </w:p>
    <w:p>
      <w:pPr>
        <w:pStyle w:val="ReferHead"/>
        <w:spacing w:after="0"/>
        <w:jc w:val="both"/>
        <w:rPr>
          <w:rFonts w:ascii="Arial" w:hAnsi="Arial" w:cs="Arial"/>
          <w:lang w:val="de-DE"/>
        </w:rPr>
      </w:pPr>
      <w:r>
        <w:rPr>
          <w:rFonts w:ascii="Arial" w:hAnsi="Arial" w:cs="Arial"/>
          <w:lang w:val="de-DE"/>
        </w:rPr>
        <w:t>References</w:t>
      </w:r>
    </w:p>
    <w:p>
      <w:pPr>
        <w:pStyle w:val="ReferHead"/>
        <w:spacing w:after="0"/>
        <w:jc w:val="both"/>
        <w:rPr>
          <w:rFonts w:ascii="Arial" w:hAnsi="Arial" w:cs="Arial"/>
          <w:lang w:val="de-DE"/>
        </w:rPr>
      </w:pPr>
    </w:p>
    <w:p>
      <w:pPr>
        <w:spacing w:line="360" w:lineRule="auto"/>
        <w:ind w:left="500" w:hangingChars="250" w:hanging="500"/>
        <w:jc w:val="both"/>
        <w:rPr>
          <w:rFonts w:ascii="Arial" w:eastAsia="SimSun" w:hAnsi="Arial" w:cs="Arial"/>
          <w:lang w:val="en-GB" w:eastAsia="zh-CN"/>
        </w:rPr>
      </w:pPr>
      <w:r>
        <w:rPr>
          <w:rFonts w:ascii="Arial" w:eastAsia="SimSun" w:hAnsi="Arial" w:cs="Arial"/>
          <w:lang w:val="de-DE" w:eastAsia="zh-CN"/>
        </w:rPr>
        <w:t xml:space="preserve">Berdeja, M., Hilbert, G., Zhan Wu, D., Lafontaine, M., Stoll, M., Schultz, H.R., &amp; Delrot, S. (2014). </w:t>
      </w:r>
      <w:r>
        <w:rPr>
          <w:rFonts w:ascii="Arial" w:eastAsia="SimSun" w:hAnsi="Arial" w:cs="Arial"/>
          <w:lang w:val="en-GB" w:eastAsia="zh-CN"/>
        </w:rPr>
        <w:t xml:space="preserve">Effect of water stress and rootstock genotype on Pinot noir berry composition. </w:t>
      </w:r>
      <w:r>
        <w:rPr>
          <w:rFonts w:ascii="Arial" w:eastAsia="SimSun" w:hAnsi="Arial" w:cs="Arial"/>
          <w:i/>
          <w:iCs/>
          <w:lang w:val="en-GB" w:eastAsia="zh-CN"/>
        </w:rPr>
        <w:t>Australian Journal of Grape and Wine Research, 20</w:t>
      </w:r>
      <w:r>
        <w:rPr>
          <w:rFonts w:ascii="Arial" w:eastAsia="SimSun" w:hAnsi="Arial" w:cs="Arial"/>
          <w:lang w:val="en-GB" w:eastAsia="zh-CN"/>
        </w:rPr>
        <w:t xml:space="preserve">(3), 409–421. </w:t>
      </w:r>
      <w:hyperlink r:id="rId15" w:tgtFrame="_new" w:history="1">
        <w:r>
          <w:rPr>
            <w:rStyle w:val="Hyperlink"/>
            <w:rFonts w:ascii="Arial" w:eastAsia="SimSun" w:hAnsi="Arial" w:cs="Arial"/>
            <w:lang w:val="en-GB" w:eastAsia="zh-CN"/>
          </w:rPr>
          <w:t>https://doi.org/10.1111/ajgw.12091</w:t>
        </w:r>
      </w:hyperlink>
    </w:p>
    <w:p>
      <w:pPr>
        <w:spacing w:line="360" w:lineRule="auto"/>
        <w:ind w:left="500" w:hangingChars="250" w:hanging="500"/>
        <w:jc w:val="both"/>
        <w:rPr>
          <w:rFonts w:ascii="Arial" w:eastAsia="SimSun" w:hAnsi="Arial" w:cs="Arial"/>
          <w:lang w:val="en-GB" w:eastAsia="zh-CN"/>
        </w:rPr>
      </w:pPr>
      <w:r>
        <w:rPr>
          <w:rFonts w:ascii="Arial" w:eastAsia="SimSun" w:hAnsi="Arial" w:cs="Arial"/>
          <w:lang w:val="en-GB" w:eastAsia="zh-CN"/>
        </w:rPr>
        <w:lastRenderedPageBreak/>
        <w:t xml:space="preserve">Blank, M., Samer, S., &amp; Stoll, M. (2022). Grapevine rootstock genotypes influence berry and wine phenolic composition (Vitis vinifera L. cv. Pinot noir). </w:t>
      </w:r>
      <w:r>
        <w:rPr>
          <w:rFonts w:ascii="Arial" w:eastAsia="SimSun" w:hAnsi="Arial" w:cs="Arial"/>
          <w:i/>
          <w:iCs/>
          <w:lang w:val="en-GB" w:eastAsia="zh-CN"/>
        </w:rPr>
        <w:t>OENO One, 56</w:t>
      </w:r>
      <w:r>
        <w:rPr>
          <w:rFonts w:ascii="Arial" w:eastAsia="SimSun" w:hAnsi="Arial" w:cs="Arial"/>
          <w:lang w:val="en-GB" w:eastAsia="zh-CN"/>
        </w:rPr>
        <w:t xml:space="preserve">(1), 133–144. </w:t>
      </w:r>
      <w:hyperlink r:id="rId16" w:history="1">
        <w:r>
          <w:rPr>
            <w:rStyle w:val="Hyperlink"/>
            <w:rFonts w:ascii="Arial" w:eastAsia="SimSun" w:hAnsi="Arial" w:cs="Arial"/>
            <w:lang w:val="en-GB" w:eastAsia="zh-CN"/>
          </w:rPr>
          <w:t>https://doi.org/10.20870/oeno-one.2022.56.1.4459</w:t>
        </w:r>
      </w:hyperlink>
      <w:r>
        <w:rPr>
          <w:rFonts w:ascii="Arial" w:eastAsia="SimSun" w:hAnsi="Arial" w:cs="Arial"/>
          <w:lang w:val="en-GB" w:eastAsia="zh-CN"/>
        </w:rPr>
        <w:t xml:space="preserve"> </w:t>
      </w:r>
    </w:p>
    <w:p>
      <w:pPr>
        <w:spacing w:line="360" w:lineRule="auto"/>
        <w:ind w:left="500" w:hangingChars="250" w:hanging="500"/>
        <w:jc w:val="both"/>
        <w:rPr>
          <w:rFonts w:ascii="Arial" w:eastAsia="SimSun" w:hAnsi="Arial" w:cs="Arial"/>
          <w:lang w:val="en-GB" w:eastAsia="zh-CN"/>
        </w:rPr>
      </w:pPr>
      <w:r>
        <w:rPr>
          <w:rFonts w:ascii="Arial" w:eastAsia="SimSun" w:hAnsi="Arial" w:cs="Arial"/>
          <w:lang w:eastAsia="zh-CN"/>
        </w:rPr>
        <w:t xml:space="preserve">Harbertson, J.F., &amp; Keller, M. (2012). </w:t>
      </w:r>
      <w:r>
        <w:rPr>
          <w:rFonts w:ascii="Arial" w:eastAsia="SimSun" w:hAnsi="Arial" w:cs="Arial"/>
          <w:lang w:val="en-GB" w:eastAsia="zh-CN"/>
        </w:rPr>
        <w:t xml:space="preserve">Rootstock effects on deficit-irrigated winegrapes in a dry climate: Grape and wine composition. </w:t>
      </w:r>
      <w:r>
        <w:rPr>
          <w:rFonts w:ascii="Arial" w:eastAsia="SimSun" w:hAnsi="Arial" w:cs="Arial"/>
          <w:i/>
          <w:iCs/>
          <w:lang w:val="en-GB" w:eastAsia="zh-CN"/>
        </w:rPr>
        <w:t xml:space="preserve">American Journal of </w:t>
      </w:r>
      <w:proofErr w:type="spellStart"/>
      <w:r>
        <w:rPr>
          <w:rFonts w:ascii="Arial" w:eastAsia="SimSun" w:hAnsi="Arial" w:cs="Arial"/>
          <w:i/>
          <w:iCs/>
          <w:lang w:val="en-GB" w:eastAsia="zh-CN"/>
        </w:rPr>
        <w:t>Enology</w:t>
      </w:r>
      <w:proofErr w:type="spellEnd"/>
      <w:r>
        <w:rPr>
          <w:rFonts w:ascii="Arial" w:eastAsia="SimSun" w:hAnsi="Arial" w:cs="Arial"/>
          <w:i/>
          <w:iCs/>
          <w:lang w:val="en-GB" w:eastAsia="zh-CN"/>
        </w:rPr>
        <w:t xml:space="preserve"> and Viticulture, 63</w:t>
      </w:r>
      <w:r>
        <w:rPr>
          <w:rFonts w:ascii="Arial" w:eastAsia="SimSun" w:hAnsi="Arial" w:cs="Arial"/>
          <w:lang w:val="en-GB" w:eastAsia="zh-CN"/>
        </w:rPr>
        <w:t xml:space="preserve">(1), 40–48. </w:t>
      </w:r>
      <w:hyperlink r:id="rId17" w:tgtFrame="_new" w:history="1">
        <w:r>
          <w:rPr>
            <w:rStyle w:val="Hyperlink"/>
            <w:rFonts w:ascii="Arial" w:eastAsia="SimSun" w:hAnsi="Arial" w:cs="Arial"/>
            <w:lang w:val="en-GB" w:eastAsia="zh-CN"/>
          </w:rPr>
          <w:t>https://doi.org/10.5344/ajev.2011.11079</w:t>
        </w:r>
      </w:hyperlink>
    </w:p>
    <w:p>
      <w:pPr>
        <w:spacing w:line="360" w:lineRule="auto"/>
        <w:ind w:left="500" w:hangingChars="250" w:hanging="500"/>
        <w:jc w:val="both"/>
        <w:rPr>
          <w:rFonts w:ascii="Arial" w:eastAsia="SimSun" w:hAnsi="Arial" w:cs="Arial"/>
          <w:lang w:val="en-GB" w:eastAsia="zh-CN"/>
        </w:rPr>
      </w:pPr>
      <w:r>
        <w:rPr>
          <w:rFonts w:ascii="Arial" w:eastAsia="SimSun" w:hAnsi="Arial" w:cs="Arial"/>
          <w:lang w:val="en-GB" w:eastAsia="zh-CN"/>
        </w:rPr>
        <w:t xml:space="preserve">Lecourt, J., </w:t>
      </w:r>
      <w:proofErr w:type="spellStart"/>
      <w:r>
        <w:rPr>
          <w:rFonts w:ascii="Arial" w:eastAsia="SimSun" w:hAnsi="Arial" w:cs="Arial"/>
          <w:lang w:val="en-GB" w:eastAsia="zh-CN"/>
        </w:rPr>
        <w:t>Lauvergeat</w:t>
      </w:r>
      <w:proofErr w:type="spellEnd"/>
      <w:r>
        <w:rPr>
          <w:rFonts w:ascii="Arial" w:eastAsia="SimSun" w:hAnsi="Arial" w:cs="Arial"/>
          <w:lang w:val="en-GB" w:eastAsia="zh-CN"/>
        </w:rPr>
        <w:t xml:space="preserve">, V., </w:t>
      </w:r>
      <w:proofErr w:type="spellStart"/>
      <w:r>
        <w:rPr>
          <w:rFonts w:ascii="Arial" w:eastAsia="SimSun" w:hAnsi="Arial" w:cs="Arial"/>
          <w:lang w:val="en-GB" w:eastAsia="zh-CN"/>
        </w:rPr>
        <w:t>Ollat</w:t>
      </w:r>
      <w:proofErr w:type="spellEnd"/>
      <w:r>
        <w:rPr>
          <w:rFonts w:ascii="Arial" w:eastAsia="SimSun" w:hAnsi="Arial" w:cs="Arial"/>
          <w:lang w:val="en-GB" w:eastAsia="zh-CN"/>
        </w:rPr>
        <w:t xml:space="preserve">, N., Vivin, P., &amp; Cookson, S.J. (2015). Shoot and root </w:t>
      </w:r>
      <w:proofErr w:type="spellStart"/>
      <w:r>
        <w:rPr>
          <w:rFonts w:ascii="Arial" w:eastAsia="SimSun" w:hAnsi="Arial" w:cs="Arial"/>
          <w:lang w:val="en-GB" w:eastAsia="zh-CN"/>
        </w:rPr>
        <w:t>ionome</w:t>
      </w:r>
      <w:proofErr w:type="spellEnd"/>
      <w:r>
        <w:rPr>
          <w:rFonts w:ascii="Arial" w:eastAsia="SimSun" w:hAnsi="Arial" w:cs="Arial"/>
          <w:lang w:val="en-GB" w:eastAsia="zh-CN"/>
        </w:rPr>
        <w:t xml:space="preserve"> responses to nitrate supply in grafted grapevines are rootstock genotype dependent. </w:t>
      </w:r>
      <w:r>
        <w:rPr>
          <w:rFonts w:ascii="Arial" w:eastAsia="SimSun" w:hAnsi="Arial" w:cs="Arial"/>
          <w:i/>
          <w:iCs/>
          <w:lang w:val="en-GB" w:eastAsia="zh-CN"/>
        </w:rPr>
        <w:t>Australian Journal of Grape and Wine Research, 21</w:t>
      </w:r>
      <w:r>
        <w:rPr>
          <w:rFonts w:ascii="Arial" w:eastAsia="SimSun" w:hAnsi="Arial" w:cs="Arial"/>
          <w:lang w:val="en-GB" w:eastAsia="zh-CN"/>
        </w:rPr>
        <w:t xml:space="preserve">(2), 311–318. </w:t>
      </w:r>
      <w:hyperlink r:id="rId18" w:history="1">
        <w:r>
          <w:rPr>
            <w:rStyle w:val="Hyperlink"/>
            <w:rFonts w:ascii="Arial" w:eastAsia="SimSun" w:hAnsi="Arial" w:cs="Arial"/>
            <w:lang w:val="en-GB" w:eastAsia="zh-CN"/>
          </w:rPr>
          <w:t>https://doi.org/10.1111/ajgw.12136</w:t>
        </w:r>
      </w:hyperlink>
      <w:r>
        <w:rPr>
          <w:rFonts w:ascii="Arial" w:eastAsia="SimSun" w:hAnsi="Arial" w:cs="Arial"/>
          <w:lang w:val="en-GB" w:eastAsia="zh-CN"/>
        </w:rPr>
        <w:t xml:space="preserve"> </w:t>
      </w:r>
    </w:p>
    <w:p>
      <w:pPr>
        <w:spacing w:line="360" w:lineRule="auto"/>
        <w:ind w:left="500" w:hangingChars="250" w:hanging="500"/>
        <w:jc w:val="both"/>
        <w:rPr>
          <w:rFonts w:ascii="Arial" w:eastAsia="SimSun" w:hAnsi="Arial" w:cs="Arial"/>
          <w:lang w:eastAsia="zh-CN"/>
        </w:rPr>
      </w:pPr>
      <w:r>
        <w:rPr>
          <w:rFonts w:ascii="Arial" w:eastAsia="SimSun" w:hAnsi="Arial" w:cs="Arial"/>
          <w:lang w:val="de-DE" w:eastAsia="zh-CN"/>
        </w:rPr>
        <w:t xml:space="preserve">Miele, A., &amp; Rizzon, L.A. (2017). </w:t>
      </w:r>
      <w:r>
        <w:rPr>
          <w:rFonts w:ascii="Arial" w:eastAsia="SimSun" w:hAnsi="Arial" w:cs="Arial"/>
          <w:lang w:eastAsia="zh-CN"/>
        </w:rPr>
        <w:t xml:space="preserve">Rootstock-scion interaction: Effect on the composition of Cabernet Sauvignon grape must. </w:t>
      </w:r>
      <w:proofErr w:type="spellStart"/>
      <w:r>
        <w:rPr>
          <w:rFonts w:ascii="Arial" w:eastAsia="SimSun" w:hAnsi="Arial" w:cs="Arial"/>
          <w:i/>
          <w:iCs/>
          <w:lang w:eastAsia="zh-CN"/>
        </w:rPr>
        <w:t>Revista</w:t>
      </w:r>
      <w:proofErr w:type="spellEnd"/>
      <w:r>
        <w:rPr>
          <w:rFonts w:ascii="Arial" w:eastAsia="SimSun" w:hAnsi="Arial" w:cs="Arial"/>
          <w:i/>
          <w:iCs/>
          <w:lang w:eastAsia="zh-CN"/>
        </w:rPr>
        <w:t xml:space="preserve"> </w:t>
      </w:r>
      <w:proofErr w:type="spellStart"/>
      <w:r>
        <w:rPr>
          <w:rFonts w:ascii="Arial" w:eastAsia="SimSun" w:hAnsi="Arial" w:cs="Arial"/>
          <w:i/>
          <w:iCs/>
          <w:lang w:eastAsia="zh-CN"/>
        </w:rPr>
        <w:t>Brasileira</w:t>
      </w:r>
      <w:proofErr w:type="spellEnd"/>
      <w:r>
        <w:rPr>
          <w:rFonts w:ascii="Arial" w:eastAsia="SimSun" w:hAnsi="Arial" w:cs="Arial"/>
          <w:i/>
          <w:iCs/>
          <w:lang w:eastAsia="zh-CN"/>
        </w:rPr>
        <w:t xml:space="preserve"> de </w:t>
      </w:r>
      <w:proofErr w:type="spellStart"/>
      <w:r>
        <w:rPr>
          <w:rFonts w:ascii="Arial" w:eastAsia="SimSun" w:hAnsi="Arial" w:cs="Arial"/>
          <w:i/>
          <w:iCs/>
          <w:lang w:eastAsia="zh-CN"/>
        </w:rPr>
        <w:t>Fruticultura</w:t>
      </w:r>
      <w:proofErr w:type="spellEnd"/>
      <w:r>
        <w:rPr>
          <w:rFonts w:ascii="Arial" w:eastAsia="SimSun" w:hAnsi="Arial" w:cs="Arial"/>
          <w:i/>
          <w:iCs/>
          <w:lang w:eastAsia="zh-CN"/>
        </w:rPr>
        <w:t>, 39</w:t>
      </w:r>
      <w:r>
        <w:rPr>
          <w:rFonts w:ascii="Arial" w:eastAsia="SimSun" w:hAnsi="Arial" w:cs="Arial"/>
          <w:lang w:eastAsia="zh-CN"/>
        </w:rPr>
        <w:t xml:space="preserve">(3), 1–10. </w:t>
      </w:r>
      <w:hyperlink r:id="rId19" w:history="1">
        <w:r>
          <w:rPr>
            <w:rStyle w:val="Hyperlink"/>
            <w:rFonts w:ascii="Arial" w:eastAsia="SimSun" w:hAnsi="Arial" w:cs="Arial"/>
            <w:lang w:eastAsia="zh-CN"/>
          </w:rPr>
          <w:t>https://doi.org/10.1590/0100-29452017434</w:t>
        </w:r>
      </w:hyperlink>
      <w:r>
        <w:rPr>
          <w:rFonts w:ascii="Arial" w:eastAsia="SimSun" w:hAnsi="Arial" w:cs="Arial"/>
          <w:lang w:eastAsia="zh-CN"/>
        </w:rPr>
        <w:t xml:space="preserve"> </w:t>
      </w:r>
    </w:p>
    <w:p>
      <w:pPr>
        <w:spacing w:line="360" w:lineRule="auto"/>
        <w:ind w:left="500" w:hangingChars="250" w:hanging="500"/>
        <w:jc w:val="both"/>
        <w:rPr>
          <w:rFonts w:ascii="Arial" w:eastAsia="SimSun" w:hAnsi="Arial" w:cs="Arial"/>
          <w:lang w:val="en-GB" w:eastAsia="zh-CN"/>
        </w:rPr>
      </w:pPr>
      <w:r>
        <w:rPr>
          <w:rFonts w:ascii="Arial" w:eastAsia="SimSun" w:hAnsi="Arial" w:cs="Arial"/>
          <w:lang w:eastAsia="zh-CN"/>
        </w:rPr>
        <w:t xml:space="preserve">Nuzzo, V., &amp; Mathews, M. (2006). Response of fruit growth and ripening to crop level in dry-farmed Cabernet Sauvignon on four rootstocks. </w:t>
      </w:r>
      <w:r>
        <w:rPr>
          <w:rFonts w:ascii="Arial" w:eastAsia="SimSun" w:hAnsi="Arial" w:cs="Arial"/>
          <w:i/>
          <w:iCs/>
          <w:lang w:eastAsia="zh-CN"/>
        </w:rPr>
        <w:t>American Journal of Enology and Viticulture, 57</w:t>
      </w:r>
      <w:r>
        <w:rPr>
          <w:rFonts w:ascii="Arial" w:eastAsia="SimSun" w:hAnsi="Arial" w:cs="Arial"/>
          <w:lang w:eastAsia="zh-CN"/>
        </w:rPr>
        <w:t xml:space="preserve">(3), 314–321. </w:t>
      </w:r>
      <w:hyperlink r:id="rId20" w:history="1">
        <w:r>
          <w:rPr>
            <w:rStyle w:val="Hyperlink"/>
            <w:rFonts w:ascii="Arial" w:eastAsia="SimSun" w:hAnsi="Arial" w:cs="Arial"/>
            <w:lang w:eastAsia="zh-CN"/>
          </w:rPr>
          <w:t>https://doi.org/10.5344/ajev.2006.57.3.314</w:t>
        </w:r>
      </w:hyperlink>
      <w:r>
        <w:rPr>
          <w:rFonts w:ascii="Arial" w:eastAsia="SimSun" w:hAnsi="Arial" w:cs="Arial"/>
          <w:lang w:eastAsia="zh-CN"/>
        </w:rPr>
        <w:t xml:space="preserve"> </w:t>
      </w:r>
    </w:p>
    <w:p>
      <w:pPr>
        <w:spacing w:line="360" w:lineRule="auto"/>
        <w:ind w:left="500" w:hangingChars="250" w:hanging="500"/>
        <w:jc w:val="both"/>
        <w:rPr>
          <w:rFonts w:ascii="Arial" w:eastAsia="SimSun" w:hAnsi="Arial" w:cs="Arial"/>
          <w:lang w:val="en-GB" w:eastAsia="zh-CN"/>
        </w:rPr>
      </w:pPr>
      <w:r>
        <w:rPr>
          <w:rFonts w:ascii="Arial" w:eastAsia="SimSun" w:hAnsi="Arial" w:cs="Arial"/>
          <w:lang w:val="en-GB" w:eastAsia="zh-CN"/>
        </w:rPr>
        <w:t xml:space="preserve">Olarte Mantilla, S.M., Collins, C., Iland, P.G., Kidman, C.M., Ristic, R., Boss, P.K., Jordans, C., &amp; Bastian, S.E. (2018). Shiraz (Vitis vinifera L.) berry and wine sensory profiles and composition are modulated by rootstocks. </w:t>
      </w:r>
      <w:r>
        <w:rPr>
          <w:rFonts w:ascii="Arial" w:eastAsia="SimSun" w:hAnsi="Arial" w:cs="Arial"/>
          <w:i/>
          <w:iCs/>
          <w:lang w:val="en-GB" w:eastAsia="zh-CN"/>
        </w:rPr>
        <w:t xml:space="preserve">American Journal of </w:t>
      </w:r>
      <w:proofErr w:type="spellStart"/>
      <w:r>
        <w:rPr>
          <w:rFonts w:ascii="Arial" w:eastAsia="SimSun" w:hAnsi="Arial" w:cs="Arial"/>
          <w:i/>
          <w:iCs/>
          <w:lang w:val="en-GB" w:eastAsia="zh-CN"/>
        </w:rPr>
        <w:t>Enology</w:t>
      </w:r>
      <w:proofErr w:type="spellEnd"/>
      <w:r>
        <w:rPr>
          <w:rFonts w:ascii="Arial" w:eastAsia="SimSun" w:hAnsi="Arial" w:cs="Arial"/>
          <w:i/>
          <w:iCs/>
          <w:lang w:val="en-GB" w:eastAsia="zh-CN"/>
        </w:rPr>
        <w:t xml:space="preserve"> and Viticulture, 69</w:t>
      </w:r>
      <w:r>
        <w:rPr>
          <w:rFonts w:ascii="Arial" w:eastAsia="SimSun" w:hAnsi="Arial" w:cs="Arial"/>
          <w:lang w:val="en-GB" w:eastAsia="zh-CN"/>
        </w:rPr>
        <w:t xml:space="preserve">(1), 32–44. </w:t>
      </w:r>
      <w:hyperlink r:id="rId21" w:tgtFrame="_new" w:history="1">
        <w:r>
          <w:rPr>
            <w:rStyle w:val="Hyperlink"/>
            <w:rFonts w:ascii="Arial" w:eastAsia="SimSun" w:hAnsi="Arial" w:cs="Arial"/>
            <w:lang w:val="en-GB" w:eastAsia="zh-CN"/>
          </w:rPr>
          <w:t>https://doi.org/10.5344/ajev.2017.17017</w:t>
        </w:r>
      </w:hyperlink>
    </w:p>
    <w:p>
      <w:pPr>
        <w:spacing w:line="360" w:lineRule="auto"/>
        <w:ind w:left="500" w:hangingChars="250" w:hanging="500"/>
        <w:jc w:val="both"/>
        <w:rPr>
          <w:rFonts w:ascii="Arial" w:eastAsia="SimSun" w:hAnsi="Arial" w:cs="Arial"/>
          <w:lang w:val="en-GB" w:eastAsia="zh-CN"/>
        </w:rPr>
      </w:pPr>
      <w:r>
        <w:rPr>
          <w:rFonts w:ascii="Arial" w:eastAsia="SimSun" w:hAnsi="Arial" w:cs="Arial"/>
          <w:lang w:val="de-DE" w:eastAsia="zh-CN"/>
        </w:rPr>
        <w:t xml:space="preserve">Schreiner, R.P., Scagel, C.F., &amp; Lee, J. (2014). </w:t>
      </w:r>
      <w:r>
        <w:rPr>
          <w:rFonts w:ascii="Arial" w:eastAsia="SimSun" w:hAnsi="Arial" w:cs="Arial"/>
          <w:lang w:val="en-GB" w:eastAsia="zh-CN"/>
        </w:rPr>
        <w:t xml:space="preserve">N, P, and K supply to Pinot noir grapevines: Impact on berry phenolics and free amino acids. </w:t>
      </w:r>
      <w:r>
        <w:rPr>
          <w:rFonts w:ascii="Arial" w:eastAsia="SimSun" w:hAnsi="Arial" w:cs="Arial"/>
          <w:i/>
          <w:iCs/>
          <w:lang w:val="en-GB" w:eastAsia="zh-CN"/>
        </w:rPr>
        <w:t xml:space="preserve">American Journal of </w:t>
      </w:r>
      <w:proofErr w:type="spellStart"/>
      <w:r>
        <w:rPr>
          <w:rFonts w:ascii="Arial" w:eastAsia="SimSun" w:hAnsi="Arial" w:cs="Arial"/>
          <w:i/>
          <w:iCs/>
          <w:lang w:val="en-GB" w:eastAsia="zh-CN"/>
        </w:rPr>
        <w:t>Enology</w:t>
      </w:r>
      <w:proofErr w:type="spellEnd"/>
      <w:r>
        <w:rPr>
          <w:rFonts w:ascii="Arial" w:eastAsia="SimSun" w:hAnsi="Arial" w:cs="Arial"/>
          <w:i/>
          <w:iCs/>
          <w:lang w:val="en-GB" w:eastAsia="zh-CN"/>
        </w:rPr>
        <w:t xml:space="preserve"> and Viticulture, 65</w:t>
      </w:r>
      <w:r>
        <w:rPr>
          <w:rFonts w:ascii="Arial" w:eastAsia="SimSun" w:hAnsi="Arial" w:cs="Arial"/>
          <w:lang w:val="en-GB" w:eastAsia="zh-CN"/>
        </w:rPr>
        <w:t xml:space="preserve">(1), 43–49. </w:t>
      </w:r>
      <w:hyperlink r:id="rId22" w:tgtFrame="_new" w:history="1">
        <w:r>
          <w:rPr>
            <w:rStyle w:val="Hyperlink"/>
            <w:rFonts w:ascii="Arial" w:eastAsia="SimSun" w:hAnsi="Arial" w:cs="Arial"/>
            <w:lang w:val="en-GB" w:eastAsia="zh-CN"/>
          </w:rPr>
          <w:t>https://doi.org/10.5344/ajev.2013.13037</w:t>
        </w:r>
      </w:hyperlink>
    </w:p>
    <w:p>
      <w:pPr>
        <w:spacing w:line="360" w:lineRule="auto"/>
        <w:ind w:left="500" w:hangingChars="250" w:hanging="500"/>
        <w:jc w:val="both"/>
        <w:rPr>
          <w:rFonts w:ascii="Arial" w:eastAsia="SimSun" w:hAnsi="Arial" w:cs="Arial"/>
          <w:lang w:eastAsia="zh-CN"/>
        </w:rPr>
      </w:pPr>
      <w:r>
        <w:rPr>
          <w:rFonts w:ascii="Arial" w:eastAsia="SimSun" w:hAnsi="Arial" w:cs="Arial"/>
          <w:lang w:eastAsia="zh-CN"/>
        </w:rPr>
        <w:t xml:space="preserve">Sgouros, G., </w:t>
      </w:r>
      <w:proofErr w:type="spellStart"/>
      <w:r>
        <w:rPr>
          <w:rFonts w:ascii="Arial" w:eastAsia="SimSun" w:hAnsi="Arial" w:cs="Arial"/>
          <w:lang w:eastAsia="zh-CN"/>
        </w:rPr>
        <w:t>Mallouchos</w:t>
      </w:r>
      <w:proofErr w:type="spellEnd"/>
      <w:r>
        <w:rPr>
          <w:rFonts w:ascii="Arial" w:eastAsia="SimSun" w:hAnsi="Arial" w:cs="Arial"/>
          <w:lang w:eastAsia="zh-CN"/>
        </w:rPr>
        <w:t xml:space="preserve">, A., </w:t>
      </w:r>
      <w:proofErr w:type="spellStart"/>
      <w:r>
        <w:rPr>
          <w:rFonts w:ascii="Arial" w:eastAsia="SimSun" w:hAnsi="Arial" w:cs="Arial"/>
          <w:lang w:eastAsia="zh-CN"/>
        </w:rPr>
        <w:t>Dourou</w:t>
      </w:r>
      <w:proofErr w:type="spellEnd"/>
      <w:r>
        <w:rPr>
          <w:rFonts w:ascii="Arial" w:eastAsia="SimSun" w:hAnsi="Arial" w:cs="Arial"/>
          <w:lang w:eastAsia="zh-CN"/>
        </w:rPr>
        <w:t xml:space="preserve">, D., </w:t>
      </w:r>
      <w:proofErr w:type="spellStart"/>
      <w:r>
        <w:rPr>
          <w:rFonts w:ascii="Arial" w:eastAsia="SimSun" w:hAnsi="Arial" w:cs="Arial"/>
          <w:lang w:eastAsia="zh-CN"/>
        </w:rPr>
        <w:t>Banilas</w:t>
      </w:r>
      <w:proofErr w:type="spellEnd"/>
      <w:r>
        <w:rPr>
          <w:rFonts w:ascii="Arial" w:eastAsia="SimSun" w:hAnsi="Arial" w:cs="Arial"/>
          <w:lang w:eastAsia="zh-CN"/>
        </w:rPr>
        <w:t xml:space="preserve">, G., </w:t>
      </w:r>
      <w:proofErr w:type="spellStart"/>
      <w:r>
        <w:rPr>
          <w:rFonts w:ascii="Arial" w:eastAsia="SimSun" w:hAnsi="Arial" w:cs="Arial"/>
          <w:lang w:eastAsia="zh-CN"/>
        </w:rPr>
        <w:t>Chalvantzi</w:t>
      </w:r>
      <w:proofErr w:type="spellEnd"/>
      <w:r>
        <w:rPr>
          <w:rFonts w:ascii="Arial" w:eastAsia="SimSun" w:hAnsi="Arial" w:cs="Arial"/>
          <w:lang w:eastAsia="zh-CN"/>
        </w:rPr>
        <w:t xml:space="preserve">, I., </w:t>
      </w:r>
      <w:proofErr w:type="spellStart"/>
      <w:r>
        <w:rPr>
          <w:rFonts w:ascii="Arial" w:eastAsia="SimSun" w:hAnsi="Arial" w:cs="Arial"/>
          <w:lang w:eastAsia="zh-CN"/>
        </w:rPr>
        <w:t>Kourkoutas</w:t>
      </w:r>
      <w:proofErr w:type="spellEnd"/>
      <w:r>
        <w:rPr>
          <w:rFonts w:ascii="Arial" w:eastAsia="SimSun" w:hAnsi="Arial" w:cs="Arial"/>
          <w:lang w:eastAsia="zh-CN"/>
        </w:rPr>
        <w:t xml:space="preserve">, Y., &amp; </w:t>
      </w:r>
      <w:proofErr w:type="spellStart"/>
      <w:r>
        <w:rPr>
          <w:rFonts w:ascii="Arial" w:eastAsia="SimSun" w:hAnsi="Arial" w:cs="Arial"/>
          <w:lang w:eastAsia="zh-CN"/>
        </w:rPr>
        <w:t>Nisiotou</w:t>
      </w:r>
      <w:proofErr w:type="spellEnd"/>
      <w:r>
        <w:rPr>
          <w:rFonts w:ascii="Arial" w:eastAsia="SimSun" w:hAnsi="Arial" w:cs="Arial"/>
          <w:lang w:eastAsia="zh-CN"/>
        </w:rPr>
        <w:t>, A. (2023). </w:t>
      </w:r>
      <w:proofErr w:type="spellStart"/>
      <w:r>
        <w:rPr>
          <w:rFonts w:ascii="Arial" w:eastAsia="SimSun" w:hAnsi="Arial" w:cs="Arial"/>
          <w:i/>
          <w:iCs/>
          <w:lang w:eastAsia="zh-CN"/>
        </w:rPr>
        <w:t>Torulaspora</w:t>
      </w:r>
      <w:proofErr w:type="spellEnd"/>
      <w:r>
        <w:rPr>
          <w:rFonts w:ascii="Arial" w:eastAsia="SimSun" w:hAnsi="Arial" w:cs="Arial"/>
          <w:i/>
          <w:iCs/>
          <w:lang w:eastAsia="zh-CN"/>
        </w:rPr>
        <w:t xml:space="preserve"> </w:t>
      </w:r>
      <w:proofErr w:type="spellStart"/>
      <w:r>
        <w:rPr>
          <w:rFonts w:ascii="Arial" w:eastAsia="SimSun" w:hAnsi="Arial" w:cs="Arial"/>
          <w:i/>
          <w:iCs/>
          <w:lang w:eastAsia="zh-CN"/>
        </w:rPr>
        <w:t>delbrueckii</w:t>
      </w:r>
      <w:proofErr w:type="spellEnd"/>
      <w:r>
        <w:rPr>
          <w:rFonts w:ascii="Arial" w:eastAsia="SimSun" w:hAnsi="Arial" w:cs="Arial"/>
          <w:lang w:eastAsia="zh-CN"/>
        </w:rPr>
        <w:t> May Help Manage Total and Volatile Acidity of Santorini-Assyrtiko Wine in View of Global Warming. </w:t>
      </w:r>
      <w:r>
        <w:rPr>
          <w:rFonts w:ascii="Arial" w:eastAsia="SimSun" w:hAnsi="Arial" w:cs="Arial"/>
          <w:i/>
          <w:iCs/>
          <w:lang w:eastAsia="zh-CN"/>
        </w:rPr>
        <w:t>Foods</w:t>
      </w:r>
      <w:r>
        <w:rPr>
          <w:rFonts w:ascii="Arial" w:eastAsia="SimSun" w:hAnsi="Arial" w:cs="Arial"/>
          <w:lang w:eastAsia="zh-CN"/>
        </w:rPr>
        <w:t>, </w:t>
      </w:r>
      <w:r>
        <w:rPr>
          <w:rFonts w:ascii="Arial" w:eastAsia="SimSun" w:hAnsi="Arial" w:cs="Arial"/>
          <w:i/>
          <w:iCs/>
          <w:lang w:eastAsia="zh-CN"/>
        </w:rPr>
        <w:t>12</w:t>
      </w:r>
      <w:r>
        <w:rPr>
          <w:rFonts w:ascii="Arial" w:eastAsia="SimSun" w:hAnsi="Arial" w:cs="Arial"/>
          <w:lang w:eastAsia="zh-CN"/>
        </w:rPr>
        <w:t xml:space="preserve">(1), 191. </w:t>
      </w:r>
      <w:hyperlink r:id="rId23" w:history="1">
        <w:r>
          <w:rPr>
            <w:rStyle w:val="Hyperlink"/>
            <w:rFonts w:ascii="Arial" w:eastAsia="SimSun" w:hAnsi="Arial" w:cs="Arial"/>
            <w:lang w:eastAsia="zh-CN"/>
          </w:rPr>
          <w:t>https://doi.org/10.3390/foods12010191</w:t>
        </w:r>
      </w:hyperlink>
      <w:r>
        <w:rPr>
          <w:rFonts w:ascii="Arial" w:eastAsia="SimSun" w:hAnsi="Arial" w:cs="Arial"/>
          <w:lang w:eastAsia="zh-CN"/>
        </w:rPr>
        <w:t xml:space="preserve"> </w:t>
      </w:r>
    </w:p>
    <w:p>
      <w:pPr>
        <w:spacing w:line="360" w:lineRule="auto"/>
        <w:ind w:left="500" w:hangingChars="250" w:hanging="500"/>
        <w:jc w:val="both"/>
        <w:rPr>
          <w:rFonts w:ascii="Arial" w:eastAsia="SimSun" w:hAnsi="Arial" w:cs="Arial"/>
          <w:lang w:eastAsia="zh-CN"/>
        </w:rPr>
      </w:pPr>
      <w:r>
        <w:rPr>
          <w:rFonts w:ascii="Arial" w:eastAsia="SimSun" w:hAnsi="Arial" w:cs="Arial"/>
          <w:lang w:eastAsia="zh-CN"/>
        </w:rPr>
        <w:t xml:space="preserve">Vilanova, M., </w:t>
      </w:r>
      <w:proofErr w:type="spellStart"/>
      <w:r>
        <w:rPr>
          <w:rFonts w:ascii="Arial" w:eastAsia="SimSun" w:hAnsi="Arial" w:cs="Arial"/>
          <w:lang w:eastAsia="zh-CN"/>
        </w:rPr>
        <w:t>Genisheva</w:t>
      </w:r>
      <w:proofErr w:type="spellEnd"/>
      <w:r>
        <w:rPr>
          <w:rFonts w:ascii="Arial" w:eastAsia="SimSun" w:hAnsi="Arial" w:cs="Arial"/>
          <w:lang w:eastAsia="zh-CN"/>
        </w:rPr>
        <w:t xml:space="preserve">, Z., </w:t>
      </w:r>
      <w:proofErr w:type="spellStart"/>
      <w:r>
        <w:rPr>
          <w:rFonts w:ascii="Arial" w:eastAsia="SimSun" w:hAnsi="Arial" w:cs="Arial"/>
          <w:lang w:eastAsia="zh-CN"/>
        </w:rPr>
        <w:t>Tubío</w:t>
      </w:r>
      <w:proofErr w:type="spellEnd"/>
      <w:r>
        <w:rPr>
          <w:rFonts w:ascii="Arial" w:eastAsia="SimSun" w:hAnsi="Arial" w:cs="Arial"/>
          <w:lang w:eastAsia="zh-CN"/>
        </w:rPr>
        <w:t xml:space="preserve">, M., Álvarez, K., </w:t>
      </w:r>
      <w:proofErr w:type="spellStart"/>
      <w:r>
        <w:rPr>
          <w:rFonts w:ascii="Arial" w:eastAsia="SimSun" w:hAnsi="Arial" w:cs="Arial"/>
          <w:lang w:eastAsia="zh-CN"/>
        </w:rPr>
        <w:t>Lissarrague</w:t>
      </w:r>
      <w:proofErr w:type="spellEnd"/>
      <w:r>
        <w:rPr>
          <w:rFonts w:ascii="Arial" w:eastAsia="SimSun" w:hAnsi="Arial" w:cs="Arial"/>
          <w:lang w:eastAsia="zh-CN"/>
        </w:rPr>
        <w:t xml:space="preserve">, J.R., &amp; Oliveira, J.M. (2011). Rootstock effect on volatile composition of </w:t>
      </w:r>
      <w:proofErr w:type="spellStart"/>
      <w:r>
        <w:rPr>
          <w:rFonts w:ascii="Arial" w:eastAsia="SimSun" w:hAnsi="Arial" w:cs="Arial"/>
          <w:lang w:eastAsia="zh-CN"/>
        </w:rPr>
        <w:t>Albariño</w:t>
      </w:r>
      <w:proofErr w:type="spellEnd"/>
      <w:r>
        <w:rPr>
          <w:rFonts w:ascii="Arial" w:eastAsia="SimSun" w:hAnsi="Arial" w:cs="Arial"/>
          <w:lang w:eastAsia="zh-CN"/>
        </w:rPr>
        <w:t xml:space="preserve"> wines. </w:t>
      </w:r>
      <w:r>
        <w:rPr>
          <w:rFonts w:ascii="Arial" w:eastAsia="SimSun" w:hAnsi="Arial" w:cs="Arial"/>
          <w:i/>
          <w:iCs/>
          <w:lang w:eastAsia="zh-CN"/>
        </w:rPr>
        <w:t>Applied Sciences, 11</w:t>
      </w:r>
      <w:r>
        <w:rPr>
          <w:rFonts w:ascii="Arial" w:eastAsia="SimSun" w:hAnsi="Arial" w:cs="Arial"/>
          <w:lang w:eastAsia="zh-CN"/>
        </w:rPr>
        <w:t xml:space="preserve">(5), 2135–2145. </w:t>
      </w:r>
      <w:hyperlink r:id="rId24" w:history="1">
        <w:r>
          <w:rPr>
            <w:rStyle w:val="Hyperlink"/>
            <w:rFonts w:ascii="Arial" w:eastAsia="SimSun" w:hAnsi="Arial" w:cs="Arial"/>
            <w:lang w:eastAsia="zh-CN"/>
          </w:rPr>
          <w:t>https://doi.org/10.3390/app11052135</w:t>
        </w:r>
      </w:hyperlink>
      <w:r>
        <w:rPr>
          <w:rFonts w:ascii="Arial" w:eastAsia="SimSun" w:hAnsi="Arial" w:cs="Arial"/>
          <w:lang w:eastAsia="zh-CN"/>
        </w:rPr>
        <w:t xml:space="preserve"> </w:t>
      </w:r>
    </w:p>
    <w:p>
      <w:pPr>
        <w:spacing w:line="360" w:lineRule="auto"/>
        <w:ind w:left="500" w:hangingChars="250" w:hanging="500"/>
        <w:jc w:val="both"/>
        <w:rPr>
          <w:rFonts w:ascii="Arial" w:eastAsia="SimSun" w:hAnsi="Arial" w:cs="Arial"/>
          <w:lang w:eastAsia="zh-CN"/>
        </w:rPr>
      </w:pPr>
      <w:r>
        <w:rPr>
          <w:rFonts w:ascii="Arial" w:eastAsia="SimSun" w:hAnsi="Arial" w:cs="Arial"/>
          <w:lang w:eastAsia="zh-CN"/>
        </w:rPr>
        <w:t xml:space="preserve">Walker, R.P., </w:t>
      </w:r>
      <w:proofErr w:type="spellStart"/>
      <w:r>
        <w:rPr>
          <w:rFonts w:ascii="Arial" w:eastAsia="SimSun" w:hAnsi="Arial" w:cs="Arial"/>
          <w:lang w:eastAsia="zh-CN"/>
        </w:rPr>
        <w:t>Clingeleffer</w:t>
      </w:r>
      <w:proofErr w:type="spellEnd"/>
      <w:r>
        <w:rPr>
          <w:rFonts w:ascii="Arial" w:eastAsia="SimSun" w:hAnsi="Arial" w:cs="Arial"/>
          <w:lang w:eastAsia="zh-CN"/>
        </w:rPr>
        <w:t xml:space="preserve">, P.R., </w:t>
      </w:r>
      <w:proofErr w:type="spellStart"/>
      <w:r>
        <w:rPr>
          <w:rFonts w:ascii="Arial" w:eastAsia="SimSun" w:hAnsi="Arial" w:cs="Arial"/>
          <w:lang w:eastAsia="zh-CN"/>
        </w:rPr>
        <w:t>Kerridge</w:t>
      </w:r>
      <w:proofErr w:type="spellEnd"/>
      <w:r>
        <w:rPr>
          <w:rFonts w:ascii="Arial" w:eastAsia="SimSun" w:hAnsi="Arial" w:cs="Arial"/>
          <w:lang w:eastAsia="zh-CN"/>
        </w:rPr>
        <w:t>, G.H., &amp; Nicholas, P.R. (1998). Effects of the rootstock Ramsey (</w:t>
      </w:r>
      <w:proofErr w:type="spellStart"/>
      <w:r>
        <w:rPr>
          <w:rFonts w:ascii="Arial" w:eastAsia="SimSun" w:hAnsi="Arial" w:cs="Arial"/>
          <w:i/>
          <w:iCs/>
          <w:lang w:eastAsia="zh-CN"/>
        </w:rPr>
        <w:t>Vitis</w:t>
      </w:r>
      <w:proofErr w:type="spellEnd"/>
      <w:r>
        <w:rPr>
          <w:rFonts w:ascii="Arial" w:eastAsia="SimSun" w:hAnsi="Arial" w:cs="Arial"/>
          <w:i/>
          <w:iCs/>
          <w:lang w:eastAsia="zh-CN"/>
        </w:rPr>
        <w:t xml:space="preserve"> </w:t>
      </w:r>
      <w:proofErr w:type="spellStart"/>
      <w:r>
        <w:rPr>
          <w:rFonts w:ascii="Arial" w:eastAsia="SimSun" w:hAnsi="Arial" w:cs="Arial"/>
          <w:i/>
          <w:iCs/>
          <w:lang w:eastAsia="zh-CN"/>
        </w:rPr>
        <w:t>champini</w:t>
      </w:r>
      <w:proofErr w:type="spellEnd"/>
      <w:r>
        <w:rPr>
          <w:rFonts w:ascii="Arial" w:eastAsia="SimSun" w:hAnsi="Arial" w:cs="Arial"/>
          <w:lang w:eastAsia="zh-CN"/>
        </w:rPr>
        <w:t xml:space="preserve">) </w:t>
      </w:r>
      <w:proofErr w:type="spellStart"/>
      <w:r>
        <w:rPr>
          <w:rFonts w:ascii="Arial" w:eastAsia="SimSun" w:hAnsi="Arial" w:cs="Arial"/>
          <w:lang w:eastAsia="zh-CN"/>
        </w:rPr>
        <w:t>on ion</w:t>
      </w:r>
      <w:proofErr w:type="spellEnd"/>
      <w:r>
        <w:rPr>
          <w:rFonts w:ascii="Arial" w:eastAsia="SimSun" w:hAnsi="Arial" w:cs="Arial"/>
          <w:lang w:eastAsia="zh-CN"/>
        </w:rPr>
        <w:t xml:space="preserve"> and organic acid composition of grapes and wine, and on wine spectral characteristics. </w:t>
      </w:r>
      <w:r>
        <w:rPr>
          <w:rFonts w:ascii="Arial" w:eastAsia="SimSun" w:hAnsi="Arial" w:cs="Arial"/>
          <w:i/>
          <w:iCs/>
          <w:lang w:eastAsia="zh-CN"/>
        </w:rPr>
        <w:t>Australian Journal of Grape and Wine Research, 4</w:t>
      </w:r>
      <w:r>
        <w:rPr>
          <w:rFonts w:ascii="Arial" w:eastAsia="SimSun" w:hAnsi="Arial" w:cs="Arial"/>
          <w:lang w:eastAsia="zh-CN"/>
        </w:rPr>
        <w:t xml:space="preserve">(3), 100–110. </w:t>
      </w:r>
      <w:hyperlink r:id="rId25" w:history="1">
        <w:r>
          <w:rPr>
            <w:rStyle w:val="Hyperlink"/>
            <w:rFonts w:ascii="Arial" w:eastAsia="SimSun" w:hAnsi="Arial" w:cs="Arial"/>
            <w:lang w:eastAsia="zh-CN"/>
          </w:rPr>
          <w:t>https://doi.org/10.1111/j.1755-0238.1998.tb00138.x</w:t>
        </w:r>
      </w:hyperlink>
      <w:r>
        <w:rPr>
          <w:rFonts w:ascii="Arial" w:eastAsia="SimSun" w:hAnsi="Arial" w:cs="Arial"/>
          <w:lang w:eastAsia="zh-CN"/>
        </w:rPr>
        <w:t xml:space="preserve"> </w:t>
      </w:r>
    </w:p>
    <w:p>
      <w:pPr>
        <w:pStyle w:val="Appendix"/>
        <w:spacing w:after="0"/>
        <w:jc w:val="both"/>
        <w:rPr>
          <w:rFonts w:ascii="Arial" w:hAnsi="Arial" w:cs="Arial"/>
          <w:b w:val="0"/>
        </w:rPr>
      </w:pPr>
    </w:p>
    <w:sectPr>
      <w:headerReference w:type="even" r:id="rId26"/>
      <w:headerReference w:type="default" r:id="rId27"/>
      <w:footerReference w:type="default" r:id="rId28"/>
      <w:headerReference w:type="first" r:id="rId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rPr>
        <w:rFonts w:ascii="Arial" w:hAnsi="Arial" w:cs="Arial"/>
        <w:sz w:val="16"/>
      </w:rPr>
    </w:pPr>
  </w:p>
  <w:p>
    <w:pPr>
      <w:pStyle w:val="Footer"/>
      <w:jc w:val="center"/>
      <w:rPr>
        <w:rFonts w:ascii="Arial" w:hAnsi="Arial" w:cs="Arial"/>
        <w:sz w:val="16"/>
      </w:rPr>
    </w:pPr>
    <w:r>
      <w:rPr>
        <w:rFonts w:ascii="Arial" w:hAnsi="Arial" w:cs="Arial"/>
        <w:sz w:val="16"/>
      </w:rPr>
      <w:t>____________________________________________________________________________________________</w:t>
    </w:r>
  </w:p>
  <w:p>
    <w:pPr>
      <w:pStyle w:val="Footer"/>
      <w:rPr>
        <w:rFonts w:ascii="Arial" w:hAnsi="Arial" w:cs="Arial"/>
        <w:sz w:val="16"/>
      </w:rPr>
    </w:pPr>
  </w:p>
  <w:p>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228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228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228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pPr>
      <w:ind w:left="4320"/>
      <w:rPr>
        <w:rFonts w:ascii="Times New Roman" w:eastAsia="Calibri" w:hAnsi="Times New Roman"/>
        <w:i/>
        <w:sz w:val="18"/>
        <w:szCs w:val="22"/>
      </w:rPr>
    </w:pPr>
    <w:r>
      <w:rPr>
        <w:rFonts w:ascii="Times New Roman" w:eastAsia="Calibri" w:hAnsi="Times New Roman"/>
        <w:i/>
        <w:sz w:val="18"/>
        <w:szCs w:val="22"/>
      </w:rPr>
      <w:t xml:space="preserve">.     </w:t>
    </w:r>
  </w:p>
  <w:p>
    <w:pPr>
      <w:jc w:val="center"/>
      <w:rPr>
        <w:rFonts w:ascii="Times New Roman" w:eastAsia="Calibri" w:hAnsi="Times New Roman"/>
        <w:i/>
        <w:sz w:val="18"/>
        <w:szCs w:val="22"/>
      </w:rPr>
    </w:pPr>
    <w:r>
      <w:rPr>
        <w:rFonts w:ascii="Times New Roman" w:eastAsia="Calibri" w:hAnsi="Times New Roman"/>
        <w:i/>
        <w:sz w:val="18"/>
        <w:szCs w:val="22"/>
      </w:rPr>
      <w:t>.</w:t>
    </w:r>
  </w:p>
  <w:p>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pPr>
      <w:jc w:val="center"/>
      <w:rPr>
        <w:rFonts w:ascii="Times New Roman" w:eastAsia="Calibri" w:hAnsi="Times New Roman"/>
        <w:i/>
        <w:sz w:val="18"/>
        <w:szCs w:val="22"/>
      </w:rPr>
    </w:pPr>
    <w:r>
      <w:rPr>
        <w:rFonts w:ascii="Times New Roman" w:eastAsia="Calibri" w:hAnsi="Times New Roman"/>
        <w:i/>
        <w:sz w:val="18"/>
        <w:szCs w:val="22"/>
      </w:rPr>
      <w:t xml:space="preserve">                     </w:t>
    </w:r>
  </w:p>
  <w:p>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22826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22827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22826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qFormat/>
    <w:pPr>
      <w:spacing w:after="360"/>
      <w:jc w:val="right"/>
    </w:pPr>
    <w:rPr>
      <w:b/>
      <w:kern w:val="28"/>
      <w:sz w:val="36"/>
    </w:rPr>
  </w:style>
  <w:style w:type="paragraph" w:customStyle="1" w:styleId="Reference">
    <w:name w:val="Reference"/>
    <w:basedOn w:val="Body"/>
    <w:pPr>
      <w:numPr>
        <w:numId w:val="2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styleId="NoSpacing">
    <w:name w:val="No Spacing"/>
    <w:uiPriority w:val="1"/>
    <w:qFormat/>
    <w:rPr>
      <w:rFonts w:asciiTheme="minorHAnsi" w:eastAsiaTheme="minorHAnsi" w:hAnsiTheme="minorHAnsi" w:cstheme="minorBidi"/>
      <w:sz w:val="22"/>
      <w:szCs w:val="22"/>
      <w:lang w:val="el-GR"/>
    </w:rPr>
  </w:style>
  <w:style w:type="table" w:customStyle="1" w:styleId="1">
    <w:name w:val="Πλέγμα πίνακα1"/>
    <w:basedOn w:val="TableNormal"/>
    <w:next w:val="TableGrid"/>
    <w:uiPriority w:val="39"/>
    <w:rPr>
      <w:rFonts w:asciiTheme="minorHAnsi" w:eastAsiaTheme="minorHAnsi" w:hAnsiTheme="minorHAnsi" w:cstheme="minorBidi"/>
      <w:kern w:val="2"/>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rFonts w:ascii="Times New Roman" w:hAnsi="Times New Roman"/>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229722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111/ajgw.12136"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doi.org/10.5344/ajev.2017.17017"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5344/ajev.2011.11079" TargetMode="External"/><Relationship Id="rId25" Type="http://schemas.openxmlformats.org/officeDocument/2006/relationships/hyperlink" Target="https://doi.org/10.1111/j.1755-0238.1998.tb00138.x" TargetMode="External"/><Relationship Id="rId2" Type="http://schemas.openxmlformats.org/officeDocument/2006/relationships/numbering" Target="numbering.xml"/><Relationship Id="rId16" Type="http://schemas.openxmlformats.org/officeDocument/2006/relationships/hyperlink" Target="https://doi.org/10.20870/oeno-one.2022.56.1.4459" TargetMode="External"/><Relationship Id="rId20" Type="http://schemas.openxmlformats.org/officeDocument/2006/relationships/hyperlink" Target="https://doi.org/10.5344/ajev.2006.57.3.314"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90/app11052135" TargetMode="External"/><Relationship Id="rId5" Type="http://schemas.openxmlformats.org/officeDocument/2006/relationships/webSettings" Target="webSettings.xml"/><Relationship Id="rId15" Type="http://schemas.openxmlformats.org/officeDocument/2006/relationships/hyperlink" Target="https://doi.org/10.1111/ajgw.12091" TargetMode="External"/><Relationship Id="rId23" Type="http://schemas.openxmlformats.org/officeDocument/2006/relationships/hyperlink" Target="https://doi.org/10.3390/foods12010191"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1590/0100-2945201743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5344/ajev.2013.13037" TargetMode="Externa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30AF4-A160-4614-8F69-122ADE9C7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158</TotalTime>
  <Pages>5</Pages>
  <Words>2614</Words>
  <Characters>14900</Characters>
  <Application>Microsoft Office Word</Application>
  <DocSecurity>0</DocSecurity>
  <Lines>124</Lines>
  <Paragraphs>34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17480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1170</cp:lastModifiedBy>
  <cp:revision>13</cp:revision>
  <cp:lastPrinted>1999-07-06T11:00:00Z</cp:lastPrinted>
  <dcterms:created xsi:type="dcterms:W3CDTF">2025-07-27T17:39:00Z</dcterms:created>
  <dcterms:modified xsi:type="dcterms:W3CDTF">2025-07-28T12:04:00Z</dcterms:modified>
</cp:coreProperties>
</file>