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4006" w14:textId="77777777" w:rsidR="0026328A" w:rsidRDefault="0026328A" w:rsidP="00314B53">
      <w:pPr>
        <w:pStyle w:val="Tableofcontents"/>
        <w:spacing w:line="360" w:lineRule="auto"/>
        <w:rPr>
          <w:rFonts w:eastAsia="null"/>
        </w:rPr>
      </w:pPr>
      <w:r w:rsidRPr="0026328A">
        <w:rPr>
          <w:rFonts w:eastAsia="null"/>
        </w:rPr>
        <w:t>Plant-Drug Interactions: Mechanisms and Clinical Implications of Cytochrome P450 Modulation by Common Phytochemicals</w:t>
      </w:r>
    </w:p>
    <w:p w14:paraId="63CF15AE" w14:textId="77777777" w:rsidR="0047163A" w:rsidRPr="0026328A" w:rsidRDefault="0047163A" w:rsidP="00314B53">
      <w:pPr>
        <w:pStyle w:val="Tableofcontents"/>
        <w:spacing w:line="360" w:lineRule="auto"/>
      </w:pPr>
    </w:p>
    <w:p w14:paraId="3213184E" w14:textId="6D6151DF" w:rsidR="0026328A" w:rsidRDefault="0026328A" w:rsidP="0026328A">
      <w:pPr>
        <w:spacing w:line="360" w:lineRule="auto"/>
        <w:rPr>
          <w:b/>
        </w:rPr>
      </w:pPr>
    </w:p>
    <w:p w14:paraId="498EB898" w14:textId="77777777" w:rsidR="00382BF0" w:rsidRDefault="00382BF0" w:rsidP="0026328A">
      <w:pPr>
        <w:spacing w:line="360" w:lineRule="auto"/>
        <w:rPr>
          <w:b/>
        </w:rPr>
      </w:pPr>
    </w:p>
    <w:p w14:paraId="21982CFA" w14:textId="77777777" w:rsidR="0026328A" w:rsidRPr="00802BD8" w:rsidRDefault="0026328A" w:rsidP="0026328A">
      <w:pPr>
        <w:spacing w:line="360" w:lineRule="auto"/>
      </w:pPr>
      <w:r w:rsidRPr="00802BD8">
        <w:rPr>
          <w:b/>
        </w:rPr>
        <w:t>ABSTRACT</w:t>
      </w:r>
    </w:p>
    <w:p w14:paraId="6602259F" w14:textId="77777777" w:rsidR="0026328A" w:rsidRPr="00802BD8" w:rsidRDefault="0026328A" w:rsidP="0026328A">
      <w:pPr>
        <w:spacing w:line="360" w:lineRule="auto"/>
        <w:jc w:val="both"/>
      </w:pPr>
      <w:r w:rsidRPr="00802BD8">
        <w:t>Plant-drug interactions mediated by cytochrome P450</w:t>
      </w:r>
      <w:r>
        <w:t xml:space="preserve"> (</w:t>
      </w:r>
      <w:r w:rsidRPr="00802BD8">
        <w:t xml:space="preserve">CYP450) enzymes are a critical area of study owing to their potential to alter drug metabolism, efficacy, and toxicity. This review examines how common phytochemicals such as flavonoids, polyphenols, alkaloids, and terpenes modulate CYP450 activity and influence drug pharmacokinetics. Key clinical implications include changes in drug effectiveness, increased adverse effects, and therapeutic failure, </w:t>
      </w:r>
      <w:r>
        <w:t xml:space="preserve">as illustrated by interactions </w:t>
      </w:r>
      <w:r w:rsidRPr="00802BD8">
        <w:t xml:space="preserve">such as St. John’s Wort with </w:t>
      </w:r>
      <w:r>
        <w:t>CYP3A4 substrates, grapefruit juice inhibiting CYP3A4, and garlic affecting anticoagulants. Challenges in research, such as the complexity of herbal products, variability in phytochemical content, and genetic differences in CYP450 expression have been addressed. This review also outlines management strategies, including patient education, therapeutic drug monitoring, and dosage adjustments. Future research directions should emphasize the need for advanced screening methods, predictive models, and personalized medicine to optimize therapeutic outcomes and ensure patient safety. This knowledge is vital for healthcare professionals to make informed decisions and researchers to develop innovative therapeutic approaches. Continued interdisciplinary collaboration is essential to advance understanding and improve clinical guidelines for the safe use of herbal products alongside conventional medications.</w:t>
      </w:r>
    </w:p>
    <w:p w14:paraId="7B6A2471" w14:textId="77777777" w:rsidR="0026328A" w:rsidRPr="00802BD8" w:rsidRDefault="0026328A" w:rsidP="009173D9">
      <w:pPr>
        <w:spacing w:line="360" w:lineRule="auto"/>
        <w:jc w:val="both"/>
      </w:pPr>
      <w:r w:rsidRPr="00802BD8">
        <w:t>Keywords: Cytochrome P450; Plant-drug interactions; Phytochemicals; Drug metabolism; CYP450 modulation; Clinical implications; Pharmacokinetics; CYP3A4; St. John's Wort; Grapefruit juice; Herbal supplements</w:t>
      </w:r>
    </w:p>
    <w:p w14:paraId="32050188" w14:textId="77777777" w:rsidR="0026328A" w:rsidRDefault="0026328A" w:rsidP="0026328A">
      <w:pPr>
        <w:spacing w:line="360" w:lineRule="auto"/>
      </w:pPr>
    </w:p>
    <w:p w14:paraId="27BC20EA" w14:textId="77777777" w:rsidR="0026328A" w:rsidRDefault="0026328A" w:rsidP="0026328A">
      <w:pPr>
        <w:spacing w:line="360" w:lineRule="auto"/>
      </w:pPr>
    </w:p>
    <w:p w14:paraId="774782C0" w14:textId="034C7E4F" w:rsidR="0026328A" w:rsidRDefault="0026328A" w:rsidP="0026328A">
      <w:pPr>
        <w:spacing w:line="360" w:lineRule="auto"/>
      </w:pPr>
    </w:p>
    <w:p w14:paraId="28963D12" w14:textId="26B1A100" w:rsidR="00382BF0" w:rsidRDefault="00382BF0" w:rsidP="0026328A">
      <w:pPr>
        <w:spacing w:line="360" w:lineRule="auto"/>
      </w:pPr>
    </w:p>
    <w:p w14:paraId="077A5618" w14:textId="77777777" w:rsidR="00382BF0" w:rsidRDefault="00382BF0" w:rsidP="0026328A">
      <w:pPr>
        <w:spacing w:line="360" w:lineRule="auto"/>
      </w:pPr>
    </w:p>
    <w:p w14:paraId="0D700679" w14:textId="77777777" w:rsidR="0026328A" w:rsidRPr="009D68A3" w:rsidRDefault="0026328A" w:rsidP="0026328A">
      <w:pPr>
        <w:spacing w:line="360" w:lineRule="auto"/>
      </w:pPr>
      <w:r w:rsidRPr="009D68A3">
        <w:rPr>
          <w:rFonts w:eastAsia="null"/>
          <w:b/>
          <w:sz w:val="28"/>
          <w:szCs w:val="28"/>
        </w:rPr>
        <w:lastRenderedPageBreak/>
        <w:t>Introduction</w:t>
      </w:r>
    </w:p>
    <w:p w14:paraId="1DB51A37" w14:textId="714A333D" w:rsidR="0026328A" w:rsidRPr="00802BD8" w:rsidRDefault="0026328A" w:rsidP="0026328A">
      <w:pPr>
        <w:spacing w:line="360" w:lineRule="auto"/>
        <w:jc w:val="both"/>
      </w:pPr>
      <w:r w:rsidRPr="00802BD8">
        <w:t>Plant-drug interactions have gained significant attention in recent years, owing to the increasing popularity of herbal supplements and alternative medicine</w:t>
      </w:r>
      <w:r>
        <w: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These interactions can have profound effects on drug metabolism, potentially leading to altered therapeutic efficacy or increased toxicity </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One of the key mechanisms underlying plant-drug interactions is the modulation of cytochrome P450</w:t>
      </w:r>
      <w:r>
        <w:t xml:space="preserve"> (</w:t>
      </w:r>
      <w:r w:rsidRPr="00802BD8">
        <w:t>CYP450) enzymes, a family of proteins responsible for the metabolism of numerous drugs and xenobiotics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Understanding the impact of plant compounds on CYP450 activity is crucial for predicting and preventing adverse drug reactions, optimizing therapeutic outcomes, and ensuring patient safety</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The CYP450 system plays a central role in the biotransformation of both endogenous and exogenous substances, including pharmaceuticals, environmental toxins, and dietary components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These enzymes are primarily located in the liver but are also found in other tissues</w:t>
      </w:r>
      <w:r>
        <w:t>, such as the intestines, lungs, and kidneys</w:t>
      </w:r>
      <w:hyperlink w:anchor="c883aa6ace1437518630d181c5b96553_ref" w:history="1">
        <w:r>
          <w:t xml:space="preserve"> (</w:t>
        </w:r>
        <w:r w:rsidRPr="00802BD8">
          <w:t>Durairaj &amp; Liu, 2025)</w:t>
        </w:r>
      </w:hyperlink>
      <w:r w:rsidRPr="00802BD8">
        <w:t xml:space="preserve"> . The modulation of CYP450 enzymes by plant compounds can occur through various mechanisms, including </w:t>
      </w:r>
      <w:r>
        <w:t>the induction, inhibition, or alteration of enzyme expression. Such modulation can lead to changes in drug pharmacokinetics, potentially resulting in reduced drug efficacy or increased toxicity</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For example, St. John's Wort, a popular herbal remedy for depression, induce</w:t>
      </w:r>
      <w:r>
        <w:t>s CYP3A4, leading to decreased plasma concentrations of various drugs metabolized by this enzyme, including oral contraceptives and certain antiretroviral medications</w:t>
      </w:r>
      <w:hyperlink w:anchor="d98a8b6ce2db395f859788a22b963d7c_ref" w:history="1">
        <w:r>
          <w:t xml:space="preserve"> (</w:t>
        </w:r>
        <w:proofErr w:type="spellStart"/>
        <w:r w:rsidRPr="00802BD8">
          <w:t>Wanwimolruk</w:t>
        </w:r>
        <w:proofErr w:type="spellEnd"/>
        <w:r w:rsidRPr="00802BD8">
          <w:t xml:space="preserve"> &amp; </w:t>
        </w:r>
        <w:proofErr w:type="spellStart"/>
        <w:r w:rsidRPr="00802BD8">
          <w:t>Prachayasittikul</w:t>
        </w:r>
        <w:proofErr w:type="spellEnd"/>
        <w:r w:rsidRPr="00802BD8">
          <w:t>, 2014)</w:t>
        </w:r>
      </w:hyperlink>
      <w:r w:rsidRPr="00802BD8">
        <w:t xml:space="preserve"> . Conversely, grapefruit juice is a potent inhibitor of CYP3A4, which can result in </w:t>
      </w:r>
      <w:r>
        <w:t>the increased bioavailability and potential toxicity of drugs metabolized by this enzyme</w:t>
      </w:r>
      <w:hyperlink w:anchor="e6ffef0b36df3393904b81e48142c010_ref" w:history="1">
        <w:r>
          <w:t xml:space="preserve"> (</w:t>
        </w:r>
        <w:r w:rsidRPr="00802BD8">
          <w:t>Uno &amp; Yasui-Furukori, 2006)</w:t>
        </w:r>
      </w:hyperlink>
      <w:r w:rsidRPr="00802BD8">
        <w:t xml:space="preserve"> . The complexity of plant-drug interactions is further compounded by the fact that many herbal products contain multiple active compounds, each with the potential to affect different CYP450 isoforms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Additionally, </w:t>
      </w:r>
      <w:r>
        <w:t>Genetic changes in CYP450 genes can change how someone responds to combining plants and medicines. This underlines the need for personalized medical care.</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Given the widespread use of herbal supplements and the</w:t>
      </w:r>
      <w:r>
        <w:t>ir potential for clinically significant interactions, healthcare professionals must be aware of the impact of plant compounds on CYP450 activity</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This knowledge is essential for making informed decisions regarding drug therapy, particularly for patients using multiple medications or herbal products. Furthermore, understanding CYP450 modulation by plant compounds can aid in </w:t>
      </w:r>
      <w:r w:rsidRPr="00802BD8">
        <w:lastRenderedPageBreak/>
        <w:t>the development of novel therapeutic strategies, such as using natural products as adjuvants to enhance drug bioavailability or as alternatives to synthetic drugs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 Research in this field continues to expand, with ongoing efforts to identify and characterize plant-drug interactions, develop standardized methods for assessing CYP450 modulation, and establish guidelines for the safe use of herbal products in conjunction with conventional medications</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Having established the importance of understanding plant-drug interactions, we will now explore the structure and function of cytochrome P450 enzymes, which play a crucial role in these interactions</w:t>
      </w:r>
      <w:r>
        <w:t>.</w:t>
      </w:r>
    </w:p>
    <w:p w14:paraId="47BB63AE" w14:textId="77777777" w:rsidR="0026328A" w:rsidRPr="00802BD8" w:rsidRDefault="0026328A" w:rsidP="0026328A">
      <w:pPr>
        <w:spacing w:line="360" w:lineRule="auto"/>
        <w:jc w:val="both"/>
      </w:pPr>
    </w:p>
    <w:p w14:paraId="7AEBF0C9" w14:textId="77777777" w:rsidR="0026328A" w:rsidRDefault="0026328A" w:rsidP="0026328A">
      <w:pPr>
        <w:spacing w:line="360" w:lineRule="auto"/>
        <w:rPr>
          <w:rFonts w:ascii="null" w:eastAsia="null" w:hAnsi="null" w:cs="null"/>
          <w:b/>
        </w:rPr>
      </w:pPr>
    </w:p>
    <w:p w14:paraId="48814269" w14:textId="77777777" w:rsidR="0026328A" w:rsidRPr="009D68A3" w:rsidRDefault="0026328A" w:rsidP="0026328A">
      <w:pPr>
        <w:spacing w:line="360" w:lineRule="auto"/>
        <w:rPr>
          <w:sz w:val="28"/>
          <w:szCs w:val="28"/>
        </w:rPr>
      </w:pPr>
      <w:r w:rsidRPr="009D68A3">
        <w:rPr>
          <w:rFonts w:eastAsia="null"/>
          <w:b/>
          <w:sz w:val="28"/>
          <w:szCs w:val="28"/>
        </w:rPr>
        <w:t>Cytochrome P450 Enzymes</w:t>
      </w:r>
    </w:p>
    <w:p w14:paraId="21DD857F" w14:textId="77777777" w:rsidR="0026328A" w:rsidRPr="00802BD8" w:rsidRDefault="0026328A" w:rsidP="0026328A">
      <w:pPr>
        <w:spacing w:line="360" w:lineRule="auto"/>
      </w:pPr>
      <w:r w:rsidRPr="00802BD8">
        <w:rPr>
          <w:b/>
        </w:rPr>
        <w:t>Structure and function</w:t>
      </w:r>
    </w:p>
    <w:p w14:paraId="4A571A53" w14:textId="6F158BC4" w:rsidR="0026328A" w:rsidRPr="00802BD8" w:rsidRDefault="0026328A" w:rsidP="0026328A">
      <w:pPr>
        <w:spacing w:line="360" w:lineRule="auto"/>
        <w:jc w:val="both"/>
      </w:pPr>
      <w:r w:rsidRPr="00802BD8">
        <w:t>Cytochrome P450 enzymes are a diverse group of heme-containing proteins found in various organisms including humans, plants, and microorganisms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These enzymes play crucial role</w:t>
      </w:r>
      <w:r>
        <w:t>s in the metabolism of endogenous and exogenous compounds, including drugs, toxins, and hormones</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The structure of cytochrome P450 consists of a heme prosthetic group bound to a single polypeptide chain. The heme group contains an iron atom that is essential for the catalytic activity</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The polypeptide chain forms a characteristic fold, with alpha-helices surrounding the heme group, creating a substrate-binding pocket. This pocket is highly variable among different P450 enzymes, allowing substrate specificity</w:t>
      </w:r>
      <w:hyperlink w:anchor="bd191c1bd0b1353dbb6d28979a16a98f_ref" w:history="1">
        <w:r>
          <w:t xml:space="preserve"> (</w:t>
        </w:r>
        <w:r w:rsidRPr="00802BD8">
          <w:t xml:space="preserve">Padayachee </w:t>
        </w:r>
        <w:r w:rsidR="00D4359E" w:rsidRPr="00D4359E">
          <w:rPr>
            <w:i/>
          </w:rPr>
          <w:t>et al</w:t>
        </w:r>
        <w:r w:rsidRPr="00802BD8">
          <w:t>., 2023)</w:t>
        </w:r>
      </w:hyperlink>
      <w:r w:rsidRPr="00802BD8">
        <w:t xml:space="preserve"> . The primary function of cytochrome P450 enzymes is to catalyze oxidation reactions, typically involving the insertion of an oxygen atom into a substrate molecule. This process often results in the detoxification of xenobiotics or activation of prodrugs</w:t>
      </w:r>
      <w:hyperlink w:anchor="354901814b5e3d339b6b7f19fd038924_ref" w:history="1">
        <w:r>
          <w:t xml:space="preserve"> (</w:t>
        </w:r>
        <w:r w:rsidRPr="00802BD8">
          <w:t xml:space="preserve">Kumar </w:t>
        </w:r>
        <w:r w:rsidR="00D4359E" w:rsidRPr="00D4359E">
          <w:rPr>
            <w:i/>
          </w:rPr>
          <w:t>et al</w:t>
        </w:r>
        <w:r w:rsidRPr="00802BD8">
          <w:t>., 2023)</w:t>
        </w:r>
      </w:hyperlink>
      <w:r w:rsidRPr="00802BD8">
        <w:t xml:space="preserve"> . The catalytic cycle of P450 enzymes involves the binding of molecular oxygen to heme iron, followed by electron transfer from NADPH to redox partner proteins. This leads to the formation of highly reactive iron-oxo species </w:t>
      </w:r>
      <w:r>
        <w:t xml:space="preserve">that are capable of oxidizing </w:t>
      </w:r>
      <w:r w:rsidRPr="00802BD8">
        <w:t>substrate</w:t>
      </w:r>
      <w:r>
        <w:t>s</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The versatility of cytochrome P450 enzymes makes them essential for drug metabolism, steroid hormone biosynthesis, and biotransformation of environmental pollutants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w:t>
      </w:r>
    </w:p>
    <w:p w14:paraId="0A99BD0B" w14:textId="77777777" w:rsidR="0026328A" w:rsidRPr="00802BD8" w:rsidRDefault="0026328A" w:rsidP="0026328A">
      <w:pPr>
        <w:spacing w:line="360" w:lineRule="auto"/>
        <w:jc w:val="both"/>
      </w:pPr>
    </w:p>
    <w:p w14:paraId="46F60F22" w14:textId="77777777" w:rsidR="0026328A" w:rsidRPr="00ED613A" w:rsidRDefault="0026328A" w:rsidP="0026328A">
      <w:pPr>
        <w:spacing w:line="360" w:lineRule="auto"/>
        <w:jc w:val="both"/>
        <w:rPr>
          <w:b/>
          <w:bCs/>
        </w:rPr>
      </w:pPr>
      <w:r w:rsidRPr="00ED613A">
        <w:rPr>
          <w:b/>
          <w:bCs/>
        </w:rPr>
        <w:t>Role in drug metabolism</w:t>
      </w:r>
    </w:p>
    <w:p w14:paraId="68AF77C5" w14:textId="3FF966C1" w:rsidR="0026328A" w:rsidRPr="00802BD8" w:rsidRDefault="0026328A" w:rsidP="0026328A">
      <w:pPr>
        <w:spacing w:line="360" w:lineRule="auto"/>
        <w:jc w:val="both"/>
      </w:pPr>
      <w:r w:rsidRPr="00802BD8">
        <w:lastRenderedPageBreak/>
        <w:t>Cytochrome P450 enzymes play a crucial role in drug metabolism, serving as the primary system for biotransformation of various xenobiotics, including pharmaceuticals, in the human body</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These heme-containing proteins are predominantly found in the liver, although they are also present in other tissues such as intestines, lungs, and kidneys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P450 enzymes catalyze oxidation reactions, which are essential for converting lipophilic compounds into hydrophilic metabolites that can be easily excreted from the body. This process is vital for drug clearance and can significantly affect the pharmacokinetics and pharmacodynamics of medications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The CYP450 family comprises numerous isoforms, with CYP3A4, CYP2D6, CYP2C9, CYP2C19, and CYP1A2 being among the most important </w:t>
      </w:r>
      <w:r>
        <w:t>isoforms in drug metabolism. These enzymes exhibit genetic polymorphisms, leading to inter-individual variations in drug responses and potential drug-drug interactions</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Understanding the role of cytochrome P450 enzymes in drug metabolism is crucial for drug development, dosing strategies, and personalized medical approaches. Inhibition or induction of these enzymes can alter drug concentrations, potentially leading to therapeutic failure or toxicity</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Consequently, pharmaceutical companies and regulatory agencies closely monitor the involvement of CYP450 enzymes in the metabolism of new drug candidates to predict potential drug interactions and optimize dosing regimens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w:t>
      </w:r>
    </w:p>
    <w:p w14:paraId="2E92BA67" w14:textId="77777777" w:rsidR="0026328A" w:rsidRPr="00802BD8" w:rsidRDefault="0026328A" w:rsidP="0026328A">
      <w:pPr>
        <w:spacing w:line="360" w:lineRule="auto"/>
        <w:jc w:val="both"/>
      </w:pPr>
    </w:p>
    <w:p w14:paraId="4E05C23B" w14:textId="77777777" w:rsidR="0026328A" w:rsidRPr="00ED613A" w:rsidRDefault="0026328A" w:rsidP="0026328A">
      <w:pPr>
        <w:spacing w:line="360" w:lineRule="auto"/>
        <w:jc w:val="both"/>
        <w:rPr>
          <w:b/>
          <w:bCs/>
        </w:rPr>
      </w:pPr>
      <w:r w:rsidRPr="00ED613A">
        <w:rPr>
          <w:b/>
          <w:bCs/>
        </w:rPr>
        <w:t>Major CYP450 isoforms involved in drug interactions</w:t>
      </w:r>
    </w:p>
    <w:p w14:paraId="4DF92FD8" w14:textId="15741CF7" w:rsidR="0026328A" w:rsidRPr="00802BD8" w:rsidRDefault="0026328A" w:rsidP="0026328A">
      <w:pPr>
        <w:spacing w:line="360" w:lineRule="auto"/>
        <w:jc w:val="both"/>
      </w:pPr>
      <w:r w:rsidRPr="00802BD8">
        <w:t>Cytochrome P450 enzymes, also known as CYP450 enzymes, are a family of heme-containing proteins that play crucial role</w:t>
      </w:r>
      <w:r>
        <w:t>s in drug metabolism and interactions</w:t>
      </w:r>
      <w:hyperlink w:anchor="2a29e7ce1c4f39dbaffa6472fb2af891_ref" w:history="1">
        <w:r>
          <w:t xml:space="preserve"> (</w:t>
        </w:r>
        <w:r w:rsidRPr="00802BD8">
          <w:t xml:space="preserve">Lee </w:t>
        </w:r>
        <w:r w:rsidR="00D4359E" w:rsidRPr="00D4359E">
          <w:rPr>
            <w:i/>
          </w:rPr>
          <w:t>et al</w:t>
        </w:r>
        <w:r w:rsidRPr="00802BD8">
          <w:t>., 2024)</w:t>
        </w:r>
      </w:hyperlink>
      <w:r w:rsidRPr="00802BD8">
        <w:t xml:space="preserve"> . These enzymes are primarily located in the liver and intestines, where they catalyze the oxidation of various substances, including drugs, toxins, and endogenous compounds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 major CYP450 isoforms involved in drug interactions are CYP3A4, CYP2D6, CYP2C9, CYP2C19, and CYP1A2. CYP3A4 is the most abundant isoform responsible for metabolizing approximately 50% of all marketed drugs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CYP2D6 is involved in the metabolism of many antidepressants, antipsychotics, and beta blockers</w:t>
      </w:r>
      <w:hyperlink w:anchor="df12e9733ac83e95bd6a91427804d483_ref" w:history="1">
        <w:r>
          <w:t xml:space="preserve"> (</w:t>
        </w:r>
        <w:r w:rsidRPr="00802BD8">
          <w:t>Lin, 2022)</w:t>
        </w:r>
      </w:hyperlink>
      <w:r w:rsidRPr="00802BD8">
        <w:t xml:space="preserve"> . CYP2C9 plays a significant role in </w:t>
      </w:r>
      <w:r>
        <w:t>the metaboli</w:t>
      </w:r>
      <w:r w:rsidRPr="00802BD8">
        <w:t>sm of warfarin, phenytoin, and several nonsteroidal anti-inflammatory drugs. CYP2C19 is important for the metabolism of proton pump inhibitors and antidepressants</w:t>
      </w:r>
      <w:hyperlink w:anchor="563e113d168b3541a93d5a65f1cf9031_ref" w:history="1">
        <w:r>
          <w:t xml:space="preserve"> (</w:t>
        </w:r>
        <w:r w:rsidRPr="00802BD8">
          <w:t xml:space="preserve">Ibrahim </w:t>
        </w:r>
        <w:r w:rsidR="00D4359E" w:rsidRPr="00D4359E">
          <w:rPr>
            <w:i/>
          </w:rPr>
          <w:t>et al</w:t>
        </w:r>
        <w:r w:rsidRPr="00802BD8">
          <w:t>., 2025)</w:t>
        </w:r>
      </w:hyperlink>
      <w:r w:rsidRPr="00802BD8">
        <w:t xml:space="preserve"> . CYP1A2 is involved in the metabolism of caffeine, theophylline, and certain antipsychotics. Understanding the specific CYP450 isoforms involved in </w:t>
      </w:r>
      <w:r w:rsidRPr="00802BD8">
        <w:lastRenderedPageBreak/>
        <w:t>drug metabolism is crucial for predicting potential drug-drug interactions and optimizing therapeutic outcomes</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Genetic polymorphisms in these enzymes can lead to variations in drug metabolism rates among individuals, </w:t>
      </w:r>
      <w:r>
        <w:t>thereby affecting drug efficacy and toxicity</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w:t>
      </w:r>
      <w:r>
        <w:t xml:space="preserve">The </w:t>
      </w:r>
      <w:r w:rsidRPr="00802BD8">
        <w:t>inhibition or induction of these enzymes by certain drugs or substances can also significantly impact the metabolism of other medications, potentially leading to adverse effects or reduced therapeutic efficacy</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w:t>
      </w:r>
      <w:hyperlink w:anchor="2a29e7ce1c4f39dbaffa6472fb2af891_ref" w:history="1">
        <w:r>
          <w:t xml:space="preserve"> (</w:t>
        </w:r>
        <w:r w:rsidRPr="00802BD8">
          <w:t xml:space="preserve">Lee </w:t>
        </w:r>
        <w:r w:rsidR="00D4359E" w:rsidRPr="00D4359E">
          <w:rPr>
            <w:i/>
          </w:rPr>
          <w:t>et al</w:t>
        </w:r>
        <w:r w:rsidRPr="00802BD8">
          <w:t>., 2024)</w:t>
        </w:r>
      </w:hyperlink>
      <w:r w:rsidRPr="00802BD8">
        <w:t xml:space="preserve"> . Having outlined the crucial role and diversity of CYP450 enzymes in drug metabolism, it is imperative to delve into the specific phytochemicals that influence these enzymes, showcasing the depth of plant-drug interactions.</w:t>
      </w:r>
    </w:p>
    <w:p w14:paraId="6BAD4636" w14:textId="77777777" w:rsidR="0026328A" w:rsidRPr="00802BD8" w:rsidRDefault="0026328A" w:rsidP="0026328A">
      <w:pPr>
        <w:spacing w:line="360" w:lineRule="auto"/>
        <w:jc w:val="both"/>
      </w:pPr>
    </w:p>
    <w:p w14:paraId="716B702A" w14:textId="77777777" w:rsidR="0026328A" w:rsidRPr="00ED613A" w:rsidRDefault="0026328A" w:rsidP="0026328A">
      <w:pPr>
        <w:spacing w:line="360" w:lineRule="auto"/>
        <w:rPr>
          <w:sz w:val="28"/>
          <w:szCs w:val="28"/>
        </w:rPr>
      </w:pPr>
      <w:r w:rsidRPr="00ED613A">
        <w:rPr>
          <w:rFonts w:eastAsia="null"/>
          <w:b/>
          <w:sz w:val="28"/>
          <w:szCs w:val="28"/>
        </w:rPr>
        <w:t>Common Phytochemicals Modulating CYP450</w:t>
      </w:r>
    </w:p>
    <w:p w14:paraId="41BAE07C" w14:textId="77777777" w:rsidR="0026328A" w:rsidRPr="00ED613A" w:rsidRDefault="0026328A" w:rsidP="0026328A">
      <w:pPr>
        <w:spacing w:line="360" w:lineRule="auto"/>
        <w:rPr>
          <w:b/>
          <w:bCs/>
        </w:rPr>
      </w:pPr>
      <w:r w:rsidRPr="00ED613A">
        <w:rPr>
          <w:b/>
          <w:bCs/>
        </w:rPr>
        <w:t>Flavonoids</w:t>
      </w:r>
    </w:p>
    <w:p w14:paraId="3942DE2C" w14:textId="2E3215BC" w:rsidR="0026328A" w:rsidRPr="00802BD8" w:rsidRDefault="0026328A" w:rsidP="0026328A">
      <w:pPr>
        <w:spacing w:line="360" w:lineRule="auto"/>
        <w:jc w:val="both"/>
      </w:pPr>
      <w:r w:rsidRPr="00802BD8">
        <w:t xml:space="preserve">Flavonoids are a diverse group of phytochemicals </w:t>
      </w:r>
      <w:r>
        <w:t>that are widely distributed in plants and known for their various biological activities, including modulation of cytochrome P</w:t>
      </w:r>
      <w:r w:rsidRPr="00802BD8">
        <w:t>450</w:t>
      </w:r>
      <w:r>
        <w:t xml:space="preserve"> (</w:t>
      </w:r>
      <w:r w:rsidRPr="00802BD8">
        <w:t>CYP450) enzymes</w:t>
      </w:r>
      <w:hyperlink w:anchor="4bf5ca3d3bde3d979fc05058325d6c75_ref" w:history="1">
        <w:r>
          <w:t xml:space="preserve"> (</w:t>
        </w:r>
        <w:proofErr w:type="spellStart"/>
        <w:r w:rsidRPr="00802BD8">
          <w:t>Kondža</w:t>
        </w:r>
        <w:proofErr w:type="spellEnd"/>
        <w:r w:rsidRPr="00802BD8">
          <w:t xml:space="preserve"> </w:t>
        </w:r>
        <w:r w:rsidR="00D4359E" w:rsidRPr="00D4359E">
          <w:rPr>
            <w:i/>
          </w:rPr>
          <w:t>et al</w:t>
        </w:r>
        <w:r w:rsidRPr="00802BD8">
          <w:t>., 2024)</w:t>
        </w:r>
      </w:hyperlink>
      <w:r w:rsidRPr="00802BD8">
        <w:t xml:space="preserve"> . These polyphenolic compounds are found in fruits, vegetables, herbs, and beverages such as tea and wine. Flavonoids can interact with CYP450 enzymes through multiple mechanisms, such as competitive inhibition, mechanism-based inhibition, or induction</w:t>
      </w:r>
      <w:hyperlink w:anchor="8b44894a81773081a33276adaf4fbece_ref" w:history="1">
        <w:r>
          <w:t xml:space="preserve"> (</w:t>
        </w:r>
        <w:r w:rsidRPr="00802BD8">
          <w:t>Singh &amp; Verma, 2025)</w:t>
        </w:r>
      </w:hyperlink>
      <w:r w:rsidRPr="00802BD8">
        <w:t xml:space="preserve"> . The effects of flavonoids on CYP450 enzymes can be complex and depend on factors such as the specific flavonoid structure, concentration, and particular CYP450 isoform involved</w:t>
      </w:r>
      <w:hyperlink w:anchor="f05b89436b833a4fb85dfbf703b183fb_ref" w:history="1">
        <w:r>
          <w:t xml:space="preserve"> (</w:t>
        </w:r>
        <w:r w:rsidRPr="00802BD8">
          <w:t>Manikandan &amp; Nagini, 2018)</w:t>
        </w:r>
      </w:hyperlink>
      <w:r w:rsidRPr="00802BD8">
        <w:t xml:space="preserve"> . Some flavonoids, such as quercetin and kaempferol, have been shown to inhibit various CYP450 isoforms, including CYP1A2, CYP2C9, and CYP3A4</w:t>
      </w:r>
      <w:hyperlink w:anchor="cb29fce1afbd382b96d7d98128c20ea1_ref" w:history="1">
        <w:r>
          <w:t xml:space="preserve"> (</w:t>
        </w:r>
        <w:r w:rsidRPr="00802BD8">
          <w:t xml:space="preserve">Zhang </w:t>
        </w:r>
        <w:r w:rsidR="00D4359E" w:rsidRPr="00D4359E">
          <w:rPr>
            <w:i/>
          </w:rPr>
          <w:t>et al</w:t>
        </w:r>
        <w:r w:rsidRPr="00802BD8">
          <w:t>., 2021)</w:t>
        </w:r>
      </w:hyperlink>
      <w:r w:rsidRPr="00802BD8">
        <w:t xml:space="preserve"> . This inhibition can potentially lead to drug-herb interactions, altering the metabolism and bioavailability of certain medications</w:t>
      </w:r>
      <w:hyperlink w:anchor="4bf5ca3d3bde3d979fc05058325d6c75_ref" w:history="1">
        <w:r>
          <w:t xml:space="preserve"> (</w:t>
        </w:r>
        <w:proofErr w:type="spellStart"/>
        <w:r w:rsidRPr="00802BD8">
          <w:t>Kondža</w:t>
        </w:r>
        <w:proofErr w:type="spellEnd"/>
        <w:r w:rsidRPr="00802BD8">
          <w:t xml:space="preserve"> </w:t>
        </w:r>
        <w:r w:rsidR="00D4359E" w:rsidRPr="00D4359E">
          <w:rPr>
            <w:i/>
          </w:rPr>
          <w:t>et al</w:t>
        </w:r>
        <w:r w:rsidRPr="00802BD8">
          <w:t>., 2024)</w:t>
        </w:r>
      </w:hyperlink>
      <w:r w:rsidRPr="00802BD8">
        <w:t xml:space="preserve"> . Conversely, other flavonoids, such as chrysin and </w:t>
      </w:r>
      <w:proofErr w:type="spellStart"/>
      <w:r w:rsidRPr="00802BD8">
        <w:t>tangeretin</w:t>
      </w:r>
      <w:proofErr w:type="spellEnd"/>
      <w:r w:rsidRPr="00802BD8">
        <w:t xml:space="preserve"> have been reported to induce CYP450 enzymes, potentially increasing the metabolism of certain drugs</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The modulation of CYP450 enzymes by flavonoids can have both beneficial and adverse effects depending on the context</w:t>
      </w:r>
      <w:hyperlink w:anchor="f3d65a18d8ce3caca93fbe0954a67c65_ref" w:history="1">
        <w:r>
          <w:t xml:space="preserve"> (</w:t>
        </w:r>
        <w:r w:rsidRPr="00802BD8">
          <w:t xml:space="preserve">Bai </w:t>
        </w:r>
        <w:r w:rsidR="00D4359E" w:rsidRPr="00D4359E">
          <w:rPr>
            <w:i/>
          </w:rPr>
          <w:t>et al</w:t>
        </w:r>
        <w:r w:rsidRPr="00802BD8">
          <w:t>., 2022)</w:t>
        </w:r>
      </w:hyperlink>
      <w:r w:rsidRPr="00802BD8">
        <w:t xml:space="preserve"> . For instance, </w:t>
      </w:r>
      <w:r>
        <w:t>the inhibition of certain CYP450 isoforms may enhance the bioavailability of some drugs, potentially improving their therapeutic efficacy. However, th</w:t>
      </w:r>
      <w:r w:rsidRPr="00802BD8">
        <w:t>e same effect could also lead to increased toxicity or unwanted side effects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Understanding the interactions between flavonoids and CYP450 enzymes </w:t>
      </w:r>
      <w:r w:rsidRPr="00802BD8">
        <w:lastRenderedPageBreak/>
        <w:t>is crucial for predicting potential drug-herb interactions and optimizing therapeutic outcomes in clinical practice.</w:t>
      </w:r>
    </w:p>
    <w:p w14:paraId="555211C1" w14:textId="77777777" w:rsidR="0026328A" w:rsidRPr="00802BD8" w:rsidRDefault="0026328A" w:rsidP="0026328A">
      <w:pPr>
        <w:spacing w:line="360" w:lineRule="auto"/>
        <w:jc w:val="both"/>
      </w:pPr>
    </w:p>
    <w:p w14:paraId="487FF5CD" w14:textId="77777777" w:rsidR="0026328A" w:rsidRPr="00ED613A" w:rsidRDefault="0026328A" w:rsidP="0026328A">
      <w:pPr>
        <w:spacing w:line="360" w:lineRule="auto"/>
        <w:jc w:val="both"/>
        <w:rPr>
          <w:b/>
          <w:bCs/>
        </w:rPr>
      </w:pPr>
      <w:r w:rsidRPr="00ED613A">
        <w:rPr>
          <w:b/>
          <w:bCs/>
        </w:rPr>
        <w:t>Polyphenols</w:t>
      </w:r>
    </w:p>
    <w:p w14:paraId="70058765" w14:textId="5C7A6F80" w:rsidR="0026328A" w:rsidRPr="00802BD8" w:rsidRDefault="0026328A" w:rsidP="0026328A">
      <w:pPr>
        <w:spacing w:line="360" w:lineRule="auto"/>
        <w:jc w:val="both"/>
      </w:pPr>
      <w:r w:rsidRPr="00802BD8">
        <w:t xml:space="preserve">Polyphenols are a diverse group of plant-based compounds </w:t>
      </w:r>
      <w:r>
        <w:t>that are known for their antioxidant properties and potential health benefits. These phytochemicals are widely distributed in fruits, vegetables, herbs, and beverages, such as tea and wine</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Polyphenols have been extensively studied for their ability to modulate cytochrome P450 </w:t>
      </w:r>
      <w:r>
        <w:t>(</w:t>
      </w:r>
      <w:r w:rsidRPr="00802BD8">
        <w:t>CYP450) enzymes, which play crucial role</w:t>
      </w:r>
      <w:r>
        <w:t>s in drug metabolism and detoxification processes in the human body</w:t>
      </w:r>
      <w:hyperlink w:anchor="f9c9865c8bb03d8e899a7b2108b2b594_ref" w:history="1">
        <w:r>
          <w:t xml:space="preserve"> (</w:t>
        </w:r>
        <w:r w:rsidRPr="00802BD8">
          <w:t xml:space="preserve">Iacopetta </w:t>
        </w:r>
        <w:r w:rsidR="00D4359E" w:rsidRPr="00D4359E">
          <w:rPr>
            <w:i/>
          </w:rPr>
          <w:t>et al</w:t>
        </w:r>
        <w:r w:rsidRPr="00802BD8">
          <w:t>., 2023)</w:t>
        </w:r>
      </w:hyperlink>
      <w:r w:rsidRPr="00802BD8">
        <w:t xml:space="preserve"> . The interaction between polyphenols and CYP450 enzymes can lead to various effects, including inhibition or induction of enzyme activity, potentially altering the metabolism of drugs and other xenobiotics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Some well-known polyphenols that have been shown to modulate CYP450 enzymes include flavonoids</w:t>
      </w:r>
      <w:r>
        <w:t xml:space="preserve"> (</w:t>
      </w:r>
      <w:r w:rsidRPr="00802BD8">
        <w:t xml:space="preserve">e.g., quercetin, kaempferol, and catechins), phenolic acids </w:t>
      </w:r>
      <w:r>
        <w:t>(</w:t>
      </w:r>
      <w:r w:rsidRPr="00802BD8">
        <w:t xml:space="preserve">e.g., caffeic acid and chlorogenic acid), and stilbenes </w:t>
      </w:r>
      <w:r>
        <w:t>(</w:t>
      </w:r>
      <w:r w:rsidRPr="00802BD8">
        <w:t>e.g., resveratrol)</w:t>
      </w:r>
      <w:hyperlink w:anchor="a2f79e2616ac3e1b90c14176ea04d5aa_ref" w:history="1">
        <w:r>
          <w:t xml:space="preserve"> (</w:t>
        </w:r>
        <w:r w:rsidRPr="00802BD8">
          <w:t xml:space="preserve">Rai </w:t>
        </w:r>
        <w:r w:rsidR="00D4359E" w:rsidRPr="00D4359E">
          <w:rPr>
            <w:i/>
          </w:rPr>
          <w:t>et al</w:t>
        </w:r>
        <w:r w:rsidRPr="00802BD8">
          <w:t>., 2023)</w:t>
        </w:r>
      </w:hyperlink>
      <w:r w:rsidRPr="00802BD8">
        <w:t xml:space="preserve"> . These compounds can affect different CYP450 isoforms to varying degrees, with some exhibiting selective inhibition or induction of specific enzymes</w:t>
      </w:r>
      <w:hyperlink w:anchor="4b15ac5ed4563dbca48af4457d653d87_ref" w:history="1">
        <w:r>
          <w:t xml:space="preserve"> (</w:t>
        </w:r>
        <w:proofErr w:type="spellStart"/>
        <w:r w:rsidRPr="00802BD8">
          <w:t>Claushuis</w:t>
        </w:r>
        <w:proofErr w:type="spellEnd"/>
        <w:r w:rsidRPr="00802BD8">
          <w:t xml:space="preserve"> </w:t>
        </w:r>
        <w:r w:rsidR="00D4359E" w:rsidRPr="00D4359E">
          <w:rPr>
            <w:i/>
          </w:rPr>
          <w:t>et al</w:t>
        </w:r>
        <w:r w:rsidRPr="00802BD8">
          <w:t>., 2021)</w:t>
        </w:r>
      </w:hyperlink>
      <w:r w:rsidRPr="00802BD8">
        <w:t xml:space="preserve"> . For instance, quercetin has been reported to inhibit CYP3A4, whereas resveratrol has shown both inhibitory and inductive effects on various CYP450 isoforms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The modulation of CYP450 enzymes by polyphenols can have significant implications for drug-herb interactions, potentially affecting the efficacy and safety of medications when consumed concurrently with polyphenol-rich foods or supplements</w:t>
      </w:r>
      <w:hyperlink w:anchor="d565a83830ab312e9cd89388747f3ef0_ref" w:history="1">
        <w:r>
          <w:t xml:space="preserve"> (</w:t>
        </w:r>
        <w:r w:rsidRPr="00802BD8">
          <w:t xml:space="preserve">Smith </w:t>
        </w:r>
        <w:r w:rsidR="00D4359E" w:rsidRPr="00D4359E">
          <w:rPr>
            <w:i/>
          </w:rPr>
          <w:t>et al</w:t>
        </w:r>
        <w:r w:rsidRPr="00802BD8">
          <w:t>., 2024)</w:t>
        </w:r>
      </w:hyperlink>
      <w:r w:rsidRPr="00802BD8">
        <w:t xml:space="preserve"> </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Understanding these interactions is essential for optimizing pharmacotherapy and mitigating </w:t>
      </w:r>
      <w:r>
        <w:t xml:space="preserve">the potential adverse </w:t>
      </w:r>
      <w:r w:rsidRPr="00802BD8">
        <w:t>effects.</w:t>
      </w:r>
    </w:p>
    <w:p w14:paraId="1F282A4D" w14:textId="77777777" w:rsidR="0026328A" w:rsidRPr="00802BD8" w:rsidRDefault="0026328A" w:rsidP="0026328A">
      <w:pPr>
        <w:spacing w:line="360" w:lineRule="auto"/>
        <w:jc w:val="both"/>
      </w:pPr>
    </w:p>
    <w:p w14:paraId="62EB8225" w14:textId="77777777" w:rsidR="0026328A" w:rsidRPr="00ED613A" w:rsidRDefault="0026328A" w:rsidP="0026328A">
      <w:pPr>
        <w:spacing w:line="360" w:lineRule="auto"/>
        <w:jc w:val="both"/>
        <w:rPr>
          <w:b/>
          <w:bCs/>
        </w:rPr>
      </w:pPr>
      <w:r w:rsidRPr="00ED613A">
        <w:rPr>
          <w:b/>
          <w:bCs/>
        </w:rPr>
        <w:t>Alkaloids</w:t>
      </w:r>
    </w:p>
    <w:p w14:paraId="7FECABCA" w14:textId="1FD8E18F" w:rsidR="0026328A" w:rsidRPr="00802BD8" w:rsidRDefault="0026328A" w:rsidP="0026328A">
      <w:pPr>
        <w:spacing w:line="360" w:lineRule="auto"/>
        <w:jc w:val="both"/>
      </w:pPr>
      <w:r w:rsidRPr="00802BD8">
        <w:t xml:space="preserve">Alkaloids are a diverse group of naturally occurring organic compounds found in various plants that are known for their significant pharmacological effects and potential to modulate cytochrome P450 </w:t>
      </w:r>
      <w:r>
        <w:t>(</w:t>
      </w:r>
      <w:r w:rsidRPr="00802BD8">
        <w:t>CYP450) enzymes</w:t>
      </w:r>
      <w:hyperlink w:anchor="f064afdb607436aea266b2f115932713_ref" w:history="1">
        <w:r>
          <w:t xml:space="preserve"> (</w:t>
        </w:r>
        <w:r w:rsidRPr="00802BD8">
          <w:t>Guengerich, 2024)</w:t>
        </w:r>
      </w:hyperlink>
      <w:r w:rsidRPr="00802BD8">
        <w:t xml:space="preserve"> . These nitrogen-containing compounds exhibit a wide range of structural variations and biological activities, making them important subjects of study for drug metabolism and interactions</w:t>
      </w:r>
      <w:hyperlink w:anchor="03fa7fdd986734fe84016786d86e7b2e_ref" w:history="1">
        <w:r>
          <w:t xml:space="preserve"> (</w:t>
        </w:r>
        <w:r w:rsidRPr="00802BD8">
          <w:t xml:space="preserve">Havrylyuk </w:t>
        </w:r>
        <w:r w:rsidR="00D4359E" w:rsidRPr="00D4359E">
          <w:rPr>
            <w:i/>
          </w:rPr>
          <w:t>et al</w:t>
        </w:r>
        <w:r w:rsidRPr="00802BD8">
          <w:t>., 2024)</w:t>
        </w:r>
      </w:hyperlink>
      <w:r w:rsidRPr="00802BD8">
        <w:t xml:space="preserve"> . Many alkaloids have been shown to inhibit or induce different CYP450 isoforms, leading to potential drug-drug or herb-drug </w:t>
      </w:r>
      <w:r w:rsidRPr="00802BD8">
        <w:lastRenderedPageBreak/>
        <w:t>interactions</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For instance, berberine, a common alkaloid found in plants, such as Berberis species, has been reported to inhibit CYP2D6 and CYP3A4, two crucial enzymes involved in drug metabolism. Similarly, </w:t>
      </w:r>
      <w:proofErr w:type="spellStart"/>
      <w:r w:rsidRPr="00802BD8">
        <w:t>piperine</w:t>
      </w:r>
      <w:proofErr w:type="spellEnd"/>
      <w:r w:rsidRPr="00802BD8">
        <w:t>, an alkaloid present in black pepper, inhibits multiple CYP450 isoforms, including CYP1A2, CYP2C9, and CYP3A4</w:t>
      </w:r>
      <w:hyperlink w:anchor="cd027bd5e3433a61842eac5a74b34aca_ref" w:history="1">
        <w:r>
          <w:t xml:space="preserve"> (</w:t>
        </w:r>
        <w:r w:rsidRPr="00802BD8">
          <w:t xml:space="preserve">Lin </w:t>
        </w:r>
        <w:r w:rsidR="00D4359E" w:rsidRPr="00D4359E">
          <w:rPr>
            <w:i/>
          </w:rPr>
          <w:t>et al</w:t>
        </w:r>
        <w:r w:rsidRPr="00802BD8">
          <w:t>., 2024)</w:t>
        </w:r>
      </w:hyperlink>
      <w:r w:rsidRPr="00802BD8">
        <w:t xml:space="preserve"> . Other notable alkaloids with CYP450 modulating properties include nicotine, which can induce CYP2E1, and caffeine, which inhibit</w:t>
      </w:r>
      <w:r>
        <w:t>s CYP1A2</w:t>
      </w:r>
      <w:hyperlink w:anchor="7a87f503ec8736418af0b066a077a340_ref" w:history="1">
        <w:r>
          <w:t xml:space="preserve"> (</w:t>
        </w:r>
        <w:r w:rsidRPr="00802BD8">
          <w:t xml:space="preserve">Wang </w:t>
        </w:r>
        <w:r w:rsidR="00D4359E" w:rsidRPr="00D4359E">
          <w:rPr>
            <w:i/>
          </w:rPr>
          <w:t>et al</w:t>
        </w:r>
        <w:r w:rsidRPr="00802BD8">
          <w:t>., 2022)</w:t>
        </w:r>
      </w:hyperlink>
      <w:r w:rsidRPr="00802BD8">
        <w:t xml:space="preserve"> . The complex interactions between alkaloids and CYP450 enzymes highlight the importance of understanding these relationships in the context of drug development, herbal medicine, and potential therapeutic applications</w:t>
      </w:r>
      <w:hyperlink w:anchor="c883aa6ace1437518630d181c5b96553_ref" w:history="1">
        <w:r>
          <w:t xml:space="preserve"> (</w:t>
        </w:r>
        <w:r w:rsidRPr="00802BD8">
          <w:t>Durairaj &amp; Liu, 2025)</w:t>
        </w:r>
      </w:hyperlink>
      <w:r w:rsidRPr="00802BD8">
        <w:t xml:space="preserve"> . Researchers continue to investigate the mechanisms by which alkaloids influence CYP450 activity, aiming to harness their potential benefits</w:t>
      </w:r>
      <w:r>
        <w:t>, while mitigating the risks associated with drug interactions and metabolism</w:t>
      </w:r>
      <w:hyperlink w:anchor="a2f79e2616ac3e1b90c14176ea04d5aa_ref" w:history="1">
        <w:r>
          <w:t xml:space="preserve"> (</w:t>
        </w:r>
        <w:r w:rsidRPr="00802BD8">
          <w:t xml:space="preserve">Rai </w:t>
        </w:r>
        <w:r w:rsidR="00D4359E" w:rsidRPr="00D4359E">
          <w:rPr>
            <w:i/>
          </w:rPr>
          <w:t>et al</w:t>
        </w:r>
        <w:r w:rsidRPr="00802BD8">
          <w:t>., 2023)</w:t>
        </w:r>
      </w:hyperlink>
      <w:r w:rsidRPr="00802BD8">
        <w:t xml:space="preserve"> .</w:t>
      </w:r>
    </w:p>
    <w:p w14:paraId="3587693B" w14:textId="77777777" w:rsidR="0026328A" w:rsidRPr="00802BD8" w:rsidRDefault="0026328A" w:rsidP="0026328A">
      <w:pPr>
        <w:spacing w:line="360" w:lineRule="auto"/>
        <w:jc w:val="both"/>
      </w:pPr>
    </w:p>
    <w:p w14:paraId="26DCD839" w14:textId="77777777" w:rsidR="0026328A" w:rsidRPr="00ED613A" w:rsidRDefault="0026328A" w:rsidP="0026328A">
      <w:pPr>
        <w:spacing w:line="360" w:lineRule="auto"/>
        <w:jc w:val="both"/>
        <w:rPr>
          <w:b/>
          <w:bCs/>
        </w:rPr>
      </w:pPr>
      <w:r w:rsidRPr="00ED613A">
        <w:rPr>
          <w:b/>
          <w:bCs/>
        </w:rPr>
        <w:t>Terpenes</w:t>
      </w:r>
    </w:p>
    <w:p w14:paraId="015FC9BE" w14:textId="4EF650D2" w:rsidR="0026328A" w:rsidRPr="00802BD8" w:rsidRDefault="0026328A" w:rsidP="0026328A">
      <w:pPr>
        <w:spacing w:line="360" w:lineRule="auto"/>
        <w:jc w:val="both"/>
      </w:pPr>
      <w:r w:rsidRPr="00802BD8">
        <w:t>Terpenes are a diverse class of organic compounds found abundantly in plants, particularly essential oils</w:t>
      </w:r>
      <w:hyperlink w:anchor="bb9ee4e289e73b7498170bbdb6697273_ref" w:history="1">
        <w:r>
          <w:t xml:space="preserve"> (</w:t>
        </w:r>
        <w:r w:rsidRPr="00802BD8">
          <w:t>Ogu &amp; Maxa, 2000)</w:t>
        </w:r>
      </w:hyperlink>
      <w:r w:rsidRPr="00802BD8">
        <w:t xml:space="preserve"> . These phytochemicals are known to modulate the activity of cytochrome P450 </w:t>
      </w:r>
      <w:r>
        <w:t>(</w:t>
      </w:r>
      <w:r w:rsidRPr="00802BD8">
        <w:t>CYP450) enzymes, which play crucial role</w:t>
      </w:r>
      <w:r>
        <w:t>s in drug metabolism and detoxification processes in the human body</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Terpenes can interact with CYP450 enzymes in various ways, including inhibition, induction, or alteration of enzyme expression</w:t>
      </w:r>
      <w:hyperlink w:anchor="16c473047bcc309f9b874fc5d1aa87f1_ref" w:history="1">
        <w:r>
          <w:t xml:space="preserve"> (</w:t>
        </w:r>
        <w:proofErr w:type="spellStart"/>
        <w:r w:rsidRPr="00802BD8">
          <w:t>Ndao</w:t>
        </w:r>
        <w:proofErr w:type="spellEnd"/>
        <w:r w:rsidRPr="00802BD8">
          <w:t xml:space="preserve"> &amp; </w:t>
        </w:r>
        <w:proofErr w:type="spellStart"/>
        <w:r w:rsidRPr="00802BD8">
          <w:t>Adjallé</w:t>
        </w:r>
        <w:proofErr w:type="spellEnd"/>
        <w:r w:rsidRPr="00802BD8">
          <w:t>, 2023)</w:t>
        </w:r>
      </w:hyperlink>
      <w:r w:rsidRPr="00802BD8">
        <w:t xml:space="preserve"> . Some common terpenes that have been shown to affect CYP450 activity include limonene, pinene, and carvone</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Limonene, found in citrus fruits, inhibits CYP2C9 and CYP2C19 enzymes, potentially affecting the metabolism of certain medications</w:t>
      </w:r>
      <w:hyperlink w:anchor="89813048830235adb0137d1aa9c67cee_ref" w:history="1">
        <w:r>
          <w:t xml:space="preserve"> (</w:t>
        </w:r>
        <w:r w:rsidRPr="00802BD8">
          <w:t xml:space="preserve">Vassiliou </w:t>
        </w:r>
        <w:r w:rsidR="00D4359E" w:rsidRPr="00D4359E">
          <w:rPr>
            <w:i/>
          </w:rPr>
          <w:t>et al</w:t>
        </w:r>
        <w:r w:rsidRPr="00802BD8">
          <w:t>., 2021)</w:t>
        </w:r>
      </w:hyperlink>
      <w:r w:rsidRPr="00802BD8">
        <w:t xml:space="preserve"> . Pinene, </w:t>
      </w:r>
      <w:r>
        <w:t xml:space="preserve">which is present in pine needles and some herbs, has demonstrated inhibitory effects on CYP3A4, a major enzyme involved in drug metabolism </w:t>
      </w:r>
      <w:hyperlink w:anchor="566a7f816c8430ce992e3ae63b3b83aa_ref" w:history="1">
        <w:r>
          <w:t xml:space="preserve"> (</w:t>
        </w:r>
        <w:proofErr w:type="spellStart"/>
        <w:r w:rsidRPr="00802BD8">
          <w:t>Goldwaser</w:t>
        </w:r>
        <w:proofErr w:type="spellEnd"/>
        <w:r w:rsidRPr="00802BD8">
          <w:t xml:space="preserve"> </w:t>
        </w:r>
        <w:r w:rsidR="00D4359E" w:rsidRPr="00D4359E">
          <w:rPr>
            <w:i/>
          </w:rPr>
          <w:t>et al</w:t>
        </w:r>
        <w:r w:rsidRPr="00802BD8">
          <w:t>., 2022)</w:t>
        </w:r>
      </w:hyperlink>
      <w:r w:rsidRPr="00802BD8">
        <w:t xml:space="preserve"> . Carvone, found in caraway and spearmint, inhibit</w:t>
      </w:r>
      <w:r>
        <w:t>s CYP2C9 and CYP2C19</w:t>
      </w:r>
      <w:hyperlink w:anchor="be1a9aae3b5d330990aaa82e8397b5e3_ref" w:history="1">
        <w:r>
          <w:t xml:space="preserve"> (</w:t>
        </w:r>
        <w:r w:rsidRPr="00802BD8">
          <w:t xml:space="preserve">Rao Gajula </w:t>
        </w:r>
        <w:r w:rsidR="00D4359E" w:rsidRPr="00D4359E">
          <w:rPr>
            <w:i/>
          </w:rPr>
          <w:t>et al</w:t>
        </w:r>
        <w:r w:rsidRPr="00802BD8">
          <w:t>., 2021)</w:t>
        </w:r>
      </w:hyperlink>
      <w:r w:rsidRPr="00802BD8">
        <w:t xml:space="preserve"> . The modulation of CYP450 enzymes by terpenes can lead to herb-drug interactions, altering the efficacy and safety profiles of medications</w:t>
      </w:r>
      <w:hyperlink w:anchor="2bb01dcf8c58371192d044c796137f3f_ref" w:history="1">
        <w:r>
          <w:t xml:space="preserve"> (</w:t>
        </w:r>
        <w:r w:rsidRPr="00802BD8">
          <w:t xml:space="preserve">Ung </w:t>
        </w:r>
        <w:r w:rsidR="00D4359E" w:rsidRPr="00D4359E">
          <w:rPr>
            <w:i/>
          </w:rPr>
          <w:t>et al</w:t>
        </w:r>
        <w:r w:rsidRPr="00802BD8">
          <w:t>., 2018)</w:t>
        </w:r>
      </w:hyperlink>
      <w:r w:rsidRPr="00802BD8">
        <w:t xml:space="preserve"> </w:t>
      </w:r>
      <w:hyperlink w:anchor="1aded288014037fbb01902fbc45c106b_ref" w:history="1">
        <w:r>
          <w:t xml:space="preserve"> (</w:t>
        </w:r>
        <w:proofErr w:type="spellStart"/>
        <w:r w:rsidRPr="00802BD8">
          <w:t>Lennep</w:t>
        </w:r>
        <w:proofErr w:type="spellEnd"/>
        <w:r w:rsidRPr="00802BD8">
          <w:t xml:space="preserve"> </w:t>
        </w:r>
        <w:r w:rsidR="00D4359E" w:rsidRPr="00D4359E">
          <w:rPr>
            <w:i/>
          </w:rPr>
          <w:t>et al</w:t>
        </w:r>
        <w:r w:rsidRPr="00802BD8">
          <w:t>., 2024)</w:t>
        </w:r>
      </w:hyperlink>
      <w:r w:rsidRPr="00802BD8">
        <w:t xml:space="preserve"> . Understanding these interactions is crucial for healthcare professionals and researchers to optimize drug therapies and minimize </w:t>
      </w:r>
      <w:r>
        <w:t>their potential adverse effects. Further research is needed to elucidate the specific mechanisms of action and clinical relevance of terpene-CYP450 interactions</w:t>
      </w:r>
      <w:r w:rsidRPr="00802BD8">
        <w:t xml:space="preserve"> as well as to identify other terpenes that may significantly impact drug metabolism. To fully understand the impact of phytochemicals on </w:t>
      </w:r>
      <w:r w:rsidRPr="00802BD8">
        <w:lastRenderedPageBreak/>
        <w:t>CYP450 enzymes, it is essential to understand the mechanisms through which this modulation occurs. We now explore these mechanisms in detail</w:t>
      </w:r>
      <w:r>
        <w:t>.</w:t>
      </w:r>
    </w:p>
    <w:p w14:paraId="52CB38FE" w14:textId="77777777" w:rsidR="0026328A" w:rsidRPr="00802BD8" w:rsidRDefault="0026328A" w:rsidP="0026328A">
      <w:pPr>
        <w:spacing w:line="360" w:lineRule="auto"/>
        <w:jc w:val="both"/>
      </w:pPr>
    </w:p>
    <w:p w14:paraId="5956403D" w14:textId="77777777" w:rsidR="0026328A" w:rsidRPr="00ED613A" w:rsidRDefault="0026328A" w:rsidP="0026328A">
      <w:pPr>
        <w:spacing w:line="360" w:lineRule="auto"/>
        <w:rPr>
          <w:sz w:val="28"/>
          <w:szCs w:val="28"/>
        </w:rPr>
      </w:pPr>
      <w:r w:rsidRPr="00ED613A">
        <w:rPr>
          <w:rFonts w:eastAsia="null"/>
          <w:b/>
          <w:sz w:val="28"/>
          <w:szCs w:val="28"/>
        </w:rPr>
        <w:t>Mechanisms of CYP450 Modulation by Phytochemicals</w:t>
      </w:r>
    </w:p>
    <w:p w14:paraId="5CEB52E7" w14:textId="77777777" w:rsidR="0026328A" w:rsidRPr="00ED613A" w:rsidRDefault="0026328A" w:rsidP="0026328A">
      <w:pPr>
        <w:spacing w:line="360" w:lineRule="auto"/>
        <w:rPr>
          <w:b/>
          <w:bCs/>
        </w:rPr>
      </w:pPr>
      <w:r w:rsidRPr="00ED613A">
        <w:rPr>
          <w:b/>
          <w:bCs/>
        </w:rPr>
        <w:t>Enzyme inhibition</w:t>
      </w:r>
    </w:p>
    <w:p w14:paraId="4AD85397" w14:textId="1B210C75" w:rsidR="0026328A" w:rsidRPr="00802BD8" w:rsidRDefault="0026328A" w:rsidP="0026328A">
      <w:pPr>
        <w:spacing w:line="360" w:lineRule="auto"/>
        <w:jc w:val="both"/>
      </w:pPr>
      <w:r w:rsidRPr="00802BD8">
        <w:t xml:space="preserve">Phytochemicals, </w:t>
      </w:r>
      <w:r>
        <w:t>which are naturally occurring compounds found in plants, can modulate the activity of cytochrome P</w:t>
      </w:r>
      <w:r w:rsidRPr="00802BD8">
        <w:t xml:space="preserve">450 </w:t>
      </w:r>
      <w:r>
        <w:t>(</w:t>
      </w:r>
      <w:r w:rsidRPr="00802BD8">
        <w:t>CYP450) enzymes through various mechanisms, with enzyme inhibition being a prominent mode of action</w:t>
      </w:r>
      <w:hyperlink w:anchor="77506a53a5f53b8bbe5004be60b74f6f_ref" w:history="1">
        <w:r>
          <w:t xml:space="preserve"> (</w:t>
        </w:r>
        <w:r w:rsidRPr="00802BD8">
          <w:t xml:space="preserve">Shrivastava </w:t>
        </w:r>
        <w:r w:rsidR="00D4359E" w:rsidRPr="00D4359E">
          <w:rPr>
            <w:i/>
          </w:rPr>
          <w:t>et al</w:t>
        </w:r>
        <w:r w:rsidRPr="00802BD8">
          <w:t>., 2025)</w:t>
        </w:r>
      </w:hyperlink>
      <w:r w:rsidRPr="00802BD8">
        <w:t xml:space="preserve"> . This inhibition can occur through direct interaction with the active site</w:t>
      </w:r>
      <w:r>
        <w:t xml:space="preserve"> of the enzyme, competitive binding, or allosteric modulation</w:t>
      </w:r>
      <w:hyperlink w:anchor="e22902228de931e6a661bc4adbbdbc44_ref" w:history="1">
        <w:r>
          <w:t xml:space="preserve"> (</w:t>
        </w:r>
        <w:r w:rsidRPr="00802BD8">
          <w:t xml:space="preserve">Deodhar </w:t>
        </w:r>
        <w:r w:rsidR="00D4359E" w:rsidRPr="00D4359E">
          <w:rPr>
            <w:i/>
          </w:rPr>
          <w:t>et al</w:t>
        </w:r>
        <w:r w:rsidRPr="00802BD8">
          <w:t>., 2021)</w:t>
        </w:r>
      </w:hyperlink>
      <w:r w:rsidRPr="00802BD8">
        <w:t xml:space="preserve"> </w:t>
      </w:r>
      <w:hyperlink w:anchor="575b26234fea3d5e81feab9ad5ee25fa_ref" w:history="1">
        <w:r>
          <w:t xml:space="preserve"> (</w:t>
        </w:r>
        <w:r w:rsidRPr="00802BD8">
          <w:t xml:space="preserve">Zhang </w:t>
        </w:r>
        <w:r w:rsidR="00D4359E" w:rsidRPr="00D4359E">
          <w:rPr>
            <w:i/>
          </w:rPr>
          <w:t>et al</w:t>
        </w:r>
        <w:r w:rsidRPr="00802BD8">
          <w:t>., 2024)</w:t>
        </w:r>
      </w:hyperlink>
      <w:r w:rsidRPr="00802BD8">
        <w:t xml:space="preserve"> . Competitive inhibition involves phytochemicals competing with the substrate for the enzyme's active site, </w:t>
      </w:r>
      <w:r>
        <w:t>thereby reducing the rate of substrate metabolism</w:t>
      </w:r>
      <w:hyperlink w:anchor="9d2a4c00c75d30c5a62434e6e0c805ef_ref" w:history="1">
        <w:r>
          <w:t xml:space="preserve"> (</w:t>
        </w:r>
        <w:r w:rsidRPr="00802BD8">
          <w:t xml:space="preserve">Liu </w:t>
        </w:r>
        <w:r w:rsidR="00D4359E" w:rsidRPr="00D4359E">
          <w:rPr>
            <w:i/>
          </w:rPr>
          <w:t>et al</w:t>
        </w:r>
        <w:r w:rsidRPr="00802BD8">
          <w:t>., 2017)</w:t>
        </w:r>
      </w:hyperlink>
      <w:r w:rsidRPr="00802BD8">
        <w:t xml:space="preserve"> </w:t>
      </w:r>
      <w:hyperlink w:anchor="01464ea7694635d8be8fdbfb13cb7cf7_ref" w:history="1">
        <w:r>
          <w:t xml:space="preserve"> (</w:t>
        </w:r>
        <w:proofErr w:type="spellStart"/>
        <w:r w:rsidRPr="00802BD8">
          <w:t>Bulvas</w:t>
        </w:r>
        <w:proofErr w:type="spellEnd"/>
        <w:r w:rsidRPr="00802BD8">
          <w:t xml:space="preserve"> </w:t>
        </w:r>
        <w:r w:rsidR="00D4359E" w:rsidRPr="00D4359E">
          <w:rPr>
            <w:i/>
          </w:rPr>
          <w:t>et al</w:t>
        </w:r>
        <w:r w:rsidRPr="00802BD8">
          <w:t>., 2024)</w:t>
        </w:r>
      </w:hyperlink>
      <w:r w:rsidRPr="00802BD8">
        <w:t xml:space="preserve"> . Non</w:t>
      </w:r>
      <w:r>
        <w:t xml:space="preserve">-competitive inhibition occurs when phytochemicals bind to a site distinct from the active site, altering the </w:t>
      </w:r>
      <w:r w:rsidRPr="00802BD8">
        <w:t xml:space="preserve">conformation </w:t>
      </w:r>
      <w:r>
        <w:t>of the enzyme and reducing its catalytic efficiency</w:t>
      </w:r>
      <w:hyperlink w:anchor="3744632d43233b7ebcf333b4f62ef733_ref" w:history="1">
        <w:r>
          <w:t xml:space="preserve"> (</w:t>
        </w:r>
        <w:r w:rsidRPr="00802BD8">
          <w:t xml:space="preserve">Wei </w:t>
        </w:r>
        <w:r w:rsidR="00D4359E" w:rsidRPr="00D4359E">
          <w:rPr>
            <w:i/>
          </w:rPr>
          <w:t>et al</w:t>
        </w:r>
        <w:r w:rsidRPr="00802BD8">
          <w:t>., 2024)</w:t>
        </w:r>
      </w:hyperlink>
      <w:r w:rsidRPr="00802BD8">
        <w:t xml:space="preserve"> . Some phytochemicals may act as mechanism-based inhibitors, forming covalent bonds with enzyme</w:t>
      </w:r>
      <w:r>
        <w:t>s and causing irreversible inactivation</w:t>
      </w:r>
      <w:hyperlink w:anchor="f05b89436b833a4fb85dfbf703b183fb_ref" w:history="1">
        <w:r>
          <w:t xml:space="preserve"> (</w:t>
        </w:r>
        <w:r w:rsidRPr="00802BD8">
          <w:t>Manikandan &amp; Nagini, 2018)</w:t>
        </w:r>
      </w:hyperlink>
      <w:r w:rsidRPr="00802BD8">
        <w:t xml:space="preserve"> . Certain compounds can also induce the production of reactive metabolites that bind to and inactivate </w:t>
      </w:r>
      <w:r>
        <w:t xml:space="preserve">the CYP450 enzymes. The potency and specificity of inhibition can vary among </w:t>
      </w:r>
      <w:r w:rsidRPr="00802BD8">
        <w:t>phytochemicals and CYP450 isoforms</w:t>
      </w:r>
      <w:hyperlink w:anchor="fdc77c9691623b598c0f7e89a527b999_ref" w:history="1">
        <w:r>
          <w:t xml:space="preserve"> (</w:t>
        </w:r>
        <w:r w:rsidRPr="00802BD8">
          <w:t xml:space="preserve">Kamel </w:t>
        </w:r>
        <w:r w:rsidR="00D4359E" w:rsidRPr="00D4359E">
          <w:rPr>
            <w:i/>
          </w:rPr>
          <w:t>et al</w:t>
        </w:r>
        <w:r w:rsidRPr="00802BD8">
          <w:t>., 2024)</w:t>
        </w:r>
      </w:hyperlink>
      <w:r w:rsidRPr="00802BD8">
        <w:t xml:space="preserve"> . Factors such as chemical structure, concentration, and metabolism of phytochemical</w:t>
      </w:r>
      <w:r>
        <w:t xml:space="preserve">s influence </w:t>
      </w:r>
      <w:r w:rsidRPr="00802BD8">
        <w:t>their inhibitory effects. Additionally, some phytochemicals may exhibit time-dependent inhibition and their inhibitory potency increases with prolonged exposure</w:t>
      </w:r>
      <w:hyperlink w:anchor="9313c01bafb3327a94299c5607c06133_ref" w:history="1">
        <w:r>
          <w:t xml:space="preserve"> (</w:t>
        </w:r>
        <w:proofErr w:type="spellStart"/>
        <w:r w:rsidRPr="00802BD8">
          <w:t>Hakkola</w:t>
        </w:r>
        <w:proofErr w:type="spellEnd"/>
        <w:r w:rsidRPr="00802BD8">
          <w:t xml:space="preserve"> </w:t>
        </w:r>
        <w:r w:rsidR="00D4359E" w:rsidRPr="00D4359E">
          <w:rPr>
            <w:i/>
          </w:rPr>
          <w:t>et al</w:t>
        </w:r>
        <w:r w:rsidRPr="00802BD8">
          <w:t>., 2020)</w:t>
        </w:r>
      </w:hyperlink>
      <w:r w:rsidRPr="00802BD8">
        <w:t xml:space="preserve"> . Understanding these mechanisms is crucial for predicting potential herb-drug interactions and developing novel therapeutic strategies. Modulation of CYP450 enzymes by phytochemicals can have significant implications for drug metabolism, potentially altering the efficacy and safety profiles of co-administered medications</w:t>
      </w:r>
      <w:hyperlink w:anchor="300e598bf15d380381835a3f01557555_ref" w:history="1">
        <w:r>
          <w:t xml:space="preserve"> (</w:t>
        </w:r>
        <w:r w:rsidRPr="00802BD8">
          <w:t xml:space="preserve">Pathak </w:t>
        </w:r>
        <w:r w:rsidR="00D4359E" w:rsidRPr="00D4359E">
          <w:rPr>
            <w:i/>
          </w:rPr>
          <w:t>et al</w:t>
        </w:r>
        <w:r w:rsidRPr="00802BD8">
          <w:t>., 2024)</w:t>
        </w:r>
      </w:hyperlink>
      <w:r w:rsidRPr="00802BD8">
        <w:t xml:space="preserve"> .</w:t>
      </w:r>
    </w:p>
    <w:p w14:paraId="680BA25E" w14:textId="77777777" w:rsidR="0026328A" w:rsidRPr="00802BD8" w:rsidRDefault="0026328A" w:rsidP="0026328A">
      <w:pPr>
        <w:spacing w:line="360" w:lineRule="auto"/>
        <w:jc w:val="both"/>
      </w:pPr>
    </w:p>
    <w:p w14:paraId="2160DA2D" w14:textId="77777777" w:rsidR="0026328A" w:rsidRPr="00ED613A" w:rsidRDefault="0026328A" w:rsidP="0026328A">
      <w:pPr>
        <w:spacing w:line="360" w:lineRule="auto"/>
        <w:jc w:val="both"/>
        <w:rPr>
          <w:b/>
          <w:bCs/>
        </w:rPr>
      </w:pPr>
      <w:r w:rsidRPr="00ED613A">
        <w:rPr>
          <w:b/>
          <w:bCs/>
        </w:rPr>
        <w:t>Enzyme induction</w:t>
      </w:r>
    </w:p>
    <w:p w14:paraId="1B9EA4A6" w14:textId="7E073ACB" w:rsidR="0026328A" w:rsidRPr="00802BD8" w:rsidRDefault="0026328A" w:rsidP="0026328A">
      <w:pPr>
        <w:spacing w:line="360" w:lineRule="auto"/>
        <w:jc w:val="both"/>
      </w:pPr>
      <w:r w:rsidRPr="00802BD8">
        <w:t xml:space="preserve">Phytochemicals, </w:t>
      </w:r>
      <w:r>
        <w:t>which are naturally occurring compounds found in plants, can significantly modulate the activity of cytochrome P</w:t>
      </w:r>
      <w:r w:rsidRPr="00802BD8">
        <w:t>450</w:t>
      </w:r>
      <w:r>
        <w:t xml:space="preserve"> (</w:t>
      </w:r>
      <w:r w:rsidRPr="00802BD8">
        <w:t>CYP450) enzymes through various mechanisms, including enzyme induction</w:t>
      </w:r>
      <w:r>
        <w:t xml:space="preserve"> (</w:t>
      </w:r>
      <w:r w:rsidRPr="00802BD8">
        <w:t>an increase in enzyme activity and/or number)</w:t>
      </w:r>
      <w:hyperlink w:anchor="aa5bd19c58f13649859c352c7d1d5627_ref" w:history="1">
        <w:r>
          <w:t xml:space="preserve"> (</w:t>
        </w:r>
        <w:r w:rsidRPr="00802BD8">
          <w:t xml:space="preserve">Hossam </w:t>
        </w:r>
        <w:proofErr w:type="spellStart"/>
        <w:r w:rsidRPr="00802BD8">
          <w:t>Abdelmonem</w:t>
        </w:r>
        <w:proofErr w:type="spellEnd"/>
        <w:r w:rsidRPr="00802BD8">
          <w:t xml:space="preserve"> </w:t>
        </w:r>
        <w:r w:rsidR="00D4359E" w:rsidRPr="00D4359E">
          <w:rPr>
            <w:i/>
          </w:rPr>
          <w:t>et al</w:t>
        </w:r>
        <w:r w:rsidRPr="00802BD8">
          <w:t>., 2024)</w:t>
        </w:r>
      </w:hyperlink>
      <w:r w:rsidRPr="00802BD8">
        <w:t xml:space="preserve"> . Enzyme induction is a process by which the expression and activity </w:t>
      </w:r>
      <w:r w:rsidRPr="00802BD8">
        <w:lastRenderedPageBreak/>
        <w:t xml:space="preserve">of CYP450 enzymes are increased, leading to </w:t>
      </w:r>
      <w:r>
        <w:t>the enhanced metabolism of drugs and other xenobiotics. This modulation occurs primarily through the activation of nuclear receptors</w:t>
      </w:r>
      <w:r w:rsidRPr="00802BD8">
        <w:t xml:space="preserve"> such as the </w:t>
      </w:r>
      <w:proofErr w:type="spellStart"/>
      <w:r w:rsidRPr="00802BD8">
        <w:t>pregnane</w:t>
      </w:r>
      <w:proofErr w:type="spellEnd"/>
      <w:r w:rsidRPr="00802BD8">
        <w:t xml:space="preserve"> X receptor</w:t>
      </w:r>
      <w:r>
        <w:t xml:space="preserve"> (</w:t>
      </w:r>
      <w:r w:rsidRPr="00802BD8">
        <w:t>PXR), constitutive androstane receptor</w:t>
      </w:r>
      <w:r>
        <w:t xml:space="preserve"> (</w:t>
      </w:r>
      <w:r w:rsidRPr="00802BD8">
        <w:t>CAR), and aryl hydrocarbon receptor</w:t>
      </w:r>
      <w:r>
        <w:t xml:space="preserve"> (</w:t>
      </w:r>
      <w:proofErr w:type="spellStart"/>
      <w:r w:rsidRPr="00802BD8">
        <w:t>AhR</w:t>
      </w:r>
      <w:proofErr w:type="spellEnd"/>
      <w:r w:rsidRPr="00802BD8">
        <w:t>)</w:t>
      </w:r>
      <w:hyperlink w:anchor="8ebfcab2d93f3873bc48af96e9989e64_ref" w:history="1">
        <w:r>
          <w:t xml:space="preserve"> (</w:t>
        </w:r>
        <w:proofErr w:type="spellStart"/>
        <w:r w:rsidRPr="00802BD8">
          <w:t>Dusek</w:t>
        </w:r>
        <w:proofErr w:type="spellEnd"/>
        <w:r w:rsidRPr="00802BD8">
          <w:t xml:space="preserve"> </w:t>
        </w:r>
        <w:r w:rsidR="00D4359E" w:rsidRPr="00D4359E">
          <w:rPr>
            <w:i/>
          </w:rPr>
          <w:t>et al</w:t>
        </w:r>
        <w:r w:rsidRPr="00802BD8">
          <w:t>., 2025)</w:t>
        </w:r>
      </w:hyperlink>
      <w:r w:rsidRPr="00802BD8">
        <w:t xml:space="preserve"> . When activated by phytochemicals, </w:t>
      </w:r>
      <w:r>
        <w:t xml:space="preserve">these receptors translocate to the nucleus and bind to specific DNA response elements, thereby promoting the transcription of CYP450 genes. </w:t>
      </w:r>
      <w:r w:rsidRPr="00802BD8">
        <w:t>This results in increased enzyme production and enhanced metabolic capacity</w:t>
      </w:r>
      <w:hyperlink w:anchor="6919228d2db63abebb237e820224bc8f_ref" w:history="1">
        <w:r>
          <w:t xml:space="preserve"> (</w:t>
        </w:r>
        <w:r w:rsidRPr="00802BD8">
          <w:t xml:space="preserve">Sayaf </w:t>
        </w:r>
        <w:r w:rsidR="00D4359E" w:rsidRPr="00D4359E">
          <w:rPr>
            <w:i/>
          </w:rPr>
          <w:t>et al</w:t>
        </w:r>
        <w:r w:rsidRPr="00802BD8">
          <w:t>., 2021)</w:t>
        </w:r>
      </w:hyperlink>
      <w:r w:rsidRPr="00802BD8">
        <w:t xml:space="preserve"> . Common phytochemicals known to induce CYP450 enzymes include hyperforin from St. John's Wort, which potently activates PXR, leading to </w:t>
      </w:r>
      <w:r>
        <w:t>the increased expression of CYP3A4</w:t>
      </w:r>
      <w:hyperlink w:anchor="b5931fcecbd33532bc2c326cb43f8c34_ref" w:history="1">
        <w:r>
          <w:t xml:space="preserve"> (</w:t>
        </w:r>
        <w:r w:rsidRPr="00802BD8">
          <w:t xml:space="preserve">Yu </w:t>
        </w:r>
        <w:r w:rsidR="00D4359E" w:rsidRPr="00D4359E">
          <w:rPr>
            <w:i/>
          </w:rPr>
          <w:t>et al</w:t>
        </w:r>
        <w:r w:rsidRPr="00802BD8">
          <w:t>., 2021)</w:t>
        </w:r>
      </w:hyperlink>
      <w:r w:rsidRPr="00802BD8">
        <w:t xml:space="preserve"> . Similarly, compounds such as indole-3-carbinol</w:t>
      </w:r>
      <w:r>
        <w:t xml:space="preserve">, found in cruciferous vegetables, can activate </w:t>
      </w:r>
      <w:proofErr w:type="spellStart"/>
      <w:r>
        <w:t>AhR</w:t>
      </w:r>
      <w:proofErr w:type="spellEnd"/>
      <w:r w:rsidRPr="00802BD8">
        <w:t xml:space="preserve"> and induce </w:t>
      </w:r>
      <w:r>
        <w:t>CYP1A1 and CYP1A2</w:t>
      </w:r>
      <w:hyperlink w:anchor="5eac7a462ec238cfb0eb18312b765c9e_ref" w:history="1">
        <w:r>
          <w:t xml:space="preserve"> (</w:t>
        </w:r>
        <w:r w:rsidRPr="00802BD8">
          <w:t xml:space="preserve">Tang </w:t>
        </w:r>
        <w:r w:rsidR="00D4359E" w:rsidRPr="00D4359E">
          <w:rPr>
            <w:i/>
          </w:rPr>
          <w:t>et al</w:t>
        </w:r>
        <w:r w:rsidRPr="00802BD8">
          <w:t>., 2018)</w:t>
        </w:r>
      </w:hyperlink>
      <w:r w:rsidRPr="00802BD8">
        <w:t xml:space="preserve"> . The induction of CYP450 enzymes by phytochemicals can have significant implications for drug metabolism, potentially leading to </w:t>
      </w:r>
      <w:r>
        <w:t>the reduced efficacy of medications or altered toxicity profiles</w:t>
      </w:r>
      <w:hyperlink w:anchor="e4f292247e78366c8d184c226a693673_ref" w:history="1">
        <w:r>
          <w:t xml:space="preserve"> (</w:t>
        </w:r>
        <w:r w:rsidRPr="00802BD8">
          <w:t xml:space="preserve">Gao </w:t>
        </w:r>
        <w:r w:rsidR="00D4359E" w:rsidRPr="00D4359E">
          <w:rPr>
            <w:i/>
          </w:rPr>
          <w:t>et al</w:t>
        </w:r>
        <w:r w:rsidRPr="00802BD8">
          <w:t>., 2024)</w:t>
        </w:r>
      </w:hyperlink>
      <w:r w:rsidRPr="00802BD8">
        <w:t xml:space="preserve"> . This interaction highlights the importance of considering dietary factors and herbal supplements in drug therapy and underscores the need for </w:t>
      </w:r>
      <w:r>
        <w:t>a comprehensive understanding of phytochemical-drug interactions in clinical practice</w:t>
      </w:r>
      <w:hyperlink w:anchor="f1375a788d7a3c69a91e30edf5a5875d_ref" w:history="1">
        <w:r>
          <w:t xml:space="preserve"> (</w:t>
        </w:r>
        <w:proofErr w:type="spellStart"/>
        <w:r w:rsidRPr="00802BD8">
          <w:t>Brodzicka</w:t>
        </w:r>
        <w:proofErr w:type="spellEnd"/>
        <w:r w:rsidRPr="00802BD8">
          <w:t xml:space="preserve"> </w:t>
        </w:r>
        <w:r w:rsidR="00D4359E" w:rsidRPr="00D4359E">
          <w:rPr>
            <w:i/>
          </w:rPr>
          <w:t>et al</w:t>
        </w:r>
        <w:r w:rsidRPr="00802BD8">
          <w:t>., 2024)</w:t>
        </w:r>
      </w:hyperlink>
      <w:r w:rsidRPr="00802BD8">
        <w:t xml:space="preserve"> . The extent of enzyme induction can vary depending on the specific phytochemical, its concentration, and duration of exposure. Some phytochemicals may exhibit dose-dependent effects, with higher concentrations leading to </w:t>
      </w:r>
      <w:r>
        <w:t>a more pronounced induction</w:t>
      </w:r>
      <w:hyperlink w:anchor="0c85a4cfa938397ab1211a3ea0388d0f_ref" w:history="1">
        <w:r>
          <w:t xml:space="preserve"> (</w:t>
        </w:r>
        <w:r w:rsidRPr="00802BD8">
          <w:t xml:space="preserve">Kim </w:t>
        </w:r>
        <w:r w:rsidR="00D4359E" w:rsidRPr="00D4359E">
          <w:rPr>
            <w:i/>
          </w:rPr>
          <w:t>et al</w:t>
        </w:r>
        <w:r w:rsidRPr="00802BD8">
          <w:t>., 2024)</w:t>
        </w:r>
      </w:hyperlink>
      <w:r w:rsidRPr="00802BD8">
        <w:t xml:space="preserve"> . Additionally, the induction of CYP450 enzymes by phytochemicals can be tissue-specific, with different organs exhibiting varying degrees of enzyme upregulation. This complexity further emphasizes the need for </w:t>
      </w:r>
      <w:r>
        <w:t>a thorough investigation of phytochemical-mediated CYP450 modulation to ensure safe and effective drug therap</w:t>
      </w:r>
      <w:r w:rsidRPr="00802BD8">
        <w:t>ies.</w:t>
      </w:r>
      <w:hyperlink w:anchor="1e27ee46318836daa7ba7b8b8e602e97_ref" w:history="1">
        <w:r>
          <w:t xml:space="preserve"> (</w:t>
        </w:r>
        <w:r w:rsidRPr="00802BD8">
          <w:t xml:space="preserve">Stoddard </w:t>
        </w:r>
        <w:r w:rsidR="00D4359E" w:rsidRPr="00D4359E">
          <w:rPr>
            <w:i/>
          </w:rPr>
          <w:t>et al</w:t>
        </w:r>
        <w:r w:rsidRPr="00802BD8">
          <w:t>., 2021)</w:t>
        </w:r>
      </w:hyperlink>
      <w:r w:rsidRPr="00802BD8">
        <w:t xml:space="preserve"> </w:t>
      </w:r>
    </w:p>
    <w:p w14:paraId="301F45E7" w14:textId="77777777" w:rsidR="0026328A" w:rsidRPr="00802BD8" w:rsidRDefault="0026328A" w:rsidP="0026328A">
      <w:pPr>
        <w:spacing w:line="360" w:lineRule="auto"/>
        <w:jc w:val="both"/>
      </w:pPr>
    </w:p>
    <w:p w14:paraId="3AC98157" w14:textId="77777777" w:rsidR="0026328A" w:rsidRPr="00802BD8" w:rsidRDefault="0026328A" w:rsidP="0026328A">
      <w:pPr>
        <w:spacing w:line="360" w:lineRule="auto"/>
      </w:pPr>
      <w:r w:rsidRPr="00802BD8">
        <w:rPr>
          <w:b/>
        </w:rPr>
        <w:t>Alteration of gene expression</w:t>
      </w:r>
    </w:p>
    <w:p w14:paraId="5F73B8F3" w14:textId="728442ED" w:rsidR="0026328A" w:rsidRPr="00802BD8" w:rsidRDefault="0026328A" w:rsidP="0026328A">
      <w:pPr>
        <w:spacing w:line="360" w:lineRule="auto"/>
        <w:jc w:val="both"/>
      </w:pPr>
      <w:r w:rsidRPr="00802BD8">
        <w:t>Phytochemicals can modulate CYP450 enzymes through various mechanisms including alteration</w:t>
      </w:r>
      <w:r>
        <w:t xml:space="preserve">s </w:t>
      </w:r>
      <w:r w:rsidRPr="00802BD8">
        <w:t>in gene expression. This process involves the regulation of transcription factors that control CYP450 expression</w:t>
      </w:r>
      <w:hyperlink w:anchor="c7e0d446de07318eac00a35beffa83fa_ref" w:history="1">
        <w:r>
          <w:t xml:space="preserve"> (</w:t>
        </w:r>
        <w:r w:rsidRPr="00802BD8">
          <w:t xml:space="preserve">Niu </w:t>
        </w:r>
        <w:r w:rsidR="00D4359E" w:rsidRPr="00D4359E">
          <w:rPr>
            <w:i/>
          </w:rPr>
          <w:t>et al</w:t>
        </w:r>
        <w:r w:rsidRPr="00802BD8">
          <w:t>., 2022)</w:t>
        </w:r>
      </w:hyperlink>
      <w:r w:rsidRPr="00802BD8">
        <w:t xml:space="preserve"> . Key transcription factors include the aryl hydrocarbon </w:t>
      </w:r>
      <w:proofErr w:type="gramStart"/>
      <w:r w:rsidRPr="00802BD8">
        <w:t xml:space="preserve">receptor </w:t>
      </w:r>
      <w:r>
        <w:t xml:space="preserve"> (</w:t>
      </w:r>
      <w:proofErr w:type="spellStart"/>
      <w:proofErr w:type="gramEnd"/>
      <w:r w:rsidRPr="00802BD8">
        <w:t>AhR</w:t>
      </w:r>
      <w:proofErr w:type="spellEnd"/>
      <w:r w:rsidRPr="00802BD8">
        <w:t xml:space="preserve">), </w:t>
      </w:r>
      <w:proofErr w:type="spellStart"/>
      <w:r w:rsidRPr="00802BD8">
        <w:t>pregnane</w:t>
      </w:r>
      <w:proofErr w:type="spellEnd"/>
      <w:r w:rsidRPr="00802BD8">
        <w:t xml:space="preserve"> X receptor </w:t>
      </w:r>
      <w:r>
        <w:t xml:space="preserve"> (</w:t>
      </w:r>
      <w:r w:rsidRPr="00802BD8">
        <w:t xml:space="preserve">PXR), and constitutive androstane receptor </w:t>
      </w:r>
      <w:r>
        <w:t xml:space="preserve"> (</w:t>
      </w:r>
      <w:r w:rsidRPr="00802BD8">
        <w:t>CAR)</w:t>
      </w:r>
      <w:hyperlink w:anchor="b5931fcecbd33532bc2c326cb43f8c34_ref" w:history="1">
        <w:r>
          <w:t xml:space="preserve"> (</w:t>
        </w:r>
        <w:r w:rsidRPr="00802BD8">
          <w:t xml:space="preserve">Yu </w:t>
        </w:r>
        <w:r w:rsidR="00D4359E" w:rsidRPr="00D4359E">
          <w:rPr>
            <w:i/>
          </w:rPr>
          <w:t>et al</w:t>
        </w:r>
        <w:r w:rsidRPr="00802BD8">
          <w:t>., 2021)</w:t>
        </w:r>
      </w:hyperlink>
      <w:r w:rsidRPr="00802BD8">
        <w:t xml:space="preserve"> . Phytochemicals act as ligands for these receptors, leading to their activation or inhibition. Upon activation, these transcription factors translocate to the nucleus and bind to specific response elements in the promoter regions of CYP450 genes, </w:t>
      </w:r>
      <w:r>
        <w:t xml:space="preserve">thereby influencing </w:t>
      </w:r>
      <w:r>
        <w:lastRenderedPageBreak/>
        <w:t>their expression</w:t>
      </w:r>
      <w:hyperlink w:anchor="8ebfcab2d93f3873bc48af96e9989e64_ref" w:history="1">
        <w:r>
          <w:t xml:space="preserve"> (</w:t>
        </w:r>
        <w:r w:rsidRPr="00802BD8">
          <w:t xml:space="preserve">Dusek </w:t>
        </w:r>
        <w:r w:rsidR="00D4359E" w:rsidRPr="00D4359E">
          <w:rPr>
            <w:i/>
          </w:rPr>
          <w:t>et al</w:t>
        </w:r>
        <w:r w:rsidRPr="00802BD8">
          <w:t>., 2025)</w:t>
        </w:r>
      </w:hyperlink>
      <w:r w:rsidRPr="00802BD8">
        <w:t xml:space="preserve"> . For instance, some flavonoids have been shown to activate </w:t>
      </w:r>
      <w:proofErr w:type="spellStart"/>
      <w:r w:rsidRPr="00802BD8">
        <w:t>AhR</w:t>
      </w:r>
      <w:proofErr w:type="spellEnd"/>
      <w:r w:rsidRPr="00802BD8">
        <w:t xml:space="preserve">, leading to </w:t>
      </w:r>
      <w:r>
        <w:t>the increased expression of CYP1A1 and CYP1A2. Conversely, certain phytochemicals can inhibit these transcription factors, resulting in decreased CYP450 expression</w:t>
      </w:r>
      <w:hyperlink w:anchor="06901c37a86632c7a63ed6e9c1b96d31_ref" w:history="1">
        <w:r>
          <w:t xml:space="preserve"> (</w:t>
        </w:r>
        <w:r w:rsidRPr="00802BD8">
          <w:t xml:space="preserve">Ye </w:t>
        </w:r>
        <w:r w:rsidR="00D4359E" w:rsidRPr="00D4359E">
          <w:rPr>
            <w:i/>
          </w:rPr>
          <w:t>et al</w:t>
        </w:r>
        <w:r w:rsidRPr="00802BD8">
          <w:t>., 2019)</w:t>
        </w:r>
      </w:hyperlink>
      <w:r w:rsidRPr="00802BD8">
        <w:t xml:space="preserve"> . Additionally, phytochemicals can affect gene expression through epigenetic mechanisms such as DNA methylation and histone modifications. These epigenetic changes can alter the accessibility of CYP450 gene promoters to transcription factors, thereby modulating their expression</w:t>
      </w:r>
      <w:hyperlink w:anchor="86b2fa30a3ad30f18f07c7c942add205_ref" w:history="1">
        <w:r>
          <w:t xml:space="preserve"> (</w:t>
        </w:r>
        <w:r w:rsidRPr="00802BD8">
          <w:t xml:space="preserve">Sindhu </w:t>
        </w:r>
        <w:r w:rsidR="00D4359E" w:rsidRPr="00D4359E">
          <w:rPr>
            <w:i/>
          </w:rPr>
          <w:t>et al</w:t>
        </w:r>
        <w:r w:rsidRPr="00802BD8">
          <w:t>., 2024)</w:t>
        </w:r>
      </w:hyperlink>
      <w:r w:rsidRPr="00802BD8">
        <w:t xml:space="preserve"> . Furthermore, phytochemicals can influence post-transcriptional processes including mRNA stability and translation efficiency, which can affect the overall levels of CYP450 enzymes</w:t>
      </w:r>
      <w:hyperlink w:anchor="79b68b08eb8433d39d46651ad481d827_ref" w:history="1">
        <w:r>
          <w:t xml:space="preserve"> (</w:t>
        </w:r>
        <w:r w:rsidRPr="00802BD8">
          <w:t xml:space="preserve">Brooks </w:t>
        </w:r>
        <w:r w:rsidR="00D4359E" w:rsidRPr="00D4359E">
          <w:rPr>
            <w:i/>
          </w:rPr>
          <w:t>et al</w:t>
        </w:r>
        <w:r w:rsidRPr="00802BD8">
          <w:t>., 2023)</w:t>
        </w:r>
      </w:hyperlink>
      <w:r w:rsidRPr="00802BD8">
        <w:t xml:space="preserve"> . The complex interplay between phytochemicals and gene expression mechanisms highlights the importance of understanding these interactions to predict potential drug-herb interactions and develop novel therapeutic strategies</w:t>
      </w:r>
      <w:hyperlink w:anchor="4d4c195fbe32399e8ca3a5ef9d45f61e_ref" w:history="1">
        <w:r>
          <w:t xml:space="preserve"> (</w:t>
        </w:r>
        <w:r w:rsidRPr="00802BD8">
          <w:t xml:space="preserve">Zuo </w:t>
        </w:r>
        <w:r w:rsidR="00D4359E" w:rsidRPr="00D4359E">
          <w:rPr>
            <w:i/>
          </w:rPr>
          <w:t>et al</w:t>
        </w:r>
        <w:r w:rsidRPr="00802BD8">
          <w:t>., 2022)</w:t>
        </w:r>
      </w:hyperlink>
      <w:r w:rsidRPr="00802BD8">
        <w:t xml:space="preserve"> . The described mechanisms of CYP450 modulation lay the groundwork for understanding the complex clinical implications of plant-drug interactions, ranging from altered drug efficacy to increased adverse effects</w:t>
      </w:r>
      <w:r>
        <w:t>.</w:t>
      </w:r>
    </w:p>
    <w:p w14:paraId="758B3404" w14:textId="77777777" w:rsidR="0026328A" w:rsidRPr="00802BD8" w:rsidRDefault="0026328A" w:rsidP="0026328A">
      <w:pPr>
        <w:spacing w:line="360" w:lineRule="auto"/>
        <w:jc w:val="both"/>
      </w:pPr>
    </w:p>
    <w:p w14:paraId="78577350" w14:textId="77777777" w:rsidR="0026328A" w:rsidRPr="00ED613A" w:rsidRDefault="0026328A" w:rsidP="0026328A">
      <w:pPr>
        <w:spacing w:line="360" w:lineRule="auto"/>
        <w:rPr>
          <w:sz w:val="28"/>
          <w:szCs w:val="28"/>
        </w:rPr>
      </w:pPr>
      <w:r w:rsidRPr="00ED613A">
        <w:rPr>
          <w:rFonts w:eastAsia="null"/>
          <w:b/>
          <w:sz w:val="28"/>
          <w:szCs w:val="28"/>
        </w:rPr>
        <w:t>Clinical Implications of Plant-Drug Interactions</w:t>
      </w:r>
    </w:p>
    <w:p w14:paraId="4DEFB9A0" w14:textId="77777777" w:rsidR="0026328A" w:rsidRPr="00802BD8" w:rsidRDefault="0026328A" w:rsidP="0026328A">
      <w:pPr>
        <w:spacing w:line="360" w:lineRule="auto"/>
      </w:pPr>
      <w:r w:rsidRPr="00802BD8">
        <w:rPr>
          <w:b/>
        </w:rPr>
        <w:t>Altered drug efficacy</w:t>
      </w:r>
    </w:p>
    <w:p w14:paraId="00B108D1" w14:textId="7A749C60" w:rsidR="0026328A" w:rsidRPr="00802BD8" w:rsidRDefault="0026328A" w:rsidP="0026328A">
      <w:pPr>
        <w:spacing w:line="360" w:lineRule="auto"/>
        <w:jc w:val="both"/>
      </w:pPr>
      <w:r>
        <w:t xml:space="preserve">The </w:t>
      </w:r>
      <w:r w:rsidRPr="00802BD8">
        <w:t>clinical implications of plant-drug interactions, particularly altered drug efficacy, are a significant concern in modern healthcare. These interactions can lead to unexpected changes in drug effectiveness, potentially compromising patient safety and treatment outcomes</w:t>
      </w:r>
      <w:hyperlink w:anchor="7e118498126f308482e79a7d2b8f37f1_ref" w:history="1">
        <w:r>
          <w:t xml:space="preserve"> (</w:t>
        </w:r>
        <w:r w:rsidRPr="00802BD8">
          <w:t xml:space="preserve">Poli </w:t>
        </w:r>
        <w:r w:rsidR="00D4359E" w:rsidRPr="00D4359E">
          <w:rPr>
            <w:i/>
          </w:rPr>
          <w:t>et al</w:t>
        </w:r>
        <w:r w:rsidRPr="00802BD8">
          <w:t>., 2024)</w:t>
        </w:r>
      </w:hyperlink>
      <w:r w:rsidRPr="00802BD8">
        <w:t xml:space="preserve"> . When plants or herbal supplements are consumed alongside pharmaceutical medications, they may interfere with drug absorption, metabolism, or excretion, resulting in increased or decreased drug concentrations in the body. This alteration can lead to therapeutic failure if drug levels become too low</w:t>
      </w:r>
      <w:r>
        <w:t>, or toxic if they become too high</w:t>
      </w:r>
      <w:hyperlink w:anchor="f2ad3b9d9c983080a1c6bc63dfb71831_ref" w:history="1">
        <w:r>
          <w:t xml:space="preserve"> (</w:t>
        </w:r>
        <w:r w:rsidRPr="00802BD8">
          <w:t>Meng &amp; Liu, 2015)</w:t>
        </w:r>
      </w:hyperlink>
      <w:r w:rsidRPr="00802BD8">
        <w:t xml:space="preserve"> . For instance, St. John's Wort, a popular herbal remedy for depression, is known to induce liver enzymes responsible for drug metabolism, potentially reducing the efficacy of various medications including oral contraceptives and anticoagulants</w:t>
      </w:r>
      <w:hyperlink w:anchor="09bafe4b655c39c78e9851b180d31ccf_ref" w:history="1">
        <w:r>
          <w:t xml:space="preserve"> (</w:t>
        </w:r>
        <w:proofErr w:type="spellStart"/>
        <w:r w:rsidRPr="00802BD8">
          <w:t>Nahrstedt</w:t>
        </w:r>
        <w:proofErr w:type="spellEnd"/>
        <w:r w:rsidRPr="00802BD8">
          <w:t xml:space="preserve"> &amp; </w:t>
        </w:r>
        <w:proofErr w:type="spellStart"/>
        <w:r w:rsidRPr="00802BD8">
          <w:t>Butterweck</w:t>
        </w:r>
        <w:proofErr w:type="spellEnd"/>
        <w:r w:rsidRPr="00802BD8">
          <w:t>, 2010)</w:t>
        </w:r>
      </w:hyperlink>
      <w:r w:rsidRPr="00802BD8">
        <w:t xml:space="preserve"> . Conversely, grapefruit juice can inhibit drug-metabolizing enzymes, leading to increased drug concentrations and potential toxicity of certain medications</w:t>
      </w:r>
      <w:hyperlink w:anchor="28ede57005993becb66d4f1878e0b1d3_ref" w:history="1">
        <w:r>
          <w:t xml:space="preserve"> (</w:t>
        </w:r>
        <w:r w:rsidRPr="00802BD8">
          <w:t xml:space="preserve">Nieminen </w:t>
        </w:r>
        <w:r w:rsidR="00D4359E" w:rsidRPr="00D4359E">
          <w:rPr>
            <w:i/>
          </w:rPr>
          <w:t>et al</w:t>
        </w:r>
        <w:r w:rsidRPr="00802BD8">
          <w:t>., 2010)</w:t>
        </w:r>
      </w:hyperlink>
      <w:r w:rsidRPr="00802BD8">
        <w:t xml:space="preserve"> . Healthcare providers must be vigilant in assessing patients' use of herbal products and dietary supplements to anticipate and prevent potential interactions</w:t>
      </w:r>
      <w:hyperlink w:anchor="18459d1b9d27355491b93fa00a51a8a9_ref" w:history="1">
        <w:r>
          <w:t xml:space="preserve"> (</w:t>
        </w:r>
        <w:r w:rsidRPr="00802BD8">
          <w:t>Abo-</w:t>
        </w:r>
        <w:proofErr w:type="spellStart"/>
        <w:r w:rsidRPr="00802BD8">
          <w:t>Elghiet</w:t>
        </w:r>
        <w:proofErr w:type="spellEnd"/>
        <w:r w:rsidRPr="00802BD8">
          <w:t xml:space="preserve"> </w:t>
        </w:r>
        <w:r w:rsidR="00D4359E" w:rsidRPr="00D4359E">
          <w:rPr>
            <w:i/>
          </w:rPr>
          <w:t>et al</w:t>
        </w:r>
        <w:r w:rsidRPr="00802BD8">
          <w:t>., 2025)</w:t>
        </w:r>
      </w:hyperlink>
      <w:r w:rsidRPr="00802BD8">
        <w:t xml:space="preserve"> . Patient education is crucial to ensure </w:t>
      </w:r>
      <w:r>
        <w:t xml:space="preserve">that </w:t>
      </w:r>
      <w:r>
        <w:lastRenderedPageBreak/>
        <w:t>individuals understand the risks associated with combining plant-based products and prescription medications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Comprehensive medication reviews, including both prescribed drugs and over-the-counter supplements, are essential for identifying potential interactions and adjusting treatment plans accordingly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As research in this field continues to evolve, ongoing education for healthcare professionals is necessary to stay informed about newly discovered plant-drug interactions and their clinical implications.</w:t>
      </w:r>
    </w:p>
    <w:p w14:paraId="22ABFDAA" w14:textId="77777777" w:rsidR="0026328A" w:rsidRPr="00802BD8" w:rsidRDefault="0026328A" w:rsidP="0026328A">
      <w:pPr>
        <w:spacing w:line="360" w:lineRule="auto"/>
        <w:jc w:val="both"/>
      </w:pPr>
    </w:p>
    <w:p w14:paraId="3B2F1E07" w14:textId="77777777" w:rsidR="0026328A" w:rsidRPr="00ED613A" w:rsidRDefault="0026328A" w:rsidP="0026328A">
      <w:pPr>
        <w:spacing w:line="360" w:lineRule="auto"/>
        <w:jc w:val="both"/>
        <w:rPr>
          <w:b/>
          <w:bCs/>
        </w:rPr>
      </w:pPr>
      <w:r w:rsidRPr="00ED613A">
        <w:rPr>
          <w:b/>
          <w:bCs/>
        </w:rPr>
        <w:t>Increased risk of adverse effects</w:t>
      </w:r>
    </w:p>
    <w:p w14:paraId="199FCB86" w14:textId="66715D62" w:rsidR="0026328A" w:rsidRPr="00802BD8" w:rsidRDefault="0026328A" w:rsidP="0026328A">
      <w:pPr>
        <w:spacing w:line="360" w:lineRule="auto"/>
        <w:jc w:val="both"/>
      </w:pPr>
      <w:r>
        <w:t xml:space="preserve">The </w:t>
      </w:r>
      <w:r w:rsidRPr="00802BD8">
        <w:t xml:space="preserve">clinical implications of plant-drug interactions, particularly the increased risk of adverse effects, are a significant concern in healthcare. When patients consume herbal supplements or botanical products alongside conventional medications, there is </w:t>
      </w:r>
      <w:r>
        <w:t>a potential for interactions that can alter drug efficacy or lead to unexpected side effects</w:t>
      </w:r>
      <w:hyperlink w:anchor="d8fb5e30966439e3b640faaa3657ea72_ref" w:history="1">
        <w:r>
          <w:t xml:space="preserve"> (</w:t>
        </w:r>
        <w:r w:rsidRPr="00802BD8">
          <w:t xml:space="preserve">Hassen </w:t>
        </w:r>
        <w:r w:rsidR="00D4359E" w:rsidRPr="00D4359E">
          <w:rPr>
            <w:i/>
          </w:rPr>
          <w:t>et al</w:t>
        </w:r>
        <w:r w:rsidRPr="00802BD8">
          <w:t>., 2022)</w:t>
        </w:r>
      </w:hyperlink>
      <w:r w:rsidRPr="00802BD8">
        <w:t xml:space="preserve"> . These interactions can occur through various mechanisms such as changes in drug metabolism, absorption, and elimination. For instance, St. John's Wort, a popular herbal remedy for depression, can induce cytochrome P450 enzymes, potentially reducing the effectiveness of numerous medications including oral contraceptives and anticoagulants</w:t>
      </w:r>
      <w:hyperlink w:anchor="2dfd04bbdcaf3f10b30817b15bc378a9_ref" w:history="1">
        <w:r>
          <w:t xml:space="preserve"> (</w:t>
        </w:r>
        <w:r w:rsidRPr="00802BD8">
          <w:t>Silva &amp; Martins, 2022)</w:t>
        </w:r>
      </w:hyperlink>
      <w:r w:rsidRPr="00802BD8">
        <w:t xml:space="preserve"> . Ginkgo biloba, known for its cognitive-enhancing properties, may increase the risk of bleeding when administered with anticoagulants or antiplatelet drugs</w:t>
      </w:r>
      <w:hyperlink w:anchor="f02eab375bd1393e8b20fb0062cabfd2_ref" w:history="1">
        <w:r>
          <w:t xml:space="preserve"> (</w:t>
        </w:r>
        <w:r w:rsidRPr="00802BD8">
          <w:t xml:space="preserve">Mai </w:t>
        </w:r>
        <w:r w:rsidR="00D4359E" w:rsidRPr="00D4359E">
          <w:rPr>
            <w:i/>
          </w:rPr>
          <w:t>et al</w:t>
        </w:r>
        <w:r w:rsidRPr="00802BD8">
          <w:t>., 2025)</w:t>
        </w:r>
      </w:hyperlink>
      <w:r w:rsidRPr="00802BD8">
        <w:t xml:space="preserve"> . Grapefruit juice, but not a supplement, can inhibit drug-metabolizing enzymes, leading to increased blood levels of certain medications and </w:t>
      </w:r>
      <w:r>
        <w:t>a heightened risk of adverse effects</w:t>
      </w:r>
      <w:hyperlink w:anchor="668f1d93b9de39e98ef98ba89dbd3df9_ref" w:history="1">
        <w:r>
          <w:t xml:space="preserve"> (</w:t>
        </w:r>
        <w:r w:rsidRPr="00802BD8">
          <w:t xml:space="preserve">Mar </w:t>
        </w:r>
        <w:r w:rsidR="00D4359E" w:rsidRPr="00D4359E">
          <w:rPr>
            <w:i/>
          </w:rPr>
          <w:t>et al</w:t>
        </w:r>
        <w:r w:rsidRPr="00802BD8">
          <w:t>., 2022)</w:t>
        </w:r>
      </w:hyperlink>
      <w:r w:rsidRPr="00802BD8">
        <w:t xml:space="preserve"> . Healthcare providers must be vigilant in obtaining comprehensive medication history, including herbal supplements, to identify potential interactions. Patient education is crucial to raising awareness about the risks associated with combining herbal products and prescription medications</w:t>
      </w:r>
      <w:hyperlink w:anchor="24c22acd3a5b34c780fd70f60fbdbcca_ref" w:history="1">
        <w:r>
          <w:t xml:space="preserve"> (</w:t>
        </w:r>
        <w:r w:rsidRPr="00802BD8">
          <w:t>Yeom &amp; Cho, 2024)</w:t>
        </w:r>
      </w:hyperlink>
      <w:r w:rsidRPr="00802BD8">
        <w:t xml:space="preserve"> . Monitoring for unexpected side effects or changes in drug efficacy is essential when patients use conventional and herbal treatments. The complexity of plant-drug interactions underscores the need for continued research and improved clinical guidelines to ensure patient safety and optimal therapeutic outcomes</w:t>
      </w:r>
      <w:hyperlink w:anchor="00a5e98c4ac43b58a907e5b1f5d5a821_ref" w:history="1">
        <w:r>
          <w:t xml:space="preserve"> (</w:t>
        </w:r>
        <w:proofErr w:type="spellStart"/>
        <w:r w:rsidRPr="00802BD8">
          <w:t>Chaachouay</w:t>
        </w:r>
        <w:proofErr w:type="spellEnd"/>
        <w:r w:rsidRPr="00802BD8">
          <w:t>, 2025)</w:t>
        </w:r>
      </w:hyperlink>
      <w:r w:rsidRPr="00802BD8">
        <w:t xml:space="preserve"> .</w:t>
      </w:r>
    </w:p>
    <w:p w14:paraId="224F8EBA" w14:textId="77777777" w:rsidR="0026328A" w:rsidRPr="00802BD8" w:rsidRDefault="0026328A" w:rsidP="0026328A">
      <w:pPr>
        <w:spacing w:line="360" w:lineRule="auto"/>
        <w:jc w:val="both"/>
      </w:pPr>
    </w:p>
    <w:p w14:paraId="61232E24" w14:textId="77777777" w:rsidR="0026328A" w:rsidRPr="00ED613A" w:rsidRDefault="0026328A" w:rsidP="0026328A">
      <w:pPr>
        <w:spacing w:line="360" w:lineRule="auto"/>
        <w:jc w:val="both"/>
        <w:rPr>
          <w:b/>
          <w:bCs/>
        </w:rPr>
      </w:pPr>
      <w:r w:rsidRPr="00ED613A">
        <w:rPr>
          <w:b/>
          <w:bCs/>
        </w:rPr>
        <w:t>Therapeutic failure</w:t>
      </w:r>
    </w:p>
    <w:p w14:paraId="1DADFA3D" w14:textId="23873A14" w:rsidR="0026328A" w:rsidRPr="00802BD8" w:rsidRDefault="0026328A" w:rsidP="0026328A">
      <w:pPr>
        <w:spacing w:line="360" w:lineRule="auto"/>
        <w:jc w:val="both"/>
      </w:pPr>
      <w:r>
        <w:t xml:space="preserve">The </w:t>
      </w:r>
      <w:r w:rsidRPr="00802BD8">
        <w:t xml:space="preserve">clinical implications of plant-drug interactions can significantly impact therapeutic outcomes, potentially leading to treatment failure or adverse effects. Therapeutic failure occurs when a drug's </w:t>
      </w:r>
      <w:r w:rsidRPr="00802BD8">
        <w:lastRenderedPageBreak/>
        <w:t>intended effect is diminished or nullified owing to interactions with plant-based compounds</w:t>
      </w:r>
      <w:hyperlink w:anchor="50c89ea020d33c758e01a98420ea407a_ref" w:history="1">
        <w:r>
          <w:t xml:space="preserve"> (</w:t>
        </w:r>
        <w:proofErr w:type="spellStart"/>
        <w:r w:rsidRPr="00802BD8">
          <w:t>Jenča</w:t>
        </w:r>
        <w:proofErr w:type="spellEnd"/>
        <w:r w:rsidRPr="00802BD8">
          <w:t xml:space="preserve"> </w:t>
        </w:r>
        <w:r w:rsidR="00D4359E" w:rsidRPr="00D4359E">
          <w:rPr>
            <w:i/>
          </w:rPr>
          <w:t>et al</w:t>
        </w:r>
        <w:r w:rsidRPr="00802BD8">
          <w:t>., 2024)</w:t>
        </w:r>
      </w:hyperlink>
      <w:r w:rsidRPr="00802BD8">
        <w:t xml:space="preserve"> . These interactions can alter drug metabolism, absorption, distribution, and excretion, ultimately affecting drug efficacy. For instance, St. John's Wort, a popular herbal supplement, is known to induce cytochrome P450 enzymes, which can accelerate the metabolism of various medications including oral contraceptives, anticoagulants, and antidepressants</w:t>
      </w:r>
      <w:hyperlink w:anchor="967f6ddb84ac30a7980aec22621e26a3_ref" w:history="1">
        <w:r>
          <w:t xml:space="preserve"> (</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This increased metabolism can result in sub</w:t>
      </w:r>
      <w:r>
        <w:t>-therapeutic drug levels, rendering the treatment ineffective. Similarly, grapefruit juice can inhibit CYP3A4 enzymes, leading to increased bioavailability of certain drugs</w:t>
      </w:r>
      <w:r w:rsidRPr="00802BD8">
        <w:t xml:space="preserve"> and potentially causing toxicity</w:t>
      </w:r>
      <w:hyperlink w:anchor="01179d5705b63ff2896874ed302a4329_ref" w:history="1">
        <w:r>
          <w:t xml:space="preserve"> (</w:t>
        </w:r>
        <w:r w:rsidRPr="00802BD8">
          <w:t xml:space="preserve">Zhao </w:t>
        </w:r>
        <w:r w:rsidR="00D4359E" w:rsidRPr="00D4359E">
          <w:rPr>
            <w:i/>
          </w:rPr>
          <w:t>et al</w:t>
        </w:r>
        <w:r w:rsidRPr="00802BD8">
          <w:t>., 2021)</w:t>
        </w:r>
      </w:hyperlink>
      <w:r w:rsidRPr="00802BD8">
        <w:t xml:space="preserve"> . Patients taking warfarin may experience reduced anticoagulant effects when consuming large amounts of vitamin K-rich foods such as leafy greens, potentially increasing the risk of thrombosis</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 Healthcare professionals must be vigilant in identifying potential plant-drug interactions, educating patients about risks, and adjusting treatment plans accordingly. </w:t>
      </w:r>
      <w:r>
        <w:t xml:space="preserve">A </w:t>
      </w:r>
      <w:r w:rsidRPr="00802BD8">
        <w:t>comprehensive medication history, including herbal supplements and dietary habits, is crucial for preventing therapeutic failure and ensuring optimal patient outcomes. Regular monitoring of drug levels, therapeutic response</w:t>
      </w:r>
      <w:r>
        <w:t xml:space="preserve">s, and potential side effects can help detect and manage plant-drug interactions effectively. To illustrate the real-world impact of plant-drug </w:t>
      </w:r>
      <w:proofErr w:type="gramStart"/>
      <w:r>
        <w:t>interactions(</w:t>
      </w:r>
      <w:proofErr w:type="gramEnd"/>
      <w:r>
        <w:t>Table 1), let us examine some notable examples that highlight the importance of this field.</w:t>
      </w:r>
    </w:p>
    <w:p w14:paraId="3665C3DD" w14:textId="77777777" w:rsidR="0026328A" w:rsidRDefault="0026328A" w:rsidP="0026328A">
      <w:pPr>
        <w:spacing w:line="360" w:lineRule="auto"/>
        <w:jc w:val="both"/>
      </w:pPr>
    </w:p>
    <w:p w14:paraId="7917B69F" w14:textId="77777777" w:rsidR="0026328A" w:rsidRDefault="0026328A" w:rsidP="0026328A">
      <w:pPr>
        <w:spacing w:line="360" w:lineRule="auto"/>
        <w:jc w:val="both"/>
      </w:pPr>
      <w:r>
        <w:t>Table 1: Plant drug interaction</w:t>
      </w:r>
    </w:p>
    <w:tbl>
      <w:tblPr>
        <w:tblStyle w:val="TableGrid"/>
        <w:tblW w:w="9378" w:type="dxa"/>
        <w:tblLook w:val="04A0" w:firstRow="1" w:lastRow="0" w:firstColumn="1" w:lastColumn="0" w:noHBand="0" w:noVBand="1"/>
      </w:tblPr>
      <w:tblGrid>
        <w:gridCol w:w="2144"/>
        <w:gridCol w:w="2497"/>
        <w:gridCol w:w="2148"/>
        <w:gridCol w:w="2589"/>
      </w:tblGrid>
      <w:tr w:rsidR="0026328A" w14:paraId="64EF0F6D" w14:textId="77777777" w:rsidTr="00F3746E">
        <w:tc>
          <w:tcPr>
            <w:tcW w:w="2144" w:type="dxa"/>
            <w:vAlign w:val="center"/>
          </w:tcPr>
          <w:p w14:paraId="1DC5DA97" w14:textId="77777777" w:rsidR="0026328A" w:rsidRPr="009D68A3" w:rsidRDefault="0026328A" w:rsidP="00F3746E">
            <w:r w:rsidRPr="0072494F">
              <w:rPr>
                <w:rFonts w:eastAsiaTheme="majorEastAsia"/>
                <w:b/>
                <w:bCs/>
              </w:rPr>
              <w:t>Plant/Herb</w:t>
            </w:r>
          </w:p>
        </w:tc>
        <w:tc>
          <w:tcPr>
            <w:tcW w:w="2497" w:type="dxa"/>
            <w:vAlign w:val="center"/>
          </w:tcPr>
          <w:p w14:paraId="4A5F8AD4" w14:textId="77777777" w:rsidR="0026328A" w:rsidRPr="009D68A3" w:rsidRDefault="0026328A" w:rsidP="00F3746E">
            <w:r w:rsidRPr="0072494F">
              <w:rPr>
                <w:rFonts w:eastAsiaTheme="majorEastAsia"/>
                <w:b/>
                <w:bCs/>
              </w:rPr>
              <w:t>Drug Affected</w:t>
            </w:r>
          </w:p>
        </w:tc>
        <w:tc>
          <w:tcPr>
            <w:tcW w:w="2148" w:type="dxa"/>
            <w:vAlign w:val="center"/>
          </w:tcPr>
          <w:p w14:paraId="4E5DB4CA" w14:textId="77777777" w:rsidR="0026328A" w:rsidRPr="009D68A3" w:rsidRDefault="0026328A" w:rsidP="00F3746E">
            <w:r w:rsidRPr="0072494F">
              <w:rPr>
                <w:rFonts w:eastAsiaTheme="majorEastAsia"/>
                <w:b/>
                <w:bCs/>
              </w:rPr>
              <w:t>Interaction Effect</w:t>
            </w:r>
          </w:p>
        </w:tc>
        <w:tc>
          <w:tcPr>
            <w:tcW w:w="2589" w:type="dxa"/>
            <w:vAlign w:val="center"/>
          </w:tcPr>
          <w:p w14:paraId="7BED980C" w14:textId="77777777" w:rsidR="0026328A" w:rsidRPr="009D68A3" w:rsidRDefault="0026328A" w:rsidP="00F3746E">
            <w:r w:rsidRPr="0072494F">
              <w:rPr>
                <w:rFonts w:eastAsiaTheme="majorEastAsia"/>
                <w:b/>
                <w:bCs/>
              </w:rPr>
              <w:t>Reference</w:t>
            </w:r>
          </w:p>
        </w:tc>
      </w:tr>
      <w:tr w:rsidR="0026328A" w14:paraId="01C8D3C1" w14:textId="77777777" w:rsidTr="00F3746E">
        <w:tc>
          <w:tcPr>
            <w:tcW w:w="2144" w:type="dxa"/>
            <w:vAlign w:val="center"/>
          </w:tcPr>
          <w:p w14:paraId="422FA73B" w14:textId="77777777" w:rsidR="0026328A" w:rsidRPr="009D68A3" w:rsidRDefault="0026328A" w:rsidP="00F3746E">
            <w:r w:rsidRPr="0072494F">
              <w:rPr>
                <w:rFonts w:eastAsiaTheme="majorEastAsia"/>
                <w:b/>
                <w:bCs/>
              </w:rPr>
              <w:t>St. John’s Wort</w:t>
            </w:r>
            <w:r w:rsidRPr="0072494F">
              <w:t xml:space="preserve"> (</w:t>
            </w:r>
            <w:r w:rsidRPr="0072494F">
              <w:rPr>
                <w:rFonts w:eastAsiaTheme="majorEastAsia"/>
                <w:i/>
                <w:iCs/>
              </w:rPr>
              <w:t>Hypericum perforatum</w:t>
            </w:r>
            <w:r w:rsidRPr="0072494F">
              <w:t>)</w:t>
            </w:r>
          </w:p>
        </w:tc>
        <w:tc>
          <w:tcPr>
            <w:tcW w:w="2497" w:type="dxa"/>
            <w:vAlign w:val="center"/>
          </w:tcPr>
          <w:p w14:paraId="392F6C15" w14:textId="77777777" w:rsidR="0026328A" w:rsidRPr="009D68A3" w:rsidRDefault="0026328A" w:rsidP="00F3746E">
            <w:r w:rsidRPr="0072494F">
              <w:t>Warfarin, SSRIs, oral contraceptives, cyclosporine</w:t>
            </w:r>
          </w:p>
        </w:tc>
        <w:tc>
          <w:tcPr>
            <w:tcW w:w="2148" w:type="dxa"/>
            <w:vAlign w:val="center"/>
          </w:tcPr>
          <w:p w14:paraId="6B523FD0" w14:textId="77777777" w:rsidR="0026328A" w:rsidRPr="009D68A3" w:rsidRDefault="0026328A" w:rsidP="00F3746E">
            <w:r w:rsidRPr="0072494F">
              <w:t>Induces CYP3A4/P-</w:t>
            </w:r>
            <w:proofErr w:type="spellStart"/>
            <w:r w:rsidRPr="0072494F">
              <w:t>gp</w:t>
            </w:r>
            <w:proofErr w:type="spellEnd"/>
            <w:r w:rsidRPr="0072494F">
              <w:t xml:space="preserve"> → reduced drug levels; serotonin syndrome risk</w:t>
            </w:r>
          </w:p>
        </w:tc>
        <w:tc>
          <w:tcPr>
            <w:tcW w:w="2589" w:type="dxa"/>
            <w:vAlign w:val="center"/>
          </w:tcPr>
          <w:p w14:paraId="4D66F4C4" w14:textId="6C61009B" w:rsidR="0026328A" w:rsidRPr="009D68A3" w:rsidRDefault="0026328A" w:rsidP="00F3746E">
            <w:r w:rsidRPr="0072494F">
              <w:t>Henderson</w:t>
            </w:r>
            <w:r w:rsidRPr="009D68A3">
              <w:t xml:space="preserve"> </w:t>
            </w:r>
            <w:r w:rsidR="00D4359E" w:rsidRPr="00D4359E">
              <w:rPr>
                <w:i/>
              </w:rPr>
              <w:t>et al</w:t>
            </w:r>
            <w:r w:rsidRPr="009D68A3">
              <w:t>., 2002</w:t>
            </w:r>
          </w:p>
        </w:tc>
      </w:tr>
      <w:tr w:rsidR="0026328A" w14:paraId="3C074039" w14:textId="77777777" w:rsidTr="00F3746E">
        <w:tc>
          <w:tcPr>
            <w:tcW w:w="2144" w:type="dxa"/>
            <w:vAlign w:val="center"/>
          </w:tcPr>
          <w:p w14:paraId="107050B5" w14:textId="77777777" w:rsidR="0026328A" w:rsidRPr="009D68A3" w:rsidRDefault="0026328A" w:rsidP="00F3746E">
            <w:r w:rsidRPr="0072494F">
              <w:rPr>
                <w:rFonts w:eastAsiaTheme="majorEastAsia"/>
                <w:b/>
                <w:bCs/>
              </w:rPr>
              <w:t>Ginkgo biloba</w:t>
            </w:r>
          </w:p>
        </w:tc>
        <w:tc>
          <w:tcPr>
            <w:tcW w:w="2497" w:type="dxa"/>
            <w:vAlign w:val="center"/>
          </w:tcPr>
          <w:p w14:paraId="3FD4EF12" w14:textId="77777777" w:rsidR="0026328A" w:rsidRPr="009D68A3" w:rsidRDefault="0026328A" w:rsidP="00F3746E">
            <w:r w:rsidRPr="0072494F">
              <w:t>Warfarin, aspirin, SSRIs</w:t>
            </w:r>
          </w:p>
        </w:tc>
        <w:tc>
          <w:tcPr>
            <w:tcW w:w="2148" w:type="dxa"/>
            <w:vAlign w:val="center"/>
          </w:tcPr>
          <w:p w14:paraId="66E462AC" w14:textId="77777777" w:rsidR="0026328A" w:rsidRPr="009D68A3" w:rsidRDefault="0026328A" w:rsidP="00F3746E">
            <w:r w:rsidRPr="0072494F">
              <w:t>Increased bleeding risk; possible serotonin syndrome</w:t>
            </w:r>
          </w:p>
        </w:tc>
        <w:tc>
          <w:tcPr>
            <w:tcW w:w="2589" w:type="dxa"/>
            <w:vAlign w:val="center"/>
          </w:tcPr>
          <w:p w14:paraId="62AA5838" w14:textId="07F5800E" w:rsidR="0026328A" w:rsidRPr="009D68A3" w:rsidRDefault="0026328A" w:rsidP="00F3746E">
            <w:proofErr w:type="spellStart"/>
            <w:r w:rsidRPr="009D68A3">
              <w:t>k</w:t>
            </w:r>
            <w:r w:rsidRPr="0072494F">
              <w:t>ellermann</w:t>
            </w:r>
            <w:proofErr w:type="spellEnd"/>
            <w:r w:rsidRPr="009D68A3">
              <w:t xml:space="preserve"> </w:t>
            </w:r>
            <w:r w:rsidR="00D4359E" w:rsidRPr="00D4359E">
              <w:rPr>
                <w:i/>
              </w:rPr>
              <w:t>et al</w:t>
            </w:r>
            <w:r w:rsidRPr="009D68A3">
              <w:t>., 2010</w:t>
            </w:r>
          </w:p>
        </w:tc>
      </w:tr>
      <w:tr w:rsidR="0026328A" w14:paraId="529311DF" w14:textId="77777777" w:rsidTr="00F3746E">
        <w:tc>
          <w:tcPr>
            <w:tcW w:w="2144" w:type="dxa"/>
            <w:vAlign w:val="center"/>
          </w:tcPr>
          <w:p w14:paraId="7D37A96A" w14:textId="77777777" w:rsidR="0026328A" w:rsidRPr="009D68A3" w:rsidRDefault="0026328A" w:rsidP="00F3746E">
            <w:r w:rsidRPr="0072494F">
              <w:rPr>
                <w:rFonts w:eastAsiaTheme="majorEastAsia"/>
                <w:b/>
                <w:bCs/>
              </w:rPr>
              <w:t>Garlic</w:t>
            </w:r>
            <w:r w:rsidRPr="0072494F">
              <w:t xml:space="preserve"> (</w:t>
            </w:r>
            <w:r w:rsidRPr="0072494F">
              <w:rPr>
                <w:rFonts w:eastAsiaTheme="majorEastAsia"/>
                <w:i/>
                <w:iCs/>
              </w:rPr>
              <w:t>Allium sativum</w:t>
            </w:r>
            <w:r w:rsidRPr="0072494F">
              <w:t>)</w:t>
            </w:r>
          </w:p>
        </w:tc>
        <w:tc>
          <w:tcPr>
            <w:tcW w:w="2497" w:type="dxa"/>
            <w:vAlign w:val="center"/>
          </w:tcPr>
          <w:p w14:paraId="5B6B3820" w14:textId="77777777" w:rsidR="0026328A" w:rsidRPr="009D68A3" w:rsidRDefault="0026328A" w:rsidP="00F3746E">
            <w:r w:rsidRPr="0072494F">
              <w:t>Warfarin, saquinavir</w:t>
            </w:r>
          </w:p>
        </w:tc>
        <w:tc>
          <w:tcPr>
            <w:tcW w:w="2148" w:type="dxa"/>
            <w:vAlign w:val="center"/>
          </w:tcPr>
          <w:p w14:paraId="3B54FDC4" w14:textId="77777777" w:rsidR="0026328A" w:rsidRPr="009D68A3" w:rsidRDefault="0026328A" w:rsidP="00F3746E">
            <w:r w:rsidRPr="0072494F">
              <w:t>Antiplatelet effect → increased bleeding; reduced saquinavir levels</w:t>
            </w:r>
          </w:p>
        </w:tc>
        <w:tc>
          <w:tcPr>
            <w:tcW w:w="2589" w:type="dxa"/>
            <w:vAlign w:val="center"/>
          </w:tcPr>
          <w:p w14:paraId="46980F63" w14:textId="20B2E5FF" w:rsidR="0026328A" w:rsidRPr="009D68A3" w:rsidRDefault="0026328A" w:rsidP="00F3746E">
            <w:r w:rsidRPr="0072494F">
              <w:t>Piscitelli</w:t>
            </w:r>
            <w:r w:rsidRPr="009D68A3">
              <w:t xml:space="preserve"> </w:t>
            </w:r>
            <w:r w:rsidR="00D4359E" w:rsidRPr="00D4359E">
              <w:rPr>
                <w:i/>
              </w:rPr>
              <w:t>et al</w:t>
            </w:r>
            <w:r w:rsidRPr="009D68A3">
              <w:t>., 2002</w:t>
            </w:r>
          </w:p>
        </w:tc>
      </w:tr>
      <w:tr w:rsidR="0026328A" w14:paraId="5728AE9F" w14:textId="77777777" w:rsidTr="00F3746E">
        <w:tc>
          <w:tcPr>
            <w:tcW w:w="2144" w:type="dxa"/>
            <w:vAlign w:val="center"/>
          </w:tcPr>
          <w:p w14:paraId="6F2167BC" w14:textId="77777777" w:rsidR="0026328A" w:rsidRPr="009D68A3" w:rsidRDefault="0026328A" w:rsidP="00F3746E">
            <w:r w:rsidRPr="0072494F">
              <w:rPr>
                <w:rFonts w:eastAsiaTheme="majorEastAsia"/>
                <w:b/>
                <w:bCs/>
              </w:rPr>
              <w:t>Ginseng</w:t>
            </w:r>
            <w:r w:rsidRPr="0072494F">
              <w:t xml:space="preserve"> (</w:t>
            </w:r>
            <w:r w:rsidRPr="0072494F">
              <w:rPr>
                <w:rFonts w:eastAsiaTheme="majorEastAsia"/>
                <w:i/>
                <w:iCs/>
              </w:rPr>
              <w:t>Panax ginseng</w:t>
            </w:r>
            <w:r w:rsidRPr="0072494F">
              <w:t>)</w:t>
            </w:r>
          </w:p>
        </w:tc>
        <w:tc>
          <w:tcPr>
            <w:tcW w:w="2497" w:type="dxa"/>
            <w:vAlign w:val="center"/>
          </w:tcPr>
          <w:p w14:paraId="6F957B53" w14:textId="77777777" w:rsidR="0026328A" w:rsidRPr="009D68A3" w:rsidRDefault="0026328A" w:rsidP="00F3746E">
            <w:r w:rsidRPr="0072494F">
              <w:t>Warfarin, antidiabetics</w:t>
            </w:r>
          </w:p>
        </w:tc>
        <w:tc>
          <w:tcPr>
            <w:tcW w:w="2148" w:type="dxa"/>
            <w:vAlign w:val="center"/>
          </w:tcPr>
          <w:p w14:paraId="54A90BDF" w14:textId="77777777" w:rsidR="0026328A" w:rsidRPr="009D68A3" w:rsidRDefault="0026328A" w:rsidP="00F3746E">
            <w:r w:rsidRPr="0072494F">
              <w:t>Decreased INR; hypoglycemia risk</w:t>
            </w:r>
          </w:p>
        </w:tc>
        <w:tc>
          <w:tcPr>
            <w:tcW w:w="2589" w:type="dxa"/>
            <w:vAlign w:val="center"/>
          </w:tcPr>
          <w:p w14:paraId="7439596D" w14:textId="27AA6400" w:rsidR="0026328A" w:rsidRPr="009D68A3" w:rsidRDefault="0026328A" w:rsidP="00F3746E">
            <w:r w:rsidRPr="0072494F">
              <w:t>Yuan</w:t>
            </w:r>
            <w:r w:rsidRPr="009D68A3">
              <w:t xml:space="preserve"> </w:t>
            </w:r>
            <w:r w:rsidR="00D4359E" w:rsidRPr="00D4359E">
              <w:rPr>
                <w:i/>
              </w:rPr>
              <w:t>et al</w:t>
            </w:r>
            <w:r w:rsidRPr="009D68A3">
              <w:t>., 2004</w:t>
            </w:r>
          </w:p>
        </w:tc>
      </w:tr>
      <w:tr w:rsidR="0026328A" w14:paraId="0967A3C3" w14:textId="77777777" w:rsidTr="00F3746E">
        <w:tc>
          <w:tcPr>
            <w:tcW w:w="2144" w:type="dxa"/>
            <w:vAlign w:val="center"/>
          </w:tcPr>
          <w:p w14:paraId="4EBFE5B3" w14:textId="77777777" w:rsidR="0026328A" w:rsidRPr="009D68A3" w:rsidRDefault="0026328A" w:rsidP="00F3746E">
            <w:r w:rsidRPr="0072494F">
              <w:rPr>
                <w:rFonts w:eastAsiaTheme="majorEastAsia"/>
                <w:b/>
                <w:bCs/>
              </w:rPr>
              <w:t>Echinacea</w:t>
            </w:r>
          </w:p>
        </w:tc>
        <w:tc>
          <w:tcPr>
            <w:tcW w:w="2497" w:type="dxa"/>
            <w:vAlign w:val="center"/>
          </w:tcPr>
          <w:p w14:paraId="32DBD8FF" w14:textId="77777777" w:rsidR="0026328A" w:rsidRPr="009D68A3" w:rsidRDefault="0026328A" w:rsidP="00F3746E">
            <w:r w:rsidRPr="0072494F">
              <w:t>Immunosuppressants (e.g., cyclosporine)</w:t>
            </w:r>
          </w:p>
        </w:tc>
        <w:tc>
          <w:tcPr>
            <w:tcW w:w="2148" w:type="dxa"/>
            <w:vAlign w:val="center"/>
          </w:tcPr>
          <w:p w14:paraId="372087BA" w14:textId="77777777" w:rsidR="0026328A" w:rsidRPr="009D68A3" w:rsidRDefault="0026328A" w:rsidP="00F3746E">
            <w:r w:rsidRPr="0072494F">
              <w:t xml:space="preserve">Alters CYP1A2/3A4 → </w:t>
            </w:r>
            <w:r w:rsidRPr="0072494F">
              <w:lastRenderedPageBreak/>
              <w:t>reduced drug efficacy</w:t>
            </w:r>
          </w:p>
        </w:tc>
        <w:tc>
          <w:tcPr>
            <w:tcW w:w="2589" w:type="dxa"/>
            <w:vAlign w:val="center"/>
          </w:tcPr>
          <w:p w14:paraId="7603C348" w14:textId="600CCC6B" w:rsidR="0026328A" w:rsidRPr="009D68A3" w:rsidRDefault="0026328A" w:rsidP="00F3746E">
            <w:r w:rsidRPr="0072494F">
              <w:lastRenderedPageBreak/>
              <w:t>Gorski</w:t>
            </w:r>
            <w:r w:rsidRPr="009D68A3">
              <w:t xml:space="preserve"> </w:t>
            </w:r>
            <w:r w:rsidR="00D4359E" w:rsidRPr="00D4359E">
              <w:rPr>
                <w:i/>
              </w:rPr>
              <w:t>et al</w:t>
            </w:r>
            <w:r w:rsidRPr="009D68A3">
              <w:t>., 2004</w:t>
            </w:r>
          </w:p>
        </w:tc>
      </w:tr>
      <w:tr w:rsidR="0026328A" w14:paraId="48BD1B8D" w14:textId="77777777" w:rsidTr="00F3746E">
        <w:tc>
          <w:tcPr>
            <w:tcW w:w="2144" w:type="dxa"/>
            <w:vAlign w:val="center"/>
          </w:tcPr>
          <w:p w14:paraId="68021407" w14:textId="77777777" w:rsidR="0026328A" w:rsidRPr="009D68A3" w:rsidRDefault="0026328A" w:rsidP="00F3746E">
            <w:r w:rsidRPr="0072494F">
              <w:rPr>
                <w:rFonts w:eastAsiaTheme="majorEastAsia"/>
                <w:b/>
                <w:bCs/>
              </w:rPr>
              <w:t>Kava</w:t>
            </w:r>
            <w:r w:rsidRPr="0072494F">
              <w:t xml:space="preserve"> (</w:t>
            </w:r>
            <w:r w:rsidRPr="0072494F">
              <w:rPr>
                <w:rFonts w:eastAsiaTheme="majorEastAsia"/>
                <w:i/>
                <w:iCs/>
              </w:rPr>
              <w:t xml:space="preserve">Piper </w:t>
            </w:r>
            <w:proofErr w:type="spellStart"/>
            <w:r w:rsidRPr="0072494F">
              <w:rPr>
                <w:rFonts w:eastAsiaTheme="majorEastAsia"/>
                <w:i/>
                <w:iCs/>
              </w:rPr>
              <w:t>methysticum</w:t>
            </w:r>
            <w:proofErr w:type="spellEnd"/>
            <w:r w:rsidRPr="0072494F">
              <w:t>)</w:t>
            </w:r>
          </w:p>
        </w:tc>
        <w:tc>
          <w:tcPr>
            <w:tcW w:w="2497" w:type="dxa"/>
            <w:vAlign w:val="center"/>
          </w:tcPr>
          <w:p w14:paraId="32C7467B" w14:textId="77777777" w:rsidR="0026328A" w:rsidRPr="009D68A3" w:rsidRDefault="0026328A" w:rsidP="00F3746E">
            <w:r w:rsidRPr="0072494F">
              <w:t>Benzodiazepines, alcohol</w:t>
            </w:r>
          </w:p>
        </w:tc>
        <w:tc>
          <w:tcPr>
            <w:tcW w:w="2148" w:type="dxa"/>
            <w:vAlign w:val="center"/>
          </w:tcPr>
          <w:p w14:paraId="21E7B2C7" w14:textId="77777777" w:rsidR="0026328A" w:rsidRPr="009D68A3" w:rsidRDefault="0026328A" w:rsidP="00F3746E">
            <w:r w:rsidRPr="0072494F">
              <w:t>Additive sedation; hepatotoxicity risk</w:t>
            </w:r>
          </w:p>
        </w:tc>
        <w:tc>
          <w:tcPr>
            <w:tcW w:w="2589" w:type="dxa"/>
            <w:vAlign w:val="center"/>
          </w:tcPr>
          <w:p w14:paraId="50C24AD1" w14:textId="77777777" w:rsidR="0026328A" w:rsidRPr="009D68A3" w:rsidRDefault="0026328A" w:rsidP="00F3746E">
            <w:r w:rsidRPr="0072494F">
              <w:t>Teschke</w:t>
            </w:r>
            <w:r w:rsidRPr="009D68A3">
              <w:t xml:space="preserve"> et at., 2011</w:t>
            </w:r>
          </w:p>
        </w:tc>
      </w:tr>
      <w:tr w:rsidR="0026328A" w14:paraId="3335BA3E" w14:textId="77777777" w:rsidTr="00F3746E">
        <w:tc>
          <w:tcPr>
            <w:tcW w:w="2144" w:type="dxa"/>
            <w:vAlign w:val="center"/>
          </w:tcPr>
          <w:p w14:paraId="19D6D215" w14:textId="77777777" w:rsidR="0026328A" w:rsidRPr="009D68A3" w:rsidRDefault="0026328A" w:rsidP="00F3746E">
            <w:r w:rsidRPr="0072494F">
              <w:rPr>
                <w:rFonts w:eastAsiaTheme="majorEastAsia"/>
                <w:b/>
                <w:bCs/>
              </w:rPr>
              <w:t>Licorice</w:t>
            </w:r>
            <w:r w:rsidRPr="0072494F">
              <w:t xml:space="preserve"> (</w:t>
            </w:r>
            <w:r w:rsidRPr="0072494F">
              <w:rPr>
                <w:rFonts w:eastAsiaTheme="majorEastAsia"/>
                <w:i/>
                <w:iCs/>
              </w:rPr>
              <w:t>Glycyrrhiza glabra</w:t>
            </w:r>
            <w:r w:rsidRPr="0072494F">
              <w:t>)</w:t>
            </w:r>
          </w:p>
        </w:tc>
        <w:tc>
          <w:tcPr>
            <w:tcW w:w="2497" w:type="dxa"/>
            <w:vAlign w:val="center"/>
          </w:tcPr>
          <w:p w14:paraId="61462BA5" w14:textId="77777777" w:rsidR="0026328A" w:rsidRPr="009D68A3" w:rsidRDefault="0026328A" w:rsidP="00F3746E">
            <w:r w:rsidRPr="0072494F">
              <w:t>Digoxin, diuretics, corticosteroids</w:t>
            </w:r>
          </w:p>
        </w:tc>
        <w:tc>
          <w:tcPr>
            <w:tcW w:w="2148" w:type="dxa"/>
            <w:vAlign w:val="center"/>
          </w:tcPr>
          <w:p w14:paraId="5C0545BC" w14:textId="77777777" w:rsidR="0026328A" w:rsidRPr="009D68A3" w:rsidRDefault="0026328A" w:rsidP="00F3746E">
            <w:r w:rsidRPr="0072494F">
              <w:t>Hypokalemia → increased digoxin toxicity; hypertension</w:t>
            </w:r>
          </w:p>
        </w:tc>
        <w:tc>
          <w:tcPr>
            <w:tcW w:w="2589" w:type="dxa"/>
            <w:vAlign w:val="center"/>
          </w:tcPr>
          <w:p w14:paraId="5151339C" w14:textId="522D3782" w:rsidR="0026328A" w:rsidRPr="009D68A3" w:rsidRDefault="0026328A" w:rsidP="00F3746E">
            <w:r w:rsidRPr="0072494F">
              <w:t>Omar</w:t>
            </w:r>
            <w:r w:rsidRPr="009D68A3">
              <w:t xml:space="preserve"> </w:t>
            </w:r>
            <w:r w:rsidR="00D4359E" w:rsidRPr="00D4359E">
              <w:rPr>
                <w:i/>
              </w:rPr>
              <w:t>et al</w:t>
            </w:r>
            <w:r w:rsidRPr="009D68A3">
              <w:t>., 2012</w:t>
            </w:r>
          </w:p>
        </w:tc>
      </w:tr>
      <w:tr w:rsidR="0026328A" w14:paraId="1B86F55C" w14:textId="77777777" w:rsidTr="00F3746E">
        <w:tc>
          <w:tcPr>
            <w:tcW w:w="2144" w:type="dxa"/>
            <w:vAlign w:val="center"/>
          </w:tcPr>
          <w:p w14:paraId="2F36BCCF" w14:textId="77777777" w:rsidR="0026328A" w:rsidRPr="009D68A3" w:rsidRDefault="0026328A" w:rsidP="00F3746E">
            <w:pPr>
              <w:rPr>
                <w:b/>
                <w:bCs/>
              </w:rPr>
            </w:pPr>
            <w:r w:rsidRPr="0072494F">
              <w:rPr>
                <w:rFonts w:eastAsiaTheme="majorEastAsia"/>
                <w:b/>
                <w:bCs/>
              </w:rPr>
              <w:t>Valerian</w:t>
            </w:r>
            <w:r w:rsidRPr="0072494F">
              <w:t xml:space="preserve"> (</w:t>
            </w:r>
            <w:r w:rsidRPr="0072494F">
              <w:rPr>
                <w:rFonts w:eastAsiaTheme="majorEastAsia"/>
                <w:i/>
                <w:iCs/>
              </w:rPr>
              <w:t>Valeriana officinalis</w:t>
            </w:r>
            <w:r w:rsidRPr="0072494F">
              <w:t>)</w:t>
            </w:r>
          </w:p>
        </w:tc>
        <w:tc>
          <w:tcPr>
            <w:tcW w:w="2497" w:type="dxa"/>
            <w:vAlign w:val="center"/>
          </w:tcPr>
          <w:p w14:paraId="61F61455" w14:textId="77777777" w:rsidR="0026328A" w:rsidRPr="009D68A3" w:rsidRDefault="0026328A" w:rsidP="00F3746E">
            <w:r w:rsidRPr="0072494F">
              <w:t>Benzodiazepines, alcohol</w:t>
            </w:r>
          </w:p>
        </w:tc>
        <w:tc>
          <w:tcPr>
            <w:tcW w:w="2148" w:type="dxa"/>
            <w:vAlign w:val="center"/>
          </w:tcPr>
          <w:p w14:paraId="3876F77E" w14:textId="77777777" w:rsidR="0026328A" w:rsidRPr="009D68A3" w:rsidRDefault="0026328A" w:rsidP="00F3746E">
            <w:r w:rsidRPr="0072494F">
              <w:t>Additive CNS depression</w:t>
            </w:r>
          </w:p>
        </w:tc>
        <w:tc>
          <w:tcPr>
            <w:tcW w:w="2589" w:type="dxa"/>
            <w:vAlign w:val="center"/>
          </w:tcPr>
          <w:p w14:paraId="470164DB" w14:textId="33A1212D" w:rsidR="0026328A" w:rsidRPr="009D68A3" w:rsidRDefault="0026328A" w:rsidP="00F3746E">
            <w:r w:rsidRPr="0072494F">
              <w:t>Donovan</w:t>
            </w:r>
            <w:r w:rsidRPr="009D68A3">
              <w:t xml:space="preserve"> </w:t>
            </w:r>
            <w:r w:rsidR="00D4359E" w:rsidRPr="00D4359E">
              <w:rPr>
                <w:i/>
              </w:rPr>
              <w:t>et al</w:t>
            </w:r>
            <w:r w:rsidRPr="009D68A3">
              <w:t>., 2004</w:t>
            </w:r>
          </w:p>
        </w:tc>
      </w:tr>
      <w:tr w:rsidR="0026328A" w14:paraId="14B808B7" w14:textId="77777777" w:rsidTr="00F3746E">
        <w:tc>
          <w:tcPr>
            <w:tcW w:w="2144" w:type="dxa"/>
            <w:vAlign w:val="center"/>
          </w:tcPr>
          <w:p w14:paraId="237F8F0F" w14:textId="77777777" w:rsidR="0026328A" w:rsidRPr="009D68A3" w:rsidRDefault="0026328A" w:rsidP="00F3746E">
            <w:pPr>
              <w:rPr>
                <w:b/>
                <w:bCs/>
              </w:rPr>
            </w:pPr>
            <w:r w:rsidRPr="0072494F">
              <w:rPr>
                <w:rFonts w:eastAsiaTheme="majorEastAsia"/>
                <w:b/>
                <w:bCs/>
              </w:rPr>
              <w:t>Goldenseal</w:t>
            </w:r>
            <w:r w:rsidRPr="0072494F">
              <w:t xml:space="preserve"> (</w:t>
            </w:r>
            <w:proofErr w:type="spellStart"/>
            <w:r w:rsidRPr="0072494F">
              <w:rPr>
                <w:rFonts w:eastAsiaTheme="majorEastAsia"/>
                <w:i/>
                <w:iCs/>
              </w:rPr>
              <w:t>Hydrastis</w:t>
            </w:r>
            <w:proofErr w:type="spellEnd"/>
            <w:r w:rsidRPr="0072494F">
              <w:rPr>
                <w:rFonts w:eastAsiaTheme="majorEastAsia"/>
                <w:i/>
                <w:iCs/>
              </w:rPr>
              <w:t xml:space="preserve"> canadensis</w:t>
            </w:r>
            <w:r w:rsidRPr="0072494F">
              <w:t>)</w:t>
            </w:r>
          </w:p>
        </w:tc>
        <w:tc>
          <w:tcPr>
            <w:tcW w:w="2497" w:type="dxa"/>
            <w:vAlign w:val="center"/>
          </w:tcPr>
          <w:p w14:paraId="6F9FF49C" w14:textId="77777777" w:rsidR="0026328A" w:rsidRPr="009D68A3" w:rsidRDefault="0026328A" w:rsidP="00F3746E">
            <w:r w:rsidRPr="0072494F">
              <w:t>CYP3A4 substrates (e.g., cyclosporine)</w:t>
            </w:r>
          </w:p>
        </w:tc>
        <w:tc>
          <w:tcPr>
            <w:tcW w:w="2148" w:type="dxa"/>
            <w:vAlign w:val="center"/>
          </w:tcPr>
          <w:p w14:paraId="6677ED6B" w14:textId="77777777" w:rsidR="0026328A" w:rsidRPr="009D68A3" w:rsidRDefault="0026328A" w:rsidP="00F3746E">
            <w:r w:rsidRPr="0072494F">
              <w:t>Inhibits CYP3A4 → increased drug levels</w:t>
            </w:r>
          </w:p>
        </w:tc>
        <w:tc>
          <w:tcPr>
            <w:tcW w:w="2589" w:type="dxa"/>
            <w:vAlign w:val="center"/>
          </w:tcPr>
          <w:p w14:paraId="21DC1FAE" w14:textId="7488C7CD" w:rsidR="0026328A" w:rsidRPr="009D68A3" w:rsidRDefault="0026328A" w:rsidP="00F3746E">
            <w:r w:rsidRPr="0072494F">
              <w:t>Gurley</w:t>
            </w:r>
            <w:r w:rsidRPr="009D68A3">
              <w:t xml:space="preserve"> </w:t>
            </w:r>
            <w:r w:rsidR="00D4359E" w:rsidRPr="00D4359E">
              <w:rPr>
                <w:i/>
              </w:rPr>
              <w:t>et al</w:t>
            </w:r>
            <w:r w:rsidRPr="009D68A3">
              <w:t>., 2008</w:t>
            </w:r>
          </w:p>
        </w:tc>
      </w:tr>
      <w:tr w:rsidR="0026328A" w14:paraId="4B48C728" w14:textId="77777777" w:rsidTr="00F3746E">
        <w:tc>
          <w:tcPr>
            <w:tcW w:w="2144" w:type="dxa"/>
            <w:vAlign w:val="center"/>
          </w:tcPr>
          <w:p w14:paraId="7333184A" w14:textId="77777777" w:rsidR="0026328A" w:rsidRPr="009D68A3" w:rsidRDefault="0026328A" w:rsidP="00F3746E">
            <w:pPr>
              <w:rPr>
                <w:b/>
                <w:bCs/>
              </w:rPr>
            </w:pPr>
            <w:r w:rsidRPr="0072494F">
              <w:rPr>
                <w:rFonts w:eastAsiaTheme="majorEastAsia"/>
                <w:b/>
                <w:bCs/>
              </w:rPr>
              <w:t>Cranberry</w:t>
            </w:r>
            <w:r w:rsidRPr="0072494F">
              <w:t xml:space="preserve"> (</w:t>
            </w:r>
            <w:r w:rsidRPr="0072494F">
              <w:rPr>
                <w:rFonts w:eastAsiaTheme="majorEastAsia"/>
                <w:i/>
                <w:iCs/>
              </w:rPr>
              <w:t>Vaccinium macrocarpon</w:t>
            </w:r>
            <w:r w:rsidRPr="0072494F">
              <w:t>)</w:t>
            </w:r>
          </w:p>
        </w:tc>
        <w:tc>
          <w:tcPr>
            <w:tcW w:w="2497" w:type="dxa"/>
            <w:vAlign w:val="center"/>
          </w:tcPr>
          <w:p w14:paraId="0A37B77C" w14:textId="77777777" w:rsidR="0026328A" w:rsidRPr="009D68A3" w:rsidRDefault="0026328A" w:rsidP="00F3746E">
            <w:r w:rsidRPr="0072494F">
              <w:t>Warfarin</w:t>
            </w:r>
          </w:p>
        </w:tc>
        <w:tc>
          <w:tcPr>
            <w:tcW w:w="2148" w:type="dxa"/>
            <w:vAlign w:val="center"/>
          </w:tcPr>
          <w:p w14:paraId="1686D968" w14:textId="77777777" w:rsidR="0026328A" w:rsidRPr="009D68A3" w:rsidRDefault="0026328A" w:rsidP="00F3746E">
            <w:r w:rsidRPr="0072494F">
              <w:t>Possible increased INR (controversial)</w:t>
            </w:r>
          </w:p>
        </w:tc>
        <w:tc>
          <w:tcPr>
            <w:tcW w:w="2589" w:type="dxa"/>
            <w:vAlign w:val="center"/>
          </w:tcPr>
          <w:p w14:paraId="4E4F1796" w14:textId="68912DA6" w:rsidR="0026328A" w:rsidRPr="009D68A3" w:rsidRDefault="0026328A" w:rsidP="00F3746E">
            <w:r w:rsidRPr="0072494F">
              <w:t>Paeng</w:t>
            </w:r>
            <w:r w:rsidRPr="009D68A3">
              <w:t xml:space="preserve"> </w:t>
            </w:r>
            <w:r w:rsidR="00D4359E" w:rsidRPr="00D4359E">
              <w:rPr>
                <w:i/>
              </w:rPr>
              <w:t>et al</w:t>
            </w:r>
            <w:r w:rsidRPr="009D68A3">
              <w:t>., 2007</w:t>
            </w:r>
          </w:p>
        </w:tc>
      </w:tr>
    </w:tbl>
    <w:p w14:paraId="420D386D" w14:textId="77777777" w:rsidR="0026328A" w:rsidRDefault="0026328A" w:rsidP="0026328A">
      <w:pPr>
        <w:spacing w:line="360" w:lineRule="auto"/>
        <w:jc w:val="both"/>
      </w:pPr>
    </w:p>
    <w:p w14:paraId="103A80D9" w14:textId="77777777" w:rsidR="0026328A" w:rsidRPr="00802BD8" w:rsidRDefault="0026328A" w:rsidP="0026328A">
      <w:pPr>
        <w:spacing w:line="360" w:lineRule="auto"/>
        <w:jc w:val="both"/>
      </w:pPr>
    </w:p>
    <w:p w14:paraId="2F6DB0BE" w14:textId="77777777" w:rsidR="0026328A" w:rsidRPr="00ED613A" w:rsidRDefault="0026328A" w:rsidP="0026328A">
      <w:pPr>
        <w:spacing w:line="360" w:lineRule="auto"/>
        <w:rPr>
          <w:sz w:val="28"/>
          <w:szCs w:val="28"/>
        </w:rPr>
      </w:pPr>
      <w:r w:rsidRPr="00ED613A">
        <w:rPr>
          <w:rFonts w:eastAsia="null"/>
          <w:b/>
          <w:sz w:val="28"/>
          <w:szCs w:val="28"/>
        </w:rPr>
        <w:t>Examples of Significant Plant-Drug Interactions</w:t>
      </w:r>
    </w:p>
    <w:p w14:paraId="1E222D6F" w14:textId="77777777" w:rsidR="0026328A" w:rsidRPr="00ED613A" w:rsidRDefault="0026328A" w:rsidP="0026328A">
      <w:pPr>
        <w:spacing w:line="360" w:lineRule="auto"/>
        <w:rPr>
          <w:b/>
          <w:bCs/>
        </w:rPr>
      </w:pPr>
      <w:r w:rsidRPr="00ED613A">
        <w:rPr>
          <w:b/>
          <w:bCs/>
        </w:rPr>
        <w:t>St. John's Wort and CYP3A4 substrates</w:t>
      </w:r>
    </w:p>
    <w:p w14:paraId="2035CEF2" w14:textId="28C487BA" w:rsidR="0026328A" w:rsidRPr="00802BD8" w:rsidRDefault="0026328A" w:rsidP="0026328A">
      <w:pPr>
        <w:spacing w:line="360" w:lineRule="auto"/>
        <w:jc w:val="both"/>
      </w:pPr>
      <w:r w:rsidRPr="00802BD8">
        <w:t xml:space="preserve">St. John's Wort, a popular herbal supplement used for depression, is known for its significant interactions with various medications, particularly those metabolized by cytochrome P450 3A4 </w:t>
      </w:r>
      <w:r>
        <w:t>(</w:t>
      </w:r>
      <w:r w:rsidRPr="00802BD8">
        <w:t>CYP3A4) enzyme</w:t>
      </w:r>
      <w:hyperlink w:anchor="2af2d9f7fc6c3b549305b31905ef686f_ref" w:history="1">
        <w:r>
          <w:t xml:space="preserve"> (</w:t>
        </w:r>
        <w:r w:rsidRPr="00802BD8">
          <w:t xml:space="preserve">Zahner </w:t>
        </w:r>
        <w:r w:rsidR="00D4359E" w:rsidRPr="00D4359E">
          <w:rPr>
            <w:i/>
          </w:rPr>
          <w:t>et al</w:t>
        </w:r>
        <w:r w:rsidRPr="00802BD8">
          <w:t>., 2019)</w:t>
        </w:r>
      </w:hyperlink>
      <w:r w:rsidRPr="00802BD8">
        <w:t xml:space="preserve"> . This interaction is of great clinical importance because of the widespread use of St. John's Wort and numerous drugs that are CYP3A4 substrates. St. John's Wort induces CYP3A4, leading to increased metabolism and decreased plasma concentration of many drugs, potentially reducing their therapeutic efficacy</w:t>
      </w:r>
      <w:hyperlink w:anchor="967f6ddb84ac30a7980aec22621e26a3_ref" w:history="1">
        <w:r>
          <w:t xml:space="preserve"> (</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Some notable CYP3A4 substrates affected by St. John's Wort include oral contraceptives; anticoagulants such as warfarin; immunosuppressants such as cyclosporine and tacrolimus; HIV protease inhibitors; calcium channel blockers; and certain antidepressants</w:t>
      </w:r>
      <w:hyperlink w:anchor="38e5a794da223dec901be80d23c389ca_ref" w:history="1">
        <w:r>
          <w:t xml:space="preserve"> (</w:t>
        </w:r>
        <w:r w:rsidRPr="00802BD8">
          <w:t xml:space="preserve">Spina </w:t>
        </w:r>
        <w:r w:rsidR="00D4359E" w:rsidRPr="00D4359E">
          <w:rPr>
            <w:i/>
          </w:rPr>
          <w:t>et al</w:t>
        </w:r>
        <w:r w:rsidRPr="00802BD8">
          <w:t>., 2019)</w:t>
        </w:r>
      </w:hyperlink>
      <w:r w:rsidRPr="00802BD8">
        <w:t xml:space="preserve"> . For instance, St. John's Wort can significantly reduce the effectiveness of oral contraceptives, potentially leading to unintended pregnancy. In the case of immunosuppressants, this interaction can result in organ rejection in transplant patients. With anticoagulants, altered metabolism can lead to subtherapeutic anticoagulation and </w:t>
      </w:r>
      <w:r>
        <w:t>an increased risk of thrombosis</w:t>
      </w:r>
      <w:hyperlink w:anchor="8435e14c4a263a1e896cefebc49db29c_ref" w:history="1">
        <w:r>
          <w:t xml:space="preserve"> (</w:t>
        </w:r>
        <w:r w:rsidRPr="00802BD8">
          <w:t xml:space="preserve">Otero </w:t>
        </w:r>
        <w:r w:rsidR="00D4359E" w:rsidRPr="00D4359E">
          <w:rPr>
            <w:i/>
          </w:rPr>
          <w:t>et al</w:t>
        </w:r>
        <w:r w:rsidRPr="00802BD8">
          <w:t>., 2024)</w:t>
        </w:r>
      </w:hyperlink>
      <w:r w:rsidRPr="00802BD8">
        <w:t xml:space="preserve"> . Healthcare providers must be aware of these interactions and carefully monitor patients using St. John's Wort, especially when prescribing or adjusting </w:t>
      </w:r>
      <w:r>
        <w:t>the doses of CYP3A4 substrate medications</w:t>
      </w:r>
      <w:hyperlink w:anchor="967f6ddb84ac30a7980aec22621e26a3_ref" w:history="1">
        <w:r>
          <w:t xml:space="preserve"> </w:t>
        </w:r>
        <w:r>
          <w:lastRenderedPageBreak/>
          <w:t>(</w:t>
        </w:r>
        <w:proofErr w:type="spellStart"/>
        <w:r w:rsidRPr="00802BD8">
          <w:t>Nicolussi</w:t>
        </w:r>
        <w:proofErr w:type="spellEnd"/>
        <w:r w:rsidRPr="00802BD8">
          <w:t xml:space="preserve"> </w:t>
        </w:r>
        <w:r w:rsidR="00D4359E" w:rsidRPr="00D4359E">
          <w:rPr>
            <w:i/>
          </w:rPr>
          <w:t>et al</w:t>
        </w:r>
        <w:r w:rsidRPr="00802BD8">
          <w:t>., 2020)</w:t>
        </w:r>
      </w:hyperlink>
      <w:r w:rsidRPr="00802BD8">
        <w:t xml:space="preserve"> . Patients should be educated about potential risks and advised to disclose any herbal supplement use to their healthcare providers. The mechanism of this interaction involves activation of the </w:t>
      </w:r>
      <w:proofErr w:type="spellStart"/>
      <w:r w:rsidRPr="00802BD8">
        <w:t>pregnane</w:t>
      </w:r>
      <w:proofErr w:type="spellEnd"/>
      <w:r w:rsidRPr="00802BD8">
        <w:t xml:space="preserve"> X receptor by hyperforin, a major active component of St. John's Wort, which leads to increased expression of CYP3A4 and P-glycoprotein. This induction can persist for up to two weeks after discontinuation of St. John's Wort, highlighting the importance of considering recent supplement use in medication management</w:t>
      </w:r>
      <w:hyperlink w:anchor="7095fc39e5f93ae4a619359223573edd_ref" w:history="1">
        <w:r>
          <w:t xml:space="preserve"> (</w:t>
        </w:r>
        <w:r w:rsidRPr="00802BD8">
          <w:t xml:space="preserve">El Hamdaoui </w:t>
        </w:r>
        <w:r w:rsidR="00D4359E" w:rsidRPr="00D4359E">
          <w:rPr>
            <w:i/>
          </w:rPr>
          <w:t>et al</w:t>
        </w:r>
        <w:r w:rsidRPr="00802BD8">
          <w:t>., 2022)</w:t>
        </w:r>
      </w:hyperlink>
      <w:r w:rsidRPr="00802BD8">
        <w:t xml:space="preserve"> .</w:t>
      </w:r>
    </w:p>
    <w:p w14:paraId="4B50E8AA" w14:textId="77777777" w:rsidR="0026328A" w:rsidRPr="00802BD8" w:rsidRDefault="0026328A" w:rsidP="0026328A">
      <w:pPr>
        <w:spacing w:line="360" w:lineRule="auto"/>
        <w:jc w:val="both"/>
      </w:pPr>
    </w:p>
    <w:p w14:paraId="79FA97EC" w14:textId="77777777" w:rsidR="0026328A" w:rsidRPr="00ED613A" w:rsidRDefault="0026328A" w:rsidP="0026328A">
      <w:pPr>
        <w:spacing w:line="360" w:lineRule="auto"/>
        <w:jc w:val="both"/>
        <w:rPr>
          <w:b/>
          <w:bCs/>
        </w:rPr>
      </w:pPr>
      <w:r w:rsidRPr="00ED613A">
        <w:rPr>
          <w:b/>
          <w:bCs/>
        </w:rPr>
        <w:t>Grapefruit juice and CYP3A4 inhibition</w:t>
      </w:r>
    </w:p>
    <w:p w14:paraId="1DA33498" w14:textId="6425B3A8" w:rsidR="0026328A" w:rsidRPr="00802BD8" w:rsidRDefault="0026328A" w:rsidP="0026328A">
      <w:pPr>
        <w:spacing w:line="360" w:lineRule="auto"/>
        <w:jc w:val="both"/>
      </w:pPr>
      <w:r w:rsidRPr="00802BD8">
        <w:t>Grapefruit juice is a well-known example of a significant plant-drug interaction, primarily due to its inhibition of the cytochrome P450 3A4</w:t>
      </w:r>
      <w:r>
        <w:t xml:space="preserve"> (</w:t>
      </w:r>
      <w:r w:rsidRPr="00802BD8">
        <w:t>CYP3A4) enzyme</w:t>
      </w:r>
      <w:hyperlink w:anchor="b72cd5fdbc7f34e3b2c348b12e0d23ce_ref" w:history="1">
        <w:r>
          <w:t xml:space="preserve"> (</w:t>
        </w:r>
        <w:proofErr w:type="spellStart"/>
        <w:r w:rsidRPr="00802BD8">
          <w:t>Pirmohamed</w:t>
        </w:r>
        <w:proofErr w:type="spellEnd"/>
        <w:r w:rsidRPr="00802BD8">
          <w:t>, 2013)</w:t>
        </w:r>
      </w:hyperlink>
      <w:r w:rsidRPr="00802BD8">
        <w:t xml:space="preserve"> . This interaction can lead to </w:t>
      </w:r>
      <w:r>
        <w:t>the increased bioavailability and potential toxicity of various medications metabolized by CYP3A4</w:t>
      </w:r>
      <w:hyperlink w:anchor="9313c01bafb3327a94299c5607c06133_ref" w:history="1">
        <w:r>
          <w:t xml:space="preserve"> (</w:t>
        </w:r>
        <w:proofErr w:type="spellStart"/>
        <w:r w:rsidRPr="00802BD8">
          <w:t>Hakkola</w:t>
        </w:r>
        <w:proofErr w:type="spellEnd"/>
        <w:r w:rsidRPr="00802BD8">
          <w:t xml:space="preserve"> </w:t>
        </w:r>
        <w:r w:rsidR="00D4359E" w:rsidRPr="00D4359E">
          <w:rPr>
            <w:i/>
          </w:rPr>
          <w:t>et al</w:t>
        </w:r>
        <w:r w:rsidRPr="00802BD8">
          <w:t>., 2020)</w:t>
        </w:r>
      </w:hyperlink>
      <w:r w:rsidRPr="00802BD8">
        <w:t xml:space="preserve"> . Other notable plant-drug interactions include St. John's Wort, which can induce CYP3A4 and P-glycoprotein, potentially reducing the efficacy of numerous drugs, including oral contraceptives and anticoagulants</w:t>
      </w:r>
      <w:hyperlink w:anchor="2af2d9f7fc6c3b549305b31905ef686f_ref" w:history="1">
        <w:r>
          <w:t xml:space="preserve"> (</w:t>
        </w:r>
        <w:r w:rsidRPr="00802BD8">
          <w:t xml:space="preserve">Zahner </w:t>
        </w:r>
        <w:r w:rsidR="00D4359E" w:rsidRPr="00D4359E">
          <w:rPr>
            <w:i/>
          </w:rPr>
          <w:t>et al</w:t>
        </w:r>
        <w:r w:rsidRPr="00802BD8">
          <w:t>., 2019)</w:t>
        </w:r>
      </w:hyperlink>
      <w:r w:rsidRPr="00802BD8">
        <w:t xml:space="preserve"> . Garlic supplements may enhance the effects of anticoagulants and increase the risk of bleeding</w:t>
      </w:r>
      <w:hyperlink w:anchor="f02eab375bd1393e8b20fb0062cabfd2_ref" w:history="1">
        <w:r>
          <w:t xml:space="preserve"> (</w:t>
        </w:r>
        <w:r w:rsidRPr="00802BD8">
          <w:t xml:space="preserve">Mai </w:t>
        </w:r>
        <w:r w:rsidR="00D4359E" w:rsidRPr="00D4359E">
          <w:rPr>
            <w:i/>
          </w:rPr>
          <w:t>et al</w:t>
        </w:r>
        <w:r w:rsidRPr="00802BD8">
          <w:t>., 2025)</w:t>
        </w:r>
      </w:hyperlink>
      <w:r w:rsidRPr="00802BD8">
        <w:t xml:space="preserve"> . Ginkgo biloba can interact with antiplatelet drugs and anticoagulants, increasing the risk</w:t>
      </w:r>
      <w:hyperlink w:anchor="f6ca83b3b54f3f78a72b2f16aa378f38_ref" w:history="1">
        <w:r>
          <w:t xml:space="preserve"> (</w:t>
        </w:r>
        <w:r w:rsidRPr="00802BD8">
          <w:t xml:space="preserve">Petersen </w:t>
        </w:r>
        <w:r w:rsidR="00D4359E" w:rsidRPr="00D4359E">
          <w:rPr>
            <w:i/>
          </w:rPr>
          <w:t>et al</w:t>
        </w:r>
        <w:r w:rsidRPr="00802BD8">
          <w:t>., 2021)</w:t>
        </w:r>
      </w:hyperlink>
      <w:r w:rsidRPr="00802BD8">
        <w:t xml:space="preserve"> . Kava </w:t>
      </w:r>
      <w:proofErr w:type="spellStart"/>
      <w:r w:rsidRPr="00802BD8">
        <w:t>kava</w:t>
      </w:r>
      <w:proofErr w:type="spellEnd"/>
      <w:r w:rsidRPr="00802BD8">
        <w:t xml:space="preserve"> may potentiate the effects of benzodiazepines and other central nervous system depressants</w:t>
      </w:r>
      <w:hyperlink w:anchor="8108dd2f37bc36188ac4e8c2ed600e92_ref" w:history="1">
        <w:r>
          <w:t xml:space="preserve"> (</w:t>
        </w:r>
        <w:r w:rsidRPr="00802BD8">
          <w:t xml:space="preserve">Le </w:t>
        </w:r>
        <w:r w:rsidR="00D4359E" w:rsidRPr="00D4359E">
          <w:rPr>
            <w:i/>
          </w:rPr>
          <w:t>et al</w:t>
        </w:r>
        <w:r w:rsidRPr="00802BD8">
          <w:t>., 2022)</w:t>
        </w:r>
      </w:hyperlink>
      <w:r w:rsidRPr="00802BD8">
        <w:t xml:space="preserve"> . Echinacea can alter the metabolism of caffeine and certain medications by affecting CYP1A2 activity</w:t>
      </w:r>
      <w:hyperlink w:anchor="d98a8b6ce2db395f859788a22b963d7c_ref" w:history="1">
        <w:r>
          <w:t xml:space="preserve"> (</w:t>
        </w:r>
        <w:proofErr w:type="spellStart"/>
        <w:r w:rsidRPr="00802BD8">
          <w:t>Wanwimolruk</w:t>
        </w:r>
        <w:proofErr w:type="spellEnd"/>
        <w:r w:rsidRPr="00802BD8">
          <w:t xml:space="preserve"> &amp; </w:t>
        </w:r>
        <w:proofErr w:type="spellStart"/>
        <w:r w:rsidRPr="00802BD8">
          <w:t>Prachayasittikul</w:t>
        </w:r>
        <w:proofErr w:type="spellEnd"/>
        <w:r w:rsidRPr="00802BD8">
          <w:t>, 2014)</w:t>
        </w:r>
      </w:hyperlink>
      <w:r w:rsidRPr="00802BD8">
        <w:t xml:space="preserve"> . Milk thistle may interact with drugs metabolized by CYP2C9, such as warfarin and oral hypoglycemic agents</w:t>
      </w:r>
      <w:hyperlink w:anchor="6354a94fda793298bd6ac4b7ea2a5d6f_ref" w:history="1">
        <w:r>
          <w:t xml:space="preserve"> (</w:t>
        </w:r>
        <w:r w:rsidRPr="00802BD8">
          <w:t xml:space="preserve">Thu </w:t>
        </w:r>
        <w:r w:rsidR="00D4359E" w:rsidRPr="00D4359E">
          <w:rPr>
            <w:i/>
          </w:rPr>
          <w:t>et al</w:t>
        </w:r>
        <w:r w:rsidRPr="00802BD8">
          <w:t>., 2015)</w:t>
        </w:r>
      </w:hyperlink>
      <w:r w:rsidRPr="00802BD8">
        <w:t xml:space="preserve"> . Valerian root</w:t>
      </w:r>
      <w:r>
        <w:t>s can enhance the sedative effects of barbiturates and benzodiazepines</w:t>
      </w:r>
      <w:hyperlink w:anchor="5cd9975a705839208927cd68f1d1db22_ref" w:history="1">
        <w:r>
          <w:t xml:space="preserve"> (</w:t>
        </w:r>
        <w:r w:rsidRPr="00802BD8">
          <w:t xml:space="preserve">Sahin </w:t>
        </w:r>
        <w:r w:rsidR="00D4359E" w:rsidRPr="00D4359E">
          <w:rPr>
            <w:i/>
          </w:rPr>
          <w:t>et al</w:t>
        </w:r>
        <w:r w:rsidRPr="00802BD8">
          <w:t>., 2024)</w:t>
        </w:r>
      </w:hyperlink>
      <w:r w:rsidRPr="00802BD8">
        <w:t xml:space="preserve"> . </w:t>
      </w:r>
      <w:r>
        <w:t xml:space="preserve">The </w:t>
      </w:r>
      <w:r w:rsidRPr="00802BD8">
        <w:t>green tea extract may interfere with the absorption of iron supplements and certain medications. These interactions highlight the importance of considering potential plant-drug interactions in clinical practice and patient education to ensure safe and effective medication use</w:t>
      </w:r>
      <w:hyperlink w:anchor="ab5f7d4aa497320da3d0e7ccb6126a40_ref" w:history="1">
        <w:r>
          <w:t xml:space="preserve"> (</w:t>
        </w:r>
        <w:r w:rsidRPr="00802BD8">
          <w:t xml:space="preserve">Takemura </w:t>
        </w:r>
        <w:r w:rsidR="00D4359E" w:rsidRPr="00D4359E">
          <w:rPr>
            <w:i/>
          </w:rPr>
          <w:t>et al</w:t>
        </w:r>
        <w:r w:rsidRPr="00802BD8">
          <w:t>., 2024)</w:t>
        </w:r>
      </w:hyperlink>
      <w:r w:rsidRPr="00802BD8">
        <w:t xml:space="preserve"> .</w:t>
      </w:r>
    </w:p>
    <w:p w14:paraId="19256870" w14:textId="77777777" w:rsidR="0026328A" w:rsidRPr="00802BD8" w:rsidRDefault="0026328A" w:rsidP="0026328A">
      <w:pPr>
        <w:spacing w:line="360" w:lineRule="auto"/>
        <w:jc w:val="both"/>
      </w:pPr>
    </w:p>
    <w:p w14:paraId="4B245386" w14:textId="77777777" w:rsidR="0026328A" w:rsidRPr="00ED613A" w:rsidRDefault="0026328A" w:rsidP="0026328A">
      <w:pPr>
        <w:spacing w:line="360" w:lineRule="auto"/>
        <w:jc w:val="both"/>
        <w:rPr>
          <w:b/>
          <w:bCs/>
        </w:rPr>
      </w:pPr>
      <w:r w:rsidRPr="00ED613A">
        <w:rPr>
          <w:b/>
          <w:bCs/>
        </w:rPr>
        <w:t>Garlic and anticoagulants</w:t>
      </w:r>
    </w:p>
    <w:p w14:paraId="4BA5166B" w14:textId="2454AB23" w:rsidR="0026328A" w:rsidRPr="00802BD8" w:rsidRDefault="0026328A" w:rsidP="0026328A">
      <w:pPr>
        <w:spacing w:line="360" w:lineRule="auto"/>
        <w:jc w:val="both"/>
      </w:pPr>
      <w:r w:rsidRPr="00802BD8">
        <w:rPr>
          <w:rFonts w:ascii="&quot;Times New Roman&quot;, serif" w:eastAsia="&quot;Times New Roman&quot;, serif" w:hAnsi="&quot;Times New Roman&quot;, serif" w:cs="&quot;Times New Roman&quot;, serif"/>
        </w:rPr>
        <w:t>Garlic</w:t>
      </w:r>
      <w:r>
        <w:rPr>
          <w:rFonts w:ascii="&quot;Times New Roman&quot;, serif" w:eastAsia="&quot;Times New Roman&quot;, serif" w:hAnsi="&quot;Times New Roman&quot;, serif" w:cs="&quot;Times New Roman&quot;, serif"/>
        </w:rPr>
        <w:t xml:space="preserve"> (</w:t>
      </w:r>
      <w:r w:rsidRPr="00802BD8">
        <w:rPr>
          <w:rFonts w:ascii="&quot;Times New Roman&quot;, serif" w:eastAsia="&quot;Times New Roman&quot;, serif" w:hAnsi="&quot;Times New Roman&quot;, serif" w:cs="&quot;Times New Roman&quot;, serif"/>
        </w:rPr>
        <w:t>Allium sativum) is a widely used culinary herb and dietary supplement known for its potential health benefits, including cardiovascular protection and antimicrobial properties</w:t>
      </w:r>
      <w:hyperlink w:anchor="ca1fb30d5f5a3f01b5d170b7618d2266_ref" w:history="1">
        <w:r>
          <w:t xml:space="preserve"> (</w:t>
        </w:r>
        <w:proofErr w:type="spellStart"/>
        <w:r w:rsidRPr="00802BD8">
          <w:t>Zugaro</w:t>
        </w:r>
        <w:proofErr w:type="spellEnd"/>
        <w:r w:rsidRPr="00802BD8">
          <w:t xml:space="preserve">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xml:space="preserve">. However, garlic can interact significantly with anticoagulant </w:t>
      </w:r>
      <w:r w:rsidRPr="00802BD8">
        <w:rPr>
          <w:rFonts w:ascii="&quot;Times New Roman&quot;, serif" w:eastAsia="&quot;Times New Roman&quot;, serif" w:hAnsi="&quot;Times New Roman&quot;, serif" w:cs="&quot;Times New Roman&quot;, serif"/>
        </w:rPr>
        <w:lastRenderedPageBreak/>
        <w:t>medications such as warfarin, leading to potential adverse effects</w:t>
      </w:r>
      <w:hyperlink w:anchor="1159ffd30f1e3b4f864acfd1a36f29b8_ref" w:history="1">
        <w:r>
          <w:t xml:space="preserve"> (</w:t>
        </w:r>
        <w:r w:rsidRPr="00802BD8">
          <w:t xml:space="preserve">Saini </w:t>
        </w:r>
        <w:r w:rsidR="00D4359E" w:rsidRPr="00D4359E">
          <w:rPr>
            <w:i/>
          </w:rPr>
          <w:t>et al</w:t>
        </w:r>
        <w:r w:rsidRPr="00802BD8">
          <w:t>., 2025)</w:t>
        </w:r>
      </w:hyperlink>
      <w:r w:rsidRPr="00802BD8">
        <w:t xml:space="preserve"> </w:t>
      </w:r>
      <w:r w:rsidRPr="00802BD8">
        <w:rPr>
          <w:rFonts w:ascii="&quot;Times New Roman&quot;, serif" w:eastAsia="&quot;Times New Roman&quot;, serif" w:hAnsi="&quot;Times New Roman&quot;, serif" w:cs="&quot;Times New Roman&quot;, serif"/>
        </w:rPr>
        <w:t>. The active compounds in garlic, particularly allicin and its derivatives, possess antiplatelet and fibrinolytic properties that enhance the blood-thinning effects of anticoagulants. This interaction may increase the risk of bleeding and bruising in patients taking both garlic supplements and anticoagulant</w:t>
      </w:r>
      <w:r>
        <w:rPr>
          <w:rFonts w:ascii="&quot;Times New Roman&quot;, serif" w:eastAsia="&quot;Times New Roman&quot;, serif" w:hAnsi="&quot;Times New Roman&quot;, serif" w:cs="&quot;Times New Roman&quot;, serif"/>
        </w:rPr>
        <w:t>s drugs</w:t>
      </w:r>
      <w:hyperlink w:anchor="ca1fb30d5f5a3f01b5d170b7618d2266_ref" w:history="1">
        <w:r>
          <w:t xml:space="preserve"> (</w:t>
        </w:r>
        <w:proofErr w:type="spellStart"/>
        <w:r w:rsidRPr="00802BD8">
          <w:t>Zugaro</w:t>
        </w:r>
        <w:proofErr w:type="spellEnd"/>
        <w:r w:rsidRPr="00802BD8">
          <w:t xml:space="preserve">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xml:space="preserve">. The mechanism of this interaction involves inhibition of platelet aggregation and alteration of the clotting cascade. The effects </w:t>
      </w:r>
      <w:r>
        <w:rPr>
          <w:rFonts w:ascii="&quot;Times New Roman&quot;, serif" w:eastAsia="&quot;Times New Roman&quot;, serif" w:hAnsi="&quot;Times New Roman&quot;, serif" w:cs="&quot;Times New Roman&quot;, serif"/>
        </w:rPr>
        <w:t>of garlic on cytochrome P450 enzymes, particularly CYP2C9, which is responsible for metabolizing warfarin, may also contribute to th</w:t>
      </w:r>
      <w:r w:rsidRPr="00802BD8">
        <w:rPr>
          <w:rFonts w:ascii="&quot;Times New Roman&quot;, serif" w:eastAsia="&quot;Times New Roman&quot;, serif" w:hAnsi="&quot;Times New Roman&quot;, serif" w:cs="&quot;Times New Roman&quot;, serif"/>
        </w:rPr>
        <w:t>is interaction</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w:t>
      </w:r>
      <w:r w:rsidRPr="00802BD8">
        <w:rPr>
          <w:rFonts w:ascii="&quot;Times New Roman&quot;, serif" w:eastAsia="&quot;Times New Roman&quot;, serif" w:hAnsi="&quot;Times New Roman&quot;, serif" w:cs="&quot;Times New Roman&quot;, serif"/>
        </w:rPr>
        <w:t>. Patients on anticoagulant therapy should be cautioned about consuming large amounts of garlic or garlic supplements without consulting their healthcare provider</w:t>
      </w:r>
      <w:hyperlink w:anchor="f0ede5463f1538599fb72f39f61c0014_ref" w:history="1">
        <w:r>
          <w:t xml:space="preserve"> (</w:t>
        </w:r>
        <w:r w:rsidRPr="00802BD8">
          <w:t xml:space="preserve">Morris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xml:space="preserve">. Regular monitoring of </w:t>
      </w:r>
      <w:r>
        <w:rPr>
          <w:rFonts w:ascii="&quot;Times New Roman&quot;, serif" w:eastAsia="&quot;Times New Roman&quot;, serif" w:hAnsi="&quot;Times New Roman&quot;, serif" w:cs="&quot;Times New Roman&quot;, serif"/>
        </w:rPr>
        <w:t xml:space="preserve">the international normalized </w:t>
      </w:r>
      <w:r w:rsidRPr="00802BD8">
        <w:rPr>
          <w:rFonts w:ascii="&quot;Times New Roman&quot;, serif" w:eastAsia="&quot;Times New Roman&quot;, serif" w:hAnsi="&quot;Times New Roman&quot;, serif" w:cs="&quot;Times New Roman&quot;, serif"/>
        </w:rPr>
        <w:t>ratio</w:t>
      </w:r>
      <w:r>
        <w:rPr>
          <w:rFonts w:ascii="&quot;Times New Roman&quot;, serif" w:eastAsia="&quot;Times New Roman&quot;, serif" w:hAnsi="&quot;Times New Roman&quot;, serif" w:cs="&quot;Times New Roman&quot;, serif"/>
        </w:rPr>
        <w:t xml:space="preserve"> (</w:t>
      </w:r>
      <w:r w:rsidRPr="00802BD8">
        <w:rPr>
          <w:rFonts w:ascii="&quot;Times New Roman&quot;, serif" w:eastAsia="&quot;Times New Roman&quot;, serif" w:hAnsi="&quot;Times New Roman&quot;, serif" w:cs="&quot;Times New Roman&quot;, serif"/>
        </w:rPr>
        <w:t>INR) and adjustment of anticoagulant dosage may be necessary for patients who choose to use garlic alongside their prescribed medications</w:t>
      </w:r>
      <w:hyperlink w:anchor="e3cfab16c5ce3a6e8646da94580898ba_ref" w:history="1">
        <w:r>
          <w:t xml:space="preserve"> (</w:t>
        </w:r>
        <w:r w:rsidRPr="00802BD8">
          <w:t xml:space="preserve">Jafari </w:t>
        </w:r>
        <w:r w:rsidR="00D4359E" w:rsidRPr="00D4359E">
          <w:rPr>
            <w:i/>
          </w:rPr>
          <w:t>et al</w:t>
        </w:r>
        <w:r w:rsidRPr="00802BD8">
          <w:t>., 2023)</w:t>
        </w:r>
      </w:hyperlink>
      <w:r w:rsidRPr="00802BD8">
        <w:t xml:space="preserve"> </w:t>
      </w:r>
      <w:r w:rsidRPr="00802BD8">
        <w:rPr>
          <w:rFonts w:ascii="&quot;Times New Roman&quot;, serif" w:eastAsia="&quot;Times New Roman&quot;, serif" w:hAnsi="&quot;Times New Roman&quot;, serif" w:cs="&quot;Times New Roman&quot;, serif"/>
        </w:rPr>
        <w:t>. Healthcare professionals should be aware of this potential interaction and educate patients about the risks associated with combining garlic with anticoagulants to ensure safe and effective anticoagulant therapy</w:t>
      </w:r>
      <w:hyperlink w:anchor="63f1bf874153371691aee0f98fd00b0d_ref" w:history="1">
        <w:r>
          <w:t xml:space="preserve"> (</w:t>
        </w:r>
        <w:r w:rsidRPr="00802BD8">
          <w:t xml:space="preserve">Wang </w:t>
        </w:r>
        <w:r w:rsidR="00D4359E" w:rsidRPr="00D4359E">
          <w:rPr>
            <w:i/>
          </w:rPr>
          <w:t>et al</w:t>
        </w:r>
        <w:r w:rsidRPr="00802BD8">
          <w:t>., 2020)</w:t>
        </w:r>
      </w:hyperlink>
      <w:r w:rsidRPr="00802BD8">
        <w:t xml:space="preserve"> </w:t>
      </w:r>
      <w:r w:rsidRPr="00802BD8">
        <w:rPr>
          <w:rFonts w:ascii="&quot;Times New Roman&quot;, serif" w:eastAsia="&quot;Times New Roman&quot;, serif" w:hAnsi="&quot;Times New Roman&quot;, serif" w:cs="&quot;Times New Roman&quot;, serif"/>
        </w:rPr>
        <w:t>.</w:t>
      </w:r>
    </w:p>
    <w:p w14:paraId="1759DF70" w14:textId="77777777" w:rsidR="0026328A" w:rsidRPr="00802BD8" w:rsidRDefault="0026328A" w:rsidP="0026328A">
      <w:pPr>
        <w:spacing w:line="360" w:lineRule="auto"/>
        <w:jc w:val="both"/>
      </w:pPr>
    </w:p>
    <w:p w14:paraId="6DDD99FC" w14:textId="77777777" w:rsidR="0026328A" w:rsidRPr="00ED613A" w:rsidRDefault="0026328A" w:rsidP="0026328A">
      <w:pPr>
        <w:spacing w:line="360" w:lineRule="auto"/>
        <w:rPr>
          <w:sz w:val="28"/>
          <w:szCs w:val="28"/>
        </w:rPr>
      </w:pPr>
      <w:r w:rsidRPr="00ED613A">
        <w:rPr>
          <w:rFonts w:eastAsia="null"/>
          <w:b/>
          <w:sz w:val="28"/>
          <w:szCs w:val="28"/>
        </w:rPr>
        <w:t>Challenges in Studying Plant-Drug Interactions</w:t>
      </w:r>
    </w:p>
    <w:p w14:paraId="696951A1" w14:textId="77777777" w:rsidR="0026328A" w:rsidRPr="00ED613A" w:rsidRDefault="0026328A" w:rsidP="0026328A">
      <w:pPr>
        <w:spacing w:line="360" w:lineRule="auto"/>
        <w:rPr>
          <w:b/>
          <w:bCs/>
        </w:rPr>
      </w:pPr>
      <w:r w:rsidRPr="00ED613A">
        <w:rPr>
          <w:b/>
          <w:bCs/>
        </w:rPr>
        <w:t>Complex nature of herbal products</w:t>
      </w:r>
    </w:p>
    <w:p w14:paraId="086D7BB6" w14:textId="6465F6AD" w:rsidR="0026328A" w:rsidRPr="00802BD8" w:rsidRDefault="0026328A" w:rsidP="0026328A">
      <w:pPr>
        <w:spacing w:line="360" w:lineRule="auto"/>
        <w:jc w:val="both"/>
      </w:pPr>
      <w:r w:rsidRPr="00802BD8">
        <w:t>Studying plant-drug interactions presents numerous challenges, primarily because of the complex nature of herbal products</w:t>
      </w:r>
      <w:hyperlink w:anchor="05ef0a20ec453092981c10295c4aa72b_ref" w:history="1">
        <w:r>
          <w:t xml:space="preserve"> (</w:t>
        </w:r>
        <w:proofErr w:type="spellStart"/>
        <w:r w:rsidRPr="00802BD8">
          <w:t>Talasaz</w:t>
        </w:r>
        <w:proofErr w:type="spellEnd"/>
        <w:r w:rsidRPr="00802BD8">
          <w:t xml:space="preserve"> </w:t>
        </w:r>
        <w:r w:rsidR="00D4359E" w:rsidRPr="00D4359E">
          <w:rPr>
            <w:i/>
          </w:rPr>
          <w:t>et al</w:t>
        </w:r>
        <w:r w:rsidRPr="00802BD8">
          <w:t>., 2024)</w:t>
        </w:r>
      </w:hyperlink>
      <w:r w:rsidRPr="00802BD8">
        <w:t xml:space="preserve"> . Unlike conventional pharmaceuticals, herbal remedies often contain multiple active compounds, which makes it difficult to isolate and study individual components. Variability in plant composition, influenced by factors such as growing conditions, harvesting methods, and processing techniques, further complicates research efforts</w:t>
      </w:r>
      <w:hyperlink w:anchor="99a46e5843253c279226f890d21e2ff5_ref" w:history="1">
        <w:r>
          <w:t xml:space="preserve"> (</w:t>
        </w:r>
        <w:proofErr w:type="spellStart"/>
        <w:r w:rsidRPr="00802BD8">
          <w:t>Kmail</w:t>
        </w:r>
        <w:proofErr w:type="spellEnd"/>
        <w:r w:rsidRPr="00802BD8">
          <w:t>, 2024)</w:t>
        </w:r>
      </w:hyperlink>
      <w:r w:rsidRPr="00802BD8">
        <w:t xml:space="preserve"> . Additionally, the lack of standardization in herbal product manufacturing and quality control poses significant obstacles for conducting reproducible studies</w:t>
      </w:r>
      <w:hyperlink w:anchor="c393731a834c3dff95f76311723fc3ea_ref" w:history="1">
        <w:r>
          <w:t xml:space="preserve"> (</w:t>
        </w:r>
        <w:r w:rsidRPr="00802BD8">
          <w:t xml:space="preserve">Sánchez-Gómez </w:t>
        </w:r>
        <w:r w:rsidR="00D4359E" w:rsidRPr="00D4359E">
          <w:rPr>
            <w:i/>
          </w:rPr>
          <w:t>et al</w:t>
        </w:r>
        <w:r w:rsidRPr="00802BD8">
          <w:t>., 2024)</w:t>
        </w:r>
      </w:hyperlink>
      <w:r w:rsidRPr="00802BD8">
        <w:t xml:space="preserve"> . Researchers must contend with the potential for synergistic or antagonistic effects between different plant constituents as well as interactions with pharmaceutical drugs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The pharmacokinetics and pharmacodynamics of herbal compounds can be intricate and unpredictable and often vary among individuals due to genetic factors and lifestyle differences. Moreover, the long-term effects of herbal products and their potential interactions with medications are often poorly understood, necessitating extensive clinical and observational studies</w:t>
      </w:r>
      <w:hyperlink w:anchor="1ed4286c876b344ab4723cbf6cd69aca_ref" w:history="1">
        <w:r>
          <w:t xml:space="preserve"> </w:t>
        </w:r>
        <w:r>
          <w:lastRenderedPageBreak/>
          <w:t>(</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The limited regulatory oversight of herbal supplements in many countries further exacerbates these challenges, as the safety and efficacy of these products may not be thoroughly evaluated before </w:t>
      </w:r>
      <w:r>
        <w:t>they reach</w:t>
      </w:r>
      <w:r w:rsidRPr="00802BD8">
        <w:t xml:space="preserve"> consumers</w:t>
      </w:r>
      <w:hyperlink w:anchor="91866111e2de391cafac5b439c89edbb_ref" w:history="1">
        <w:r>
          <w:t xml:space="preserve"> (</w:t>
        </w:r>
        <w:r w:rsidRPr="00802BD8">
          <w:t xml:space="preserve">Stepanova </w:t>
        </w:r>
        <w:r w:rsidR="00D4359E" w:rsidRPr="00D4359E">
          <w:rPr>
            <w:i/>
          </w:rPr>
          <w:t>et al</w:t>
        </w:r>
        <w:r w:rsidRPr="00802BD8">
          <w:t>., 2025)</w:t>
        </w:r>
      </w:hyperlink>
      <w:r w:rsidRPr="00802BD8">
        <w:t xml:space="preserve"> . Consequently, health</w:t>
      </w:r>
      <w:r>
        <w:t xml:space="preserve"> care professionals face difficulties in providing evidence-based recommendations regarding the concurrent use of herbal products and conventional medications, potentially compromising patient safety and treatment efficacy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w:t>
      </w:r>
    </w:p>
    <w:p w14:paraId="6B2FB002" w14:textId="77777777" w:rsidR="0026328A" w:rsidRPr="00802BD8" w:rsidRDefault="0026328A" w:rsidP="0026328A">
      <w:pPr>
        <w:spacing w:line="360" w:lineRule="auto"/>
        <w:jc w:val="both"/>
      </w:pPr>
    </w:p>
    <w:p w14:paraId="1F803417" w14:textId="77777777" w:rsidR="0026328A" w:rsidRPr="00ED613A" w:rsidRDefault="0026328A" w:rsidP="0026328A">
      <w:pPr>
        <w:spacing w:line="360" w:lineRule="auto"/>
        <w:jc w:val="both"/>
        <w:rPr>
          <w:b/>
          <w:bCs/>
        </w:rPr>
      </w:pPr>
      <w:r w:rsidRPr="00ED613A">
        <w:rPr>
          <w:b/>
          <w:bCs/>
        </w:rPr>
        <w:t>Variability in phytochemical content</w:t>
      </w:r>
    </w:p>
    <w:p w14:paraId="145B1779" w14:textId="3A8867C9" w:rsidR="0026328A" w:rsidRPr="00802BD8" w:rsidRDefault="0026328A" w:rsidP="0026328A">
      <w:pPr>
        <w:spacing w:line="360" w:lineRule="auto"/>
        <w:jc w:val="both"/>
      </w:pPr>
      <w:r w:rsidRPr="00802BD8">
        <w:t>Studying plant-drug interactions presents numerous challenges, with variability in phytochemical content being a significant hurdle. Plants contain a complex array of bioactive compounds that can vary widely based on growing conditions, harvest time, storage methods, and processing techniques</w:t>
      </w:r>
      <w:hyperlink w:anchor="8e48275011763840a47f10a6b65d1c06_ref" w:history="1">
        <w:r>
          <w:t xml:space="preserve"> (</w:t>
        </w:r>
        <w:r w:rsidRPr="00802BD8">
          <w:t>Hazra &amp; Singh, 2024)</w:t>
        </w:r>
      </w:hyperlink>
      <w:r w:rsidRPr="00802BD8">
        <w:t xml:space="preserve"> . This variability makes it difficult to standardize herbal preparations and ensure consistent results in research studies. Additionally, the concentration</w:t>
      </w:r>
      <w:r>
        <w:t>s of active compounds can differ between different parts of the same plant, further complicating the analysis</w:t>
      </w:r>
      <w:hyperlink w:anchor="77bf324100413e32bd585bba1e65e418_ref" w:history="1">
        <w:r>
          <w:t xml:space="preserve"> (</w:t>
        </w:r>
        <w:proofErr w:type="spellStart"/>
        <w:r w:rsidRPr="00802BD8">
          <w:t>Ogwu</w:t>
        </w:r>
        <w:proofErr w:type="spellEnd"/>
        <w:r w:rsidRPr="00802BD8">
          <w:t xml:space="preserve"> </w:t>
        </w:r>
        <w:r w:rsidR="00D4359E" w:rsidRPr="00D4359E">
          <w:rPr>
            <w:i/>
          </w:rPr>
          <w:t>et al</w:t>
        </w:r>
        <w:r w:rsidRPr="00802BD8">
          <w:t>., 2025)</w:t>
        </w:r>
      </w:hyperlink>
      <w:r w:rsidRPr="00802BD8">
        <w:t xml:space="preserve"> . Environmental factors, including soil composition, climate, and altitude, can significantly influence the phytochemical profile of plants, leading to inconsistencies in their therapeutic effects and potential interactions with pharmaceutical drugs</w:t>
      </w:r>
      <w:hyperlink w:anchor="0eafc3112dda336b916fe40a079bdc20_ref" w:history="1">
        <w:r>
          <w:t xml:space="preserve"> (</w:t>
        </w:r>
        <w:r w:rsidRPr="00802BD8">
          <w:t>Barba-</w:t>
        </w:r>
        <w:proofErr w:type="spellStart"/>
        <w:r w:rsidRPr="00802BD8">
          <w:t>Ostria</w:t>
        </w:r>
        <w:proofErr w:type="spellEnd"/>
        <w:r w:rsidRPr="00802BD8">
          <w:t xml:space="preserve"> </w:t>
        </w:r>
        <w:r w:rsidR="00D4359E" w:rsidRPr="00D4359E">
          <w:rPr>
            <w:i/>
          </w:rPr>
          <w:t>et al</w:t>
        </w:r>
        <w:r w:rsidRPr="00802BD8">
          <w:t>., 2025)</w:t>
        </w:r>
      </w:hyperlink>
      <w:r w:rsidRPr="00802BD8">
        <w:t xml:space="preserve"> . Genetic variation within plant species can also contribute to differences in phytochemical content, making it challenging to establish reliable dosage recommendations and predict potential drug interactions. Furthermore, the synergistic effects of multiple compounds within a plant can complicate our understanding of individual phytochemical interactions with drugs</w:t>
      </w:r>
      <w:hyperlink w:anchor="9cefa50696683e188369b94ea4cea6aa_ref" w:history="1">
        <w:r>
          <w:t xml:space="preserve"> (</w:t>
        </w:r>
        <w:r w:rsidRPr="00802BD8">
          <w:t xml:space="preserve">Ajayi </w:t>
        </w:r>
        <w:r w:rsidR="00D4359E" w:rsidRPr="00D4359E">
          <w:rPr>
            <w:i/>
          </w:rPr>
          <w:t>et al</w:t>
        </w:r>
        <w:r w:rsidRPr="00802BD8">
          <w:t>., 2023)</w:t>
        </w:r>
      </w:hyperlink>
      <w:r w:rsidRPr="00802BD8">
        <w:t xml:space="preserve"> . The lack of standardization in herbal product manufacturing and quality control adds another layer of complexity to </w:t>
      </w:r>
      <w:r>
        <w:t>the study</w:t>
      </w:r>
      <w:r w:rsidRPr="00802BD8">
        <w:t xml:space="preserve"> </w:t>
      </w:r>
      <w:r>
        <w:t>of plant-drug interactions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Researchers must also contend with the limited availability of analytical methods capable of accurately identifying and quantifying the diverse range of phytochemicals present in plant materials</w:t>
      </w:r>
      <w:hyperlink w:anchor="b7bfbe033651378cab08db45e9392c9d_ref" w:history="1">
        <w:r>
          <w:t xml:space="preserve"> (</w:t>
        </w:r>
        <w:r w:rsidRPr="00802BD8">
          <w:t xml:space="preserve">Frolova </w:t>
        </w:r>
        <w:r w:rsidR="00D4359E" w:rsidRPr="00D4359E">
          <w:rPr>
            <w:i/>
          </w:rPr>
          <w:t>et al</w:t>
        </w:r>
        <w:r w:rsidRPr="00802BD8">
          <w:t>., 2025)</w:t>
        </w:r>
      </w:hyperlink>
      <w:r w:rsidRPr="00802BD8">
        <w:t xml:space="preserve"> . These challenges collectively underscore the need for rigorous scientific approaches and standardized methodologies in the study of plant-drug interactions to ensure the safe and effective use of herbal remedies alongside conventional medications.</w:t>
      </w:r>
    </w:p>
    <w:p w14:paraId="05A02A84" w14:textId="77777777" w:rsidR="0026328A" w:rsidRPr="00802BD8" w:rsidRDefault="0026328A" w:rsidP="0026328A">
      <w:pPr>
        <w:spacing w:line="360" w:lineRule="auto"/>
        <w:jc w:val="both"/>
      </w:pPr>
    </w:p>
    <w:p w14:paraId="6C8BCE36" w14:textId="77777777" w:rsidR="0026328A" w:rsidRPr="00ED613A" w:rsidRDefault="0026328A" w:rsidP="0026328A">
      <w:pPr>
        <w:spacing w:line="360" w:lineRule="auto"/>
        <w:jc w:val="both"/>
        <w:rPr>
          <w:b/>
          <w:bCs/>
        </w:rPr>
      </w:pPr>
      <w:r w:rsidRPr="00ED613A">
        <w:rPr>
          <w:b/>
          <w:bCs/>
        </w:rPr>
        <w:t>Individual genetic differences in CYP450 expression</w:t>
      </w:r>
    </w:p>
    <w:p w14:paraId="4A72D9AA" w14:textId="6161EB23" w:rsidR="0026328A" w:rsidRPr="00802BD8" w:rsidRDefault="0026328A" w:rsidP="0026328A">
      <w:pPr>
        <w:spacing w:line="360" w:lineRule="auto"/>
        <w:jc w:val="both"/>
      </w:pPr>
      <w:r w:rsidRPr="00802BD8">
        <w:lastRenderedPageBreak/>
        <w:t>Studying plant-drug interactions presents numerous challenges, with variability in phytochemical content being a significant hurdle. Plants contain a complex array of bioactive compounds that can vary widely based on growing conditions, harvest time, storage methods, and processing techniques</w:t>
      </w:r>
      <w:hyperlink w:anchor="49797493673f3f89b2c91d440145483f_ref" w:history="1">
        <w:r>
          <w:t xml:space="preserve"> (</w:t>
        </w:r>
        <w:r w:rsidRPr="00802BD8">
          <w:t xml:space="preserve">Sarkar </w:t>
        </w:r>
        <w:r w:rsidR="00D4359E" w:rsidRPr="00D4359E">
          <w:rPr>
            <w:i/>
          </w:rPr>
          <w:t>et al</w:t>
        </w:r>
        <w:r w:rsidRPr="00802BD8">
          <w:t>., 2024)</w:t>
        </w:r>
      </w:hyperlink>
      <w:r w:rsidRPr="00802BD8">
        <w:t xml:space="preserve"> . This variability makes it difficult to standardize herbal preparations and ensure consistent results in research studies. Additionally, the concentration</w:t>
      </w:r>
      <w:r>
        <w:t>s of active compounds can differ between different parts of the same plant, further complicating the analysis</w:t>
      </w:r>
      <w:hyperlink w:anchor="d25f83b0bf6f3d81a774bffafbc85e66_ref" w:history="1">
        <w:r>
          <w:t xml:space="preserve"> (</w:t>
        </w:r>
        <w:r w:rsidRPr="00802BD8">
          <w:t xml:space="preserve">Fiorentino </w:t>
        </w:r>
        <w:r w:rsidR="00D4359E" w:rsidRPr="00D4359E">
          <w:rPr>
            <w:i/>
          </w:rPr>
          <w:t>et al</w:t>
        </w:r>
        <w:r w:rsidRPr="00802BD8">
          <w:t>., 2024)</w:t>
        </w:r>
      </w:hyperlink>
      <w:r w:rsidRPr="00802BD8">
        <w:t xml:space="preserve"> . Environmental factors, including soil composition, climate, and altitude, can significantly influence the phytochemical profile of plants, leading to inconsistencies in their therapeutic effects and potential interactions with pharmaceutical drugs</w:t>
      </w:r>
      <w:hyperlink w:anchor="0eafc3112dda336b916fe40a079bdc20_ref" w:history="1">
        <w:r>
          <w:t xml:space="preserve"> (</w:t>
        </w:r>
        <w:r w:rsidRPr="00802BD8">
          <w:t>Barba-</w:t>
        </w:r>
        <w:proofErr w:type="spellStart"/>
        <w:r w:rsidRPr="00802BD8">
          <w:t>Ostria</w:t>
        </w:r>
        <w:proofErr w:type="spellEnd"/>
        <w:r w:rsidRPr="00802BD8">
          <w:t xml:space="preserve"> </w:t>
        </w:r>
        <w:r w:rsidR="00D4359E" w:rsidRPr="00D4359E">
          <w:rPr>
            <w:i/>
          </w:rPr>
          <w:t>et al</w:t>
        </w:r>
        <w:r w:rsidRPr="00802BD8">
          <w:t>., 2025)</w:t>
        </w:r>
      </w:hyperlink>
      <w:r w:rsidRPr="00802BD8">
        <w:t xml:space="preserve"> . Genetic variation within plant species can also contribute to differences in phytochemical content, making it challenging to establish reliable dosage recommendations and predict potential drug interactions. Furthermore, the synergistic effects of multiple compounds within a plant can complicate our understanding of individual phytochemical interactions with drugs</w:t>
      </w:r>
      <w:hyperlink w:anchor="9cefa50696683e188369b94ea4cea6aa_ref" w:history="1">
        <w:r>
          <w:t xml:space="preserve"> (</w:t>
        </w:r>
        <w:r w:rsidRPr="00802BD8">
          <w:t xml:space="preserve">Ajayi </w:t>
        </w:r>
        <w:r w:rsidR="00D4359E" w:rsidRPr="00D4359E">
          <w:rPr>
            <w:i/>
          </w:rPr>
          <w:t>et al</w:t>
        </w:r>
        <w:r w:rsidRPr="00802BD8">
          <w:t>., 2023)</w:t>
        </w:r>
      </w:hyperlink>
      <w:r w:rsidRPr="00802BD8">
        <w:t xml:space="preserve"> . The lack of standardization in herbal product manufacturing and quality control adds another layer of complexity to </w:t>
      </w:r>
      <w:r>
        <w:t>the study</w:t>
      </w:r>
      <w:r w:rsidRPr="00802BD8">
        <w:t xml:space="preserve"> </w:t>
      </w:r>
      <w:r>
        <w:t>of plant-drug interactions</w:t>
      </w:r>
      <w:hyperlink w:anchor="47b4baed5cfa3f889a8008e39bab96c9_ref" w:history="1">
        <w:r>
          <w:t xml:space="preserve"> (</w:t>
        </w:r>
        <w:proofErr w:type="spellStart"/>
        <w:r w:rsidRPr="00802BD8">
          <w:t>Czigle</w:t>
        </w:r>
        <w:proofErr w:type="spellEnd"/>
        <w:r w:rsidRPr="00802BD8">
          <w:t xml:space="preserve"> </w:t>
        </w:r>
        <w:r w:rsidR="00D4359E" w:rsidRPr="00D4359E">
          <w:rPr>
            <w:i/>
          </w:rPr>
          <w:t>et al</w:t>
        </w:r>
        <w:r w:rsidRPr="00802BD8">
          <w:t>., 2023)</w:t>
        </w:r>
      </w:hyperlink>
      <w:r w:rsidRPr="00802BD8">
        <w:t xml:space="preserve"> . Researchers must also contend with the limited availability of analytical methods capable of accurately identifying and quantifying the diverse range of phytochemicals present in plant materials. These challenges collectively underscore the need for rigorous scientific approaches and standardized methodologies in the study of plant-drug interactions to ensure the safe and effective use of herbal remedies alongside conventional medications</w:t>
      </w:r>
      <w:hyperlink w:anchor="db77974afc413e90b4705655ad57ed3f_ref" w:history="1">
        <w:r>
          <w:t xml:space="preserve"> (</w:t>
        </w:r>
        <w:proofErr w:type="spellStart"/>
        <w:r w:rsidRPr="00802BD8">
          <w:t>Chihomvu</w:t>
        </w:r>
        <w:proofErr w:type="spellEnd"/>
        <w:r w:rsidRPr="00802BD8">
          <w:t xml:space="preserve"> </w:t>
        </w:r>
        <w:r w:rsidR="00D4359E" w:rsidRPr="00D4359E">
          <w:rPr>
            <w:i/>
          </w:rPr>
          <w:t>et al</w:t>
        </w:r>
        <w:r w:rsidRPr="00802BD8">
          <w:t>., 2024)</w:t>
        </w:r>
      </w:hyperlink>
      <w:r w:rsidRPr="00802BD8">
        <w:t xml:space="preserve"> . Individual genetic differences in CYP450 expression further complicate the study of plant-drug interactions. The cytochrome P450 enzyme system plays a crucial role in drug metabolism and variations in CYP450 genes can significantly affect how individuals respond to both pharmaceutical drugs and plant-based compounds</w:t>
      </w:r>
      <w:hyperlink w:anchor="af45ca05fc943834845975a71d9b420b_ref" w:history="1">
        <w:r>
          <w:t xml:space="preserve"> (</w:t>
        </w:r>
        <w:proofErr w:type="spellStart"/>
        <w:r w:rsidRPr="00802BD8">
          <w:t>Galankin</w:t>
        </w:r>
        <w:proofErr w:type="spellEnd"/>
        <w:r w:rsidRPr="00802BD8">
          <w:t xml:space="preserve"> </w:t>
        </w:r>
        <w:r w:rsidR="00D4359E" w:rsidRPr="00D4359E">
          <w:rPr>
            <w:i/>
          </w:rPr>
          <w:t>et al</w:t>
        </w:r>
        <w:r w:rsidRPr="00802BD8">
          <w:t>., 2025)</w:t>
        </w:r>
      </w:hyperlink>
      <w:r w:rsidRPr="00802BD8">
        <w:t xml:space="preserve"> . These genetic polymorphisms can lead to differences in drug efficacy, toxicity, and potential interactions with herbal remedies, making it challenging to predict outcomes across diverse populations</w:t>
      </w:r>
      <w:hyperlink w:anchor="960fd736913934b78b059112407af33a_ref" w:history="1">
        <w:r>
          <w:t xml:space="preserve"> (</w:t>
        </w:r>
        <w:r w:rsidRPr="00802BD8">
          <w:t xml:space="preserve">Zhang </w:t>
        </w:r>
        <w:r w:rsidR="00D4359E" w:rsidRPr="00D4359E">
          <w:rPr>
            <w:i/>
          </w:rPr>
          <w:t>et al</w:t>
        </w:r>
        <w:r w:rsidRPr="00802BD8">
          <w:t>., 2024)</w:t>
        </w:r>
      </w:hyperlink>
      <w:r w:rsidRPr="00802BD8">
        <w:t xml:space="preserve"> . Despite the</w:t>
      </w:r>
      <w:r>
        <w:t>se challenges, there are several strategies that healthcare professionals can employ to effectively manage plant-drug interactions</w:t>
      </w:r>
      <w:r w:rsidRPr="00802BD8">
        <w:t>.</w:t>
      </w:r>
    </w:p>
    <w:p w14:paraId="331525E7" w14:textId="77777777" w:rsidR="0026328A" w:rsidRPr="00802BD8" w:rsidRDefault="0026328A" w:rsidP="0026328A">
      <w:pPr>
        <w:spacing w:line="360" w:lineRule="auto"/>
        <w:jc w:val="both"/>
      </w:pPr>
    </w:p>
    <w:p w14:paraId="4D5BCBE9" w14:textId="77777777" w:rsidR="0026328A" w:rsidRPr="00ED613A" w:rsidRDefault="0026328A" w:rsidP="0026328A">
      <w:pPr>
        <w:spacing w:line="360" w:lineRule="auto"/>
        <w:rPr>
          <w:sz w:val="28"/>
          <w:szCs w:val="28"/>
        </w:rPr>
      </w:pPr>
      <w:r w:rsidRPr="00ED613A">
        <w:rPr>
          <w:rFonts w:ascii="null" w:eastAsia="null" w:hAnsi="null" w:cs="null"/>
          <w:b/>
          <w:sz w:val="28"/>
          <w:szCs w:val="28"/>
        </w:rPr>
        <w:t>Strategies for Managing Plant-Drug Interactions</w:t>
      </w:r>
    </w:p>
    <w:p w14:paraId="55AA7DF0" w14:textId="77777777" w:rsidR="0026328A" w:rsidRPr="00ED613A" w:rsidRDefault="0026328A" w:rsidP="0026328A">
      <w:pPr>
        <w:spacing w:line="360" w:lineRule="auto"/>
        <w:rPr>
          <w:b/>
          <w:bCs/>
        </w:rPr>
      </w:pPr>
      <w:r w:rsidRPr="00ED613A">
        <w:rPr>
          <w:b/>
          <w:bCs/>
        </w:rPr>
        <w:t>Patient education</w:t>
      </w:r>
    </w:p>
    <w:p w14:paraId="08AE474B" w14:textId="1F2E756D" w:rsidR="0026328A" w:rsidRPr="00802BD8" w:rsidRDefault="0026328A" w:rsidP="0026328A">
      <w:pPr>
        <w:spacing w:line="360" w:lineRule="auto"/>
        <w:jc w:val="both"/>
      </w:pPr>
      <w:r w:rsidRPr="00802BD8">
        <w:lastRenderedPageBreak/>
        <w:t>Effective management of plant-drug interactions requires comprehensive patient education as a key strategy</w:t>
      </w:r>
      <w:hyperlink w:anchor="91866111e2de391cafac5b439c89edbb_ref" w:history="1">
        <w:r>
          <w:t xml:space="preserve"> (</w:t>
        </w:r>
        <w:r w:rsidRPr="00802BD8">
          <w:t xml:space="preserve">Stepanova </w:t>
        </w:r>
        <w:r w:rsidR="00D4359E" w:rsidRPr="00D4359E">
          <w:rPr>
            <w:i/>
          </w:rPr>
          <w:t>et al</w:t>
        </w:r>
        <w:r w:rsidRPr="00802BD8">
          <w:t>., 2025)</w:t>
        </w:r>
      </w:hyperlink>
      <w:r w:rsidRPr="00802BD8">
        <w:t xml:space="preserve"> . Healthcare providers must inform patients about the potential risks associated with combining herbal supplements or botanical products with prescription medications</w:t>
      </w:r>
      <w:hyperlink w:anchor="3cf7d00086183a6d9604c43d7cbeeb3a_ref" w:history="1">
        <w:r>
          <w:t xml:space="preserve"> (</w:t>
        </w:r>
        <w:proofErr w:type="spellStart"/>
        <w:r w:rsidRPr="00802BD8">
          <w:t>Ambrosioni</w:t>
        </w:r>
        <w:proofErr w:type="spellEnd"/>
        <w:r w:rsidRPr="00802BD8">
          <w:t xml:space="preserve"> </w:t>
        </w:r>
        <w:r w:rsidR="00D4359E" w:rsidRPr="00D4359E">
          <w:rPr>
            <w:i/>
          </w:rPr>
          <w:t>et al</w:t>
        </w:r>
        <w:r w:rsidRPr="00802BD8">
          <w:t>., 2024)</w:t>
        </w:r>
      </w:hyperlink>
      <w:r w:rsidRPr="00802BD8">
        <w:t xml:space="preserve"> . This education should emphasize the importance of disclosing all dietary supplements, herbal remedies, and over-the-counter products to health</w:t>
      </w:r>
      <w:r>
        <w:t xml:space="preserve"> care professionals. Patients need to understand that natur</w:t>
      </w:r>
      <w:r w:rsidRPr="00802BD8">
        <w:t>e does not always mean safe</w:t>
      </w:r>
      <w:r>
        <w:t>ty</w:t>
      </w:r>
      <w:r w:rsidRPr="00802BD8">
        <w:t xml:space="preserve"> and that plant-based products can significantly impact the efficacy and safety of their prescribed medications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Healthcare providers should explain common interactions, such as how St. John's Wort can reduce the effectiveness of certain antidepressants and how grapefruit juice can interfere with the metabolism of various drugs</w:t>
      </w:r>
      <w:hyperlink w:anchor="1ff453b7f7013bc99cdd559906a5aa84_ref" w:history="1">
        <w:r>
          <w:t xml:space="preserve"> (</w:t>
        </w:r>
        <w:r w:rsidRPr="00802BD8">
          <w:t xml:space="preserve">Hazra </w:t>
        </w:r>
        <w:r w:rsidR="00D4359E" w:rsidRPr="00D4359E">
          <w:rPr>
            <w:i/>
          </w:rPr>
          <w:t>et al</w:t>
        </w:r>
        <w:r w:rsidRPr="00802BD8">
          <w:t>., 2024)</w:t>
        </w:r>
      </w:hyperlink>
      <w:r w:rsidRPr="00802BD8">
        <w:t xml:space="preserve"> . Encouraging patients to maintain an up-to-date list of all substances they consume, including herbs and supplements, can facilitate better communication with healthcare providers</w:t>
      </w:r>
      <w:hyperlink w:anchor="9c50ceb35d3f3f5882f41e8551b7f600_ref" w:history="1">
        <w:r>
          <w:t xml:space="preserve"> (</w:t>
        </w:r>
        <w:proofErr w:type="spellStart"/>
        <w:r w:rsidRPr="00802BD8">
          <w:t>Zakaraya</w:t>
        </w:r>
        <w:proofErr w:type="spellEnd"/>
        <w:r w:rsidRPr="00802BD8">
          <w:t xml:space="preserve"> </w:t>
        </w:r>
        <w:r w:rsidR="00D4359E" w:rsidRPr="00D4359E">
          <w:rPr>
            <w:i/>
          </w:rPr>
          <w:t>et al</w:t>
        </w:r>
        <w:r w:rsidRPr="00802BD8">
          <w:t>., 2024)</w:t>
        </w:r>
      </w:hyperlink>
      <w:r w:rsidRPr="00802BD8">
        <w:t xml:space="preserve"> . Patients should be advised to consult their healthcare provider or pharmacist before starting any new herbal product</w:t>
      </w:r>
      <w:r>
        <w:t>s or supplements, especially if they are taking prescription medications</w:t>
      </w:r>
      <w:hyperlink w:anchor="18459d1b9d27355491b93fa00a51a8a9_ref" w:history="1">
        <w:r>
          <w:t xml:space="preserve"> (</w:t>
        </w:r>
        <w:r w:rsidRPr="00802BD8">
          <w:t>Abo-</w:t>
        </w:r>
        <w:proofErr w:type="spellStart"/>
        <w:r w:rsidRPr="00802BD8">
          <w:t>Elghiet</w:t>
        </w:r>
        <w:proofErr w:type="spellEnd"/>
        <w:r w:rsidRPr="00802BD8">
          <w:t xml:space="preserve"> </w:t>
        </w:r>
        <w:r w:rsidR="00D4359E" w:rsidRPr="00D4359E">
          <w:rPr>
            <w:i/>
          </w:rPr>
          <w:t>et al</w:t>
        </w:r>
        <w:r w:rsidRPr="00802BD8">
          <w:t>., 2025)</w:t>
        </w:r>
      </w:hyperlink>
      <w:r w:rsidRPr="00802BD8">
        <w:t xml:space="preserve"> . Additionally, educating patients about reliable sources of information on plant-drug interactions and teaching them how to recognize potential adverse effects can empower them to make informed decisions about their health. Regular follow-ups and open communication channels between patients and healthcare providers are essential for </w:t>
      </w:r>
      <w:r>
        <w:t xml:space="preserve">the effective monitoring and </w:t>
      </w:r>
      <w:r w:rsidRPr="00802BD8">
        <w:t>management of potential interactions effectively</w:t>
      </w:r>
      <w:hyperlink w:anchor="4ea3d6781c7834ee833f25bc04a402f6_ref" w:history="1">
        <w:r>
          <w:t xml:space="preserve"> (</w:t>
        </w:r>
        <w:r w:rsidRPr="00802BD8">
          <w:t xml:space="preserve">Seo </w:t>
        </w:r>
        <w:r w:rsidR="00D4359E" w:rsidRPr="00D4359E">
          <w:rPr>
            <w:i/>
          </w:rPr>
          <w:t>et al</w:t>
        </w:r>
        <w:r w:rsidRPr="00802BD8">
          <w:t>., 2021)</w:t>
        </w:r>
      </w:hyperlink>
      <w:r w:rsidRPr="00802BD8">
        <w:t xml:space="preserve"> .</w:t>
      </w:r>
    </w:p>
    <w:p w14:paraId="20F1B954" w14:textId="77777777" w:rsidR="0026328A" w:rsidRPr="00802BD8" w:rsidRDefault="0026328A" w:rsidP="0026328A">
      <w:pPr>
        <w:spacing w:line="360" w:lineRule="auto"/>
        <w:jc w:val="both"/>
      </w:pPr>
    </w:p>
    <w:p w14:paraId="745F7E04" w14:textId="77777777" w:rsidR="0026328A" w:rsidRPr="00ED613A" w:rsidRDefault="0026328A" w:rsidP="0026328A">
      <w:pPr>
        <w:spacing w:line="360" w:lineRule="auto"/>
        <w:jc w:val="both"/>
        <w:rPr>
          <w:b/>
          <w:bCs/>
        </w:rPr>
      </w:pPr>
      <w:r w:rsidRPr="00ED613A">
        <w:rPr>
          <w:b/>
          <w:bCs/>
        </w:rPr>
        <w:t>Therapeutic drug monitoring</w:t>
      </w:r>
    </w:p>
    <w:p w14:paraId="0E7249A1" w14:textId="076C1F89" w:rsidR="0026328A" w:rsidRPr="00802BD8" w:rsidRDefault="0026328A" w:rsidP="0026328A">
      <w:pPr>
        <w:spacing w:line="360" w:lineRule="auto"/>
        <w:jc w:val="both"/>
      </w:pPr>
      <w:r w:rsidRPr="00802BD8">
        <w:t>Strategies for managing plant-drug interactions involve a comprehensive approach that combines patient education, careful monitoring, and evidence-based decision-making</w:t>
      </w:r>
      <w:hyperlink w:anchor="ff6ed19b11183ce2afb356ae4a22122d_ref" w:history="1">
        <w:r>
          <w:t xml:space="preserve"> (</w:t>
        </w:r>
        <w:r w:rsidRPr="00802BD8">
          <w:t xml:space="preserve">Biso </w:t>
        </w:r>
        <w:r w:rsidR="00D4359E" w:rsidRPr="00D4359E">
          <w:rPr>
            <w:i/>
          </w:rPr>
          <w:t>et al</w:t>
        </w:r>
        <w:r w:rsidRPr="00802BD8">
          <w:t>., 2024)</w:t>
        </w:r>
      </w:hyperlink>
      <w:r w:rsidRPr="00802BD8">
        <w:t xml:space="preserve"> . Therapeutic drug monitoring plays a crucial role in this process, allowing health</w:t>
      </w:r>
      <w:r>
        <w:t xml:space="preserve"> care providers to assess the effectiveness and safety of medications in the presence of potential herbal interactions. This monitoring involves regular blood tests to measure drug concentrations and adjust dosages accordingly</w:t>
      </w:r>
      <w:hyperlink w:anchor="ff6ed19b11183ce2afb356ae4a22122d_ref" w:history="1">
        <w:r>
          <w:t xml:space="preserve"> (</w:t>
        </w:r>
        <w:r w:rsidRPr="00802BD8">
          <w:t xml:space="preserve">Biso </w:t>
        </w:r>
        <w:r w:rsidR="00D4359E" w:rsidRPr="00D4359E">
          <w:rPr>
            <w:i/>
          </w:rPr>
          <w:t>et al</w:t>
        </w:r>
        <w:r w:rsidRPr="00802BD8">
          <w:t>., 2024)</w:t>
        </w:r>
      </w:hyperlink>
      <w:r w:rsidRPr="00802BD8">
        <w:t xml:space="preserve"> . Healthcare professionals should conduct thorough medication reviews, including th</w:t>
      </w:r>
      <w:r>
        <w:t xml:space="preserve">ose of prescribed drugs and herbal supplements, to identify potential interactions. Patient education is essential, emphasizing the importance of disclosing all herbal </w:t>
      </w:r>
      <w:r w:rsidRPr="00802BD8">
        <w:t>products to healthcare providers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Clinicians should stay informed about common plant-drug interactions and consult reliable databases or specialists when </w:t>
      </w:r>
      <w:r w:rsidRPr="00802BD8">
        <w:lastRenderedPageBreak/>
        <w:t xml:space="preserve">necessary. In some cases, it may be advisable to temporarily discontinue herbal supplements during critical medication periods </w:t>
      </w:r>
      <w:hyperlink w:anchor="ebcbee4df52e31a88520fb198a4a78a0_ref" w:history="1">
        <w:r>
          <w:t xml:space="preserve"> (</w:t>
        </w:r>
        <w:proofErr w:type="spellStart"/>
        <w:r w:rsidRPr="00802BD8">
          <w:t>Stanojević-Ristić</w:t>
        </w:r>
        <w:proofErr w:type="spellEnd"/>
        <w:r w:rsidRPr="00802BD8">
          <w:t xml:space="preserve"> </w:t>
        </w:r>
        <w:r w:rsidR="00D4359E" w:rsidRPr="00D4359E">
          <w:rPr>
            <w:i/>
          </w:rPr>
          <w:t>et al</w:t>
        </w:r>
        <w:r w:rsidRPr="00802BD8">
          <w:t>., 2022)</w:t>
        </w:r>
      </w:hyperlink>
      <w:r w:rsidRPr="00802BD8">
        <w:t xml:space="preserve"> . Implementing a standardized protocol for documenting and reporting adverse events related to plant-drug interactions can contribute to a growing body of knowledge in this field</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Collaboration among healthcare providers, pharmacists, and herbal medicine practitioners can enhance the management of these interactions. Additionally, considering alternative treatment options or adjusting medication schedules may help mitigate </w:t>
      </w:r>
      <w:r>
        <w:t xml:space="preserve">the potential risks. Regular follow-ups and ongoing communication with patients are vital to ensure the effectiveness of the chosen management strategy and </w:t>
      </w:r>
      <w:r w:rsidRPr="00802BD8">
        <w:t>promptly address any emerging concerns promptly</w:t>
      </w:r>
      <w:hyperlink w:anchor="9219016e596c3cd69abe8186b08acd31_ref" w:history="1">
        <w:r>
          <w:t xml:space="preserve"> (</w:t>
        </w:r>
        <w:r w:rsidRPr="00802BD8">
          <w:t>Ahmed &amp; Tamim, 2025)</w:t>
        </w:r>
      </w:hyperlink>
      <w:r w:rsidRPr="00802BD8">
        <w:t xml:space="preserve"> .</w:t>
      </w:r>
    </w:p>
    <w:p w14:paraId="517F67CD" w14:textId="77777777" w:rsidR="0026328A" w:rsidRPr="00802BD8" w:rsidRDefault="0026328A" w:rsidP="0026328A">
      <w:pPr>
        <w:spacing w:line="360" w:lineRule="auto"/>
        <w:jc w:val="both"/>
      </w:pPr>
    </w:p>
    <w:p w14:paraId="1FBDF3CC" w14:textId="77777777" w:rsidR="0026328A" w:rsidRPr="00ED613A" w:rsidRDefault="0026328A" w:rsidP="0026328A">
      <w:pPr>
        <w:spacing w:line="360" w:lineRule="auto"/>
        <w:jc w:val="both"/>
        <w:rPr>
          <w:b/>
          <w:bCs/>
        </w:rPr>
      </w:pPr>
      <w:r w:rsidRPr="00ED613A">
        <w:rPr>
          <w:b/>
          <w:bCs/>
        </w:rPr>
        <w:t>Dosage adjustments</w:t>
      </w:r>
    </w:p>
    <w:p w14:paraId="553EA828" w14:textId="2AF19CBC" w:rsidR="0026328A" w:rsidRPr="00802BD8" w:rsidRDefault="0026328A" w:rsidP="0026328A">
      <w:pPr>
        <w:spacing w:line="360" w:lineRule="auto"/>
        <w:jc w:val="both"/>
      </w:pPr>
      <w:r w:rsidRPr="00802BD8">
        <w:t>Strategies for managing plant-drug interactions involve a comprehensive approach combining patient education, careful monitoring, and evidence-based decision-making</w:t>
      </w:r>
      <w:hyperlink w:anchor="3b35310fa8d0388a9f234cea79894e6b_ref" w:history="1">
        <w:r>
          <w:t xml:space="preserve"> (</w:t>
        </w:r>
        <w:r w:rsidRPr="00802BD8">
          <w:t xml:space="preserve">Huang </w:t>
        </w:r>
        <w:r w:rsidR="00D4359E" w:rsidRPr="00D4359E">
          <w:rPr>
            <w:i/>
          </w:rPr>
          <w:t>et al</w:t>
        </w:r>
        <w:r w:rsidRPr="00802BD8">
          <w:t>., 2025)</w:t>
        </w:r>
      </w:hyperlink>
      <w:r w:rsidRPr="00802BD8">
        <w:t xml:space="preserve"> . Therapeutic drug monitoring plays a crucial role in allowing healthcare providers to assess medication effectiveness and safety in the presence of potential herbal interactions through regular blood tests to measure drug concentrations and adjust dosages accordingly</w:t>
      </w:r>
      <w:hyperlink w:anchor="24c22acd3a5b34c780fd70f60fbdbcca_ref" w:history="1">
        <w:r>
          <w:t xml:space="preserve"> (</w:t>
        </w:r>
        <w:r w:rsidRPr="00802BD8">
          <w:t>Yeom &amp; Cho, 2024)</w:t>
        </w:r>
      </w:hyperlink>
      <w:r w:rsidRPr="00802BD8">
        <w:t xml:space="preserve"> . Healthcare professionals should conduct thorough medication reviews including both prescribed drugs and herbal supplements to identify potential interactions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Patient education is essential, emphasizing the importance of disclosing herbal products to healthcare providers. Clinicians should stay informed about common plant-drug interactions and consult reliable databases or specialists when necessary</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In some cases, temporary discontinuation </w:t>
      </w:r>
      <w:r>
        <w:t xml:space="preserve">of herbal supplements during critical medication periods may be advisable. Implementing a standardized protocol for documenting </w:t>
      </w:r>
      <w:r w:rsidRPr="00802BD8">
        <w:t>and reporting adverse events related to plant-drug interactions can contribute to a growing body of knowledge</w:t>
      </w:r>
      <w:hyperlink w:anchor="957014479ca53559a833be54cf42bba4_ref" w:history="1">
        <w:r>
          <w:t xml:space="preserve"> (</w:t>
        </w:r>
        <w:r w:rsidRPr="00802BD8">
          <w:t>Shaman, 2024)</w:t>
        </w:r>
      </w:hyperlink>
      <w:r w:rsidRPr="00802BD8">
        <w:t xml:space="preserve"> . Collaboration among healthcare providers, pharmacists, and herbal medicine practitioners can enhance interaction management. Alternative treatment options or adjustment of medication schedules may help mitigate </w:t>
      </w:r>
      <w:r>
        <w:t>the potential risks. Regular follow-up</w:t>
      </w:r>
      <w:r w:rsidRPr="00802BD8">
        <w:t xml:space="preserve"> and ongoing communication with patients are vital to ensure the effectiveness of the chosen management strategy and </w:t>
      </w:r>
      <w:r>
        <w:t>promptly address emerging concerns promptly</w:t>
      </w:r>
      <w:hyperlink w:anchor="9219016e596c3cd69abe8186b08acd31_ref" w:history="1">
        <w:r>
          <w:t xml:space="preserve"> (</w:t>
        </w:r>
        <w:r w:rsidRPr="00802BD8">
          <w:t>Ahmed &amp; Tamim, 2025)</w:t>
        </w:r>
      </w:hyperlink>
      <w:r w:rsidRPr="00802BD8">
        <w:t xml:space="preserve"> . Dosage adjustments are a key aspect of managing plant-drug interactions, requiring careful consideration of individual patient </w:t>
      </w:r>
      <w:r w:rsidRPr="00802BD8">
        <w:lastRenderedPageBreak/>
        <w:t>factors, drug pharmacokinetics, and the specific herbal compounds involved. Healthcare providers may need to increase or decrease medication dosages based on observed interactions and closely monitor patient</w:t>
      </w:r>
      <w:r>
        <w:t xml:space="preserve">s’ responses </w:t>
      </w:r>
      <w:r w:rsidRPr="00802BD8">
        <w:t>to achieve optimal therapeutic outcomes while minimizing adverse effects</w:t>
      </w:r>
      <w:hyperlink w:anchor="00a5e98c4ac43b58a907e5b1f5d5a821_ref" w:history="1">
        <w:r>
          <w:t xml:space="preserve"> (</w:t>
        </w:r>
        <w:proofErr w:type="spellStart"/>
        <w:r w:rsidRPr="00802BD8">
          <w:t>Chaachouay</w:t>
        </w:r>
        <w:proofErr w:type="spellEnd"/>
        <w:r w:rsidRPr="00802BD8">
          <w:t>, 2025)</w:t>
        </w:r>
      </w:hyperlink>
      <w:r w:rsidRPr="00802BD8">
        <w:t xml:space="preserve"> . As our understanding of plant-drug interactions continues to evolve, several promising avenues for future research and development emerge."</w:t>
      </w:r>
    </w:p>
    <w:p w14:paraId="5FC5F892" w14:textId="77777777" w:rsidR="0026328A" w:rsidRPr="00802BD8" w:rsidRDefault="0026328A" w:rsidP="0026328A">
      <w:pPr>
        <w:spacing w:line="360" w:lineRule="auto"/>
        <w:jc w:val="both"/>
      </w:pPr>
    </w:p>
    <w:p w14:paraId="48DDE469" w14:textId="77777777" w:rsidR="0026328A" w:rsidRPr="00ED613A" w:rsidRDefault="0026328A" w:rsidP="0026328A">
      <w:pPr>
        <w:spacing w:line="360" w:lineRule="auto"/>
        <w:rPr>
          <w:sz w:val="28"/>
          <w:szCs w:val="28"/>
        </w:rPr>
      </w:pPr>
      <w:r w:rsidRPr="00ED613A">
        <w:rPr>
          <w:rFonts w:eastAsia="null"/>
          <w:b/>
          <w:sz w:val="28"/>
          <w:szCs w:val="28"/>
        </w:rPr>
        <w:t>Future Directions</w:t>
      </w:r>
    </w:p>
    <w:p w14:paraId="03907527" w14:textId="77777777" w:rsidR="0026328A" w:rsidRPr="00ED613A" w:rsidRDefault="0026328A" w:rsidP="0026328A">
      <w:pPr>
        <w:spacing w:line="360" w:lineRule="auto"/>
        <w:rPr>
          <w:b/>
          <w:bCs/>
        </w:rPr>
      </w:pPr>
      <w:r w:rsidRPr="00ED613A">
        <w:rPr>
          <w:b/>
          <w:bCs/>
        </w:rPr>
        <w:t>Improved screening methods for potential interactions</w:t>
      </w:r>
    </w:p>
    <w:p w14:paraId="57EB06F3" w14:textId="7A0C9991" w:rsidR="0026328A" w:rsidRPr="00802BD8" w:rsidRDefault="0026328A" w:rsidP="0026328A">
      <w:pPr>
        <w:spacing w:line="360" w:lineRule="auto"/>
        <w:jc w:val="both"/>
      </w:pPr>
      <w:r w:rsidRPr="00802BD8">
        <w:t>Plant-drug interactions mediated by cytochrome P450 enzymes have significant clinical implications, necessitating improved screening methods for potential interactions</w:t>
      </w:r>
      <w:hyperlink w:anchor="f064afdb607436aea266b2f115932713_ref" w:history="1">
        <w:r>
          <w:t xml:space="preserve"> (</w:t>
        </w:r>
        <w:r w:rsidRPr="00802BD8">
          <w:t>Guengerich, 2024)</w:t>
        </w:r>
      </w:hyperlink>
      <w:r w:rsidRPr="00802BD8">
        <w:t xml:space="preserve"> . Future research should focus on developing high-throughput assays to rapidly identify </w:t>
      </w:r>
      <w:r>
        <w:t xml:space="preserve">the phytochemicals that modulate CYP450 activity. These assays </w:t>
      </w:r>
      <w:r w:rsidRPr="00802BD8">
        <w:t>can incorporate advanced technologies</w:t>
      </w:r>
      <w:r>
        <w:t>, such as microfluidics, organ-on-a-chip models, and artificial intelligence, to predict interactions more accurately</w:t>
      </w:r>
      <w:hyperlink w:anchor="8f83b661567b3e75aa4a030760d88f2f_ref" w:history="1">
        <w:r>
          <w:t xml:space="preserve"> (</w:t>
        </w:r>
        <w:r w:rsidRPr="00802BD8">
          <w:t xml:space="preserve">Kandel </w:t>
        </w:r>
        <w:r w:rsidR="00D4359E" w:rsidRPr="00D4359E">
          <w:rPr>
            <w:i/>
          </w:rPr>
          <w:t>et al</w:t>
        </w:r>
        <w:r w:rsidRPr="00802BD8">
          <w:t>., 2024)</w:t>
        </w:r>
      </w:hyperlink>
      <w:r w:rsidRPr="00802BD8">
        <w:t xml:space="preserve"> . Metabolomic approaches can be employed to comprehensively analyze the effects of plant compounds on drug metabolism. Additionally, pharmacogenomic studies should be conducted to understand how genetic variations in CYP450 enzymes influence individual susceptibility to plant-drug interactions</w:t>
      </w:r>
      <w:hyperlink w:anchor="c0a5135e255b34b4a71db42d5374c501_ref" w:history="1">
        <w:r>
          <w:t xml:space="preserve"> (</w:t>
        </w:r>
        <w:r w:rsidRPr="00802BD8">
          <w:t>Guttman &amp; Kerem, 2022)</w:t>
        </w:r>
      </w:hyperlink>
      <w:r w:rsidRPr="00802BD8">
        <w:t xml:space="preserve"> . Improved in silico modeling techniques can help predict potential interactions based on chemical structures and molecular docking simulations</w:t>
      </w:r>
      <w:hyperlink w:anchor="1ed4286c876b344ab4723cbf6cd69aca_ref" w:history="1">
        <w:r>
          <w:t xml:space="preserve"> (</w:t>
        </w:r>
        <w:proofErr w:type="spellStart"/>
        <w:r w:rsidRPr="00802BD8">
          <w:t>Zaroug</w:t>
        </w:r>
        <w:proofErr w:type="spellEnd"/>
        <w:r w:rsidRPr="00802BD8">
          <w:t xml:space="preserve"> </w:t>
        </w:r>
        <w:r w:rsidR="00D4359E" w:rsidRPr="00D4359E">
          <w:rPr>
            <w:i/>
          </w:rPr>
          <w:t>et al</w:t>
        </w:r>
        <w:r w:rsidRPr="00802BD8">
          <w:t>., 2023)</w:t>
        </w:r>
      </w:hyperlink>
      <w:r w:rsidRPr="00802BD8">
        <w:t xml:space="preserve"> . Standardization of herbal product composition and quality control measures is crucial for </w:t>
      </w:r>
      <w:r>
        <w:t>obtaining consistent and reliable screening results. Clinical studies should be designed to evaluate the long-term effects of plant-drug interactions and their impact on therapeutic outcomes</w:t>
      </w:r>
      <w:hyperlink w:anchor="328bf2f9ba91373293139cc916f50664_ref" w:history="1">
        <w:r>
          <w:t xml:space="preserve"> (</w:t>
        </w:r>
        <w:r w:rsidRPr="00802BD8">
          <w:t xml:space="preserve">Bernardo &amp; </w:t>
        </w:r>
        <w:proofErr w:type="spellStart"/>
        <w:r w:rsidRPr="00802BD8">
          <w:t>Valentão</w:t>
        </w:r>
        <w:proofErr w:type="spellEnd"/>
        <w:r w:rsidRPr="00802BD8">
          <w:t>, 2024)</w:t>
        </w:r>
      </w:hyperlink>
      <w:r w:rsidRPr="00802BD8">
        <w:t xml:space="preserve"> . Furthermore, developing a centralized database of known plant-drug interactions and their mechanisms would facilitate better risk assessment and patient counseling</w:t>
      </w:r>
      <w:hyperlink w:anchor="917bf2b33a4b3c9f929ad1d5e096e6a8_ref" w:history="1">
        <w:r>
          <w:t xml:space="preserve"> (</w:t>
        </w:r>
        <w:r w:rsidRPr="00802BD8">
          <w:t xml:space="preserve">Subih </w:t>
        </w:r>
        <w:r w:rsidR="00D4359E" w:rsidRPr="00D4359E">
          <w:rPr>
            <w:i/>
          </w:rPr>
          <w:t>et al</w:t>
        </w:r>
        <w:r w:rsidRPr="00802BD8">
          <w:t>., 2025)</w:t>
        </w:r>
      </w:hyperlink>
      <w:r w:rsidRPr="00802BD8">
        <w:t xml:space="preserve"> . Education and awareness programs for healthcare professionals and the public regarding the potential risks of combining herbal products with conventional medications are essential. Collaborative efforts among pharmacologists, botanists, and clinicians can lead to more comprehensive and clinically relevant screening approaches, ultimately improving patient safety and therapeutic efficacy.</w:t>
      </w:r>
    </w:p>
    <w:p w14:paraId="6E767171" w14:textId="77777777" w:rsidR="0026328A" w:rsidRPr="00802BD8" w:rsidRDefault="0026328A" w:rsidP="0026328A">
      <w:pPr>
        <w:spacing w:line="360" w:lineRule="auto"/>
        <w:jc w:val="both"/>
      </w:pPr>
    </w:p>
    <w:p w14:paraId="50EADBBC" w14:textId="77777777" w:rsidR="0026328A" w:rsidRPr="00ED613A" w:rsidRDefault="0026328A" w:rsidP="0026328A">
      <w:pPr>
        <w:spacing w:line="360" w:lineRule="auto"/>
        <w:jc w:val="both"/>
        <w:rPr>
          <w:b/>
          <w:bCs/>
        </w:rPr>
      </w:pPr>
      <w:r w:rsidRPr="00ED613A">
        <w:rPr>
          <w:b/>
          <w:bCs/>
        </w:rPr>
        <w:t>Development of predictive models</w:t>
      </w:r>
    </w:p>
    <w:p w14:paraId="5CFC937C" w14:textId="4303AC3A" w:rsidR="0026328A" w:rsidRPr="00802BD8" w:rsidRDefault="0026328A" w:rsidP="0026328A">
      <w:pPr>
        <w:spacing w:line="360" w:lineRule="auto"/>
        <w:jc w:val="both"/>
      </w:pPr>
      <w:r w:rsidRPr="00802BD8">
        <w:lastRenderedPageBreak/>
        <w:t>Plant-drug interactions mediated by cytochrome P450 enzymes have significant clinical implications, necessitating a comprehensive understanding of the mechanisms involved and development of predictive models for future research</w:t>
      </w:r>
      <w:hyperlink w:anchor="538ea6be634c3f6e90adbed032f181e4_ref" w:history="1">
        <w:r>
          <w:t xml:space="preserve"> (</w:t>
        </w:r>
        <w:r w:rsidRPr="00802BD8">
          <w:t xml:space="preserve">Wang </w:t>
        </w:r>
        <w:r w:rsidR="00D4359E" w:rsidRPr="00D4359E">
          <w:rPr>
            <w:i/>
          </w:rPr>
          <w:t>et al</w:t>
        </w:r>
        <w:r w:rsidRPr="00802BD8">
          <w:t>., 2022)</w:t>
        </w:r>
      </w:hyperlink>
      <w:r w:rsidRPr="00802BD8">
        <w:t xml:space="preserve"> . Common phytochemicals found in dietary supplements and herbal remedies can modulate CYP450 activity, leading to altered drug metabolism and potential adverse effects</w:t>
      </w:r>
      <w:hyperlink w:anchor="e60bd59086043ad2800db11fa1a90a82_ref" w:history="1">
        <w:r>
          <w:t xml:space="preserve"> (</w:t>
        </w:r>
        <w:proofErr w:type="spellStart"/>
        <w:r w:rsidRPr="00802BD8">
          <w:t>Bathaei</w:t>
        </w:r>
        <w:proofErr w:type="spellEnd"/>
        <w:r w:rsidRPr="00802BD8">
          <w:t xml:space="preserve"> </w:t>
        </w:r>
        <w:r w:rsidR="00D4359E" w:rsidRPr="00D4359E">
          <w:rPr>
            <w:i/>
          </w:rPr>
          <w:t>et al</w:t>
        </w:r>
        <w:r w:rsidRPr="00802BD8">
          <w:t>., 2024)</w:t>
        </w:r>
      </w:hyperlink>
      <w:r w:rsidRPr="00802BD8">
        <w:t xml:space="preserve"> . Future research should focus on the development of sophisticated predictive models that integrate multiple factors, including the chemical structures of phytochemicals, their concentrations in plant extracts, and their interactions with specific CYP450 isoforms</w:t>
      </w:r>
      <w:hyperlink w:anchor="fc027c3c7f6935f09729c17c303a02e0_ref" w:history="1">
        <w:r>
          <w:t xml:space="preserve"> (</w:t>
        </w:r>
        <w:r w:rsidRPr="00802BD8">
          <w:t xml:space="preserve">Zahid </w:t>
        </w:r>
        <w:r w:rsidR="00D4359E" w:rsidRPr="00D4359E">
          <w:rPr>
            <w:i/>
          </w:rPr>
          <w:t>et al</w:t>
        </w:r>
        <w:r w:rsidRPr="00802BD8">
          <w:t>., 2024)</w:t>
        </w:r>
      </w:hyperlink>
      <w:r w:rsidRPr="00802BD8">
        <w:t xml:space="preserve"> . These models should incorporate machine learning algorithms and large-scale genomic data to improve </w:t>
      </w:r>
      <w:r>
        <w:t>their accuracy and predictive power</w:t>
      </w:r>
      <w:hyperlink w:anchor="f102cd7b5b283dcc88e0c2950fca57b4_ref" w:history="1">
        <w:r>
          <w:t xml:space="preserve"> (</w:t>
        </w:r>
        <w:r w:rsidRPr="00802BD8">
          <w:t xml:space="preserve">Bai </w:t>
        </w:r>
        <w:r w:rsidR="00D4359E" w:rsidRPr="00D4359E">
          <w:rPr>
            <w:i/>
          </w:rPr>
          <w:t>et al</w:t>
        </w:r>
        <w:r w:rsidRPr="00802BD8">
          <w:t>., 2024)</w:t>
        </w:r>
      </w:hyperlink>
      <w:r w:rsidRPr="00802BD8">
        <w:t xml:space="preserve"> . Additionally, research efforts should aim to elucidate the complex interplay between multiple phytochemicals and their combined effects on CYP450 activity, as well as investigate the potential for personalized medicine approaches based on individual genetic variations in CYP450 enzymes</w:t>
      </w:r>
      <w:hyperlink w:anchor="fc027c3c7f6935f09729c17c303a02e0_ref" w:history="1">
        <w:r>
          <w:t xml:space="preserve"> (</w:t>
        </w:r>
        <w:r w:rsidRPr="00802BD8">
          <w:t xml:space="preserve">Zahid </w:t>
        </w:r>
        <w:r w:rsidR="00D4359E" w:rsidRPr="00D4359E">
          <w:rPr>
            <w:i/>
          </w:rPr>
          <w:t>et al</w:t>
        </w:r>
        <w:r w:rsidRPr="00802BD8">
          <w:t>., 2024)</w:t>
        </w:r>
      </w:hyperlink>
      <w:r w:rsidRPr="00802BD8">
        <w:t xml:space="preserve"> . The development of high-throughput screening methods for identifying novel plant-drug interactions and the establishment of standardized protocols for assessing the safety and efficacy of herbal products in combination with conventional medications are crucial steps forward</w:t>
      </w:r>
      <w:hyperlink w:anchor="2578b79eda3a332795392b43c9d40e28_ref" w:history="1">
        <w:r>
          <w:t xml:space="preserve"> (</w:t>
        </w:r>
        <w:r w:rsidRPr="00802BD8">
          <w:t xml:space="preserve">Park </w:t>
        </w:r>
        <w:r w:rsidR="00D4359E" w:rsidRPr="00D4359E">
          <w:rPr>
            <w:i/>
          </w:rPr>
          <w:t>et al</w:t>
        </w:r>
        <w:r w:rsidRPr="00802BD8">
          <w:t>., 2024)</w:t>
        </w:r>
      </w:hyperlink>
      <w:r w:rsidRPr="00802BD8">
        <w:t xml:space="preserve"> . Furthermore, future studies should explore the long-term effects of chronic exposure to phytochemicals on CYP450 expression and activity as well as investigate potential epigenetic modifications that may influence drug metabolism</w:t>
      </w:r>
      <w:hyperlink w:anchor="c883aa6ace1437518630d181c5b96553_ref" w:history="1">
        <w:r>
          <w:t xml:space="preserve"> (</w:t>
        </w:r>
        <w:r w:rsidRPr="00802BD8">
          <w:t>Durairaj &amp; Liu, 2025)</w:t>
        </w:r>
      </w:hyperlink>
      <w:r w:rsidRPr="00802BD8">
        <w:t xml:space="preserve"> . Ultimately, these advancements will contribute to improved patient safety, more effective therapeutic outcomes, and better understanding of the intricate relationships between plant-based compounds and pharmaceutical agents in the human body.</w:t>
      </w:r>
    </w:p>
    <w:p w14:paraId="60B2F43B" w14:textId="77777777" w:rsidR="0026328A" w:rsidRPr="00802BD8" w:rsidRDefault="0026328A" w:rsidP="0026328A">
      <w:pPr>
        <w:spacing w:line="360" w:lineRule="auto"/>
        <w:jc w:val="both"/>
      </w:pPr>
    </w:p>
    <w:p w14:paraId="4C5062C2" w14:textId="77777777" w:rsidR="0026328A" w:rsidRPr="009D68A3" w:rsidRDefault="0026328A" w:rsidP="0026328A">
      <w:pPr>
        <w:spacing w:line="360" w:lineRule="auto"/>
        <w:jc w:val="both"/>
        <w:rPr>
          <w:b/>
          <w:bCs/>
        </w:rPr>
      </w:pPr>
      <w:r w:rsidRPr="009D68A3">
        <w:rPr>
          <w:b/>
          <w:bCs/>
        </w:rPr>
        <w:t>Personalized medicine approaches</w:t>
      </w:r>
    </w:p>
    <w:p w14:paraId="42E998D3" w14:textId="77777777" w:rsidR="0026328A" w:rsidRPr="00802BD8" w:rsidRDefault="0026328A" w:rsidP="0026328A">
      <w:pPr>
        <w:spacing w:line="360" w:lineRule="auto"/>
        <w:jc w:val="both"/>
      </w:pPr>
      <w:r w:rsidRPr="00802BD8">
        <w:t xml:space="preserve">Plant-drug interactions mediated by cytochrome P450 enzymes have significant clinical implications, particularly for personalized medicine. As </w:t>
      </w:r>
      <w:r>
        <w:t xml:space="preserve">the use of herbal </w:t>
      </w:r>
      <w:r w:rsidRPr="00802BD8">
        <w:t xml:space="preserve">supplements increases, understanding how phytochemicals modulate CYP450 activity is crucial. Future research should focus on the complex interplay between plant compounds and drug-metabolizing enzymes, considering genetic polymorphisms, environmental influences, and individual metabolic variabilities. Personalized medical approaches may involve developing comprehensive plant-drug interaction databases, incorporating genomic data to predict interaction susceptibility, and using </w:t>
      </w:r>
      <w:r w:rsidRPr="00802BD8">
        <w:lastRenderedPageBreak/>
        <w:t xml:space="preserve">advanced computational models to simulate metabolic processes. High-throughput screening methods to identify potential interactions and implement pharmacogenomic testing in clinical practice could enhance patient safety and treatment efficacy. Studies should explore </w:t>
      </w:r>
      <w:r>
        <w:t xml:space="preserve">the beneficial aspects of plant-drug interactions, such as using phytochemicals to enhance drug bioavailability or reduce side effects. Integrating traditional herbal medicine knowledge with modern scientific approaches may lead to the development of novel therapeutic strategies. A nuanced understanding of plant-drug interactions </w:t>
      </w:r>
      <w:r w:rsidRPr="00802BD8">
        <w:t xml:space="preserve">is essential for optimizing treatment outcomes, minimizing adverse effects, and tailoring interventions to individual patient profiles. This approach requires interdisciplinary collaboration among pharmacologists, geneticists, clinicians, and bioinformaticians to develop predictive models and clinical decision-support tools. Regulatory bodies may need to adapt guidelines to address plant-drug interaction complexities in personalized medicine, ensuring safety and efficacy in drug development and clinical practice. Future directions should also include investigating the role of </w:t>
      </w:r>
      <w:r>
        <w:t>the gut microbiota in plant-drug interactions, as the microbiome can significantly influence drug metabolism and bioavailability.</w:t>
      </w:r>
    </w:p>
    <w:p w14:paraId="1698A328" w14:textId="77777777" w:rsidR="0026328A" w:rsidRPr="00802BD8" w:rsidRDefault="0026328A" w:rsidP="0026328A">
      <w:pPr>
        <w:spacing w:line="360" w:lineRule="auto"/>
        <w:jc w:val="both"/>
      </w:pPr>
    </w:p>
    <w:p w14:paraId="78B7FA76" w14:textId="77777777" w:rsidR="0026328A" w:rsidRPr="009D68A3" w:rsidRDefault="0026328A" w:rsidP="0026328A">
      <w:pPr>
        <w:spacing w:line="360" w:lineRule="auto"/>
        <w:rPr>
          <w:sz w:val="28"/>
          <w:szCs w:val="28"/>
        </w:rPr>
      </w:pPr>
      <w:r w:rsidRPr="009D68A3">
        <w:rPr>
          <w:rFonts w:eastAsia="null"/>
          <w:b/>
          <w:sz w:val="28"/>
          <w:szCs w:val="28"/>
        </w:rPr>
        <w:t>Conclusion</w:t>
      </w:r>
    </w:p>
    <w:p w14:paraId="45108544" w14:textId="77777777" w:rsidR="0026328A" w:rsidRPr="00F52094" w:rsidRDefault="0026328A" w:rsidP="0026328A">
      <w:pPr>
        <w:spacing w:line="360" w:lineRule="auto"/>
        <w:jc w:val="both"/>
      </w:pPr>
      <w:r w:rsidRPr="00F52094">
        <w:t>The modulation of cytochrome P450</w:t>
      </w:r>
      <w:r>
        <w:t xml:space="preserve"> (</w:t>
      </w:r>
      <w:r w:rsidRPr="00F52094">
        <w:t>CYP450) enzymes by phytochemicals is a critical area of study in pharmacology and clinical medicine, with profound implications for drug efficacy and patient safety. This review highlights the diverse mechanisms through which phytochemicals</w:t>
      </w:r>
      <w:r w:rsidRPr="00802BD8">
        <w:t xml:space="preserve"> </w:t>
      </w:r>
      <w:r w:rsidRPr="00F52094">
        <w:t>such as flavonoids, polyphenols, alkaloids, and terpenes</w:t>
      </w:r>
      <w:r w:rsidRPr="00802BD8">
        <w:t xml:space="preserve"> </w:t>
      </w:r>
      <w:r w:rsidRPr="00F52094">
        <w:t>interact with CYP450 enzymes, including enzyme inhibition, induction, and alterations in gene expression. These interactions can significantly influence the pharmacokinetics of drugs, leading to either therapeutic failure or adverse effects, as exemplified by well-documented cases involving St. John's Wort, grapefruit juice, and garlic.</w:t>
      </w:r>
      <w:r w:rsidRPr="00802BD8">
        <w:t xml:space="preserve"> </w:t>
      </w:r>
      <w:r w:rsidRPr="00F52094">
        <w:t>The clinical relevance of these interactions underscores the need for heightened awareness between healthcare providers and patients. Variability in phytochemical content, the complex nature of herbal products, and individual genetic differences in CYP450 expression further complicate the prediction and management of plant-drug interactions. Addressing these challenges requires a multifaceted approach, including improved screening methods, predictive modeling, and personalized medicine strategies.</w:t>
      </w:r>
      <w:r w:rsidRPr="00802BD8">
        <w:t xml:space="preserve"> </w:t>
      </w:r>
      <w:r w:rsidRPr="00F52094">
        <w:t xml:space="preserve">Future research should prioritize the development of standardized protocols for assessing </w:t>
      </w:r>
      <w:r>
        <w:t xml:space="preserve">the phytochemical effects on CYP450 enzymes, as well as the integration of pharmacogenomic data to tailor therapeutic interventions. Interdisciplinary </w:t>
      </w:r>
      <w:r>
        <w:lastRenderedPageBreak/>
        <w:t xml:space="preserve">collaboration and continued education </w:t>
      </w:r>
      <w:r w:rsidRPr="00F52094">
        <w:t>of healthcare professionals are essential for mitigating risks and optimizing treatment outcomes. By advancing our understanding of these interactions, we can enhance patient safety and pave the way for innovative therapeutic strategies that harness the potential of phytochemicals</w:t>
      </w:r>
      <w:r>
        <w:t>, while minimizing their risks.</w:t>
      </w:r>
    </w:p>
    <w:p w14:paraId="25D55A0C" w14:textId="77777777" w:rsidR="0026328A" w:rsidRDefault="0026328A" w:rsidP="0026328A">
      <w:pPr>
        <w:spacing w:line="360" w:lineRule="auto"/>
        <w:jc w:val="center"/>
      </w:pPr>
    </w:p>
    <w:p w14:paraId="04EC37C2" w14:textId="77777777" w:rsidR="0026328A" w:rsidRDefault="0026328A" w:rsidP="0026328A">
      <w:pPr>
        <w:spacing w:line="360" w:lineRule="auto"/>
        <w:jc w:val="center"/>
      </w:pPr>
    </w:p>
    <w:p w14:paraId="7523C632" w14:textId="77777777" w:rsidR="0026328A" w:rsidRPr="000F4B46" w:rsidRDefault="0026328A" w:rsidP="0026328A">
      <w:pPr>
        <w:spacing w:line="360" w:lineRule="auto"/>
        <w:jc w:val="both"/>
        <w:rPr>
          <w:sz w:val="28"/>
          <w:szCs w:val="28"/>
        </w:rPr>
      </w:pPr>
      <w:r w:rsidRPr="000F4B46">
        <w:rPr>
          <w:b/>
          <w:sz w:val="28"/>
          <w:szCs w:val="28"/>
        </w:rPr>
        <w:t>Declarations</w:t>
      </w:r>
    </w:p>
    <w:p w14:paraId="78775942" w14:textId="77777777" w:rsidR="0026328A" w:rsidRPr="000F4B46" w:rsidRDefault="0026328A" w:rsidP="0026328A">
      <w:pPr>
        <w:spacing w:line="360" w:lineRule="auto"/>
        <w:jc w:val="both"/>
      </w:pPr>
      <w:r w:rsidRPr="000F4B46">
        <w:rPr>
          <w:rFonts w:eastAsia="null"/>
          <w:b/>
        </w:rPr>
        <w:t>Ethical approval</w:t>
      </w:r>
      <w:r w:rsidRPr="000F4B46">
        <w:rPr>
          <w:rFonts w:eastAsia="null"/>
          <w:b/>
          <w:sz w:val="30"/>
        </w:rPr>
        <w:t>:</w:t>
      </w:r>
      <w:r w:rsidRPr="000F4B46">
        <w:rPr>
          <w:rFonts w:eastAsia="null"/>
          <w:sz w:val="30"/>
        </w:rPr>
        <w:t xml:space="preserve"> </w:t>
      </w:r>
      <w:r w:rsidRPr="000F4B46">
        <w:t>Not applicable.</w:t>
      </w:r>
    </w:p>
    <w:p w14:paraId="6E988EA2" w14:textId="77777777" w:rsidR="0026328A" w:rsidRPr="000F4B46" w:rsidRDefault="0026328A" w:rsidP="0026328A">
      <w:pPr>
        <w:spacing w:line="360" w:lineRule="auto"/>
        <w:jc w:val="both"/>
      </w:pPr>
      <w:bookmarkStart w:id="0" w:name="_GoBack"/>
      <w:bookmarkEnd w:id="0"/>
      <w:r w:rsidRPr="000F4B46">
        <w:rPr>
          <w:b/>
        </w:rPr>
        <w:t>Clinical trial number</w:t>
      </w:r>
      <w:r w:rsidRPr="000F4B46">
        <w:t>: Not applicable.</w:t>
      </w:r>
    </w:p>
    <w:p w14:paraId="6DA4C599" w14:textId="77777777" w:rsidR="0026328A" w:rsidRPr="000F4B46" w:rsidRDefault="0026328A" w:rsidP="0026328A">
      <w:pPr>
        <w:spacing w:line="360" w:lineRule="auto"/>
        <w:jc w:val="both"/>
      </w:pPr>
      <w:r w:rsidRPr="000F4B46">
        <w:rPr>
          <w:b/>
        </w:rPr>
        <w:t>Consent for publication</w:t>
      </w:r>
      <w:r w:rsidRPr="000F4B46">
        <w:t>: Not applicable.</w:t>
      </w:r>
    </w:p>
    <w:p w14:paraId="653D7C62" w14:textId="77777777" w:rsidR="0026328A" w:rsidRPr="000F4B46" w:rsidRDefault="0026328A" w:rsidP="0026328A">
      <w:pPr>
        <w:spacing w:line="360" w:lineRule="auto"/>
        <w:jc w:val="both"/>
      </w:pPr>
      <w:r w:rsidRPr="000F4B46">
        <w:rPr>
          <w:b/>
        </w:rPr>
        <w:t>Conflicts of interest</w:t>
      </w:r>
      <w:r w:rsidRPr="000F4B46">
        <w:t>: The authors declare that they have no conflict of interest.</w:t>
      </w:r>
    </w:p>
    <w:p w14:paraId="02D9BAE9" w14:textId="77777777" w:rsidR="0026328A" w:rsidRPr="000F4B46" w:rsidRDefault="0026328A" w:rsidP="0026328A">
      <w:pPr>
        <w:spacing w:line="360" w:lineRule="auto"/>
        <w:jc w:val="both"/>
      </w:pPr>
      <w:r w:rsidRPr="000F4B46">
        <w:rPr>
          <w:b/>
        </w:rPr>
        <w:t>Consent to participate</w:t>
      </w:r>
      <w:r w:rsidRPr="000F4B46">
        <w:t>: Not applicable.</w:t>
      </w:r>
    </w:p>
    <w:p w14:paraId="75E4210F" w14:textId="77777777" w:rsidR="0026328A" w:rsidRPr="000F4B46" w:rsidRDefault="0026328A" w:rsidP="0026328A">
      <w:pPr>
        <w:spacing w:line="360" w:lineRule="auto"/>
        <w:jc w:val="both"/>
      </w:pPr>
      <w:r w:rsidRPr="000F4B46">
        <w:rPr>
          <w:b/>
        </w:rPr>
        <w:t>Data availability</w:t>
      </w:r>
      <w:r w:rsidRPr="000F4B46">
        <w:t>: The datasets used and/or analyzed during the current study are available from the corresponding author upon reasonable request.</w:t>
      </w:r>
    </w:p>
    <w:p w14:paraId="034E5128" w14:textId="77777777" w:rsidR="0081682E" w:rsidRDefault="0081682E" w:rsidP="0026328A">
      <w:pPr>
        <w:spacing w:line="360" w:lineRule="auto"/>
        <w:jc w:val="both"/>
      </w:pPr>
    </w:p>
    <w:p w14:paraId="5B3964C0" w14:textId="77777777" w:rsidR="0081682E" w:rsidRPr="0081682E" w:rsidRDefault="0081682E" w:rsidP="0081682E">
      <w:pPr>
        <w:spacing w:after="200" w:line="276" w:lineRule="auto"/>
        <w:jc w:val="both"/>
        <w:outlineLvl w:val="0"/>
        <w:rPr>
          <w:rFonts w:ascii="Arial" w:hAnsi="Arial" w:cs="Arial"/>
          <w:sz w:val="22"/>
          <w:szCs w:val="22"/>
          <w:lang w:val="en-GB" w:eastAsia="en-GB"/>
        </w:rPr>
      </w:pPr>
      <w:r w:rsidRPr="0081682E">
        <w:rPr>
          <w:rFonts w:ascii="Arial" w:hAnsi="Arial" w:cs="Arial"/>
          <w:b/>
          <w:bCs/>
          <w:sz w:val="22"/>
          <w:szCs w:val="22"/>
          <w:lang w:val="en-GB" w:eastAsia="en-GB"/>
        </w:rPr>
        <w:t>COMPETING INTERESTS DISCLAIMER:</w:t>
      </w:r>
    </w:p>
    <w:p w14:paraId="43DAF3BD" w14:textId="77777777" w:rsidR="0081682E" w:rsidRPr="0081682E" w:rsidRDefault="0081682E" w:rsidP="0081682E">
      <w:pPr>
        <w:spacing w:after="200" w:line="276" w:lineRule="auto"/>
        <w:rPr>
          <w:rFonts w:ascii="Calibri" w:hAnsi="Calibri"/>
          <w:sz w:val="22"/>
          <w:szCs w:val="22"/>
          <w:lang w:val="en-GB" w:eastAsia="en-GB"/>
        </w:rPr>
      </w:pPr>
      <w:r w:rsidRPr="0081682E">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C57945" w14:textId="77777777" w:rsidR="0081682E" w:rsidRPr="0081682E" w:rsidRDefault="0081682E" w:rsidP="0081682E">
      <w:pPr>
        <w:spacing w:after="200" w:line="276" w:lineRule="auto"/>
        <w:rPr>
          <w:rFonts w:ascii="Calibri" w:hAnsi="Calibri"/>
          <w:sz w:val="22"/>
          <w:szCs w:val="22"/>
          <w:lang w:val="en-GB" w:eastAsia="en-GB"/>
        </w:rPr>
      </w:pPr>
    </w:p>
    <w:p w14:paraId="4FCA1D37" w14:textId="77777777" w:rsidR="0081682E" w:rsidRPr="0081682E" w:rsidRDefault="0081682E" w:rsidP="0081682E">
      <w:pPr>
        <w:spacing w:after="200" w:line="276" w:lineRule="auto"/>
        <w:rPr>
          <w:rFonts w:ascii="Calibri" w:hAnsi="Calibri"/>
          <w:sz w:val="22"/>
          <w:szCs w:val="22"/>
          <w:lang w:val="en-GB" w:eastAsia="en-GB"/>
        </w:rPr>
      </w:pPr>
    </w:p>
    <w:p w14:paraId="453EEBD5" w14:textId="77777777" w:rsidR="0026328A" w:rsidRDefault="0026328A" w:rsidP="0026328A">
      <w:pPr>
        <w:spacing w:line="360" w:lineRule="auto"/>
        <w:jc w:val="center"/>
        <w:rPr>
          <w:b/>
          <w:bCs/>
          <w:sz w:val="32"/>
          <w:szCs w:val="32"/>
        </w:rPr>
      </w:pPr>
    </w:p>
    <w:p w14:paraId="19EA3262" w14:textId="77777777" w:rsidR="0026328A" w:rsidRDefault="0026328A" w:rsidP="0026328A">
      <w:pPr>
        <w:spacing w:line="360" w:lineRule="auto"/>
        <w:jc w:val="center"/>
        <w:rPr>
          <w:b/>
          <w:bCs/>
          <w:sz w:val="32"/>
          <w:szCs w:val="32"/>
        </w:rPr>
      </w:pPr>
    </w:p>
    <w:p w14:paraId="489B9193" w14:textId="77777777" w:rsidR="0026328A" w:rsidRPr="00E452DB" w:rsidRDefault="0026328A" w:rsidP="0026328A">
      <w:pPr>
        <w:spacing w:line="360" w:lineRule="auto"/>
        <w:rPr>
          <w:b/>
          <w:bCs/>
          <w:sz w:val="32"/>
          <w:szCs w:val="32"/>
        </w:rPr>
      </w:pPr>
      <w:r w:rsidRPr="00E452DB">
        <w:rPr>
          <w:b/>
          <w:bCs/>
          <w:sz w:val="32"/>
          <w:szCs w:val="32"/>
        </w:rPr>
        <w:t>References</w:t>
      </w:r>
    </w:p>
    <w:p w14:paraId="132C822E" w14:textId="77777777" w:rsidR="0026328A" w:rsidRDefault="0026328A" w:rsidP="0026328A">
      <w:pPr>
        <w:spacing w:line="360" w:lineRule="auto"/>
        <w:jc w:val="both"/>
      </w:pPr>
      <w:r w:rsidRPr="00E452DB">
        <w:t>Abo-</w:t>
      </w:r>
      <w:proofErr w:type="spellStart"/>
      <w:r w:rsidRPr="00E452DB">
        <w:t>Elghiet</w:t>
      </w:r>
      <w:proofErr w:type="spellEnd"/>
      <w:r w:rsidRPr="00E452DB">
        <w:t xml:space="preserve">, F., </w:t>
      </w:r>
      <w:proofErr w:type="spellStart"/>
      <w:r w:rsidRPr="00E452DB">
        <w:t>Elosaily</w:t>
      </w:r>
      <w:proofErr w:type="spellEnd"/>
      <w:r w:rsidRPr="00E452DB">
        <w:t>, H., Hussein, D. K., El-Shiekh, R. A., A’Aqoulah, A., Yousef, E. M., Selim, H. M. R. M., &amp; El-</w:t>
      </w:r>
      <w:proofErr w:type="spellStart"/>
      <w:r w:rsidRPr="00E452DB">
        <w:t>Dessouki</w:t>
      </w:r>
      <w:proofErr w:type="spellEnd"/>
      <w:r w:rsidRPr="00E452DB">
        <w:t xml:space="preserve">, A. M. (2025). Bridging Gaps in Migraine Management: A Comprehensive Review of Conventional Treatments, Natural Supplements, Complementary Therapies, and Lifestyle Modifications. </w:t>
      </w:r>
      <w:r w:rsidRPr="00E452DB">
        <w:rPr>
          <w:i/>
          <w:iCs/>
        </w:rPr>
        <w:t>Pharmaceuticals (Basel, Switzerland)</w:t>
      </w:r>
      <w:r w:rsidRPr="00E452DB">
        <w:t xml:space="preserve">, </w:t>
      </w:r>
      <w:r w:rsidRPr="00E452DB">
        <w:rPr>
          <w:i/>
          <w:iCs/>
        </w:rPr>
        <w:t>18</w:t>
      </w:r>
      <w:r w:rsidRPr="00E452DB">
        <w:t xml:space="preserve">(2), 139. </w:t>
      </w:r>
      <w:hyperlink r:id="rId7" w:history="1">
        <w:r w:rsidRPr="00E452DB">
          <w:rPr>
            <w:rStyle w:val="Hyperlink"/>
            <w:rFonts w:eastAsiaTheme="majorEastAsia"/>
          </w:rPr>
          <w:t>https://doi.org/10.3390/ph18020139</w:t>
        </w:r>
      </w:hyperlink>
    </w:p>
    <w:p w14:paraId="2D8AE705" w14:textId="77777777" w:rsidR="0026328A" w:rsidRDefault="0026328A" w:rsidP="0026328A">
      <w:pPr>
        <w:spacing w:line="360" w:lineRule="auto"/>
        <w:jc w:val="both"/>
      </w:pPr>
      <w:r w:rsidRPr="00E452DB">
        <w:lastRenderedPageBreak/>
        <w:br/>
        <w:t xml:space="preserve">Ahmed, R., &amp; Tamim, T. (2025). Enhancing Medication Safety: The Role of Community and Hospital Pharmacists in Modern Healthcare Systems. </w:t>
      </w:r>
      <w:r w:rsidRPr="00E452DB">
        <w:rPr>
          <w:i/>
          <w:iCs/>
        </w:rPr>
        <w:t>RADINKA JOURNAL OF HEALTH SCIENCE</w:t>
      </w:r>
      <w:r w:rsidRPr="00E452DB">
        <w:t xml:space="preserve">, </w:t>
      </w:r>
      <w:r w:rsidRPr="00E452DB">
        <w:rPr>
          <w:i/>
          <w:iCs/>
        </w:rPr>
        <w:t>2</w:t>
      </w:r>
      <w:r w:rsidRPr="00E452DB">
        <w:t xml:space="preserve">(3), 328–355. </w:t>
      </w:r>
      <w:hyperlink r:id="rId8" w:history="1">
        <w:r w:rsidRPr="00E452DB">
          <w:rPr>
            <w:rStyle w:val="Hyperlink"/>
            <w:rFonts w:eastAsiaTheme="majorEastAsia"/>
          </w:rPr>
          <w:t>https://doi.org/10.56778/rjhs.v2i3.418</w:t>
        </w:r>
      </w:hyperlink>
    </w:p>
    <w:p w14:paraId="44CD6928" w14:textId="77777777" w:rsidR="0026328A" w:rsidRDefault="0026328A" w:rsidP="0026328A">
      <w:pPr>
        <w:spacing w:line="360" w:lineRule="auto"/>
        <w:jc w:val="both"/>
      </w:pPr>
      <w:r w:rsidRPr="00E452DB">
        <w:br/>
        <w:t xml:space="preserve">Ajayi, O. E., Yoon, S. Y., Jang, K.-I., Kim, J. H., Kim, K. H., Chung, J.-W., Moon, S., &amp; Hyun, T. K. (2023). Variability in Phytochemical Contents and Biological Activities among </w:t>
      </w:r>
      <w:proofErr w:type="spellStart"/>
      <w:r w:rsidRPr="00E452DB">
        <w:t>Adenophora</w:t>
      </w:r>
      <w:proofErr w:type="spellEnd"/>
      <w:r w:rsidRPr="00E452DB">
        <w:t xml:space="preserve"> </w:t>
      </w:r>
      <w:proofErr w:type="spellStart"/>
      <w:r w:rsidRPr="00E452DB">
        <w:t>triphylla</w:t>
      </w:r>
      <w:proofErr w:type="spellEnd"/>
      <w:r w:rsidRPr="00E452DB">
        <w:t xml:space="preserve"> Genotypes. </w:t>
      </w:r>
      <w:r w:rsidRPr="00E452DB">
        <w:rPr>
          <w:i/>
          <w:iCs/>
        </w:rPr>
        <w:t>Applied Sciences</w:t>
      </w:r>
      <w:r w:rsidRPr="00E452DB">
        <w:t xml:space="preserve">, </w:t>
      </w:r>
      <w:r w:rsidRPr="00E452DB">
        <w:rPr>
          <w:i/>
          <w:iCs/>
        </w:rPr>
        <w:t>13</w:t>
      </w:r>
      <w:r w:rsidRPr="00E452DB">
        <w:t xml:space="preserve">(20), 11184. </w:t>
      </w:r>
      <w:hyperlink r:id="rId9" w:history="1">
        <w:r w:rsidRPr="00E452DB">
          <w:rPr>
            <w:rStyle w:val="Hyperlink"/>
            <w:rFonts w:eastAsiaTheme="majorEastAsia"/>
          </w:rPr>
          <w:t>https://doi.org/10.3390/app132011184</w:t>
        </w:r>
      </w:hyperlink>
    </w:p>
    <w:p w14:paraId="1748022B" w14:textId="77777777" w:rsidR="0026328A" w:rsidRDefault="0026328A" w:rsidP="0026328A">
      <w:pPr>
        <w:spacing w:line="360" w:lineRule="auto"/>
        <w:jc w:val="both"/>
      </w:pPr>
      <w:r w:rsidRPr="00E452DB">
        <w:br/>
      </w:r>
      <w:proofErr w:type="spellStart"/>
      <w:r w:rsidRPr="00E452DB">
        <w:t>Ambrosioni</w:t>
      </w:r>
      <w:proofErr w:type="spellEnd"/>
      <w:r w:rsidRPr="00E452DB">
        <w:t xml:space="preserve">, J., Tuset, M., Curran, A., </w:t>
      </w:r>
      <w:proofErr w:type="spellStart"/>
      <w:r w:rsidRPr="00E452DB">
        <w:t>Imaz</w:t>
      </w:r>
      <w:proofErr w:type="spellEnd"/>
      <w:r w:rsidRPr="00E452DB">
        <w:t xml:space="preserve">, A., Troya, J., Luque, S., Dragovic, G., Burger, D., </w:t>
      </w:r>
      <w:proofErr w:type="spellStart"/>
      <w:r w:rsidRPr="00E452DB">
        <w:t>Naous</w:t>
      </w:r>
      <w:proofErr w:type="spellEnd"/>
      <w:r w:rsidRPr="00E452DB">
        <w:t xml:space="preserve">, N., </w:t>
      </w:r>
      <w:proofErr w:type="spellStart"/>
      <w:r w:rsidRPr="00E452DB">
        <w:t>Marzolini</w:t>
      </w:r>
      <w:proofErr w:type="spellEnd"/>
      <w:r w:rsidRPr="00E452DB">
        <w:t xml:space="preserve">, C., Calcagno, A., Díaz, N. A., Molto, J., Khoo, S., &amp; Cortés, C. P. (2024). Outcomes of Drug Interactions Between Antiretrovirals and Co-Medications, Including Over-the-Counter Drugs: A Real-World Study. </w:t>
      </w:r>
      <w:r w:rsidRPr="00E452DB">
        <w:rPr>
          <w:i/>
          <w:iCs/>
        </w:rPr>
        <w:t>Infectious Diseases and Therapy</w:t>
      </w:r>
      <w:r w:rsidRPr="00E452DB">
        <w:t xml:space="preserve">, </w:t>
      </w:r>
      <w:r w:rsidRPr="00E452DB">
        <w:rPr>
          <w:i/>
          <w:iCs/>
        </w:rPr>
        <w:t>13</w:t>
      </w:r>
      <w:r w:rsidRPr="00E452DB">
        <w:t xml:space="preserve">(3), 609–617. </w:t>
      </w:r>
      <w:hyperlink r:id="rId10" w:history="1">
        <w:r w:rsidRPr="00E452DB">
          <w:rPr>
            <w:rStyle w:val="Hyperlink"/>
            <w:rFonts w:eastAsiaTheme="majorEastAsia"/>
          </w:rPr>
          <w:t>https://doi.org/10.1007/s40121-024-00935-0</w:t>
        </w:r>
      </w:hyperlink>
    </w:p>
    <w:p w14:paraId="4087EEE8" w14:textId="77777777" w:rsidR="0026328A" w:rsidRDefault="0026328A" w:rsidP="0026328A">
      <w:pPr>
        <w:spacing w:line="360" w:lineRule="auto"/>
        <w:jc w:val="both"/>
      </w:pPr>
      <w:r w:rsidRPr="00E452DB">
        <w:br/>
        <w:t xml:space="preserve">Bai, W., Li, C., Li, W., Wang, H., Han, X., Wang, P., &amp; Wang, L. (2024). Machine learning assists prediction of genes responsible for plant specialized metabolite biosynthesis by integrating multi-omics data. </w:t>
      </w:r>
      <w:r w:rsidRPr="00E452DB">
        <w:rPr>
          <w:i/>
          <w:iCs/>
        </w:rPr>
        <w:t>BMC Genomics</w:t>
      </w:r>
      <w:r w:rsidRPr="00E452DB">
        <w:t xml:space="preserve">, </w:t>
      </w:r>
      <w:r w:rsidRPr="00E452DB">
        <w:rPr>
          <w:i/>
          <w:iCs/>
        </w:rPr>
        <w:t>25</w:t>
      </w:r>
      <w:r w:rsidRPr="00E452DB">
        <w:t xml:space="preserve">(1). </w:t>
      </w:r>
      <w:hyperlink r:id="rId11" w:history="1">
        <w:r w:rsidRPr="00E452DB">
          <w:rPr>
            <w:rStyle w:val="Hyperlink"/>
            <w:rFonts w:eastAsiaTheme="majorEastAsia"/>
          </w:rPr>
          <w:t>https://doi.org/10.1186/s12864-024-10258-6</w:t>
        </w:r>
      </w:hyperlink>
    </w:p>
    <w:p w14:paraId="39E51878" w14:textId="77777777" w:rsidR="0026328A" w:rsidRDefault="0026328A" w:rsidP="0026328A">
      <w:pPr>
        <w:spacing w:line="360" w:lineRule="auto"/>
        <w:jc w:val="both"/>
      </w:pPr>
      <w:r w:rsidRPr="00E452DB">
        <w:br/>
        <w:t xml:space="preserve">Bai, Y., Wu, Y.-Y., Field, J., Xiong, Y., Xu, K., Zhang, Y.-Y., Cheng, L., Liu, H., Zhou, L.-M., &amp; Wang, X.-D. (2022). </w:t>
      </w:r>
      <w:proofErr w:type="spellStart"/>
      <w:r w:rsidRPr="00E452DB">
        <w:t>Tangeretin</w:t>
      </w:r>
      <w:proofErr w:type="spellEnd"/>
      <w:r w:rsidRPr="00E452DB">
        <w:t xml:space="preserve"> Synergizes with 5-Fluorouracil to Induce Autophagy through MicroRNA-21 in Colorectal Cancer Cells. </w:t>
      </w:r>
      <w:r w:rsidRPr="00E452DB">
        <w:rPr>
          <w:i/>
          <w:iCs/>
        </w:rPr>
        <w:t>The American Journal of Chinese Medicine</w:t>
      </w:r>
      <w:r w:rsidRPr="00E452DB">
        <w:t xml:space="preserve">, </w:t>
      </w:r>
      <w:r w:rsidRPr="00E452DB">
        <w:rPr>
          <w:i/>
          <w:iCs/>
        </w:rPr>
        <w:t>50</w:t>
      </w:r>
      <w:r w:rsidRPr="00E452DB">
        <w:t xml:space="preserve">(6), 1681–1701. </w:t>
      </w:r>
      <w:hyperlink r:id="rId12" w:history="1">
        <w:r w:rsidRPr="00E452DB">
          <w:rPr>
            <w:rStyle w:val="Hyperlink"/>
            <w:rFonts w:eastAsiaTheme="majorEastAsia"/>
          </w:rPr>
          <w:t>https://doi.org/10.1142/s0192415x22500719</w:t>
        </w:r>
      </w:hyperlink>
    </w:p>
    <w:p w14:paraId="24E8736F" w14:textId="77777777" w:rsidR="0026328A" w:rsidRDefault="0026328A" w:rsidP="0026328A">
      <w:pPr>
        <w:spacing w:line="360" w:lineRule="auto"/>
        <w:jc w:val="both"/>
      </w:pPr>
      <w:r w:rsidRPr="00E452DB">
        <w:br/>
        <w:t>Barba-</w:t>
      </w:r>
      <w:proofErr w:type="spellStart"/>
      <w:r w:rsidRPr="00E452DB">
        <w:t>Ostria</w:t>
      </w:r>
      <w:proofErr w:type="spellEnd"/>
      <w:r w:rsidRPr="00E452DB">
        <w:t xml:space="preserve">, C., </w:t>
      </w:r>
      <w:proofErr w:type="spellStart"/>
      <w:r w:rsidRPr="00E452DB">
        <w:t>Guamán</w:t>
      </w:r>
      <w:proofErr w:type="spellEnd"/>
      <w:r w:rsidRPr="00E452DB">
        <w:t xml:space="preserve">-Bautista, J., Tosi-Vélez, A. A., Puente-Pineda, J. A., Cedeño-Zambrano, M. A., Teran, E., &amp; </w:t>
      </w:r>
      <w:proofErr w:type="spellStart"/>
      <w:r w:rsidRPr="00E452DB">
        <w:t>Guamán</w:t>
      </w:r>
      <w:proofErr w:type="spellEnd"/>
      <w:r w:rsidRPr="00E452DB">
        <w:t xml:space="preserve">, L. P. (2025). Recent Advances in the Therapeutic Potential of Bioactive Molecules from Plants of Andean Origin. </w:t>
      </w:r>
      <w:r w:rsidRPr="00E452DB">
        <w:rPr>
          <w:i/>
          <w:iCs/>
        </w:rPr>
        <w:t>Nutrients</w:t>
      </w:r>
      <w:r w:rsidRPr="00E452DB">
        <w:t xml:space="preserve">, </w:t>
      </w:r>
      <w:r w:rsidRPr="00E452DB">
        <w:rPr>
          <w:i/>
          <w:iCs/>
        </w:rPr>
        <w:t>17</w:t>
      </w:r>
      <w:r w:rsidRPr="00E452DB">
        <w:t xml:space="preserve">(11), 1749. </w:t>
      </w:r>
      <w:hyperlink r:id="rId13" w:history="1">
        <w:r w:rsidRPr="00E452DB">
          <w:rPr>
            <w:rStyle w:val="Hyperlink"/>
            <w:rFonts w:eastAsiaTheme="majorEastAsia"/>
          </w:rPr>
          <w:t>https://doi.org/10.3390/nu17111749</w:t>
        </w:r>
      </w:hyperlink>
    </w:p>
    <w:p w14:paraId="04A139E0" w14:textId="77777777" w:rsidR="0026328A" w:rsidRDefault="0026328A" w:rsidP="0026328A">
      <w:pPr>
        <w:spacing w:line="360" w:lineRule="auto"/>
        <w:jc w:val="both"/>
      </w:pPr>
      <w:r w:rsidRPr="00E452DB">
        <w:br/>
      </w:r>
      <w:proofErr w:type="spellStart"/>
      <w:r w:rsidRPr="00E452DB">
        <w:t>Bathaei</w:t>
      </w:r>
      <w:proofErr w:type="spellEnd"/>
      <w:r w:rsidRPr="00E452DB">
        <w:t xml:space="preserve">, P., </w:t>
      </w:r>
      <w:proofErr w:type="spellStart"/>
      <w:r w:rsidRPr="00E452DB">
        <w:t>Imenshahidi</w:t>
      </w:r>
      <w:proofErr w:type="spellEnd"/>
      <w:r w:rsidRPr="00E452DB">
        <w:t xml:space="preserve">, M., &amp; Hosseinzadeh, H. (2024). Effects of Berberis vulgaris, and its </w:t>
      </w:r>
      <w:r w:rsidRPr="00E452DB">
        <w:lastRenderedPageBreak/>
        <w:t xml:space="preserve">active constituent berberine on cytochrome P450: a review. </w:t>
      </w:r>
      <w:proofErr w:type="spellStart"/>
      <w:r w:rsidRPr="00E452DB">
        <w:rPr>
          <w:i/>
          <w:iCs/>
        </w:rPr>
        <w:t>Naunyn-Schmiedeberg’s</w:t>
      </w:r>
      <w:proofErr w:type="spellEnd"/>
      <w:r w:rsidRPr="00E452DB">
        <w:rPr>
          <w:i/>
          <w:iCs/>
        </w:rPr>
        <w:t xml:space="preserve"> Archives of Pharmacology</w:t>
      </w:r>
      <w:r w:rsidRPr="00E452DB">
        <w:t xml:space="preserve">, </w:t>
      </w:r>
      <w:r w:rsidRPr="00E452DB">
        <w:rPr>
          <w:i/>
          <w:iCs/>
        </w:rPr>
        <w:t>398</w:t>
      </w:r>
      <w:r w:rsidRPr="00E452DB">
        <w:t xml:space="preserve">(1), 179–202. </w:t>
      </w:r>
      <w:hyperlink r:id="rId14" w:history="1">
        <w:r w:rsidRPr="00E452DB">
          <w:rPr>
            <w:rStyle w:val="Hyperlink"/>
            <w:rFonts w:eastAsiaTheme="majorEastAsia"/>
          </w:rPr>
          <w:t>https://doi.org/10.1007/s00210-024-03326-x</w:t>
        </w:r>
      </w:hyperlink>
    </w:p>
    <w:p w14:paraId="383603F8" w14:textId="77777777" w:rsidR="0026328A" w:rsidRDefault="0026328A" w:rsidP="0026328A">
      <w:pPr>
        <w:spacing w:line="360" w:lineRule="auto"/>
        <w:jc w:val="both"/>
      </w:pPr>
      <w:r w:rsidRPr="00E452DB">
        <w:br/>
        <w:t xml:space="preserve">Bernardo, J., &amp; </w:t>
      </w:r>
      <w:proofErr w:type="spellStart"/>
      <w:r w:rsidRPr="00E452DB">
        <w:t>Valentão</w:t>
      </w:r>
      <w:proofErr w:type="spellEnd"/>
      <w:r w:rsidRPr="00E452DB">
        <w:t xml:space="preserve">, P. (2024). Herb-drug interactions: A short review on central and peripheral nervous system drugs. </w:t>
      </w:r>
      <w:r w:rsidRPr="00E452DB">
        <w:rPr>
          <w:i/>
          <w:iCs/>
        </w:rPr>
        <w:t>Phytotherapy Research</w:t>
      </w:r>
      <w:r w:rsidRPr="00E452DB">
        <w:t xml:space="preserve">, </w:t>
      </w:r>
      <w:r w:rsidRPr="00E452DB">
        <w:rPr>
          <w:i/>
          <w:iCs/>
        </w:rPr>
        <w:t>38</w:t>
      </w:r>
      <w:r w:rsidRPr="00E452DB">
        <w:t xml:space="preserve">(4), 1903–1931. </w:t>
      </w:r>
      <w:hyperlink r:id="rId15" w:history="1">
        <w:r w:rsidRPr="00E452DB">
          <w:rPr>
            <w:rStyle w:val="Hyperlink"/>
            <w:rFonts w:eastAsiaTheme="majorEastAsia"/>
          </w:rPr>
          <w:t>https://doi.org/10.1002/ptr.8120</w:t>
        </w:r>
      </w:hyperlink>
    </w:p>
    <w:p w14:paraId="0B430069" w14:textId="77777777" w:rsidR="0026328A" w:rsidRDefault="0026328A" w:rsidP="0026328A">
      <w:pPr>
        <w:spacing w:line="360" w:lineRule="auto"/>
        <w:jc w:val="both"/>
      </w:pPr>
      <w:r w:rsidRPr="00E452DB">
        <w:br/>
        <w:t xml:space="preserve">Biso, L., </w:t>
      </w:r>
      <w:proofErr w:type="spellStart"/>
      <w:r w:rsidRPr="00E452DB">
        <w:t>Aringhieri</w:t>
      </w:r>
      <w:proofErr w:type="spellEnd"/>
      <w:r w:rsidRPr="00E452DB">
        <w:t xml:space="preserve">, S., Carli, M., Scarselli, M., &amp; Longoni, B. (2024). Therapeutic Drug Monitoring in Psychiatry: Enhancing Treatment Precision and Patient Outcomes. </w:t>
      </w:r>
      <w:r w:rsidRPr="00E452DB">
        <w:rPr>
          <w:i/>
          <w:iCs/>
        </w:rPr>
        <w:t>Pharmaceuticals</w:t>
      </w:r>
      <w:r w:rsidRPr="00E452DB">
        <w:t xml:space="preserve">, </w:t>
      </w:r>
      <w:r w:rsidRPr="00E452DB">
        <w:rPr>
          <w:i/>
          <w:iCs/>
        </w:rPr>
        <w:t>17</w:t>
      </w:r>
      <w:r w:rsidRPr="00E452DB">
        <w:t xml:space="preserve">(5), 642. </w:t>
      </w:r>
      <w:hyperlink r:id="rId16" w:history="1">
        <w:r w:rsidRPr="00E452DB">
          <w:rPr>
            <w:rStyle w:val="Hyperlink"/>
            <w:rFonts w:eastAsiaTheme="majorEastAsia"/>
          </w:rPr>
          <w:t>https://doi.org/10.3390/ph17050642</w:t>
        </w:r>
      </w:hyperlink>
    </w:p>
    <w:p w14:paraId="24738248" w14:textId="77777777" w:rsidR="0026328A" w:rsidRDefault="0026328A" w:rsidP="0026328A">
      <w:pPr>
        <w:spacing w:line="360" w:lineRule="auto"/>
        <w:jc w:val="both"/>
      </w:pPr>
      <w:r w:rsidRPr="00E452DB">
        <w:br/>
      </w:r>
      <w:proofErr w:type="spellStart"/>
      <w:r w:rsidRPr="00E452DB">
        <w:t>Brodzicka</w:t>
      </w:r>
      <w:proofErr w:type="spellEnd"/>
      <w:r w:rsidRPr="00E452DB">
        <w:t xml:space="preserve">, A., Galanty, A., &amp; </w:t>
      </w:r>
      <w:proofErr w:type="spellStart"/>
      <w:r w:rsidRPr="00E452DB">
        <w:t>Paśko</w:t>
      </w:r>
      <w:proofErr w:type="spellEnd"/>
      <w:r w:rsidRPr="00E452DB">
        <w:t xml:space="preserve">, P. (2024). Modulation of Multidrug Resistance Transporters by Food Components and Dietary Supplements: Implications for Cancer Therapy Efficacy and Safety. </w:t>
      </w:r>
      <w:r w:rsidRPr="00E452DB">
        <w:rPr>
          <w:i/>
          <w:iCs/>
        </w:rPr>
        <w:t>Current Issues in Molecular Biology</w:t>
      </w:r>
      <w:r w:rsidRPr="00E452DB">
        <w:t xml:space="preserve">, </w:t>
      </w:r>
      <w:r w:rsidRPr="00E452DB">
        <w:rPr>
          <w:i/>
          <w:iCs/>
        </w:rPr>
        <w:t>46</w:t>
      </w:r>
      <w:r w:rsidRPr="00E452DB">
        <w:t xml:space="preserve">(9), 9686–9706. </w:t>
      </w:r>
      <w:hyperlink r:id="rId17" w:history="1">
        <w:r w:rsidRPr="00E452DB">
          <w:rPr>
            <w:rStyle w:val="Hyperlink"/>
            <w:rFonts w:eastAsiaTheme="majorEastAsia"/>
          </w:rPr>
          <w:t>https://doi.org/10.3390/cimb46090576</w:t>
        </w:r>
      </w:hyperlink>
    </w:p>
    <w:p w14:paraId="7E59B83A" w14:textId="77777777" w:rsidR="0026328A" w:rsidRDefault="0026328A" w:rsidP="0026328A">
      <w:pPr>
        <w:spacing w:line="360" w:lineRule="auto"/>
        <w:jc w:val="both"/>
      </w:pPr>
      <w:r w:rsidRPr="00E452DB">
        <w:br/>
        <w:t xml:space="preserve">Brooks, E. G., Elorriaga, E., Liu, Y., </w:t>
      </w:r>
      <w:proofErr w:type="spellStart"/>
      <w:r w:rsidRPr="00E452DB">
        <w:t>Duduit</w:t>
      </w:r>
      <w:proofErr w:type="spellEnd"/>
      <w:r w:rsidRPr="00E452DB">
        <w:t xml:space="preserve">, J. R., Yuan, G., Tsai, C.-J., Tuskan, G. A., Ranney, T. G., Yang, X., &amp; Liu, W. (2023). Plant Promoters and Terminators for High-Precision Bioengineering. </w:t>
      </w:r>
      <w:r w:rsidRPr="00E452DB">
        <w:rPr>
          <w:i/>
          <w:iCs/>
        </w:rPr>
        <w:t>Biodesign Research</w:t>
      </w:r>
      <w:r w:rsidRPr="00E452DB">
        <w:t xml:space="preserve">, </w:t>
      </w:r>
      <w:r w:rsidRPr="00E452DB">
        <w:rPr>
          <w:i/>
          <w:iCs/>
        </w:rPr>
        <w:t>5</w:t>
      </w:r>
      <w:r w:rsidRPr="00E452DB">
        <w:t xml:space="preserve">(5), 0013. </w:t>
      </w:r>
      <w:hyperlink r:id="rId18" w:history="1">
        <w:r w:rsidRPr="00E452DB">
          <w:rPr>
            <w:rStyle w:val="Hyperlink"/>
            <w:rFonts w:eastAsiaTheme="majorEastAsia"/>
          </w:rPr>
          <w:t>https://doi.org/10.34133/bdr.0013</w:t>
        </w:r>
      </w:hyperlink>
    </w:p>
    <w:p w14:paraId="52FD927D" w14:textId="77777777" w:rsidR="0026328A" w:rsidRDefault="0026328A" w:rsidP="0026328A">
      <w:pPr>
        <w:spacing w:line="360" w:lineRule="auto"/>
        <w:jc w:val="both"/>
      </w:pPr>
      <w:r w:rsidRPr="00E452DB">
        <w:br/>
      </w:r>
      <w:proofErr w:type="spellStart"/>
      <w:r w:rsidRPr="00E452DB">
        <w:t>Bulvas</w:t>
      </w:r>
      <w:proofErr w:type="spellEnd"/>
      <w:r w:rsidRPr="00E452DB">
        <w:t xml:space="preserve">, O., </w:t>
      </w:r>
      <w:proofErr w:type="spellStart"/>
      <w:r w:rsidRPr="00E452DB">
        <w:t>Knejzlík</w:t>
      </w:r>
      <w:proofErr w:type="spellEnd"/>
      <w:r w:rsidRPr="00E452DB">
        <w:t xml:space="preserve">, Z., </w:t>
      </w:r>
      <w:proofErr w:type="spellStart"/>
      <w:r w:rsidRPr="00E452DB">
        <w:t>Sýs</w:t>
      </w:r>
      <w:proofErr w:type="spellEnd"/>
      <w:r w:rsidRPr="00E452DB">
        <w:t xml:space="preserve">, J., </w:t>
      </w:r>
      <w:proofErr w:type="spellStart"/>
      <w:r w:rsidRPr="00E452DB">
        <w:t>Filimoněnko</w:t>
      </w:r>
      <w:proofErr w:type="spellEnd"/>
      <w:r w:rsidRPr="00E452DB">
        <w:t xml:space="preserve">, A., Čížková, M., </w:t>
      </w:r>
      <w:proofErr w:type="spellStart"/>
      <w:r w:rsidRPr="00E452DB">
        <w:t>Clarová</w:t>
      </w:r>
      <w:proofErr w:type="spellEnd"/>
      <w:r w:rsidRPr="00E452DB">
        <w:t xml:space="preserve">, K., Rejman, D., Kouba, T., &amp; </w:t>
      </w:r>
      <w:proofErr w:type="spellStart"/>
      <w:r w:rsidRPr="00E452DB">
        <w:t>Pichová</w:t>
      </w:r>
      <w:proofErr w:type="spellEnd"/>
      <w:r w:rsidRPr="00E452DB">
        <w:t xml:space="preserve">, I. (2024). Deciphering the allosteric regulation of mycobacterial inosine-5′-monophosphate dehydrogenase. </w:t>
      </w:r>
      <w:r w:rsidRPr="00E452DB">
        <w:rPr>
          <w:i/>
          <w:iCs/>
        </w:rPr>
        <w:t>Nature Communications</w:t>
      </w:r>
      <w:r w:rsidRPr="00E452DB">
        <w:t xml:space="preserve">, </w:t>
      </w:r>
      <w:r w:rsidRPr="00E452DB">
        <w:rPr>
          <w:i/>
          <w:iCs/>
        </w:rPr>
        <w:t>15</w:t>
      </w:r>
      <w:r w:rsidRPr="00E452DB">
        <w:t xml:space="preserve">(1). </w:t>
      </w:r>
      <w:hyperlink r:id="rId19" w:history="1">
        <w:r w:rsidRPr="00E452DB">
          <w:rPr>
            <w:rStyle w:val="Hyperlink"/>
            <w:rFonts w:eastAsiaTheme="majorEastAsia"/>
          </w:rPr>
          <w:t>https://doi.org/10.1038/s41467-024-50933-6</w:t>
        </w:r>
      </w:hyperlink>
    </w:p>
    <w:p w14:paraId="64E9A458" w14:textId="77777777" w:rsidR="0026328A" w:rsidRDefault="0026328A" w:rsidP="0026328A">
      <w:pPr>
        <w:spacing w:line="360" w:lineRule="auto"/>
        <w:jc w:val="both"/>
      </w:pPr>
      <w:r w:rsidRPr="00E452DB">
        <w:br/>
      </w:r>
      <w:proofErr w:type="spellStart"/>
      <w:r w:rsidRPr="00E452DB">
        <w:t>Chaachouay</w:t>
      </w:r>
      <w:proofErr w:type="spellEnd"/>
      <w:r w:rsidRPr="00E452DB">
        <w:t xml:space="preserve">, N. (2025). Synergy, Additive Effects, and Antagonism of Drugs with Plant Bioactive Compounds. </w:t>
      </w:r>
      <w:r w:rsidRPr="00E452DB">
        <w:rPr>
          <w:i/>
          <w:iCs/>
        </w:rPr>
        <w:t>Drugs and Drug Candidates</w:t>
      </w:r>
      <w:r w:rsidRPr="00E452DB">
        <w:t xml:space="preserve">, </w:t>
      </w:r>
      <w:r w:rsidRPr="00E452DB">
        <w:rPr>
          <w:i/>
          <w:iCs/>
        </w:rPr>
        <w:t>4</w:t>
      </w:r>
      <w:r w:rsidRPr="00E452DB">
        <w:t xml:space="preserve">(1), 4. </w:t>
      </w:r>
      <w:hyperlink r:id="rId20" w:history="1">
        <w:r w:rsidRPr="00E452DB">
          <w:rPr>
            <w:rStyle w:val="Hyperlink"/>
            <w:rFonts w:eastAsiaTheme="majorEastAsia"/>
          </w:rPr>
          <w:t>https://doi.org/10.3390/ddc4010004</w:t>
        </w:r>
      </w:hyperlink>
    </w:p>
    <w:p w14:paraId="7252A320" w14:textId="77777777" w:rsidR="0026328A" w:rsidRDefault="0026328A" w:rsidP="0026328A">
      <w:pPr>
        <w:spacing w:line="360" w:lineRule="auto"/>
        <w:jc w:val="both"/>
      </w:pPr>
      <w:r w:rsidRPr="00E452DB">
        <w:br/>
      </w:r>
      <w:proofErr w:type="spellStart"/>
      <w:r w:rsidRPr="00E452DB">
        <w:t>Chihomvu</w:t>
      </w:r>
      <w:proofErr w:type="spellEnd"/>
      <w:r w:rsidRPr="00E452DB">
        <w:t xml:space="preserve">, P., Ganesan, A., Gibbons, S., Woollard, K., &amp; Hayes, M. A. (2024). Phytochemicals in Drug Discovery-A Confluence of Tradition and Innovation. </w:t>
      </w:r>
      <w:r w:rsidRPr="00E452DB">
        <w:rPr>
          <w:i/>
          <w:iCs/>
        </w:rPr>
        <w:t>International Journal of Molecular Sciences</w:t>
      </w:r>
      <w:r w:rsidRPr="00E452DB">
        <w:t xml:space="preserve">, </w:t>
      </w:r>
      <w:r w:rsidRPr="00E452DB">
        <w:rPr>
          <w:i/>
          <w:iCs/>
        </w:rPr>
        <w:t>25</w:t>
      </w:r>
      <w:r w:rsidRPr="00E452DB">
        <w:t xml:space="preserve">(16), 8792. </w:t>
      </w:r>
      <w:hyperlink r:id="rId21" w:history="1">
        <w:r w:rsidRPr="00E452DB">
          <w:rPr>
            <w:rStyle w:val="Hyperlink"/>
            <w:rFonts w:eastAsiaTheme="majorEastAsia"/>
          </w:rPr>
          <w:t>https://doi.org/10.3390/ijms25168792</w:t>
        </w:r>
      </w:hyperlink>
    </w:p>
    <w:p w14:paraId="6748F6B0" w14:textId="77777777" w:rsidR="0026328A" w:rsidRDefault="0026328A" w:rsidP="0026328A">
      <w:pPr>
        <w:spacing w:line="360" w:lineRule="auto"/>
        <w:jc w:val="both"/>
      </w:pPr>
      <w:r w:rsidRPr="00E452DB">
        <w:lastRenderedPageBreak/>
        <w:br/>
      </w:r>
      <w:proofErr w:type="spellStart"/>
      <w:r w:rsidRPr="00E452DB">
        <w:t>Claushuis</w:t>
      </w:r>
      <w:proofErr w:type="spellEnd"/>
      <w:r w:rsidRPr="00E452DB">
        <w:t xml:space="preserve">, T. A. M., Heemskerk, J. W. M., Tamer, F., Kuijpers, M. J. E., &amp; </w:t>
      </w:r>
      <w:proofErr w:type="spellStart"/>
      <w:r w:rsidRPr="00E452DB">
        <w:t>Tullemans</w:t>
      </w:r>
      <w:proofErr w:type="spellEnd"/>
      <w:r w:rsidRPr="00E452DB">
        <w:t xml:space="preserve">, B. M. E. (2021). Nutrition Phytochemicals Affecting Platelet Signaling and Responsiveness: Implications for Thrombosis and Hemostasis. </w:t>
      </w:r>
      <w:r w:rsidRPr="00E452DB">
        <w:rPr>
          <w:i/>
          <w:iCs/>
        </w:rPr>
        <w:t xml:space="preserve">Thrombosis and </w:t>
      </w:r>
      <w:proofErr w:type="spellStart"/>
      <w:r w:rsidRPr="00E452DB">
        <w:rPr>
          <w:i/>
          <w:iCs/>
        </w:rPr>
        <w:t>Haemostasis</w:t>
      </w:r>
      <w:proofErr w:type="spellEnd"/>
      <w:r w:rsidRPr="00E452DB">
        <w:t xml:space="preserve">, </w:t>
      </w:r>
      <w:r w:rsidRPr="00E452DB">
        <w:rPr>
          <w:i/>
          <w:iCs/>
        </w:rPr>
        <w:t>122</w:t>
      </w:r>
      <w:r w:rsidRPr="00E452DB">
        <w:t xml:space="preserve">(6), 879–894. </w:t>
      </w:r>
      <w:hyperlink r:id="rId22" w:history="1">
        <w:r w:rsidRPr="00E452DB">
          <w:rPr>
            <w:rStyle w:val="Hyperlink"/>
            <w:rFonts w:eastAsiaTheme="majorEastAsia"/>
          </w:rPr>
          <w:t>https://doi.org/10.1055/a-1683-5599</w:t>
        </w:r>
      </w:hyperlink>
    </w:p>
    <w:p w14:paraId="752CA5B6" w14:textId="77777777" w:rsidR="0026328A" w:rsidRDefault="0026328A" w:rsidP="0026328A">
      <w:pPr>
        <w:spacing w:line="360" w:lineRule="auto"/>
        <w:jc w:val="both"/>
      </w:pPr>
      <w:r w:rsidRPr="00E452DB">
        <w:br/>
      </w:r>
      <w:proofErr w:type="spellStart"/>
      <w:r w:rsidRPr="00E452DB">
        <w:t>Czigle</w:t>
      </w:r>
      <w:proofErr w:type="spellEnd"/>
      <w:r w:rsidRPr="00E452DB">
        <w:t xml:space="preserve">, S., Tóth, J., Nagy, M., &amp; </w:t>
      </w:r>
      <w:proofErr w:type="spellStart"/>
      <w:r w:rsidRPr="00E452DB">
        <w:t>Mladěnka</w:t>
      </w:r>
      <w:proofErr w:type="spellEnd"/>
      <w:r w:rsidRPr="00E452DB">
        <w:t xml:space="preserve">, P. (2023). Pharmacokinetic and pharmacodynamic herb-drug interactions-part I. Herbal medicines of the central nervous system. </w:t>
      </w:r>
      <w:proofErr w:type="spellStart"/>
      <w:r w:rsidRPr="00E452DB">
        <w:rPr>
          <w:i/>
          <w:iCs/>
        </w:rPr>
        <w:t>PeerJ</w:t>
      </w:r>
      <w:proofErr w:type="spellEnd"/>
      <w:r w:rsidRPr="00E452DB">
        <w:t xml:space="preserve">, </w:t>
      </w:r>
      <w:r w:rsidRPr="00E452DB">
        <w:rPr>
          <w:i/>
          <w:iCs/>
        </w:rPr>
        <w:t>11</w:t>
      </w:r>
      <w:r w:rsidRPr="00E452DB">
        <w:t xml:space="preserve">, e16149. </w:t>
      </w:r>
      <w:hyperlink r:id="rId23" w:history="1">
        <w:r w:rsidRPr="00E452DB">
          <w:rPr>
            <w:rStyle w:val="Hyperlink"/>
            <w:rFonts w:eastAsiaTheme="majorEastAsia"/>
          </w:rPr>
          <w:t>https://doi.org/10.7717/peerj.16149</w:t>
        </w:r>
      </w:hyperlink>
    </w:p>
    <w:p w14:paraId="4CDE26E9" w14:textId="77777777" w:rsidR="0026328A" w:rsidRDefault="0026328A" w:rsidP="0026328A">
      <w:pPr>
        <w:spacing w:line="360" w:lineRule="auto"/>
        <w:jc w:val="both"/>
      </w:pPr>
      <w:r w:rsidRPr="00E452DB">
        <w:br/>
        <w:t xml:space="preserve">Deodhar, M., Darakjian, L., Turgeon, J., Rihani, S. B. A., &amp; Michaud, V. (2021). Assessing the Mechanism of Fluoxetine-Mediated CYP2D6 Inhibition. </w:t>
      </w:r>
      <w:r w:rsidRPr="00E452DB">
        <w:rPr>
          <w:i/>
          <w:iCs/>
        </w:rPr>
        <w:t>Pharmaceutics</w:t>
      </w:r>
      <w:r w:rsidRPr="00E452DB">
        <w:t xml:space="preserve">, </w:t>
      </w:r>
      <w:r w:rsidRPr="00E452DB">
        <w:rPr>
          <w:i/>
          <w:iCs/>
        </w:rPr>
        <w:t>13</w:t>
      </w:r>
      <w:r w:rsidRPr="00E452DB">
        <w:t xml:space="preserve">(2), 148. </w:t>
      </w:r>
      <w:hyperlink r:id="rId24" w:history="1">
        <w:r w:rsidRPr="00E452DB">
          <w:rPr>
            <w:rStyle w:val="Hyperlink"/>
            <w:rFonts w:eastAsiaTheme="majorEastAsia"/>
          </w:rPr>
          <w:t>https://doi.org/10.3390/pharmaceutics13020148</w:t>
        </w:r>
      </w:hyperlink>
    </w:p>
    <w:p w14:paraId="018792CA" w14:textId="77777777" w:rsidR="0026328A" w:rsidRDefault="0026328A" w:rsidP="0026328A">
      <w:pPr>
        <w:spacing w:line="360" w:lineRule="auto"/>
        <w:jc w:val="both"/>
      </w:pPr>
    </w:p>
    <w:p w14:paraId="4916F034" w14:textId="77777777" w:rsidR="0026328A" w:rsidRDefault="0026328A" w:rsidP="0026328A">
      <w:pPr>
        <w:spacing w:line="360" w:lineRule="auto"/>
        <w:jc w:val="both"/>
      </w:pPr>
      <w:r w:rsidRPr="0072494F">
        <w:t>Donovan, J. L., DeVane, C. L., Chavin, K. D., Wang, J. S., Gibson, B. B., Gefroh, H. A., ... &amp; Markowitz, J. S. (2004). Multiple night-time doses of valerian (</w:t>
      </w:r>
      <w:r w:rsidRPr="0072494F">
        <w:rPr>
          <w:rFonts w:eastAsiaTheme="majorEastAsia"/>
          <w:i/>
          <w:iCs/>
        </w:rPr>
        <w:t>Valeriana officinalis</w:t>
      </w:r>
      <w:r w:rsidRPr="0072494F">
        <w:t xml:space="preserve">) had minimal effects on CYP3A4 activity. </w:t>
      </w:r>
      <w:r w:rsidRPr="0072494F">
        <w:rPr>
          <w:rFonts w:eastAsiaTheme="majorEastAsia"/>
          <w:i/>
          <w:iCs/>
        </w:rPr>
        <w:t>Journal of Clinical Pharmacology, 44</w:t>
      </w:r>
      <w:r w:rsidRPr="0072494F">
        <w:t xml:space="preserve">(1), 89–94. </w:t>
      </w:r>
      <w:hyperlink r:id="rId25" w:tgtFrame="_blank" w:history="1">
        <w:r w:rsidRPr="0072494F">
          <w:rPr>
            <w:rStyle w:val="Hyperlink"/>
            <w:rFonts w:eastAsiaTheme="majorEastAsia"/>
          </w:rPr>
          <w:t>https://doi.org/10.1177/0091270003261338</w:t>
        </w:r>
      </w:hyperlink>
      <w:r>
        <w:t xml:space="preserve">   </w:t>
      </w:r>
    </w:p>
    <w:p w14:paraId="1009C3CD" w14:textId="77777777" w:rsidR="0026328A" w:rsidRDefault="0026328A" w:rsidP="0026328A">
      <w:pPr>
        <w:spacing w:line="360" w:lineRule="auto"/>
        <w:jc w:val="both"/>
      </w:pPr>
      <w:r w:rsidRPr="00E452DB">
        <w:br/>
        <w:t xml:space="preserve">Durairaj, P., &amp; Liu, Z. L. (2025). Brain Cytochrome P450: Navigating Neurological Health and Metabolic Regulation. </w:t>
      </w:r>
      <w:r w:rsidRPr="00E452DB">
        <w:rPr>
          <w:i/>
          <w:iCs/>
        </w:rPr>
        <w:t>Journal of Xenobiotics</w:t>
      </w:r>
      <w:r w:rsidRPr="00E452DB">
        <w:t xml:space="preserve">, </w:t>
      </w:r>
      <w:r w:rsidRPr="00E452DB">
        <w:rPr>
          <w:i/>
          <w:iCs/>
        </w:rPr>
        <w:t>15</w:t>
      </w:r>
      <w:r w:rsidRPr="00E452DB">
        <w:t xml:space="preserve">(2), 44. </w:t>
      </w:r>
      <w:hyperlink r:id="rId26" w:history="1">
        <w:r w:rsidRPr="00E452DB">
          <w:rPr>
            <w:rStyle w:val="Hyperlink"/>
            <w:rFonts w:eastAsiaTheme="majorEastAsia"/>
          </w:rPr>
          <w:t>https://doi.org/10.3390/jox15020044</w:t>
        </w:r>
      </w:hyperlink>
    </w:p>
    <w:p w14:paraId="61A9444C" w14:textId="77777777" w:rsidR="0026328A" w:rsidRDefault="0026328A" w:rsidP="0026328A">
      <w:pPr>
        <w:spacing w:line="360" w:lineRule="auto"/>
        <w:jc w:val="both"/>
      </w:pPr>
      <w:r w:rsidRPr="00E452DB">
        <w:br/>
        <w:t xml:space="preserve">Dusek, J., </w:t>
      </w:r>
      <w:proofErr w:type="spellStart"/>
      <w:r w:rsidRPr="00E452DB">
        <w:t>Holčapek</w:t>
      </w:r>
      <w:proofErr w:type="spellEnd"/>
      <w:r w:rsidRPr="00E452DB">
        <w:t xml:space="preserve">, M., Kamaraj, R., Burk, O., Kronenberger, T., Rashidian, A., </w:t>
      </w:r>
      <w:proofErr w:type="spellStart"/>
      <w:r w:rsidRPr="00E452DB">
        <w:t>Chocholouskova</w:t>
      </w:r>
      <w:proofErr w:type="spellEnd"/>
      <w:r w:rsidRPr="00E452DB">
        <w:t xml:space="preserve">, M., Hroch, M., </w:t>
      </w:r>
      <w:proofErr w:type="spellStart"/>
      <w:r w:rsidRPr="00E452DB">
        <w:t>Krutakova</w:t>
      </w:r>
      <w:proofErr w:type="spellEnd"/>
      <w:r w:rsidRPr="00E452DB">
        <w:t xml:space="preserve">, M., </w:t>
      </w:r>
      <w:proofErr w:type="spellStart"/>
      <w:r w:rsidRPr="00E452DB">
        <w:t>Pavkova</w:t>
      </w:r>
      <w:proofErr w:type="spellEnd"/>
      <w:r w:rsidRPr="00E452DB">
        <w:t xml:space="preserve">, I., Ingelman-Sundberg, M., Skoda, J., </w:t>
      </w:r>
      <w:proofErr w:type="spellStart"/>
      <w:r w:rsidRPr="00E452DB">
        <w:t>Leníček</w:t>
      </w:r>
      <w:proofErr w:type="spellEnd"/>
      <w:r w:rsidRPr="00E452DB">
        <w:t xml:space="preserve">, M., </w:t>
      </w:r>
      <w:proofErr w:type="spellStart"/>
      <w:r w:rsidRPr="00E452DB">
        <w:t>Škach</w:t>
      </w:r>
      <w:proofErr w:type="spellEnd"/>
      <w:r w:rsidRPr="00E452DB">
        <w:t xml:space="preserve">, K., Vítek, L., Chalupsky, K., Pavek, P., </w:t>
      </w:r>
      <w:proofErr w:type="spellStart"/>
      <w:r w:rsidRPr="00E452DB">
        <w:t>Mejdrová</w:t>
      </w:r>
      <w:proofErr w:type="spellEnd"/>
      <w:r w:rsidRPr="00E452DB">
        <w:t xml:space="preserve">, I., </w:t>
      </w:r>
      <w:proofErr w:type="spellStart"/>
      <w:r w:rsidRPr="00E452DB">
        <w:t>Smutna</w:t>
      </w:r>
      <w:proofErr w:type="spellEnd"/>
      <w:r w:rsidRPr="00E452DB">
        <w:t xml:space="preserve">, L., … </w:t>
      </w:r>
      <w:proofErr w:type="spellStart"/>
      <w:r w:rsidRPr="00E452DB">
        <w:t>Pijnenburg</w:t>
      </w:r>
      <w:proofErr w:type="spellEnd"/>
      <w:r w:rsidRPr="00E452DB">
        <w:t xml:space="preserve">, D. (2025). The hypolipidemic effect of MI-883, the combined CAR agonist/ PXR antagonist, in diet-induced hypercholesterolemia model. </w:t>
      </w:r>
      <w:r w:rsidRPr="00E452DB">
        <w:rPr>
          <w:i/>
          <w:iCs/>
        </w:rPr>
        <w:t>Nature Communications</w:t>
      </w:r>
      <w:r w:rsidRPr="00E452DB">
        <w:t xml:space="preserve">, </w:t>
      </w:r>
      <w:r w:rsidRPr="00E452DB">
        <w:rPr>
          <w:i/>
          <w:iCs/>
        </w:rPr>
        <w:t>16</w:t>
      </w:r>
      <w:r w:rsidRPr="00E452DB">
        <w:t xml:space="preserve">(1). </w:t>
      </w:r>
      <w:hyperlink r:id="rId27" w:history="1">
        <w:r w:rsidRPr="00E452DB">
          <w:rPr>
            <w:rStyle w:val="Hyperlink"/>
            <w:rFonts w:eastAsiaTheme="majorEastAsia"/>
          </w:rPr>
          <w:t>https://doi.org/10.1038/s41467-025-56642-y</w:t>
        </w:r>
      </w:hyperlink>
    </w:p>
    <w:p w14:paraId="35ADF39F" w14:textId="77777777" w:rsidR="0026328A" w:rsidRDefault="0026328A" w:rsidP="0026328A">
      <w:pPr>
        <w:spacing w:line="360" w:lineRule="auto"/>
        <w:jc w:val="both"/>
      </w:pPr>
      <w:r w:rsidRPr="00E452DB">
        <w:br/>
        <w:t xml:space="preserve">El Hamdaoui, Y., Nürnberg, B., Lichtenstein, D., Friedland, K., </w:t>
      </w:r>
      <w:proofErr w:type="spellStart"/>
      <w:r w:rsidRPr="00E452DB">
        <w:t>Treccani</w:t>
      </w:r>
      <w:proofErr w:type="spellEnd"/>
      <w:r w:rsidRPr="00E452DB">
        <w:t xml:space="preserve">, G., </w:t>
      </w:r>
      <w:proofErr w:type="spellStart"/>
      <w:r w:rsidRPr="00E452DB">
        <w:t>Braeuning</w:t>
      </w:r>
      <w:proofErr w:type="spellEnd"/>
      <w:r w:rsidRPr="00E452DB">
        <w:t xml:space="preserve">, A., Tran, M. A., Heinrich, M., Alzheimer, C., Weikert, D., Nowak, G., Hellmich, U. A., Ye, L., </w:t>
      </w:r>
      <w:proofErr w:type="spellStart"/>
      <w:r w:rsidRPr="00E452DB">
        <w:t>Schwickert</w:t>
      </w:r>
      <w:proofErr w:type="spellEnd"/>
      <w:r w:rsidRPr="00E452DB">
        <w:t xml:space="preserve">, </w:t>
      </w:r>
      <w:r w:rsidRPr="00E452DB">
        <w:lastRenderedPageBreak/>
        <w:t xml:space="preserve">K., Müller, C. P., Fritz, N., </w:t>
      </w:r>
      <w:proofErr w:type="spellStart"/>
      <w:r w:rsidRPr="00E452DB">
        <w:t>Schirmeister</w:t>
      </w:r>
      <w:proofErr w:type="spellEnd"/>
      <w:r w:rsidRPr="00E452DB">
        <w:t xml:space="preserve">, T., Zheng, F., &amp; Schäfer, M. K. E. (2022). Analysis of hyperforin (St. John’s wort) action at TRPC6 channel leads to the development of a new class of antidepressant drugs. </w:t>
      </w:r>
      <w:r w:rsidRPr="00E452DB">
        <w:rPr>
          <w:i/>
          <w:iCs/>
        </w:rPr>
        <w:t>Molecular Psychiatry</w:t>
      </w:r>
      <w:r w:rsidRPr="00E452DB">
        <w:t xml:space="preserve">, </w:t>
      </w:r>
      <w:r w:rsidRPr="00E452DB">
        <w:rPr>
          <w:i/>
          <w:iCs/>
        </w:rPr>
        <w:t>27</w:t>
      </w:r>
      <w:r w:rsidRPr="00E452DB">
        <w:t xml:space="preserve">(12), 5070–5085. </w:t>
      </w:r>
      <w:hyperlink r:id="rId28" w:history="1">
        <w:r w:rsidRPr="00E452DB">
          <w:rPr>
            <w:rStyle w:val="Hyperlink"/>
            <w:rFonts w:eastAsiaTheme="majorEastAsia"/>
          </w:rPr>
          <w:t>https://doi.org/10.1038/s41380-022-01804-3</w:t>
        </w:r>
      </w:hyperlink>
    </w:p>
    <w:p w14:paraId="6D67F6B2" w14:textId="77777777" w:rsidR="0026328A" w:rsidRDefault="0026328A" w:rsidP="0026328A">
      <w:pPr>
        <w:spacing w:line="360" w:lineRule="auto"/>
        <w:jc w:val="both"/>
      </w:pPr>
      <w:r w:rsidRPr="00E452DB">
        <w:br/>
        <w:t xml:space="preserve">Fiorentino, N., Delfine, S., Chianese, G., &amp; Formisano, C. (2024). Editorial: Environmental and agronomic factors affecting the chemical composition and biological activity of cannabis extracts. </w:t>
      </w:r>
      <w:r w:rsidRPr="00E452DB">
        <w:rPr>
          <w:i/>
          <w:iCs/>
        </w:rPr>
        <w:t>Frontiers in Plant Science</w:t>
      </w:r>
      <w:r w:rsidRPr="00E452DB">
        <w:t xml:space="preserve">, </w:t>
      </w:r>
      <w:r w:rsidRPr="00E452DB">
        <w:rPr>
          <w:i/>
          <w:iCs/>
        </w:rPr>
        <w:t>15</w:t>
      </w:r>
      <w:r w:rsidRPr="00E452DB">
        <w:t xml:space="preserve">. </w:t>
      </w:r>
      <w:hyperlink r:id="rId29" w:history="1">
        <w:r w:rsidRPr="00E452DB">
          <w:rPr>
            <w:rStyle w:val="Hyperlink"/>
            <w:rFonts w:eastAsiaTheme="majorEastAsia"/>
          </w:rPr>
          <w:t>https://doi.org/10.3389/fpls.2024.1407262</w:t>
        </w:r>
      </w:hyperlink>
    </w:p>
    <w:p w14:paraId="487005FF" w14:textId="77777777" w:rsidR="0026328A" w:rsidRDefault="0026328A" w:rsidP="0026328A">
      <w:pPr>
        <w:spacing w:line="360" w:lineRule="auto"/>
        <w:jc w:val="both"/>
      </w:pPr>
      <w:r w:rsidRPr="00E452DB">
        <w:br/>
        <w:t xml:space="preserve">Frolova, L. N., Kovaleva, E. L., </w:t>
      </w:r>
      <w:proofErr w:type="spellStart"/>
      <w:r w:rsidRPr="00E452DB">
        <w:t>Shelestova</w:t>
      </w:r>
      <w:proofErr w:type="spellEnd"/>
      <w:r w:rsidRPr="00E452DB">
        <w:t xml:space="preserve">, V. V., </w:t>
      </w:r>
      <w:proofErr w:type="spellStart"/>
      <w:r w:rsidRPr="00E452DB">
        <w:t>Kuteynikov</w:t>
      </w:r>
      <w:proofErr w:type="spellEnd"/>
      <w:r w:rsidRPr="00E452DB">
        <w:t xml:space="preserve">, V. Y., </w:t>
      </w:r>
      <w:proofErr w:type="spellStart"/>
      <w:r w:rsidRPr="00E452DB">
        <w:t>Flisyuk</w:t>
      </w:r>
      <w:proofErr w:type="spellEnd"/>
      <w:r w:rsidRPr="00E452DB">
        <w:t xml:space="preserve">, E. V., </w:t>
      </w:r>
      <w:proofErr w:type="spellStart"/>
      <w:r w:rsidRPr="00E452DB">
        <w:t>Pozharitskaya</w:t>
      </w:r>
      <w:proofErr w:type="spellEnd"/>
      <w:r w:rsidRPr="00E452DB">
        <w:t xml:space="preserve">, O. N., &amp; </w:t>
      </w:r>
      <w:proofErr w:type="spellStart"/>
      <w:r w:rsidRPr="00E452DB">
        <w:t>Shikov</w:t>
      </w:r>
      <w:proofErr w:type="spellEnd"/>
      <w:r w:rsidRPr="00E452DB">
        <w:t xml:space="preserve">, A. N. (2025). Comparison of Analytical Methods Used for Standardization of Triterpenoid Saponins in Herbal Monographs Included in the Russian and Other Pharmacopeias. </w:t>
      </w:r>
      <w:r w:rsidRPr="00E452DB">
        <w:rPr>
          <w:i/>
          <w:iCs/>
        </w:rPr>
        <w:t xml:space="preserve">Phytochemical </w:t>
      </w:r>
      <w:proofErr w:type="gramStart"/>
      <w:r w:rsidRPr="00E452DB">
        <w:rPr>
          <w:i/>
          <w:iCs/>
        </w:rPr>
        <w:t>Analysis :</w:t>
      </w:r>
      <w:proofErr w:type="gramEnd"/>
      <w:r w:rsidRPr="00E452DB">
        <w:rPr>
          <w:i/>
          <w:iCs/>
        </w:rPr>
        <w:t xml:space="preserve"> PCA</w:t>
      </w:r>
      <w:r w:rsidRPr="00E452DB">
        <w:t xml:space="preserve">. </w:t>
      </w:r>
      <w:hyperlink r:id="rId30" w:history="1">
        <w:r w:rsidRPr="00E452DB">
          <w:rPr>
            <w:rStyle w:val="Hyperlink"/>
            <w:rFonts w:eastAsiaTheme="majorEastAsia"/>
          </w:rPr>
          <w:t>https://doi.org/10.1002/pca.3516</w:t>
        </w:r>
      </w:hyperlink>
    </w:p>
    <w:p w14:paraId="0CA2E0E1" w14:textId="77777777" w:rsidR="0026328A" w:rsidRDefault="0026328A" w:rsidP="0026328A">
      <w:pPr>
        <w:spacing w:line="360" w:lineRule="auto"/>
        <w:jc w:val="both"/>
      </w:pPr>
      <w:r w:rsidRPr="00E452DB">
        <w:br/>
      </w:r>
      <w:proofErr w:type="spellStart"/>
      <w:r w:rsidRPr="00E452DB">
        <w:t>Galankin</w:t>
      </w:r>
      <w:proofErr w:type="spellEnd"/>
      <w:r w:rsidRPr="00E452DB">
        <w:t xml:space="preserve">, N. A., Gromova, O. A., </w:t>
      </w:r>
      <w:proofErr w:type="spellStart"/>
      <w:r w:rsidRPr="00E452DB">
        <w:t>Galustyan</w:t>
      </w:r>
      <w:proofErr w:type="spellEnd"/>
      <w:r w:rsidRPr="00E452DB">
        <w:t xml:space="preserve">, A. N., </w:t>
      </w:r>
      <w:proofErr w:type="spellStart"/>
      <w:r w:rsidRPr="00E452DB">
        <w:t>Tadtaeva</w:t>
      </w:r>
      <w:proofErr w:type="spellEnd"/>
      <w:r w:rsidRPr="00E452DB">
        <w:t xml:space="preserve">, Z. G., &amp; </w:t>
      </w:r>
      <w:proofErr w:type="spellStart"/>
      <w:r w:rsidRPr="00E452DB">
        <w:t>Sardaryan</w:t>
      </w:r>
      <w:proofErr w:type="spellEnd"/>
      <w:r w:rsidRPr="00E452DB">
        <w:t xml:space="preserve">, I. S. (2025). Impact of CYP2C9, CYP2C19 and ABCB1 genetic polymorphisms on antiepileptic drug safety and efficacy. </w:t>
      </w:r>
      <w:r w:rsidRPr="00E452DB">
        <w:rPr>
          <w:i/>
          <w:iCs/>
        </w:rPr>
        <w:t>Epilepsy and Paroxysmal Conditions</w:t>
      </w:r>
      <w:r w:rsidRPr="00E452DB">
        <w:t xml:space="preserve">, </w:t>
      </w:r>
      <w:r w:rsidRPr="00E452DB">
        <w:rPr>
          <w:i/>
          <w:iCs/>
        </w:rPr>
        <w:t>17</w:t>
      </w:r>
      <w:r w:rsidRPr="00E452DB">
        <w:t xml:space="preserve">(1), 70–81. </w:t>
      </w:r>
      <w:hyperlink r:id="rId31" w:history="1">
        <w:r w:rsidRPr="00E452DB">
          <w:rPr>
            <w:rStyle w:val="Hyperlink"/>
            <w:rFonts w:eastAsiaTheme="majorEastAsia"/>
          </w:rPr>
          <w:t>https://doi.org/10.17749/2077-8333/epi.par.con.2025.240</w:t>
        </w:r>
      </w:hyperlink>
    </w:p>
    <w:p w14:paraId="5F99D806" w14:textId="77777777" w:rsidR="0026328A" w:rsidRDefault="0026328A" w:rsidP="0026328A">
      <w:pPr>
        <w:spacing w:line="360" w:lineRule="auto"/>
        <w:jc w:val="both"/>
      </w:pPr>
      <w:r w:rsidRPr="00E452DB">
        <w:br/>
        <w:t xml:space="preserve">Gao, Y., Liu, K.-Y., Xiao, W., Xie, X., Liang, Q., Tu, Z., Yang, L., Yu, H., Guo, H., Huang, S., Han, X., Fu, J., &amp; Zhou, Y. (2024). Aryl hydrocarbon receptor confers protection against macrophage </w:t>
      </w:r>
      <w:proofErr w:type="spellStart"/>
      <w:r w:rsidRPr="00E452DB">
        <w:t>pyroptosis</w:t>
      </w:r>
      <w:proofErr w:type="spellEnd"/>
      <w:r w:rsidRPr="00E452DB">
        <w:t xml:space="preserve"> and intestinal inflammation through regulating polyamine biosynthesis. </w:t>
      </w:r>
      <w:proofErr w:type="spellStart"/>
      <w:r w:rsidRPr="00E452DB">
        <w:rPr>
          <w:i/>
          <w:iCs/>
        </w:rPr>
        <w:t>Theranostics</w:t>
      </w:r>
      <w:proofErr w:type="spellEnd"/>
      <w:r w:rsidRPr="00E452DB">
        <w:t xml:space="preserve">, </w:t>
      </w:r>
      <w:r w:rsidRPr="00E452DB">
        <w:rPr>
          <w:i/>
          <w:iCs/>
        </w:rPr>
        <w:t>14</w:t>
      </w:r>
      <w:r w:rsidRPr="00E452DB">
        <w:t xml:space="preserve">(11), 4218–4239. </w:t>
      </w:r>
      <w:hyperlink r:id="rId32" w:history="1">
        <w:r w:rsidRPr="00E452DB">
          <w:rPr>
            <w:rStyle w:val="Hyperlink"/>
            <w:rFonts w:eastAsiaTheme="majorEastAsia"/>
          </w:rPr>
          <w:t>https://doi.org/10.7150/thno.95749</w:t>
        </w:r>
      </w:hyperlink>
    </w:p>
    <w:p w14:paraId="2C01588A" w14:textId="77777777" w:rsidR="0026328A" w:rsidRDefault="0026328A" w:rsidP="0026328A">
      <w:pPr>
        <w:spacing w:line="360" w:lineRule="auto"/>
        <w:jc w:val="both"/>
      </w:pPr>
      <w:r w:rsidRPr="00E452DB">
        <w:br/>
      </w:r>
      <w:proofErr w:type="spellStart"/>
      <w:r w:rsidRPr="00E452DB">
        <w:t>Goldwaser</w:t>
      </w:r>
      <w:proofErr w:type="spellEnd"/>
      <w:r w:rsidRPr="00E452DB">
        <w:t xml:space="preserve">, E., Jelsch, C., </w:t>
      </w:r>
      <w:proofErr w:type="spellStart"/>
      <w:r w:rsidRPr="00E452DB">
        <w:t>Villoutreix</w:t>
      </w:r>
      <w:proofErr w:type="spellEnd"/>
      <w:r w:rsidRPr="00E452DB">
        <w:t xml:space="preserve">, B. O., Fabrega, S., Laurent, C., Nay, L., </w:t>
      </w:r>
      <w:proofErr w:type="spellStart"/>
      <w:r w:rsidRPr="00E452DB">
        <w:t>Loriot</w:t>
      </w:r>
      <w:proofErr w:type="spellEnd"/>
      <w:r w:rsidRPr="00E452DB">
        <w:t xml:space="preserve">, M.-A., Nicot, A. B., Miteva, M. A., &amp; Lagarde, N. (2022). Machine learning-driven identification of drugs inhibiting cytochrome P450 2C9. </w:t>
      </w:r>
      <w:proofErr w:type="spellStart"/>
      <w:r w:rsidRPr="00E452DB">
        <w:rPr>
          <w:i/>
          <w:iCs/>
        </w:rPr>
        <w:t>PLoS</w:t>
      </w:r>
      <w:proofErr w:type="spellEnd"/>
      <w:r w:rsidRPr="00E452DB">
        <w:rPr>
          <w:i/>
          <w:iCs/>
        </w:rPr>
        <w:t xml:space="preserve"> Computational Biology</w:t>
      </w:r>
      <w:r w:rsidRPr="00E452DB">
        <w:t xml:space="preserve">, </w:t>
      </w:r>
      <w:r w:rsidRPr="00E452DB">
        <w:rPr>
          <w:i/>
          <w:iCs/>
        </w:rPr>
        <w:t>18</w:t>
      </w:r>
      <w:r w:rsidRPr="00E452DB">
        <w:t xml:space="preserve">(1), e1009820. </w:t>
      </w:r>
      <w:hyperlink r:id="rId33" w:history="1">
        <w:r w:rsidRPr="00E452DB">
          <w:rPr>
            <w:rStyle w:val="Hyperlink"/>
            <w:rFonts w:eastAsiaTheme="majorEastAsia"/>
          </w:rPr>
          <w:t>https://doi.org/10.1371/journal.pcbi.1009820</w:t>
        </w:r>
      </w:hyperlink>
    </w:p>
    <w:p w14:paraId="4AAE715C" w14:textId="77777777" w:rsidR="0026328A" w:rsidRDefault="0026328A" w:rsidP="0026328A">
      <w:pPr>
        <w:spacing w:line="360" w:lineRule="auto"/>
        <w:jc w:val="both"/>
      </w:pPr>
    </w:p>
    <w:p w14:paraId="213FBE5A" w14:textId="77777777" w:rsidR="0026328A" w:rsidRDefault="0026328A" w:rsidP="0026328A">
      <w:pPr>
        <w:spacing w:line="360" w:lineRule="auto"/>
        <w:jc w:val="both"/>
      </w:pPr>
      <w:r w:rsidRPr="0072494F">
        <w:lastRenderedPageBreak/>
        <w:t xml:space="preserve">Gorski, J. C., Huang, S. M., Pinto, A., Hamman, M. A., Hilligoss, J. K., Zaheer, N. A., ... &amp; Hall, S. D. (2004). The effect of echinacea on CYP3A activity </w:t>
      </w:r>
      <w:r w:rsidRPr="0072494F">
        <w:rPr>
          <w:rFonts w:eastAsiaTheme="majorEastAsia"/>
          <w:i/>
          <w:iCs/>
        </w:rPr>
        <w:t>in vivo. Clinical Pharmacology &amp; Therapeutics, 76</w:t>
      </w:r>
      <w:r w:rsidRPr="0072494F">
        <w:t xml:space="preserve">(1), 76–84. </w:t>
      </w:r>
      <w:hyperlink r:id="rId34" w:tgtFrame="_blank" w:history="1">
        <w:r w:rsidRPr="0072494F">
          <w:rPr>
            <w:rStyle w:val="Hyperlink"/>
            <w:rFonts w:eastAsiaTheme="majorEastAsia"/>
          </w:rPr>
          <w:t>https://doi.org/10.1016/j.clpt.2004.03.005</w:t>
        </w:r>
      </w:hyperlink>
    </w:p>
    <w:p w14:paraId="257633B3" w14:textId="77777777" w:rsidR="0026328A" w:rsidRDefault="0026328A" w:rsidP="0026328A">
      <w:pPr>
        <w:spacing w:line="360" w:lineRule="auto"/>
        <w:jc w:val="both"/>
      </w:pPr>
      <w:r w:rsidRPr="00E452DB">
        <w:br/>
        <w:t xml:space="preserve">Guengerich, F. P. (2024). Roles of Individual Human Cytochrome P450 Enzymes in Drug Metabolism. </w:t>
      </w:r>
      <w:r w:rsidRPr="00E452DB">
        <w:rPr>
          <w:i/>
          <w:iCs/>
        </w:rPr>
        <w:t>Pharmacological Reviews</w:t>
      </w:r>
      <w:r w:rsidRPr="00E452DB">
        <w:t xml:space="preserve">, </w:t>
      </w:r>
      <w:r w:rsidRPr="00E452DB">
        <w:rPr>
          <w:i/>
          <w:iCs/>
        </w:rPr>
        <w:t>76</w:t>
      </w:r>
      <w:r w:rsidRPr="00E452DB">
        <w:t xml:space="preserve">(6), 1104–1132. </w:t>
      </w:r>
      <w:hyperlink r:id="rId35" w:history="1">
        <w:r w:rsidRPr="00E452DB">
          <w:rPr>
            <w:rStyle w:val="Hyperlink"/>
            <w:rFonts w:eastAsiaTheme="majorEastAsia"/>
          </w:rPr>
          <w:t>https://doi.org/10.1124/pharmrev.124.001173</w:t>
        </w:r>
      </w:hyperlink>
    </w:p>
    <w:p w14:paraId="42AA2BED" w14:textId="77777777" w:rsidR="0026328A" w:rsidRDefault="0026328A" w:rsidP="0026328A">
      <w:pPr>
        <w:spacing w:line="360" w:lineRule="auto"/>
        <w:jc w:val="both"/>
      </w:pPr>
    </w:p>
    <w:p w14:paraId="1563EB08" w14:textId="77777777" w:rsidR="0026328A" w:rsidRDefault="0026328A" w:rsidP="0026328A">
      <w:pPr>
        <w:spacing w:line="360" w:lineRule="auto"/>
        <w:jc w:val="both"/>
      </w:pPr>
      <w:r w:rsidRPr="0072494F">
        <w:t xml:space="preserve">Gurley, B. J., Swain, A., Hubbard, M. A., Williams, D. K., Barone, G., Hartsfield, F., ... &amp; Tong, Y. (2008). Clinical assessment of CYP2D6-mediated herb-drug interactions in humans: Effects of milk thistle, black cohosh, goldenseal, kava </w:t>
      </w:r>
      <w:proofErr w:type="spellStart"/>
      <w:r w:rsidRPr="0072494F">
        <w:t>kava</w:t>
      </w:r>
      <w:proofErr w:type="spellEnd"/>
      <w:r w:rsidRPr="0072494F">
        <w:t xml:space="preserve">, St. John’s wort, and Echinacea. </w:t>
      </w:r>
      <w:r w:rsidRPr="0072494F">
        <w:rPr>
          <w:rFonts w:eastAsiaTheme="majorEastAsia"/>
          <w:i/>
          <w:iCs/>
        </w:rPr>
        <w:t>Molecular Nutrition &amp; Food Research, 52</w:t>
      </w:r>
      <w:r w:rsidRPr="0072494F">
        <w:t xml:space="preserve">(7), 755–763. </w:t>
      </w:r>
      <w:hyperlink r:id="rId36" w:tgtFrame="_blank" w:history="1">
        <w:r w:rsidRPr="0072494F">
          <w:rPr>
            <w:rStyle w:val="Hyperlink"/>
            <w:rFonts w:eastAsiaTheme="majorEastAsia"/>
          </w:rPr>
          <w:t>https://doi.org/10.1002/mnfr.200700302</w:t>
        </w:r>
      </w:hyperlink>
    </w:p>
    <w:p w14:paraId="353C53C5" w14:textId="77777777" w:rsidR="0026328A" w:rsidRDefault="0026328A" w:rsidP="0026328A">
      <w:pPr>
        <w:spacing w:line="360" w:lineRule="auto"/>
        <w:jc w:val="both"/>
      </w:pPr>
      <w:r w:rsidRPr="00E452DB">
        <w:br/>
        <w:t xml:space="preserve">Guttman, Y., &amp; Kerem, Z. (2022). Computer-Aided (In Silico) Modeling of Cytochrome P450-Mediated Food-Drug Interactions (FDI). </w:t>
      </w:r>
      <w:r w:rsidRPr="00E452DB">
        <w:rPr>
          <w:i/>
          <w:iCs/>
        </w:rPr>
        <w:t>International Journal of Molecular Sciences</w:t>
      </w:r>
      <w:r w:rsidRPr="00E452DB">
        <w:t xml:space="preserve">, </w:t>
      </w:r>
      <w:r w:rsidRPr="00E452DB">
        <w:rPr>
          <w:i/>
          <w:iCs/>
        </w:rPr>
        <w:t>23</w:t>
      </w:r>
      <w:r w:rsidRPr="00E452DB">
        <w:t xml:space="preserve">(15), 8498. </w:t>
      </w:r>
      <w:hyperlink r:id="rId37" w:history="1">
        <w:r w:rsidRPr="00E452DB">
          <w:rPr>
            <w:rStyle w:val="Hyperlink"/>
            <w:rFonts w:eastAsiaTheme="majorEastAsia"/>
          </w:rPr>
          <w:t>https://doi.org/10.3390/ijms23158498</w:t>
        </w:r>
      </w:hyperlink>
    </w:p>
    <w:p w14:paraId="66667971" w14:textId="77777777" w:rsidR="0026328A" w:rsidRDefault="0026328A" w:rsidP="0026328A">
      <w:pPr>
        <w:spacing w:line="360" w:lineRule="auto"/>
        <w:jc w:val="both"/>
      </w:pPr>
      <w:r w:rsidRPr="00E452DB">
        <w:br/>
      </w:r>
      <w:proofErr w:type="spellStart"/>
      <w:r w:rsidRPr="00E452DB">
        <w:t>Hakkola</w:t>
      </w:r>
      <w:proofErr w:type="spellEnd"/>
      <w:r w:rsidRPr="00E452DB">
        <w:t xml:space="preserve">, J., Turpeinen, M., Hukkanen, J., &amp; Pelkonen, O. (2020). Inhibition and induction of CYP enzymes in humans: an update. </w:t>
      </w:r>
      <w:r w:rsidRPr="00E452DB">
        <w:rPr>
          <w:i/>
          <w:iCs/>
        </w:rPr>
        <w:t>Archives of Toxicology</w:t>
      </w:r>
      <w:r w:rsidRPr="00E452DB">
        <w:t xml:space="preserve">, </w:t>
      </w:r>
      <w:r w:rsidRPr="00E452DB">
        <w:rPr>
          <w:i/>
          <w:iCs/>
        </w:rPr>
        <w:t>94</w:t>
      </w:r>
      <w:r w:rsidRPr="00E452DB">
        <w:t xml:space="preserve">(11), 3671–3722. </w:t>
      </w:r>
      <w:hyperlink r:id="rId38" w:history="1">
        <w:r w:rsidRPr="00E452DB">
          <w:rPr>
            <w:rStyle w:val="Hyperlink"/>
            <w:rFonts w:eastAsiaTheme="majorEastAsia"/>
          </w:rPr>
          <w:t>https://doi.org/10.1007/s00204-020-02936-7</w:t>
        </w:r>
      </w:hyperlink>
    </w:p>
    <w:p w14:paraId="044DCBD5" w14:textId="77777777" w:rsidR="0026328A" w:rsidRDefault="0026328A" w:rsidP="0026328A">
      <w:pPr>
        <w:spacing w:line="360" w:lineRule="auto"/>
        <w:jc w:val="both"/>
      </w:pPr>
      <w:r w:rsidRPr="00E452DB">
        <w:br/>
        <w:t xml:space="preserve">Hassen, G., Belete, G., Carrera, K. G., </w:t>
      </w:r>
      <w:proofErr w:type="spellStart"/>
      <w:r w:rsidRPr="00E452DB">
        <w:t>Iriowen</w:t>
      </w:r>
      <w:proofErr w:type="spellEnd"/>
      <w:r w:rsidRPr="00E452DB">
        <w:t xml:space="preserve">, R. O., Araya, H., Alemu, T., Solomon, N., Bam, D. S., Nicola, S. M., Araya, M. E., Debele, T., </w:t>
      </w:r>
      <w:proofErr w:type="spellStart"/>
      <w:r w:rsidRPr="00E452DB">
        <w:t>Zouetr</w:t>
      </w:r>
      <w:proofErr w:type="spellEnd"/>
      <w:r w:rsidRPr="00E452DB">
        <w:t xml:space="preserve">, M., &amp; Jain, N. (2022). Clinical Implications of Herbal Supplements in Conventional Medical Practice: A US Perspective. </w:t>
      </w:r>
      <w:r w:rsidRPr="00E452DB">
        <w:rPr>
          <w:i/>
          <w:iCs/>
        </w:rPr>
        <w:t>Cureus</w:t>
      </w:r>
      <w:r w:rsidRPr="00E452DB">
        <w:t xml:space="preserve">, </w:t>
      </w:r>
      <w:r w:rsidRPr="00E452DB">
        <w:rPr>
          <w:i/>
          <w:iCs/>
        </w:rPr>
        <w:t>14</w:t>
      </w:r>
      <w:r w:rsidRPr="00E452DB">
        <w:t xml:space="preserve">(7). </w:t>
      </w:r>
      <w:hyperlink r:id="rId39" w:history="1">
        <w:r w:rsidRPr="00E452DB">
          <w:rPr>
            <w:rStyle w:val="Hyperlink"/>
            <w:rFonts w:eastAsiaTheme="majorEastAsia"/>
          </w:rPr>
          <w:t>https://doi.org/10.7759/cureus.26893</w:t>
        </w:r>
      </w:hyperlink>
    </w:p>
    <w:p w14:paraId="37914D72" w14:textId="77777777" w:rsidR="0026328A" w:rsidRDefault="0026328A" w:rsidP="0026328A">
      <w:pPr>
        <w:spacing w:line="360" w:lineRule="auto"/>
        <w:jc w:val="both"/>
      </w:pPr>
      <w:r w:rsidRPr="00E452DB">
        <w:br/>
        <w:t xml:space="preserve">Havrylyuk, D., Heidary, D. K., &amp; Glazer, E. C. (2024). The Impact of Inorganic Systems and Photoactive Metal Compounds on Cytochrome P450 Enzymes and Metabolism: From Induction to Inhibition. </w:t>
      </w:r>
      <w:r w:rsidRPr="00E452DB">
        <w:rPr>
          <w:i/>
          <w:iCs/>
        </w:rPr>
        <w:t>Biomolecules</w:t>
      </w:r>
      <w:r w:rsidRPr="00E452DB">
        <w:t xml:space="preserve">, </w:t>
      </w:r>
      <w:r w:rsidRPr="00E452DB">
        <w:rPr>
          <w:i/>
          <w:iCs/>
        </w:rPr>
        <w:t>14</w:t>
      </w:r>
      <w:r w:rsidRPr="00E452DB">
        <w:t xml:space="preserve">(4), 441. </w:t>
      </w:r>
      <w:hyperlink r:id="rId40" w:history="1">
        <w:r w:rsidRPr="00E452DB">
          <w:rPr>
            <w:rStyle w:val="Hyperlink"/>
            <w:rFonts w:eastAsiaTheme="majorEastAsia"/>
          </w:rPr>
          <w:t>https://doi.org/10.3390/biom14040441</w:t>
        </w:r>
      </w:hyperlink>
    </w:p>
    <w:p w14:paraId="5C54E88D" w14:textId="77777777" w:rsidR="0026328A" w:rsidRDefault="0026328A" w:rsidP="0026328A">
      <w:pPr>
        <w:spacing w:line="360" w:lineRule="auto"/>
        <w:jc w:val="both"/>
      </w:pPr>
      <w:r w:rsidRPr="00E452DB">
        <w:br/>
        <w:t xml:space="preserve">Hazra, S., &amp; Singh, P. A. (2024). Safety Aspects of Herb Interactions: Current Understanding and </w:t>
      </w:r>
      <w:r w:rsidRPr="00E452DB">
        <w:lastRenderedPageBreak/>
        <w:t xml:space="preserve">Future Prospects. </w:t>
      </w:r>
      <w:r w:rsidRPr="00E452DB">
        <w:rPr>
          <w:i/>
          <w:iCs/>
        </w:rPr>
        <w:t>Current Drug Metabolism</w:t>
      </w:r>
      <w:r w:rsidRPr="00E452DB">
        <w:t xml:space="preserve">, </w:t>
      </w:r>
      <w:r w:rsidRPr="00E452DB">
        <w:rPr>
          <w:i/>
          <w:iCs/>
        </w:rPr>
        <w:t>25</w:t>
      </w:r>
      <w:r w:rsidRPr="00E452DB">
        <w:t xml:space="preserve">(1), 28–53. </w:t>
      </w:r>
      <w:hyperlink r:id="rId41" w:history="1">
        <w:r w:rsidRPr="00E452DB">
          <w:rPr>
            <w:rStyle w:val="Hyperlink"/>
            <w:rFonts w:eastAsiaTheme="majorEastAsia"/>
          </w:rPr>
          <w:t>https://doi.org/10.2174/0113892002289753240305062601</w:t>
        </w:r>
      </w:hyperlink>
    </w:p>
    <w:p w14:paraId="406A56C5" w14:textId="77777777" w:rsidR="0026328A" w:rsidRDefault="0026328A" w:rsidP="0026328A">
      <w:pPr>
        <w:spacing w:line="360" w:lineRule="auto"/>
        <w:jc w:val="both"/>
      </w:pPr>
      <w:r w:rsidRPr="00E452DB">
        <w:br/>
        <w:t xml:space="preserve">Hazra, S., Bajwa, N., &amp; Singh, P. A. (2024). Safety Issues of Herb-Warfarin Interactions. </w:t>
      </w:r>
      <w:r w:rsidRPr="00E452DB">
        <w:rPr>
          <w:i/>
          <w:iCs/>
        </w:rPr>
        <w:t>Current Drug Metabolism</w:t>
      </w:r>
      <w:r w:rsidRPr="00E452DB">
        <w:t xml:space="preserve">, </w:t>
      </w:r>
      <w:r w:rsidRPr="00E452DB">
        <w:rPr>
          <w:i/>
          <w:iCs/>
        </w:rPr>
        <w:t>25</w:t>
      </w:r>
      <w:r w:rsidRPr="00E452DB">
        <w:t xml:space="preserve">(1), 13–27. </w:t>
      </w:r>
      <w:hyperlink r:id="rId42" w:history="1">
        <w:r w:rsidRPr="00E452DB">
          <w:rPr>
            <w:rStyle w:val="Hyperlink"/>
            <w:rFonts w:eastAsiaTheme="majorEastAsia"/>
          </w:rPr>
          <w:t>https://doi.org/10.2174/0113892002290846240228061506</w:t>
        </w:r>
      </w:hyperlink>
    </w:p>
    <w:p w14:paraId="4A8F8C79" w14:textId="77777777" w:rsidR="0026328A" w:rsidRDefault="0026328A" w:rsidP="0026328A">
      <w:pPr>
        <w:spacing w:line="360" w:lineRule="auto"/>
        <w:jc w:val="both"/>
      </w:pPr>
      <w:r w:rsidRPr="00E452DB">
        <w:br/>
        <w:t xml:space="preserve">Hossam </w:t>
      </w:r>
      <w:proofErr w:type="spellStart"/>
      <w:r w:rsidRPr="00E452DB">
        <w:t>Abdelmonem</w:t>
      </w:r>
      <w:proofErr w:type="spellEnd"/>
      <w:r w:rsidRPr="00E452DB">
        <w:t xml:space="preserve">, B., Hossam </w:t>
      </w:r>
      <w:proofErr w:type="spellStart"/>
      <w:r w:rsidRPr="00E452DB">
        <w:t>Abdelmonem</w:t>
      </w:r>
      <w:proofErr w:type="spellEnd"/>
      <w:r w:rsidRPr="00E452DB">
        <w:t xml:space="preserve">, B., </w:t>
      </w:r>
      <w:proofErr w:type="spellStart"/>
      <w:r w:rsidRPr="00E452DB">
        <w:t>Anwer</w:t>
      </w:r>
      <w:proofErr w:type="spellEnd"/>
      <w:r w:rsidRPr="00E452DB">
        <w:t xml:space="preserve">, E. K. E., Ahmed, Y. F., Abdelaal, N. M., </w:t>
      </w:r>
      <w:proofErr w:type="spellStart"/>
      <w:r w:rsidRPr="00E452DB">
        <w:t>Anwer</w:t>
      </w:r>
      <w:proofErr w:type="spellEnd"/>
      <w:r w:rsidRPr="00E452DB">
        <w:t xml:space="preserve">, E. K. E., Abdelnaser, A., </w:t>
      </w:r>
      <w:proofErr w:type="spellStart"/>
      <w:r w:rsidRPr="00E452DB">
        <w:t>Khashana</w:t>
      </w:r>
      <w:proofErr w:type="spellEnd"/>
      <w:r w:rsidRPr="00E452DB">
        <w:t xml:space="preserve">, R., Hussein, M. A., Rashwan, A. A., &amp; Hanna, M. M. (2024). Decoding the Role of CYP450 Enzymes in Metabolism and Disease: A Comprehensive Review. </w:t>
      </w:r>
      <w:r w:rsidRPr="00E452DB">
        <w:rPr>
          <w:i/>
          <w:iCs/>
        </w:rPr>
        <w:t>Biomedicines</w:t>
      </w:r>
      <w:r w:rsidRPr="00E452DB">
        <w:t xml:space="preserve">, </w:t>
      </w:r>
      <w:r w:rsidRPr="00E452DB">
        <w:rPr>
          <w:i/>
          <w:iCs/>
        </w:rPr>
        <w:t>12</w:t>
      </w:r>
      <w:r w:rsidRPr="00E452DB">
        <w:t xml:space="preserve">(7), 1467. </w:t>
      </w:r>
      <w:hyperlink r:id="rId43" w:history="1">
        <w:r w:rsidRPr="00E452DB">
          <w:rPr>
            <w:rStyle w:val="Hyperlink"/>
            <w:rFonts w:eastAsiaTheme="majorEastAsia"/>
          </w:rPr>
          <w:t>https://doi.org/10.3390/biomedicines12071467</w:t>
        </w:r>
      </w:hyperlink>
    </w:p>
    <w:p w14:paraId="000CCDAF" w14:textId="77777777" w:rsidR="0026328A" w:rsidRDefault="0026328A" w:rsidP="0026328A">
      <w:pPr>
        <w:spacing w:line="360" w:lineRule="auto"/>
        <w:jc w:val="both"/>
      </w:pPr>
      <w:r w:rsidRPr="0072494F">
        <w:t>Henderson, L., Yue, Q. Y., Bergquist, C., Gerden, B., &amp; Arlett, P. (2002). St John’s wort (</w:t>
      </w:r>
      <w:r w:rsidRPr="0072494F">
        <w:rPr>
          <w:rFonts w:eastAsiaTheme="majorEastAsia"/>
          <w:i/>
          <w:iCs/>
        </w:rPr>
        <w:t>Hypericum perforatum</w:t>
      </w:r>
      <w:r w:rsidRPr="0072494F">
        <w:t xml:space="preserve">): Drug interactions and clinical outcomes. </w:t>
      </w:r>
      <w:r w:rsidRPr="0072494F">
        <w:rPr>
          <w:rFonts w:eastAsiaTheme="majorEastAsia"/>
          <w:i/>
          <w:iCs/>
        </w:rPr>
        <w:t>British Journal of Clinical Pharmacology, 54</w:t>
      </w:r>
      <w:r w:rsidRPr="0072494F">
        <w:t xml:space="preserve">(4), 349–356. </w:t>
      </w:r>
      <w:hyperlink r:id="rId44" w:tgtFrame="_blank" w:history="1">
        <w:r w:rsidRPr="0072494F">
          <w:rPr>
            <w:rStyle w:val="Hyperlink"/>
            <w:rFonts w:eastAsiaTheme="majorEastAsia"/>
          </w:rPr>
          <w:t>https://doi.org/10.1046/j.1365-2125.2002.01683.x</w:t>
        </w:r>
      </w:hyperlink>
      <w:r>
        <w:t xml:space="preserve">          </w:t>
      </w:r>
    </w:p>
    <w:p w14:paraId="063B703E" w14:textId="77777777" w:rsidR="0026328A" w:rsidRDefault="0026328A" w:rsidP="0026328A">
      <w:pPr>
        <w:spacing w:line="360" w:lineRule="auto"/>
        <w:jc w:val="both"/>
      </w:pPr>
      <w:r w:rsidRPr="00E452DB">
        <w:br/>
        <w:t xml:space="preserve">Huang, X., Song, J., Zhang, X., Wang, M., Ding, Y., Ji, X., Zhou, D., &amp; Meng, R. (2025). Understanding Drug Interactions in Antiplatelet Therapy for Atherosclerotic Vascular Disease: A Systematic Review. </w:t>
      </w:r>
      <w:r w:rsidRPr="00E452DB">
        <w:rPr>
          <w:i/>
          <w:iCs/>
        </w:rPr>
        <w:t>CNS Neuroscience &amp; Therapeutics</w:t>
      </w:r>
      <w:r w:rsidRPr="00E452DB">
        <w:t xml:space="preserve">, </w:t>
      </w:r>
      <w:r w:rsidRPr="00E452DB">
        <w:rPr>
          <w:i/>
          <w:iCs/>
        </w:rPr>
        <w:t>31</w:t>
      </w:r>
      <w:r w:rsidRPr="00E452DB">
        <w:t xml:space="preserve">(2). </w:t>
      </w:r>
      <w:hyperlink r:id="rId45" w:history="1">
        <w:r w:rsidRPr="00E452DB">
          <w:rPr>
            <w:rStyle w:val="Hyperlink"/>
            <w:rFonts w:eastAsiaTheme="majorEastAsia"/>
          </w:rPr>
          <w:t>https://doi.org/10.1111/cns.70258</w:t>
        </w:r>
      </w:hyperlink>
    </w:p>
    <w:p w14:paraId="314DC0CF" w14:textId="77777777" w:rsidR="0026328A" w:rsidRDefault="0026328A" w:rsidP="0026328A">
      <w:pPr>
        <w:spacing w:line="360" w:lineRule="auto"/>
        <w:jc w:val="both"/>
      </w:pPr>
      <w:r w:rsidRPr="00E452DB">
        <w:br/>
        <w:t xml:space="preserve">Iacopetta, D., Aquaro, S., </w:t>
      </w:r>
      <w:proofErr w:type="spellStart"/>
      <w:r w:rsidRPr="00E452DB">
        <w:t>Ceramella</w:t>
      </w:r>
      <w:proofErr w:type="spellEnd"/>
      <w:r w:rsidRPr="00E452DB">
        <w:t xml:space="preserve">, J., Sinicropi, M. S., Catalano, A., Pellegrino, M., Scali, E., Saturnino, C., &amp; Scumaci, D. (2023). Impact of Cytochrome P450 Enzymes on the Phase I Metabolism of Drugs. </w:t>
      </w:r>
      <w:r w:rsidRPr="00E452DB">
        <w:rPr>
          <w:i/>
          <w:iCs/>
        </w:rPr>
        <w:t>Applied Sciences</w:t>
      </w:r>
      <w:r w:rsidRPr="00E452DB">
        <w:t xml:space="preserve">, </w:t>
      </w:r>
      <w:r w:rsidRPr="00E452DB">
        <w:rPr>
          <w:i/>
          <w:iCs/>
        </w:rPr>
        <w:t>13</w:t>
      </w:r>
      <w:r w:rsidRPr="00E452DB">
        <w:t xml:space="preserve">(10), 6045. </w:t>
      </w:r>
      <w:hyperlink r:id="rId46" w:history="1">
        <w:r w:rsidRPr="00E452DB">
          <w:rPr>
            <w:rStyle w:val="Hyperlink"/>
            <w:rFonts w:eastAsiaTheme="majorEastAsia"/>
          </w:rPr>
          <w:t>https://doi.org/10.3390/app13106045</w:t>
        </w:r>
      </w:hyperlink>
    </w:p>
    <w:p w14:paraId="0EEA94DF" w14:textId="77777777" w:rsidR="0026328A" w:rsidRDefault="0026328A" w:rsidP="0026328A">
      <w:pPr>
        <w:spacing w:line="360" w:lineRule="auto"/>
        <w:jc w:val="both"/>
      </w:pPr>
      <w:r w:rsidRPr="00E452DB">
        <w:br/>
        <w:t xml:space="preserve">Ibrahim, A., Yusuff, K., </w:t>
      </w:r>
      <w:proofErr w:type="spellStart"/>
      <w:r w:rsidRPr="00E452DB">
        <w:t>Awaisu</w:t>
      </w:r>
      <w:proofErr w:type="spellEnd"/>
      <w:r w:rsidRPr="00E452DB">
        <w:t xml:space="preserve">, A., &amp; Elewa, H. (2025). Association between CYP2C19 polymorphism and proton pump inhibitors adverse drug reactions: a narrative review. </w:t>
      </w:r>
      <w:r w:rsidRPr="00E452DB">
        <w:rPr>
          <w:i/>
          <w:iCs/>
        </w:rPr>
        <w:t>Frontiers in Pharmacology</w:t>
      </w:r>
      <w:r w:rsidRPr="00E452DB">
        <w:t xml:space="preserve">, </w:t>
      </w:r>
      <w:r w:rsidRPr="00E452DB">
        <w:rPr>
          <w:i/>
          <w:iCs/>
        </w:rPr>
        <w:t>16</w:t>
      </w:r>
      <w:r w:rsidRPr="00E452DB">
        <w:t xml:space="preserve">. </w:t>
      </w:r>
      <w:hyperlink r:id="rId47" w:history="1">
        <w:r w:rsidRPr="00E452DB">
          <w:rPr>
            <w:rStyle w:val="Hyperlink"/>
            <w:rFonts w:eastAsiaTheme="majorEastAsia"/>
          </w:rPr>
          <w:t>https://doi.org/10.3389/fphar.2025.1523399</w:t>
        </w:r>
      </w:hyperlink>
    </w:p>
    <w:p w14:paraId="585DDDD7" w14:textId="77777777" w:rsidR="0026328A" w:rsidRDefault="0026328A" w:rsidP="0026328A">
      <w:pPr>
        <w:spacing w:line="360" w:lineRule="auto"/>
        <w:jc w:val="both"/>
      </w:pPr>
      <w:r w:rsidRPr="00E452DB">
        <w:br/>
        <w:t xml:space="preserve">Jafari, F., Khalilzadeh, S., &amp; </w:t>
      </w:r>
      <w:proofErr w:type="spellStart"/>
      <w:r w:rsidRPr="00E452DB">
        <w:t>Nejatbakhsh</w:t>
      </w:r>
      <w:proofErr w:type="spellEnd"/>
      <w:r w:rsidRPr="00E452DB">
        <w:t xml:space="preserve">, F. (2023). Therapeutic effects of garlic (Allium sativum) on female reproductive system: A systematic review. </w:t>
      </w:r>
      <w:proofErr w:type="spellStart"/>
      <w:r w:rsidRPr="00E452DB">
        <w:rPr>
          <w:i/>
          <w:iCs/>
        </w:rPr>
        <w:t>Heliyon</w:t>
      </w:r>
      <w:proofErr w:type="spellEnd"/>
      <w:r w:rsidRPr="00E452DB">
        <w:t xml:space="preserve">, </w:t>
      </w:r>
      <w:r w:rsidRPr="00E452DB">
        <w:rPr>
          <w:i/>
          <w:iCs/>
        </w:rPr>
        <w:t>9</w:t>
      </w:r>
      <w:r w:rsidRPr="00E452DB">
        <w:t xml:space="preserve">(12), e22555. </w:t>
      </w:r>
      <w:hyperlink r:id="rId48" w:history="1">
        <w:r w:rsidRPr="00E452DB">
          <w:rPr>
            <w:rStyle w:val="Hyperlink"/>
            <w:rFonts w:eastAsiaTheme="majorEastAsia"/>
          </w:rPr>
          <w:t>https://doi.org/10.1016/j.heliyon.2023.e22555</w:t>
        </w:r>
      </w:hyperlink>
    </w:p>
    <w:p w14:paraId="24146F1A" w14:textId="77777777" w:rsidR="0026328A" w:rsidRDefault="0026328A" w:rsidP="0026328A">
      <w:pPr>
        <w:spacing w:line="360" w:lineRule="auto"/>
        <w:jc w:val="both"/>
      </w:pPr>
      <w:r w:rsidRPr="00E452DB">
        <w:lastRenderedPageBreak/>
        <w:br/>
      </w:r>
      <w:proofErr w:type="spellStart"/>
      <w:r w:rsidRPr="00E452DB">
        <w:t>Jenča</w:t>
      </w:r>
      <w:proofErr w:type="spellEnd"/>
      <w:r w:rsidRPr="00E452DB">
        <w:t xml:space="preserve">, A., </w:t>
      </w:r>
      <w:proofErr w:type="spellStart"/>
      <w:r w:rsidRPr="00E452DB">
        <w:t>Ebrahimifar</w:t>
      </w:r>
      <w:proofErr w:type="spellEnd"/>
      <w:r w:rsidRPr="00E452DB">
        <w:t xml:space="preserve">, M., Mills, D., Jabbari </w:t>
      </w:r>
      <w:proofErr w:type="spellStart"/>
      <w:r w:rsidRPr="00E452DB">
        <w:t>Velisdeh</w:t>
      </w:r>
      <w:proofErr w:type="spellEnd"/>
      <w:r w:rsidRPr="00E452DB">
        <w:t xml:space="preserve">, Z., </w:t>
      </w:r>
      <w:proofErr w:type="spellStart"/>
      <w:r w:rsidRPr="00E452DB">
        <w:t>Jenča</w:t>
      </w:r>
      <w:proofErr w:type="spellEnd"/>
      <w:r w:rsidRPr="00E452DB">
        <w:t xml:space="preserve">, A., Karimi Forood, A. M., </w:t>
      </w:r>
      <w:proofErr w:type="spellStart"/>
      <w:r w:rsidRPr="00E452DB">
        <w:t>Zare-Zardini</w:t>
      </w:r>
      <w:proofErr w:type="spellEnd"/>
      <w:r w:rsidRPr="00E452DB">
        <w:t xml:space="preserve">, H., </w:t>
      </w:r>
      <w:proofErr w:type="spellStart"/>
      <w:r w:rsidRPr="00E452DB">
        <w:t>Saberian</w:t>
      </w:r>
      <w:proofErr w:type="spellEnd"/>
      <w:r w:rsidRPr="00E452DB">
        <w:t xml:space="preserve">, E., </w:t>
      </w:r>
      <w:proofErr w:type="spellStart"/>
      <w:r w:rsidRPr="00E452DB">
        <w:t>Jenčová</w:t>
      </w:r>
      <w:proofErr w:type="spellEnd"/>
      <w:r w:rsidRPr="00E452DB">
        <w:t xml:space="preserve">, J., Ghasemi, H., &amp; </w:t>
      </w:r>
      <w:proofErr w:type="spellStart"/>
      <w:r w:rsidRPr="00E452DB">
        <w:t>Petrášová</w:t>
      </w:r>
      <w:proofErr w:type="spellEnd"/>
      <w:r w:rsidRPr="00E452DB">
        <w:t xml:space="preserve">, A. (2024). Herbal Therapies for Cancer Treatment: A Review of </w:t>
      </w:r>
      <w:proofErr w:type="spellStart"/>
      <w:r w:rsidRPr="00E452DB">
        <w:t>Phytotherapeutic</w:t>
      </w:r>
      <w:proofErr w:type="spellEnd"/>
      <w:r w:rsidRPr="00E452DB">
        <w:t xml:space="preserve"> Efficacy. </w:t>
      </w:r>
      <w:proofErr w:type="gramStart"/>
      <w:r w:rsidRPr="00E452DB">
        <w:rPr>
          <w:i/>
          <w:iCs/>
        </w:rPr>
        <w:t>Biologics :</w:t>
      </w:r>
      <w:proofErr w:type="gramEnd"/>
      <w:r w:rsidRPr="00E452DB">
        <w:rPr>
          <w:i/>
          <w:iCs/>
        </w:rPr>
        <w:t xml:space="preserve"> Targets &amp; Therapy</w:t>
      </w:r>
      <w:r w:rsidRPr="00E452DB">
        <w:t xml:space="preserve">, </w:t>
      </w:r>
      <w:r w:rsidRPr="00E452DB">
        <w:rPr>
          <w:i/>
          <w:iCs/>
        </w:rPr>
        <w:t>18</w:t>
      </w:r>
      <w:r w:rsidRPr="00E452DB">
        <w:t xml:space="preserve">, 229–255. </w:t>
      </w:r>
      <w:hyperlink r:id="rId49" w:history="1">
        <w:r w:rsidRPr="00E452DB">
          <w:rPr>
            <w:rStyle w:val="Hyperlink"/>
            <w:rFonts w:eastAsiaTheme="majorEastAsia"/>
          </w:rPr>
          <w:t>https://doi.org/10.2147/btt.s484068</w:t>
        </w:r>
      </w:hyperlink>
    </w:p>
    <w:p w14:paraId="3EF704CC" w14:textId="77777777" w:rsidR="0026328A" w:rsidRDefault="0026328A" w:rsidP="0026328A">
      <w:pPr>
        <w:spacing w:line="360" w:lineRule="auto"/>
        <w:jc w:val="both"/>
      </w:pPr>
      <w:r w:rsidRPr="00E452DB">
        <w:br/>
        <w:t xml:space="preserve">Kamel, E. M., </w:t>
      </w:r>
      <w:proofErr w:type="spellStart"/>
      <w:r w:rsidRPr="00E452DB">
        <w:t>Alwaili</w:t>
      </w:r>
      <w:proofErr w:type="spellEnd"/>
      <w:r w:rsidRPr="00E452DB">
        <w:t xml:space="preserve">, M. A., </w:t>
      </w:r>
      <w:proofErr w:type="spellStart"/>
      <w:r w:rsidRPr="00E452DB">
        <w:t>Rudayni</w:t>
      </w:r>
      <w:proofErr w:type="spellEnd"/>
      <w:r w:rsidRPr="00E452DB">
        <w:t xml:space="preserve">, H. A., Allam, A. A., &amp; </w:t>
      </w:r>
      <w:proofErr w:type="spellStart"/>
      <w:r w:rsidRPr="00E452DB">
        <w:t>Lamsabhi</w:t>
      </w:r>
      <w:proofErr w:type="spellEnd"/>
      <w:r w:rsidRPr="00E452DB">
        <w:t xml:space="preserve">, A. M. (2024). Deciphering the Molecular Mechanisms of Reactive Metabolite Formation in the Mechanism-Based Inactivation of Cytochrome p450 1B1 by 8-Methoxypsoralen and Assessing the Driving Effect of phe268. </w:t>
      </w:r>
      <w:r w:rsidRPr="00E452DB">
        <w:rPr>
          <w:i/>
          <w:iCs/>
        </w:rPr>
        <w:t>Molecules</w:t>
      </w:r>
      <w:r w:rsidRPr="00E452DB">
        <w:t xml:space="preserve">, </w:t>
      </w:r>
      <w:r w:rsidRPr="00E452DB">
        <w:rPr>
          <w:i/>
          <w:iCs/>
        </w:rPr>
        <w:t>29</w:t>
      </w:r>
      <w:r w:rsidRPr="00E452DB">
        <w:t xml:space="preserve">(7), 1433. </w:t>
      </w:r>
      <w:hyperlink r:id="rId50" w:history="1">
        <w:r w:rsidRPr="00E452DB">
          <w:rPr>
            <w:rStyle w:val="Hyperlink"/>
            <w:rFonts w:eastAsiaTheme="majorEastAsia"/>
          </w:rPr>
          <w:t>https://doi.org/10.3390/molecules29071433</w:t>
        </w:r>
      </w:hyperlink>
    </w:p>
    <w:p w14:paraId="257FE379" w14:textId="77777777" w:rsidR="0026328A" w:rsidRDefault="0026328A" w:rsidP="0026328A">
      <w:pPr>
        <w:spacing w:line="360" w:lineRule="auto"/>
        <w:jc w:val="both"/>
      </w:pPr>
      <w:r w:rsidRPr="00E452DB">
        <w:br/>
        <w:t xml:space="preserve">Kandel, S. E., Tooker, B. C., &amp; Lampe, J. N. (2024). Drug metabolism of ciprofloxacin, ivacaftor, and raloxifene by Pseudomonas aeruginosa cytochrome P450 CYP107S1. </w:t>
      </w:r>
      <w:r w:rsidRPr="00E452DB">
        <w:rPr>
          <w:i/>
          <w:iCs/>
        </w:rPr>
        <w:t>Journal of Biological Chemistry</w:t>
      </w:r>
      <w:r w:rsidRPr="00E452DB">
        <w:t xml:space="preserve">, </w:t>
      </w:r>
      <w:r w:rsidRPr="00E452DB">
        <w:rPr>
          <w:i/>
          <w:iCs/>
        </w:rPr>
        <w:t>300</w:t>
      </w:r>
      <w:r w:rsidRPr="00E452DB">
        <w:t xml:space="preserve">(8), 107594. </w:t>
      </w:r>
      <w:hyperlink r:id="rId51" w:history="1">
        <w:r w:rsidRPr="00E452DB">
          <w:rPr>
            <w:rStyle w:val="Hyperlink"/>
            <w:rFonts w:eastAsiaTheme="majorEastAsia"/>
          </w:rPr>
          <w:t>https://doi.org/10.1016/j.jbc.2024.107594</w:t>
        </w:r>
      </w:hyperlink>
    </w:p>
    <w:p w14:paraId="364658DF" w14:textId="77777777" w:rsidR="0026328A" w:rsidRDefault="0026328A" w:rsidP="0026328A">
      <w:pPr>
        <w:spacing w:line="360" w:lineRule="auto"/>
        <w:jc w:val="both"/>
      </w:pPr>
    </w:p>
    <w:p w14:paraId="43CC3A87" w14:textId="77777777" w:rsidR="0026328A" w:rsidRDefault="0026328A" w:rsidP="0026328A">
      <w:pPr>
        <w:spacing w:line="360" w:lineRule="auto"/>
        <w:jc w:val="both"/>
      </w:pPr>
      <w:r w:rsidRPr="0072494F">
        <w:t xml:space="preserve">Kellermann, A. J., &amp; Kloft, C. (2010). Is there a risk of bleeding associated with standardized </w:t>
      </w:r>
      <w:r w:rsidRPr="0072494F">
        <w:rPr>
          <w:rFonts w:eastAsiaTheme="majorEastAsia"/>
          <w:i/>
          <w:iCs/>
        </w:rPr>
        <w:t>Ginkgo biloba</w:t>
      </w:r>
      <w:r w:rsidRPr="0072494F">
        <w:t xml:space="preserve"> extract therapy? </w:t>
      </w:r>
      <w:r w:rsidRPr="0072494F">
        <w:rPr>
          <w:rFonts w:eastAsiaTheme="majorEastAsia"/>
          <w:i/>
          <w:iCs/>
        </w:rPr>
        <w:t>Journal of Clinical Pharmacology, 50</w:t>
      </w:r>
      <w:r w:rsidRPr="0072494F">
        <w:t xml:space="preserve">(3), 236–243. </w:t>
      </w:r>
      <w:hyperlink r:id="rId52" w:tgtFrame="_blank" w:history="1">
        <w:r w:rsidRPr="0072494F">
          <w:rPr>
            <w:rStyle w:val="Hyperlink"/>
            <w:rFonts w:eastAsiaTheme="majorEastAsia"/>
          </w:rPr>
          <w:t>https://doi.org/10.1177/0091270009347475</w:t>
        </w:r>
      </w:hyperlink>
    </w:p>
    <w:p w14:paraId="0CEE2CE1" w14:textId="77777777" w:rsidR="0026328A" w:rsidRDefault="0026328A" w:rsidP="0026328A">
      <w:pPr>
        <w:spacing w:line="360" w:lineRule="auto"/>
        <w:jc w:val="both"/>
      </w:pPr>
      <w:r w:rsidRPr="00E452DB">
        <w:br/>
        <w:t xml:space="preserve">Kim, C., Jeong, E., Lee, Y.-B., &amp; Kim, D. (2024). Steroidogenic cytochrome P450 enzymes as drug target. </w:t>
      </w:r>
      <w:r w:rsidRPr="00E452DB">
        <w:rPr>
          <w:i/>
          <w:iCs/>
        </w:rPr>
        <w:t>Toxicological Research</w:t>
      </w:r>
      <w:r w:rsidRPr="00E452DB">
        <w:t xml:space="preserve">, </w:t>
      </w:r>
      <w:r w:rsidRPr="00E452DB">
        <w:rPr>
          <w:i/>
          <w:iCs/>
        </w:rPr>
        <w:t>40</w:t>
      </w:r>
      <w:r w:rsidRPr="00E452DB">
        <w:t xml:space="preserve">(3), 325–333. </w:t>
      </w:r>
      <w:hyperlink r:id="rId53" w:history="1">
        <w:r w:rsidRPr="00E452DB">
          <w:rPr>
            <w:rStyle w:val="Hyperlink"/>
            <w:rFonts w:eastAsiaTheme="majorEastAsia"/>
          </w:rPr>
          <w:t>https://doi.org/10.1007/s43188-024-00237-0</w:t>
        </w:r>
      </w:hyperlink>
    </w:p>
    <w:p w14:paraId="283C736E" w14:textId="77777777" w:rsidR="0026328A" w:rsidRDefault="0026328A" w:rsidP="0026328A">
      <w:pPr>
        <w:spacing w:line="360" w:lineRule="auto"/>
        <w:jc w:val="both"/>
      </w:pPr>
      <w:r w:rsidRPr="00E452DB">
        <w:br/>
      </w:r>
      <w:proofErr w:type="spellStart"/>
      <w:r w:rsidRPr="00E452DB">
        <w:t>Kmail</w:t>
      </w:r>
      <w:proofErr w:type="spellEnd"/>
      <w:r w:rsidRPr="00E452DB">
        <w:t xml:space="preserve">, A. (2024). Mitigating digestive disorders: Action mechanisms of Mediterranean herbal active compounds. </w:t>
      </w:r>
      <w:r w:rsidRPr="00E452DB">
        <w:rPr>
          <w:i/>
          <w:iCs/>
        </w:rPr>
        <w:t>Open Life Sciences</w:t>
      </w:r>
      <w:r w:rsidRPr="00E452DB">
        <w:t xml:space="preserve">, </w:t>
      </w:r>
      <w:r w:rsidRPr="00E452DB">
        <w:rPr>
          <w:i/>
          <w:iCs/>
        </w:rPr>
        <w:t>19</w:t>
      </w:r>
      <w:r w:rsidRPr="00E452DB">
        <w:t>(1). https://doi.org/10.1515/biol-2022-0857</w:t>
      </w:r>
      <w:r w:rsidRPr="00E452DB">
        <w:br/>
      </w:r>
      <w:proofErr w:type="spellStart"/>
      <w:r w:rsidRPr="00E452DB">
        <w:t>Kondža</w:t>
      </w:r>
      <w:proofErr w:type="spellEnd"/>
      <w:r w:rsidRPr="00E452DB">
        <w:t xml:space="preserve">, M., </w:t>
      </w:r>
      <w:proofErr w:type="spellStart"/>
      <w:r w:rsidRPr="00E452DB">
        <w:t>Brizić</w:t>
      </w:r>
      <w:proofErr w:type="spellEnd"/>
      <w:r w:rsidRPr="00E452DB">
        <w:t xml:space="preserve">, I., &amp; Jokić, S. (2024). Flavonoids as CYP3A4 Inhibitors In Vitro. </w:t>
      </w:r>
      <w:r w:rsidRPr="00E452DB">
        <w:rPr>
          <w:i/>
          <w:iCs/>
        </w:rPr>
        <w:t>Biomedicines</w:t>
      </w:r>
      <w:r w:rsidRPr="00E452DB">
        <w:t xml:space="preserve">, </w:t>
      </w:r>
      <w:r w:rsidRPr="00E452DB">
        <w:rPr>
          <w:i/>
          <w:iCs/>
        </w:rPr>
        <w:t>12</w:t>
      </w:r>
      <w:r w:rsidRPr="00E452DB">
        <w:t xml:space="preserve">(3), 644. </w:t>
      </w:r>
      <w:hyperlink r:id="rId54" w:history="1">
        <w:r w:rsidRPr="00E452DB">
          <w:rPr>
            <w:rStyle w:val="Hyperlink"/>
            <w:rFonts w:eastAsiaTheme="majorEastAsia"/>
          </w:rPr>
          <w:t>https://doi.org/10.3390/biomedicines12030644</w:t>
        </w:r>
      </w:hyperlink>
    </w:p>
    <w:p w14:paraId="32250593" w14:textId="77777777" w:rsidR="0026328A" w:rsidRDefault="0026328A" w:rsidP="0026328A">
      <w:pPr>
        <w:spacing w:line="360" w:lineRule="auto"/>
        <w:jc w:val="both"/>
      </w:pPr>
      <w:r w:rsidRPr="00E452DB">
        <w:br/>
        <w:t xml:space="preserve">Kumar, N., He, J., &amp; Rusling, J. F. (2023). Electrochemical transformations catalyzed by cytochrome P450s and peroxidases. </w:t>
      </w:r>
      <w:r w:rsidRPr="00E452DB">
        <w:rPr>
          <w:i/>
          <w:iCs/>
        </w:rPr>
        <w:t>Chemical Society Reviews</w:t>
      </w:r>
      <w:r w:rsidRPr="00E452DB">
        <w:t xml:space="preserve">, </w:t>
      </w:r>
      <w:r w:rsidRPr="00E452DB">
        <w:rPr>
          <w:i/>
          <w:iCs/>
        </w:rPr>
        <w:t>52</w:t>
      </w:r>
      <w:r w:rsidRPr="00E452DB">
        <w:t xml:space="preserve">(15), 5135–5171. </w:t>
      </w:r>
      <w:hyperlink r:id="rId55" w:history="1">
        <w:r w:rsidRPr="00E452DB">
          <w:rPr>
            <w:rStyle w:val="Hyperlink"/>
            <w:rFonts w:eastAsiaTheme="majorEastAsia"/>
          </w:rPr>
          <w:t>https://doi.org/10.1039/d3cs00461a</w:t>
        </w:r>
      </w:hyperlink>
    </w:p>
    <w:p w14:paraId="51539E3C" w14:textId="77777777" w:rsidR="0026328A" w:rsidRDefault="0026328A" w:rsidP="0026328A">
      <w:pPr>
        <w:spacing w:line="360" w:lineRule="auto"/>
        <w:jc w:val="both"/>
      </w:pPr>
      <w:r w:rsidRPr="00E452DB">
        <w:lastRenderedPageBreak/>
        <w:br/>
        <w:t xml:space="preserve">Le, T. T., Mcgrath, S. R., &amp; </w:t>
      </w:r>
      <w:proofErr w:type="spellStart"/>
      <w:r w:rsidRPr="00E452DB">
        <w:t>Fasinu</w:t>
      </w:r>
      <w:proofErr w:type="spellEnd"/>
      <w:r w:rsidRPr="00E452DB">
        <w:t xml:space="preserve">, P. S. (2022). Herb-drug Interactions in Neuropsychiatric Pharmacotherapy – A Review of Clinically Relevant Findings. </w:t>
      </w:r>
      <w:r w:rsidRPr="00E452DB">
        <w:rPr>
          <w:i/>
          <w:iCs/>
        </w:rPr>
        <w:t>Current Neuropharmacology</w:t>
      </w:r>
      <w:r w:rsidRPr="00E452DB">
        <w:t xml:space="preserve">, </w:t>
      </w:r>
      <w:r w:rsidRPr="00E452DB">
        <w:rPr>
          <w:i/>
          <w:iCs/>
        </w:rPr>
        <w:t>20</w:t>
      </w:r>
      <w:r w:rsidRPr="00E452DB">
        <w:t xml:space="preserve">(9), 1736–1751. </w:t>
      </w:r>
      <w:hyperlink r:id="rId56" w:history="1">
        <w:r w:rsidRPr="00E452DB">
          <w:rPr>
            <w:rStyle w:val="Hyperlink"/>
            <w:rFonts w:eastAsiaTheme="majorEastAsia"/>
          </w:rPr>
          <w:t>https://doi.org/10.2174/1570159x19666210809100357</w:t>
        </w:r>
      </w:hyperlink>
    </w:p>
    <w:p w14:paraId="0FEA48BB" w14:textId="77777777" w:rsidR="0026328A" w:rsidRDefault="0026328A" w:rsidP="0026328A">
      <w:pPr>
        <w:spacing w:line="360" w:lineRule="auto"/>
        <w:jc w:val="both"/>
      </w:pPr>
      <w:r w:rsidRPr="00E452DB">
        <w:br/>
        <w:t xml:space="preserve">Lee, J., Beers, J. L., Geffert, R. M., &amp; Jackson, K. D. (2024). A Review of CYP-Mediated Drug Interactions: Mechanisms and In Vitro Drug-Drug Interaction Assessment. </w:t>
      </w:r>
      <w:r w:rsidRPr="00E452DB">
        <w:rPr>
          <w:i/>
          <w:iCs/>
        </w:rPr>
        <w:t>Biomolecules</w:t>
      </w:r>
      <w:r w:rsidRPr="00E452DB">
        <w:t xml:space="preserve">, </w:t>
      </w:r>
      <w:r w:rsidRPr="00E452DB">
        <w:rPr>
          <w:i/>
          <w:iCs/>
        </w:rPr>
        <w:t>14</w:t>
      </w:r>
      <w:r w:rsidRPr="00E452DB">
        <w:t xml:space="preserve">(1), 99. </w:t>
      </w:r>
      <w:hyperlink r:id="rId57" w:history="1">
        <w:r w:rsidRPr="00E452DB">
          <w:rPr>
            <w:rStyle w:val="Hyperlink"/>
            <w:rFonts w:eastAsiaTheme="majorEastAsia"/>
          </w:rPr>
          <w:t>https://doi.org/10.3390/biom14010099</w:t>
        </w:r>
      </w:hyperlink>
    </w:p>
    <w:p w14:paraId="29F4D4C0" w14:textId="77777777" w:rsidR="0026328A" w:rsidRDefault="0026328A" w:rsidP="0026328A">
      <w:pPr>
        <w:spacing w:line="360" w:lineRule="auto"/>
        <w:jc w:val="both"/>
      </w:pPr>
      <w:r w:rsidRPr="00E452DB">
        <w:br/>
      </w:r>
      <w:proofErr w:type="spellStart"/>
      <w:r w:rsidRPr="00E452DB">
        <w:t>Lennep</w:t>
      </w:r>
      <w:proofErr w:type="spellEnd"/>
      <w:r w:rsidRPr="00E452DB">
        <w:t xml:space="preserve">, B. W., Mack, J., </w:t>
      </w:r>
      <w:proofErr w:type="spellStart"/>
      <w:r w:rsidRPr="00E452DB">
        <w:t>Poondru</w:t>
      </w:r>
      <w:proofErr w:type="spellEnd"/>
      <w:r w:rsidRPr="00E452DB">
        <w:t xml:space="preserve">, S., Hood, E., Looney, B. D., Williams, M., Bianco, J. J., &amp; Morgans, A. K. (2024). Enzalutamide: Understanding and Managing Drug Interactions to Improve Patient Safety and Drug Efficacy. </w:t>
      </w:r>
      <w:r w:rsidRPr="00E452DB">
        <w:rPr>
          <w:i/>
          <w:iCs/>
        </w:rPr>
        <w:t>Drug Safety</w:t>
      </w:r>
      <w:r w:rsidRPr="00E452DB">
        <w:t xml:space="preserve">, </w:t>
      </w:r>
      <w:r w:rsidRPr="00E452DB">
        <w:rPr>
          <w:i/>
          <w:iCs/>
        </w:rPr>
        <w:t>47</w:t>
      </w:r>
      <w:r w:rsidRPr="00E452DB">
        <w:t xml:space="preserve">(7), 617–641. </w:t>
      </w:r>
      <w:hyperlink r:id="rId58" w:history="1">
        <w:r w:rsidRPr="00E452DB">
          <w:rPr>
            <w:rStyle w:val="Hyperlink"/>
            <w:rFonts w:eastAsiaTheme="majorEastAsia"/>
          </w:rPr>
          <w:t>https://doi.org/10.1007/s40264-024-01415-7</w:t>
        </w:r>
      </w:hyperlink>
    </w:p>
    <w:p w14:paraId="309280AC" w14:textId="77777777" w:rsidR="0026328A" w:rsidRDefault="0026328A" w:rsidP="0026328A">
      <w:pPr>
        <w:spacing w:line="360" w:lineRule="auto"/>
        <w:jc w:val="both"/>
      </w:pPr>
      <w:r w:rsidRPr="00E452DB">
        <w:br/>
        <w:t xml:space="preserve">Lin, F., Hu, Y., Zhang, Y., Zhao, L., Zhong, D., &amp; Liu, J. (2024). Predicting Food-Drug Interactions between </w:t>
      </w:r>
      <w:proofErr w:type="spellStart"/>
      <w:r w:rsidRPr="00E452DB">
        <w:t>Piperine</w:t>
      </w:r>
      <w:proofErr w:type="spellEnd"/>
      <w:r w:rsidRPr="00E452DB">
        <w:t xml:space="preserve"> and CYP3A4 Substrate Drugs Using PBPK Modeling. </w:t>
      </w:r>
      <w:r w:rsidRPr="00E452DB">
        <w:rPr>
          <w:i/>
          <w:iCs/>
        </w:rPr>
        <w:t>International Journal of Molecular Sciences</w:t>
      </w:r>
      <w:r w:rsidRPr="00E452DB">
        <w:t xml:space="preserve">, </w:t>
      </w:r>
      <w:r w:rsidRPr="00E452DB">
        <w:rPr>
          <w:i/>
          <w:iCs/>
        </w:rPr>
        <w:t>25</w:t>
      </w:r>
      <w:r w:rsidRPr="00E452DB">
        <w:t xml:space="preserve">(20), 10955. </w:t>
      </w:r>
      <w:hyperlink r:id="rId59" w:history="1">
        <w:r w:rsidRPr="00E452DB">
          <w:rPr>
            <w:rStyle w:val="Hyperlink"/>
            <w:rFonts w:eastAsiaTheme="majorEastAsia"/>
          </w:rPr>
          <w:t>https://doi.org/10.3390/ijms252010955</w:t>
        </w:r>
      </w:hyperlink>
    </w:p>
    <w:p w14:paraId="7F5F25CA" w14:textId="77777777" w:rsidR="0026328A" w:rsidRDefault="0026328A" w:rsidP="0026328A">
      <w:pPr>
        <w:spacing w:line="360" w:lineRule="auto"/>
        <w:jc w:val="both"/>
      </w:pPr>
      <w:r w:rsidRPr="00E452DB">
        <w:br/>
        <w:t xml:space="preserve">Lin, S.-K. (2022). Racial/Ethnic Differences in the Pharmacokinetics of Antipsychotics: Focusing on East Asians. </w:t>
      </w:r>
      <w:r w:rsidRPr="00E452DB">
        <w:rPr>
          <w:i/>
          <w:iCs/>
        </w:rPr>
        <w:t>Journal of Personalized Medicine</w:t>
      </w:r>
      <w:r w:rsidRPr="00E452DB">
        <w:t xml:space="preserve">, </w:t>
      </w:r>
      <w:r w:rsidRPr="00E452DB">
        <w:rPr>
          <w:i/>
          <w:iCs/>
        </w:rPr>
        <w:t>12</w:t>
      </w:r>
      <w:r w:rsidRPr="00E452DB">
        <w:t xml:space="preserve">(9), 1362. </w:t>
      </w:r>
      <w:hyperlink r:id="rId60" w:history="1">
        <w:r w:rsidRPr="00E452DB">
          <w:rPr>
            <w:rStyle w:val="Hyperlink"/>
            <w:rFonts w:eastAsiaTheme="majorEastAsia"/>
          </w:rPr>
          <w:t>https://doi.org/10.3390/jpm12091362</w:t>
        </w:r>
      </w:hyperlink>
    </w:p>
    <w:p w14:paraId="0039B863" w14:textId="77777777" w:rsidR="0026328A" w:rsidRDefault="0026328A" w:rsidP="0026328A">
      <w:pPr>
        <w:spacing w:line="360" w:lineRule="auto"/>
        <w:jc w:val="both"/>
      </w:pPr>
      <w:r w:rsidRPr="00E452DB">
        <w:br/>
        <w:t xml:space="preserve">Liu, Y., Winkler, D. A., Fu, J., Zhang, A., &amp; Yan, B. (2017). Competitive Inhibition Mechanism of Acetylcholinesterase without Catalytic Active Site Interaction: Study on Functionalized C60 Nanoparticles via in Vitro and in Silico Assays. </w:t>
      </w:r>
      <w:r w:rsidRPr="00E452DB">
        <w:rPr>
          <w:i/>
          <w:iCs/>
        </w:rPr>
        <w:t>ACS Applied Materials &amp; Interfaces</w:t>
      </w:r>
      <w:r w:rsidRPr="00E452DB">
        <w:t xml:space="preserve">, </w:t>
      </w:r>
      <w:r w:rsidRPr="00E452DB">
        <w:rPr>
          <w:i/>
          <w:iCs/>
        </w:rPr>
        <w:t>9</w:t>
      </w:r>
      <w:r w:rsidRPr="00E452DB">
        <w:t xml:space="preserve">(22), 18626–18638. </w:t>
      </w:r>
      <w:hyperlink r:id="rId61" w:history="1">
        <w:r w:rsidRPr="00E452DB">
          <w:rPr>
            <w:rStyle w:val="Hyperlink"/>
            <w:rFonts w:eastAsiaTheme="majorEastAsia"/>
          </w:rPr>
          <w:t>https://doi.org/10.1021/acsami.7b05459</w:t>
        </w:r>
      </w:hyperlink>
    </w:p>
    <w:p w14:paraId="41636723" w14:textId="77777777" w:rsidR="0026328A" w:rsidRDefault="0026328A" w:rsidP="0026328A">
      <w:pPr>
        <w:spacing w:line="360" w:lineRule="auto"/>
        <w:jc w:val="both"/>
      </w:pPr>
      <w:r w:rsidRPr="00E452DB">
        <w:br/>
        <w:t xml:space="preserve">Mai, N. T. Q., Hieu, N. V., Ngan, T. T., Van Anh, T., Van Linh, P., &amp; Thu Phuong, N. T. (2025). Impact of Ginkgo biloba drug interactions on bleeding risk and coagulation profiles: A comprehensive analysis. </w:t>
      </w:r>
      <w:proofErr w:type="spellStart"/>
      <w:r w:rsidRPr="00E452DB">
        <w:rPr>
          <w:i/>
          <w:iCs/>
        </w:rPr>
        <w:t>PloS</w:t>
      </w:r>
      <w:proofErr w:type="spellEnd"/>
      <w:r w:rsidRPr="00E452DB">
        <w:rPr>
          <w:i/>
          <w:iCs/>
        </w:rPr>
        <w:t xml:space="preserve"> One</w:t>
      </w:r>
      <w:r w:rsidRPr="00E452DB">
        <w:t xml:space="preserve">, </w:t>
      </w:r>
      <w:r w:rsidRPr="00E452DB">
        <w:rPr>
          <w:i/>
          <w:iCs/>
        </w:rPr>
        <w:t>20</w:t>
      </w:r>
      <w:r w:rsidRPr="00E452DB">
        <w:t xml:space="preserve">(4), e0321804. </w:t>
      </w:r>
      <w:hyperlink r:id="rId62" w:history="1">
        <w:r w:rsidRPr="00E452DB">
          <w:rPr>
            <w:rStyle w:val="Hyperlink"/>
            <w:rFonts w:eastAsiaTheme="majorEastAsia"/>
          </w:rPr>
          <w:t>https://doi.org/10.1371/journal.pone.0321804</w:t>
        </w:r>
      </w:hyperlink>
    </w:p>
    <w:p w14:paraId="1D7873E6" w14:textId="77777777" w:rsidR="0026328A" w:rsidRDefault="0026328A" w:rsidP="0026328A">
      <w:pPr>
        <w:spacing w:line="360" w:lineRule="auto"/>
        <w:jc w:val="both"/>
      </w:pPr>
      <w:r w:rsidRPr="00E452DB">
        <w:lastRenderedPageBreak/>
        <w:br/>
        <w:t xml:space="preserve">Manikandan, P., &amp; Nagini, S. (2018). Cytochrome P450 Structure, Function and Clinical Significance: A Review. </w:t>
      </w:r>
      <w:r w:rsidRPr="00E452DB">
        <w:rPr>
          <w:i/>
          <w:iCs/>
        </w:rPr>
        <w:t>Current Drug Targets</w:t>
      </w:r>
      <w:r w:rsidRPr="00E452DB">
        <w:t xml:space="preserve">, </w:t>
      </w:r>
      <w:r w:rsidRPr="00E452DB">
        <w:rPr>
          <w:i/>
          <w:iCs/>
        </w:rPr>
        <w:t>19</w:t>
      </w:r>
      <w:r w:rsidRPr="00E452DB">
        <w:t xml:space="preserve">(1). </w:t>
      </w:r>
      <w:hyperlink r:id="rId63" w:history="1">
        <w:r w:rsidRPr="00E452DB">
          <w:rPr>
            <w:rStyle w:val="Hyperlink"/>
            <w:rFonts w:eastAsiaTheme="majorEastAsia"/>
          </w:rPr>
          <w:t>https://doi.org/10.2174/1389450118666170125144557</w:t>
        </w:r>
      </w:hyperlink>
    </w:p>
    <w:p w14:paraId="3102F9AD" w14:textId="77777777" w:rsidR="0026328A" w:rsidRDefault="0026328A" w:rsidP="0026328A">
      <w:pPr>
        <w:spacing w:line="360" w:lineRule="auto"/>
        <w:jc w:val="both"/>
      </w:pPr>
      <w:r w:rsidRPr="00E452DB">
        <w:br/>
        <w:t xml:space="preserve">Mar, P. L., Tisdale, J. E., </w:t>
      </w:r>
      <w:proofErr w:type="spellStart"/>
      <w:r w:rsidRPr="00E452DB">
        <w:t>Gopinathannair</w:t>
      </w:r>
      <w:proofErr w:type="spellEnd"/>
      <w:r w:rsidRPr="00E452DB">
        <w:t xml:space="preserve">, R., </w:t>
      </w:r>
      <w:proofErr w:type="spellStart"/>
      <w:r w:rsidRPr="00E452DB">
        <w:t>Ezekowitz</w:t>
      </w:r>
      <w:proofErr w:type="spellEnd"/>
      <w:r w:rsidRPr="00E452DB">
        <w:t xml:space="preserve">, M. D., Olshansky, B., </w:t>
      </w:r>
      <w:proofErr w:type="spellStart"/>
      <w:r w:rsidRPr="00E452DB">
        <w:t>Lakkireddy</w:t>
      </w:r>
      <w:proofErr w:type="spellEnd"/>
      <w:r w:rsidRPr="00E452DB">
        <w:t xml:space="preserve">, D., Chung, M. K., Reiffel, J., Gengler, B. E., Miletello, M., Perez, A., Dukes, J., Noseworthy, P. A., &amp; Lip, G. Y. H. (2022). Drug Interactions Affecting Oral Anticoagulant Use. </w:t>
      </w:r>
      <w:r w:rsidRPr="00E452DB">
        <w:rPr>
          <w:i/>
          <w:iCs/>
        </w:rPr>
        <w:t>Circulation. Arrhythmia and Electrophysiology</w:t>
      </w:r>
      <w:r w:rsidRPr="00E452DB">
        <w:t xml:space="preserve">, </w:t>
      </w:r>
      <w:r w:rsidRPr="00E452DB">
        <w:rPr>
          <w:i/>
          <w:iCs/>
        </w:rPr>
        <w:t>15</w:t>
      </w:r>
      <w:r w:rsidRPr="00E452DB">
        <w:t xml:space="preserve">(6). </w:t>
      </w:r>
      <w:hyperlink r:id="rId64" w:history="1">
        <w:r w:rsidRPr="00E452DB">
          <w:rPr>
            <w:rStyle w:val="Hyperlink"/>
            <w:rFonts w:eastAsiaTheme="majorEastAsia"/>
          </w:rPr>
          <w:t>https://doi.org/10.1161/circep.121.007956</w:t>
        </w:r>
      </w:hyperlink>
    </w:p>
    <w:p w14:paraId="5A312163" w14:textId="77777777" w:rsidR="0026328A" w:rsidRDefault="0026328A" w:rsidP="0026328A">
      <w:pPr>
        <w:spacing w:line="360" w:lineRule="auto"/>
        <w:jc w:val="both"/>
      </w:pPr>
      <w:r w:rsidRPr="00E452DB">
        <w:br/>
        <w:t xml:space="preserve">Meng, Q., &amp; Liu, K. (2015). Pharmacokinetic interactions between herbal medicines and prescribed drugs: focus on drug metabolic enzymes and transporters. </w:t>
      </w:r>
      <w:r w:rsidRPr="00E452DB">
        <w:rPr>
          <w:i/>
          <w:iCs/>
        </w:rPr>
        <w:t>Current Drug Metabolism</w:t>
      </w:r>
      <w:r w:rsidRPr="00E452DB">
        <w:t xml:space="preserve">, </w:t>
      </w:r>
      <w:r w:rsidRPr="00E452DB">
        <w:rPr>
          <w:i/>
          <w:iCs/>
        </w:rPr>
        <w:t>15</w:t>
      </w:r>
      <w:r w:rsidRPr="00E452DB">
        <w:t xml:space="preserve">(8), 791–807. </w:t>
      </w:r>
      <w:hyperlink r:id="rId65" w:history="1">
        <w:r w:rsidRPr="00E452DB">
          <w:rPr>
            <w:rStyle w:val="Hyperlink"/>
            <w:rFonts w:eastAsiaTheme="majorEastAsia"/>
          </w:rPr>
          <w:t>https://doi.org/10.2174/1389200216666150223152348</w:t>
        </w:r>
      </w:hyperlink>
    </w:p>
    <w:p w14:paraId="29DAAE01" w14:textId="77777777" w:rsidR="0026328A" w:rsidRDefault="0026328A" w:rsidP="0026328A">
      <w:pPr>
        <w:spacing w:line="360" w:lineRule="auto"/>
        <w:jc w:val="both"/>
      </w:pPr>
      <w:r w:rsidRPr="00E452DB">
        <w:br/>
        <w:t xml:space="preserve">Morris, R., Salcedo, M., Garcia, A. S., Todd, M., Cheng, F., Aponte, N. Z., Bruckner, M., Webb, R., Bu, K., &amp; Han, W. (2023). The association between warfarin usage and international normalized ratio increase: systematic analysis of FDA Adverse Event Reporting System (FAERS). </w:t>
      </w:r>
      <w:r w:rsidRPr="00E452DB">
        <w:rPr>
          <w:i/>
          <w:iCs/>
        </w:rPr>
        <w:t>The Journal of Cardiovascular Aging</w:t>
      </w:r>
      <w:r w:rsidRPr="00E452DB">
        <w:t xml:space="preserve">, </w:t>
      </w:r>
      <w:r w:rsidRPr="00E452DB">
        <w:rPr>
          <w:i/>
          <w:iCs/>
        </w:rPr>
        <w:t>3</w:t>
      </w:r>
      <w:r w:rsidRPr="00E452DB">
        <w:t xml:space="preserve">(4). </w:t>
      </w:r>
      <w:hyperlink r:id="rId66" w:history="1">
        <w:r w:rsidRPr="00E452DB">
          <w:rPr>
            <w:rStyle w:val="Hyperlink"/>
            <w:rFonts w:eastAsiaTheme="majorEastAsia"/>
          </w:rPr>
          <w:t>https://doi.org/10.20517/jca.2023.33</w:t>
        </w:r>
      </w:hyperlink>
    </w:p>
    <w:p w14:paraId="45522A70" w14:textId="77777777" w:rsidR="0026328A" w:rsidRDefault="0026328A" w:rsidP="0026328A">
      <w:pPr>
        <w:spacing w:line="360" w:lineRule="auto"/>
        <w:jc w:val="both"/>
      </w:pPr>
      <w:r w:rsidRPr="00E452DB">
        <w:br/>
        <w:t xml:space="preserve">Nahrstedt, A., &amp; </w:t>
      </w:r>
      <w:proofErr w:type="spellStart"/>
      <w:r w:rsidRPr="00E452DB">
        <w:t>Butterweck</w:t>
      </w:r>
      <w:proofErr w:type="spellEnd"/>
      <w:r w:rsidRPr="00E452DB">
        <w:t xml:space="preserve">, V. (2010). Lessons Learned from Herbal Medicinal Products: The Example of St. John’s Wort. </w:t>
      </w:r>
      <w:r w:rsidRPr="00E452DB">
        <w:rPr>
          <w:i/>
          <w:iCs/>
        </w:rPr>
        <w:t>Journal of Natural Products</w:t>
      </w:r>
      <w:r w:rsidRPr="00E452DB">
        <w:t xml:space="preserve">, </w:t>
      </w:r>
      <w:r w:rsidRPr="00E452DB">
        <w:rPr>
          <w:i/>
          <w:iCs/>
        </w:rPr>
        <w:t>73</w:t>
      </w:r>
      <w:r w:rsidRPr="00E452DB">
        <w:t xml:space="preserve">(5), 1015–1021. </w:t>
      </w:r>
      <w:hyperlink r:id="rId67" w:history="1">
        <w:r w:rsidRPr="00E452DB">
          <w:rPr>
            <w:rStyle w:val="Hyperlink"/>
            <w:rFonts w:eastAsiaTheme="majorEastAsia"/>
          </w:rPr>
          <w:t>https://doi.org/10.1021/np1000329</w:t>
        </w:r>
      </w:hyperlink>
    </w:p>
    <w:p w14:paraId="7C32EEDD" w14:textId="77777777" w:rsidR="0026328A" w:rsidRDefault="0026328A" w:rsidP="0026328A">
      <w:pPr>
        <w:spacing w:line="360" w:lineRule="auto"/>
        <w:jc w:val="both"/>
      </w:pPr>
      <w:r w:rsidRPr="00E452DB">
        <w:br/>
        <w:t xml:space="preserve">Ndao, A., &amp; </w:t>
      </w:r>
      <w:proofErr w:type="spellStart"/>
      <w:r w:rsidRPr="00E452DB">
        <w:t>Adjallé</w:t>
      </w:r>
      <w:proofErr w:type="spellEnd"/>
      <w:r w:rsidRPr="00E452DB">
        <w:t xml:space="preserve">, K. (2023). Overview of the Biotransformation of Limonene and α-Pinene from Wood and Citrus Residues by Microorganisms. </w:t>
      </w:r>
      <w:r w:rsidRPr="00E452DB">
        <w:rPr>
          <w:i/>
          <w:iCs/>
        </w:rPr>
        <w:t>Waste</w:t>
      </w:r>
      <w:r w:rsidRPr="00E452DB">
        <w:t xml:space="preserve">, </w:t>
      </w:r>
      <w:r w:rsidRPr="00E452DB">
        <w:rPr>
          <w:i/>
          <w:iCs/>
        </w:rPr>
        <w:t>1</w:t>
      </w:r>
      <w:r w:rsidRPr="00E452DB">
        <w:t xml:space="preserve">(4), 841–859. </w:t>
      </w:r>
      <w:hyperlink r:id="rId68" w:history="1">
        <w:r w:rsidRPr="00E452DB">
          <w:rPr>
            <w:rStyle w:val="Hyperlink"/>
            <w:rFonts w:eastAsiaTheme="majorEastAsia"/>
          </w:rPr>
          <w:t>https://doi.org/10.3390/waste1040049</w:t>
        </w:r>
      </w:hyperlink>
    </w:p>
    <w:p w14:paraId="49028EDE" w14:textId="77777777" w:rsidR="0026328A" w:rsidRDefault="0026328A" w:rsidP="0026328A">
      <w:pPr>
        <w:spacing w:line="360" w:lineRule="auto"/>
        <w:jc w:val="both"/>
      </w:pPr>
      <w:r w:rsidRPr="00E452DB">
        <w:br/>
      </w:r>
      <w:proofErr w:type="spellStart"/>
      <w:r w:rsidRPr="00E452DB">
        <w:t>Nicolussi</w:t>
      </w:r>
      <w:proofErr w:type="spellEnd"/>
      <w:r w:rsidRPr="00E452DB">
        <w:t xml:space="preserve">, S., Drewe, J., </w:t>
      </w:r>
      <w:proofErr w:type="spellStart"/>
      <w:r w:rsidRPr="00E452DB">
        <w:t>Butterweck</w:t>
      </w:r>
      <w:proofErr w:type="spellEnd"/>
      <w:r w:rsidRPr="00E452DB">
        <w:t xml:space="preserve">, V., &amp; Meyer Zu </w:t>
      </w:r>
      <w:proofErr w:type="spellStart"/>
      <w:r w:rsidRPr="00E452DB">
        <w:t>Schwabedissen</w:t>
      </w:r>
      <w:proofErr w:type="spellEnd"/>
      <w:r w:rsidRPr="00E452DB">
        <w:t xml:space="preserve">, H. E. (2020). Clinical relevance of St. John’s wort drug interactions revisited. </w:t>
      </w:r>
      <w:r w:rsidRPr="00E452DB">
        <w:rPr>
          <w:i/>
          <w:iCs/>
        </w:rPr>
        <w:t>British Journal of Pharmacology</w:t>
      </w:r>
      <w:r w:rsidRPr="00E452DB">
        <w:t xml:space="preserve">, </w:t>
      </w:r>
      <w:r w:rsidRPr="00E452DB">
        <w:rPr>
          <w:i/>
          <w:iCs/>
        </w:rPr>
        <w:t>177</w:t>
      </w:r>
      <w:r w:rsidRPr="00E452DB">
        <w:t xml:space="preserve">(6), 1212–1226. </w:t>
      </w:r>
      <w:hyperlink r:id="rId69" w:history="1">
        <w:r w:rsidRPr="00E452DB">
          <w:rPr>
            <w:rStyle w:val="Hyperlink"/>
            <w:rFonts w:eastAsiaTheme="majorEastAsia"/>
          </w:rPr>
          <w:t>https://doi.org/10.1111/bph.14936</w:t>
        </w:r>
      </w:hyperlink>
    </w:p>
    <w:p w14:paraId="022FBAC9" w14:textId="77777777" w:rsidR="0026328A" w:rsidRDefault="0026328A" w:rsidP="0026328A">
      <w:pPr>
        <w:spacing w:line="360" w:lineRule="auto"/>
        <w:jc w:val="both"/>
      </w:pPr>
      <w:r w:rsidRPr="00E452DB">
        <w:lastRenderedPageBreak/>
        <w:br/>
        <w:t xml:space="preserve">Nieminen, T. H., Neuvonen, P. J., Saari, T. I., Hagelberg, N. M., Laine, K., </w:t>
      </w:r>
      <w:proofErr w:type="spellStart"/>
      <w:r w:rsidRPr="00E452DB">
        <w:t>Olkkola</w:t>
      </w:r>
      <w:proofErr w:type="spellEnd"/>
      <w:r w:rsidRPr="00E452DB">
        <w:t xml:space="preserve">, K. T., &amp; Neuvonen, M. (2010). Grapefruit Juice Enhances the Exposure to Oral Oxycodone. </w:t>
      </w:r>
      <w:r w:rsidRPr="00E452DB">
        <w:rPr>
          <w:i/>
          <w:iCs/>
        </w:rPr>
        <w:t>Basic &amp; Clinical Pharmacology &amp; Toxicology</w:t>
      </w:r>
      <w:r w:rsidRPr="00E452DB">
        <w:t xml:space="preserve">, </w:t>
      </w:r>
      <w:r w:rsidRPr="00E452DB">
        <w:rPr>
          <w:i/>
          <w:iCs/>
        </w:rPr>
        <w:t>107</w:t>
      </w:r>
      <w:r w:rsidRPr="00E452DB">
        <w:t xml:space="preserve">(4), 782–788. </w:t>
      </w:r>
      <w:hyperlink r:id="rId70" w:history="1">
        <w:r w:rsidRPr="00E452DB">
          <w:rPr>
            <w:rStyle w:val="Hyperlink"/>
            <w:rFonts w:eastAsiaTheme="majorEastAsia"/>
          </w:rPr>
          <w:t>https://doi.org/10.1111/j.1742-7843.2010.00582.x</w:t>
        </w:r>
      </w:hyperlink>
    </w:p>
    <w:p w14:paraId="7C1D6637" w14:textId="77777777" w:rsidR="0026328A" w:rsidRDefault="0026328A" w:rsidP="0026328A">
      <w:pPr>
        <w:spacing w:line="360" w:lineRule="auto"/>
        <w:jc w:val="both"/>
      </w:pPr>
      <w:r w:rsidRPr="00E452DB">
        <w:br/>
        <w:t xml:space="preserve">Niu, X., Cui, H., Wu, T., Tian, Y., Li, G., &amp; Gu, X. (2022). Insights into the critical role of the PXR in preventing carcinogenesis and chemotherapeutic drug resistance. </w:t>
      </w:r>
      <w:r w:rsidRPr="00E452DB">
        <w:rPr>
          <w:i/>
          <w:iCs/>
        </w:rPr>
        <w:t>International Journal of Biological Sciences</w:t>
      </w:r>
      <w:r w:rsidRPr="00E452DB">
        <w:t xml:space="preserve">, </w:t>
      </w:r>
      <w:r w:rsidRPr="00E452DB">
        <w:rPr>
          <w:i/>
          <w:iCs/>
        </w:rPr>
        <w:t>18</w:t>
      </w:r>
      <w:r w:rsidRPr="00E452DB">
        <w:t xml:space="preserve">(2), 742–759. </w:t>
      </w:r>
      <w:hyperlink r:id="rId71" w:history="1">
        <w:r w:rsidRPr="00E452DB">
          <w:rPr>
            <w:rStyle w:val="Hyperlink"/>
            <w:rFonts w:eastAsiaTheme="majorEastAsia"/>
          </w:rPr>
          <w:t>https://doi.org/10.7150/ijbs.68724</w:t>
        </w:r>
      </w:hyperlink>
    </w:p>
    <w:p w14:paraId="0EE74AD7" w14:textId="77777777" w:rsidR="0026328A" w:rsidRDefault="0026328A" w:rsidP="0026328A">
      <w:pPr>
        <w:spacing w:line="360" w:lineRule="auto"/>
        <w:jc w:val="both"/>
      </w:pPr>
      <w:r w:rsidRPr="00E452DB">
        <w:br/>
        <w:t xml:space="preserve">Ogu, C. C., &amp; Maxa, J. L. (2000). Drug Interactions Due to Cytochrome P450. </w:t>
      </w:r>
      <w:r w:rsidRPr="00E452DB">
        <w:rPr>
          <w:i/>
          <w:iCs/>
        </w:rPr>
        <w:t>Baylor University Medical Center Proceedings</w:t>
      </w:r>
      <w:r w:rsidRPr="00E452DB">
        <w:t xml:space="preserve">, </w:t>
      </w:r>
      <w:r w:rsidRPr="00E452DB">
        <w:rPr>
          <w:i/>
          <w:iCs/>
        </w:rPr>
        <w:t>13</w:t>
      </w:r>
      <w:r w:rsidRPr="00E452DB">
        <w:t xml:space="preserve">(4), 421–423. </w:t>
      </w:r>
      <w:hyperlink r:id="rId72" w:history="1">
        <w:r w:rsidRPr="00E452DB">
          <w:rPr>
            <w:rStyle w:val="Hyperlink"/>
            <w:rFonts w:eastAsiaTheme="majorEastAsia"/>
          </w:rPr>
          <w:t>https://doi.org/10.1080/08998280.2000.11927719</w:t>
        </w:r>
      </w:hyperlink>
    </w:p>
    <w:p w14:paraId="5A2ED213" w14:textId="77777777" w:rsidR="0026328A" w:rsidRDefault="0026328A" w:rsidP="0026328A">
      <w:pPr>
        <w:spacing w:line="360" w:lineRule="auto"/>
        <w:jc w:val="both"/>
      </w:pPr>
      <w:r w:rsidRPr="00E452DB">
        <w:br/>
      </w:r>
      <w:proofErr w:type="spellStart"/>
      <w:r w:rsidRPr="00E452DB">
        <w:t>Ogwu</w:t>
      </w:r>
      <w:proofErr w:type="spellEnd"/>
      <w:r w:rsidRPr="00E452DB">
        <w:t xml:space="preserve">, M. C., Joshua, M. T., &amp; Izah, S. C. (2025). Ecological and environmental determinants of phytochemical variability in forest trees. </w:t>
      </w:r>
      <w:r w:rsidRPr="00E452DB">
        <w:rPr>
          <w:i/>
          <w:iCs/>
        </w:rPr>
        <w:t>Phytochemistry Reviews</w:t>
      </w:r>
      <w:r w:rsidRPr="00E452DB">
        <w:t xml:space="preserve">. </w:t>
      </w:r>
      <w:hyperlink r:id="rId73" w:history="1">
        <w:r w:rsidRPr="00E452DB">
          <w:rPr>
            <w:rStyle w:val="Hyperlink"/>
            <w:rFonts w:eastAsiaTheme="majorEastAsia"/>
          </w:rPr>
          <w:t>https://doi.org/10.1007/s11101-025-10066-0</w:t>
        </w:r>
      </w:hyperlink>
    </w:p>
    <w:p w14:paraId="513E170A" w14:textId="77777777" w:rsidR="0026328A" w:rsidRDefault="0026328A" w:rsidP="0026328A">
      <w:pPr>
        <w:spacing w:line="360" w:lineRule="auto"/>
        <w:jc w:val="both"/>
      </w:pPr>
    </w:p>
    <w:p w14:paraId="5606C94D" w14:textId="77777777" w:rsidR="0026328A" w:rsidRDefault="0026328A" w:rsidP="0026328A">
      <w:pPr>
        <w:spacing w:line="360" w:lineRule="auto"/>
        <w:jc w:val="both"/>
      </w:pPr>
      <w:r w:rsidRPr="0072494F">
        <w:t xml:space="preserve">Omar, H. R., Komarova, I., El-Ghonemi, M., Fathy, A., Rashad, R., Abdelmalak, H. D., ... &amp; </w:t>
      </w:r>
      <w:proofErr w:type="spellStart"/>
      <w:r w:rsidRPr="0072494F">
        <w:t>Yerramadha</w:t>
      </w:r>
      <w:proofErr w:type="spellEnd"/>
      <w:r w:rsidRPr="0072494F">
        <w:t xml:space="preserve">, M. R. (2012). Licorice abuse: Time to send a warning message. </w:t>
      </w:r>
      <w:r w:rsidRPr="0072494F">
        <w:rPr>
          <w:rFonts w:eastAsiaTheme="majorEastAsia"/>
          <w:i/>
          <w:iCs/>
        </w:rPr>
        <w:t>Therapeutic Advances in Endocrinology and Metabolism, 3</w:t>
      </w:r>
      <w:r w:rsidRPr="0072494F">
        <w:t xml:space="preserve">(4), 125–138. </w:t>
      </w:r>
      <w:hyperlink r:id="rId74" w:tgtFrame="_blank" w:history="1">
        <w:r w:rsidRPr="0072494F">
          <w:rPr>
            <w:rStyle w:val="Hyperlink"/>
            <w:rFonts w:eastAsiaTheme="majorEastAsia"/>
          </w:rPr>
          <w:t>https://doi.org/10.1177/2042018812454322</w:t>
        </w:r>
      </w:hyperlink>
      <w:r>
        <w:t xml:space="preserve">   </w:t>
      </w:r>
    </w:p>
    <w:p w14:paraId="5D6573AD" w14:textId="77777777" w:rsidR="0026328A" w:rsidRDefault="0026328A" w:rsidP="0026328A">
      <w:pPr>
        <w:spacing w:line="360" w:lineRule="auto"/>
        <w:jc w:val="both"/>
      </w:pPr>
      <w:r w:rsidRPr="00E452DB">
        <w:br/>
        <w:t xml:space="preserve">Otero, M. C., Ceric, F., Miranda-Rojas, S., Carreño, C., </w:t>
      </w:r>
      <w:proofErr w:type="spellStart"/>
      <w:r w:rsidRPr="00E452DB">
        <w:t>Escares</w:t>
      </w:r>
      <w:proofErr w:type="spellEnd"/>
      <w:r w:rsidRPr="00E452DB">
        <w:t xml:space="preserve">, R., Escobar, M. J., </w:t>
      </w:r>
      <w:proofErr w:type="spellStart"/>
      <w:r w:rsidRPr="00E452DB">
        <w:t>Saracini</w:t>
      </w:r>
      <w:proofErr w:type="spellEnd"/>
      <w:r w:rsidRPr="00E452DB">
        <w:t xml:space="preserve">, C., Atala, C., Ramírez-Barrantes, R., &amp; Gordillo-Fuenzalida, F. (2024). Documentary Analysis of Hypericum perforatum (St. John’s Wort) and Its Effect on Depressive Disorders. </w:t>
      </w:r>
      <w:r w:rsidRPr="00E452DB">
        <w:rPr>
          <w:i/>
          <w:iCs/>
        </w:rPr>
        <w:t>Pharmaceuticals</w:t>
      </w:r>
      <w:r w:rsidRPr="00E452DB">
        <w:t xml:space="preserve">, </w:t>
      </w:r>
      <w:r w:rsidRPr="00E452DB">
        <w:rPr>
          <w:i/>
          <w:iCs/>
        </w:rPr>
        <w:t>17</w:t>
      </w:r>
      <w:r w:rsidRPr="00E452DB">
        <w:t xml:space="preserve">(12), 1625. </w:t>
      </w:r>
      <w:hyperlink r:id="rId75" w:history="1">
        <w:r w:rsidRPr="00E452DB">
          <w:rPr>
            <w:rStyle w:val="Hyperlink"/>
            <w:rFonts w:eastAsiaTheme="majorEastAsia"/>
          </w:rPr>
          <w:t>https://doi.org/10.3390/ph17121625</w:t>
        </w:r>
      </w:hyperlink>
    </w:p>
    <w:p w14:paraId="1813927C" w14:textId="77777777" w:rsidR="0026328A" w:rsidRDefault="0026328A" w:rsidP="0026328A">
      <w:pPr>
        <w:spacing w:line="360" w:lineRule="auto"/>
        <w:jc w:val="both"/>
      </w:pPr>
      <w:r w:rsidRPr="00E452DB">
        <w:br/>
        <w:t xml:space="preserve">Padayachee, T., Lamb, D. C., Nelson, D. R., &amp; Syed, K. (2023). Structure–Function Analysis of the Biotechnologically Important Cytochrome P450 107 (CYP107) Enzyme Family. </w:t>
      </w:r>
      <w:r w:rsidRPr="00E452DB">
        <w:rPr>
          <w:i/>
          <w:iCs/>
        </w:rPr>
        <w:t>Biomolecules</w:t>
      </w:r>
      <w:r w:rsidRPr="00E452DB">
        <w:t xml:space="preserve">, </w:t>
      </w:r>
      <w:r w:rsidRPr="00E452DB">
        <w:rPr>
          <w:i/>
          <w:iCs/>
        </w:rPr>
        <w:t>13</w:t>
      </w:r>
      <w:r w:rsidRPr="00E452DB">
        <w:t xml:space="preserve">(12), 1733. </w:t>
      </w:r>
      <w:hyperlink r:id="rId76" w:history="1">
        <w:r w:rsidRPr="00E452DB">
          <w:rPr>
            <w:rStyle w:val="Hyperlink"/>
            <w:rFonts w:eastAsiaTheme="majorEastAsia"/>
          </w:rPr>
          <w:t>https://doi.org/10.3390/biom13121733</w:t>
        </w:r>
      </w:hyperlink>
    </w:p>
    <w:p w14:paraId="41E76255" w14:textId="77777777" w:rsidR="0026328A" w:rsidRDefault="0026328A" w:rsidP="0026328A">
      <w:pPr>
        <w:spacing w:line="360" w:lineRule="auto"/>
        <w:jc w:val="both"/>
      </w:pPr>
    </w:p>
    <w:p w14:paraId="64B43510" w14:textId="77777777" w:rsidR="0026328A" w:rsidRDefault="0026328A" w:rsidP="0026328A">
      <w:pPr>
        <w:spacing w:line="360" w:lineRule="auto"/>
        <w:jc w:val="both"/>
      </w:pPr>
      <w:r w:rsidRPr="0072494F">
        <w:lastRenderedPageBreak/>
        <w:t xml:space="preserve">Paeng, C. H., Sprague, M., &amp; </w:t>
      </w:r>
      <w:proofErr w:type="spellStart"/>
      <w:r w:rsidRPr="0072494F">
        <w:t>Jackevicius</w:t>
      </w:r>
      <w:proofErr w:type="spellEnd"/>
      <w:r w:rsidRPr="0072494F">
        <w:t xml:space="preserve">, C. A. (2007). Interaction between warfarin and cranberry juice. </w:t>
      </w:r>
      <w:r w:rsidRPr="0072494F">
        <w:rPr>
          <w:rFonts w:eastAsiaTheme="majorEastAsia"/>
          <w:i/>
          <w:iCs/>
        </w:rPr>
        <w:t>Clinical Therapeutics, 29</w:t>
      </w:r>
      <w:r w:rsidRPr="0072494F">
        <w:t xml:space="preserve">(8), 1730–1735. </w:t>
      </w:r>
      <w:hyperlink r:id="rId77" w:tgtFrame="_blank" w:history="1">
        <w:r w:rsidRPr="0072494F">
          <w:rPr>
            <w:rStyle w:val="Hyperlink"/>
            <w:rFonts w:eastAsiaTheme="majorEastAsia"/>
          </w:rPr>
          <w:t>https://doi.org/10.1016/j.clinthera.2007.08.019</w:t>
        </w:r>
      </w:hyperlink>
    </w:p>
    <w:p w14:paraId="70648D03" w14:textId="77777777" w:rsidR="0026328A" w:rsidRDefault="0026328A" w:rsidP="0026328A">
      <w:pPr>
        <w:spacing w:line="360" w:lineRule="auto"/>
        <w:jc w:val="both"/>
      </w:pPr>
      <w:r w:rsidRPr="00E452DB">
        <w:br/>
        <w:t xml:space="preserve">Park, M., Park, S.-M., Lee, H., Kim, A., Kim, N. S., Kim, Y. R., Yi, J.-M., &amp; Cha, S. (2024). KORE-Map 1.0: Korean medicine Omics Resource Extension Map on transcriptome data of tonifying herbal medicine. </w:t>
      </w:r>
      <w:r w:rsidRPr="00E452DB">
        <w:rPr>
          <w:i/>
          <w:iCs/>
        </w:rPr>
        <w:t>Scientific Data</w:t>
      </w:r>
      <w:r w:rsidRPr="00E452DB">
        <w:t xml:space="preserve">, </w:t>
      </w:r>
      <w:r w:rsidRPr="00E452DB">
        <w:rPr>
          <w:i/>
          <w:iCs/>
        </w:rPr>
        <w:t>11</w:t>
      </w:r>
      <w:r w:rsidRPr="00E452DB">
        <w:t xml:space="preserve">(1). </w:t>
      </w:r>
      <w:hyperlink r:id="rId78" w:history="1">
        <w:r w:rsidRPr="00E452DB">
          <w:rPr>
            <w:rStyle w:val="Hyperlink"/>
            <w:rFonts w:eastAsiaTheme="majorEastAsia"/>
          </w:rPr>
          <w:t>https://doi.org/10.1038/s41597-024-03734-x</w:t>
        </w:r>
      </w:hyperlink>
    </w:p>
    <w:p w14:paraId="5C82A300" w14:textId="77777777" w:rsidR="0026328A" w:rsidRDefault="0026328A" w:rsidP="0026328A">
      <w:pPr>
        <w:spacing w:line="360" w:lineRule="auto"/>
        <w:jc w:val="both"/>
      </w:pPr>
      <w:r w:rsidRPr="00E452DB">
        <w:br/>
        <w:t xml:space="preserve">Pathak, A., Singh, D. B., Tiwari, A., </w:t>
      </w:r>
      <w:proofErr w:type="spellStart"/>
      <w:r w:rsidRPr="00E452DB">
        <w:t>Anjaria</w:t>
      </w:r>
      <w:proofErr w:type="spellEnd"/>
      <w:r w:rsidRPr="00E452DB">
        <w:t xml:space="preserve">, P., &amp; Singh, S. P. (2024). Computational exploration of microsomal cytochrome P450 3A1 enzyme modulation by phytochemicals of Cichorium intybus L.: Insights into drug metabolism. </w:t>
      </w:r>
      <w:r w:rsidRPr="00E452DB">
        <w:rPr>
          <w:i/>
          <w:iCs/>
        </w:rPr>
        <w:t>Biopharmaceutics &amp; Drug Disposition</w:t>
      </w:r>
      <w:r w:rsidRPr="00E452DB">
        <w:t xml:space="preserve">, </w:t>
      </w:r>
      <w:r w:rsidRPr="00E452DB">
        <w:rPr>
          <w:i/>
          <w:iCs/>
        </w:rPr>
        <w:t>45</w:t>
      </w:r>
      <w:r w:rsidRPr="00E452DB">
        <w:t xml:space="preserve">(1), 15–29. </w:t>
      </w:r>
      <w:hyperlink r:id="rId79" w:history="1">
        <w:r w:rsidRPr="00E452DB">
          <w:rPr>
            <w:rStyle w:val="Hyperlink"/>
            <w:rFonts w:eastAsiaTheme="majorEastAsia"/>
          </w:rPr>
          <w:t>https://doi.org/10.1002/bdd.2380</w:t>
        </w:r>
      </w:hyperlink>
    </w:p>
    <w:p w14:paraId="1AB41B08" w14:textId="77777777" w:rsidR="0026328A" w:rsidRDefault="0026328A" w:rsidP="0026328A">
      <w:pPr>
        <w:spacing w:line="360" w:lineRule="auto"/>
        <w:jc w:val="both"/>
      </w:pPr>
      <w:r w:rsidRPr="00E452DB">
        <w:br/>
        <w:t xml:space="preserve">Petersen, M. J., </w:t>
      </w:r>
      <w:proofErr w:type="spellStart"/>
      <w:r w:rsidRPr="00E452DB">
        <w:t>Bergien</w:t>
      </w:r>
      <w:proofErr w:type="spellEnd"/>
      <w:r w:rsidRPr="00E452DB">
        <w:t xml:space="preserve">, S. O., &amp; </w:t>
      </w:r>
      <w:proofErr w:type="spellStart"/>
      <w:r w:rsidRPr="00E452DB">
        <w:t>Staerk</w:t>
      </w:r>
      <w:proofErr w:type="spellEnd"/>
      <w:r w:rsidRPr="00E452DB">
        <w:t xml:space="preserve">, D. (2021). A systematic review of possible interactions for herbal medicines and dietary supplements used concomitantly with disease-modifying or symptom-alleviating multiple sclerosis drugs. </w:t>
      </w:r>
      <w:r w:rsidRPr="00E452DB">
        <w:rPr>
          <w:i/>
          <w:iCs/>
        </w:rPr>
        <w:t xml:space="preserve">Phytotherapy </w:t>
      </w:r>
      <w:proofErr w:type="gramStart"/>
      <w:r w:rsidRPr="00E452DB">
        <w:rPr>
          <w:i/>
          <w:iCs/>
        </w:rPr>
        <w:t>Research :</w:t>
      </w:r>
      <w:proofErr w:type="gramEnd"/>
      <w:r w:rsidRPr="00E452DB">
        <w:rPr>
          <w:i/>
          <w:iCs/>
        </w:rPr>
        <w:t xml:space="preserve"> PTR</w:t>
      </w:r>
      <w:r w:rsidRPr="00E452DB">
        <w:t xml:space="preserve">, </w:t>
      </w:r>
      <w:r w:rsidRPr="00E452DB">
        <w:rPr>
          <w:i/>
          <w:iCs/>
        </w:rPr>
        <w:t>35</w:t>
      </w:r>
      <w:r w:rsidRPr="00E452DB">
        <w:t xml:space="preserve">(7), 3610–3631. </w:t>
      </w:r>
      <w:hyperlink r:id="rId80" w:history="1">
        <w:r w:rsidRPr="00E452DB">
          <w:rPr>
            <w:rStyle w:val="Hyperlink"/>
            <w:rFonts w:eastAsiaTheme="majorEastAsia"/>
          </w:rPr>
          <w:t>https://doi.org/10.1002/ptr.7050</w:t>
        </w:r>
      </w:hyperlink>
    </w:p>
    <w:p w14:paraId="0A7DC831" w14:textId="77777777" w:rsidR="0026328A" w:rsidRDefault="0026328A" w:rsidP="0026328A">
      <w:pPr>
        <w:spacing w:line="360" w:lineRule="auto"/>
        <w:jc w:val="both"/>
      </w:pPr>
      <w:r w:rsidRPr="00E452DB">
        <w:br/>
      </w:r>
      <w:proofErr w:type="spellStart"/>
      <w:r w:rsidRPr="00E452DB">
        <w:t>Pirmohamed</w:t>
      </w:r>
      <w:proofErr w:type="spellEnd"/>
      <w:r w:rsidRPr="00E452DB">
        <w:t xml:space="preserve">, M. (2013). Drug-grapefruit juice interactions. </w:t>
      </w:r>
      <w:r w:rsidRPr="00E452DB">
        <w:rPr>
          <w:i/>
          <w:iCs/>
        </w:rPr>
        <w:t>BMJ</w:t>
      </w:r>
      <w:r w:rsidRPr="00E452DB">
        <w:t xml:space="preserve">, </w:t>
      </w:r>
      <w:r w:rsidRPr="00E452DB">
        <w:rPr>
          <w:i/>
          <w:iCs/>
        </w:rPr>
        <w:t>346</w:t>
      </w:r>
      <w:r w:rsidRPr="00E452DB">
        <w:t xml:space="preserve">(jan07 1), f1. </w:t>
      </w:r>
      <w:hyperlink r:id="rId81" w:history="1">
        <w:r w:rsidRPr="00E452DB">
          <w:rPr>
            <w:rStyle w:val="Hyperlink"/>
            <w:rFonts w:eastAsiaTheme="majorEastAsia"/>
          </w:rPr>
          <w:t>https://doi.org/10.1136/bmj.f1</w:t>
        </w:r>
      </w:hyperlink>
    </w:p>
    <w:p w14:paraId="1675C1D1" w14:textId="77777777" w:rsidR="0026328A" w:rsidRDefault="0026328A" w:rsidP="0026328A">
      <w:pPr>
        <w:spacing w:line="360" w:lineRule="auto"/>
        <w:jc w:val="both"/>
      </w:pPr>
    </w:p>
    <w:p w14:paraId="3E992360" w14:textId="77777777" w:rsidR="0026328A" w:rsidRDefault="0026328A" w:rsidP="0026328A">
      <w:pPr>
        <w:spacing w:line="360" w:lineRule="auto"/>
        <w:jc w:val="both"/>
      </w:pPr>
      <w:r w:rsidRPr="0072494F">
        <w:t xml:space="preserve">Piscitelli, S. C., Burstein, A. H., Welden, N., </w:t>
      </w:r>
      <w:proofErr w:type="spellStart"/>
      <w:r w:rsidRPr="0072494F">
        <w:t>Gallicano</w:t>
      </w:r>
      <w:proofErr w:type="spellEnd"/>
      <w:r w:rsidRPr="0072494F">
        <w:t xml:space="preserve">, K. D., &amp; Falloon, J. (2002). The effect of garlic supplements on the pharmacokinetics of saquinavir. </w:t>
      </w:r>
      <w:r w:rsidRPr="0072494F">
        <w:rPr>
          <w:rFonts w:eastAsiaTheme="majorEastAsia"/>
          <w:i/>
          <w:iCs/>
        </w:rPr>
        <w:t>Clinical Infectious Diseases, 34</w:t>
      </w:r>
      <w:r w:rsidRPr="0072494F">
        <w:t xml:space="preserve">(2), 234–238. </w:t>
      </w:r>
      <w:hyperlink r:id="rId82" w:tgtFrame="_blank" w:history="1">
        <w:r w:rsidRPr="0072494F">
          <w:rPr>
            <w:rStyle w:val="Hyperlink"/>
            <w:rFonts w:eastAsiaTheme="majorEastAsia"/>
          </w:rPr>
          <w:t>https://doi.org/10.1086/324351</w:t>
        </w:r>
      </w:hyperlink>
      <w:r w:rsidRPr="00E452DB">
        <w:br/>
        <w:t xml:space="preserve">Poli, G., Bologna, E., &amp; </w:t>
      </w:r>
      <w:proofErr w:type="spellStart"/>
      <w:r w:rsidRPr="00E452DB">
        <w:t>Saguy</w:t>
      </w:r>
      <w:proofErr w:type="spellEnd"/>
      <w:r w:rsidRPr="00E452DB">
        <w:t xml:space="preserve">, I. S. (2024). Possible interactions between selected food processing and medications. </w:t>
      </w:r>
      <w:r w:rsidRPr="00E452DB">
        <w:rPr>
          <w:i/>
          <w:iCs/>
        </w:rPr>
        <w:t>Frontiers in Nutrition</w:t>
      </w:r>
      <w:r w:rsidRPr="00E452DB">
        <w:t xml:space="preserve">, </w:t>
      </w:r>
      <w:r w:rsidRPr="00E452DB">
        <w:rPr>
          <w:i/>
          <w:iCs/>
        </w:rPr>
        <w:t>11</w:t>
      </w:r>
      <w:r w:rsidRPr="00E452DB">
        <w:t xml:space="preserve">. </w:t>
      </w:r>
      <w:hyperlink r:id="rId83" w:history="1">
        <w:r w:rsidRPr="00E452DB">
          <w:rPr>
            <w:rStyle w:val="Hyperlink"/>
            <w:rFonts w:eastAsiaTheme="majorEastAsia"/>
          </w:rPr>
          <w:t>https://doi.org/10.3389/fnut.2024.1380010</w:t>
        </w:r>
      </w:hyperlink>
    </w:p>
    <w:p w14:paraId="13EEF969" w14:textId="77777777" w:rsidR="0026328A" w:rsidRDefault="0026328A" w:rsidP="0026328A">
      <w:pPr>
        <w:spacing w:line="360" w:lineRule="auto"/>
        <w:jc w:val="both"/>
      </w:pPr>
      <w:r w:rsidRPr="00E452DB">
        <w:br/>
        <w:t xml:space="preserve">Rai, M., Schulz, A., </w:t>
      </w:r>
      <w:proofErr w:type="spellStart"/>
      <w:r w:rsidRPr="00E452DB">
        <w:t>Kanase</w:t>
      </w:r>
      <w:proofErr w:type="spellEnd"/>
      <w:r w:rsidRPr="00E452DB">
        <w:t xml:space="preserve">, A., </w:t>
      </w:r>
      <w:proofErr w:type="spellStart"/>
      <w:r w:rsidRPr="00E452DB">
        <w:t>Gemmati</w:t>
      </w:r>
      <w:proofErr w:type="spellEnd"/>
      <w:r w:rsidRPr="00E452DB">
        <w:t xml:space="preserve">, D., </w:t>
      </w:r>
      <w:proofErr w:type="spellStart"/>
      <w:r w:rsidRPr="00E452DB">
        <w:t>Sakhrie</w:t>
      </w:r>
      <w:proofErr w:type="spellEnd"/>
      <w:r w:rsidRPr="00E452DB">
        <w:t xml:space="preserve">, M., Singh, A. V., Paudel, N., Khan, I. A., &amp; </w:t>
      </w:r>
      <w:proofErr w:type="spellStart"/>
      <w:r w:rsidRPr="00E452DB">
        <w:t>Tisato</w:t>
      </w:r>
      <w:proofErr w:type="spellEnd"/>
      <w:r w:rsidRPr="00E452DB">
        <w:t xml:space="preserve">, V. (2023). Perspective on Quantitative Structure–Toxicity Relationship (QSTR) Models to Predict Hepatic Biotransformation of Xenobiotics. </w:t>
      </w:r>
      <w:r w:rsidRPr="00E452DB">
        <w:rPr>
          <w:i/>
          <w:iCs/>
        </w:rPr>
        <w:t>Livers</w:t>
      </w:r>
      <w:r w:rsidRPr="00E452DB">
        <w:t xml:space="preserve">, </w:t>
      </w:r>
      <w:r w:rsidRPr="00E452DB">
        <w:rPr>
          <w:i/>
          <w:iCs/>
        </w:rPr>
        <w:t>3</w:t>
      </w:r>
      <w:r w:rsidRPr="00E452DB">
        <w:t xml:space="preserve">(3), 448–462. </w:t>
      </w:r>
      <w:hyperlink r:id="rId84" w:history="1">
        <w:r w:rsidRPr="00E452DB">
          <w:rPr>
            <w:rStyle w:val="Hyperlink"/>
            <w:rFonts w:eastAsiaTheme="majorEastAsia"/>
          </w:rPr>
          <w:t>https://doi.org/10.3390/livers3030032</w:t>
        </w:r>
      </w:hyperlink>
    </w:p>
    <w:p w14:paraId="51E2FB53" w14:textId="77777777" w:rsidR="0026328A" w:rsidRDefault="0026328A" w:rsidP="0026328A">
      <w:pPr>
        <w:spacing w:line="360" w:lineRule="auto"/>
        <w:jc w:val="both"/>
      </w:pPr>
      <w:r w:rsidRPr="00E452DB">
        <w:lastRenderedPageBreak/>
        <w:br/>
        <w:t xml:space="preserve">Rao Gajula, S. N., Pillai, M. S., </w:t>
      </w:r>
      <w:proofErr w:type="spellStart"/>
      <w:r w:rsidRPr="00E452DB">
        <w:t>Samanthula</w:t>
      </w:r>
      <w:proofErr w:type="spellEnd"/>
      <w:r w:rsidRPr="00E452DB">
        <w:t xml:space="preserve">, G., &amp; Sonti, R. (2021). Cytochrome P450 enzymes: a review on drug metabolizing enzyme inhibition studies in drug discovery and development. </w:t>
      </w:r>
      <w:r w:rsidRPr="00E452DB">
        <w:rPr>
          <w:i/>
          <w:iCs/>
        </w:rPr>
        <w:t>Bioanalysis</w:t>
      </w:r>
      <w:r w:rsidRPr="00E452DB">
        <w:t xml:space="preserve">, </w:t>
      </w:r>
      <w:r w:rsidRPr="00E452DB">
        <w:rPr>
          <w:i/>
          <w:iCs/>
        </w:rPr>
        <w:t>13</w:t>
      </w:r>
      <w:r w:rsidRPr="00E452DB">
        <w:t xml:space="preserve">(17), 1355–1378. </w:t>
      </w:r>
      <w:hyperlink r:id="rId85" w:history="1">
        <w:r w:rsidRPr="00E452DB">
          <w:rPr>
            <w:rStyle w:val="Hyperlink"/>
            <w:rFonts w:eastAsiaTheme="majorEastAsia"/>
          </w:rPr>
          <w:t>https://doi.org/10.4155/bio-2021-0132</w:t>
        </w:r>
      </w:hyperlink>
    </w:p>
    <w:p w14:paraId="0BD07240" w14:textId="77777777" w:rsidR="0026328A" w:rsidRDefault="0026328A" w:rsidP="0026328A">
      <w:pPr>
        <w:spacing w:line="360" w:lineRule="auto"/>
        <w:jc w:val="both"/>
      </w:pPr>
      <w:r w:rsidRPr="00E452DB">
        <w:br/>
        <w:t xml:space="preserve">Sahin, K., </w:t>
      </w:r>
      <w:proofErr w:type="spellStart"/>
      <w:r w:rsidRPr="00E452DB">
        <w:t>Gencoglu</w:t>
      </w:r>
      <w:proofErr w:type="spellEnd"/>
      <w:r w:rsidRPr="00E452DB">
        <w:t xml:space="preserve">, H., Orhan, C., Erten, F., </w:t>
      </w:r>
      <w:proofErr w:type="spellStart"/>
      <w:r w:rsidRPr="00E452DB">
        <w:t>Korkusuz</w:t>
      </w:r>
      <w:proofErr w:type="spellEnd"/>
      <w:r w:rsidRPr="00E452DB">
        <w:t xml:space="preserve">, A. K., Morde, A., Er, B., Kilic, E., </w:t>
      </w:r>
      <w:proofErr w:type="spellStart"/>
      <w:r w:rsidRPr="00E452DB">
        <w:t>Aldatmaz</w:t>
      </w:r>
      <w:proofErr w:type="spellEnd"/>
      <w:r w:rsidRPr="00E452DB">
        <w:t xml:space="preserve">, İ. E., &amp; </w:t>
      </w:r>
      <w:proofErr w:type="spellStart"/>
      <w:r w:rsidRPr="00E452DB">
        <w:t>Padigaru</w:t>
      </w:r>
      <w:proofErr w:type="spellEnd"/>
      <w:r w:rsidRPr="00E452DB">
        <w:t xml:space="preserve">, M. (2024). Impact of a Novel Valerian Extract on Sleep Quality, Relaxation, and GABA/Serotonin Receptor Activity in a Murine Model. </w:t>
      </w:r>
      <w:r w:rsidRPr="00E452DB">
        <w:rPr>
          <w:i/>
          <w:iCs/>
        </w:rPr>
        <w:t>Antioxidants (Basel, Switzerland)</w:t>
      </w:r>
      <w:r w:rsidRPr="00E452DB">
        <w:t xml:space="preserve">, </w:t>
      </w:r>
      <w:r w:rsidRPr="00E452DB">
        <w:rPr>
          <w:i/>
          <w:iCs/>
        </w:rPr>
        <w:t>13</w:t>
      </w:r>
      <w:r w:rsidRPr="00E452DB">
        <w:t xml:space="preserve">(6), 657. </w:t>
      </w:r>
      <w:hyperlink r:id="rId86" w:history="1">
        <w:r w:rsidRPr="00E452DB">
          <w:rPr>
            <w:rStyle w:val="Hyperlink"/>
            <w:rFonts w:eastAsiaTheme="majorEastAsia"/>
          </w:rPr>
          <w:t>https://doi.org/10.3390/antiox13060657</w:t>
        </w:r>
      </w:hyperlink>
    </w:p>
    <w:p w14:paraId="56BBC595" w14:textId="77777777" w:rsidR="0026328A" w:rsidRDefault="0026328A" w:rsidP="0026328A">
      <w:pPr>
        <w:spacing w:line="360" w:lineRule="auto"/>
        <w:jc w:val="both"/>
      </w:pPr>
      <w:r w:rsidRPr="00E452DB">
        <w:br/>
        <w:t xml:space="preserve">Saini, A., Saini, V., Deswal, G., Chopra, B., Grewal, A. S., &amp; Dhingra, A. K. (2025). Harnessing Therapeutic Potential of Allicin Against Cancer: An Exploratory Review. </w:t>
      </w:r>
      <w:r w:rsidRPr="00E452DB">
        <w:rPr>
          <w:i/>
          <w:iCs/>
        </w:rPr>
        <w:t>Anti-Cancer Agents in Medicinal Chemistry</w:t>
      </w:r>
      <w:r w:rsidRPr="00E452DB">
        <w:t xml:space="preserve">, </w:t>
      </w:r>
      <w:r w:rsidRPr="00E452DB">
        <w:rPr>
          <w:i/>
          <w:iCs/>
        </w:rPr>
        <w:t>25</w:t>
      </w:r>
      <w:r w:rsidRPr="00E452DB">
        <w:t xml:space="preserve">(9), 589–602. </w:t>
      </w:r>
      <w:hyperlink r:id="rId87" w:history="1">
        <w:r w:rsidRPr="00E452DB">
          <w:rPr>
            <w:rStyle w:val="Hyperlink"/>
            <w:rFonts w:eastAsiaTheme="majorEastAsia"/>
          </w:rPr>
          <w:t>https://doi.org/10.2174/0118715206343978241223080625</w:t>
        </w:r>
      </w:hyperlink>
    </w:p>
    <w:p w14:paraId="7C97D824" w14:textId="77777777" w:rsidR="0026328A" w:rsidRDefault="0026328A" w:rsidP="0026328A">
      <w:pPr>
        <w:spacing w:line="360" w:lineRule="auto"/>
        <w:jc w:val="both"/>
      </w:pPr>
      <w:r w:rsidRPr="00E452DB">
        <w:br/>
        <w:t xml:space="preserve">Sánchez-Gómez, T., Santamaría, Ó., Martín-García, J., &amp; Poveda, J. (2024). Seed extracts as an effective strategy in the control of plant pathogens: Scalable industry bioactive compounds for sustainable agriculture. </w:t>
      </w:r>
      <w:r w:rsidRPr="00E452DB">
        <w:rPr>
          <w:i/>
          <w:iCs/>
        </w:rPr>
        <w:t>Biocatalysis and Agricultural Biotechnology</w:t>
      </w:r>
      <w:r w:rsidRPr="00E452DB">
        <w:t xml:space="preserve">, </w:t>
      </w:r>
      <w:r w:rsidRPr="00E452DB">
        <w:rPr>
          <w:i/>
          <w:iCs/>
        </w:rPr>
        <w:t>60</w:t>
      </w:r>
      <w:r w:rsidRPr="00E452DB">
        <w:t xml:space="preserve">, 103332. </w:t>
      </w:r>
      <w:hyperlink r:id="rId88" w:history="1">
        <w:r w:rsidRPr="00E452DB">
          <w:rPr>
            <w:rStyle w:val="Hyperlink"/>
            <w:rFonts w:eastAsiaTheme="majorEastAsia"/>
          </w:rPr>
          <w:t>https://doi.org/10.1016/j.bcab.2024.103332</w:t>
        </w:r>
      </w:hyperlink>
    </w:p>
    <w:p w14:paraId="684BD64F" w14:textId="77777777" w:rsidR="0026328A" w:rsidRDefault="0026328A" w:rsidP="0026328A">
      <w:pPr>
        <w:spacing w:line="360" w:lineRule="auto"/>
        <w:jc w:val="both"/>
      </w:pPr>
      <w:r w:rsidRPr="00E452DB">
        <w:br/>
        <w:t xml:space="preserve">Sarkar, B., Rana, N., Singh, C., &amp; Singh, A. (2024). Medicinal herbal remedies in neurodegenerative diseases: an update on antioxidant potential. </w:t>
      </w:r>
      <w:proofErr w:type="spellStart"/>
      <w:r w:rsidRPr="00E452DB">
        <w:rPr>
          <w:i/>
          <w:iCs/>
        </w:rPr>
        <w:t>Naunyn-Schmiedeberg’s</w:t>
      </w:r>
      <w:proofErr w:type="spellEnd"/>
      <w:r w:rsidRPr="00E452DB">
        <w:rPr>
          <w:i/>
          <w:iCs/>
        </w:rPr>
        <w:t xml:space="preserve"> Archives of Pharmacology</w:t>
      </w:r>
      <w:r w:rsidRPr="00E452DB">
        <w:t xml:space="preserve">, </w:t>
      </w:r>
      <w:r w:rsidRPr="00E452DB">
        <w:rPr>
          <w:i/>
          <w:iCs/>
        </w:rPr>
        <w:t>397</w:t>
      </w:r>
      <w:r w:rsidRPr="00E452DB">
        <w:t xml:space="preserve">(8), 5483–5511. </w:t>
      </w:r>
      <w:hyperlink r:id="rId89" w:history="1">
        <w:r w:rsidRPr="00E452DB">
          <w:rPr>
            <w:rStyle w:val="Hyperlink"/>
            <w:rFonts w:eastAsiaTheme="majorEastAsia"/>
          </w:rPr>
          <w:t>https://doi.org/10.1007/s00210-024-03027-5</w:t>
        </w:r>
      </w:hyperlink>
    </w:p>
    <w:p w14:paraId="40699101" w14:textId="77777777" w:rsidR="0026328A" w:rsidRDefault="0026328A" w:rsidP="0026328A">
      <w:pPr>
        <w:spacing w:line="360" w:lineRule="auto"/>
        <w:jc w:val="both"/>
      </w:pPr>
      <w:r w:rsidRPr="00E452DB">
        <w:br/>
        <w:t xml:space="preserve">Sayaf, K., De Martin, S., Russo, F. P., Zanotto, I., &amp; </w:t>
      </w:r>
      <w:proofErr w:type="spellStart"/>
      <w:r w:rsidRPr="00E452DB">
        <w:t>Gabbia</w:t>
      </w:r>
      <w:proofErr w:type="spellEnd"/>
      <w:r w:rsidRPr="00E452DB">
        <w:t xml:space="preserve">, D. (2021). The Nuclear Receptor PXR in Chronic Liver Disease. </w:t>
      </w:r>
      <w:r w:rsidRPr="00E452DB">
        <w:rPr>
          <w:i/>
          <w:iCs/>
        </w:rPr>
        <w:t>Cells</w:t>
      </w:r>
      <w:r w:rsidRPr="00E452DB">
        <w:t xml:space="preserve">, </w:t>
      </w:r>
      <w:r w:rsidRPr="00E452DB">
        <w:rPr>
          <w:i/>
          <w:iCs/>
        </w:rPr>
        <w:t>11</w:t>
      </w:r>
      <w:r w:rsidRPr="00E452DB">
        <w:t xml:space="preserve">(1), 61. </w:t>
      </w:r>
      <w:hyperlink r:id="rId90" w:history="1">
        <w:r w:rsidRPr="00E452DB">
          <w:rPr>
            <w:rStyle w:val="Hyperlink"/>
            <w:rFonts w:eastAsiaTheme="majorEastAsia"/>
          </w:rPr>
          <w:t>https://doi.org/10.3390/cells11010061</w:t>
        </w:r>
      </w:hyperlink>
    </w:p>
    <w:p w14:paraId="2CECBA51" w14:textId="77777777" w:rsidR="0026328A" w:rsidRDefault="0026328A" w:rsidP="0026328A">
      <w:pPr>
        <w:spacing w:line="360" w:lineRule="auto"/>
        <w:jc w:val="both"/>
      </w:pPr>
      <w:r w:rsidRPr="00E452DB">
        <w:br/>
        <w:t xml:space="preserve">Seo, W., Kim, H., Sedig, L., </w:t>
      </w:r>
      <w:proofErr w:type="spellStart"/>
      <w:r w:rsidRPr="00E452DB">
        <w:t>Buyuktur</w:t>
      </w:r>
      <w:proofErr w:type="spellEnd"/>
      <w:r w:rsidRPr="00E452DB">
        <w:t xml:space="preserve">, A. G., Verma, S., Park, S. Y., &amp; Choi, S. W. (2021). </w:t>
      </w:r>
      <w:r w:rsidRPr="00E452DB">
        <w:rPr>
          <w:i/>
          <w:iCs/>
        </w:rPr>
        <w:t>Learning from Healthcare Providers’ Strategies: Designing Technology to Support Effective Child Patient-Provider Communication</w:t>
      </w:r>
      <w:r w:rsidRPr="00E452DB">
        <w:t xml:space="preserve">. 1–15. </w:t>
      </w:r>
      <w:hyperlink r:id="rId91" w:history="1">
        <w:r w:rsidRPr="00E452DB">
          <w:rPr>
            <w:rStyle w:val="Hyperlink"/>
            <w:rFonts w:eastAsiaTheme="majorEastAsia"/>
          </w:rPr>
          <w:t>https://doi.org/10.1145/3411764.3445120</w:t>
        </w:r>
      </w:hyperlink>
    </w:p>
    <w:p w14:paraId="10B47EEF" w14:textId="77777777" w:rsidR="0026328A" w:rsidRDefault="0026328A" w:rsidP="0026328A">
      <w:pPr>
        <w:spacing w:line="360" w:lineRule="auto"/>
        <w:jc w:val="both"/>
      </w:pPr>
      <w:r w:rsidRPr="00E452DB">
        <w:br/>
        <w:t xml:space="preserve">Shaman, J. A. (2024). The Future of Pharmacogenomics: Integrating Epigenetics, Nutrigenomics, </w:t>
      </w:r>
      <w:r w:rsidRPr="00E452DB">
        <w:lastRenderedPageBreak/>
        <w:t xml:space="preserve">and Beyond. </w:t>
      </w:r>
      <w:r w:rsidRPr="00E452DB">
        <w:rPr>
          <w:i/>
          <w:iCs/>
        </w:rPr>
        <w:t>Journal of Personalized Medicine</w:t>
      </w:r>
      <w:r w:rsidRPr="00E452DB">
        <w:t xml:space="preserve">, </w:t>
      </w:r>
      <w:r w:rsidRPr="00E452DB">
        <w:rPr>
          <w:i/>
          <w:iCs/>
        </w:rPr>
        <w:t>14</w:t>
      </w:r>
      <w:r w:rsidRPr="00E452DB">
        <w:t xml:space="preserve">(12), 1121. </w:t>
      </w:r>
      <w:hyperlink r:id="rId92" w:history="1">
        <w:r w:rsidRPr="00E452DB">
          <w:rPr>
            <w:rStyle w:val="Hyperlink"/>
            <w:rFonts w:eastAsiaTheme="majorEastAsia"/>
          </w:rPr>
          <w:t>https://doi.org/10.3390/jpm14121121</w:t>
        </w:r>
      </w:hyperlink>
    </w:p>
    <w:p w14:paraId="77765191" w14:textId="77777777" w:rsidR="0026328A" w:rsidRDefault="0026328A" w:rsidP="0026328A">
      <w:pPr>
        <w:spacing w:line="360" w:lineRule="auto"/>
        <w:jc w:val="both"/>
      </w:pPr>
      <w:r w:rsidRPr="00E452DB">
        <w:br/>
        <w:t xml:space="preserve">Shrivastava, P., Mondal, S., Thakur, S., Manhas, A., &amp; Mehra, R. (2025). Systematic Investigation of CYP3A4 Using Side-by-Side Comparisons of Apo, Active Site, and Allosteric-Bound States. </w:t>
      </w:r>
      <w:r w:rsidRPr="00E452DB">
        <w:rPr>
          <w:i/>
          <w:iCs/>
        </w:rPr>
        <w:t>Chemical Research in Toxicology</w:t>
      </w:r>
      <w:r w:rsidRPr="00E452DB">
        <w:t xml:space="preserve">, </w:t>
      </w:r>
      <w:r w:rsidRPr="00E452DB">
        <w:rPr>
          <w:i/>
          <w:iCs/>
        </w:rPr>
        <w:t>38</w:t>
      </w:r>
      <w:r w:rsidRPr="00E452DB">
        <w:t xml:space="preserve">(4), 583–597. </w:t>
      </w:r>
      <w:hyperlink r:id="rId93" w:history="1">
        <w:r w:rsidRPr="00E452DB">
          <w:rPr>
            <w:rStyle w:val="Hyperlink"/>
            <w:rFonts w:eastAsiaTheme="majorEastAsia"/>
          </w:rPr>
          <w:t>https://doi.org/10.1021/acs.chemrestox.4c00387</w:t>
        </w:r>
      </w:hyperlink>
    </w:p>
    <w:p w14:paraId="1124111A" w14:textId="77777777" w:rsidR="0026328A" w:rsidRDefault="0026328A" w:rsidP="0026328A">
      <w:pPr>
        <w:spacing w:line="360" w:lineRule="auto"/>
        <w:jc w:val="both"/>
      </w:pPr>
      <w:r w:rsidRPr="00E452DB">
        <w:br/>
        <w:t xml:space="preserve">Silva, H., &amp; Martins, F. G. (2022). Cardiovascular Activity of Ginkgo biloba-An Insight from Healthy Subjects. </w:t>
      </w:r>
      <w:r w:rsidRPr="00E452DB">
        <w:rPr>
          <w:i/>
          <w:iCs/>
        </w:rPr>
        <w:t>Biology</w:t>
      </w:r>
      <w:r w:rsidRPr="00E452DB">
        <w:t xml:space="preserve">, </w:t>
      </w:r>
      <w:r w:rsidRPr="00E452DB">
        <w:rPr>
          <w:i/>
          <w:iCs/>
        </w:rPr>
        <w:t>12</w:t>
      </w:r>
      <w:r w:rsidRPr="00E452DB">
        <w:t xml:space="preserve">(1), 15. </w:t>
      </w:r>
      <w:hyperlink r:id="rId94" w:history="1">
        <w:r w:rsidRPr="00E452DB">
          <w:rPr>
            <w:rStyle w:val="Hyperlink"/>
            <w:rFonts w:eastAsiaTheme="majorEastAsia"/>
          </w:rPr>
          <w:t>https://doi.org/10.3390/biology12010015</w:t>
        </w:r>
      </w:hyperlink>
    </w:p>
    <w:p w14:paraId="2FB0DBCD" w14:textId="77777777" w:rsidR="0026328A" w:rsidRDefault="0026328A" w:rsidP="0026328A">
      <w:pPr>
        <w:spacing w:line="360" w:lineRule="auto"/>
        <w:jc w:val="both"/>
      </w:pPr>
      <w:r w:rsidRPr="00E452DB">
        <w:br/>
        <w:t xml:space="preserve">Sindhu, P., </w:t>
      </w:r>
      <w:proofErr w:type="spellStart"/>
      <w:r w:rsidRPr="00E452DB">
        <w:t>Magotra</w:t>
      </w:r>
      <w:proofErr w:type="spellEnd"/>
      <w:r w:rsidRPr="00E452DB">
        <w:t xml:space="preserve">, A., Sindhu, V., &amp; Chaudhary, P. (2024). Unravelling the impact of epigenetic mechanisms on offspring growth, production, reproduction and disease susceptibility. </w:t>
      </w:r>
      <w:r w:rsidRPr="00E452DB">
        <w:rPr>
          <w:i/>
          <w:iCs/>
        </w:rPr>
        <w:t>Zygote (Cambridge, England)</w:t>
      </w:r>
      <w:r w:rsidRPr="00E452DB">
        <w:t xml:space="preserve">, </w:t>
      </w:r>
      <w:r w:rsidRPr="00E452DB">
        <w:rPr>
          <w:i/>
          <w:iCs/>
        </w:rPr>
        <w:t>32</w:t>
      </w:r>
      <w:r w:rsidRPr="00E452DB">
        <w:t xml:space="preserve">(3), 190–206. </w:t>
      </w:r>
      <w:hyperlink r:id="rId95" w:history="1">
        <w:r w:rsidRPr="00E452DB">
          <w:rPr>
            <w:rStyle w:val="Hyperlink"/>
            <w:rFonts w:eastAsiaTheme="majorEastAsia"/>
          </w:rPr>
          <w:t>https://doi.org/10.1017/s0967199424000224</w:t>
        </w:r>
      </w:hyperlink>
    </w:p>
    <w:p w14:paraId="2EED1AA5" w14:textId="77777777" w:rsidR="0026328A" w:rsidRDefault="0026328A" w:rsidP="0026328A">
      <w:pPr>
        <w:spacing w:line="360" w:lineRule="auto"/>
        <w:jc w:val="both"/>
      </w:pPr>
      <w:r w:rsidRPr="00E452DB">
        <w:br/>
        <w:t xml:space="preserve">Singh, S., &amp; Verma, R. (2025). Exploring the Therapeutic Potential of Flavonoids in the Management of Cancer. </w:t>
      </w:r>
      <w:r w:rsidRPr="00E452DB">
        <w:rPr>
          <w:i/>
          <w:iCs/>
        </w:rPr>
        <w:t>Current Pharmaceutical Biotechnology</w:t>
      </w:r>
      <w:r w:rsidRPr="00E452DB">
        <w:t xml:space="preserve">, </w:t>
      </w:r>
      <w:r w:rsidRPr="00E452DB">
        <w:rPr>
          <w:i/>
          <w:iCs/>
        </w:rPr>
        <w:t>26</w:t>
      </w:r>
      <w:r w:rsidRPr="00E452DB">
        <w:t xml:space="preserve">(1), 17–47. </w:t>
      </w:r>
      <w:hyperlink r:id="rId96" w:history="1">
        <w:r w:rsidRPr="00E452DB">
          <w:rPr>
            <w:rStyle w:val="Hyperlink"/>
            <w:rFonts w:eastAsiaTheme="majorEastAsia"/>
          </w:rPr>
          <w:t>https://doi.org/10.2174/0113892010297456240327062614</w:t>
        </w:r>
      </w:hyperlink>
    </w:p>
    <w:p w14:paraId="5923F73E" w14:textId="77777777" w:rsidR="0026328A" w:rsidRDefault="0026328A" w:rsidP="0026328A">
      <w:pPr>
        <w:spacing w:line="360" w:lineRule="auto"/>
        <w:jc w:val="both"/>
      </w:pPr>
      <w:r w:rsidRPr="00E452DB">
        <w:br/>
        <w:t xml:space="preserve">Smith, S. A., Le, G. H., </w:t>
      </w:r>
      <w:proofErr w:type="spellStart"/>
      <w:r w:rsidRPr="00E452DB">
        <w:t>Teopiz</w:t>
      </w:r>
      <w:proofErr w:type="spellEnd"/>
      <w:r w:rsidRPr="00E452DB">
        <w:t xml:space="preserve">, K. M., Kwan, A. T. H., Rhee, T. G., Ho, R. C., Wu, J., Cao, B., Ceban, F., &amp; Mcintyre, R. S. (2024). Effects of cannabidiol and Δ9-tetrahydrocannabinol on cytochrome P450 enzymes: a systematic review. </w:t>
      </w:r>
      <w:r w:rsidRPr="00E452DB">
        <w:rPr>
          <w:i/>
          <w:iCs/>
        </w:rPr>
        <w:t>Drug Metabolism Reviews</w:t>
      </w:r>
      <w:r w:rsidRPr="00E452DB">
        <w:t xml:space="preserve">, </w:t>
      </w:r>
      <w:r w:rsidRPr="00E452DB">
        <w:rPr>
          <w:i/>
          <w:iCs/>
        </w:rPr>
        <w:t>ahead-of-print</w:t>
      </w:r>
      <w:r w:rsidRPr="00E452DB">
        <w:t xml:space="preserve">(ahead-of-print), 164–174. </w:t>
      </w:r>
      <w:hyperlink r:id="rId97" w:history="1">
        <w:r w:rsidRPr="00E452DB">
          <w:rPr>
            <w:rStyle w:val="Hyperlink"/>
            <w:rFonts w:eastAsiaTheme="majorEastAsia"/>
          </w:rPr>
          <w:t>https://doi.org/10.1080/03602532.2024.2346767</w:t>
        </w:r>
      </w:hyperlink>
    </w:p>
    <w:p w14:paraId="53D0F46B" w14:textId="77777777" w:rsidR="0026328A" w:rsidRDefault="0026328A" w:rsidP="0026328A">
      <w:pPr>
        <w:spacing w:line="360" w:lineRule="auto"/>
        <w:jc w:val="both"/>
      </w:pPr>
      <w:r w:rsidRPr="00E452DB">
        <w:br/>
        <w:t xml:space="preserve">Spina, E., Barbieri, M. A., Cicala, G., Bruno, A., &amp; De Leon, J. (2019). Clinically relevant drug interactions between newer antidepressants and oral anticoagulants. </w:t>
      </w:r>
      <w:r w:rsidRPr="00E452DB">
        <w:rPr>
          <w:i/>
          <w:iCs/>
        </w:rPr>
        <w:t>Expert Opinion on Drug Metabolism &amp; Toxicology</w:t>
      </w:r>
      <w:r w:rsidRPr="00E452DB">
        <w:t xml:space="preserve">, </w:t>
      </w:r>
      <w:r w:rsidRPr="00E452DB">
        <w:rPr>
          <w:i/>
          <w:iCs/>
        </w:rPr>
        <w:t>16</w:t>
      </w:r>
      <w:r w:rsidRPr="00E452DB">
        <w:t xml:space="preserve">(1), 31–44. </w:t>
      </w:r>
      <w:hyperlink r:id="rId98" w:history="1">
        <w:r w:rsidRPr="00E452DB">
          <w:rPr>
            <w:rStyle w:val="Hyperlink"/>
            <w:rFonts w:eastAsiaTheme="majorEastAsia"/>
          </w:rPr>
          <w:t>https://doi.org/10.1080/17425255.2020.1700952</w:t>
        </w:r>
      </w:hyperlink>
    </w:p>
    <w:p w14:paraId="123D801F" w14:textId="77777777" w:rsidR="0026328A" w:rsidRDefault="0026328A" w:rsidP="0026328A">
      <w:pPr>
        <w:spacing w:line="360" w:lineRule="auto"/>
        <w:jc w:val="both"/>
      </w:pPr>
      <w:r w:rsidRPr="00E452DB">
        <w:br/>
      </w:r>
      <w:proofErr w:type="spellStart"/>
      <w:r w:rsidRPr="00E452DB">
        <w:t>Stanojević-Ristić</w:t>
      </w:r>
      <w:proofErr w:type="spellEnd"/>
      <w:r w:rsidRPr="00E452DB">
        <w:t xml:space="preserve">, Z., </w:t>
      </w:r>
      <w:proofErr w:type="spellStart"/>
      <w:r w:rsidRPr="00E452DB">
        <w:t>Mrkić</w:t>
      </w:r>
      <w:proofErr w:type="spellEnd"/>
      <w:r w:rsidRPr="00E452DB">
        <w:t xml:space="preserve">, I., </w:t>
      </w:r>
      <w:proofErr w:type="spellStart"/>
      <w:r w:rsidRPr="00E452DB">
        <w:t>Ćorac</w:t>
      </w:r>
      <w:proofErr w:type="spellEnd"/>
      <w:r w:rsidRPr="00E452DB">
        <w:t xml:space="preserve">, A., Dejanović, M., </w:t>
      </w:r>
      <w:proofErr w:type="spellStart"/>
      <w:r w:rsidRPr="00E452DB">
        <w:t>Mitić</w:t>
      </w:r>
      <w:proofErr w:type="spellEnd"/>
      <w:r w:rsidRPr="00E452DB">
        <w:t xml:space="preserve">, R., </w:t>
      </w:r>
      <w:proofErr w:type="spellStart"/>
      <w:r w:rsidRPr="00E452DB">
        <w:t>Vitković</w:t>
      </w:r>
      <w:proofErr w:type="spellEnd"/>
      <w:r w:rsidRPr="00E452DB">
        <w:t xml:space="preserve">, L., Rašić, J., </w:t>
      </w:r>
      <w:proofErr w:type="spellStart"/>
      <w:r w:rsidRPr="00E452DB">
        <w:t>Valjarević</w:t>
      </w:r>
      <w:proofErr w:type="spellEnd"/>
      <w:r w:rsidRPr="00E452DB">
        <w:t xml:space="preserve">, D., &amp; </w:t>
      </w:r>
      <w:proofErr w:type="spellStart"/>
      <w:r w:rsidRPr="00E452DB">
        <w:t>Valjarević</w:t>
      </w:r>
      <w:proofErr w:type="spellEnd"/>
      <w:r w:rsidRPr="00E452DB">
        <w:t xml:space="preserve">, A. (2022). Healthcare Professionals’ Knowledge and Behaviors Regarding Drug–Dietary Supplement and Drug–Herbal Product Interactions. </w:t>
      </w:r>
      <w:r w:rsidRPr="00E452DB">
        <w:rPr>
          <w:i/>
          <w:iCs/>
        </w:rPr>
        <w:t xml:space="preserve">International </w:t>
      </w:r>
      <w:r w:rsidRPr="00E452DB">
        <w:rPr>
          <w:i/>
          <w:iCs/>
        </w:rPr>
        <w:lastRenderedPageBreak/>
        <w:t>Journal of Environmental Research and Public Health</w:t>
      </w:r>
      <w:r w:rsidRPr="00E452DB">
        <w:t xml:space="preserve">, </w:t>
      </w:r>
      <w:r w:rsidRPr="00E452DB">
        <w:rPr>
          <w:i/>
          <w:iCs/>
        </w:rPr>
        <w:t>19</w:t>
      </w:r>
      <w:r w:rsidRPr="00E452DB">
        <w:t xml:space="preserve">(7), 4290. </w:t>
      </w:r>
      <w:hyperlink r:id="rId99" w:history="1">
        <w:r w:rsidRPr="00E452DB">
          <w:rPr>
            <w:rStyle w:val="Hyperlink"/>
            <w:rFonts w:eastAsiaTheme="majorEastAsia"/>
          </w:rPr>
          <w:t>https://doi.org/10.3390/ijerph19074290</w:t>
        </w:r>
      </w:hyperlink>
    </w:p>
    <w:p w14:paraId="5C68D12B" w14:textId="77777777" w:rsidR="0026328A" w:rsidRDefault="0026328A" w:rsidP="0026328A">
      <w:pPr>
        <w:spacing w:line="360" w:lineRule="auto"/>
        <w:jc w:val="both"/>
      </w:pPr>
      <w:r w:rsidRPr="00E452DB">
        <w:br/>
        <w:t xml:space="preserve">Stepanova, A. M., </w:t>
      </w:r>
      <w:proofErr w:type="spellStart"/>
      <w:r w:rsidRPr="00E452DB">
        <w:t>Plutnitskiy</w:t>
      </w:r>
      <w:proofErr w:type="spellEnd"/>
      <w:r w:rsidRPr="00E452DB">
        <w:t xml:space="preserve">, А. N., &amp; </w:t>
      </w:r>
      <w:proofErr w:type="spellStart"/>
      <w:r w:rsidRPr="00E452DB">
        <w:t>Gameeva</w:t>
      </w:r>
      <w:proofErr w:type="spellEnd"/>
      <w:r w:rsidRPr="00E452DB">
        <w:t xml:space="preserve">, E. V. (2025). Biologically active supplements: safety, efficacy, market review. </w:t>
      </w:r>
      <w:r w:rsidRPr="00E452DB">
        <w:rPr>
          <w:i/>
          <w:iCs/>
        </w:rPr>
        <w:t>FARMAKOEKONOMIKA. Modern Pharmacoeconomics and Pharmacoepidemiology</w:t>
      </w:r>
      <w:r w:rsidRPr="00E452DB">
        <w:t xml:space="preserve">, </w:t>
      </w:r>
      <w:r w:rsidRPr="00E452DB">
        <w:rPr>
          <w:i/>
          <w:iCs/>
        </w:rPr>
        <w:t>17</w:t>
      </w:r>
      <w:r w:rsidRPr="00E452DB">
        <w:t xml:space="preserve">(4), 558–571. </w:t>
      </w:r>
      <w:hyperlink r:id="rId100" w:history="1">
        <w:r w:rsidRPr="00E452DB">
          <w:rPr>
            <w:rStyle w:val="Hyperlink"/>
            <w:rFonts w:eastAsiaTheme="majorEastAsia"/>
          </w:rPr>
          <w:t>https://doi.org/10.17749/2070-4909/farmakoekonomika.2024.269</w:t>
        </w:r>
      </w:hyperlink>
    </w:p>
    <w:p w14:paraId="3C2D4965" w14:textId="77777777" w:rsidR="0026328A" w:rsidRDefault="0026328A" w:rsidP="0026328A">
      <w:pPr>
        <w:spacing w:line="360" w:lineRule="auto"/>
        <w:jc w:val="both"/>
      </w:pPr>
      <w:r w:rsidRPr="00E452DB">
        <w:br/>
        <w:t xml:space="preserve">Stoddard, E. G., Corley, R., Anderson, K. A., Wright, A. T., Smith, J. N., Shukla, A. K., Tyrrell, K. J., Martin, J., Gibbins, T., &amp; Nag, S. (2021). Exposure to an Environmental Mixture of Polycyclic Aromatic Hydrocarbons Induces Hepatic Cytochrome P450 Enzymes in Mice. </w:t>
      </w:r>
      <w:r w:rsidRPr="00E452DB">
        <w:rPr>
          <w:i/>
          <w:iCs/>
        </w:rPr>
        <w:t>Chemical Research in Toxicology</w:t>
      </w:r>
      <w:r w:rsidRPr="00E452DB">
        <w:t xml:space="preserve">, </w:t>
      </w:r>
      <w:r w:rsidRPr="00E452DB">
        <w:rPr>
          <w:i/>
          <w:iCs/>
        </w:rPr>
        <w:t>34</w:t>
      </w:r>
      <w:r w:rsidRPr="00E452DB">
        <w:t xml:space="preserve">(9), 2145–2156. </w:t>
      </w:r>
      <w:hyperlink r:id="rId101" w:history="1">
        <w:r w:rsidRPr="00E452DB">
          <w:rPr>
            <w:rStyle w:val="Hyperlink"/>
            <w:rFonts w:eastAsiaTheme="majorEastAsia"/>
          </w:rPr>
          <w:t>https://doi.org/10.1021/acs.chemrestox.1c00235</w:t>
        </w:r>
      </w:hyperlink>
    </w:p>
    <w:p w14:paraId="30657B50" w14:textId="77777777" w:rsidR="0026328A" w:rsidRDefault="0026328A" w:rsidP="0026328A">
      <w:pPr>
        <w:spacing w:line="360" w:lineRule="auto"/>
        <w:jc w:val="both"/>
      </w:pPr>
      <w:r w:rsidRPr="00E452DB">
        <w:br/>
        <w:t xml:space="preserve">Subih, M., Rababa, M., Aryan, F. S., </w:t>
      </w:r>
      <w:proofErr w:type="spellStart"/>
      <w:r w:rsidRPr="00E452DB">
        <w:t>Alnaeem</w:t>
      </w:r>
      <w:proofErr w:type="spellEnd"/>
      <w:r w:rsidRPr="00E452DB">
        <w:t xml:space="preserve">, M., </w:t>
      </w:r>
      <w:proofErr w:type="spellStart"/>
      <w:r w:rsidRPr="00E452DB">
        <w:t>Alrahahleh</w:t>
      </w:r>
      <w:proofErr w:type="spellEnd"/>
      <w:r w:rsidRPr="00E452DB">
        <w:t xml:space="preserve">, M. H., Al </w:t>
      </w:r>
      <w:proofErr w:type="spellStart"/>
      <w:r w:rsidRPr="00E452DB">
        <w:t>Niarat</w:t>
      </w:r>
      <w:proofErr w:type="spellEnd"/>
      <w:r w:rsidRPr="00E452DB">
        <w:t xml:space="preserve">, T. F., Saleh, Z. T., </w:t>
      </w:r>
      <w:proofErr w:type="spellStart"/>
      <w:r w:rsidRPr="00E452DB">
        <w:t>Alsulami</w:t>
      </w:r>
      <w:proofErr w:type="spellEnd"/>
      <w:r w:rsidRPr="00E452DB">
        <w:t xml:space="preserve">, G. S., </w:t>
      </w:r>
      <w:proofErr w:type="spellStart"/>
      <w:r w:rsidRPr="00E452DB">
        <w:t>Almagharbeh</w:t>
      </w:r>
      <w:proofErr w:type="spellEnd"/>
      <w:r w:rsidRPr="00E452DB">
        <w:t xml:space="preserve">, W. T., &amp; </w:t>
      </w:r>
      <w:proofErr w:type="spellStart"/>
      <w:r w:rsidRPr="00E452DB">
        <w:t>Elshatarat</w:t>
      </w:r>
      <w:proofErr w:type="spellEnd"/>
      <w:r w:rsidRPr="00E452DB">
        <w:t xml:space="preserve">, R. A. (2025). Factors influencing nurses’ knowledge and competence in warfarin-drug and nutrient interactions and patient counseling practices. </w:t>
      </w:r>
      <w:r w:rsidRPr="00E452DB">
        <w:rPr>
          <w:i/>
          <w:iCs/>
        </w:rPr>
        <w:t>BMC Medical Education</w:t>
      </w:r>
      <w:r w:rsidRPr="00E452DB">
        <w:t xml:space="preserve">, </w:t>
      </w:r>
      <w:r w:rsidRPr="00E452DB">
        <w:rPr>
          <w:i/>
          <w:iCs/>
        </w:rPr>
        <w:t>25</w:t>
      </w:r>
      <w:r w:rsidRPr="00E452DB">
        <w:t xml:space="preserve">(1). </w:t>
      </w:r>
      <w:hyperlink r:id="rId102" w:history="1">
        <w:r w:rsidRPr="00E452DB">
          <w:rPr>
            <w:rStyle w:val="Hyperlink"/>
            <w:rFonts w:eastAsiaTheme="majorEastAsia"/>
          </w:rPr>
          <w:t>https://doi.org/10.1186/s12909-025-07074-1</w:t>
        </w:r>
      </w:hyperlink>
    </w:p>
    <w:p w14:paraId="40387AD0" w14:textId="77777777" w:rsidR="0026328A" w:rsidRDefault="0026328A" w:rsidP="0026328A">
      <w:pPr>
        <w:spacing w:line="360" w:lineRule="auto"/>
        <w:jc w:val="both"/>
      </w:pPr>
      <w:r w:rsidRPr="00E452DB">
        <w:br/>
        <w:t xml:space="preserve">Takemura, M., Inoue, K., Tamai, I., &amp; </w:t>
      </w:r>
      <w:proofErr w:type="spellStart"/>
      <w:r w:rsidRPr="00E452DB">
        <w:t>Shirasaka</w:t>
      </w:r>
      <w:proofErr w:type="spellEnd"/>
      <w:r w:rsidRPr="00E452DB">
        <w:t xml:space="preserve">, Y. (2024). Magnitude of Fruit Juice–Drug Interactions Due to Osmolality-Dependent Fluid Secretion: Differences among Apple, Orange, and Grapefruit Juices. </w:t>
      </w:r>
      <w:r w:rsidRPr="00E452DB">
        <w:rPr>
          <w:i/>
          <w:iCs/>
        </w:rPr>
        <w:t>Biological and Pharmaceutical Bulletin</w:t>
      </w:r>
      <w:r w:rsidRPr="00E452DB">
        <w:t xml:space="preserve">, </w:t>
      </w:r>
      <w:r w:rsidRPr="00E452DB">
        <w:rPr>
          <w:i/>
          <w:iCs/>
        </w:rPr>
        <w:t>47</w:t>
      </w:r>
      <w:r w:rsidRPr="00E452DB">
        <w:t xml:space="preserve">(1), 72–78. </w:t>
      </w:r>
      <w:hyperlink r:id="rId103" w:history="1">
        <w:r w:rsidRPr="00E452DB">
          <w:rPr>
            <w:rStyle w:val="Hyperlink"/>
            <w:rFonts w:eastAsiaTheme="majorEastAsia"/>
          </w:rPr>
          <w:t>https://doi.org/10.1248/bpb.b23-00490</w:t>
        </w:r>
      </w:hyperlink>
    </w:p>
    <w:p w14:paraId="51CC53BB" w14:textId="77777777" w:rsidR="0026328A" w:rsidRDefault="0026328A" w:rsidP="0026328A">
      <w:pPr>
        <w:spacing w:line="360" w:lineRule="auto"/>
        <w:jc w:val="both"/>
      </w:pPr>
      <w:r w:rsidRPr="00E452DB">
        <w:br/>
      </w:r>
      <w:proofErr w:type="spellStart"/>
      <w:r w:rsidRPr="00E452DB">
        <w:t>Talasaz</w:t>
      </w:r>
      <w:proofErr w:type="spellEnd"/>
      <w:r w:rsidRPr="00E452DB">
        <w:t xml:space="preserve">, A. H., </w:t>
      </w:r>
      <w:proofErr w:type="spellStart"/>
      <w:r w:rsidRPr="00E452DB">
        <w:t>Mcgonagle</w:t>
      </w:r>
      <w:proofErr w:type="spellEnd"/>
      <w:r w:rsidRPr="00E452DB">
        <w:t xml:space="preserve">, B., </w:t>
      </w:r>
      <w:proofErr w:type="spellStart"/>
      <w:r w:rsidRPr="00E452DB">
        <w:t>Hajiqasemi</w:t>
      </w:r>
      <w:proofErr w:type="spellEnd"/>
      <w:r w:rsidRPr="00E452DB">
        <w:t xml:space="preserve">, M., </w:t>
      </w:r>
      <w:proofErr w:type="spellStart"/>
      <w:r w:rsidRPr="00E452DB">
        <w:t>Ghelichkhan</w:t>
      </w:r>
      <w:proofErr w:type="spellEnd"/>
      <w:r w:rsidRPr="00E452DB">
        <w:t xml:space="preserve">, Z. A., </w:t>
      </w:r>
      <w:proofErr w:type="spellStart"/>
      <w:r w:rsidRPr="00E452DB">
        <w:t>Sadeghipour</w:t>
      </w:r>
      <w:proofErr w:type="spellEnd"/>
      <w:r w:rsidRPr="00E452DB">
        <w:t xml:space="preserve">, P., Rashedi, S., </w:t>
      </w:r>
      <w:proofErr w:type="spellStart"/>
      <w:r w:rsidRPr="00E452DB">
        <w:t>Cuker</w:t>
      </w:r>
      <w:proofErr w:type="spellEnd"/>
      <w:r w:rsidRPr="00E452DB">
        <w:t xml:space="preserve">, A., Lech, T., Goldhaber, S. Z., Jennings, D. L., Piazza, G., &amp; </w:t>
      </w:r>
      <w:proofErr w:type="spellStart"/>
      <w:r w:rsidRPr="00E452DB">
        <w:t>Bikdeli</w:t>
      </w:r>
      <w:proofErr w:type="spellEnd"/>
      <w:r w:rsidRPr="00E452DB">
        <w:t xml:space="preserve">, B. (2024). Pharmacokinetic and Pharmacodynamic Interactions between Food or Herbal Products and Oral Anticoagulants: Evidence Review, Practical Recommendations, and Knowledge Gaps. </w:t>
      </w:r>
      <w:r w:rsidRPr="00E452DB">
        <w:rPr>
          <w:i/>
          <w:iCs/>
        </w:rPr>
        <w:t>Seminars in Thrombosis and Hemostasis</w:t>
      </w:r>
      <w:r w:rsidRPr="00E452DB">
        <w:t xml:space="preserve">, </w:t>
      </w:r>
      <w:r w:rsidRPr="00E452DB">
        <w:rPr>
          <w:i/>
          <w:iCs/>
        </w:rPr>
        <w:t>51</w:t>
      </w:r>
      <w:r w:rsidRPr="00E452DB">
        <w:t xml:space="preserve">(5), 560–571. </w:t>
      </w:r>
      <w:hyperlink r:id="rId104" w:history="1">
        <w:r w:rsidRPr="00E452DB">
          <w:rPr>
            <w:rStyle w:val="Hyperlink"/>
            <w:rFonts w:eastAsiaTheme="majorEastAsia"/>
          </w:rPr>
          <w:t>https://doi.org/10.1055/s-0044-1790258</w:t>
        </w:r>
      </w:hyperlink>
    </w:p>
    <w:p w14:paraId="26B5026E" w14:textId="77777777" w:rsidR="0026328A" w:rsidRDefault="0026328A" w:rsidP="0026328A">
      <w:pPr>
        <w:spacing w:line="360" w:lineRule="auto"/>
        <w:jc w:val="both"/>
      </w:pPr>
      <w:r w:rsidRPr="00E452DB">
        <w:br/>
        <w:t xml:space="preserve">Tang, H., Xu, M., Shi, F., Ye, G., </w:t>
      </w:r>
      <w:proofErr w:type="spellStart"/>
      <w:r w:rsidRPr="00E452DB">
        <w:t>Lv</w:t>
      </w:r>
      <w:proofErr w:type="spellEnd"/>
      <w:r w:rsidRPr="00E452DB">
        <w:t xml:space="preserve">, C., Luo, J., Zhao, L., &amp; Li, Y. (2018). Effects and Mechanism </w:t>
      </w:r>
      <w:r w:rsidRPr="00E452DB">
        <w:lastRenderedPageBreak/>
        <w:t xml:space="preserve">of Nano-Copper Exposure on Hepatic Cytochrome P450 Enzymes in Rats. </w:t>
      </w:r>
      <w:r w:rsidRPr="00E452DB">
        <w:rPr>
          <w:i/>
          <w:iCs/>
        </w:rPr>
        <w:t>International Journal of Molecular Sciences</w:t>
      </w:r>
      <w:r w:rsidRPr="00E452DB">
        <w:t xml:space="preserve">, </w:t>
      </w:r>
      <w:r w:rsidRPr="00E452DB">
        <w:rPr>
          <w:i/>
          <w:iCs/>
        </w:rPr>
        <w:t>19</w:t>
      </w:r>
      <w:r w:rsidRPr="00E452DB">
        <w:t xml:space="preserve">(7), 2140. </w:t>
      </w:r>
      <w:hyperlink r:id="rId105" w:history="1">
        <w:r w:rsidRPr="00E452DB">
          <w:rPr>
            <w:rStyle w:val="Hyperlink"/>
            <w:rFonts w:eastAsiaTheme="majorEastAsia"/>
          </w:rPr>
          <w:t>https://doi.org/10.3390/ijms19072140</w:t>
        </w:r>
      </w:hyperlink>
    </w:p>
    <w:p w14:paraId="092AF31B" w14:textId="77777777" w:rsidR="0026328A" w:rsidRDefault="0026328A" w:rsidP="0026328A">
      <w:pPr>
        <w:spacing w:line="360" w:lineRule="auto"/>
        <w:jc w:val="both"/>
      </w:pPr>
      <w:r w:rsidRPr="0072494F">
        <w:t xml:space="preserve">Teschke, R., Sarris, J., &amp; </w:t>
      </w:r>
      <w:proofErr w:type="spellStart"/>
      <w:r w:rsidRPr="0072494F">
        <w:t>Lebot</w:t>
      </w:r>
      <w:proofErr w:type="spellEnd"/>
      <w:r w:rsidRPr="0072494F">
        <w:t xml:space="preserve">, V. (2011). Kava hepatotoxicity solution: A six-point plan for new kava standardization. </w:t>
      </w:r>
      <w:r w:rsidRPr="0072494F">
        <w:rPr>
          <w:rFonts w:eastAsiaTheme="majorEastAsia"/>
          <w:i/>
          <w:iCs/>
        </w:rPr>
        <w:t>Phytomedicine, 18</w:t>
      </w:r>
      <w:r w:rsidRPr="0072494F">
        <w:t xml:space="preserve">(2–3), 96–103. </w:t>
      </w:r>
      <w:hyperlink r:id="rId106" w:tgtFrame="_blank" w:history="1">
        <w:r w:rsidRPr="0072494F">
          <w:rPr>
            <w:rStyle w:val="Hyperlink"/>
            <w:rFonts w:eastAsiaTheme="majorEastAsia"/>
          </w:rPr>
          <w:t>https://doi.org/10.1016/j.phymed.2010.10.002</w:t>
        </w:r>
      </w:hyperlink>
    </w:p>
    <w:p w14:paraId="4FBD0EAD" w14:textId="77777777" w:rsidR="0026328A" w:rsidRDefault="0026328A" w:rsidP="0026328A">
      <w:pPr>
        <w:spacing w:line="360" w:lineRule="auto"/>
        <w:jc w:val="both"/>
      </w:pPr>
      <w:r w:rsidRPr="00E452DB">
        <w:br/>
        <w:t xml:space="preserve">Thu, O. K., Nilsen, O. G., </w:t>
      </w:r>
      <w:proofErr w:type="spellStart"/>
      <w:r w:rsidRPr="00E452DB">
        <w:t>Spigset</w:t>
      </w:r>
      <w:proofErr w:type="spellEnd"/>
      <w:r w:rsidRPr="00E452DB">
        <w:t xml:space="preserve">, O., &amp; Hellum, B. (2015). Effect of commercial Rhodiola rosea on CYP enzyme activity in humans. </w:t>
      </w:r>
      <w:r w:rsidRPr="00E452DB">
        <w:rPr>
          <w:i/>
          <w:iCs/>
        </w:rPr>
        <w:t>European Journal of Clinical Pharmacology</w:t>
      </w:r>
      <w:r w:rsidRPr="00E452DB">
        <w:t xml:space="preserve">, </w:t>
      </w:r>
      <w:r w:rsidRPr="00E452DB">
        <w:rPr>
          <w:i/>
          <w:iCs/>
        </w:rPr>
        <w:t>72</w:t>
      </w:r>
      <w:r w:rsidRPr="00E452DB">
        <w:t xml:space="preserve">(3), 295–300. </w:t>
      </w:r>
      <w:hyperlink r:id="rId107" w:history="1">
        <w:r w:rsidRPr="00E452DB">
          <w:rPr>
            <w:rStyle w:val="Hyperlink"/>
            <w:rFonts w:eastAsiaTheme="majorEastAsia"/>
          </w:rPr>
          <w:t>https://doi.org/10.1007/s00228-015-1988-7</w:t>
        </w:r>
      </w:hyperlink>
    </w:p>
    <w:p w14:paraId="22E8E1B5" w14:textId="77777777" w:rsidR="0026328A" w:rsidRDefault="0026328A" w:rsidP="0026328A">
      <w:pPr>
        <w:spacing w:line="360" w:lineRule="auto"/>
        <w:jc w:val="both"/>
      </w:pPr>
      <w:r w:rsidRPr="00E452DB">
        <w:br/>
        <w:t xml:space="preserve">Ung, Y. T., Ong, C. E., &amp; Pan, Y. (2018). Current High-Throughput Approaches of Screening Modulatory Effects of Xenobiotics on Cytochrome P450 (CYP) Enzymes. </w:t>
      </w:r>
      <w:r w:rsidRPr="00E452DB">
        <w:rPr>
          <w:i/>
          <w:iCs/>
        </w:rPr>
        <w:t>High-Throughput</w:t>
      </w:r>
      <w:r w:rsidRPr="00E452DB">
        <w:t xml:space="preserve">, </w:t>
      </w:r>
      <w:r w:rsidRPr="00E452DB">
        <w:rPr>
          <w:i/>
          <w:iCs/>
        </w:rPr>
        <w:t>7</w:t>
      </w:r>
      <w:r w:rsidRPr="00E452DB">
        <w:t xml:space="preserve">(4), 29. </w:t>
      </w:r>
      <w:hyperlink r:id="rId108" w:history="1">
        <w:r w:rsidRPr="00E452DB">
          <w:rPr>
            <w:rStyle w:val="Hyperlink"/>
            <w:rFonts w:eastAsiaTheme="majorEastAsia"/>
          </w:rPr>
          <w:t>https://doi.org/10.3390/ht7040029</w:t>
        </w:r>
      </w:hyperlink>
    </w:p>
    <w:p w14:paraId="5B27B4F1" w14:textId="77777777" w:rsidR="0026328A" w:rsidRDefault="0026328A" w:rsidP="0026328A">
      <w:pPr>
        <w:spacing w:line="360" w:lineRule="auto"/>
        <w:jc w:val="both"/>
      </w:pPr>
      <w:r w:rsidRPr="00E452DB">
        <w:br/>
        <w:t xml:space="preserve">Uno, T., &amp; Yasui-Furukori, N. (2006). Effect of Grapefruit Juice in Relation to Human Pharmacokinetic Study. </w:t>
      </w:r>
      <w:r w:rsidRPr="00E452DB">
        <w:rPr>
          <w:i/>
          <w:iCs/>
        </w:rPr>
        <w:t>Current Clinical Pharmacology</w:t>
      </w:r>
      <w:r w:rsidRPr="00E452DB">
        <w:t xml:space="preserve">, </w:t>
      </w:r>
      <w:r w:rsidRPr="00E452DB">
        <w:rPr>
          <w:i/>
          <w:iCs/>
        </w:rPr>
        <w:t>1</w:t>
      </w:r>
      <w:r w:rsidRPr="00E452DB">
        <w:t xml:space="preserve">(2), 157–161. </w:t>
      </w:r>
      <w:hyperlink r:id="rId109" w:history="1">
        <w:r w:rsidRPr="00E452DB">
          <w:rPr>
            <w:rStyle w:val="Hyperlink"/>
            <w:rFonts w:eastAsiaTheme="majorEastAsia"/>
          </w:rPr>
          <w:t>https://doi.org/10.2174/157488406776872550</w:t>
        </w:r>
      </w:hyperlink>
    </w:p>
    <w:p w14:paraId="1D5579BD" w14:textId="77777777" w:rsidR="0026328A" w:rsidRDefault="0026328A" w:rsidP="0026328A">
      <w:pPr>
        <w:spacing w:line="360" w:lineRule="auto"/>
        <w:jc w:val="both"/>
      </w:pPr>
      <w:r w:rsidRPr="00E452DB">
        <w:br/>
        <w:t xml:space="preserve">Vassiliou, D., Robbie, G. J., </w:t>
      </w:r>
      <w:proofErr w:type="spellStart"/>
      <w:r w:rsidRPr="00E452DB">
        <w:t>Najafian</w:t>
      </w:r>
      <w:proofErr w:type="spellEnd"/>
      <w:r w:rsidRPr="00E452DB">
        <w:t xml:space="preserve">, N., Clausen, V. A., </w:t>
      </w:r>
      <w:proofErr w:type="spellStart"/>
      <w:r w:rsidRPr="00E452DB">
        <w:t>Sardh</w:t>
      </w:r>
      <w:proofErr w:type="spellEnd"/>
      <w:r w:rsidRPr="00E452DB">
        <w:t xml:space="preserve">, E., Harper, P., Agarwal, S., &amp; Simon, A. R. (2021). A Drug-Drug Interaction Study Evaluating the Effect of </w:t>
      </w:r>
      <w:proofErr w:type="spellStart"/>
      <w:r w:rsidRPr="00E452DB">
        <w:t>Givosiran</w:t>
      </w:r>
      <w:proofErr w:type="spellEnd"/>
      <w:r w:rsidRPr="00E452DB">
        <w:t xml:space="preserve">, a Small Interfering Ribonucleic Acid, on Cytochrome P450 Activity in the Liver. </w:t>
      </w:r>
      <w:r w:rsidRPr="00E452DB">
        <w:rPr>
          <w:i/>
          <w:iCs/>
        </w:rPr>
        <w:t>Clinical Pharmacology &amp; Therapeutics</w:t>
      </w:r>
      <w:r w:rsidRPr="00E452DB">
        <w:t xml:space="preserve">, </w:t>
      </w:r>
      <w:r w:rsidRPr="00E452DB">
        <w:rPr>
          <w:i/>
          <w:iCs/>
        </w:rPr>
        <w:t>110</w:t>
      </w:r>
      <w:r w:rsidRPr="00E452DB">
        <w:t xml:space="preserve">(5), 1250–1260. </w:t>
      </w:r>
      <w:hyperlink r:id="rId110" w:history="1">
        <w:r w:rsidRPr="00E452DB">
          <w:rPr>
            <w:rStyle w:val="Hyperlink"/>
            <w:rFonts w:eastAsiaTheme="majorEastAsia"/>
          </w:rPr>
          <w:t>https://doi.org/10.1002/cpt.2419</w:t>
        </w:r>
      </w:hyperlink>
    </w:p>
    <w:p w14:paraId="732C089F" w14:textId="77777777" w:rsidR="0026328A" w:rsidRDefault="0026328A" w:rsidP="0026328A">
      <w:pPr>
        <w:spacing w:line="360" w:lineRule="auto"/>
        <w:jc w:val="both"/>
      </w:pPr>
      <w:r w:rsidRPr="00E452DB">
        <w:br/>
        <w:t xml:space="preserve">Wang, K., Gao, Q., Zhang, T., Rao, J., Ding, L., &amp; Qiu, F. (2020). Inhibition of CYP2C9 by natural products: insight into the potential risk of herb-drug interactions. </w:t>
      </w:r>
      <w:r w:rsidRPr="00E452DB">
        <w:rPr>
          <w:i/>
          <w:iCs/>
        </w:rPr>
        <w:t>Drug Metabolism Reviews</w:t>
      </w:r>
      <w:r w:rsidRPr="00E452DB">
        <w:t xml:space="preserve">, </w:t>
      </w:r>
      <w:r w:rsidRPr="00E452DB">
        <w:rPr>
          <w:i/>
          <w:iCs/>
        </w:rPr>
        <w:t>52</w:t>
      </w:r>
      <w:r w:rsidRPr="00E452DB">
        <w:t xml:space="preserve">(2), 235–257. </w:t>
      </w:r>
      <w:hyperlink r:id="rId111" w:history="1">
        <w:r w:rsidRPr="00E452DB">
          <w:rPr>
            <w:rStyle w:val="Hyperlink"/>
            <w:rFonts w:eastAsiaTheme="majorEastAsia"/>
          </w:rPr>
          <w:t>https://doi.org/10.1080/03602532.2020.1758714</w:t>
        </w:r>
      </w:hyperlink>
    </w:p>
    <w:p w14:paraId="7B53A81B" w14:textId="77777777" w:rsidR="0026328A" w:rsidRDefault="0026328A" w:rsidP="0026328A">
      <w:pPr>
        <w:spacing w:line="360" w:lineRule="auto"/>
        <w:jc w:val="both"/>
      </w:pPr>
      <w:r w:rsidRPr="00E452DB">
        <w:br/>
        <w:t xml:space="preserve">Wang, X., Zhao, J., Yang, X., Tan, Z., Rao, J., &amp; Xun, T. (2022). Inflammatory signaling on cytochrome P450-mediated drug metabolism in hepatocytes. </w:t>
      </w:r>
      <w:r w:rsidRPr="00E452DB">
        <w:rPr>
          <w:i/>
          <w:iCs/>
        </w:rPr>
        <w:t>Frontiers in Pharmacology</w:t>
      </w:r>
      <w:r w:rsidRPr="00E452DB">
        <w:t xml:space="preserve">, </w:t>
      </w:r>
      <w:r w:rsidRPr="00E452DB">
        <w:rPr>
          <w:i/>
          <w:iCs/>
        </w:rPr>
        <w:t>13</w:t>
      </w:r>
      <w:r w:rsidRPr="00E452DB">
        <w:t xml:space="preserve">. </w:t>
      </w:r>
      <w:hyperlink r:id="rId112" w:history="1">
        <w:r w:rsidRPr="00E452DB">
          <w:rPr>
            <w:rStyle w:val="Hyperlink"/>
            <w:rFonts w:eastAsiaTheme="majorEastAsia"/>
          </w:rPr>
          <w:t>https://doi.org/10.3389/fphar.2022.1043836</w:t>
        </w:r>
      </w:hyperlink>
    </w:p>
    <w:p w14:paraId="536506D3" w14:textId="77777777" w:rsidR="0026328A" w:rsidRDefault="0026328A" w:rsidP="0026328A">
      <w:pPr>
        <w:spacing w:line="360" w:lineRule="auto"/>
        <w:jc w:val="both"/>
      </w:pPr>
      <w:r w:rsidRPr="00E452DB">
        <w:lastRenderedPageBreak/>
        <w:br/>
        <w:t xml:space="preserve">Wang, Y.-X., Lin, B., Huang, X.-X., Xu, Z.-Y., Qin, S.-Y., Du, N.-N., Yao, G.-D., &amp; Song, S.-J. (2022). Novel </w:t>
      </w:r>
      <w:proofErr w:type="spellStart"/>
      <w:r w:rsidRPr="00E452DB">
        <w:t>Bisamide</w:t>
      </w:r>
      <w:proofErr w:type="spellEnd"/>
      <w:r w:rsidRPr="00E452DB">
        <w:t xml:space="preserve"> Alkaloids Enantiomers from Pepper Roots (Piper nigrum L.) with Acetylcholinesterase Inhibitory and Anti-Neuroinflammatory Effects. </w:t>
      </w:r>
      <w:r w:rsidRPr="00E452DB">
        <w:rPr>
          <w:i/>
          <w:iCs/>
        </w:rPr>
        <w:t>Journal of Agricultural and Food Chemistry</w:t>
      </w:r>
      <w:r w:rsidRPr="00E452DB">
        <w:t xml:space="preserve">, </w:t>
      </w:r>
      <w:r w:rsidRPr="00E452DB">
        <w:rPr>
          <w:i/>
          <w:iCs/>
        </w:rPr>
        <w:t>70</w:t>
      </w:r>
      <w:r w:rsidRPr="00E452DB">
        <w:t xml:space="preserve">(49), 15487–15498. </w:t>
      </w:r>
      <w:hyperlink r:id="rId113" w:history="1">
        <w:r w:rsidRPr="00E452DB">
          <w:rPr>
            <w:rStyle w:val="Hyperlink"/>
            <w:rFonts w:eastAsiaTheme="majorEastAsia"/>
          </w:rPr>
          <w:t>https://doi.org/10.1021/acs.jafc.2c06733</w:t>
        </w:r>
      </w:hyperlink>
    </w:p>
    <w:p w14:paraId="65C39F99" w14:textId="77777777" w:rsidR="0026328A" w:rsidRDefault="0026328A" w:rsidP="0026328A">
      <w:pPr>
        <w:spacing w:line="360" w:lineRule="auto"/>
        <w:jc w:val="both"/>
      </w:pPr>
      <w:r w:rsidRPr="00E452DB">
        <w:br/>
      </w:r>
      <w:proofErr w:type="spellStart"/>
      <w:r w:rsidRPr="00E452DB">
        <w:t>Wanwimolruk</w:t>
      </w:r>
      <w:proofErr w:type="spellEnd"/>
      <w:r w:rsidRPr="00E452DB">
        <w:t xml:space="preserve">, S., &amp; </w:t>
      </w:r>
      <w:proofErr w:type="spellStart"/>
      <w:r w:rsidRPr="00E452DB">
        <w:t>Prachayasittikul</w:t>
      </w:r>
      <w:proofErr w:type="spellEnd"/>
      <w:r w:rsidRPr="00E452DB">
        <w:t xml:space="preserve">, V. (2014). Cytochrome P450 enzyme mediated herbal drug interactions (Part 1). </w:t>
      </w:r>
      <w:proofErr w:type="spellStart"/>
      <w:r w:rsidRPr="00E452DB">
        <w:rPr>
          <w:i/>
          <w:iCs/>
        </w:rPr>
        <w:t>Excli</w:t>
      </w:r>
      <w:proofErr w:type="spellEnd"/>
      <w:r w:rsidRPr="00E452DB">
        <w:rPr>
          <w:i/>
          <w:iCs/>
        </w:rPr>
        <w:t xml:space="preserve"> Journal</w:t>
      </w:r>
      <w:r w:rsidRPr="00E452DB">
        <w:t xml:space="preserve">, </w:t>
      </w:r>
      <w:r w:rsidRPr="00E452DB">
        <w:rPr>
          <w:i/>
          <w:iCs/>
        </w:rPr>
        <w:t>13</w:t>
      </w:r>
      <w:r w:rsidRPr="00E452DB">
        <w:t xml:space="preserve">. </w:t>
      </w:r>
      <w:hyperlink r:id="rId114" w:history="1">
        <w:r w:rsidRPr="00E452DB">
          <w:rPr>
            <w:rStyle w:val="Hyperlink"/>
            <w:rFonts w:eastAsiaTheme="majorEastAsia"/>
          </w:rPr>
          <w:t>https://doi.org/10.17877/de290r-15628</w:t>
        </w:r>
      </w:hyperlink>
    </w:p>
    <w:p w14:paraId="1CCE8D59" w14:textId="77777777" w:rsidR="0026328A" w:rsidRDefault="0026328A" w:rsidP="0026328A">
      <w:pPr>
        <w:spacing w:line="360" w:lineRule="auto"/>
        <w:jc w:val="both"/>
      </w:pPr>
      <w:r w:rsidRPr="00E452DB">
        <w:br/>
        <w:t xml:space="preserve">Wei, W., Tang, L. W. T., Verma, R. K., Fan, H., &amp; Chan, E. C. Y. (2024). Probe Substrate Dependencies in CYP3A4 Allosteric Inhibition: A Novel Molecular Mechanism Involving F-F’ Loop Perturbations. </w:t>
      </w:r>
      <w:r w:rsidRPr="00E452DB">
        <w:rPr>
          <w:i/>
          <w:iCs/>
        </w:rPr>
        <w:t>Journal of Chemical Information and Modeling</w:t>
      </w:r>
      <w:r w:rsidRPr="00E452DB">
        <w:t xml:space="preserve">, </w:t>
      </w:r>
      <w:r w:rsidRPr="00E452DB">
        <w:rPr>
          <w:i/>
          <w:iCs/>
        </w:rPr>
        <w:t>64</w:t>
      </w:r>
      <w:r w:rsidRPr="00E452DB">
        <w:t xml:space="preserve">(6), 2058–2067. </w:t>
      </w:r>
      <w:hyperlink r:id="rId115" w:history="1">
        <w:r w:rsidRPr="00E452DB">
          <w:rPr>
            <w:rStyle w:val="Hyperlink"/>
            <w:rFonts w:eastAsiaTheme="majorEastAsia"/>
          </w:rPr>
          <w:t>https://doi.org/10.1021/acs.jcim.3c01837</w:t>
        </w:r>
      </w:hyperlink>
    </w:p>
    <w:p w14:paraId="3B113DDD" w14:textId="77777777" w:rsidR="0026328A" w:rsidRDefault="0026328A" w:rsidP="0026328A">
      <w:pPr>
        <w:spacing w:line="360" w:lineRule="auto"/>
        <w:jc w:val="both"/>
      </w:pPr>
      <w:r w:rsidRPr="00E452DB">
        <w:br/>
        <w:t xml:space="preserve">Ye, W., Lin, R., Xie, X., Wen, J., Jiang, J., Deng, Y., Chen, X., Chen, J., Huang, B., &amp; Chen, R. (2019). </w:t>
      </w:r>
      <w:proofErr w:type="spellStart"/>
      <w:r w:rsidRPr="00E452DB">
        <w:t>AhR</w:t>
      </w:r>
      <w:proofErr w:type="spellEnd"/>
      <w:r w:rsidRPr="00E452DB">
        <w:t xml:space="preserve"> regulates the expression of human cytochrome P450 1A1 (CYP1A1) by recruiting Sp1. </w:t>
      </w:r>
      <w:r w:rsidRPr="00E452DB">
        <w:rPr>
          <w:i/>
          <w:iCs/>
        </w:rPr>
        <w:t>The FEBS Journal</w:t>
      </w:r>
      <w:r w:rsidRPr="00E452DB">
        <w:t xml:space="preserve">, </w:t>
      </w:r>
      <w:r w:rsidRPr="00E452DB">
        <w:rPr>
          <w:i/>
          <w:iCs/>
        </w:rPr>
        <w:t>286</w:t>
      </w:r>
      <w:r w:rsidRPr="00E452DB">
        <w:t xml:space="preserve">(21), 4215–4231. </w:t>
      </w:r>
      <w:hyperlink r:id="rId116" w:history="1">
        <w:r w:rsidRPr="00E452DB">
          <w:rPr>
            <w:rStyle w:val="Hyperlink"/>
            <w:rFonts w:eastAsiaTheme="majorEastAsia"/>
          </w:rPr>
          <w:t>https://doi.org/10.1111/febs.14956</w:t>
        </w:r>
      </w:hyperlink>
    </w:p>
    <w:p w14:paraId="1F7F1969" w14:textId="77777777" w:rsidR="0026328A" w:rsidRDefault="0026328A" w:rsidP="0026328A">
      <w:pPr>
        <w:spacing w:line="360" w:lineRule="auto"/>
        <w:jc w:val="both"/>
      </w:pPr>
      <w:r w:rsidRPr="00E452DB">
        <w:br/>
        <w:t xml:space="preserve">Yeom, J. W., &amp; Cho, C.-H. (2024). Herbal and Natural Supplements for Improving Sleep: A Literature Review. </w:t>
      </w:r>
      <w:r w:rsidRPr="00E452DB">
        <w:rPr>
          <w:i/>
          <w:iCs/>
        </w:rPr>
        <w:t>Psychiatry Investigation</w:t>
      </w:r>
      <w:r w:rsidRPr="00E452DB">
        <w:t xml:space="preserve">, </w:t>
      </w:r>
      <w:r w:rsidRPr="00E452DB">
        <w:rPr>
          <w:i/>
          <w:iCs/>
        </w:rPr>
        <w:t>21</w:t>
      </w:r>
      <w:r w:rsidRPr="00E452DB">
        <w:t xml:space="preserve">(8), 810–821. </w:t>
      </w:r>
      <w:hyperlink r:id="rId117" w:history="1">
        <w:r w:rsidRPr="00E452DB">
          <w:rPr>
            <w:rStyle w:val="Hyperlink"/>
            <w:rFonts w:eastAsiaTheme="majorEastAsia"/>
          </w:rPr>
          <w:t>https://doi.org/10.30773/pi.2024.0121</w:t>
        </w:r>
      </w:hyperlink>
    </w:p>
    <w:p w14:paraId="69FE879D" w14:textId="77777777" w:rsidR="0026328A" w:rsidRDefault="0026328A" w:rsidP="0026328A">
      <w:pPr>
        <w:spacing w:line="360" w:lineRule="auto"/>
        <w:jc w:val="both"/>
      </w:pPr>
      <w:r w:rsidRPr="00E452DB">
        <w:br/>
        <w:t xml:space="preserve">Yu, H., Song, M., Wang, Y., </w:t>
      </w:r>
      <w:proofErr w:type="spellStart"/>
      <w:r w:rsidRPr="00E452DB">
        <w:t>Braeuning</w:t>
      </w:r>
      <w:proofErr w:type="spellEnd"/>
      <w:r w:rsidRPr="00E452DB">
        <w:t xml:space="preserve">, A., Glatt, H., Fan, R., Hu, K., Liu, Y., &amp; Yang, Z. (2021). Influence of Bisphenol Compounds at Nanomolar Concentrations on Chromosome Damage Induced by Metabolically Activated Carcinogens in HepG2 Cells. </w:t>
      </w:r>
      <w:r w:rsidRPr="00E452DB">
        <w:rPr>
          <w:i/>
          <w:iCs/>
        </w:rPr>
        <w:t>Environmental Science &amp; Technology</w:t>
      </w:r>
      <w:r w:rsidRPr="00E452DB">
        <w:t xml:space="preserve">, </w:t>
      </w:r>
      <w:r w:rsidRPr="00E452DB">
        <w:rPr>
          <w:i/>
          <w:iCs/>
        </w:rPr>
        <w:t>55</w:t>
      </w:r>
      <w:r w:rsidRPr="00E452DB">
        <w:t xml:space="preserve">(14), 10001–10011. </w:t>
      </w:r>
      <w:hyperlink r:id="rId118" w:history="1">
        <w:r w:rsidRPr="00E452DB">
          <w:rPr>
            <w:rStyle w:val="Hyperlink"/>
            <w:rFonts w:eastAsiaTheme="majorEastAsia"/>
          </w:rPr>
          <w:t>https://doi.org/10.1021/acs.est.1c02189</w:t>
        </w:r>
      </w:hyperlink>
    </w:p>
    <w:p w14:paraId="64A59442" w14:textId="77777777" w:rsidR="0026328A" w:rsidRDefault="0026328A" w:rsidP="0026328A">
      <w:pPr>
        <w:spacing w:line="360" w:lineRule="auto"/>
        <w:jc w:val="both"/>
      </w:pPr>
    </w:p>
    <w:p w14:paraId="3F359C57" w14:textId="77777777" w:rsidR="0026328A" w:rsidRDefault="0026328A" w:rsidP="0026328A">
      <w:pPr>
        <w:spacing w:line="360" w:lineRule="auto"/>
        <w:jc w:val="both"/>
      </w:pPr>
      <w:r w:rsidRPr="0072494F">
        <w:t xml:space="preserve">Yuan, C. S., Wei, G., Dey, L., </w:t>
      </w:r>
      <w:proofErr w:type="spellStart"/>
      <w:r w:rsidRPr="0072494F">
        <w:t>Karrison</w:t>
      </w:r>
      <w:proofErr w:type="spellEnd"/>
      <w:r w:rsidRPr="0072494F">
        <w:t xml:space="preserve">, T., Nahlik, L., </w:t>
      </w:r>
      <w:proofErr w:type="spellStart"/>
      <w:r w:rsidRPr="0072494F">
        <w:t>Maleckar</w:t>
      </w:r>
      <w:proofErr w:type="spellEnd"/>
      <w:r w:rsidRPr="0072494F">
        <w:t xml:space="preserve">, S., ... &amp; Rosenthal, G. (2004). Brief communication: American ginseng reduces warfarin’s effect in healthy patients. </w:t>
      </w:r>
      <w:r w:rsidRPr="0072494F">
        <w:rPr>
          <w:rFonts w:eastAsiaTheme="majorEastAsia"/>
          <w:i/>
          <w:iCs/>
        </w:rPr>
        <w:t>Annals of Internal Medicine, 141</w:t>
      </w:r>
      <w:r w:rsidRPr="0072494F">
        <w:t xml:space="preserve">(1), 23–27. </w:t>
      </w:r>
      <w:hyperlink r:id="rId119" w:tgtFrame="_blank" w:history="1">
        <w:r w:rsidRPr="0072494F">
          <w:rPr>
            <w:rStyle w:val="Hyperlink"/>
            <w:rFonts w:eastAsiaTheme="majorEastAsia"/>
          </w:rPr>
          <w:t>https://doi.org/10.7326/0003-4819-141-1-200407060-00011</w:t>
        </w:r>
      </w:hyperlink>
    </w:p>
    <w:p w14:paraId="06BB92D2" w14:textId="77777777" w:rsidR="0026328A" w:rsidRDefault="0026328A" w:rsidP="0026328A">
      <w:pPr>
        <w:spacing w:line="360" w:lineRule="auto"/>
        <w:jc w:val="both"/>
      </w:pPr>
      <w:r w:rsidRPr="00E452DB">
        <w:lastRenderedPageBreak/>
        <w:br/>
        <w:t xml:space="preserve">Zahid, H., </w:t>
      </w:r>
      <w:proofErr w:type="spellStart"/>
      <w:r w:rsidRPr="00E452DB">
        <w:t>Tayara</w:t>
      </w:r>
      <w:proofErr w:type="spellEnd"/>
      <w:r w:rsidRPr="00E452DB">
        <w:t xml:space="preserve">, H., &amp; Chong, K. T. (2024). Harnessing machine learning to predict cytochrome P450 inhibition through molecular properties. </w:t>
      </w:r>
      <w:r w:rsidRPr="00E452DB">
        <w:rPr>
          <w:i/>
          <w:iCs/>
        </w:rPr>
        <w:t>Archives of Toxicology</w:t>
      </w:r>
      <w:r w:rsidRPr="00E452DB">
        <w:t xml:space="preserve">, </w:t>
      </w:r>
      <w:r w:rsidRPr="00E452DB">
        <w:rPr>
          <w:i/>
          <w:iCs/>
        </w:rPr>
        <w:t>98</w:t>
      </w:r>
      <w:r w:rsidRPr="00E452DB">
        <w:t xml:space="preserve">(8), 2647–2658. </w:t>
      </w:r>
      <w:hyperlink r:id="rId120" w:history="1">
        <w:r w:rsidRPr="00E452DB">
          <w:rPr>
            <w:rStyle w:val="Hyperlink"/>
            <w:rFonts w:eastAsiaTheme="majorEastAsia"/>
          </w:rPr>
          <w:t>https://doi.org/10.1007/s00204-024-03756-9</w:t>
        </w:r>
      </w:hyperlink>
    </w:p>
    <w:p w14:paraId="64FC3444" w14:textId="77777777" w:rsidR="0026328A" w:rsidRDefault="0026328A" w:rsidP="0026328A">
      <w:pPr>
        <w:spacing w:line="360" w:lineRule="auto"/>
        <w:jc w:val="both"/>
      </w:pPr>
      <w:r w:rsidRPr="00E452DB">
        <w:br/>
        <w:t xml:space="preserve">Zahner, C., </w:t>
      </w:r>
      <w:proofErr w:type="spellStart"/>
      <w:r w:rsidRPr="00E452DB">
        <w:t>Uricher</w:t>
      </w:r>
      <w:proofErr w:type="spellEnd"/>
      <w:r w:rsidRPr="00E452DB">
        <w:t xml:space="preserve">, J., Lissy, M., Hirsch, M., Drewe, J., </w:t>
      </w:r>
      <w:proofErr w:type="spellStart"/>
      <w:r w:rsidRPr="00E452DB">
        <w:t>Nicolussi</w:t>
      </w:r>
      <w:proofErr w:type="spellEnd"/>
      <w:r w:rsidRPr="00E452DB">
        <w:t xml:space="preserve">, S., </w:t>
      </w:r>
      <w:proofErr w:type="spellStart"/>
      <w:r w:rsidRPr="00E452DB">
        <w:t>Kruttschnitt</w:t>
      </w:r>
      <w:proofErr w:type="spellEnd"/>
      <w:r w:rsidRPr="00E452DB">
        <w:t xml:space="preserve">, E., &amp; </w:t>
      </w:r>
      <w:proofErr w:type="spellStart"/>
      <w:r w:rsidRPr="00E452DB">
        <w:t>Krähenbühl</w:t>
      </w:r>
      <w:proofErr w:type="spellEnd"/>
      <w:r w:rsidRPr="00E452DB">
        <w:t xml:space="preserve">, S. (2019). No Clinically Relevant Interactions of St. John’s Wort Extract Ze 117 Low in Hyperforin With Cytochrome P450 Enzymes and P-glycoprotein. </w:t>
      </w:r>
      <w:r w:rsidRPr="00E452DB">
        <w:rPr>
          <w:i/>
          <w:iCs/>
        </w:rPr>
        <w:t>Clinical Pharmacology &amp; Therapeutics</w:t>
      </w:r>
      <w:r w:rsidRPr="00E452DB">
        <w:t xml:space="preserve">, </w:t>
      </w:r>
      <w:r w:rsidRPr="00E452DB">
        <w:rPr>
          <w:i/>
          <w:iCs/>
        </w:rPr>
        <w:t>106</w:t>
      </w:r>
      <w:r w:rsidRPr="00E452DB">
        <w:t xml:space="preserve">(2), 432–440. </w:t>
      </w:r>
      <w:hyperlink r:id="rId121" w:history="1">
        <w:r w:rsidRPr="00E452DB">
          <w:rPr>
            <w:rStyle w:val="Hyperlink"/>
            <w:rFonts w:eastAsiaTheme="majorEastAsia"/>
          </w:rPr>
          <w:t>https://doi.org/10.1002/cpt.1392</w:t>
        </w:r>
      </w:hyperlink>
    </w:p>
    <w:p w14:paraId="3A6DF476" w14:textId="77777777" w:rsidR="0026328A" w:rsidRDefault="0026328A" w:rsidP="0026328A">
      <w:pPr>
        <w:spacing w:line="360" w:lineRule="auto"/>
        <w:jc w:val="both"/>
      </w:pPr>
      <w:r w:rsidRPr="00E452DB">
        <w:br/>
      </w:r>
      <w:proofErr w:type="spellStart"/>
      <w:r w:rsidRPr="00E452DB">
        <w:t>Zakaraya</w:t>
      </w:r>
      <w:proofErr w:type="spellEnd"/>
      <w:r w:rsidRPr="00E452DB">
        <w:t xml:space="preserve">, Z., Al-Omari, L., </w:t>
      </w:r>
      <w:proofErr w:type="spellStart"/>
      <w:r w:rsidRPr="00E452DB">
        <w:t>Hailat</w:t>
      </w:r>
      <w:proofErr w:type="spellEnd"/>
      <w:r w:rsidRPr="00E452DB">
        <w:t xml:space="preserve">, M., Tamimi, L. N., Awad, R., Karameh, N., </w:t>
      </w:r>
      <w:proofErr w:type="spellStart"/>
      <w:r w:rsidRPr="00E452DB">
        <w:t>Alasasfeh</w:t>
      </w:r>
      <w:proofErr w:type="spellEnd"/>
      <w:r w:rsidRPr="00E452DB">
        <w:t xml:space="preserve">, O., Abu </w:t>
      </w:r>
      <w:proofErr w:type="spellStart"/>
      <w:r w:rsidRPr="00E452DB">
        <w:t>Dayyih</w:t>
      </w:r>
      <w:proofErr w:type="spellEnd"/>
      <w:r w:rsidRPr="00E452DB">
        <w:t xml:space="preserve">, W., Awad, M., &amp; Abu Assab, M. (2024). Pharmacokinetics and Pharmacodynamics: A Comprehensive Analysis of the Absorption, Distribution, Metabolism, and Excretion of Psychiatric Drugs. </w:t>
      </w:r>
      <w:r w:rsidRPr="00E452DB">
        <w:rPr>
          <w:i/>
          <w:iCs/>
        </w:rPr>
        <w:t>Pharmaceuticals</w:t>
      </w:r>
      <w:r w:rsidRPr="00E452DB">
        <w:t xml:space="preserve">, </w:t>
      </w:r>
      <w:r w:rsidRPr="00E452DB">
        <w:rPr>
          <w:i/>
          <w:iCs/>
        </w:rPr>
        <w:t>17</w:t>
      </w:r>
      <w:r w:rsidRPr="00E452DB">
        <w:t xml:space="preserve">(3), 280. </w:t>
      </w:r>
      <w:hyperlink r:id="rId122" w:history="1">
        <w:r w:rsidRPr="00E452DB">
          <w:rPr>
            <w:rStyle w:val="Hyperlink"/>
            <w:rFonts w:eastAsiaTheme="majorEastAsia"/>
          </w:rPr>
          <w:t>https://doi.org/10.3390/ph17030280</w:t>
        </w:r>
      </w:hyperlink>
    </w:p>
    <w:p w14:paraId="274831F4" w14:textId="77777777" w:rsidR="0026328A" w:rsidRDefault="0026328A" w:rsidP="0026328A">
      <w:pPr>
        <w:spacing w:line="360" w:lineRule="auto"/>
        <w:jc w:val="both"/>
      </w:pPr>
      <w:r w:rsidRPr="00E452DB">
        <w:br/>
      </w:r>
      <w:proofErr w:type="spellStart"/>
      <w:r w:rsidRPr="00E452DB">
        <w:t>Zaroug</w:t>
      </w:r>
      <w:proofErr w:type="spellEnd"/>
      <w:r w:rsidRPr="00E452DB">
        <w:t xml:space="preserve">, E. E. H., </w:t>
      </w:r>
      <w:proofErr w:type="spellStart"/>
      <w:r w:rsidRPr="00E452DB">
        <w:t>Albashir</w:t>
      </w:r>
      <w:proofErr w:type="spellEnd"/>
      <w:r w:rsidRPr="00E452DB">
        <w:t xml:space="preserve">, T. O. A., </w:t>
      </w:r>
      <w:proofErr w:type="spellStart"/>
      <w:r w:rsidRPr="00E452DB">
        <w:t>Mudawi</w:t>
      </w:r>
      <w:proofErr w:type="spellEnd"/>
      <w:r w:rsidRPr="00E452DB">
        <w:t xml:space="preserve">, M. M. E., &amp; Arbab, A. H. (2023). Updates on the Interactions of Herbs Constituents with Cytochrome P450 Drug Metabolizing Enzymes. </w:t>
      </w:r>
      <w:r w:rsidRPr="00E452DB">
        <w:rPr>
          <w:i/>
          <w:iCs/>
        </w:rPr>
        <w:t>Current Enzyme Inhibition</w:t>
      </w:r>
      <w:r w:rsidRPr="00E452DB">
        <w:t xml:space="preserve">, </w:t>
      </w:r>
      <w:r w:rsidRPr="00E452DB">
        <w:rPr>
          <w:i/>
          <w:iCs/>
        </w:rPr>
        <w:t>19</w:t>
      </w:r>
      <w:r w:rsidRPr="00E452DB">
        <w:t xml:space="preserve">(3), 167–178. </w:t>
      </w:r>
      <w:hyperlink r:id="rId123" w:history="1">
        <w:r w:rsidRPr="00E452DB">
          <w:rPr>
            <w:rStyle w:val="Hyperlink"/>
            <w:rFonts w:eastAsiaTheme="majorEastAsia"/>
          </w:rPr>
          <w:t>https://doi.org/10.2174/1573408019666230601121657</w:t>
        </w:r>
      </w:hyperlink>
    </w:p>
    <w:p w14:paraId="17B12460" w14:textId="77777777" w:rsidR="0026328A" w:rsidRDefault="0026328A" w:rsidP="0026328A">
      <w:pPr>
        <w:spacing w:line="360" w:lineRule="auto"/>
        <w:jc w:val="both"/>
      </w:pPr>
      <w:r w:rsidRPr="00E452DB">
        <w:br/>
        <w:t xml:space="preserve">Zhang, R. X., Wang, Z., Wu, X. Y., Miao, R., Dong, K., &amp; Lu, W. (2021). Nanoparticulate Drug Delivery Strategies to Address Intestinal Cytochrome P450 CYP3A4 Metabolism towards Personalized Medicine. </w:t>
      </w:r>
      <w:r w:rsidRPr="00E452DB">
        <w:rPr>
          <w:i/>
          <w:iCs/>
        </w:rPr>
        <w:t>Pharmaceutics</w:t>
      </w:r>
      <w:r w:rsidRPr="00E452DB">
        <w:t xml:space="preserve">, </w:t>
      </w:r>
      <w:r w:rsidRPr="00E452DB">
        <w:rPr>
          <w:i/>
          <w:iCs/>
        </w:rPr>
        <w:t>13</w:t>
      </w:r>
      <w:r w:rsidRPr="00E452DB">
        <w:t xml:space="preserve">(8), 1261. </w:t>
      </w:r>
      <w:hyperlink r:id="rId124" w:history="1">
        <w:r w:rsidRPr="00E452DB">
          <w:rPr>
            <w:rStyle w:val="Hyperlink"/>
            <w:rFonts w:eastAsiaTheme="majorEastAsia"/>
          </w:rPr>
          <w:t>https://doi.org/10.3390/pharmaceutics13081261</w:t>
        </w:r>
      </w:hyperlink>
    </w:p>
    <w:p w14:paraId="01CD3C56" w14:textId="77777777" w:rsidR="0026328A" w:rsidRDefault="0026328A" w:rsidP="0026328A">
      <w:pPr>
        <w:spacing w:line="360" w:lineRule="auto"/>
        <w:jc w:val="both"/>
      </w:pPr>
      <w:r w:rsidRPr="00E452DB">
        <w:br/>
        <w:t xml:space="preserve">Zhang, Y., Wang, Z., Wang, Y., Jin, W., Zhang, Z., Jin, L., Qian, J., &amp; Zheng, L. (2024). CYP3A4 and CYP3A5: the crucial roles in clinical drug metabolism and the significant implications of genetic polymorphisms. </w:t>
      </w:r>
      <w:proofErr w:type="spellStart"/>
      <w:r w:rsidRPr="00E452DB">
        <w:rPr>
          <w:i/>
          <w:iCs/>
        </w:rPr>
        <w:t>PeerJ</w:t>
      </w:r>
      <w:proofErr w:type="spellEnd"/>
      <w:r w:rsidRPr="00E452DB">
        <w:t xml:space="preserve">, </w:t>
      </w:r>
      <w:r w:rsidRPr="00E452DB">
        <w:rPr>
          <w:i/>
          <w:iCs/>
        </w:rPr>
        <w:t>12</w:t>
      </w:r>
      <w:r w:rsidRPr="00E452DB">
        <w:t xml:space="preserve">, e18636. </w:t>
      </w:r>
      <w:hyperlink r:id="rId125" w:history="1">
        <w:r w:rsidRPr="00E452DB">
          <w:rPr>
            <w:rStyle w:val="Hyperlink"/>
            <w:rFonts w:eastAsiaTheme="majorEastAsia"/>
          </w:rPr>
          <w:t>https://doi.org/10.7717/peerj.18636</w:t>
        </w:r>
      </w:hyperlink>
    </w:p>
    <w:p w14:paraId="39907154" w14:textId="77777777" w:rsidR="0026328A" w:rsidRDefault="0026328A" w:rsidP="0026328A">
      <w:pPr>
        <w:spacing w:line="360" w:lineRule="auto"/>
        <w:jc w:val="both"/>
      </w:pPr>
      <w:r w:rsidRPr="00E452DB">
        <w:br/>
        <w:t xml:space="preserve">Zhang, Y., Zhang, G., Wang, T., Chen, Y., Wang, J., Li, P., Wang, R., &amp; Su, J. (2024). Understanding Cytochrome P450 Enzyme Substrate Inhibition and Prospects for Elimination </w:t>
      </w:r>
      <w:r w:rsidRPr="00E452DB">
        <w:lastRenderedPageBreak/>
        <w:t xml:space="preserve">Strategies. </w:t>
      </w:r>
      <w:proofErr w:type="spellStart"/>
      <w:proofErr w:type="gramStart"/>
      <w:r w:rsidRPr="00E452DB">
        <w:rPr>
          <w:i/>
          <w:iCs/>
        </w:rPr>
        <w:t>Chembiochem</w:t>
      </w:r>
      <w:proofErr w:type="spellEnd"/>
      <w:r w:rsidRPr="00E452DB">
        <w:rPr>
          <w:i/>
          <w:iCs/>
        </w:rPr>
        <w:t> :</w:t>
      </w:r>
      <w:proofErr w:type="gramEnd"/>
      <w:r w:rsidRPr="00E452DB">
        <w:rPr>
          <w:i/>
          <w:iCs/>
        </w:rPr>
        <w:t xml:space="preserve"> A European Journal of Chemical Biology</w:t>
      </w:r>
      <w:r w:rsidRPr="00E452DB">
        <w:t xml:space="preserve">, </w:t>
      </w:r>
      <w:r w:rsidRPr="00E452DB">
        <w:rPr>
          <w:i/>
          <w:iCs/>
        </w:rPr>
        <w:t>25</w:t>
      </w:r>
      <w:r w:rsidRPr="00E452DB">
        <w:t xml:space="preserve">(22). </w:t>
      </w:r>
      <w:hyperlink r:id="rId126" w:history="1">
        <w:r w:rsidRPr="00E452DB">
          <w:rPr>
            <w:rStyle w:val="Hyperlink"/>
            <w:rFonts w:eastAsiaTheme="majorEastAsia"/>
          </w:rPr>
          <w:t>https://doi.org/10.1002/cbic.202400297</w:t>
        </w:r>
      </w:hyperlink>
    </w:p>
    <w:p w14:paraId="7558854C" w14:textId="77777777" w:rsidR="0026328A" w:rsidRDefault="0026328A" w:rsidP="0026328A">
      <w:pPr>
        <w:spacing w:line="360" w:lineRule="auto"/>
        <w:jc w:val="both"/>
      </w:pPr>
      <w:r w:rsidRPr="00E452DB">
        <w:br/>
        <w:t xml:space="preserve">Zhao, M., Ma, J., Li, M., Zhang, Y., Jiang, B., Zhao, X., Huai, C., Shen, L., Zhang, N., He, L., &amp; Qin, S. (2021). Cytochrome P450 Enzymes and Drug Metabolism in Humans. </w:t>
      </w:r>
      <w:r w:rsidRPr="00E452DB">
        <w:rPr>
          <w:i/>
          <w:iCs/>
        </w:rPr>
        <w:t>International Journal of Molecular Sciences</w:t>
      </w:r>
      <w:r w:rsidRPr="00E452DB">
        <w:t xml:space="preserve">, </w:t>
      </w:r>
      <w:r w:rsidRPr="00E452DB">
        <w:rPr>
          <w:i/>
          <w:iCs/>
        </w:rPr>
        <w:t>22</w:t>
      </w:r>
      <w:r w:rsidRPr="00E452DB">
        <w:t xml:space="preserve">(23), 12808. </w:t>
      </w:r>
      <w:hyperlink r:id="rId127" w:history="1">
        <w:r w:rsidRPr="00E452DB">
          <w:rPr>
            <w:rStyle w:val="Hyperlink"/>
            <w:rFonts w:eastAsiaTheme="majorEastAsia"/>
          </w:rPr>
          <w:t>https://doi.org/10.3390/ijms222312808</w:t>
        </w:r>
      </w:hyperlink>
    </w:p>
    <w:p w14:paraId="5FFEA706" w14:textId="77777777" w:rsidR="0026328A" w:rsidRDefault="0026328A" w:rsidP="0026328A">
      <w:pPr>
        <w:spacing w:line="360" w:lineRule="auto"/>
        <w:jc w:val="both"/>
      </w:pPr>
      <w:r w:rsidRPr="00E452DB">
        <w:br/>
      </w:r>
      <w:proofErr w:type="spellStart"/>
      <w:r w:rsidRPr="00E452DB">
        <w:t>Zugaro</w:t>
      </w:r>
      <w:proofErr w:type="spellEnd"/>
      <w:r w:rsidRPr="00E452DB">
        <w:t xml:space="preserve">, S., </w:t>
      </w:r>
      <w:proofErr w:type="spellStart"/>
      <w:r w:rsidRPr="00E452DB">
        <w:t>Caioni</w:t>
      </w:r>
      <w:proofErr w:type="spellEnd"/>
      <w:r w:rsidRPr="00E452DB">
        <w:t xml:space="preserve">, G., &amp; Benedetti, E. (2023). Garlic (Allium sativum L.) as an Ally in the Treatment of Inflammatory Bowel Diseases. </w:t>
      </w:r>
      <w:r w:rsidRPr="00E452DB">
        <w:rPr>
          <w:i/>
          <w:iCs/>
        </w:rPr>
        <w:t>Current Issues in Molecular Biology</w:t>
      </w:r>
      <w:r w:rsidRPr="00E452DB">
        <w:t xml:space="preserve">, </w:t>
      </w:r>
      <w:r w:rsidRPr="00E452DB">
        <w:rPr>
          <w:i/>
          <w:iCs/>
        </w:rPr>
        <w:t>45</w:t>
      </w:r>
      <w:r w:rsidRPr="00E452DB">
        <w:t xml:space="preserve">(1), 685–698. </w:t>
      </w:r>
      <w:hyperlink r:id="rId128" w:history="1">
        <w:r w:rsidRPr="00E452DB">
          <w:rPr>
            <w:rStyle w:val="Hyperlink"/>
            <w:rFonts w:eastAsiaTheme="majorEastAsia"/>
          </w:rPr>
          <w:t>https://doi.org/10.3390/cimb45010046</w:t>
        </w:r>
      </w:hyperlink>
    </w:p>
    <w:p w14:paraId="475A791B" w14:textId="77777777" w:rsidR="0026328A" w:rsidRDefault="0026328A" w:rsidP="0026328A">
      <w:pPr>
        <w:spacing w:line="360" w:lineRule="auto"/>
        <w:jc w:val="both"/>
      </w:pPr>
      <w:r w:rsidRPr="00E452DB">
        <w:br/>
        <w:t xml:space="preserve">Zuo, H.L., Huang, H.Y., Lin, Y.C.D., Cai, X.X., Kong, X.J., Luo, D.L., Zhou, Y.H., &amp; Huang, H.D. (2022). Enzyme Activity of Natural Products on Cytochrome P450. </w:t>
      </w:r>
      <w:r w:rsidRPr="00E452DB">
        <w:rPr>
          <w:i/>
          <w:iCs/>
        </w:rPr>
        <w:t>Molecules</w:t>
      </w:r>
      <w:r w:rsidRPr="00E452DB">
        <w:t xml:space="preserve">, </w:t>
      </w:r>
      <w:r w:rsidRPr="00E452DB">
        <w:rPr>
          <w:i/>
          <w:iCs/>
        </w:rPr>
        <w:t>27</w:t>
      </w:r>
      <w:r w:rsidRPr="00E452DB">
        <w:t xml:space="preserve">(2), 515. </w:t>
      </w:r>
      <w:hyperlink r:id="rId129" w:history="1">
        <w:r w:rsidRPr="00E452DB">
          <w:rPr>
            <w:rStyle w:val="Hyperlink"/>
            <w:rFonts w:eastAsiaTheme="majorEastAsia"/>
          </w:rPr>
          <w:t>https://doi.org/10.3390/molecules27020515</w:t>
        </w:r>
      </w:hyperlink>
    </w:p>
    <w:p w14:paraId="74E4D82C" w14:textId="77777777" w:rsidR="0026328A" w:rsidRPr="00E452DB" w:rsidRDefault="0026328A" w:rsidP="0026328A">
      <w:pPr>
        <w:spacing w:line="360" w:lineRule="auto"/>
        <w:jc w:val="both"/>
      </w:pPr>
    </w:p>
    <w:p w14:paraId="0A46083F" w14:textId="77777777" w:rsidR="0026328A" w:rsidRPr="00802BD8" w:rsidRDefault="0026328A" w:rsidP="0026328A">
      <w:pPr>
        <w:spacing w:line="360" w:lineRule="auto"/>
        <w:jc w:val="both"/>
      </w:pPr>
    </w:p>
    <w:p w14:paraId="35CC4FBF" w14:textId="39690EB2" w:rsidR="00E33410" w:rsidRPr="00CD2A16" w:rsidRDefault="00E33410" w:rsidP="00CD2A16">
      <w:pPr>
        <w:spacing w:line="360" w:lineRule="auto"/>
        <w:jc w:val="both"/>
      </w:pPr>
    </w:p>
    <w:sectPr w:rsidR="00E33410" w:rsidRPr="00CD2A16">
      <w:headerReference w:type="even" r:id="rId130"/>
      <w:headerReference w:type="default" r:id="rId131"/>
      <w:footerReference w:type="even" r:id="rId132"/>
      <w:footerReference w:type="default" r:id="rId133"/>
      <w:headerReference w:type="first" r:id="rId134"/>
      <w:footerReference w:type="first" r:id="rId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D203" w14:textId="77777777" w:rsidR="00E72703" w:rsidRDefault="00E72703" w:rsidP="00382BF0">
      <w:r>
        <w:separator/>
      </w:r>
    </w:p>
  </w:endnote>
  <w:endnote w:type="continuationSeparator" w:id="0">
    <w:p w14:paraId="3A1664FB" w14:textId="77777777" w:rsidR="00E72703" w:rsidRDefault="00E72703" w:rsidP="0038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quot;Times New Roman&quot;, serif">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A0ED" w14:textId="77777777" w:rsidR="00382BF0" w:rsidRDefault="0038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563D" w14:textId="77777777" w:rsidR="00382BF0" w:rsidRDefault="00382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1BD8" w14:textId="77777777" w:rsidR="00382BF0" w:rsidRDefault="0038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4ED3" w14:textId="77777777" w:rsidR="00E72703" w:rsidRDefault="00E72703" w:rsidP="00382BF0">
      <w:r>
        <w:separator/>
      </w:r>
    </w:p>
  </w:footnote>
  <w:footnote w:type="continuationSeparator" w:id="0">
    <w:p w14:paraId="1D3EB4F5" w14:textId="77777777" w:rsidR="00E72703" w:rsidRDefault="00E72703" w:rsidP="0038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559B" w14:textId="08D7C6D8" w:rsidR="00382BF0" w:rsidRDefault="00382BF0">
    <w:pPr>
      <w:pStyle w:val="Header"/>
    </w:pPr>
    <w:r>
      <w:rPr>
        <w:noProof/>
      </w:rPr>
      <w:pict w14:anchorId="0EE52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DAA6" w14:textId="76F72B86" w:rsidR="00382BF0" w:rsidRDefault="00382BF0">
    <w:pPr>
      <w:pStyle w:val="Header"/>
    </w:pPr>
    <w:r>
      <w:rPr>
        <w:noProof/>
      </w:rPr>
      <w:pict w14:anchorId="44226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9EEB" w14:textId="16F01F19" w:rsidR="00382BF0" w:rsidRDefault="00382BF0">
    <w:pPr>
      <w:pStyle w:val="Header"/>
    </w:pPr>
    <w:r>
      <w:rPr>
        <w:noProof/>
      </w:rPr>
      <w:pict w14:anchorId="733D6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422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4E5656D"/>
    <w:multiLevelType w:val="hybridMultilevel"/>
    <w:tmpl w:val="C326271A"/>
    <w:lvl w:ilvl="0" w:tplc="A8E4A650">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11924BC6"/>
    <w:multiLevelType w:val="hybridMultilevel"/>
    <w:tmpl w:val="6D7826D4"/>
    <w:lvl w:ilvl="0" w:tplc="F6166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86510"/>
    <w:multiLevelType w:val="hybridMultilevel"/>
    <w:tmpl w:val="3C62CC28"/>
    <w:lvl w:ilvl="0" w:tplc="8BAA9DB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2A6A64C5"/>
    <w:multiLevelType w:val="hybridMultilevel"/>
    <w:tmpl w:val="FD30BD96"/>
    <w:lvl w:ilvl="0" w:tplc="FDD6BD76">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44D022B6"/>
    <w:multiLevelType w:val="hybridMultilevel"/>
    <w:tmpl w:val="C83C307E"/>
    <w:lvl w:ilvl="0" w:tplc="FB7ED95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07266DF"/>
    <w:multiLevelType w:val="hybridMultilevel"/>
    <w:tmpl w:val="9116614A"/>
    <w:lvl w:ilvl="0" w:tplc="E7AEB57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6B38202D"/>
    <w:multiLevelType w:val="hybridMultilevel"/>
    <w:tmpl w:val="E15C0F1E"/>
    <w:lvl w:ilvl="0" w:tplc="476A0E2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70995AE3"/>
    <w:multiLevelType w:val="hybridMultilevel"/>
    <w:tmpl w:val="71BEF6AE"/>
    <w:lvl w:ilvl="0" w:tplc="4ABED26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2"/>
  </w:num>
  <w:num w:numId="2">
    <w:abstractNumId w:val="25"/>
  </w:num>
  <w:num w:numId="3">
    <w:abstractNumId w:val="27"/>
  </w:num>
  <w:num w:numId="4">
    <w:abstractNumId w:val="28"/>
  </w:num>
  <w:num w:numId="5">
    <w:abstractNumId w:val="29"/>
  </w:num>
  <w:num w:numId="6">
    <w:abstractNumId w:val="26"/>
  </w:num>
  <w:num w:numId="7">
    <w:abstractNumId w:val="24"/>
  </w:num>
  <w:num w:numId="8">
    <w:abstractNumId w:val="2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73"/>
    <w:rsid w:val="000763F9"/>
    <w:rsid w:val="00085ED8"/>
    <w:rsid w:val="00112889"/>
    <w:rsid w:val="00224F73"/>
    <w:rsid w:val="00261687"/>
    <w:rsid w:val="00262125"/>
    <w:rsid w:val="0026328A"/>
    <w:rsid w:val="00283DC9"/>
    <w:rsid w:val="00314B53"/>
    <w:rsid w:val="003248DB"/>
    <w:rsid w:val="00352EC0"/>
    <w:rsid w:val="003809DE"/>
    <w:rsid w:val="00382BF0"/>
    <w:rsid w:val="00393094"/>
    <w:rsid w:val="004569C0"/>
    <w:rsid w:val="0047163A"/>
    <w:rsid w:val="00480F8F"/>
    <w:rsid w:val="004B1446"/>
    <w:rsid w:val="00534508"/>
    <w:rsid w:val="00573395"/>
    <w:rsid w:val="005D478F"/>
    <w:rsid w:val="005E6084"/>
    <w:rsid w:val="00691C88"/>
    <w:rsid w:val="00707870"/>
    <w:rsid w:val="00780546"/>
    <w:rsid w:val="00796B54"/>
    <w:rsid w:val="007F4C8D"/>
    <w:rsid w:val="007F670D"/>
    <w:rsid w:val="0081682E"/>
    <w:rsid w:val="00823DF1"/>
    <w:rsid w:val="008630E7"/>
    <w:rsid w:val="008E11B5"/>
    <w:rsid w:val="009173D9"/>
    <w:rsid w:val="009C4A11"/>
    <w:rsid w:val="00A20C7F"/>
    <w:rsid w:val="00A65EF0"/>
    <w:rsid w:val="00AA0FC9"/>
    <w:rsid w:val="00BD5874"/>
    <w:rsid w:val="00C449F3"/>
    <w:rsid w:val="00CD2A16"/>
    <w:rsid w:val="00CE50DC"/>
    <w:rsid w:val="00D0337E"/>
    <w:rsid w:val="00D16D70"/>
    <w:rsid w:val="00D4359E"/>
    <w:rsid w:val="00D54051"/>
    <w:rsid w:val="00D81625"/>
    <w:rsid w:val="00D977ED"/>
    <w:rsid w:val="00E148BB"/>
    <w:rsid w:val="00E33410"/>
    <w:rsid w:val="00E72703"/>
    <w:rsid w:val="00E749F4"/>
    <w:rsid w:val="00E905DF"/>
    <w:rsid w:val="00ED423E"/>
    <w:rsid w:val="00EE794C"/>
    <w:rsid w:val="00EF28F9"/>
    <w:rsid w:val="00F52700"/>
    <w:rsid w:val="00F8291D"/>
    <w:rsid w:val="00FA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7937B"/>
  <w15:chartTrackingRefBased/>
  <w15:docId w15:val="{6EAC6761-A6EB-4609-ACC1-E92E7809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2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2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F73"/>
    <w:rPr>
      <w:rFonts w:eastAsiaTheme="majorEastAsia" w:cstheme="majorBidi"/>
      <w:color w:val="272727" w:themeColor="text1" w:themeTint="D8"/>
    </w:rPr>
  </w:style>
  <w:style w:type="paragraph" w:styleId="Title">
    <w:name w:val="Title"/>
    <w:basedOn w:val="Normal"/>
    <w:next w:val="Normal"/>
    <w:link w:val="TitleChar"/>
    <w:uiPriority w:val="10"/>
    <w:qFormat/>
    <w:rsid w:val="00224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F73"/>
    <w:pPr>
      <w:spacing w:before="160"/>
      <w:jc w:val="center"/>
    </w:pPr>
    <w:rPr>
      <w:i/>
      <w:iCs/>
      <w:color w:val="404040" w:themeColor="text1" w:themeTint="BF"/>
    </w:rPr>
  </w:style>
  <w:style w:type="character" w:customStyle="1" w:styleId="QuoteChar">
    <w:name w:val="Quote Char"/>
    <w:basedOn w:val="DefaultParagraphFont"/>
    <w:link w:val="Quote"/>
    <w:uiPriority w:val="29"/>
    <w:rsid w:val="00224F73"/>
    <w:rPr>
      <w:i/>
      <w:iCs/>
      <w:color w:val="404040" w:themeColor="text1" w:themeTint="BF"/>
    </w:rPr>
  </w:style>
  <w:style w:type="paragraph" w:styleId="ListParagraph">
    <w:name w:val="List Paragraph"/>
    <w:basedOn w:val="Normal"/>
    <w:uiPriority w:val="34"/>
    <w:qFormat/>
    <w:rsid w:val="00224F73"/>
    <w:pPr>
      <w:ind w:left="720"/>
      <w:contextualSpacing/>
    </w:pPr>
  </w:style>
  <w:style w:type="character" w:styleId="IntenseEmphasis">
    <w:name w:val="Intense Emphasis"/>
    <w:basedOn w:val="DefaultParagraphFont"/>
    <w:uiPriority w:val="21"/>
    <w:qFormat/>
    <w:rsid w:val="00224F73"/>
    <w:rPr>
      <w:i/>
      <w:iCs/>
      <w:color w:val="0F4761" w:themeColor="accent1" w:themeShade="BF"/>
    </w:rPr>
  </w:style>
  <w:style w:type="paragraph" w:styleId="IntenseQuote">
    <w:name w:val="Intense Quote"/>
    <w:basedOn w:val="Normal"/>
    <w:next w:val="Normal"/>
    <w:link w:val="IntenseQuoteChar"/>
    <w:uiPriority w:val="30"/>
    <w:qFormat/>
    <w:rsid w:val="0022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F73"/>
    <w:rPr>
      <w:i/>
      <w:iCs/>
      <w:color w:val="0F4761" w:themeColor="accent1" w:themeShade="BF"/>
    </w:rPr>
  </w:style>
  <w:style w:type="character" w:styleId="IntenseReference">
    <w:name w:val="Intense Reference"/>
    <w:basedOn w:val="DefaultParagraphFont"/>
    <w:uiPriority w:val="32"/>
    <w:qFormat/>
    <w:rsid w:val="00224F73"/>
    <w:rPr>
      <w:b/>
      <w:bCs/>
      <w:smallCaps/>
      <w:color w:val="0F4761" w:themeColor="accent1" w:themeShade="BF"/>
      <w:spacing w:val="5"/>
    </w:rPr>
  </w:style>
  <w:style w:type="character" w:styleId="Hyperlink">
    <w:name w:val="Hyperlink"/>
    <w:basedOn w:val="DefaultParagraphFont"/>
    <w:rsid w:val="008630E7"/>
    <w:rPr>
      <w:color w:val="0000FF"/>
      <w:u w:val="single"/>
    </w:rPr>
  </w:style>
  <w:style w:type="paragraph" w:customStyle="1" w:styleId="E-mail">
    <w:name w:val="E-mail"/>
    <w:next w:val="Normal"/>
    <w:rsid w:val="008630E7"/>
    <w:pPr>
      <w:spacing w:after="240" w:line="240" w:lineRule="auto"/>
      <w:ind w:left="1418"/>
    </w:pPr>
    <w:rPr>
      <w:rFonts w:ascii="Times" w:eastAsia="Times New Roman" w:hAnsi="Times" w:cs="Times New Roman"/>
      <w:noProof/>
      <w:kern w:val="0"/>
      <w:sz w:val="22"/>
      <w:szCs w:val="22"/>
      <w:lang w:val="en-GB" w:eastAsia="en-GB"/>
      <w14:ligatures w14:val="none"/>
    </w:rPr>
  </w:style>
  <w:style w:type="paragraph" w:customStyle="1" w:styleId="Tableofcontents">
    <w:name w:val="Table of contents"/>
    <w:rsid w:val="0026328A"/>
    <w:pPr>
      <w:spacing w:after="200" w:line="240" w:lineRule="auto"/>
      <w:jc w:val="center"/>
    </w:pPr>
    <w:rPr>
      <w:rFonts w:ascii="Times New Roman" w:eastAsia="Times New Roman" w:hAnsi="Times New Roman" w:cs="Times New Roman"/>
      <w:b/>
      <w:kern w:val="0"/>
      <w:sz w:val="32"/>
      <w:szCs w:val="20"/>
      <w14:ligatures w14:val="none"/>
    </w:rPr>
  </w:style>
  <w:style w:type="paragraph" w:styleId="TOC1">
    <w:name w:val="toc 1"/>
    <w:basedOn w:val="Normal"/>
    <w:next w:val="Normal"/>
    <w:autoRedefine/>
    <w:rsid w:val="0026328A"/>
  </w:style>
  <w:style w:type="character" w:styleId="CommentReference">
    <w:name w:val="annotation reference"/>
    <w:basedOn w:val="DefaultParagraphFont"/>
    <w:rsid w:val="0026328A"/>
    <w:rPr>
      <w:sz w:val="16"/>
      <w:szCs w:val="16"/>
    </w:rPr>
  </w:style>
  <w:style w:type="paragraph" w:customStyle="1" w:styleId="preflight-heading">
    <w:name w:val="preflight-heading"/>
    <w:rsid w:val="0026328A"/>
    <w:pPr>
      <w:spacing w:before="60" w:after="60" w:line="240" w:lineRule="auto"/>
    </w:pPr>
    <w:rPr>
      <w:rFonts w:ascii="Times New Roman" w:eastAsia="Times New Roman" w:hAnsi="Times New Roman" w:cs="Times New Roman"/>
      <w:b/>
      <w:color w:val="000000"/>
      <w:kern w:val="0"/>
      <w:sz w:val="20"/>
      <w:szCs w:val="20"/>
      <w14:ligatures w14:val="none"/>
    </w:rPr>
  </w:style>
  <w:style w:type="paragraph" w:customStyle="1" w:styleId="preflight-description">
    <w:name w:val="preflight-description"/>
    <w:rsid w:val="0026328A"/>
    <w:pPr>
      <w:spacing w:before="60" w:after="60" w:line="240" w:lineRule="auto"/>
    </w:pPr>
    <w:rPr>
      <w:rFonts w:ascii="Times New Roman" w:eastAsia="Times New Roman" w:hAnsi="Times New Roman" w:cs="Times New Roman"/>
      <w:color w:val="000000"/>
      <w:kern w:val="0"/>
      <w:sz w:val="20"/>
      <w:szCs w:val="20"/>
      <w14:ligatures w14:val="none"/>
    </w:rPr>
  </w:style>
  <w:style w:type="paragraph" w:customStyle="1" w:styleId="preflight-link">
    <w:name w:val="preflight-link"/>
    <w:rsid w:val="0026328A"/>
    <w:pPr>
      <w:spacing w:before="60" w:after="60" w:line="240" w:lineRule="auto"/>
    </w:pPr>
    <w:rPr>
      <w:rFonts w:ascii="Times New Roman" w:eastAsia="Times New Roman" w:hAnsi="Times New Roman" w:cs="Times New Roman"/>
      <w:color w:val="0000FF"/>
      <w:kern w:val="0"/>
      <w:sz w:val="20"/>
      <w:szCs w:val="20"/>
      <w:u w:val="single"/>
      <w14:ligatures w14:val="none"/>
    </w:rPr>
  </w:style>
  <w:style w:type="paragraph" w:customStyle="1" w:styleId="preflight-example">
    <w:name w:val="preflight-example"/>
    <w:rsid w:val="0026328A"/>
    <w:pPr>
      <w:spacing w:before="180" w:after="60" w:line="240" w:lineRule="auto"/>
    </w:pPr>
    <w:rPr>
      <w:rFonts w:ascii="Times New Roman" w:eastAsia="Times New Roman" w:hAnsi="Times New Roman" w:cs="Times New Roman"/>
      <w:i/>
      <w:color w:val="000000"/>
      <w:kern w:val="0"/>
      <w:sz w:val="20"/>
      <w:szCs w:val="20"/>
      <w14:ligatures w14:val="none"/>
    </w:rPr>
  </w:style>
  <w:style w:type="paragraph" w:styleId="CommentText">
    <w:name w:val="annotation text"/>
    <w:basedOn w:val="Normal"/>
    <w:link w:val="CommentTextChar"/>
    <w:rsid w:val="0026328A"/>
    <w:rPr>
      <w:sz w:val="20"/>
      <w:szCs w:val="20"/>
    </w:rPr>
  </w:style>
  <w:style w:type="character" w:customStyle="1" w:styleId="CommentTextChar">
    <w:name w:val="Comment Text Char"/>
    <w:basedOn w:val="DefaultParagraphFont"/>
    <w:link w:val="CommentText"/>
    <w:rsid w:val="0026328A"/>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26328A"/>
    <w:rPr>
      <w:color w:val="605E5C"/>
      <w:shd w:val="clear" w:color="auto" w:fill="E1DFDD"/>
    </w:rPr>
  </w:style>
  <w:style w:type="table" w:styleId="TableGrid">
    <w:name w:val="Table Grid"/>
    <w:basedOn w:val="TableNormal"/>
    <w:uiPriority w:val="39"/>
    <w:rsid w:val="0026328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BF0"/>
    <w:pPr>
      <w:tabs>
        <w:tab w:val="center" w:pos="4680"/>
        <w:tab w:val="right" w:pos="9360"/>
      </w:tabs>
    </w:pPr>
  </w:style>
  <w:style w:type="character" w:customStyle="1" w:styleId="HeaderChar">
    <w:name w:val="Header Char"/>
    <w:basedOn w:val="DefaultParagraphFont"/>
    <w:link w:val="Header"/>
    <w:uiPriority w:val="99"/>
    <w:rsid w:val="00382BF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82BF0"/>
    <w:pPr>
      <w:tabs>
        <w:tab w:val="center" w:pos="4680"/>
        <w:tab w:val="right" w:pos="9360"/>
      </w:tabs>
    </w:pPr>
  </w:style>
  <w:style w:type="character" w:customStyle="1" w:styleId="FooterChar">
    <w:name w:val="Footer Char"/>
    <w:basedOn w:val="DefaultParagraphFont"/>
    <w:link w:val="Footer"/>
    <w:uiPriority w:val="99"/>
    <w:rsid w:val="00382BF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0773/pi.2024.0121" TargetMode="External"/><Relationship Id="rId21" Type="http://schemas.openxmlformats.org/officeDocument/2006/relationships/hyperlink" Target="https://doi.org/10.3390/ijms25168792" TargetMode="External"/><Relationship Id="rId42" Type="http://schemas.openxmlformats.org/officeDocument/2006/relationships/hyperlink" Target="https://doi.org/10.2174/0113892002290846240228061506" TargetMode="External"/><Relationship Id="rId63" Type="http://schemas.openxmlformats.org/officeDocument/2006/relationships/hyperlink" Target="https://doi.org/10.2174/1389450118666170125144557" TargetMode="External"/><Relationship Id="rId84" Type="http://schemas.openxmlformats.org/officeDocument/2006/relationships/hyperlink" Target="https://doi.org/10.3390/livers3030032" TargetMode="External"/><Relationship Id="rId16" Type="http://schemas.openxmlformats.org/officeDocument/2006/relationships/hyperlink" Target="https://doi.org/10.3390/ph17050642" TargetMode="External"/><Relationship Id="rId107" Type="http://schemas.openxmlformats.org/officeDocument/2006/relationships/hyperlink" Target="https://doi.org/10.1007/s00228-015-1988-7" TargetMode="External"/><Relationship Id="rId11" Type="http://schemas.openxmlformats.org/officeDocument/2006/relationships/hyperlink" Target="https://doi.org/10.1186/s12864-024-10258-6" TargetMode="External"/><Relationship Id="rId32" Type="http://schemas.openxmlformats.org/officeDocument/2006/relationships/hyperlink" Target="https://doi.org/10.7150/thno.95749" TargetMode="External"/><Relationship Id="rId37" Type="http://schemas.openxmlformats.org/officeDocument/2006/relationships/hyperlink" Target="https://doi.org/10.3390/ijms23158498" TargetMode="External"/><Relationship Id="rId53" Type="http://schemas.openxmlformats.org/officeDocument/2006/relationships/hyperlink" Target="https://doi.org/10.1007/s43188-024-00237-0" TargetMode="External"/><Relationship Id="rId58" Type="http://schemas.openxmlformats.org/officeDocument/2006/relationships/hyperlink" Target="https://doi.org/10.1007/s40264-024-01415-7" TargetMode="External"/><Relationship Id="rId74" Type="http://schemas.openxmlformats.org/officeDocument/2006/relationships/hyperlink" Target="https://doi.org/10.1177/2042018812454322" TargetMode="External"/><Relationship Id="rId79" Type="http://schemas.openxmlformats.org/officeDocument/2006/relationships/hyperlink" Target="https://doi.org/10.1002/bdd.2380" TargetMode="External"/><Relationship Id="rId102" Type="http://schemas.openxmlformats.org/officeDocument/2006/relationships/hyperlink" Target="https://doi.org/10.1186/s12909-025-07074-1" TargetMode="External"/><Relationship Id="rId123" Type="http://schemas.openxmlformats.org/officeDocument/2006/relationships/hyperlink" Target="https://doi.org/10.2174/1573408019666230601121657" TargetMode="External"/><Relationship Id="rId128" Type="http://schemas.openxmlformats.org/officeDocument/2006/relationships/hyperlink" Target="https://doi.org/10.3390/cimb45010046" TargetMode="External"/><Relationship Id="rId5" Type="http://schemas.openxmlformats.org/officeDocument/2006/relationships/footnotes" Target="footnotes.xml"/><Relationship Id="rId90" Type="http://schemas.openxmlformats.org/officeDocument/2006/relationships/hyperlink" Target="https://doi.org/10.3390/cells11010061" TargetMode="External"/><Relationship Id="rId95" Type="http://schemas.openxmlformats.org/officeDocument/2006/relationships/hyperlink" Target="https://doi.org/10.1017/s0967199424000224" TargetMode="External"/><Relationship Id="rId22" Type="http://schemas.openxmlformats.org/officeDocument/2006/relationships/hyperlink" Target="https://doi.org/10.1055/a-1683-5599" TargetMode="External"/><Relationship Id="rId27" Type="http://schemas.openxmlformats.org/officeDocument/2006/relationships/hyperlink" Target="https://doi.org/10.1038/s41467-025-56642-y" TargetMode="External"/><Relationship Id="rId43" Type="http://schemas.openxmlformats.org/officeDocument/2006/relationships/hyperlink" Target="https://doi.org/10.3390/biomedicines12071467" TargetMode="External"/><Relationship Id="rId48" Type="http://schemas.openxmlformats.org/officeDocument/2006/relationships/hyperlink" Target="https://doi.org/10.1016/j.heliyon.2023.e22555" TargetMode="External"/><Relationship Id="rId64" Type="http://schemas.openxmlformats.org/officeDocument/2006/relationships/hyperlink" Target="https://doi.org/10.1161/circep.121.007956" TargetMode="External"/><Relationship Id="rId69" Type="http://schemas.openxmlformats.org/officeDocument/2006/relationships/hyperlink" Target="https://doi.org/10.1111/bph.14936" TargetMode="External"/><Relationship Id="rId113" Type="http://schemas.openxmlformats.org/officeDocument/2006/relationships/hyperlink" Target="https://doi.org/10.1021/acs.jafc.2c06733" TargetMode="External"/><Relationship Id="rId118" Type="http://schemas.openxmlformats.org/officeDocument/2006/relationships/hyperlink" Target="https://doi.org/10.1021/acs.est.1c02189" TargetMode="External"/><Relationship Id="rId134" Type="http://schemas.openxmlformats.org/officeDocument/2006/relationships/header" Target="header3.xml"/><Relationship Id="rId80" Type="http://schemas.openxmlformats.org/officeDocument/2006/relationships/hyperlink" Target="https://doi.org/10.1002/ptr.7050" TargetMode="External"/><Relationship Id="rId85" Type="http://schemas.openxmlformats.org/officeDocument/2006/relationships/hyperlink" Target="https://doi.org/10.4155/bio-2021-0132" TargetMode="External"/><Relationship Id="rId12" Type="http://schemas.openxmlformats.org/officeDocument/2006/relationships/hyperlink" Target="https://doi.org/10.1142/s0192415x22500719" TargetMode="External"/><Relationship Id="rId17" Type="http://schemas.openxmlformats.org/officeDocument/2006/relationships/hyperlink" Target="https://doi.org/10.3390/cimb46090576" TargetMode="External"/><Relationship Id="rId33" Type="http://schemas.openxmlformats.org/officeDocument/2006/relationships/hyperlink" Target="https://doi.org/10.1371/journal.pcbi.1009820" TargetMode="External"/><Relationship Id="rId38" Type="http://schemas.openxmlformats.org/officeDocument/2006/relationships/hyperlink" Target="https://doi.org/10.1007/s00204-020-02936-7" TargetMode="External"/><Relationship Id="rId59" Type="http://schemas.openxmlformats.org/officeDocument/2006/relationships/hyperlink" Target="https://doi.org/10.3390/ijms252010955" TargetMode="External"/><Relationship Id="rId103" Type="http://schemas.openxmlformats.org/officeDocument/2006/relationships/hyperlink" Target="https://doi.org/10.1248/bpb.b23-00490" TargetMode="External"/><Relationship Id="rId108" Type="http://schemas.openxmlformats.org/officeDocument/2006/relationships/hyperlink" Target="https://doi.org/10.3390/ht7040029" TargetMode="External"/><Relationship Id="rId124" Type="http://schemas.openxmlformats.org/officeDocument/2006/relationships/hyperlink" Target="https://doi.org/10.3390/pharmaceutics13081261" TargetMode="External"/><Relationship Id="rId129" Type="http://schemas.openxmlformats.org/officeDocument/2006/relationships/hyperlink" Target="https://doi.org/10.3390/molecules27020515" TargetMode="External"/><Relationship Id="rId54" Type="http://schemas.openxmlformats.org/officeDocument/2006/relationships/hyperlink" Target="https://doi.org/10.3390/biomedicines12030644" TargetMode="External"/><Relationship Id="rId70" Type="http://schemas.openxmlformats.org/officeDocument/2006/relationships/hyperlink" Target="https://doi.org/10.1111/j.1742-7843.2010.00582.x" TargetMode="External"/><Relationship Id="rId75" Type="http://schemas.openxmlformats.org/officeDocument/2006/relationships/hyperlink" Target="https://doi.org/10.3390/ph17121625" TargetMode="External"/><Relationship Id="rId91" Type="http://schemas.openxmlformats.org/officeDocument/2006/relationships/hyperlink" Target="https://doi.org/10.1145/3411764.3445120" TargetMode="External"/><Relationship Id="rId96" Type="http://schemas.openxmlformats.org/officeDocument/2006/relationships/hyperlink" Target="https://doi.org/10.2174/011389201029745624032706261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7717/peerj.16149" TargetMode="External"/><Relationship Id="rId28" Type="http://schemas.openxmlformats.org/officeDocument/2006/relationships/hyperlink" Target="https://doi.org/10.1038/s41380-022-01804-3" TargetMode="External"/><Relationship Id="rId49" Type="http://schemas.openxmlformats.org/officeDocument/2006/relationships/hyperlink" Target="https://doi.org/10.2147/btt.s484068" TargetMode="External"/><Relationship Id="rId114" Type="http://schemas.openxmlformats.org/officeDocument/2006/relationships/hyperlink" Target="https://doi.org/10.17877/de290r-15628" TargetMode="External"/><Relationship Id="rId119" Type="http://schemas.openxmlformats.org/officeDocument/2006/relationships/hyperlink" Target="https://doi.org/10.7326/0003-4819-141-1-200407060-00011" TargetMode="External"/><Relationship Id="rId44" Type="http://schemas.openxmlformats.org/officeDocument/2006/relationships/hyperlink" Target="https://doi.org/10.1046/j.1365-2125.2002.01683.x" TargetMode="External"/><Relationship Id="rId60" Type="http://schemas.openxmlformats.org/officeDocument/2006/relationships/hyperlink" Target="https://doi.org/10.3390/jpm12091362" TargetMode="External"/><Relationship Id="rId65" Type="http://schemas.openxmlformats.org/officeDocument/2006/relationships/hyperlink" Target="https://doi.org/10.2174/1389200216666150223152348" TargetMode="External"/><Relationship Id="rId81" Type="http://schemas.openxmlformats.org/officeDocument/2006/relationships/hyperlink" Target="https://doi.org/10.1136/bmj.f1" TargetMode="External"/><Relationship Id="rId86" Type="http://schemas.openxmlformats.org/officeDocument/2006/relationships/hyperlink" Target="https://doi.org/10.3390/antiox13060657" TargetMode="External"/><Relationship Id="rId130" Type="http://schemas.openxmlformats.org/officeDocument/2006/relationships/header" Target="header1.xml"/><Relationship Id="rId135" Type="http://schemas.openxmlformats.org/officeDocument/2006/relationships/footer" Target="footer3.xml"/><Relationship Id="rId13" Type="http://schemas.openxmlformats.org/officeDocument/2006/relationships/hyperlink" Target="https://doi.org/10.3390/nu17111749" TargetMode="External"/><Relationship Id="rId18" Type="http://schemas.openxmlformats.org/officeDocument/2006/relationships/hyperlink" Target="https://doi.org/10.34133/bdr.0013" TargetMode="External"/><Relationship Id="rId39" Type="http://schemas.openxmlformats.org/officeDocument/2006/relationships/hyperlink" Target="https://doi.org/10.7759/cureus.26893" TargetMode="External"/><Relationship Id="rId109" Type="http://schemas.openxmlformats.org/officeDocument/2006/relationships/hyperlink" Target="https://doi.org/10.2174/157488406776872550" TargetMode="External"/><Relationship Id="rId34" Type="http://schemas.openxmlformats.org/officeDocument/2006/relationships/hyperlink" Target="https://doi.org/10.1016/j.clpt.2004.03.005" TargetMode="External"/><Relationship Id="rId50" Type="http://schemas.openxmlformats.org/officeDocument/2006/relationships/hyperlink" Target="https://doi.org/10.3390/molecules29071433" TargetMode="External"/><Relationship Id="rId55" Type="http://schemas.openxmlformats.org/officeDocument/2006/relationships/hyperlink" Target="https://doi.org/10.1039/d3cs00461a" TargetMode="External"/><Relationship Id="rId76" Type="http://schemas.openxmlformats.org/officeDocument/2006/relationships/hyperlink" Target="https://doi.org/10.3390/biom13121733" TargetMode="External"/><Relationship Id="rId97" Type="http://schemas.openxmlformats.org/officeDocument/2006/relationships/hyperlink" Target="https://doi.org/10.1080/03602532.2024.2346767" TargetMode="External"/><Relationship Id="rId104" Type="http://schemas.openxmlformats.org/officeDocument/2006/relationships/hyperlink" Target="https://doi.org/10.1055/s-0044-1790258" TargetMode="External"/><Relationship Id="rId120" Type="http://schemas.openxmlformats.org/officeDocument/2006/relationships/hyperlink" Target="https://doi.org/10.1007/s00204-024-03756-9" TargetMode="External"/><Relationship Id="rId125" Type="http://schemas.openxmlformats.org/officeDocument/2006/relationships/hyperlink" Target="https://doi.org/10.7717/peerj.18636" TargetMode="External"/><Relationship Id="rId7" Type="http://schemas.openxmlformats.org/officeDocument/2006/relationships/hyperlink" Target="https://doi.org/10.3390/ph18020139" TargetMode="External"/><Relationship Id="rId71" Type="http://schemas.openxmlformats.org/officeDocument/2006/relationships/hyperlink" Target="https://doi.org/10.7150/ijbs.68724" TargetMode="External"/><Relationship Id="rId92" Type="http://schemas.openxmlformats.org/officeDocument/2006/relationships/hyperlink" Target="https://doi.org/10.3390/jpm14121121" TargetMode="External"/><Relationship Id="rId2" Type="http://schemas.openxmlformats.org/officeDocument/2006/relationships/styles" Target="styles.xml"/><Relationship Id="rId29" Type="http://schemas.openxmlformats.org/officeDocument/2006/relationships/hyperlink" Target="https://doi.org/10.3389/fpls.2024.1407262" TargetMode="External"/><Relationship Id="rId24" Type="http://schemas.openxmlformats.org/officeDocument/2006/relationships/hyperlink" Target="https://doi.org/10.3390/pharmaceutics13020148" TargetMode="External"/><Relationship Id="rId40" Type="http://schemas.openxmlformats.org/officeDocument/2006/relationships/hyperlink" Target="https://doi.org/10.3390/biom14040441" TargetMode="External"/><Relationship Id="rId45" Type="http://schemas.openxmlformats.org/officeDocument/2006/relationships/hyperlink" Target="https://doi.org/10.1111/cns.70258" TargetMode="External"/><Relationship Id="rId66" Type="http://schemas.openxmlformats.org/officeDocument/2006/relationships/hyperlink" Target="https://doi.org/10.20517/jca.2023.33" TargetMode="External"/><Relationship Id="rId87" Type="http://schemas.openxmlformats.org/officeDocument/2006/relationships/hyperlink" Target="https://doi.org/10.2174/0118715206343978241223080625" TargetMode="External"/><Relationship Id="rId110" Type="http://schemas.openxmlformats.org/officeDocument/2006/relationships/hyperlink" Target="https://doi.org/10.1002/cpt.2419" TargetMode="External"/><Relationship Id="rId115" Type="http://schemas.openxmlformats.org/officeDocument/2006/relationships/hyperlink" Target="https://doi.org/10.1021/acs.jcim.3c01837" TargetMode="External"/><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hyperlink" Target="https://doi.org/10.1021/acsami.7b05459" TargetMode="External"/><Relationship Id="rId82" Type="http://schemas.openxmlformats.org/officeDocument/2006/relationships/hyperlink" Target="https://doi.org/10.1086/324351" TargetMode="External"/><Relationship Id="rId19" Type="http://schemas.openxmlformats.org/officeDocument/2006/relationships/hyperlink" Target="https://doi.org/10.1038/s41467-024-50933-6" TargetMode="External"/><Relationship Id="rId14" Type="http://schemas.openxmlformats.org/officeDocument/2006/relationships/hyperlink" Target="https://doi.org/10.1007/s00210-024-03326-x" TargetMode="External"/><Relationship Id="rId30" Type="http://schemas.openxmlformats.org/officeDocument/2006/relationships/hyperlink" Target="https://doi.org/10.1002/pca.3516" TargetMode="External"/><Relationship Id="rId35" Type="http://schemas.openxmlformats.org/officeDocument/2006/relationships/hyperlink" Target="https://doi.org/10.1124/pharmrev.124.001173" TargetMode="External"/><Relationship Id="rId56" Type="http://schemas.openxmlformats.org/officeDocument/2006/relationships/hyperlink" Target="https://doi.org/10.2174/1570159x19666210809100357" TargetMode="External"/><Relationship Id="rId77" Type="http://schemas.openxmlformats.org/officeDocument/2006/relationships/hyperlink" Target="https://doi.org/10.1016/j.clinthera.2007.08.019" TargetMode="External"/><Relationship Id="rId100" Type="http://schemas.openxmlformats.org/officeDocument/2006/relationships/hyperlink" Target="https://doi.org/10.17749/2070-4909/farmakoekonomika.2024.269" TargetMode="External"/><Relationship Id="rId105" Type="http://schemas.openxmlformats.org/officeDocument/2006/relationships/hyperlink" Target="https://doi.org/10.3390/ijms19072140" TargetMode="External"/><Relationship Id="rId126" Type="http://schemas.openxmlformats.org/officeDocument/2006/relationships/hyperlink" Target="https://doi.org/10.1002/cbic.202400297" TargetMode="External"/><Relationship Id="rId8" Type="http://schemas.openxmlformats.org/officeDocument/2006/relationships/hyperlink" Target="https://doi.org/10.56778/rjhs.v2i3.418" TargetMode="External"/><Relationship Id="rId51" Type="http://schemas.openxmlformats.org/officeDocument/2006/relationships/hyperlink" Target="https://doi.org/10.1016/j.jbc.2024.107594" TargetMode="External"/><Relationship Id="rId72" Type="http://schemas.openxmlformats.org/officeDocument/2006/relationships/hyperlink" Target="https://doi.org/10.1080/08998280.2000.11927719" TargetMode="External"/><Relationship Id="rId93" Type="http://schemas.openxmlformats.org/officeDocument/2006/relationships/hyperlink" Target="https://doi.org/10.1021/acs.chemrestox.4c00387" TargetMode="External"/><Relationship Id="rId98" Type="http://schemas.openxmlformats.org/officeDocument/2006/relationships/hyperlink" Target="https://doi.org/10.1080/17425255.2020.1700952" TargetMode="External"/><Relationship Id="rId121" Type="http://schemas.openxmlformats.org/officeDocument/2006/relationships/hyperlink" Target="https://doi.org/10.1002/cpt.1392" TargetMode="External"/><Relationship Id="rId3" Type="http://schemas.openxmlformats.org/officeDocument/2006/relationships/settings" Target="settings.xml"/><Relationship Id="rId25" Type="http://schemas.openxmlformats.org/officeDocument/2006/relationships/hyperlink" Target="https://doi.org/10.1177/0091270003261338" TargetMode="External"/><Relationship Id="rId46" Type="http://schemas.openxmlformats.org/officeDocument/2006/relationships/hyperlink" Target="https://doi.org/10.3390/app13106045" TargetMode="External"/><Relationship Id="rId67" Type="http://schemas.openxmlformats.org/officeDocument/2006/relationships/hyperlink" Target="https://doi.org/10.1021/np1000329" TargetMode="External"/><Relationship Id="rId116" Type="http://schemas.openxmlformats.org/officeDocument/2006/relationships/hyperlink" Target="https://doi.org/10.1111/febs.14956" TargetMode="External"/><Relationship Id="rId137" Type="http://schemas.openxmlformats.org/officeDocument/2006/relationships/theme" Target="theme/theme1.xml"/><Relationship Id="rId20" Type="http://schemas.openxmlformats.org/officeDocument/2006/relationships/hyperlink" Target="https://doi.org/10.3390/ddc4010004" TargetMode="External"/><Relationship Id="rId41" Type="http://schemas.openxmlformats.org/officeDocument/2006/relationships/hyperlink" Target="https://doi.org/10.2174/0113892002289753240305062601" TargetMode="External"/><Relationship Id="rId62" Type="http://schemas.openxmlformats.org/officeDocument/2006/relationships/hyperlink" Target="https://doi.org/10.1371/journal.pone.0321804" TargetMode="External"/><Relationship Id="rId83" Type="http://schemas.openxmlformats.org/officeDocument/2006/relationships/hyperlink" Target="https://doi.org/10.3389/fnut.2024.1380010" TargetMode="External"/><Relationship Id="rId88" Type="http://schemas.openxmlformats.org/officeDocument/2006/relationships/hyperlink" Target="https://doi.org/10.1016/j.bcab.2024.103332" TargetMode="External"/><Relationship Id="rId111" Type="http://schemas.openxmlformats.org/officeDocument/2006/relationships/hyperlink" Target="https://doi.org/10.1080/03602532.2020.1758714" TargetMode="External"/><Relationship Id="rId132" Type="http://schemas.openxmlformats.org/officeDocument/2006/relationships/footer" Target="footer1.xml"/><Relationship Id="rId15" Type="http://schemas.openxmlformats.org/officeDocument/2006/relationships/hyperlink" Target="https://doi.org/10.1002/ptr.8120" TargetMode="External"/><Relationship Id="rId36" Type="http://schemas.openxmlformats.org/officeDocument/2006/relationships/hyperlink" Target="https://doi.org/10.1002/mnfr.200700302" TargetMode="External"/><Relationship Id="rId57" Type="http://schemas.openxmlformats.org/officeDocument/2006/relationships/hyperlink" Target="https://doi.org/10.3390/biom14010099" TargetMode="External"/><Relationship Id="rId106" Type="http://schemas.openxmlformats.org/officeDocument/2006/relationships/hyperlink" Target="https://doi.org/10.1016/j.phymed.2010.10.002" TargetMode="External"/><Relationship Id="rId127" Type="http://schemas.openxmlformats.org/officeDocument/2006/relationships/hyperlink" Target="https://doi.org/10.3390/ijms222312808" TargetMode="External"/><Relationship Id="rId10" Type="http://schemas.openxmlformats.org/officeDocument/2006/relationships/hyperlink" Target="https://doi.org/10.1007/s40121-024-00935-0" TargetMode="External"/><Relationship Id="rId31" Type="http://schemas.openxmlformats.org/officeDocument/2006/relationships/hyperlink" Target="https://doi.org/10.17749/2077-8333/epi.par.con.2025.240" TargetMode="External"/><Relationship Id="rId52" Type="http://schemas.openxmlformats.org/officeDocument/2006/relationships/hyperlink" Target="https://doi.org/10.1177/0091270009347475" TargetMode="External"/><Relationship Id="rId73" Type="http://schemas.openxmlformats.org/officeDocument/2006/relationships/hyperlink" Target="https://doi.org/10.1007/s11101-025-10066-0" TargetMode="External"/><Relationship Id="rId78" Type="http://schemas.openxmlformats.org/officeDocument/2006/relationships/hyperlink" Target="https://doi.org/10.1038/s41597-024-03734-x" TargetMode="External"/><Relationship Id="rId94" Type="http://schemas.openxmlformats.org/officeDocument/2006/relationships/hyperlink" Target="https://doi.org/10.3390/biology12010015" TargetMode="External"/><Relationship Id="rId99" Type="http://schemas.openxmlformats.org/officeDocument/2006/relationships/hyperlink" Target="https://doi.org/10.3390/ijerph19074290" TargetMode="External"/><Relationship Id="rId101" Type="http://schemas.openxmlformats.org/officeDocument/2006/relationships/hyperlink" Target="https://doi.org/10.1021/acs.chemrestox.1c00235" TargetMode="External"/><Relationship Id="rId122" Type="http://schemas.openxmlformats.org/officeDocument/2006/relationships/hyperlink" Target="https://doi.org/10.3390/ph17030280" TargetMode="External"/><Relationship Id="rId4" Type="http://schemas.openxmlformats.org/officeDocument/2006/relationships/webSettings" Target="webSettings.xml"/><Relationship Id="rId9" Type="http://schemas.openxmlformats.org/officeDocument/2006/relationships/hyperlink" Target="https://doi.org/10.3390/app132011184" TargetMode="External"/><Relationship Id="rId26" Type="http://schemas.openxmlformats.org/officeDocument/2006/relationships/hyperlink" Target="https://doi.org/10.3390/jox15020044" TargetMode="External"/><Relationship Id="rId47" Type="http://schemas.openxmlformats.org/officeDocument/2006/relationships/hyperlink" Target="https://doi.org/10.3389/fphar.2025.1523399" TargetMode="External"/><Relationship Id="rId68" Type="http://schemas.openxmlformats.org/officeDocument/2006/relationships/hyperlink" Target="https://doi.org/10.3390/waste1040049" TargetMode="External"/><Relationship Id="rId89" Type="http://schemas.openxmlformats.org/officeDocument/2006/relationships/hyperlink" Target="https://doi.org/10.1007/s00210-024-03027-5" TargetMode="External"/><Relationship Id="rId112" Type="http://schemas.openxmlformats.org/officeDocument/2006/relationships/hyperlink" Target="https://doi.org/10.3389/fphar.2022.1043836" TargetMode="External"/><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3D37D3-311B-4A5A-9DE8-2A3453AB6C60}">
  <we:reference id="wa200001361" version="2.129.3.0" store="en-US" storeType="OMEX"/>
  <we:alternateReferences>
    <we:reference id="wa200001361" version="2.129.3.0" store="en-US" storeType="OMEX"/>
  </we:alternateReferences>
  <we:properties>
    <we:property name="paperpal-document-id" value="&quot;50f2ad39-b73c-4312-bbc0-0eca542c0ba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337</TotalTime>
  <Pages>41</Pages>
  <Words>16167</Words>
  <Characters>92157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Chinwuba</dc:creator>
  <cp:keywords/>
  <dc:description/>
  <cp:lastModifiedBy>SDI 1084</cp:lastModifiedBy>
  <cp:revision>85</cp:revision>
  <dcterms:created xsi:type="dcterms:W3CDTF">2025-07-31T13:45:00Z</dcterms:created>
  <dcterms:modified xsi:type="dcterms:W3CDTF">2025-08-04T10:08:00Z</dcterms:modified>
</cp:coreProperties>
</file>