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2C694A" w14:textId="2089A8B9" w:rsidR="00150BA3" w:rsidRDefault="00654FB4">
      <w:pPr>
        <w:widowControl w:val="0"/>
        <w:pBdr>
          <w:top w:val="nil"/>
          <w:left w:val="nil"/>
          <w:bottom w:val="nil"/>
          <w:right w:val="nil"/>
          <w:between w:val="nil"/>
        </w:pBdr>
        <w:spacing w:line="276" w:lineRule="auto"/>
      </w:pPr>
      <w:r w:rsidRPr="00654FB4">
        <w:t>Review Article</w:t>
      </w:r>
    </w:p>
    <w:p w14:paraId="0AD01C78" w14:textId="77777777" w:rsidR="00150BA3" w:rsidRDefault="00150BA3">
      <w:pPr>
        <w:pStyle w:val="Title"/>
        <w:spacing w:after="0"/>
        <w:jc w:val="both"/>
        <w:rPr>
          <w:rFonts w:ascii="Arial" w:eastAsia="Arial" w:hAnsi="Arial" w:cs="Arial"/>
        </w:rPr>
      </w:pPr>
    </w:p>
    <w:p w14:paraId="6CE0E03D" w14:textId="77777777" w:rsidR="00150BA3" w:rsidRDefault="00AB0688">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color w:val="000000"/>
          <w:sz w:val="36"/>
          <w:szCs w:val="36"/>
        </w:rPr>
        <w:t xml:space="preserve">Impact of medication use on the development of enamel defects in childhood: a critical review </w:t>
      </w:r>
    </w:p>
    <w:p w14:paraId="0A076A4B" w14:textId="77777777" w:rsidR="00150BA3" w:rsidRDefault="00150BA3">
      <w:pPr>
        <w:pBdr>
          <w:top w:val="nil"/>
          <w:left w:val="nil"/>
          <w:bottom w:val="nil"/>
          <w:right w:val="nil"/>
          <w:between w:val="nil"/>
        </w:pBdr>
        <w:jc w:val="both"/>
        <w:rPr>
          <w:rFonts w:ascii="Arial" w:eastAsia="Arial" w:hAnsi="Arial" w:cs="Arial"/>
          <w:b/>
          <w:color w:val="000000"/>
          <w:sz w:val="36"/>
          <w:szCs w:val="36"/>
        </w:rPr>
      </w:pPr>
    </w:p>
    <w:p w14:paraId="08E2FC61" w14:textId="77777777" w:rsidR="00150BA3" w:rsidRDefault="00150BA3">
      <w:pPr>
        <w:pBdr>
          <w:top w:val="nil"/>
          <w:left w:val="nil"/>
          <w:bottom w:val="nil"/>
          <w:right w:val="nil"/>
          <w:between w:val="nil"/>
        </w:pBdr>
        <w:jc w:val="both"/>
        <w:rPr>
          <w:rFonts w:ascii="Arial" w:eastAsia="Arial" w:hAnsi="Arial" w:cs="Arial"/>
          <w:color w:val="000000"/>
        </w:rPr>
      </w:pPr>
    </w:p>
    <w:p w14:paraId="06F8BB28" w14:textId="77777777" w:rsidR="00150BA3" w:rsidRDefault="00150BA3">
      <w:pPr>
        <w:pBdr>
          <w:top w:val="nil"/>
          <w:left w:val="nil"/>
          <w:bottom w:val="nil"/>
          <w:right w:val="nil"/>
          <w:between w:val="nil"/>
        </w:pBdr>
        <w:jc w:val="both"/>
        <w:rPr>
          <w:rFonts w:ascii="Arial" w:eastAsia="Arial" w:hAnsi="Arial" w:cs="Arial"/>
          <w:color w:val="000000"/>
        </w:rPr>
      </w:pPr>
    </w:p>
    <w:p w14:paraId="0F309D90" w14:textId="77777777" w:rsidR="00150BA3" w:rsidRDefault="00AB0688">
      <w:pPr>
        <w:pBdr>
          <w:top w:val="nil"/>
          <w:left w:val="nil"/>
          <w:bottom w:val="nil"/>
          <w:right w:val="nil"/>
          <w:between w:val="nil"/>
        </w:pBdr>
        <w:jc w:val="both"/>
        <w:rPr>
          <w:rFonts w:ascii="Arial" w:eastAsia="Arial" w:hAnsi="Arial" w:cs="Arial"/>
          <w:color w:val="000000"/>
          <w:sz w:val="16"/>
          <w:szCs w:val="16"/>
        </w:rPr>
        <w:sectPr w:rsidR="00150BA3" w:rsidSect="001649B0">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14:anchorId="55AC52B1" wp14:editId="4EED2951">
                <wp:extent cx="0" cy="19050"/>
                <wp:effectExtent l="0" t="0" r="0" b="0"/>
                <wp:docPr id="3" name="Forma Livre: Forma 3"/>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0" cy="19050"/>
                <wp:effectExtent b="0" l="0" r="0" t="0"/>
                <wp:docPr id="3" name="image1.png"/>
                <a:graphic>
                  <a:graphicData uri="http://schemas.openxmlformats.org/drawingml/2006/picture">
                    <pic:pic>
                      <pic:nvPicPr>
                        <pic:cNvPr id="0" name="image1.png"/>
                        <pic:cNvPicPr preferRelativeResize="0"/>
                      </pic:nvPicPr>
                      <pic:blipFill>
                        <a:blip r:embed="rId24"/>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57196159" w14:textId="77777777" w:rsidR="00150BA3" w:rsidRDefault="00150BA3">
      <w:pPr>
        <w:keepNext/>
        <w:pBdr>
          <w:top w:val="nil"/>
          <w:left w:val="nil"/>
          <w:bottom w:val="nil"/>
          <w:right w:val="nil"/>
          <w:between w:val="nil"/>
        </w:pBdr>
        <w:jc w:val="both"/>
        <w:rPr>
          <w:rFonts w:ascii="Arial" w:eastAsia="Arial" w:hAnsi="Arial" w:cs="Arial"/>
          <w:b/>
          <w:smallCaps/>
          <w:sz w:val="22"/>
          <w:szCs w:val="22"/>
        </w:rPr>
      </w:pPr>
    </w:p>
    <w:p w14:paraId="03B86A7A" w14:textId="77777777" w:rsidR="00150BA3" w:rsidRDefault="00AB068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54D98750" w14:textId="77777777" w:rsidR="00150BA3" w:rsidRDefault="00150BA3">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150BA3" w14:paraId="413F6BF0" w14:textId="77777777">
        <w:tc>
          <w:tcPr>
            <w:tcW w:w="8424" w:type="dxa"/>
            <w:shd w:val="clear" w:color="auto" w:fill="F2F2F2"/>
          </w:tcPr>
          <w:p w14:paraId="3828DC5C" w14:textId="77777777" w:rsidR="00150BA3" w:rsidRDefault="00AB0688">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Aims: </w:t>
            </w:r>
            <w:r>
              <w:rPr>
                <w:rFonts w:ascii="Arial" w:eastAsia="Arial" w:hAnsi="Arial" w:cs="Arial"/>
                <w:color w:val="000000"/>
              </w:rPr>
              <w:t xml:space="preserve">This review critically evaluated the scientific evidence regarding the association between medication exposure during pregnancy or early childhood and the development of developmental enamel defects (DDEs) in children. </w:t>
            </w:r>
          </w:p>
          <w:p w14:paraId="129A762A" w14:textId="77777777" w:rsidR="00150BA3" w:rsidRDefault="00AB0688">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Study design:</w:t>
            </w:r>
            <w:r>
              <w:rPr>
                <w:rFonts w:ascii="Arial" w:eastAsia="Arial" w:hAnsi="Arial" w:cs="Arial"/>
                <w:color w:val="000000"/>
              </w:rPr>
              <w:t xml:space="preserve"> </w:t>
            </w:r>
            <w:r>
              <w:rPr>
                <w:rFonts w:ascii="Arial" w:eastAsia="Arial" w:hAnsi="Arial" w:cs="Arial"/>
              </w:rPr>
              <w:t>Critical literature re</w:t>
            </w:r>
            <w:r>
              <w:rPr>
                <w:rFonts w:ascii="Arial" w:eastAsia="Arial" w:hAnsi="Arial" w:cs="Arial"/>
              </w:rPr>
              <w:t>view</w:t>
            </w:r>
          </w:p>
          <w:p w14:paraId="4AB3DA56" w14:textId="77777777" w:rsidR="00150BA3" w:rsidRDefault="00AB0688">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Place and Duration of Study:</w:t>
            </w:r>
            <w:r>
              <w:rPr>
                <w:rFonts w:ascii="Arial" w:eastAsia="Arial" w:hAnsi="Arial" w:cs="Arial"/>
                <w:color w:val="000000"/>
              </w:rPr>
              <w:t xml:space="preserve"> Sample: Department of Medicine (Medical Unit IV) and Department of Radiology, Services Institute of Medical Sciences (SIMS), Services Hospital Lahore, between June 2009 and July 2010.</w:t>
            </w:r>
          </w:p>
          <w:p w14:paraId="70CBEE1B" w14:textId="77777777" w:rsidR="00150BA3" w:rsidRDefault="00AB0688">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Methodology:</w:t>
            </w:r>
            <w:r>
              <w:rPr>
                <w:rFonts w:ascii="Arial" w:eastAsia="Arial" w:hAnsi="Arial" w:cs="Arial"/>
                <w:color w:val="000000"/>
              </w:rPr>
              <w:t xml:space="preserve"> A systematic search was c</w:t>
            </w:r>
            <w:r>
              <w:rPr>
                <w:rFonts w:ascii="Arial" w:eastAsia="Arial" w:hAnsi="Arial" w:cs="Arial"/>
                <w:color w:val="000000"/>
              </w:rPr>
              <w:t>onducted across six databases and the gray literature, following PRISMA guidelines and registered in PROSPERO (CRD420251047079). Observational cohort studies published from 2001 onward were included. Study quality was assessed using the Newcastle-Ottawa Sc</w:t>
            </w:r>
            <w:r>
              <w:rPr>
                <w:rFonts w:ascii="Arial" w:eastAsia="Arial" w:hAnsi="Arial" w:cs="Arial"/>
                <w:color w:val="000000"/>
              </w:rPr>
              <w:t xml:space="preserve">ale (NOS). </w:t>
            </w:r>
          </w:p>
          <w:p w14:paraId="5A7A6BFB" w14:textId="77777777" w:rsidR="00150BA3" w:rsidRDefault="00AB068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Results:</w:t>
            </w:r>
            <w:r>
              <w:rPr>
                <w:rFonts w:ascii="Arial" w:eastAsia="Arial" w:hAnsi="Arial" w:cs="Arial"/>
                <w:color w:val="000000"/>
              </w:rPr>
              <w:t xml:space="preserve"> Of 1,362 records initially retrieved, 10 cohort studies met the inclusion criteria. No randomized clinical trials were found. The studies investigated various medications, including antibiotics, corticosteroids, asthma drugs, antiviral</w:t>
            </w:r>
            <w:r>
              <w:rPr>
                <w:rFonts w:ascii="Arial" w:eastAsia="Arial" w:hAnsi="Arial" w:cs="Arial"/>
                <w:color w:val="000000"/>
              </w:rPr>
              <w:t xml:space="preserve">s, bisphosphonates, and vitamin D supplements. While some studies reported associations—particularly with amoxicillin and molar-incisor </w:t>
            </w:r>
            <w:proofErr w:type="spellStart"/>
            <w:r>
              <w:rPr>
                <w:rFonts w:ascii="Arial" w:eastAsia="Arial" w:hAnsi="Arial" w:cs="Arial"/>
                <w:color w:val="000000"/>
              </w:rPr>
              <w:t>hypomineralization</w:t>
            </w:r>
            <w:proofErr w:type="spellEnd"/>
            <w:r>
              <w:rPr>
                <w:rFonts w:ascii="Arial" w:eastAsia="Arial" w:hAnsi="Arial" w:cs="Arial"/>
                <w:color w:val="000000"/>
              </w:rPr>
              <w:t xml:space="preserve"> (MIH)—others found no statistically significant links. NOS scores ranged from 6 to 9 stars, indicatin</w:t>
            </w:r>
            <w:r>
              <w:rPr>
                <w:rFonts w:ascii="Arial" w:eastAsia="Arial" w:hAnsi="Arial" w:cs="Arial"/>
                <w:color w:val="000000"/>
              </w:rPr>
              <w:t>g moderate to high methodological quality. Although causal relationships could not be established, observational studies remain a viable approach for investigating the potential impact of medications on dental development.</w:t>
            </w:r>
          </w:p>
          <w:p w14:paraId="258D64DC" w14:textId="77777777" w:rsidR="00150BA3" w:rsidRDefault="00AB0688">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Conclusion: </w:t>
            </w:r>
            <w:r>
              <w:rPr>
                <w:rFonts w:ascii="Arial" w:eastAsia="Arial" w:hAnsi="Arial" w:cs="Arial"/>
                <w:color w:val="000000"/>
              </w:rPr>
              <w:t xml:space="preserve">Findings support the </w:t>
            </w:r>
            <w:r>
              <w:rPr>
                <w:rFonts w:ascii="Arial" w:eastAsia="Arial" w:hAnsi="Arial" w:cs="Arial"/>
                <w:color w:val="000000"/>
              </w:rPr>
              <w:t>need for well-designed cohort studies with standardized diagnostic protocols to guide future research and public health strategies in pediatric dentistry.</w:t>
            </w:r>
          </w:p>
          <w:p w14:paraId="3C631C3F" w14:textId="77777777" w:rsidR="00150BA3" w:rsidRDefault="00150BA3">
            <w:pPr>
              <w:pBdr>
                <w:top w:val="nil"/>
                <w:left w:val="nil"/>
                <w:bottom w:val="nil"/>
                <w:right w:val="nil"/>
                <w:between w:val="nil"/>
              </w:pBdr>
              <w:jc w:val="both"/>
              <w:rPr>
                <w:rFonts w:ascii="Arial" w:eastAsia="Arial" w:hAnsi="Arial" w:cs="Arial"/>
              </w:rPr>
            </w:pPr>
          </w:p>
        </w:tc>
      </w:tr>
    </w:tbl>
    <w:p w14:paraId="391CA1DE" w14:textId="77777777" w:rsidR="00150BA3" w:rsidRDefault="00150BA3">
      <w:pPr>
        <w:pBdr>
          <w:top w:val="nil"/>
          <w:left w:val="nil"/>
          <w:bottom w:val="nil"/>
          <w:right w:val="nil"/>
          <w:between w:val="nil"/>
        </w:pBdr>
        <w:jc w:val="both"/>
        <w:rPr>
          <w:rFonts w:ascii="Arial" w:eastAsia="Arial" w:hAnsi="Arial" w:cs="Arial"/>
          <w:i/>
          <w:color w:val="000000"/>
        </w:rPr>
      </w:pPr>
    </w:p>
    <w:p w14:paraId="1A7A86A9" w14:textId="77777777" w:rsidR="00150BA3" w:rsidRDefault="00AB0688">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 xml:space="preserve">Keywords: </w:t>
      </w:r>
      <w:r>
        <w:rPr>
          <w:rFonts w:ascii="Arial" w:eastAsia="Arial" w:hAnsi="Arial" w:cs="Arial"/>
          <w:i/>
        </w:rPr>
        <w:t>Pediatric dentistry; developmental defects of enamel; child; anti-bacterial agents.</w:t>
      </w:r>
    </w:p>
    <w:p w14:paraId="698CC008" w14:textId="77777777" w:rsidR="00150BA3" w:rsidRDefault="00150BA3">
      <w:pPr>
        <w:pBdr>
          <w:top w:val="nil"/>
          <w:left w:val="nil"/>
          <w:bottom w:val="nil"/>
          <w:right w:val="nil"/>
          <w:between w:val="nil"/>
        </w:pBdr>
        <w:jc w:val="both"/>
        <w:rPr>
          <w:rFonts w:ascii="Arial" w:eastAsia="Arial" w:hAnsi="Arial" w:cs="Arial"/>
          <w:i/>
          <w:color w:val="000000"/>
          <w:sz w:val="18"/>
          <w:szCs w:val="18"/>
        </w:rPr>
      </w:pPr>
    </w:p>
    <w:p w14:paraId="57AFED6A" w14:textId="77777777" w:rsidR="00150BA3" w:rsidRDefault="00150BA3">
      <w:pPr>
        <w:pBdr>
          <w:top w:val="nil"/>
          <w:left w:val="nil"/>
          <w:bottom w:val="nil"/>
          <w:right w:val="nil"/>
          <w:between w:val="nil"/>
        </w:pBdr>
        <w:jc w:val="both"/>
        <w:rPr>
          <w:rFonts w:ascii="Arial" w:eastAsia="Arial" w:hAnsi="Arial" w:cs="Arial"/>
          <w:i/>
          <w:color w:val="000000"/>
          <w:sz w:val="18"/>
          <w:szCs w:val="18"/>
        </w:rPr>
      </w:pPr>
    </w:p>
    <w:p w14:paraId="1333D4AD" w14:textId="77777777" w:rsidR="00150BA3" w:rsidRDefault="00150BA3">
      <w:pPr>
        <w:pBdr>
          <w:top w:val="nil"/>
          <w:left w:val="nil"/>
          <w:bottom w:val="nil"/>
          <w:right w:val="nil"/>
          <w:between w:val="nil"/>
        </w:pBdr>
        <w:jc w:val="both"/>
        <w:rPr>
          <w:rFonts w:ascii="Arial" w:eastAsia="Arial" w:hAnsi="Arial" w:cs="Arial"/>
          <w:i/>
          <w:color w:val="000000"/>
        </w:rPr>
      </w:pPr>
    </w:p>
    <w:p w14:paraId="4672AA2B" w14:textId="77777777" w:rsidR="00150BA3" w:rsidRDefault="00AB068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37F70BBD" w14:textId="77777777" w:rsidR="00150BA3" w:rsidRDefault="00150BA3">
      <w:pPr>
        <w:pBdr>
          <w:top w:val="nil"/>
          <w:left w:val="nil"/>
          <w:bottom w:val="nil"/>
          <w:right w:val="nil"/>
          <w:between w:val="nil"/>
        </w:pBdr>
        <w:jc w:val="both"/>
        <w:rPr>
          <w:rFonts w:ascii="Arial" w:eastAsia="Arial" w:hAnsi="Arial" w:cs="Arial"/>
          <w:color w:val="000000"/>
        </w:rPr>
      </w:pPr>
    </w:p>
    <w:p w14:paraId="1B8A1C84" w14:textId="74177B37" w:rsidR="00150BA3" w:rsidRDefault="00AB0688">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Developmental defects of enamel (DDE) are qualitative alterations, such as </w:t>
      </w:r>
      <w:proofErr w:type="spellStart"/>
      <w:r>
        <w:rPr>
          <w:rFonts w:ascii="Arial" w:eastAsia="Arial" w:hAnsi="Arial" w:cs="Arial"/>
          <w:color w:val="000000"/>
        </w:rPr>
        <w:t>hypomineralization</w:t>
      </w:r>
      <w:proofErr w:type="spellEnd"/>
      <w:r>
        <w:rPr>
          <w:rFonts w:ascii="Arial" w:eastAsia="Arial" w:hAnsi="Arial" w:cs="Arial"/>
          <w:color w:val="000000"/>
        </w:rPr>
        <w:t xml:space="preserve">, or quantitative changes, such as hypoplasia, that occur during enamel formation </w:t>
      </w:r>
      <w:r>
        <w:rPr>
          <w:rFonts w:ascii="Arial" w:eastAsia="Arial" w:hAnsi="Arial" w:cs="Arial"/>
        </w:rPr>
        <w:t>(</w:t>
      </w:r>
      <w:r>
        <w:rPr>
          <w:rFonts w:ascii="Arial" w:eastAsia="Arial" w:hAnsi="Arial" w:cs="Arial"/>
          <w:color w:val="000000"/>
        </w:rPr>
        <w:t xml:space="preserve">Santos </w:t>
      </w:r>
      <w:r>
        <w:rPr>
          <w:rFonts w:ascii="Arial" w:eastAsia="Arial" w:hAnsi="Arial" w:cs="Arial"/>
        </w:rPr>
        <w:t>and</w:t>
      </w:r>
      <w:r>
        <w:rPr>
          <w:rFonts w:ascii="Arial" w:eastAsia="Arial" w:hAnsi="Arial" w:cs="Arial"/>
          <w:color w:val="000000"/>
        </w:rPr>
        <w:t xml:space="preserve"> Abreu, 2024). These anomalies can lead to dental se</w:t>
      </w:r>
      <w:r>
        <w:rPr>
          <w:rFonts w:ascii="Arial" w:eastAsia="Arial" w:hAnsi="Arial" w:cs="Arial"/>
          <w:color w:val="000000"/>
        </w:rPr>
        <w:t>nsitivity and pain, compromising eating, oral hygiene, and school performance (</w:t>
      </w:r>
      <w:r>
        <w:rPr>
          <w:rFonts w:ascii="Arial" w:eastAsia="Arial" w:hAnsi="Arial" w:cs="Arial"/>
        </w:rPr>
        <w:t>Costa,</w:t>
      </w:r>
      <w:r w:rsidR="00544576">
        <w:rPr>
          <w:rFonts w:ascii="Arial" w:eastAsia="Arial" w:hAnsi="Arial" w:cs="Arial"/>
        </w:rPr>
        <w:t xml:space="preserve"> </w:t>
      </w:r>
      <w:r>
        <w:rPr>
          <w:rFonts w:ascii="Arial" w:eastAsia="Arial" w:hAnsi="Arial" w:cs="Arial"/>
        </w:rPr>
        <w:t>2024),</w:t>
      </w:r>
      <w:r>
        <w:rPr>
          <w:rFonts w:ascii="Arial" w:eastAsia="Arial" w:hAnsi="Arial" w:cs="Arial"/>
          <w:color w:val="000000"/>
        </w:rPr>
        <w:t xml:space="preserve"> in addition to increasing susceptibility to primary caries and the need for invasive treatments (Portella et al.,</w:t>
      </w:r>
      <w:r>
        <w:rPr>
          <w:rFonts w:ascii="Arial" w:eastAsia="Arial" w:hAnsi="Arial" w:cs="Arial"/>
        </w:rPr>
        <w:t xml:space="preserve"> </w:t>
      </w:r>
      <w:r>
        <w:rPr>
          <w:rFonts w:ascii="Arial" w:eastAsia="Arial" w:hAnsi="Arial" w:cs="Arial"/>
          <w:color w:val="000000"/>
        </w:rPr>
        <w:t>2022). Dental aesthetics are also affected, which</w:t>
      </w:r>
      <w:r>
        <w:rPr>
          <w:rFonts w:ascii="Arial" w:eastAsia="Arial" w:hAnsi="Arial" w:cs="Arial"/>
          <w:color w:val="000000"/>
        </w:rPr>
        <w:t xml:space="preserve"> may harm self-esteem and hinder social interaction, thereby negatively impacting children’s quality of life</w:t>
      </w:r>
      <w:r>
        <w:rPr>
          <w:rFonts w:ascii="Arial" w:eastAsia="Arial" w:hAnsi="Arial" w:cs="Arial"/>
        </w:rPr>
        <w:t xml:space="preserve"> </w:t>
      </w:r>
      <w:r>
        <w:rPr>
          <w:rFonts w:ascii="Arial" w:eastAsia="Arial" w:hAnsi="Arial" w:cs="Arial"/>
          <w:color w:val="000000"/>
        </w:rPr>
        <w:t>(</w:t>
      </w:r>
      <w:r>
        <w:rPr>
          <w:rFonts w:ascii="Arial" w:eastAsia="Arial" w:hAnsi="Arial" w:cs="Arial"/>
        </w:rPr>
        <w:t xml:space="preserve">Cunha et al., 2020; Oliveira et al., 2024; Silva et al., 2021). </w:t>
      </w:r>
    </w:p>
    <w:p w14:paraId="1C74B90A" w14:textId="77777777" w:rsidR="00150BA3" w:rsidRDefault="00150BA3">
      <w:pPr>
        <w:pBdr>
          <w:top w:val="nil"/>
          <w:left w:val="nil"/>
          <w:bottom w:val="nil"/>
          <w:right w:val="nil"/>
          <w:between w:val="nil"/>
        </w:pBdr>
        <w:jc w:val="both"/>
        <w:rPr>
          <w:rFonts w:ascii="Arial" w:eastAsia="Arial" w:hAnsi="Arial" w:cs="Arial"/>
          <w:highlight w:val="yellow"/>
        </w:rPr>
      </w:pPr>
    </w:p>
    <w:p w14:paraId="44EB7A3E" w14:textId="0578F53A" w:rsidR="00150BA3" w:rsidRDefault="00AB068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 xml:space="preserve">Although DDEs have been scientifically recognized for over a century, their </w:t>
      </w:r>
      <w:r>
        <w:rPr>
          <w:rFonts w:ascii="Arial" w:eastAsia="Arial" w:hAnsi="Arial" w:cs="Arial"/>
          <w:color w:val="000000"/>
        </w:rPr>
        <w:t>etiological mechanisms remain poorly understood (</w:t>
      </w:r>
      <w:proofErr w:type="spellStart"/>
      <w:r>
        <w:rPr>
          <w:rFonts w:ascii="Arial" w:eastAsia="Arial" w:hAnsi="Arial" w:cs="Arial"/>
          <w:color w:val="000000"/>
        </w:rPr>
        <w:t>Becam</w:t>
      </w:r>
      <w:proofErr w:type="spellEnd"/>
      <w:r>
        <w:rPr>
          <w:rFonts w:ascii="Arial" w:eastAsia="Arial" w:hAnsi="Arial" w:cs="Arial"/>
          <w:color w:val="000000"/>
        </w:rPr>
        <w:t xml:space="preserve"> </w:t>
      </w:r>
      <w:r>
        <w:rPr>
          <w:rFonts w:ascii="Arial" w:eastAsia="Arial" w:hAnsi="Arial" w:cs="Arial"/>
        </w:rPr>
        <w:t>and</w:t>
      </w:r>
      <w:r>
        <w:rPr>
          <w:rFonts w:ascii="Arial" w:eastAsia="Arial" w:hAnsi="Arial" w:cs="Arial"/>
          <w:color w:val="000000"/>
        </w:rPr>
        <w:t xml:space="preserve"> Chevalier</w:t>
      </w:r>
      <w:r>
        <w:rPr>
          <w:rFonts w:ascii="Arial" w:eastAsia="Arial" w:hAnsi="Arial" w:cs="Arial"/>
        </w:rPr>
        <w:t>,</w:t>
      </w:r>
      <w:r>
        <w:rPr>
          <w:rFonts w:ascii="Arial" w:eastAsia="Arial" w:hAnsi="Arial" w:cs="Arial"/>
          <w:color w:val="000000"/>
        </w:rPr>
        <w:t xml:space="preserve"> 2019).</w:t>
      </w:r>
      <w:r>
        <w:rPr>
          <w:rFonts w:ascii="Arial" w:eastAsia="Arial" w:hAnsi="Arial" w:cs="Arial"/>
        </w:rPr>
        <w:t xml:space="preserve"> </w:t>
      </w:r>
      <w:r>
        <w:rPr>
          <w:rFonts w:ascii="Arial" w:eastAsia="Arial" w:hAnsi="Arial" w:cs="Arial"/>
          <w:color w:val="000000"/>
        </w:rPr>
        <w:t>Current evidence suggests a multifactorial origin, involving systemic disorders, genetic factors, environmental exposures, and the use of medications during critical phases of ena</w:t>
      </w:r>
      <w:r>
        <w:rPr>
          <w:rFonts w:ascii="Arial" w:eastAsia="Arial" w:hAnsi="Arial" w:cs="Arial"/>
          <w:color w:val="000000"/>
        </w:rPr>
        <w:t>mel formation (</w:t>
      </w:r>
      <w:proofErr w:type="spellStart"/>
      <w:r>
        <w:rPr>
          <w:rFonts w:ascii="Arial" w:eastAsia="Arial" w:hAnsi="Arial" w:cs="Arial"/>
          <w:color w:val="000000"/>
        </w:rPr>
        <w:t>Dulla</w:t>
      </w:r>
      <w:proofErr w:type="spellEnd"/>
      <w:r>
        <w:rPr>
          <w:rFonts w:ascii="Arial" w:eastAsia="Arial" w:hAnsi="Arial" w:cs="Arial"/>
          <w:color w:val="000000"/>
        </w:rPr>
        <w:t xml:space="preserve"> </w:t>
      </w:r>
      <w:r>
        <w:rPr>
          <w:rFonts w:ascii="Arial" w:eastAsia="Arial" w:hAnsi="Arial" w:cs="Arial"/>
        </w:rPr>
        <w:t>and</w:t>
      </w:r>
      <w:r>
        <w:rPr>
          <w:rFonts w:ascii="Arial" w:eastAsia="Arial" w:hAnsi="Arial" w:cs="Arial"/>
          <w:color w:val="000000"/>
        </w:rPr>
        <w:t xml:space="preserve"> Meyer-</w:t>
      </w:r>
      <w:proofErr w:type="spellStart"/>
      <w:r>
        <w:rPr>
          <w:rFonts w:ascii="Arial" w:eastAsia="Arial" w:hAnsi="Arial" w:cs="Arial"/>
          <w:color w:val="000000"/>
        </w:rPr>
        <w:t>Lueckel</w:t>
      </w:r>
      <w:proofErr w:type="spellEnd"/>
      <w:r>
        <w:rPr>
          <w:rFonts w:ascii="Arial" w:eastAsia="Arial" w:hAnsi="Arial" w:cs="Arial"/>
          <w:color w:val="000000"/>
        </w:rPr>
        <w:t>, 2021</w:t>
      </w:r>
      <w:r>
        <w:rPr>
          <w:rFonts w:ascii="Arial" w:eastAsia="Arial" w:hAnsi="Arial" w:cs="Arial"/>
        </w:rPr>
        <w:t>;</w:t>
      </w:r>
      <w:r>
        <w:rPr>
          <w:rFonts w:ascii="Arial" w:eastAsia="Arial" w:hAnsi="Arial" w:cs="Arial"/>
          <w:color w:val="000000"/>
        </w:rPr>
        <w:t xml:space="preserve"> </w:t>
      </w:r>
      <w:proofErr w:type="spellStart"/>
      <w:r>
        <w:rPr>
          <w:rFonts w:ascii="Arial" w:eastAsia="Arial" w:hAnsi="Arial" w:cs="Arial"/>
          <w:color w:val="000000"/>
        </w:rPr>
        <w:t>Inchingolo</w:t>
      </w:r>
      <w:proofErr w:type="spellEnd"/>
      <w:r>
        <w:rPr>
          <w:rFonts w:ascii="Arial" w:eastAsia="Arial" w:hAnsi="Arial" w:cs="Arial"/>
          <w:color w:val="000000"/>
        </w:rPr>
        <w:t xml:space="preserve"> et al., 2023)</w:t>
      </w:r>
      <w:r>
        <w:rPr>
          <w:rFonts w:ascii="Arial" w:eastAsia="Arial" w:hAnsi="Arial" w:cs="Arial"/>
        </w:rPr>
        <w:t>.</w:t>
      </w:r>
    </w:p>
    <w:p w14:paraId="18BD6C8D" w14:textId="77777777" w:rsidR="00150BA3" w:rsidRDefault="00150BA3">
      <w:pPr>
        <w:pBdr>
          <w:top w:val="nil"/>
          <w:left w:val="nil"/>
          <w:bottom w:val="nil"/>
          <w:right w:val="nil"/>
          <w:between w:val="nil"/>
        </w:pBdr>
        <w:jc w:val="both"/>
        <w:rPr>
          <w:rFonts w:ascii="Arial" w:eastAsia="Arial" w:hAnsi="Arial" w:cs="Arial"/>
        </w:rPr>
      </w:pPr>
    </w:p>
    <w:p w14:paraId="35FA1066" w14:textId="2C1E9E4E" w:rsidR="00150BA3" w:rsidRDefault="00AB068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In 2001, the European Academy of </w:t>
      </w:r>
      <w:proofErr w:type="spellStart"/>
      <w:r>
        <w:rPr>
          <w:rFonts w:ascii="Arial" w:eastAsia="Arial" w:hAnsi="Arial" w:cs="Arial"/>
          <w:color w:val="000000"/>
        </w:rPr>
        <w:t>Paediatric</w:t>
      </w:r>
      <w:proofErr w:type="spellEnd"/>
      <w:r>
        <w:rPr>
          <w:rFonts w:ascii="Arial" w:eastAsia="Arial" w:hAnsi="Arial" w:cs="Arial"/>
          <w:color w:val="000000"/>
        </w:rPr>
        <w:t xml:space="preserve"> Dentistry Consensus formally defined Molar–Incisor </w:t>
      </w:r>
      <w:proofErr w:type="spellStart"/>
      <w:r>
        <w:rPr>
          <w:rFonts w:ascii="Arial" w:eastAsia="Arial" w:hAnsi="Arial" w:cs="Arial"/>
          <w:color w:val="000000"/>
        </w:rPr>
        <w:t>Hypomineralisation</w:t>
      </w:r>
      <w:proofErr w:type="spellEnd"/>
      <w:r>
        <w:rPr>
          <w:rFonts w:ascii="Arial" w:eastAsia="Arial" w:hAnsi="Arial" w:cs="Arial"/>
          <w:color w:val="000000"/>
        </w:rPr>
        <w:t xml:space="preserve"> (MIH) as a qualitative condition of systemic origin, characterized by</w:t>
      </w:r>
      <w:r>
        <w:rPr>
          <w:rFonts w:ascii="Arial" w:eastAsia="Arial" w:hAnsi="Arial" w:cs="Arial"/>
          <w:color w:val="000000"/>
        </w:rPr>
        <w:t xml:space="preserve"> demarcated opacities (ranging from white-cream to yellow or brown) that affect at least one first permanent molar and often incisors, reflecting a defect in the final enamel maturation process (</w:t>
      </w:r>
      <w:proofErr w:type="spellStart"/>
      <w:r>
        <w:rPr>
          <w:rFonts w:ascii="Arial" w:eastAsia="Arial" w:hAnsi="Arial" w:cs="Arial"/>
          <w:color w:val="000000"/>
        </w:rPr>
        <w:t>Weerheijm</w:t>
      </w:r>
      <w:proofErr w:type="spellEnd"/>
      <w:r>
        <w:rPr>
          <w:rFonts w:ascii="Arial" w:eastAsia="Arial" w:hAnsi="Arial" w:cs="Arial"/>
          <w:color w:val="000000"/>
        </w:rPr>
        <w:t xml:space="preserve"> et al., 2003). A bibliometric study identified a si</w:t>
      </w:r>
      <w:r>
        <w:rPr>
          <w:rFonts w:ascii="Arial" w:eastAsia="Arial" w:hAnsi="Arial" w:cs="Arial"/>
          <w:color w:val="000000"/>
        </w:rPr>
        <w:t>gnificant increase in MIH-related publications in the past decade, most of which were observational studies (</w:t>
      </w:r>
      <w:r w:rsidR="00DA2A8F">
        <w:rPr>
          <w:rFonts w:ascii="Arial" w:eastAsia="Arial" w:hAnsi="Arial" w:cs="Arial"/>
          <w:color w:val="000000"/>
        </w:rPr>
        <w:t>39</w:t>
      </w:r>
      <w:r>
        <w:rPr>
          <w:rFonts w:ascii="Arial" w:eastAsia="Arial" w:hAnsi="Arial" w:cs="Arial"/>
          <w:color w:val="000000"/>
        </w:rPr>
        <w:t>%). The most discussed topics included the condition’s prevalence and incidence, potential systemic etiological factors, and treatment options (</w:t>
      </w:r>
      <w:r w:rsidR="00DA2A8F">
        <w:rPr>
          <w:rFonts w:ascii="Arial" w:eastAsia="Arial" w:hAnsi="Arial" w:cs="Arial"/>
          <w:color w:val="000000"/>
        </w:rPr>
        <w:t>Soares et al. 2024).</w:t>
      </w:r>
    </w:p>
    <w:p w14:paraId="5553F537" w14:textId="77777777" w:rsidR="00150BA3" w:rsidRDefault="00150BA3">
      <w:pPr>
        <w:pBdr>
          <w:top w:val="nil"/>
          <w:left w:val="nil"/>
          <w:bottom w:val="nil"/>
          <w:right w:val="nil"/>
          <w:between w:val="nil"/>
        </w:pBdr>
        <w:jc w:val="both"/>
        <w:rPr>
          <w:rFonts w:ascii="Arial" w:eastAsia="Arial" w:hAnsi="Arial" w:cs="Arial"/>
        </w:rPr>
      </w:pPr>
    </w:p>
    <w:p w14:paraId="10F328DB" w14:textId="05694FED" w:rsidR="00150BA3" w:rsidRDefault="00AB0688">
      <w:pPr>
        <w:pBdr>
          <w:top w:val="nil"/>
          <w:left w:val="nil"/>
          <w:bottom w:val="nil"/>
          <w:right w:val="nil"/>
          <w:between w:val="nil"/>
        </w:pBdr>
        <w:jc w:val="both"/>
        <w:rPr>
          <w:rFonts w:ascii="Arial" w:eastAsia="Arial" w:hAnsi="Arial" w:cs="Arial"/>
        </w:rPr>
      </w:pPr>
      <w:r>
        <w:rPr>
          <w:rFonts w:ascii="Arial" w:eastAsia="Arial" w:hAnsi="Arial" w:cs="Arial"/>
          <w:color w:val="000000"/>
        </w:rPr>
        <w:t>Exposure to certain medications during critical periods of dental development is recognized as a significant etiological factor associated with DDEs (Dulla</w:t>
      </w:r>
      <w:r>
        <w:rPr>
          <w:rFonts w:ascii="Arial" w:eastAsia="Arial" w:hAnsi="Arial" w:cs="Arial"/>
        </w:rPr>
        <w:t>,</w:t>
      </w:r>
      <w:r>
        <w:rPr>
          <w:rFonts w:ascii="Arial" w:eastAsia="Arial" w:hAnsi="Arial" w:cs="Arial"/>
          <w:color w:val="000000"/>
        </w:rPr>
        <w:t xml:space="preserve"> 2021</w:t>
      </w:r>
      <w:r>
        <w:rPr>
          <w:rFonts w:ascii="Arial" w:eastAsia="Arial" w:hAnsi="Arial" w:cs="Arial"/>
        </w:rPr>
        <w:t>;</w:t>
      </w:r>
      <w:r>
        <w:rPr>
          <w:rFonts w:ascii="Arial" w:eastAsia="Arial" w:hAnsi="Arial" w:cs="Arial"/>
          <w:color w:val="000000"/>
        </w:rPr>
        <w:t xml:space="preserve"> Mazur,</w:t>
      </w:r>
      <w:r>
        <w:rPr>
          <w:rFonts w:ascii="Arial" w:eastAsia="Arial" w:hAnsi="Arial" w:cs="Arial"/>
        </w:rPr>
        <w:t xml:space="preserve"> </w:t>
      </w:r>
      <w:r>
        <w:rPr>
          <w:rFonts w:ascii="Arial" w:eastAsia="Arial" w:hAnsi="Arial" w:cs="Arial"/>
          <w:color w:val="000000"/>
        </w:rPr>
        <w:t>2023)</w:t>
      </w:r>
      <w:r>
        <w:rPr>
          <w:rFonts w:ascii="Arial" w:eastAsia="Arial" w:hAnsi="Arial" w:cs="Arial"/>
        </w:rPr>
        <w:t>.</w:t>
      </w:r>
      <w:r>
        <w:rPr>
          <w:rFonts w:ascii="Arial" w:eastAsia="Arial" w:hAnsi="Arial" w:cs="Arial"/>
          <w:color w:val="000000"/>
        </w:rPr>
        <w:t xml:space="preserve"> Evidence from the literature suggests a higher prevalence </w:t>
      </w:r>
      <w:r>
        <w:rPr>
          <w:rFonts w:ascii="Arial" w:eastAsia="Arial" w:hAnsi="Arial" w:cs="Arial"/>
          <w:color w:val="000000"/>
        </w:rPr>
        <w:t>of these defects among children exposed to medications such as antibiotics and corticosteroids during pregnancy or early childhood (</w:t>
      </w:r>
      <w:r>
        <w:rPr>
          <w:rFonts w:ascii="Arial" w:eastAsia="Arial" w:hAnsi="Arial" w:cs="Arial"/>
        </w:rPr>
        <w:t xml:space="preserve">França et al., 2021; Garot et al., 2022; </w:t>
      </w:r>
      <w:proofErr w:type="spellStart"/>
      <w:r>
        <w:rPr>
          <w:rFonts w:ascii="Arial" w:eastAsia="Arial" w:hAnsi="Arial" w:cs="Arial"/>
        </w:rPr>
        <w:t>Mastora</w:t>
      </w:r>
      <w:proofErr w:type="spellEnd"/>
      <w:r>
        <w:rPr>
          <w:rFonts w:ascii="Arial" w:eastAsia="Arial" w:hAnsi="Arial" w:cs="Arial"/>
        </w:rPr>
        <w:t xml:space="preserve"> et al., 2017).</w:t>
      </w:r>
    </w:p>
    <w:p w14:paraId="5B732649" w14:textId="77777777" w:rsidR="00150BA3" w:rsidRDefault="00150BA3">
      <w:pPr>
        <w:pBdr>
          <w:top w:val="nil"/>
          <w:left w:val="nil"/>
          <w:bottom w:val="nil"/>
          <w:right w:val="nil"/>
          <w:between w:val="nil"/>
        </w:pBdr>
        <w:jc w:val="both"/>
        <w:rPr>
          <w:rFonts w:ascii="Arial" w:eastAsia="Arial" w:hAnsi="Arial" w:cs="Arial"/>
        </w:rPr>
      </w:pPr>
    </w:p>
    <w:p w14:paraId="6B90985B" w14:textId="77777777" w:rsidR="00150BA3" w:rsidRDefault="00AB068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Studies suggest that antibiotics such as amoxicillin and ce</w:t>
      </w:r>
      <w:r>
        <w:rPr>
          <w:rFonts w:ascii="Arial" w:eastAsia="Arial" w:hAnsi="Arial" w:cs="Arial"/>
          <w:color w:val="000000"/>
        </w:rPr>
        <w:t>faclor, when administered during pregnancy or early childhood, may interfere with enamel formation, leading to structural defects</w:t>
      </w:r>
      <w:r>
        <w:rPr>
          <w:rFonts w:ascii="Arial" w:eastAsia="Arial" w:hAnsi="Arial" w:cs="Arial"/>
        </w:rPr>
        <w:t xml:space="preserve"> </w:t>
      </w:r>
      <w:r>
        <w:rPr>
          <w:rFonts w:ascii="Arial" w:eastAsia="Arial" w:hAnsi="Arial" w:cs="Arial"/>
          <w:color w:val="000000"/>
        </w:rPr>
        <w:t>(Laisi,</w:t>
      </w:r>
      <w:r>
        <w:rPr>
          <w:rFonts w:ascii="Arial" w:eastAsia="Arial" w:hAnsi="Arial" w:cs="Arial"/>
        </w:rPr>
        <w:t xml:space="preserve"> </w:t>
      </w:r>
      <w:r>
        <w:rPr>
          <w:rFonts w:ascii="Arial" w:eastAsia="Arial" w:hAnsi="Arial" w:cs="Arial"/>
          <w:color w:val="000000"/>
        </w:rPr>
        <w:t>2009</w:t>
      </w:r>
      <w:r>
        <w:rPr>
          <w:rFonts w:ascii="Arial" w:eastAsia="Arial" w:hAnsi="Arial" w:cs="Arial"/>
        </w:rPr>
        <w:t>;</w:t>
      </w:r>
      <w:r>
        <w:rPr>
          <w:rFonts w:ascii="Arial" w:eastAsia="Arial" w:hAnsi="Arial" w:cs="Arial"/>
          <w:color w:val="000000"/>
        </w:rPr>
        <w:t xml:space="preserve"> Hong</w:t>
      </w:r>
      <w:r>
        <w:rPr>
          <w:rFonts w:ascii="Arial" w:eastAsia="Arial" w:hAnsi="Arial" w:cs="Arial"/>
        </w:rPr>
        <w:t xml:space="preserve">, </w:t>
      </w:r>
      <w:r>
        <w:rPr>
          <w:rFonts w:ascii="Arial" w:eastAsia="Arial" w:hAnsi="Arial" w:cs="Arial"/>
          <w:color w:val="000000"/>
        </w:rPr>
        <w:t>2011</w:t>
      </w:r>
      <w:r>
        <w:rPr>
          <w:rFonts w:ascii="Arial" w:eastAsia="Arial" w:hAnsi="Arial" w:cs="Arial"/>
        </w:rPr>
        <w:t>;</w:t>
      </w:r>
      <w:r>
        <w:rPr>
          <w:rFonts w:ascii="Arial" w:eastAsia="Arial" w:hAnsi="Arial" w:cs="Arial"/>
          <w:color w:val="000000"/>
        </w:rPr>
        <w:t xml:space="preserve"> Arjona</w:t>
      </w:r>
      <w:r>
        <w:rPr>
          <w:rFonts w:ascii="Arial" w:eastAsia="Arial" w:hAnsi="Arial" w:cs="Arial"/>
        </w:rPr>
        <w:t xml:space="preserve">, </w:t>
      </w:r>
      <w:r>
        <w:rPr>
          <w:rFonts w:ascii="Arial" w:eastAsia="Arial" w:hAnsi="Arial" w:cs="Arial"/>
          <w:color w:val="000000"/>
        </w:rPr>
        <w:t xml:space="preserve">2018). Moreover, the use of inhaled drugs for asthma treatment during childhood, especially </w:t>
      </w:r>
      <w:r>
        <w:rPr>
          <w:rFonts w:ascii="Arial" w:eastAsia="Arial" w:hAnsi="Arial" w:cs="Arial"/>
          <w:color w:val="000000"/>
        </w:rPr>
        <w:t>in the preschool years, appears to be associated with an increased risk of enamel defects in first permanent molars (</w:t>
      </w:r>
      <w:proofErr w:type="spellStart"/>
      <w:r>
        <w:rPr>
          <w:rFonts w:ascii="Arial" w:eastAsia="Arial" w:hAnsi="Arial" w:cs="Arial"/>
          <w:color w:val="000000"/>
        </w:rPr>
        <w:t>Mastora</w:t>
      </w:r>
      <w:proofErr w:type="spellEnd"/>
      <w:r>
        <w:rPr>
          <w:rFonts w:ascii="Arial" w:eastAsia="Arial" w:hAnsi="Arial" w:cs="Arial"/>
          <w:color w:val="000000"/>
        </w:rPr>
        <w:t xml:space="preserve"> et al., 2017).</w:t>
      </w:r>
    </w:p>
    <w:p w14:paraId="2531D318" w14:textId="77777777" w:rsidR="00150BA3" w:rsidRDefault="00150BA3">
      <w:pPr>
        <w:pBdr>
          <w:top w:val="nil"/>
          <w:left w:val="nil"/>
          <w:bottom w:val="nil"/>
          <w:right w:val="nil"/>
          <w:between w:val="nil"/>
        </w:pBdr>
        <w:jc w:val="both"/>
        <w:rPr>
          <w:rFonts w:ascii="Arial" w:eastAsia="Arial" w:hAnsi="Arial" w:cs="Arial"/>
        </w:rPr>
      </w:pPr>
    </w:p>
    <w:p w14:paraId="037C1943" w14:textId="77777777" w:rsidR="00150BA3" w:rsidRDefault="00AB068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Conversely, some studies have indicated that the use of vitamin D during pregnancy may have a protective effect on </w:t>
      </w:r>
      <w:r>
        <w:rPr>
          <w:rFonts w:ascii="Arial" w:eastAsia="Arial" w:hAnsi="Arial" w:cs="Arial"/>
          <w:color w:val="000000"/>
        </w:rPr>
        <w:t xml:space="preserve">children’s oral health. One such study by </w:t>
      </w:r>
      <w:r>
        <w:rPr>
          <w:rFonts w:ascii="Arial" w:eastAsia="Arial" w:hAnsi="Arial" w:cs="Arial"/>
        </w:rPr>
        <w:t>Nørrisgaard et al. (2019)</w:t>
      </w:r>
      <w:r>
        <w:rPr>
          <w:rFonts w:ascii="Arial" w:eastAsia="Arial" w:hAnsi="Arial" w:cs="Arial"/>
          <w:color w:val="000000"/>
        </w:rPr>
        <w:t xml:space="preserve"> suggests that vitamin D plays an important role in odontogenesis, particularly in ameloblast differentiation and enamel mineralization regulation. This line of evidence was reinforced by T</w:t>
      </w:r>
      <w:r>
        <w:rPr>
          <w:rFonts w:ascii="Arial" w:eastAsia="Arial" w:hAnsi="Arial" w:cs="Arial"/>
          <w:color w:val="000000"/>
        </w:rPr>
        <w:t xml:space="preserve">apalaga et al. (2023), whose review of seven studies—including data from 6,978 participants—found that adequate vitamin D levels during pregnancy were associated with a lower frequency of conditions such as </w:t>
      </w:r>
      <w:proofErr w:type="spellStart"/>
      <w:r>
        <w:rPr>
          <w:rFonts w:ascii="Arial" w:eastAsia="Arial" w:hAnsi="Arial" w:cs="Arial"/>
          <w:color w:val="000000"/>
        </w:rPr>
        <w:t>hypomineralization</w:t>
      </w:r>
      <w:proofErr w:type="spellEnd"/>
      <w:r>
        <w:rPr>
          <w:rFonts w:ascii="Arial" w:eastAsia="Arial" w:hAnsi="Arial" w:cs="Arial"/>
          <w:color w:val="000000"/>
        </w:rPr>
        <w:t>, hypoplasia, and even dental e</w:t>
      </w:r>
      <w:r>
        <w:rPr>
          <w:rFonts w:ascii="Arial" w:eastAsia="Arial" w:hAnsi="Arial" w:cs="Arial"/>
          <w:color w:val="000000"/>
        </w:rPr>
        <w:t>rosion in both primary and permanent teeth.</w:t>
      </w:r>
    </w:p>
    <w:p w14:paraId="4AE1D523" w14:textId="77777777" w:rsidR="00150BA3" w:rsidRDefault="00150BA3">
      <w:pPr>
        <w:pBdr>
          <w:top w:val="nil"/>
          <w:left w:val="nil"/>
          <w:bottom w:val="nil"/>
          <w:right w:val="nil"/>
          <w:between w:val="nil"/>
        </w:pBdr>
        <w:jc w:val="both"/>
        <w:rPr>
          <w:rFonts w:ascii="Arial" w:eastAsia="Arial" w:hAnsi="Arial" w:cs="Arial"/>
        </w:rPr>
      </w:pPr>
    </w:p>
    <w:p w14:paraId="54BA8996" w14:textId="77777777" w:rsidR="00150BA3" w:rsidRDefault="00AB068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Although some studies </w:t>
      </w:r>
      <w:r>
        <w:rPr>
          <w:rFonts w:ascii="Arial" w:eastAsia="Arial" w:hAnsi="Arial" w:cs="Arial"/>
        </w:rPr>
        <w:t>report</w:t>
      </w:r>
      <w:r>
        <w:rPr>
          <w:rFonts w:ascii="Arial" w:eastAsia="Arial" w:hAnsi="Arial" w:cs="Arial"/>
          <w:color w:val="000000"/>
        </w:rPr>
        <w:t xml:space="preserve"> a strong correlation between the use of antibiotics, corticosteroids, and inhaled agents and the occurrence of enamel defects </w:t>
      </w:r>
      <w:r>
        <w:rPr>
          <w:rFonts w:ascii="Arial" w:eastAsia="Arial" w:hAnsi="Arial" w:cs="Arial"/>
        </w:rPr>
        <w:t xml:space="preserve">(Arjona, 2018; Garot et al., 2022; </w:t>
      </w:r>
      <w:proofErr w:type="spellStart"/>
      <w:r>
        <w:rPr>
          <w:rFonts w:ascii="Arial" w:eastAsia="Arial" w:hAnsi="Arial" w:cs="Arial"/>
        </w:rPr>
        <w:t>Mastora</w:t>
      </w:r>
      <w:proofErr w:type="spellEnd"/>
      <w:r>
        <w:rPr>
          <w:rFonts w:ascii="Arial" w:eastAsia="Arial" w:hAnsi="Arial" w:cs="Arial"/>
        </w:rPr>
        <w:t xml:space="preserve"> et al., 2017)</w:t>
      </w:r>
      <w:r>
        <w:rPr>
          <w:rFonts w:ascii="Arial" w:eastAsia="Arial" w:hAnsi="Arial" w:cs="Arial"/>
        </w:rPr>
        <w:t xml:space="preserve">, </w:t>
      </w:r>
      <w:r>
        <w:rPr>
          <w:rFonts w:ascii="Arial" w:eastAsia="Arial" w:hAnsi="Arial" w:cs="Arial"/>
          <w:color w:val="000000"/>
        </w:rPr>
        <w:t>the growing number of studies on this association still presents inconclusive and often contradictory results. Moreover, several investigations have not found statistically significant relationships between childhood medication use and the development of</w:t>
      </w:r>
      <w:r>
        <w:rPr>
          <w:rFonts w:ascii="Arial" w:eastAsia="Arial" w:hAnsi="Arial" w:cs="Arial"/>
          <w:color w:val="000000"/>
        </w:rPr>
        <w:t xml:space="preserve"> enamel defects (Muñoz et al., 2020</w:t>
      </w:r>
      <w:r>
        <w:rPr>
          <w:rFonts w:ascii="Arial" w:eastAsia="Arial" w:hAnsi="Arial" w:cs="Arial"/>
        </w:rPr>
        <w:t xml:space="preserve">; </w:t>
      </w:r>
      <w:r>
        <w:rPr>
          <w:rFonts w:ascii="Arial" w:eastAsia="Arial" w:hAnsi="Arial" w:cs="Arial"/>
          <w:color w:val="000000"/>
        </w:rPr>
        <w:t>Wogelius</w:t>
      </w:r>
      <w:r>
        <w:rPr>
          <w:rFonts w:ascii="Arial" w:eastAsia="Arial" w:hAnsi="Arial" w:cs="Arial"/>
        </w:rPr>
        <w:t>,</w:t>
      </w:r>
      <w:r>
        <w:rPr>
          <w:rFonts w:ascii="Arial" w:eastAsia="Arial" w:hAnsi="Arial" w:cs="Arial"/>
          <w:color w:val="000000"/>
        </w:rPr>
        <w:t xml:space="preserve"> Viuff</w:t>
      </w:r>
      <w:r>
        <w:rPr>
          <w:rFonts w:ascii="Arial" w:eastAsia="Arial" w:hAnsi="Arial" w:cs="Arial"/>
        </w:rPr>
        <w:t>,</w:t>
      </w:r>
      <w:r>
        <w:rPr>
          <w:rFonts w:ascii="Arial" w:eastAsia="Arial" w:hAnsi="Arial" w:cs="Arial"/>
          <w:color w:val="000000"/>
        </w:rPr>
        <w:t xml:space="preserve"> Haubek, 2020).</w:t>
      </w:r>
    </w:p>
    <w:p w14:paraId="133D3296" w14:textId="77777777" w:rsidR="00150BA3" w:rsidRDefault="00150BA3">
      <w:pPr>
        <w:pBdr>
          <w:top w:val="nil"/>
          <w:left w:val="nil"/>
          <w:bottom w:val="nil"/>
          <w:right w:val="nil"/>
          <w:between w:val="nil"/>
        </w:pBdr>
        <w:jc w:val="both"/>
        <w:rPr>
          <w:rFonts w:ascii="Arial" w:eastAsia="Arial" w:hAnsi="Arial" w:cs="Arial"/>
        </w:rPr>
      </w:pPr>
    </w:p>
    <w:p w14:paraId="2DCA57F8" w14:textId="77777777" w:rsidR="00150BA3" w:rsidRDefault="00AB0688">
      <w:pPr>
        <w:pBdr>
          <w:top w:val="nil"/>
          <w:left w:val="nil"/>
          <w:bottom w:val="nil"/>
          <w:right w:val="nil"/>
          <w:between w:val="nil"/>
        </w:pBdr>
        <w:jc w:val="both"/>
        <w:rPr>
          <w:rFonts w:ascii="Arial" w:eastAsia="Arial" w:hAnsi="Arial" w:cs="Arial"/>
        </w:rPr>
      </w:pPr>
      <w:r>
        <w:rPr>
          <w:rFonts w:ascii="Arial" w:eastAsia="Arial" w:hAnsi="Arial" w:cs="Arial"/>
          <w:color w:val="000000"/>
        </w:rPr>
        <w:t>Thus, this literature review aims to synthesize and critically evaluate the available evidence on the relationship between medication exposure and the development of enamel defects in ch</w:t>
      </w:r>
      <w:r>
        <w:rPr>
          <w:rFonts w:ascii="Arial" w:eastAsia="Arial" w:hAnsi="Arial" w:cs="Arial"/>
          <w:color w:val="000000"/>
        </w:rPr>
        <w:t>ildhood, thereby contributing to clinical practice and the formulation of public health policies.</w:t>
      </w:r>
    </w:p>
    <w:p w14:paraId="469D96C4" w14:textId="77777777" w:rsidR="00150BA3" w:rsidRDefault="00150BA3">
      <w:pPr>
        <w:pBdr>
          <w:top w:val="nil"/>
          <w:left w:val="nil"/>
          <w:bottom w:val="nil"/>
          <w:right w:val="nil"/>
          <w:between w:val="nil"/>
        </w:pBdr>
        <w:jc w:val="both"/>
        <w:rPr>
          <w:rFonts w:ascii="Arial" w:eastAsia="Arial" w:hAnsi="Arial" w:cs="Arial"/>
        </w:rPr>
      </w:pPr>
    </w:p>
    <w:p w14:paraId="26ADB698" w14:textId="77777777" w:rsidR="00150BA3" w:rsidRDefault="00150BA3">
      <w:pPr>
        <w:pBdr>
          <w:top w:val="nil"/>
          <w:left w:val="nil"/>
          <w:bottom w:val="nil"/>
          <w:right w:val="nil"/>
          <w:between w:val="nil"/>
        </w:pBdr>
        <w:jc w:val="both"/>
        <w:rPr>
          <w:rFonts w:ascii="Arial" w:eastAsia="Arial" w:hAnsi="Arial" w:cs="Arial"/>
          <w:color w:val="000000"/>
        </w:rPr>
      </w:pPr>
    </w:p>
    <w:p w14:paraId="7142B371" w14:textId="77777777" w:rsidR="00150BA3" w:rsidRPr="00544576" w:rsidRDefault="00AB0688">
      <w:pPr>
        <w:keepNext/>
        <w:pBdr>
          <w:top w:val="nil"/>
          <w:left w:val="nil"/>
          <w:bottom w:val="nil"/>
          <w:right w:val="nil"/>
          <w:between w:val="nil"/>
        </w:pBdr>
        <w:jc w:val="both"/>
        <w:rPr>
          <w:rFonts w:ascii="Arial" w:eastAsia="Arial" w:hAnsi="Arial" w:cs="Arial"/>
          <w:b/>
          <w:caps/>
          <w:color w:val="000000"/>
          <w:sz w:val="22"/>
          <w:szCs w:val="22"/>
        </w:rPr>
      </w:pPr>
      <w:r w:rsidRPr="00544576">
        <w:rPr>
          <w:rFonts w:ascii="Arial" w:eastAsia="Arial" w:hAnsi="Arial" w:cs="Arial"/>
          <w:b/>
          <w:caps/>
          <w:color w:val="000000"/>
          <w:sz w:val="22"/>
          <w:szCs w:val="22"/>
        </w:rPr>
        <w:t xml:space="preserve">2. methodology </w:t>
      </w:r>
    </w:p>
    <w:p w14:paraId="26EAE82B" w14:textId="77777777" w:rsidR="00150BA3" w:rsidRDefault="00150BA3">
      <w:pPr>
        <w:pBdr>
          <w:top w:val="nil"/>
          <w:left w:val="nil"/>
          <w:bottom w:val="nil"/>
          <w:right w:val="nil"/>
          <w:between w:val="nil"/>
        </w:pBdr>
        <w:jc w:val="both"/>
        <w:rPr>
          <w:rFonts w:ascii="Arial" w:eastAsia="Arial" w:hAnsi="Arial" w:cs="Arial"/>
          <w:color w:val="000000"/>
        </w:rPr>
      </w:pPr>
    </w:p>
    <w:p w14:paraId="1CD985AD" w14:textId="77777777" w:rsidR="00150BA3" w:rsidRDefault="00AB0688">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2.1 Protocol and Registration</w:t>
      </w:r>
    </w:p>
    <w:p w14:paraId="5FE9FF55" w14:textId="77777777" w:rsidR="00150BA3" w:rsidRDefault="00AB06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lastRenderedPageBreak/>
        <w:t>This review was conducted in accordance with the recommendations described in the PRISMA (Preferred Reporting</w:t>
      </w:r>
      <w:r>
        <w:rPr>
          <w:rFonts w:ascii="Arial" w:eastAsia="Arial" w:hAnsi="Arial" w:cs="Arial"/>
          <w:color w:val="000000"/>
        </w:rPr>
        <w:t xml:space="preserve"> Items for Systematic Reviews and Meta-Analyses) guidelines and was registered in PROSPERO (International Prospective Register of Systematic Reviews) under registration number CRD420251047079.</w:t>
      </w:r>
    </w:p>
    <w:p w14:paraId="2EF556A4" w14:textId="77777777" w:rsidR="00150BA3" w:rsidRDefault="00AB0688">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2.2 Search Strategy</w:t>
      </w:r>
    </w:p>
    <w:p w14:paraId="1509A799" w14:textId="77777777" w:rsidR="00150BA3" w:rsidRDefault="00AB06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 research question was structured using </w:t>
      </w:r>
      <w:r>
        <w:rPr>
          <w:rFonts w:ascii="Arial" w:eastAsia="Arial" w:hAnsi="Arial" w:cs="Arial"/>
          <w:color w:val="000000"/>
        </w:rPr>
        <w:t>the PICOS strategy, which includes five essential components: P – population, I – intervention, C – comparison, O – outcome, and S – study design. Accordingly, the following question was formulated: “Is exposure to medications during pregnancy or early chi</w:t>
      </w:r>
      <w:r>
        <w:rPr>
          <w:rFonts w:ascii="Arial" w:eastAsia="Arial" w:hAnsi="Arial" w:cs="Arial"/>
          <w:color w:val="000000"/>
        </w:rPr>
        <w:t>ldhood associated with the development of enamel defects in children?”</w:t>
      </w:r>
    </w:p>
    <w:p w14:paraId="2E6F6024" w14:textId="77777777" w:rsidR="00150BA3" w:rsidRDefault="00AB06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target population consisted of children aged 0 to 12 years who were exposed to medications either during the prenatal period—via maternal exposure—or within the first five postnatal</w:t>
      </w:r>
      <w:r>
        <w:rPr>
          <w:rFonts w:ascii="Arial" w:eastAsia="Arial" w:hAnsi="Arial" w:cs="Arial"/>
          <w:color w:val="000000"/>
        </w:rPr>
        <w:t xml:space="preserve"> years, a phase considered critical for odontogenesis and the formation of both primary and permanent enamel.</w:t>
      </w:r>
    </w:p>
    <w:p w14:paraId="01C80A77" w14:textId="77777777" w:rsidR="00150BA3" w:rsidRDefault="00AB06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As for the intervention or exposure, this included the use of medications such as antibiotics, corticosteroids, antipyretics, anti-inflammatory dr</w:t>
      </w:r>
      <w:r>
        <w:rPr>
          <w:rFonts w:ascii="Arial" w:eastAsia="Arial" w:hAnsi="Arial" w:cs="Arial"/>
          <w:color w:val="000000"/>
        </w:rPr>
        <w:t xml:space="preserve">ugs, antivirals, antifungals, </w:t>
      </w:r>
      <w:proofErr w:type="spellStart"/>
      <w:r>
        <w:rPr>
          <w:rFonts w:ascii="Arial" w:eastAsia="Arial" w:hAnsi="Arial" w:cs="Arial"/>
          <w:color w:val="000000"/>
        </w:rPr>
        <w:t>antiparasitics</w:t>
      </w:r>
      <w:proofErr w:type="spellEnd"/>
      <w:r>
        <w:rPr>
          <w:rFonts w:ascii="Arial" w:eastAsia="Arial" w:hAnsi="Arial" w:cs="Arial"/>
          <w:color w:val="000000"/>
        </w:rPr>
        <w:t>, and vitamins. The comparator group comprised children in the same age range who had not been exposed to these medications.</w:t>
      </w:r>
    </w:p>
    <w:p w14:paraId="72463259" w14:textId="77777777" w:rsidR="00150BA3" w:rsidRDefault="00AB06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Regarding the outcome, the focus was on the presence of developmental enamel defects (D</w:t>
      </w:r>
      <w:r>
        <w:rPr>
          <w:rFonts w:ascii="Arial" w:eastAsia="Arial" w:hAnsi="Arial" w:cs="Arial"/>
          <w:color w:val="000000"/>
        </w:rPr>
        <w:t xml:space="preserve">DE), including hypoplasia, </w:t>
      </w:r>
      <w:proofErr w:type="spellStart"/>
      <w:r>
        <w:rPr>
          <w:rFonts w:ascii="Arial" w:eastAsia="Arial" w:hAnsi="Arial" w:cs="Arial"/>
          <w:color w:val="000000"/>
        </w:rPr>
        <w:t>hypomineralization</w:t>
      </w:r>
      <w:proofErr w:type="spellEnd"/>
      <w:r>
        <w:rPr>
          <w:rFonts w:ascii="Arial" w:eastAsia="Arial" w:hAnsi="Arial" w:cs="Arial"/>
          <w:color w:val="000000"/>
        </w:rPr>
        <w:t>, and opacities. Although randomized clinical trials were initially defined as the preferred study design, none were found on the topic. Therefore, high-quality cohort studies were selected for inclusion in this</w:t>
      </w:r>
      <w:r>
        <w:rPr>
          <w:rFonts w:ascii="Arial" w:eastAsia="Arial" w:hAnsi="Arial" w:cs="Arial"/>
          <w:color w:val="000000"/>
        </w:rPr>
        <w:t xml:space="preserve"> review.</w:t>
      </w:r>
    </w:p>
    <w:p w14:paraId="0A06663E" w14:textId="77777777" w:rsidR="00150BA3" w:rsidRDefault="00AB0688">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2.3 Eligibility Criteria</w:t>
      </w:r>
    </w:p>
    <w:p w14:paraId="328CFDEA" w14:textId="77777777" w:rsidR="00150BA3" w:rsidRDefault="00AB06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This review included observational cohort studies (prospective or retrospective), published from 2001 onwards, in any language. Initially, no restrictions were applied regarding the year of publication during the search ph</w:t>
      </w:r>
      <w:r>
        <w:rPr>
          <w:rFonts w:ascii="Arial" w:eastAsia="Arial" w:hAnsi="Arial" w:cs="Arial"/>
          <w:color w:val="000000"/>
        </w:rPr>
        <w:t xml:space="preserve">ase, respecting the principles of comprehensiveness and sensitivity. However, during the full-text screening of eligible studies, it became necessary to establish a time cutoff starting in 2001. This decision was based on the diagnostic standardization of </w:t>
      </w:r>
      <w:r>
        <w:rPr>
          <w:rFonts w:ascii="Arial" w:eastAsia="Arial" w:hAnsi="Arial" w:cs="Arial"/>
          <w:color w:val="000000"/>
        </w:rPr>
        <w:t xml:space="preserve">MIH, formalized by the European Academy of </w:t>
      </w:r>
      <w:proofErr w:type="spellStart"/>
      <w:r>
        <w:rPr>
          <w:rFonts w:ascii="Arial" w:eastAsia="Arial" w:hAnsi="Arial" w:cs="Arial"/>
          <w:color w:val="000000"/>
        </w:rPr>
        <w:t>Paediatric</w:t>
      </w:r>
      <w:proofErr w:type="spellEnd"/>
      <w:r>
        <w:rPr>
          <w:rFonts w:ascii="Arial" w:eastAsia="Arial" w:hAnsi="Arial" w:cs="Arial"/>
          <w:color w:val="000000"/>
        </w:rPr>
        <w:t xml:space="preserve"> Dentistry consensus in 2001, which brought greater methodological uniformity to studies published thereafter (</w:t>
      </w:r>
      <w:proofErr w:type="spellStart"/>
      <w:r>
        <w:rPr>
          <w:rFonts w:ascii="Arial" w:eastAsia="Arial" w:hAnsi="Arial" w:cs="Arial"/>
          <w:color w:val="000000"/>
        </w:rPr>
        <w:t>Weerheijm</w:t>
      </w:r>
      <w:proofErr w:type="spellEnd"/>
      <w:r>
        <w:rPr>
          <w:rFonts w:ascii="Arial" w:eastAsia="Arial" w:hAnsi="Arial" w:cs="Arial"/>
          <w:color w:val="000000"/>
        </w:rPr>
        <w:t xml:space="preserve"> et al., 2003).</w:t>
      </w:r>
    </w:p>
    <w:p w14:paraId="65F5C5FC" w14:textId="77777777" w:rsidR="00150BA3" w:rsidRDefault="00AB0688">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2.4 Databases and Descriptors</w:t>
      </w:r>
    </w:p>
    <w:p w14:paraId="20B9356E" w14:textId="77777777" w:rsidR="00150BA3" w:rsidRDefault="00AB0688">
      <w:pPr>
        <w:pBdr>
          <w:top w:val="nil"/>
          <w:left w:val="nil"/>
          <w:bottom w:val="nil"/>
          <w:right w:val="nil"/>
          <w:between w:val="nil"/>
        </w:pBdr>
        <w:spacing w:after="240"/>
        <w:jc w:val="both"/>
        <w:rPr>
          <w:rFonts w:ascii="Arial" w:eastAsia="Arial" w:hAnsi="Arial" w:cs="Arial"/>
          <w:color w:val="000000"/>
          <w:highlight w:val="yellow"/>
        </w:rPr>
      </w:pPr>
      <w:r>
        <w:rPr>
          <w:rFonts w:ascii="Arial" w:eastAsia="Arial" w:hAnsi="Arial" w:cs="Arial"/>
          <w:color w:val="000000"/>
        </w:rPr>
        <w:t>The search was conducted on May 20, 2</w:t>
      </w:r>
      <w:r>
        <w:rPr>
          <w:rFonts w:ascii="Arial" w:eastAsia="Arial" w:hAnsi="Arial" w:cs="Arial"/>
          <w:color w:val="000000"/>
        </w:rPr>
        <w:t>025, in the following databases: Medline (via PubMed), Cochrane Library, Web of Science, Scopus, Virtual Health Library and Embase. A gray literature search was also performed by screening the first 100 references retrieved on Scholar Google. The descripto</w:t>
      </w:r>
      <w:r>
        <w:rPr>
          <w:rFonts w:ascii="Arial" w:eastAsia="Arial" w:hAnsi="Arial" w:cs="Arial"/>
          <w:color w:val="000000"/>
        </w:rPr>
        <w:t xml:space="preserve">rs were selected based on </w:t>
      </w:r>
      <w:proofErr w:type="spellStart"/>
      <w:r>
        <w:rPr>
          <w:rFonts w:ascii="Arial" w:eastAsia="Arial" w:hAnsi="Arial" w:cs="Arial"/>
          <w:color w:val="000000"/>
        </w:rPr>
        <w:t>MeSH</w:t>
      </w:r>
      <w:proofErr w:type="spellEnd"/>
      <w:r>
        <w:rPr>
          <w:rFonts w:ascii="Arial" w:eastAsia="Arial" w:hAnsi="Arial" w:cs="Arial"/>
          <w:color w:val="000000"/>
        </w:rPr>
        <w:t xml:space="preserve"> (Medical Subject Headings) and </w:t>
      </w:r>
      <w:proofErr w:type="spellStart"/>
      <w:r>
        <w:rPr>
          <w:rFonts w:ascii="Arial" w:eastAsia="Arial" w:hAnsi="Arial" w:cs="Arial"/>
          <w:color w:val="000000"/>
        </w:rPr>
        <w:t>DeCS</w:t>
      </w:r>
      <w:proofErr w:type="spellEnd"/>
      <w:r>
        <w:rPr>
          <w:rFonts w:ascii="Arial" w:eastAsia="Arial" w:hAnsi="Arial" w:cs="Arial"/>
          <w:color w:val="000000"/>
        </w:rPr>
        <w:t xml:space="preserve"> (Health Sciences Descriptors) vocabularies, including terms such as “Developmental Defects of Enamel”, “Pediatric Dentistry”, “Hypoplasia”, “Antibiotics”, “Corticosteroids”, “Medications”, </w:t>
      </w:r>
      <w:r>
        <w:rPr>
          <w:rFonts w:ascii="Arial" w:eastAsia="Arial" w:hAnsi="Arial" w:cs="Arial"/>
          <w:color w:val="000000"/>
        </w:rPr>
        <w:t>among others relevant to the research topic, combined or not</w:t>
      </w:r>
      <w:r>
        <w:rPr>
          <w:rFonts w:ascii="Arial" w:eastAsia="Arial" w:hAnsi="Arial" w:cs="Arial"/>
        </w:rPr>
        <w:t>.</w:t>
      </w:r>
    </w:p>
    <w:p w14:paraId="7C43917A" w14:textId="77777777" w:rsidR="00150BA3" w:rsidRDefault="00AB0688">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2.5 Study Selection</w:t>
      </w:r>
    </w:p>
    <w:p w14:paraId="4730F154" w14:textId="77777777" w:rsidR="00150BA3" w:rsidRDefault="00AB06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search, study selection, and data extraction processes were conducted independently by two reviewers (IDCF, GLP), ensuring methodological rigor. Discrepancies were resolv</w:t>
      </w:r>
      <w:r>
        <w:rPr>
          <w:rFonts w:ascii="Arial" w:eastAsia="Arial" w:hAnsi="Arial" w:cs="Arial"/>
          <w:color w:val="000000"/>
        </w:rPr>
        <w:t xml:space="preserve">ed with </w:t>
      </w:r>
      <w:r>
        <w:rPr>
          <w:rFonts w:ascii="Arial" w:eastAsia="Arial" w:hAnsi="Arial" w:cs="Arial"/>
          <w:color w:val="000000"/>
        </w:rPr>
        <w:lastRenderedPageBreak/>
        <w:t>the assistance of a third reviewer, ensuring accuracy and reliability in the analysis. After the electronic search, the references were exported to the Rayyan Systematic Review reference manager. Duplicates were removed, and the titles and abstract</w:t>
      </w:r>
      <w:r>
        <w:rPr>
          <w:rFonts w:ascii="Arial" w:eastAsia="Arial" w:hAnsi="Arial" w:cs="Arial"/>
          <w:color w:val="000000"/>
        </w:rPr>
        <w:t>s were screened. In the next stage, the selected studies were read in full and assessed according to the study’s eligibility criteria.</w:t>
      </w:r>
    </w:p>
    <w:p w14:paraId="3BA6EEAB" w14:textId="77777777" w:rsidR="00150BA3" w:rsidRDefault="00AB0688">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2.6 Data Extraction and Risk of Bias Assessment</w:t>
      </w:r>
    </w:p>
    <w:p w14:paraId="0E1EF715" w14:textId="77777777" w:rsidR="00150BA3" w:rsidRDefault="00AB06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A thorough and detailed analysis of the selected articles was performed, </w:t>
      </w:r>
      <w:r>
        <w:rPr>
          <w:rFonts w:ascii="Arial" w:eastAsia="Arial" w:hAnsi="Arial" w:cs="Arial"/>
          <w:color w:val="000000"/>
        </w:rPr>
        <w:t>carefully evaluating the specific characteristics of each study. Information collected included authorship, year and country of publication, study design, sample size, children's age, objectives, inclusion and exclusion criteria, interventions, and main fi</w:t>
      </w:r>
      <w:r>
        <w:rPr>
          <w:rFonts w:ascii="Arial" w:eastAsia="Arial" w:hAnsi="Arial" w:cs="Arial"/>
          <w:color w:val="000000"/>
        </w:rPr>
        <w:t>ndings.</w:t>
      </w:r>
    </w:p>
    <w:p w14:paraId="54F995C1" w14:textId="21680C7D" w:rsidR="00150BA3" w:rsidRDefault="00AB0688">
      <w:pPr>
        <w:pBdr>
          <w:top w:val="nil"/>
          <w:left w:val="nil"/>
          <w:bottom w:val="nil"/>
          <w:right w:val="nil"/>
          <w:between w:val="nil"/>
        </w:pBdr>
        <w:spacing w:after="240"/>
        <w:jc w:val="both"/>
        <w:rPr>
          <w:rFonts w:ascii="Arial" w:eastAsia="Arial" w:hAnsi="Arial" w:cs="Arial"/>
        </w:rPr>
      </w:pPr>
      <w:r>
        <w:rPr>
          <w:rFonts w:ascii="Arial" w:eastAsia="Arial" w:hAnsi="Arial" w:cs="Arial"/>
          <w:color w:val="000000"/>
        </w:rPr>
        <w:t>The methodological quality of observational cohort studies (both prospective and retrospective) was independently assessed by two reviewers (JAS and JLV) using the Newcastle–Ottawa Scale, developed by Wells et al. (2015). This tool is widely used t</w:t>
      </w:r>
      <w:r>
        <w:rPr>
          <w:rFonts w:ascii="Arial" w:eastAsia="Arial" w:hAnsi="Arial" w:cs="Arial"/>
          <w:color w:val="000000"/>
        </w:rPr>
        <w:t xml:space="preserve">o assess the quality of observational studies, particularly cohort and case-control designs, and is recommended by institutions such as the Cochrane Collaboration (Stang, 2010; Bitencourt et al., 2021; </w:t>
      </w:r>
      <w:r>
        <w:rPr>
          <w:rFonts w:ascii="Arial" w:eastAsia="Arial" w:hAnsi="Arial" w:cs="Arial"/>
        </w:rPr>
        <w:t>Cochran</w:t>
      </w:r>
      <w:r>
        <w:rPr>
          <w:rFonts w:ascii="Times New Roman" w:eastAsia="Times New Roman" w:hAnsi="Times New Roman" w:cs="Times New Roman"/>
          <w:sz w:val="24"/>
          <w:szCs w:val="24"/>
        </w:rPr>
        <w:t xml:space="preserve">e, </w:t>
      </w:r>
      <w:r>
        <w:rPr>
          <w:rFonts w:ascii="Arial" w:eastAsia="Arial" w:hAnsi="Arial" w:cs="Arial"/>
          <w:color w:val="000000"/>
        </w:rPr>
        <w:t>2021; Reeves, 2021).</w:t>
      </w:r>
    </w:p>
    <w:p w14:paraId="05F2DEA4" w14:textId="77777777" w:rsidR="00150BA3" w:rsidRDefault="00AB06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This assessment is </w:t>
      </w:r>
      <w:r>
        <w:rPr>
          <w:rFonts w:ascii="Arial" w:eastAsia="Arial" w:hAnsi="Arial" w:cs="Arial"/>
          <w:color w:val="000000"/>
        </w:rPr>
        <w:t>based on three fundamental domains: selection of participants, comparability of groups, and outcome assessment. Each domain is scored using a star system, based on specific criteria, and a total score is calculated, with a maximum possible score of nine st</w:t>
      </w:r>
      <w:r>
        <w:rPr>
          <w:rFonts w:ascii="Arial" w:eastAsia="Arial" w:hAnsi="Arial" w:cs="Arial"/>
          <w:color w:val="000000"/>
        </w:rPr>
        <w:t>ars.</w:t>
      </w:r>
    </w:p>
    <w:p w14:paraId="5153DEAB" w14:textId="77777777" w:rsidR="00150BA3" w:rsidRDefault="00AB06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selection domain evaluates aspects such as the representativeness of the cohort, the adequacy of the non-exposed group, the method of exposure ascertainment (via reliable records or self-report), and confirmation that the outcome was not present a</w:t>
      </w:r>
      <w:r>
        <w:rPr>
          <w:rFonts w:ascii="Arial" w:eastAsia="Arial" w:hAnsi="Arial" w:cs="Arial"/>
          <w:color w:val="000000"/>
        </w:rPr>
        <w:t>t baseline. A maximum of four stars can be awarded in this domain.</w:t>
      </w:r>
    </w:p>
    <w:p w14:paraId="19921C97" w14:textId="77777777" w:rsidR="00150BA3" w:rsidRDefault="00AB06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For the comparability domain, the focus is on whether the study controlled for the main confounding factor and other relevant variables, using strategies such as matching, stratification, o</w:t>
      </w:r>
      <w:r>
        <w:rPr>
          <w:rFonts w:ascii="Arial" w:eastAsia="Arial" w:hAnsi="Arial" w:cs="Arial"/>
          <w:color w:val="000000"/>
        </w:rPr>
        <w:t>r multivariate analysis. This domain allows for a maximum of two stars.</w:t>
      </w:r>
    </w:p>
    <w:p w14:paraId="0F51A5F2" w14:textId="1F872421" w:rsidR="00150BA3" w:rsidRPr="00544576" w:rsidRDefault="00AB06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Lastly, the outcome domain considers the adequacy of outcome assessment (preferably performed by blinded examiners or through standardized records), the follow-up period's sufficiency </w:t>
      </w:r>
      <w:r>
        <w:rPr>
          <w:rFonts w:ascii="Arial" w:eastAsia="Arial" w:hAnsi="Arial" w:cs="Arial"/>
          <w:color w:val="000000"/>
        </w:rPr>
        <w:t>for the outcome to occur, and whether any losses to follow-up were acceptable and properly justified. Up to three stars can be awarded in this domain (Wells et al., 2015).</w:t>
      </w:r>
    </w:p>
    <w:p w14:paraId="4A57F248" w14:textId="77777777" w:rsidR="00150BA3" w:rsidRDefault="00AB0688">
      <w:pPr>
        <w:pBdr>
          <w:top w:val="nil"/>
          <w:left w:val="nil"/>
          <w:bottom w:val="nil"/>
          <w:right w:val="nil"/>
          <w:between w:val="nil"/>
        </w:pBdr>
        <w:spacing w:after="240"/>
        <w:jc w:val="both"/>
        <w:rPr>
          <w:rFonts w:ascii="Arial" w:eastAsia="Arial" w:hAnsi="Arial" w:cs="Arial"/>
          <w:color w:val="000000"/>
        </w:rPr>
      </w:pPr>
      <w:bookmarkStart w:id="1" w:name="_Hlk205382160"/>
      <w:r>
        <w:rPr>
          <w:rFonts w:ascii="Arial" w:eastAsia="Arial" w:hAnsi="Arial" w:cs="Arial"/>
          <w:color w:val="000000"/>
        </w:rPr>
        <w:t xml:space="preserve">After independent domain assessments, the reviewers reached a consensus and defined </w:t>
      </w:r>
      <w:r>
        <w:rPr>
          <w:rFonts w:ascii="Arial" w:eastAsia="Arial" w:hAnsi="Arial" w:cs="Arial"/>
          <w:color w:val="000000"/>
        </w:rPr>
        <w:t>the final methodological quality scores for the included cohort studies.</w:t>
      </w:r>
    </w:p>
    <w:bookmarkEnd w:id="1"/>
    <w:p w14:paraId="2AF684EE" w14:textId="77777777" w:rsidR="00150BA3" w:rsidRPr="00544576" w:rsidRDefault="00AB0688">
      <w:pPr>
        <w:keepNext/>
        <w:pBdr>
          <w:top w:val="nil"/>
          <w:left w:val="nil"/>
          <w:bottom w:val="nil"/>
          <w:right w:val="nil"/>
          <w:between w:val="nil"/>
        </w:pBdr>
        <w:jc w:val="both"/>
        <w:rPr>
          <w:rFonts w:ascii="Arial" w:eastAsia="Arial" w:hAnsi="Arial" w:cs="Arial"/>
          <w:b/>
          <w:caps/>
          <w:color w:val="000000"/>
          <w:sz w:val="22"/>
          <w:szCs w:val="22"/>
        </w:rPr>
      </w:pPr>
      <w:r w:rsidRPr="00544576">
        <w:rPr>
          <w:rFonts w:ascii="Arial" w:eastAsia="Arial" w:hAnsi="Arial" w:cs="Arial"/>
          <w:b/>
          <w:caps/>
          <w:color w:val="000000"/>
          <w:sz w:val="22"/>
          <w:szCs w:val="22"/>
        </w:rPr>
        <w:t xml:space="preserve">3. results </w:t>
      </w:r>
    </w:p>
    <w:p w14:paraId="4E5670F5" w14:textId="77777777" w:rsidR="00150BA3" w:rsidRDefault="00150BA3">
      <w:pPr>
        <w:keepNext/>
        <w:pBdr>
          <w:top w:val="nil"/>
          <w:left w:val="nil"/>
          <w:bottom w:val="nil"/>
          <w:right w:val="nil"/>
          <w:between w:val="nil"/>
        </w:pBdr>
        <w:jc w:val="both"/>
        <w:rPr>
          <w:rFonts w:ascii="Arial" w:eastAsia="Arial" w:hAnsi="Arial" w:cs="Arial"/>
          <w:b/>
          <w:smallCaps/>
          <w:color w:val="000000"/>
        </w:rPr>
      </w:pPr>
    </w:p>
    <w:p w14:paraId="65384051" w14:textId="77777777" w:rsidR="00150BA3" w:rsidRDefault="00AB0688">
      <w:pPr>
        <w:jc w:val="both"/>
        <w:rPr>
          <w:rFonts w:ascii="Arial" w:eastAsia="Arial" w:hAnsi="Arial" w:cs="Arial"/>
        </w:rPr>
      </w:pPr>
      <w:r>
        <w:rPr>
          <w:rFonts w:ascii="Arial" w:eastAsia="Arial" w:hAnsi="Arial" w:cs="Arial"/>
        </w:rPr>
        <w:t xml:space="preserve">The systematic search across databases yielded a total of 1,362 records. After removing 272 duplicates, 1,090 titles and abstracts were screened, from which 31 articles </w:t>
      </w:r>
      <w:r>
        <w:rPr>
          <w:rFonts w:ascii="Arial" w:eastAsia="Arial" w:hAnsi="Arial" w:cs="Arial"/>
        </w:rPr>
        <w:t>were selected for full-text reading. Following the application of the eligibility criteria, 10 studies were included in this review, as illustrated in the PRISMA flowchart (Figure 1).</w:t>
      </w:r>
    </w:p>
    <w:p w14:paraId="3A08510C" w14:textId="77777777" w:rsidR="00150BA3" w:rsidRDefault="00150BA3">
      <w:pPr>
        <w:jc w:val="both"/>
        <w:rPr>
          <w:rFonts w:ascii="Arial" w:eastAsia="Arial" w:hAnsi="Arial" w:cs="Arial"/>
        </w:rPr>
      </w:pPr>
    </w:p>
    <w:p w14:paraId="0A652BAD" w14:textId="76038CF2" w:rsidR="00544576" w:rsidRPr="00544576" w:rsidRDefault="00544576" w:rsidP="00544576">
      <w:pPr>
        <w:jc w:val="both"/>
        <w:rPr>
          <w:rFonts w:ascii="Arial" w:eastAsia="Arial" w:hAnsi="Arial" w:cs="Arial"/>
          <w:highlight w:val="yellow"/>
        </w:rPr>
      </w:pPr>
      <w:r>
        <w:rPr>
          <w:noProof/>
        </w:rPr>
        <w:lastRenderedPageBreak/>
        <w:drawing>
          <wp:inline distT="0" distB="0" distL="0" distR="0" wp14:anchorId="66493A4D" wp14:editId="3B2757EF">
            <wp:extent cx="5334000" cy="4855185"/>
            <wp:effectExtent l="0" t="0" r="0" b="3175"/>
            <wp:docPr id="34700065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4796" t="9185" r="9037" b="35369"/>
                    <a:stretch>
                      <a:fillRect/>
                    </a:stretch>
                  </pic:blipFill>
                  <pic:spPr bwMode="auto">
                    <a:xfrm>
                      <a:off x="0" y="0"/>
                      <a:ext cx="5357520" cy="4876594"/>
                    </a:xfrm>
                    <a:prstGeom prst="rect">
                      <a:avLst/>
                    </a:prstGeom>
                    <a:noFill/>
                    <a:ln>
                      <a:noFill/>
                    </a:ln>
                    <a:extLst>
                      <a:ext uri="{53640926-AAD7-44D8-BBD7-CCE9431645EC}">
                        <a14:shadowObscured xmlns:a14="http://schemas.microsoft.com/office/drawing/2010/main"/>
                      </a:ext>
                    </a:extLst>
                  </pic:spPr>
                </pic:pic>
              </a:graphicData>
            </a:graphic>
          </wp:inline>
        </w:drawing>
      </w:r>
    </w:p>
    <w:p w14:paraId="3DE10E66" w14:textId="77777777" w:rsidR="00150BA3" w:rsidRDefault="00150BA3">
      <w:pPr>
        <w:jc w:val="both"/>
        <w:rPr>
          <w:rFonts w:ascii="Arial" w:eastAsia="Arial" w:hAnsi="Arial" w:cs="Arial"/>
        </w:rPr>
      </w:pPr>
    </w:p>
    <w:p w14:paraId="7DF24388" w14:textId="77777777" w:rsidR="00150BA3" w:rsidRDefault="00AB0688">
      <w:pPr>
        <w:jc w:val="both"/>
        <w:rPr>
          <w:rFonts w:ascii="Arial" w:eastAsia="Arial" w:hAnsi="Arial" w:cs="Arial"/>
          <w:b/>
        </w:rPr>
      </w:pPr>
      <w:r>
        <w:rPr>
          <w:rFonts w:ascii="Arial" w:eastAsia="Arial" w:hAnsi="Arial" w:cs="Arial"/>
          <w:b/>
        </w:rPr>
        <w:t>Fig. 1. Flowchart of the study selection process for the included st</w:t>
      </w:r>
      <w:r>
        <w:rPr>
          <w:rFonts w:ascii="Arial" w:eastAsia="Arial" w:hAnsi="Arial" w:cs="Arial"/>
          <w:b/>
        </w:rPr>
        <w:t>udies in the review</w:t>
      </w:r>
    </w:p>
    <w:p w14:paraId="250BF990" w14:textId="77777777" w:rsidR="00544576" w:rsidRDefault="00544576">
      <w:pPr>
        <w:jc w:val="both"/>
        <w:rPr>
          <w:rFonts w:ascii="Arial" w:eastAsia="Arial" w:hAnsi="Arial" w:cs="Arial"/>
          <w:b/>
        </w:rPr>
      </w:pPr>
    </w:p>
    <w:p w14:paraId="5215A880" w14:textId="77777777" w:rsidR="00150BA3" w:rsidRDefault="00150BA3">
      <w:pPr>
        <w:jc w:val="both"/>
        <w:rPr>
          <w:rFonts w:ascii="Arial" w:eastAsia="Arial" w:hAnsi="Arial" w:cs="Arial"/>
          <w:b/>
        </w:rPr>
      </w:pPr>
    </w:p>
    <w:p w14:paraId="23EE0627" w14:textId="77777777" w:rsidR="00150BA3" w:rsidRDefault="00AB0688">
      <w:pPr>
        <w:jc w:val="both"/>
        <w:rPr>
          <w:rFonts w:ascii="Arial" w:eastAsia="Arial" w:hAnsi="Arial" w:cs="Arial"/>
        </w:rPr>
      </w:pPr>
      <w:r>
        <w:rPr>
          <w:rFonts w:ascii="Arial" w:eastAsia="Arial" w:hAnsi="Arial" w:cs="Arial"/>
        </w:rPr>
        <w:t xml:space="preserve">A synthesis of the included studies is presented in Table 1. The search identified 10 cohort studies. Specifically, 3 studies used retrospective cohorts and 7 used prospective cohorts; no randomized controlled trials were found. These studies assessed the </w:t>
      </w:r>
      <w:r>
        <w:rPr>
          <w:rFonts w:ascii="Arial" w:eastAsia="Arial" w:hAnsi="Arial" w:cs="Arial"/>
        </w:rPr>
        <w:t xml:space="preserve">use of antibiotics, anti-asthmatic drugs, antivirals, bisphosphonates, and cancer therapies, in addition to perinatal factors, considering outcomes such as fluorosis, developmental defects of enamel, molar-incisor </w:t>
      </w:r>
      <w:proofErr w:type="spellStart"/>
      <w:r>
        <w:rPr>
          <w:rFonts w:ascii="Arial" w:eastAsia="Arial" w:hAnsi="Arial" w:cs="Arial"/>
        </w:rPr>
        <w:t>hypomineralization</w:t>
      </w:r>
      <w:proofErr w:type="spellEnd"/>
      <w:r>
        <w:rPr>
          <w:rFonts w:ascii="Arial" w:eastAsia="Arial" w:hAnsi="Arial" w:cs="Arial"/>
        </w:rPr>
        <w:t>, and other dental anoma</w:t>
      </w:r>
      <w:r>
        <w:rPr>
          <w:rFonts w:ascii="Arial" w:eastAsia="Arial" w:hAnsi="Arial" w:cs="Arial"/>
        </w:rPr>
        <w:t>lies. The findings revealed variability in the reported associations between medication exposure and the observed dental alterations.</w:t>
      </w:r>
    </w:p>
    <w:p w14:paraId="7D6EBCDD" w14:textId="77777777" w:rsidR="00150BA3" w:rsidRDefault="00150BA3">
      <w:pPr>
        <w:jc w:val="both"/>
        <w:rPr>
          <w:rFonts w:ascii="Arial" w:eastAsia="Arial" w:hAnsi="Arial" w:cs="Arial"/>
        </w:rPr>
      </w:pPr>
    </w:p>
    <w:p w14:paraId="1C505B0E" w14:textId="77777777" w:rsidR="00150BA3" w:rsidRDefault="00AB0688">
      <w:pPr>
        <w:jc w:val="both"/>
        <w:rPr>
          <w:rFonts w:ascii="Arial" w:eastAsia="Arial" w:hAnsi="Arial" w:cs="Arial"/>
          <w:b/>
        </w:rPr>
      </w:pPr>
      <w:r>
        <w:rPr>
          <w:rFonts w:ascii="Arial" w:eastAsia="Arial" w:hAnsi="Arial" w:cs="Arial"/>
          <w:b/>
        </w:rPr>
        <w:t>Table 1. Data synthesis</w:t>
      </w:r>
    </w:p>
    <w:p w14:paraId="1ED5D82A" w14:textId="77777777" w:rsidR="00150BA3" w:rsidRDefault="00150BA3">
      <w:pPr>
        <w:jc w:val="both"/>
        <w:rPr>
          <w:rFonts w:ascii="Arial" w:eastAsia="Arial" w:hAnsi="Arial" w:cs="Arial"/>
        </w:rPr>
      </w:pPr>
    </w:p>
    <w:tbl>
      <w:tblPr>
        <w:tblpPr w:leftFromText="141" w:rightFromText="141" w:vertAnchor="text" w:horzAnchor="margin" w:tblpXSpec="center" w:tblpY="16"/>
        <w:tblW w:w="9923" w:type="dxa"/>
        <w:tblLayout w:type="fixed"/>
        <w:tblLook w:val="0400" w:firstRow="0" w:lastRow="0" w:firstColumn="0" w:lastColumn="0" w:noHBand="0" w:noVBand="1"/>
      </w:tblPr>
      <w:tblGrid>
        <w:gridCol w:w="1560"/>
        <w:gridCol w:w="709"/>
        <w:gridCol w:w="2126"/>
        <w:gridCol w:w="1701"/>
        <w:gridCol w:w="1843"/>
        <w:gridCol w:w="1977"/>
        <w:gridCol w:w="7"/>
      </w:tblGrid>
      <w:tr w:rsidR="00544576" w:rsidRPr="00544576" w14:paraId="0C5BC110" w14:textId="77777777" w:rsidTr="00032711">
        <w:trPr>
          <w:gridAfter w:val="1"/>
          <w:wAfter w:w="7" w:type="dxa"/>
          <w:trHeight w:val="332"/>
        </w:trPr>
        <w:tc>
          <w:tcPr>
            <w:tcW w:w="9916" w:type="dxa"/>
            <w:gridSpan w:val="6"/>
            <w:tcBorders>
              <w:bottom w:val="single" w:sz="4" w:space="0" w:color="000000"/>
            </w:tcBorders>
            <w:tcMar>
              <w:left w:w="0" w:type="dxa"/>
              <w:right w:w="0" w:type="dxa"/>
            </w:tcMar>
            <w:vAlign w:val="bottom"/>
          </w:tcPr>
          <w:p w14:paraId="006A62C5" w14:textId="07C8EE62" w:rsidR="00544576" w:rsidRPr="00544576" w:rsidRDefault="00544576" w:rsidP="00544576">
            <w:pPr>
              <w:jc w:val="both"/>
              <w:rPr>
                <w:rFonts w:ascii="Times New Roman" w:eastAsia="Times New Roman" w:hAnsi="Times New Roman" w:cs="Times New Roman"/>
                <w:b/>
                <w:sz w:val="16"/>
                <w:szCs w:val="16"/>
                <w:lang w:val="en-US" w:eastAsia="en-US"/>
              </w:rPr>
            </w:pPr>
          </w:p>
        </w:tc>
      </w:tr>
      <w:tr w:rsidR="00544576" w:rsidRPr="00544576" w14:paraId="7D74EC22" w14:textId="77777777" w:rsidTr="00032711">
        <w:trPr>
          <w:trHeight w:val="332"/>
        </w:trPr>
        <w:tc>
          <w:tcPr>
            <w:tcW w:w="1560" w:type="dxa"/>
            <w:tcBorders>
              <w:top w:val="single" w:sz="4" w:space="0" w:color="000000"/>
              <w:bottom w:val="single" w:sz="4" w:space="0" w:color="000000"/>
            </w:tcBorders>
            <w:tcMar>
              <w:left w:w="0" w:type="dxa"/>
              <w:right w:w="0" w:type="dxa"/>
            </w:tcMar>
            <w:vAlign w:val="center"/>
          </w:tcPr>
          <w:p w14:paraId="370A3DB5" w14:textId="77777777" w:rsidR="00544576" w:rsidRPr="00544576" w:rsidRDefault="00544576" w:rsidP="00544576">
            <w:pPr>
              <w:jc w:val="center"/>
              <w:rPr>
                <w:rFonts w:ascii="Arial" w:eastAsia="Times New Roman" w:hAnsi="Arial" w:cs="Arial"/>
                <w:b/>
                <w:sz w:val="16"/>
                <w:szCs w:val="16"/>
                <w:lang w:val="en-US" w:eastAsia="en-US"/>
              </w:rPr>
            </w:pPr>
            <w:r w:rsidRPr="00544576">
              <w:rPr>
                <w:rFonts w:ascii="Arial" w:eastAsia="Times New Roman" w:hAnsi="Arial" w:cs="Arial"/>
                <w:b/>
                <w:sz w:val="16"/>
                <w:szCs w:val="16"/>
                <w:lang w:val="en-US" w:eastAsia="en-US"/>
              </w:rPr>
              <w:t>Author/Year/</w:t>
            </w:r>
          </w:p>
          <w:p w14:paraId="1EEE2541" w14:textId="77777777" w:rsidR="00544576" w:rsidRPr="00544576" w:rsidRDefault="00544576" w:rsidP="00544576">
            <w:pPr>
              <w:jc w:val="center"/>
              <w:rPr>
                <w:rFonts w:ascii="Arial" w:eastAsia="Times New Roman" w:hAnsi="Arial" w:cs="Arial"/>
                <w:b/>
                <w:sz w:val="16"/>
                <w:szCs w:val="16"/>
                <w:highlight w:val="yellow"/>
                <w:lang w:val="en-US" w:eastAsia="en-US"/>
              </w:rPr>
            </w:pPr>
            <w:r w:rsidRPr="00544576">
              <w:rPr>
                <w:rFonts w:ascii="Arial" w:eastAsia="Times New Roman" w:hAnsi="Arial" w:cs="Arial"/>
                <w:b/>
                <w:sz w:val="16"/>
                <w:szCs w:val="16"/>
                <w:lang w:val="en-US" w:eastAsia="en-US"/>
              </w:rPr>
              <w:t>Country/Study type</w:t>
            </w:r>
          </w:p>
        </w:tc>
        <w:tc>
          <w:tcPr>
            <w:tcW w:w="709" w:type="dxa"/>
            <w:tcBorders>
              <w:top w:val="single" w:sz="4" w:space="0" w:color="000000"/>
              <w:bottom w:val="single" w:sz="4" w:space="0" w:color="000000"/>
            </w:tcBorders>
            <w:tcMar>
              <w:left w:w="0" w:type="dxa"/>
              <w:right w:w="0" w:type="dxa"/>
            </w:tcMar>
            <w:vAlign w:val="center"/>
          </w:tcPr>
          <w:p w14:paraId="3117FE57" w14:textId="77777777" w:rsidR="00544576" w:rsidRPr="00544576" w:rsidRDefault="00544576" w:rsidP="00544576">
            <w:pPr>
              <w:jc w:val="center"/>
              <w:rPr>
                <w:rFonts w:ascii="Arial" w:eastAsia="Times New Roman" w:hAnsi="Arial" w:cs="Arial"/>
                <w:sz w:val="16"/>
                <w:szCs w:val="16"/>
                <w:lang w:val="en-US" w:eastAsia="en-US"/>
              </w:rPr>
            </w:pPr>
            <w:r w:rsidRPr="00544576">
              <w:rPr>
                <w:rFonts w:ascii="Arial" w:eastAsia="Times New Roman" w:hAnsi="Arial" w:cs="Arial"/>
                <w:b/>
                <w:sz w:val="16"/>
                <w:szCs w:val="16"/>
                <w:lang w:val="en-US" w:eastAsia="en-US"/>
              </w:rPr>
              <w:t>Sample size</w:t>
            </w:r>
          </w:p>
        </w:tc>
        <w:tc>
          <w:tcPr>
            <w:tcW w:w="2126" w:type="dxa"/>
            <w:tcBorders>
              <w:top w:val="single" w:sz="4" w:space="0" w:color="000000"/>
              <w:bottom w:val="single" w:sz="4" w:space="0" w:color="000000"/>
            </w:tcBorders>
            <w:tcMar>
              <w:left w:w="0" w:type="dxa"/>
              <w:right w:w="0" w:type="dxa"/>
            </w:tcMar>
            <w:vAlign w:val="center"/>
          </w:tcPr>
          <w:p w14:paraId="00850D47" w14:textId="77777777" w:rsidR="00544576" w:rsidRPr="00544576" w:rsidRDefault="00544576" w:rsidP="00544576">
            <w:pPr>
              <w:jc w:val="center"/>
              <w:rPr>
                <w:rFonts w:ascii="Arial" w:eastAsia="Times New Roman" w:hAnsi="Arial" w:cs="Arial"/>
                <w:sz w:val="16"/>
                <w:szCs w:val="16"/>
                <w:lang w:val="en-US" w:eastAsia="en-US"/>
              </w:rPr>
            </w:pPr>
            <w:r w:rsidRPr="00544576">
              <w:rPr>
                <w:rFonts w:ascii="Arial" w:eastAsia="Times New Roman" w:hAnsi="Arial" w:cs="Arial"/>
                <w:b/>
                <w:sz w:val="16"/>
                <w:szCs w:val="16"/>
                <w:lang w:val="en-US" w:eastAsia="en-US"/>
              </w:rPr>
              <w:t>Objective</w:t>
            </w:r>
          </w:p>
        </w:tc>
        <w:tc>
          <w:tcPr>
            <w:tcW w:w="1701" w:type="dxa"/>
            <w:tcBorders>
              <w:top w:val="single" w:sz="4" w:space="0" w:color="000000"/>
              <w:bottom w:val="single" w:sz="4" w:space="0" w:color="000000"/>
            </w:tcBorders>
            <w:tcMar>
              <w:left w:w="0" w:type="dxa"/>
              <w:right w:w="0" w:type="dxa"/>
            </w:tcMar>
            <w:vAlign w:val="center"/>
          </w:tcPr>
          <w:p w14:paraId="0B5AFCB7" w14:textId="77777777" w:rsidR="00544576" w:rsidRPr="00544576" w:rsidRDefault="00544576" w:rsidP="00544576">
            <w:pPr>
              <w:jc w:val="center"/>
              <w:rPr>
                <w:rFonts w:ascii="Arial" w:eastAsia="Times New Roman" w:hAnsi="Arial" w:cs="Arial"/>
                <w:sz w:val="16"/>
                <w:szCs w:val="16"/>
                <w:lang w:val="en-US" w:eastAsia="en-US"/>
              </w:rPr>
            </w:pPr>
            <w:r w:rsidRPr="00544576">
              <w:rPr>
                <w:rFonts w:ascii="Arial" w:eastAsia="Times New Roman" w:hAnsi="Arial" w:cs="Arial"/>
                <w:b/>
                <w:sz w:val="16"/>
                <w:szCs w:val="16"/>
                <w:lang w:val="en-US" w:eastAsia="en-US"/>
              </w:rPr>
              <w:t>Inclusion criteria</w:t>
            </w:r>
          </w:p>
        </w:tc>
        <w:tc>
          <w:tcPr>
            <w:tcW w:w="1843" w:type="dxa"/>
            <w:tcBorders>
              <w:top w:val="single" w:sz="4" w:space="0" w:color="000000"/>
              <w:bottom w:val="single" w:sz="4" w:space="0" w:color="000000"/>
            </w:tcBorders>
            <w:tcMar>
              <w:left w:w="0" w:type="dxa"/>
              <w:right w:w="0" w:type="dxa"/>
            </w:tcMar>
            <w:vAlign w:val="center"/>
          </w:tcPr>
          <w:p w14:paraId="3C9DBA7E" w14:textId="77777777" w:rsidR="00544576" w:rsidRPr="00544576" w:rsidRDefault="00544576" w:rsidP="00544576">
            <w:pPr>
              <w:jc w:val="center"/>
              <w:rPr>
                <w:rFonts w:ascii="Arial" w:eastAsia="Times New Roman" w:hAnsi="Arial" w:cs="Arial"/>
                <w:sz w:val="16"/>
                <w:szCs w:val="16"/>
                <w:lang w:val="en-US" w:eastAsia="en-US"/>
              </w:rPr>
            </w:pPr>
            <w:r w:rsidRPr="00544576">
              <w:rPr>
                <w:rFonts w:ascii="Arial" w:eastAsia="Times New Roman" w:hAnsi="Arial" w:cs="Arial"/>
                <w:b/>
                <w:sz w:val="16"/>
                <w:szCs w:val="16"/>
                <w:lang w:val="en-US" w:eastAsia="en-US"/>
              </w:rPr>
              <w:t>Assessments</w:t>
            </w:r>
          </w:p>
        </w:tc>
        <w:tc>
          <w:tcPr>
            <w:tcW w:w="1984" w:type="dxa"/>
            <w:gridSpan w:val="2"/>
            <w:tcBorders>
              <w:bottom w:val="single" w:sz="4" w:space="0" w:color="000000"/>
            </w:tcBorders>
            <w:tcMar>
              <w:left w:w="0" w:type="dxa"/>
              <w:right w:w="0" w:type="dxa"/>
            </w:tcMar>
            <w:vAlign w:val="center"/>
          </w:tcPr>
          <w:p w14:paraId="0A085A17" w14:textId="77777777" w:rsidR="00544576" w:rsidRPr="00544576" w:rsidRDefault="00544576" w:rsidP="00544576">
            <w:pPr>
              <w:jc w:val="center"/>
              <w:rPr>
                <w:rFonts w:ascii="Arial" w:eastAsia="Times New Roman" w:hAnsi="Arial" w:cs="Arial"/>
                <w:sz w:val="16"/>
                <w:szCs w:val="16"/>
                <w:lang w:val="en-US" w:eastAsia="en-US"/>
              </w:rPr>
            </w:pPr>
            <w:r w:rsidRPr="00544576">
              <w:rPr>
                <w:rFonts w:ascii="Arial" w:eastAsia="Times New Roman" w:hAnsi="Arial" w:cs="Arial"/>
                <w:b/>
                <w:sz w:val="16"/>
                <w:szCs w:val="16"/>
                <w:lang w:val="en-US" w:eastAsia="en-US"/>
              </w:rPr>
              <w:t>Conclusion</w:t>
            </w:r>
          </w:p>
        </w:tc>
      </w:tr>
      <w:tr w:rsidR="00544576" w:rsidRPr="00544576" w14:paraId="2A9728CF" w14:textId="77777777" w:rsidTr="00544576">
        <w:trPr>
          <w:trHeight w:val="939"/>
        </w:trPr>
        <w:tc>
          <w:tcPr>
            <w:tcW w:w="1560" w:type="dxa"/>
            <w:tcBorders>
              <w:top w:val="single" w:sz="4" w:space="0" w:color="000000"/>
            </w:tcBorders>
            <w:shd w:val="clear" w:color="auto" w:fill="D9D9D9"/>
            <w:vAlign w:val="center"/>
          </w:tcPr>
          <w:p w14:paraId="0993D502" w14:textId="77777777" w:rsidR="00544576" w:rsidRPr="00544576" w:rsidRDefault="00544576" w:rsidP="00544576">
            <w:pPr>
              <w:widowControl w:val="0"/>
              <w:ind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lastRenderedPageBreak/>
              <w:t>Hong</w:t>
            </w:r>
            <w:r w:rsidRPr="00544576">
              <w:rPr>
                <w:rFonts w:ascii="Arial" w:eastAsia="Times New Roman" w:hAnsi="Arial" w:cs="Arial"/>
                <w:i/>
                <w:sz w:val="16"/>
                <w:szCs w:val="16"/>
                <w:lang w:val="en-US" w:eastAsia="en-US"/>
              </w:rPr>
              <w:t xml:space="preserve"> et al.</w:t>
            </w:r>
            <w:r w:rsidRPr="00544576">
              <w:rPr>
                <w:rFonts w:ascii="Arial" w:eastAsia="Times New Roman" w:hAnsi="Arial" w:cs="Arial"/>
                <w:sz w:val="16"/>
                <w:szCs w:val="16"/>
                <w:lang w:val="en-US" w:eastAsia="en-US"/>
              </w:rPr>
              <w:t xml:space="preserve">, </w:t>
            </w:r>
          </w:p>
          <w:p w14:paraId="075F5C8F" w14:textId="77777777" w:rsidR="00544576" w:rsidRPr="00544576" w:rsidRDefault="00544576" w:rsidP="00544576">
            <w:pPr>
              <w:widowControl w:val="0"/>
              <w:ind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2004 / USA</w:t>
            </w:r>
          </w:p>
          <w:p w14:paraId="706EA194" w14:textId="77777777" w:rsidR="00544576" w:rsidRPr="00544576" w:rsidRDefault="00544576" w:rsidP="00544576">
            <w:pPr>
              <w:widowControl w:val="0"/>
              <w:ind w:right="-113"/>
              <w:jc w:val="center"/>
              <w:rPr>
                <w:rFonts w:ascii="Arial" w:eastAsia="Times New Roman" w:hAnsi="Arial" w:cs="Arial"/>
                <w:sz w:val="16"/>
                <w:szCs w:val="16"/>
                <w:highlight w:val="white"/>
                <w:lang w:val="en-US" w:eastAsia="en-US"/>
              </w:rPr>
            </w:pPr>
            <w:r w:rsidRPr="00544576">
              <w:rPr>
                <w:rFonts w:ascii="Arial" w:eastAsia="Times New Roman" w:hAnsi="Arial" w:cs="Arial"/>
                <w:sz w:val="16"/>
                <w:szCs w:val="16"/>
                <w:lang w:val="en-US" w:eastAsia="en-US"/>
              </w:rPr>
              <w:t>Prospective cohort</w:t>
            </w:r>
          </w:p>
        </w:tc>
        <w:tc>
          <w:tcPr>
            <w:tcW w:w="709" w:type="dxa"/>
            <w:tcBorders>
              <w:top w:val="single" w:sz="4" w:space="0" w:color="000000"/>
            </w:tcBorders>
            <w:shd w:val="clear" w:color="auto" w:fill="D9D9D9"/>
            <w:vAlign w:val="center"/>
          </w:tcPr>
          <w:p w14:paraId="5F399D7B" w14:textId="77777777" w:rsidR="00544576" w:rsidRPr="00544576" w:rsidRDefault="00544576" w:rsidP="00544576">
            <w:pPr>
              <w:ind w:left="-112"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490 children</w:t>
            </w:r>
          </w:p>
        </w:tc>
        <w:tc>
          <w:tcPr>
            <w:tcW w:w="2126" w:type="dxa"/>
            <w:tcBorders>
              <w:top w:val="single" w:sz="4" w:space="0" w:color="000000"/>
            </w:tcBorders>
            <w:shd w:val="clear" w:color="auto" w:fill="D9D9D9"/>
            <w:vAlign w:val="center"/>
          </w:tcPr>
          <w:p w14:paraId="405B551F" w14:textId="77777777" w:rsidR="00544576" w:rsidRPr="00544576" w:rsidRDefault="00544576" w:rsidP="00544576">
            <w:pPr>
              <w:ind w:left="-102"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Investigate the association between amoxicillin in the first year of life and the occurrence of fluorosis in primary teeth</w:t>
            </w:r>
          </w:p>
        </w:tc>
        <w:tc>
          <w:tcPr>
            <w:tcW w:w="1701" w:type="dxa"/>
            <w:tcBorders>
              <w:top w:val="single" w:sz="4" w:space="0" w:color="000000"/>
            </w:tcBorders>
            <w:shd w:val="clear" w:color="auto" w:fill="D9D9D9"/>
            <w:vAlign w:val="center"/>
          </w:tcPr>
          <w:p w14:paraId="0ADD4D26" w14:textId="77777777" w:rsidR="00544576" w:rsidRPr="00544576" w:rsidRDefault="00544576" w:rsidP="00544576">
            <w:pPr>
              <w:ind w:left="-112" w:right="-113" w:firstLine="112"/>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Children born between 1992–1995 with data on antibiotic and fluoride use during the first year</w:t>
            </w:r>
          </w:p>
        </w:tc>
        <w:tc>
          <w:tcPr>
            <w:tcW w:w="1843" w:type="dxa"/>
            <w:tcBorders>
              <w:top w:val="single" w:sz="4" w:space="0" w:color="000000"/>
            </w:tcBorders>
            <w:shd w:val="clear" w:color="auto" w:fill="D9D9D9"/>
            <w:vAlign w:val="center"/>
          </w:tcPr>
          <w:p w14:paraId="66E557D6" w14:textId="77777777" w:rsidR="00544576" w:rsidRPr="00544576" w:rsidRDefault="00544576" w:rsidP="00544576">
            <w:pPr>
              <w:ind w:left="-106" w:right="-113" w:firstLine="106"/>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Periodic questionnaires and dental examination to assess TSIF at age 5</w:t>
            </w:r>
          </w:p>
        </w:tc>
        <w:tc>
          <w:tcPr>
            <w:tcW w:w="1984" w:type="dxa"/>
            <w:gridSpan w:val="2"/>
            <w:tcBorders>
              <w:top w:val="single" w:sz="4" w:space="0" w:color="000000"/>
            </w:tcBorders>
            <w:shd w:val="clear" w:color="auto" w:fill="D9D9D9"/>
            <w:vAlign w:val="center"/>
          </w:tcPr>
          <w:p w14:paraId="07678CF4" w14:textId="77777777" w:rsidR="00544576" w:rsidRPr="00544576" w:rsidRDefault="00544576" w:rsidP="00544576">
            <w:pPr>
              <w:ind w:left="-108" w:right="-113" w:firstLine="108"/>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Fluoride was the strongest predictor of fluorosis. Amoxicillin may be a contributing factor.</w:t>
            </w:r>
          </w:p>
        </w:tc>
      </w:tr>
      <w:tr w:rsidR="00544576" w:rsidRPr="00544576" w14:paraId="0F3045DB" w14:textId="77777777" w:rsidTr="00032711">
        <w:trPr>
          <w:trHeight w:val="1224"/>
        </w:trPr>
        <w:tc>
          <w:tcPr>
            <w:tcW w:w="1560" w:type="dxa"/>
            <w:vAlign w:val="center"/>
          </w:tcPr>
          <w:p w14:paraId="04056193" w14:textId="77777777" w:rsidR="00544576" w:rsidRPr="00544576" w:rsidRDefault="00544576" w:rsidP="00544576">
            <w:pPr>
              <w:ind w:right="-113"/>
              <w:jc w:val="center"/>
              <w:rPr>
                <w:rFonts w:ascii="Arial" w:eastAsia="Times New Roman" w:hAnsi="Arial" w:cs="Arial"/>
                <w:sz w:val="16"/>
                <w:szCs w:val="16"/>
                <w:highlight w:val="white"/>
                <w:lang w:val="en-US" w:eastAsia="en-US"/>
              </w:rPr>
            </w:pPr>
            <w:r w:rsidRPr="00544576">
              <w:rPr>
                <w:rFonts w:ascii="Arial" w:eastAsia="Times New Roman" w:hAnsi="Arial" w:cs="Arial"/>
                <w:sz w:val="16"/>
                <w:szCs w:val="16"/>
                <w:highlight w:val="white"/>
                <w:lang w:val="en-US" w:eastAsia="en-US"/>
              </w:rPr>
              <w:t xml:space="preserve">Hong </w:t>
            </w:r>
            <w:r w:rsidRPr="00544576">
              <w:rPr>
                <w:rFonts w:ascii="Arial" w:eastAsia="Times New Roman" w:hAnsi="Arial" w:cs="Arial"/>
                <w:i/>
                <w:sz w:val="16"/>
                <w:szCs w:val="16"/>
                <w:highlight w:val="white"/>
                <w:lang w:val="en-US" w:eastAsia="en-US"/>
              </w:rPr>
              <w:t>et al.</w:t>
            </w:r>
            <w:r w:rsidRPr="00544576">
              <w:rPr>
                <w:rFonts w:ascii="Arial" w:eastAsia="Times New Roman" w:hAnsi="Arial" w:cs="Arial"/>
                <w:sz w:val="16"/>
                <w:szCs w:val="16"/>
                <w:highlight w:val="white"/>
                <w:lang w:val="en-US" w:eastAsia="en-US"/>
              </w:rPr>
              <w:t xml:space="preserve">, </w:t>
            </w:r>
          </w:p>
          <w:p w14:paraId="5D7CE5BE" w14:textId="77777777" w:rsidR="00544576" w:rsidRPr="00544576" w:rsidRDefault="00544576" w:rsidP="00544576">
            <w:pPr>
              <w:ind w:right="-113"/>
              <w:jc w:val="center"/>
              <w:rPr>
                <w:rFonts w:ascii="Arial" w:eastAsia="Times New Roman" w:hAnsi="Arial" w:cs="Arial"/>
                <w:sz w:val="16"/>
                <w:szCs w:val="16"/>
                <w:highlight w:val="white"/>
                <w:lang w:val="en-US" w:eastAsia="en-US"/>
              </w:rPr>
            </w:pPr>
            <w:r w:rsidRPr="00544576">
              <w:rPr>
                <w:rFonts w:ascii="Arial" w:eastAsia="Times New Roman" w:hAnsi="Arial" w:cs="Arial"/>
                <w:sz w:val="16"/>
                <w:szCs w:val="16"/>
                <w:highlight w:val="white"/>
                <w:lang w:val="en-US" w:eastAsia="en-US"/>
              </w:rPr>
              <w:t>2005 / USA</w:t>
            </w:r>
          </w:p>
          <w:p w14:paraId="1B86A3B6" w14:textId="77777777" w:rsidR="00544576" w:rsidRPr="00544576" w:rsidRDefault="00544576" w:rsidP="00544576">
            <w:pPr>
              <w:ind w:right="-113"/>
              <w:jc w:val="center"/>
              <w:rPr>
                <w:rFonts w:ascii="Arial" w:eastAsia="Times New Roman" w:hAnsi="Arial" w:cs="Arial"/>
                <w:sz w:val="16"/>
                <w:szCs w:val="16"/>
                <w:highlight w:val="white"/>
                <w:lang w:val="en-US" w:eastAsia="en-US"/>
              </w:rPr>
            </w:pPr>
            <w:r w:rsidRPr="00544576">
              <w:rPr>
                <w:rFonts w:ascii="Arial" w:eastAsia="Times New Roman" w:hAnsi="Arial" w:cs="Arial"/>
                <w:sz w:val="16"/>
                <w:szCs w:val="16"/>
                <w:highlight w:val="white"/>
                <w:lang w:val="en-US" w:eastAsia="en-US"/>
              </w:rPr>
              <w:t>Prospective cohort</w:t>
            </w:r>
          </w:p>
        </w:tc>
        <w:tc>
          <w:tcPr>
            <w:tcW w:w="709" w:type="dxa"/>
            <w:vAlign w:val="center"/>
          </w:tcPr>
          <w:p w14:paraId="17432FFF" w14:textId="77777777" w:rsidR="00544576" w:rsidRPr="00544576" w:rsidRDefault="00544576" w:rsidP="00544576">
            <w:pPr>
              <w:ind w:left="-112" w:right="-113" w:hanging="142"/>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 xml:space="preserve"> 579 children</w:t>
            </w:r>
          </w:p>
        </w:tc>
        <w:tc>
          <w:tcPr>
            <w:tcW w:w="2126" w:type="dxa"/>
            <w:vAlign w:val="center"/>
          </w:tcPr>
          <w:p w14:paraId="079509EE" w14:textId="77777777" w:rsidR="00544576" w:rsidRPr="00544576" w:rsidRDefault="00544576" w:rsidP="00544576">
            <w:pPr>
              <w:ind w:left="-108"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 xml:space="preserve">Evaluate the association between amoxicillin in use the first year of life and DDE, focusing on fluorosis in early-erupting </w:t>
            </w:r>
          </w:p>
          <w:p w14:paraId="7BAA9D17" w14:textId="77777777" w:rsidR="00544576" w:rsidRPr="00544576" w:rsidRDefault="00544576" w:rsidP="00544576">
            <w:pPr>
              <w:ind w:left="-108"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permanent teeth</w:t>
            </w:r>
          </w:p>
        </w:tc>
        <w:tc>
          <w:tcPr>
            <w:tcW w:w="1701" w:type="dxa"/>
            <w:vAlign w:val="center"/>
          </w:tcPr>
          <w:p w14:paraId="5B596CF2" w14:textId="77777777" w:rsidR="00544576" w:rsidRPr="00544576" w:rsidRDefault="00544576" w:rsidP="00544576">
            <w:pPr>
              <w:ind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Children born between 1992–1995 with complete data on antibiotic use</w:t>
            </w:r>
          </w:p>
        </w:tc>
        <w:tc>
          <w:tcPr>
            <w:tcW w:w="1843" w:type="dxa"/>
            <w:vAlign w:val="center"/>
          </w:tcPr>
          <w:p w14:paraId="10B567D8" w14:textId="77777777" w:rsidR="00544576" w:rsidRPr="00544576" w:rsidRDefault="00544576" w:rsidP="00544576">
            <w:pPr>
              <w:ind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Periodic questionnaires; assessment of fluorosis in permanent central incisors and molars at age 9 using the FRI</w:t>
            </w:r>
          </w:p>
        </w:tc>
        <w:tc>
          <w:tcPr>
            <w:tcW w:w="1984" w:type="dxa"/>
            <w:gridSpan w:val="2"/>
            <w:vAlign w:val="center"/>
          </w:tcPr>
          <w:p w14:paraId="1A5D7A79" w14:textId="77777777" w:rsidR="00544576" w:rsidRPr="00544576" w:rsidRDefault="00544576" w:rsidP="00544576">
            <w:pPr>
              <w:ind w:left="-108"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Results suggest a link between childhood amoxicillin use and DDE in permanent teeth (fluorosis in upper central incisors and 1st PM)</w:t>
            </w:r>
          </w:p>
        </w:tc>
      </w:tr>
      <w:tr w:rsidR="00544576" w:rsidRPr="00544576" w14:paraId="0AAC86B6" w14:textId="77777777" w:rsidTr="00544576">
        <w:trPr>
          <w:trHeight w:val="930"/>
        </w:trPr>
        <w:tc>
          <w:tcPr>
            <w:tcW w:w="1560" w:type="dxa"/>
            <w:shd w:val="clear" w:color="auto" w:fill="D9D9D9"/>
            <w:vAlign w:val="center"/>
          </w:tcPr>
          <w:p w14:paraId="49F4AA7D" w14:textId="77777777" w:rsidR="00544576" w:rsidRPr="00544576" w:rsidRDefault="00544576" w:rsidP="00544576">
            <w:pPr>
              <w:ind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 xml:space="preserve">Hong </w:t>
            </w:r>
            <w:r w:rsidRPr="00544576">
              <w:rPr>
                <w:rFonts w:ascii="Arial" w:eastAsia="Times New Roman" w:hAnsi="Arial" w:cs="Arial"/>
                <w:i/>
                <w:sz w:val="16"/>
                <w:szCs w:val="16"/>
                <w:lang w:val="en-US" w:eastAsia="en-US"/>
              </w:rPr>
              <w:t>et al.,</w:t>
            </w:r>
            <w:r w:rsidRPr="00544576">
              <w:rPr>
                <w:rFonts w:ascii="Arial" w:eastAsia="Times New Roman" w:hAnsi="Arial" w:cs="Arial"/>
                <w:sz w:val="16"/>
                <w:szCs w:val="16"/>
                <w:lang w:val="en-US" w:eastAsia="en-US"/>
              </w:rPr>
              <w:t xml:space="preserve"> </w:t>
            </w:r>
          </w:p>
          <w:p w14:paraId="4A3D65A3" w14:textId="77777777" w:rsidR="00544576" w:rsidRPr="00544576" w:rsidRDefault="00544576" w:rsidP="00544576">
            <w:pPr>
              <w:ind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2011 / USA</w:t>
            </w:r>
          </w:p>
          <w:p w14:paraId="3070EB18" w14:textId="77777777" w:rsidR="00544576" w:rsidRPr="00544576" w:rsidRDefault="00544576" w:rsidP="00544576">
            <w:pPr>
              <w:ind w:right="-113"/>
              <w:jc w:val="center"/>
              <w:rPr>
                <w:rFonts w:ascii="Arial" w:eastAsia="Times New Roman" w:hAnsi="Arial" w:cs="Arial"/>
                <w:sz w:val="16"/>
                <w:szCs w:val="16"/>
                <w:highlight w:val="white"/>
                <w:lang w:val="en-US" w:eastAsia="en-US"/>
              </w:rPr>
            </w:pPr>
            <w:r w:rsidRPr="00544576">
              <w:rPr>
                <w:rFonts w:ascii="Arial" w:eastAsia="Times New Roman" w:hAnsi="Arial" w:cs="Arial"/>
                <w:sz w:val="16"/>
                <w:szCs w:val="16"/>
                <w:lang w:val="en-US" w:eastAsia="en-US"/>
              </w:rPr>
              <w:t>Prospective cohort</w:t>
            </w:r>
          </w:p>
        </w:tc>
        <w:tc>
          <w:tcPr>
            <w:tcW w:w="709" w:type="dxa"/>
            <w:shd w:val="clear" w:color="auto" w:fill="D9D9D9"/>
            <w:vAlign w:val="center"/>
          </w:tcPr>
          <w:p w14:paraId="76F7B921" w14:textId="77777777" w:rsidR="00544576" w:rsidRPr="00544576" w:rsidRDefault="00544576" w:rsidP="00544576">
            <w:pPr>
              <w:ind w:left="-112"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357 children</w:t>
            </w:r>
          </w:p>
        </w:tc>
        <w:tc>
          <w:tcPr>
            <w:tcW w:w="2126" w:type="dxa"/>
            <w:shd w:val="clear" w:color="auto" w:fill="D9D9D9"/>
            <w:vAlign w:val="center"/>
          </w:tcPr>
          <w:p w14:paraId="188616C9" w14:textId="77777777" w:rsidR="00544576" w:rsidRPr="00544576" w:rsidRDefault="00544576" w:rsidP="00544576">
            <w:pPr>
              <w:ind w:left="-108"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Assess whether early childhood use of amoxicillin is associated with fluorosis in late-erupting permanent teeth</w:t>
            </w:r>
          </w:p>
        </w:tc>
        <w:tc>
          <w:tcPr>
            <w:tcW w:w="1701" w:type="dxa"/>
            <w:shd w:val="clear" w:color="auto" w:fill="D9D9D9"/>
            <w:vAlign w:val="center"/>
          </w:tcPr>
          <w:p w14:paraId="6B24D0CB" w14:textId="77777777" w:rsidR="00544576" w:rsidRPr="00544576" w:rsidRDefault="00544576" w:rsidP="00544576">
            <w:pPr>
              <w:ind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Children born between 1992–1995 with complete antibiotic use data</w:t>
            </w:r>
          </w:p>
        </w:tc>
        <w:tc>
          <w:tcPr>
            <w:tcW w:w="1843" w:type="dxa"/>
            <w:shd w:val="clear" w:color="auto" w:fill="D9D9D9"/>
            <w:vAlign w:val="center"/>
          </w:tcPr>
          <w:p w14:paraId="7E6AE94A" w14:textId="77777777" w:rsidR="00544576" w:rsidRPr="00544576" w:rsidRDefault="00544576" w:rsidP="00544576">
            <w:pPr>
              <w:ind w:left="-106"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Amoxicillin use assessed by questionnaires up to 32 months; fluorosis assessed at age 13 using FRI</w:t>
            </w:r>
          </w:p>
        </w:tc>
        <w:tc>
          <w:tcPr>
            <w:tcW w:w="1984" w:type="dxa"/>
            <w:gridSpan w:val="2"/>
            <w:shd w:val="clear" w:color="auto" w:fill="D9D9D9"/>
            <w:vAlign w:val="center"/>
          </w:tcPr>
          <w:p w14:paraId="6684AB4D" w14:textId="77777777" w:rsidR="00544576" w:rsidRPr="00544576" w:rsidRDefault="00544576" w:rsidP="00544576">
            <w:pPr>
              <w:ind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Early childhood use of amoxicillin may be a risk factor for fluorosis in late-erupting permanent teeth</w:t>
            </w:r>
          </w:p>
        </w:tc>
      </w:tr>
      <w:tr w:rsidR="00544576" w:rsidRPr="00544576" w14:paraId="259B3D09" w14:textId="77777777" w:rsidTr="00032711">
        <w:trPr>
          <w:trHeight w:val="917"/>
        </w:trPr>
        <w:tc>
          <w:tcPr>
            <w:tcW w:w="1560" w:type="dxa"/>
            <w:vAlign w:val="center"/>
          </w:tcPr>
          <w:p w14:paraId="17B8B083" w14:textId="77777777" w:rsidR="00544576" w:rsidRPr="00544576" w:rsidRDefault="00544576" w:rsidP="00544576">
            <w:pPr>
              <w:ind w:right="-113"/>
              <w:jc w:val="center"/>
              <w:rPr>
                <w:rFonts w:ascii="Arial" w:eastAsia="Times New Roman" w:hAnsi="Arial" w:cs="Arial"/>
                <w:sz w:val="16"/>
                <w:szCs w:val="16"/>
                <w:highlight w:val="white"/>
                <w:lang w:val="en-US" w:eastAsia="en-US"/>
              </w:rPr>
            </w:pPr>
            <w:r w:rsidRPr="00544576">
              <w:rPr>
                <w:rFonts w:ascii="Arial" w:eastAsia="Times New Roman" w:hAnsi="Arial" w:cs="Arial"/>
                <w:sz w:val="16"/>
                <w:szCs w:val="16"/>
                <w:highlight w:val="white"/>
                <w:lang w:val="en-US" w:eastAsia="en-US"/>
              </w:rPr>
              <w:t>Elfrink</w:t>
            </w:r>
            <w:r w:rsidRPr="00544576">
              <w:rPr>
                <w:rFonts w:ascii="Arial" w:eastAsia="Times New Roman" w:hAnsi="Arial" w:cs="Arial"/>
                <w:i/>
                <w:sz w:val="16"/>
                <w:szCs w:val="16"/>
                <w:highlight w:val="white"/>
                <w:lang w:val="en-US" w:eastAsia="en-US"/>
              </w:rPr>
              <w:t xml:space="preserve"> et al.</w:t>
            </w:r>
            <w:r w:rsidRPr="00544576">
              <w:rPr>
                <w:rFonts w:ascii="Arial" w:eastAsia="Times New Roman" w:hAnsi="Arial" w:cs="Arial"/>
                <w:sz w:val="16"/>
                <w:szCs w:val="16"/>
                <w:highlight w:val="white"/>
                <w:lang w:val="en-US" w:eastAsia="en-US"/>
              </w:rPr>
              <w:t xml:space="preserve">,  </w:t>
            </w:r>
          </w:p>
          <w:p w14:paraId="23585481" w14:textId="77777777" w:rsidR="00544576" w:rsidRPr="00544576" w:rsidRDefault="00544576" w:rsidP="00544576">
            <w:pPr>
              <w:ind w:right="-113"/>
              <w:jc w:val="center"/>
              <w:rPr>
                <w:rFonts w:ascii="Arial" w:eastAsia="Times New Roman" w:hAnsi="Arial" w:cs="Arial"/>
                <w:sz w:val="16"/>
                <w:szCs w:val="16"/>
                <w:highlight w:val="white"/>
                <w:lang w:val="en-US" w:eastAsia="en-US"/>
              </w:rPr>
            </w:pPr>
            <w:r w:rsidRPr="00544576">
              <w:rPr>
                <w:rFonts w:ascii="Arial" w:eastAsia="Times New Roman" w:hAnsi="Arial" w:cs="Arial"/>
                <w:sz w:val="16"/>
                <w:szCs w:val="16"/>
                <w:highlight w:val="white"/>
                <w:lang w:val="en-US" w:eastAsia="en-US"/>
              </w:rPr>
              <w:t>2013 / Netherlands</w:t>
            </w:r>
          </w:p>
          <w:p w14:paraId="0EAE9436" w14:textId="77777777" w:rsidR="00544576" w:rsidRPr="00544576" w:rsidRDefault="00544576" w:rsidP="00544576">
            <w:pPr>
              <w:ind w:right="-113"/>
              <w:jc w:val="center"/>
              <w:rPr>
                <w:rFonts w:ascii="Arial" w:eastAsia="Times New Roman" w:hAnsi="Arial" w:cs="Arial"/>
                <w:sz w:val="16"/>
                <w:szCs w:val="16"/>
                <w:highlight w:val="white"/>
                <w:lang w:val="en-US" w:eastAsia="en-US"/>
              </w:rPr>
            </w:pPr>
            <w:r w:rsidRPr="00544576">
              <w:rPr>
                <w:rFonts w:ascii="Arial" w:eastAsia="Times New Roman" w:hAnsi="Arial" w:cs="Arial"/>
                <w:sz w:val="16"/>
                <w:szCs w:val="16"/>
                <w:highlight w:val="white"/>
                <w:lang w:val="en-US" w:eastAsia="en-US"/>
              </w:rPr>
              <w:t>Prospective cohort</w:t>
            </w:r>
          </w:p>
        </w:tc>
        <w:tc>
          <w:tcPr>
            <w:tcW w:w="709" w:type="dxa"/>
            <w:vAlign w:val="center"/>
          </w:tcPr>
          <w:p w14:paraId="5A7889B2" w14:textId="77777777" w:rsidR="00544576" w:rsidRPr="00544576" w:rsidRDefault="00544576" w:rsidP="00544576">
            <w:pPr>
              <w:ind w:left="-112"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6.690 children</w:t>
            </w:r>
          </w:p>
        </w:tc>
        <w:tc>
          <w:tcPr>
            <w:tcW w:w="2126" w:type="dxa"/>
            <w:vAlign w:val="center"/>
          </w:tcPr>
          <w:p w14:paraId="5D4766B3" w14:textId="77777777" w:rsidR="00544576" w:rsidRPr="00544576" w:rsidRDefault="00544576" w:rsidP="00544576">
            <w:pPr>
              <w:ind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 xml:space="preserve">Investigate whether antibacterial, antiallergic, and </w:t>
            </w:r>
            <w:proofErr w:type="spellStart"/>
            <w:r w:rsidRPr="00544576">
              <w:rPr>
                <w:rFonts w:ascii="Arial" w:eastAsia="Times New Roman" w:hAnsi="Arial" w:cs="Arial"/>
                <w:sz w:val="16"/>
                <w:szCs w:val="16"/>
                <w:lang w:val="en-US" w:eastAsia="en-US"/>
              </w:rPr>
              <w:t>antiasthmatic</w:t>
            </w:r>
            <w:proofErr w:type="spellEnd"/>
            <w:r w:rsidRPr="00544576">
              <w:rPr>
                <w:rFonts w:ascii="Arial" w:eastAsia="Times New Roman" w:hAnsi="Arial" w:cs="Arial"/>
                <w:sz w:val="16"/>
                <w:szCs w:val="16"/>
                <w:lang w:val="en-US" w:eastAsia="en-US"/>
              </w:rPr>
              <w:t xml:space="preserve"> drugs are associated with </w:t>
            </w:r>
            <w:proofErr w:type="spellStart"/>
            <w:r w:rsidRPr="00544576">
              <w:rPr>
                <w:rFonts w:ascii="Arial" w:eastAsia="Times New Roman" w:hAnsi="Arial" w:cs="Arial"/>
                <w:sz w:val="16"/>
                <w:szCs w:val="16"/>
                <w:lang w:val="en-US" w:eastAsia="en-US"/>
              </w:rPr>
              <w:t>dMIH</w:t>
            </w:r>
            <w:proofErr w:type="spellEnd"/>
          </w:p>
        </w:tc>
        <w:tc>
          <w:tcPr>
            <w:tcW w:w="1701" w:type="dxa"/>
            <w:vAlign w:val="center"/>
          </w:tcPr>
          <w:p w14:paraId="173BD698" w14:textId="77777777" w:rsidR="00544576" w:rsidRPr="00544576" w:rsidRDefault="00544576" w:rsidP="00544576">
            <w:pPr>
              <w:ind w:left="-112"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Data on maternal medication use during pregnancy; photos of children's primary molars</w:t>
            </w:r>
          </w:p>
        </w:tc>
        <w:tc>
          <w:tcPr>
            <w:tcW w:w="1843" w:type="dxa"/>
            <w:vAlign w:val="center"/>
          </w:tcPr>
          <w:p w14:paraId="6DA43878" w14:textId="77777777" w:rsidR="00544576" w:rsidRPr="00544576" w:rsidRDefault="00544576" w:rsidP="00544576">
            <w:pPr>
              <w:ind w:left="-106"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 xml:space="preserve">Exposure assessed via pharmacy records; </w:t>
            </w:r>
            <w:proofErr w:type="spellStart"/>
            <w:r w:rsidRPr="00544576">
              <w:rPr>
                <w:rFonts w:ascii="Arial" w:eastAsia="Times New Roman" w:hAnsi="Arial" w:cs="Arial"/>
                <w:sz w:val="16"/>
                <w:szCs w:val="16"/>
                <w:lang w:val="en-US" w:eastAsia="en-US"/>
              </w:rPr>
              <w:t>dmHMI</w:t>
            </w:r>
            <w:proofErr w:type="spellEnd"/>
            <w:r w:rsidRPr="00544576">
              <w:rPr>
                <w:rFonts w:ascii="Arial" w:eastAsia="Times New Roman" w:hAnsi="Arial" w:cs="Arial"/>
                <w:sz w:val="16"/>
                <w:szCs w:val="16"/>
                <w:lang w:val="en-US" w:eastAsia="en-US"/>
              </w:rPr>
              <w:t xml:space="preserve"> diagnosed from photographs using EAPD criteria</w:t>
            </w:r>
          </w:p>
        </w:tc>
        <w:tc>
          <w:tcPr>
            <w:tcW w:w="1984" w:type="dxa"/>
            <w:gridSpan w:val="2"/>
            <w:vAlign w:val="center"/>
          </w:tcPr>
          <w:p w14:paraId="501736B9" w14:textId="77777777" w:rsidR="00544576" w:rsidRPr="00544576" w:rsidRDefault="00544576" w:rsidP="00544576">
            <w:pPr>
              <w:ind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 xml:space="preserve">No significant association between maternal medication use during pregnancy and </w:t>
            </w:r>
            <w:proofErr w:type="spellStart"/>
            <w:r w:rsidRPr="00544576">
              <w:rPr>
                <w:rFonts w:ascii="Arial" w:eastAsia="Times New Roman" w:hAnsi="Arial" w:cs="Arial"/>
                <w:sz w:val="16"/>
                <w:szCs w:val="16"/>
                <w:lang w:val="en-US" w:eastAsia="en-US"/>
              </w:rPr>
              <w:t>dmHMI</w:t>
            </w:r>
            <w:proofErr w:type="spellEnd"/>
          </w:p>
        </w:tc>
      </w:tr>
      <w:tr w:rsidR="00544576" w:rsidRPr="00544576" w14:paraId="29E8339A" w14:textId="77777777" w:rsidTr="00544576">
        <w:trPr>
          <w:trHeight w:val="1129"/>
        </w:trPr>
        <w:tc>
          <w:tcPr>
            <w:tcW w:w="1560" w:type="dxa"/>
            <w:shd w:val="clear" w:color="auto" w:fill="D9D9D9"/>
            <w:vAlign w:val="center"/>
          </w:tcPr>
          <w:p w14:paraId="4F815657" w14:textId="77777777" w:rsidR="00544576" w:rsidRPr="00544576" w:rsidRDefault="00544576" w:rsidP="00544576">
            <w:pPr>
              <w:ind w:right="-113"/>
              <w:jc w:val="center"/>
              <w:rPr>
                <w:rFonts w:ascii="Arial" w:eastAsia="Times New Roman" w:hAnsi="Arial" w:cs="Arial"/>
                <w:i/>
                <w:sz w:val="16"/>
                <w:szCs w:val="16"/>
                <w:lang w:val="pt-BR" w:eastAsia="en-US"/>
              </w:rPr>
            </w:pPr>
            <w:r w:rsidRPr="00544576">
              <w:rPr>
                <w:rFonts w:ascii="Arial" w:eastAsia="Times New Roman" w:hAnsi="Arial" w:cs="Arial"/>
                <w:sz w:val="16"/>
                <w:szCs w:val="16"/>
                <w:lang w:val="pt-BR" w:eastAsia="en-US"/>
              </w:rPr>
              <w:t>Owosho</w:t>
            </w:r>
            <w:r w:rsidRPr="00544576">
              <w:rPr>
                <w:rFonts w:ascii="Arial" w:eastAsia="Times New Roman" w:hAnsi="Arial" w:cs="Arial"/>
                <w:i/>
                <w:sz w:val="16"/>
                <w:szCs w:val="16"/>
                <w:lang w:val="pt-BR" w:eastAsia="en-US"/>
              </w:rPr>
              <w:t xml:space="preserve"> et al.,</w:t>
            </w:r>
          </w:p>
          <w:p w14:paraId="2FDA19CE" w14:textId="77777777" w:rsidR="00544576" w:rsidRPr="00544576" w:rsidRDefault="00544576" w:rsidP="00544576">
            <w:pPr>
              <w:ind w:right="-113"/>
              <w:jc w:val="center"/>
              <w:rPr>
                <w:rFonts w:ascii="Arial" w:eastAsia="Times New Roman" w:hAnsi="Arial" w:cs="Arial"/>
                <w:sz w:val="16"/>
                <w:szCs w:val="16"/>
                <w:lang w:val="pt-BR" w:eastAsia="en-US"/>
              </w:rPr>
            </w:pPr>
            <w:r w:rsidRPr="00544576">
              <w:rPr>
                <w:rFonts w:ascii="Arial" w:eastAsia="Times New Roman" w:hAnsi="Arial" w:cs="Arial"/>
                <w:sz w:val="16"/>
                <w:szCs w:val="16"/>
                <w:lang w:val="pt-BR" w:eastAsia="en-US"/>
              </w:rPr>
              <w:t xml:space="preserve"> 2016 / USA</w:t>
            </w:r>
          </w:p>
          <w:p w14:paraId="5D1CB147" w14:textId="77777777" w:rsidR="00544576" w:rsidRPr="00544576" w:rsidRDefault="00544576" w:rsidP="00544576">
            <w:pPr>
              <w:ind w:right="-113"/>
              <w:jc w:val="center"/>
              <w:rPr>
                <w:rFonts w:ascii="Arial" w:eastAsia="Times New Roman" w:hAnsi="Arial" w:cs="Arial"/>
                <w:sz w:val="16"/>
                <w:szCs w:val="16"/>
                <w:highlight w:val="white"/>
                <w:lang w:val="pt-BR" w:eastAsia="en-US"/>
              </w:rPr>
            </w:pPr>
            <w:r w:rsidRPr="00544576">
              <w:rPr>
                <w:rFonts w:ascii="Arial" w:eastAsia="Times New Roman" w:hAnsi="Arial" w:cs="Arial"/>
                <w:sz w:val="16"/>
                <w:szCs w:val="16"/>
                <w:lang w:val="pt-BR" w:eastAsia="en-US"/>
              </w:rPr>
              <w:t>Retrospective cohort</w:t>
            </w:r>
          </w:p>
        </w:tc>
        <w:tc>
          <w:tcPr>
            <w:tcW w:w="709" w:type="dxa"/>
            <w:shd w:val="clear" w:color="auto" w:fill="D9D9D9"/>
            <w:vAlign w:val="center"/>
          </w:tcPr>
          <w:p w14:paraId="30C9C889" w14:textId="77777777" w:rsidR="00544576" w:rsidRPr="00544576" w:rsidRDefault="00544576" w:rsidP="00544576">
            <w:pPr>
              <w:ind w:left="-112"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13 children</w:t>
            </w:r>
          </w:p>
        </w:tc>
        <w:tc>
          <w:tcPr>
            <w:tcW w:w="2126" w:type="dxa"/>
            <w:shd w:val="clear" w:color="auto" w:fill="D9D9D9"/>
            <w:vAlign w:val="center"/>
          </w:tcPr>
          <w:p w14:paraId="481EFE25" w14:textId="77777777" w:rsidR="00544576" w:rsidRPr="00544576" w:rsidRDefault="00544576" w:rsidP="00544576">
            <w:pPr>
              <w:ind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Investigate long-term effects of Chemo-IMRT on dentofacial development in HNRMS survivors</w:t>
            </w:r>
          </w:p>
        </w:tc>
        <w:tc>
          <w:tcPr>
            <w:tcW w:w="1701" w:type="dxa"/>
            <w:shd w:val="clear" w:color="auto" w:fill="D9D9D9"/>
            <w:vAlign w:val="center"/>
          </w:tcPr>
          <w:p w14:paraId="6808AB21" w14:textId="77777777" w:rsidR="00544576" w:rsidRPr="00544576" w:rsidRDefault="00544576" w:rsidP="00544576">
            <w:pPr>
              <w:ind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Diagnosis of HNRMS; treatment with Chemo-IMRT; ≥5 years post-treatment survival</w:t>
            </w:r>
          </w:p>
        </w:tc>
        <w:tc>
          <w:tcPr>
            <w:tcW w:w="1843" w:type="dxa"/>
            <w:shd w:val="clear" w:color="auto" w:fill="D9D9D9"/>
            <w:vAlign w:val="center"/>
          </w:tcPr>
          <w:p w14:paraId="2F99FB17" w14:textId="77777777" w:rsidR="00544576" w:rsidRPr="00544576" w:rsidRDefault="00544576" w:rsidP="00544576">
            <w:pPr>
              <w:ind w:left="-106" w:right="-113" w:firstLine="106"/>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Evaluation from medical records and radiographs: hypoplasia, dental agenesis, root anomalies, trismus, and xerostomia</w:t>
            </w:r>
          </w:p>
        </w:tc>
        <w:tc>
          <w:tcPr>
            <w:tcW w:w="1984" w:type="dxa"/>
            <w:gridSpan w:val="2"/>
            <w:shd w:val="clear" w:color="auto" w:fill="D9D9D9"/>
            <w:vAlign w:val="center"/>
          </w:tcPr>
          <w:p w14:paraId="41425CA0" w14:textId="77777777" w:rsidR="00544576" w:rsidRPr="00544576" w:rsidRDefault="00544576" w:rsidP="00544576">
            <w:pPr>
              <w:ind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Despite IMRT, dentofacial abnormalities persisted, especially in children ≤ 7 years old</w:t>
            </w:r>
          </w:p>
        </w:tc>
      </w:tr>
      <w:tr w:rsidR="00544576" w:rsidRPr="00544576" w14:paraId="31124A20" w14:textId="77777777" w:rsidTr="00032711">
        <w:trPr>
          <w:trHeight w:val="1177"/>
        </w:trPr>
        <w:tc>
          <w:tcPr>
            <w:tcW w:w="1560" w:type="dxa"/>
            <w:vAlign w:val="center"/>
          </w:tcPr>
          <w:p w14:paraId="4C106DBE" w14:textId="77777777" w:rsidR="00544576" w:rsidRPr="00544576" w:rsidRDefault="00544576" w:rsidP="00544576">
            <w:pPr>
              <w:ind w:left="-120" w:right="-113" w:firstLine="120"/>
              <w:jc w:val="center"/>
              <w:rPr>
                <w:rFonts w:ascii="Arial" w:eastAsia="Times New Roman" w:hAnsi="Arial" w:cs="Arial"/>
                <w:sz w:val="16"/>
                <w:szCs w:val="16"/>
                <w:highlight w:val="white"/>
                <w:lang w:val="en-US" w:eastAsia="en-US"/>
              </w:rPr>
            </w:pPr>
            <w:proofErr w:type="spellStart"/>
            <w:r w:rsidRPr="00544576">
              <w:rPr>
                <w:rFonts w:ascii="Arial" w:eastAsia="Times New Roman" w:hAnsi="Arial" w:cs="Arial"/>
                <w:sz w:val="16"/>
                <w:szCs w:val="16"/>
                <w:highlight w:val="white"/>
                <w:lang w:val="en-US" w:eastAsia="en-US"/>
              </w:rPr>
              <w:t>Kühnisch</w:t>
            </w:r>
            <w:proofErr w:type="spellEnd"/>
            <w:r w:rsidRPr="00544576">
              <w:rPr>
                <w:rFonts w:ascii="Arial" w:eastAsia="Times New Roman" w:hAnsi="Arial" w:cs="Arial"/>
                <w:sz w:val="16"/>
                <w:szCs w:val="16"/>
                <w:highlight w:val="white"/>
                <w:lang w:val="en-US" w:eastAsia="en-US"/>
              </w:rPr>
              <w:t xml:space="preserve"> </w:t>
            </w:r>
            <w:r w:rsidRPr="00544576">
              <w:rPr>
                <w:rFonts w:ascii="Arial" w:eastAsia="Times New Roman" w:hAnsi="Arial" w:cs="Arial"/>
                <w:i/>
                <w:sz w:val="16"/>
                <w:szCs w:val="16"/>
                <w:highlight w:val="white"/>
                <w:lang w:val="en-US" w:eastAsia="en-US"/>
              </w:rPr>
              <w:t>et al</w:t>
            </w:r>
            <w:r w:rsidRPr="00544576">
              <w:rPr>
                <w:rFonts w:ascii="Arial" w:eastAsia="Times New Roman" w:hAnsi="Arial" w:cs="Arial"/>
                <w:sz w:val="16"/>
                <w:szCs w:val="16"/>
                <w:highlight w:val="white"/>
                <w:lang w:val="en-US" w:eastAsia="en-US"/>
              </w:rPr>
              <w:t>., 2017 / Germany</w:t>
            </w:r>
          </w:p>
          <w:p w14:paraId="2D4EE0D9" w14:textId="77777777" w:rsidR="00544576" w:rsidRPr="00544576" w:rsidRDefault="00544576" w:rsidP="00544576">
            <w:pPr>
              <w:ind w:right="-113"/>
              <w:jc w:val="center"/>
              <w:rPr>
                <w:rFonts w:ascii="Arial" w:eastAsia="Times New Roman" w:hAnsi="Arial" w:cs="Arial"/>
                <w:sz w:val="16"/>
                <w:szCs w:val="16"/>
                <w:highlight w:val="white"/>
                <w:lang w:val="en-US" w:eastAsia="en-US"/>
              </w:rPr>
            </w:pPr>
            <w:r w:rsidRPr="00544576">
              <w:rPr>
                <w:rFonts w:ascii="Arial" w:eastAsia="Times New Roman" w:hAnsi="Arial" w:cs="Arial"/>
                <w:sz w:val="16"/>
                <w:szCs w:val="16"/>
                <w:highlight w:val="white"/>
                <w:lang w:val="en-US" w:eastAsia="en-US"/>
              </w:rPr>
              <w:t>Prospective cohort</w:t>
            </w:r>
          </w:p>
        </w:tc>
        <w:tc>
          <w:tcPr>
            <w:tcW w:w="709" w:type="dxa"/>
            <w:vAlign w:val="center"/>
          </w:tcPr>
          <w:p w14:paraId="4614C1F8" w14:textId="77777777" w:rsidR="00544576" w:rsidRPr="00544576" w:rsidRDefault="00544576" w:rsidP="00544576">
            <w:pPr>
              <w:ind w:left="-112" w:right="-113" w:hanging="142"/>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406 children</w:t>
            </w:r>
          </w:p>
        </w:tc>
        <w:tc>
          <w:tcPr>
            <w:tcW w:w="2126" w:type="dxa"/>
            <w:vAlign w:val="center"/>
          </w:tcPr>
          <w:p w14:paraId="25621878" w14:textId="77777777" w:rsidR="00544576" w:rsidRPr="00544576" w:rsidRDefault="00544576" w:rsidP="00544576">
            <w:pPr>
              <w:ind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Analyze the association between fluoride and vitamin D supplementation in the first year of life and dental status, including caries and MIH at age 10</w:t>
            </w:r>
          </w:p>
        </w:tc>
        <w:tc>
          <w:tcPr>
            <w:tcW w:w="1701" w:type="dxa"/>
            <w:vAlign w:val="center"/>
          </w:tcPr>
          <w:p w14:paraId="3F51711C" w14:textId="77777777" w:rsidR="00544576" w:rsidRPr="00544576" w:rsidRDefault="00544576" w:rsidP="00544576">
            <w:pPr>
              <w:ind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Healthy children with available data on supplementation during the first 12 months</w:t>
            </w:r>
          </w:p>
        </w:tc>
        <w:tc>
          <w:tcPr>
            <w:tcW w:w="1843" w:type="dxa"/>
            <w:vAlign w:val="center"/>
          </w:tcPr>
          <w:p w14:paraId="326D1DE2" w14:textId="77777777" w:rsidR="00544576" w:rsidRPr="00544576" w:rsidRDefault="00544576" w:rsidP="00544576">
            <w:pPr>
              <w:ind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Dental examination assessing caries, treatments in permanent teeth, and MIH presence</w:t>
            </w:r>
          </w:p>
        </w:tc>
        <w:tc>
          <w:tcPr>
            <w:tcW w:w="1984" w:type="dxa"/>
            <w:gridSpan w:val="2"/>
            <w:vAlign w:val="center"/>
          </w:tcPr>
          <w:p w14:paraId="1F20315C" w14:textId="77777777" w:rsidR="00544576" w:rsidRPr="00544576" w:rsidRDefault="00544576" w:rsidP="00544576">
            <w:pPr>
              <w:ind w:left="-108" w:right="-113" w:firstLine="108"/>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Fluoride and vitamin D supplementation in infancy: lower risk of caries in primary dentition. No significant effect on permanent teeth or MIH</w:t>
            </w:r>
          </w:p>
        </w:tc>
      </w:tr>
      <w:tr w:rsidR="00544576" w:rsidRPr="00544576" w14:paraId="3AE53F47" w14:textId="77777777" w:rsidTr="00544576">
        <w:trPr>
          <w:trHeight w:val="968"/>
        </w:trPr>
        <w:tc>
          <w:tcPr>
            <w:tcW w:w="1560" w:type="dxa"/>
            <w:shd w:val="clear" w:color="auto" w:fill="D9D9D9"/>
            <w:vAlign w:val="center"/>
          </w:tcPr>
          <w:p w14:paraId="25B26DD7" w14:textId="77777777" w:rsidR="00544576" w:rsidRPr="00544576" w:rsidRDefault="00544576" w:rsidP="00544576">
            <w:pPr>
              <w:ind w:left="-120" w:right="-113" w:firstLine="120"/>
              <w:jc w:val="center"/>
              <w:rPr>
                <w:rFonts w:ascii="Arial" w:eastAsia="Times New Roman" w:hAnsi="Arial" w:cs="Arial"/>
                <w:sz w:val="16"/>
                <w:szCs w:val="16"/>
                <w:lang w:val="en-US" w:eastAsia="en-US"/>
              </w:rPr>
            </w:pPr>
            <w:proofErr w:type="spellStart"/>
            <w:r w:rsidRPr="00544576">
              <w:rPr>
                <w:rFonts w:ascii="Arial" w:eastAsia="Times New Roman" w:hAnsi="Arial" w:cs="Arial"/>
                <w:sz w:val="16"/>
                <w:szCs w:val="16"/>
                <w:lang w:val="en-US" w:eastAsia="en-US"/>
              </w:rPr>
              <w:t>Schüttfort</w:t>
            </w:r>
            <w:proofErr w:type="spellEnd"/>
            <w:r w:rsidRPr="00544576">
              <w:rPr>
                <w:rFonts w:ascii="Arial" w:eastAsia="Times New Roman" w:hAnsi="Arial" w:cs="Arial"/>
                <w:i/>
                <w:sz w:val="16"/>
                <w:szCs w:val="16"/>
                <w:lang w:val="en-US" w:eastAsia="en-US"/>
              </w:rPr>
              <w:t xml:space="preserve"> et al.</w:t>
            </w:r>
            <w:r w:rsidRPr="00544576">
              <w:rPr>
                <w:rFonts w:ascii="Arial" w:eastAsia="Times New Roman" w:hAnsi="Arial" w:cs="Arial"/>
                <w:sz w:val="16"/>
                <w:szCs w:val="16"/>
                <w:lang w:val="en-US" w:eastAsia="en-US"/>
              </w:rPr>
              <w:t>, 2020 / Germany</w:t>
            </w:r>
          </w:p>
          <w:p w14:paraId="492C9E22" w14:textId="77777777" w:rsidR="00544576" w:rsidRPr="00544576" w:rsidRDefault="00544576" w:rsidP="00544576">
            <w:pPr>
              <w:ind w:right="-113"/>
              <w:jc w:val="center"/>
              <w:rPr>
                <w:rFonts w:ascii="Arial" w:eastAsia="Times New Roman" w:hAnsi="Arial" w:cs="Arial"/>
                <w:sz w:val="16"/>
                <w:szCs w:val="16"/>
                <w:highlight w:val="white"/>
                <w:lang w:val="en-US" w:eastAsia="en-US"/>
              </w:rPr>
            </w:pPr>
            <w:r w:rsidRPr="00544576">
              <w:rPr>
                <w:rFonts w:ascii="Arial" w:eastAsia="Times New Roman" w:hAnsi="Arial" w:cs="Arial"/>
                <w:sz w:val="16"/>
                <w:szCs w:val="16"/>
                <w:lang w:val="en-US" w:eastAsia="en-US"/>
              </w:rPr>
              <w:t>Prospective cohort</w:t>
            </w:r>
          </w:p>
        </w:tc>
        <w:tc>
          <w:tcPr>
            <w:tcW w:w="709" w:type="dxa"/>
            <w:shd w:val="clear" w:color="auto" w:fill="D9D9D9"/>
            <w:vAlign w:val="center"/>
          </w:tcPr>
          <w:p w14:paraId="4FBB4DB3" w14:textId="77777777" w:rsidR="00544576" w:rsidRPr="00544576" w:rsidRDefault="00544576" w:rsidP="00544576">
            <w:pPr>
              <w:ind w:left="-112" w:right="-113" w:hanging="112"/>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 xml:space="preserve">31 </w:t>
            </w:r>
          </w:p>
          <w:p w14:paraId="5FA0B394" w14:textId="77777777" w:rsidR="00544576" w:rsidRPr="00544576" w:rsidRDefault="00544576" w:rsidP="00544576">
            <w:pPr>
              <w:ind w:left="-112" w:right="-113" w:hanging="112"/>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 xml:space="preserve">  children</w:t>
            </w:r>
          </w:p>
        </w:tc>
        <w:tc>
          <w:tcPr>
            <w:tcW w:w="2126" w:type="dxa"/>
            <w:shd w:val="clear" w:color="auto" w:fill="D9D9D9"/>
            <w:vAlign w:val="center"/>
          </w:tcPr>
          <w:p w14:paraId="33160FA8" w14:textId="77777777" w:rsidR="00544576" w:rsidRPr="00544576" w:rsidRDefault="00544576" w:rsidP="00544576">
            <w:pPr>
              <w:ind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Assess whether intrauterine exposure to TDF in HIV-exposed but uninfected children is associated with DDE in primary dentition</w:t>
            </w:r>
          </w:p>
        </w:tc>
        <w:tc>
          <w:tcPr>
            <w:tcW w:w="1701" w:type="dxa"/>
            <w:shd w:val="clear" w:color="auto" w:fill="D9D9D9"/>
            <w:vAlign w:val="center"/>
          </w:tcPr>
          <w:p w14:paraId="7063602B" w14:textId="77777777" w:rsidR="00544576" w:rsidRPr="00544576" w:rsidRDefault="00544576" w:rsidP="00544576">
            <w:pPr>
              <w:ind w:left="-112"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HIV-exposed, uninfected children whose mothers received TDF for ≥ 4 months in pregnancy</w:t>
            </w:r>
          </w:p>
        </w:tc>
        <w:tc>
          <w:tcPr>
            <w:tcW w:w="1843" w:type="dxa"/>
            <w:shd w:val="clear" w:color="auto" w:fill="D9D9D9"/>
            <w:vAlign w:val="center"/>
          </w:tcPr>
          <w:p w14:paraId="2F6D3E0B" w14:textId="77777777" w:rsidR="00544576" w:rsidRPr="00544576" w:rsidRDefault="00544576" w:rsidP="00544576">
            <w:pPr>
              <w:ind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 xml:space="preserve">Dental exam, </w:t>
            </w:r>
            <w:proofErr w:type="spellStart"/>
            <w:r w:rsidRPr="00544576">
              <w:rPr>
                <w:rFonts w:ascii="Arial" w:eastAsia="Times New Roman" w:hAnsi="Arial" w:cs="Arial"/>
                <w:sz w:val="16"/>
                <w:szCs w:val="16"/>
                <w:lang w:val="en-US" w:eastAsia="en-US"/>
              </w:rPr>
              <w:t>mDDE</w:t>
            </w:r>
            <w:proofErr w:type="spellEnd"/>
            <w:r w:rsidRPr="00544576">
              <w:rPr>
                <w:rFonts w:ascii="Arial" w:eastAsia="Times New Roman" w:hAnsi="Arial" w:cs="Arial"/>
                <w:sz w:val="16"/>
                <w:szCs w:val="16"/>
                <w:lang w:val="en-US" w:eastAsia="en-US"/>
              </w:rPr>
              <w:t xml:space="preserve"> index, questionnaire, and comparison with unexposed cohorts</w:t>
            </w:r>
          </w:p>
        </w:tc>
        <w:tc>
          <w:tcPr>
            <w:tcW w:w="1984" w:type="dxa"/>
            <w:gridSpan w:val="2"/>
            <w:shd w:val="clear" w:color="auto" w:fill="D9D9D9"/>
            <w:vAlign w:val="center"/>
          </w:tcPr>
          <w:p w14:paraId="0CF1FF8B" w14:textId="77777777" w:rsidR="00544576" w:rsidRPr="00544576" w:rsidRDefault="00544576" w:rsidP="00544576">
            <w:pPr>
              <w:ind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Intrauterine TDF exposure: no significant increase in DDE prevalence or distribution</w:t>
            </w:r>
          </w:p>
        </w:tc>
      </w:tr>
      <w:tr w:rsidR="00544576" w:rsidRPr="00544576" w14:paraId="3CF5FD9A" w14:textId="77777777" w:rsidTr="00032711">
        <w:trPr>
          <w:trHeight w:val="869"/>
        </w:trPr>
        <w:tc>
          <w:tcPr>
            <w:tcW w:w="1560" w:type="dxa"/>
            <w:vAlign w:val="center"/>
          </w:tcPr>
          <w:p w14:paraId="07B96116" w14:textId="77777777" w:rsidR="00544576" w:rsidRPr="00544576" w:rsidRDefault="00544576" w:rsidP="00544576">
            <w:pPr>
              <w:ind w:right="-113"/>
              <w:jc w:val="center"/>
              <w:rPr>
                <w:rFonts w:ascii="Arial" w:eastAsia="Times New Roman" w:hAnsi="Arial" w:cs="Arial"/>
                <w:sz w:val="16"/>
                <w:szCs w:val="16"/>
                <w:highlight w:val="white"/>
                <w:lang w:val="en-US" w:eastAsia="en-US"/>
              </w:rPr>
            </w:pPr>
            <w:r w:rsidRPr="00544576">
              <w:rPr>
                <w:rFonts w:ascii="Arial" w:eastAsia="Times New Roman" w:hAnsi="Arial" w:cs="Arial"/>
                <w:sz w:val="16"/>
                <w:szCs w:val="16"/>
                <w:highlight w:val="white"/>
                <w:lang w:val="en-US" w:eastAsia="en-US"/>
              </w:rPr>
              <w:t xml:space="preserve">Malmgren </w:t>
            </w:r>
            <w:r w:rsidRPr="00544576">
              <w:rPr>
                <w:rFonts w:ascii="Arial" w:eastAsia="Times New Roman" w:hAnsi="Arial" w:cs="Arial"/>
                <w:i/>
                <w:sz w:val="16"/>
                <w:szCs w:val="16"/>
                <w:highlight w:val="white"/>
                <w:lang w:val="en-US" w:eastAsia="en-US"/>
              </w:rPr>
              <w:t xml:space="preserve">et al., </w:t>
            </w:r>
            <w:r w:rsidRPr="00544576">
              <w:rPr>
                <w:rFonts w:ascii="Arial" w:eastAsia="Times New Roman" w:hAnsi="Arial" w:cs="Arial"/>
                <w:sz w:val="16"/>
                <w:szCs w:val="16"/>
                <w:highlight w:val="white"/>
                <w:lang w:val="en-US" w:eastAsia="en-US"/>
              </w:rPr>
              <w:t>2021 / Sweden</w:t>
            </w:r>
          </w:p>
          <w:p w14:paraId="6DCE37BF" w14:textId="77777777" w:rsidR="00544576" w:rsidRPr="00544576" w:rsidRDefault="00544576" w:rsidP="00544576">
            <w:pPr>
              <w:ind w:right="-113"/>
              <w:jc w:val="center"/>
              <w:rPr>
                <w:rFonts w:ascii="Arial" w:eastAsia="Times New Roman" w:hAnsi="Arial" w:cs="Arial"/>
                <w:sz w:val="16"/>
                <w:szCs w:val="16"/>
                <w:highlight w:val="white"/>
                <w:lang w:val="en-US" w:eastAsia="en-US"/>
              </w:rPr>
            </w:pPr>
            <w:r w:rsidRPr="00544576">
              <w:rPr>
                <w:rFonts w:ascii="Arial" w:eastAsia="Times New Roman" w:hAnsi="Arial" w:cs="Arial"/>
                <w:sz w:val="16"/>
                <w:szCs w:val="16"/>
                <w:highlight w:val="white"/>
                <w:lang w:val="en-US" w:eastAsia="en-US"/>
              </w:rPr>
              <w:t>Retrospective cohort</w:t>
            </w:r>
          </w:p>
        </w:tc>
        <w:tc>
          <w:tcPr>
            <w:tcW w:w="709" w:type="dxa"/>
            <w:vAlign w:val="center"/>
          </w:tcPr>
          <w:p w14:paraId="1B3D816A" w14:textId="77777777" w:rsidR="00544576" w:rsidRPr="00544576" w:rsidRDefault="00544576" w:rsidP="00544576">
            <w:pPr>
              <w:ind w:left="-112"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219 children</w:t>
            </w:r>
          </w:p>
        </w:tc>
        <w:tc>
          <w:tcPr>
            <w:tcW w:w="2126" w:type="dxa"/>
            <w:vAlign w:val="center"/>
          </w:tcPr>
          <w:p w14:paraId="219A900F" w14:textId="77777777" w:rsidR="00544576" w:rsidRPr="00544576" w:rsidRDefault="00544576" w:rsidP="00544576">
            <w:pPr>
              <w:ind w:left="-108"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Evaluate the effect of early BP therapy for OI on the development / mineralization of permanent teeth</w:t>
            </w:r>
          </w:p>
        </w:tc>
        <w:tc>
          <w:tcPr>
            <w:tcW w:w="1701" w:type="dxa"/>
            <w:vAlign w:val="center"/>
          </w:tcPr>
          <w:p w14:paraId="41954D0A" w14:textId="77777777" w:rsidR="00544576" w:rsidRPr="00544576" w:rsidRDefault="00544576" w:rsidP="00544576">
            <w:pPr>
              <w:ind w:left="-112" w:right="-113" w:firstLine="112"/>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Confirmed OI diagnosis and complete medical records of bisphosphonate use</w:t>
            </w:r>
          </w:p>
        </w:tc>
        <w:tc>
          <w:tcPr>
            <w:tcW w:w="1843" w:type="dxa"/>
            <w:vAlign w:val="center"/>
          </w:tcPr>
          <w:p w14:paraId="17B95E50" w14:textId="77777777" w:rsidR="00544576" w:rsidRPr="00544576" w:rsidRDefault="00544576" w:rsidP="00544576">
            <w:pPr>
              <w:ind w:left="-106" w:right="-113" w:hanging="106"/>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Clinical examination; photographic and radiographic evaluation</w:t>
            </w:r>
          </w:p>
        </w:tc>
        <w:tc>
          <w:tcPr>
            <w:tcW w:w="1984" w:type="dxa"/>
            <w:gridSpan w:val="2"/>
            <w:vAlign w:val="center"/>
          </w:tcPr>
          <w:p w14:paraId="3D63E932" w14:textId="77777777" w:rsidR="00544576" w:rsidRPr="00544576" w:rsidRDefault="00544576" w:rsidP="00544576">
            <w:pPr>
              <w:ind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BP initiation before age 2 significantly increases the risk of dental anomalies and enamel defects</w:t>
            </w:r>
          </w:p>
        </w:tc>
      </w:tr>
      <w:tr w:rsidR="00544576" w:rsidRPr="00544576" w14:paraId="666343DB" w14:textId="77777777" w:rsidTr="00544576">
        <w:trPr>
          <w:trHeight w:val="980"/>
        </w:trPr>
        <w:tc>
          <w:tcPr>
            <w:tcW w:w="1560" w:type="dxa"/>
            <w:shd w:val="clear" w:color="auto" w:fill="D9D9D9"/>
            <w:vAlign w:val="center"/>
          </w:tcPr>
          <w:p w14:paraId="440EE000" w14:textId="77777777" w:rsidR="00544576" w:rsidRPr="00544576" w:rsidRDefault="00544576" w:rsidP="00544576">
            <w:pPr>
              <w:ind w:left="-120" w:right="-113" w:firstLine="120"/>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Raedel</w:t>
            </w:r>
            <w:r w:rsidRPr="00544576">
              <w:rPr>
                <w:rFonts w:ascii="Arial" w:eastAsia="Times New Roman" w:hAnsi="Arial" w:cs="Arial"/>
                <w:i/>
                <w:sz w:val="16"/>
                <w:szCs w:val="16"/>
                <w:lang w:val="en-US" w:eastAsia="en-US"/>
              </w:rPr>
              <w:t xml:space="preserve"> et al.,</w:t>
            </w:r>
            <w:r w:rsidRPr="00544576">
              <w:rPr>
                <w:rFonts w:ascii="Arial" w:eastAsia="Times New Roman" w:hAnsi="Arial" w:cs="Arial"/>
                <w:sz w:val="16"/>
                <w:szCs w:val="16"/>
                <w:lang w:val="en-US" w:eastAsia="en-US"/>
              </w:rPr>
              <w:t xml:space="preserve">  </w:t>
            </w:r>
          </w:p>
          <w:p w14:paraId="09B43ECA" w14:textId="77777777" w:rsidR="00544576" w:rsidRPr="00544576" w:rsidRDefault="00544576" w:rsidP="00544576">
            <w:pPr>
              <w:ind w:left="-120" w:right="-113" w:firstLine="120"/>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2022 / Germany</w:t>
            </w:r>
          </w:p>
          <w:p w14:paraId="62D9763D" w14:textId="77777777" w:rsidR="00544576" w:rsidRPr="00544576" w:rsidRDefault="00544576" w:rsidP="00544576">
            <w:pPr>
              <w:ind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Retrospective cohort</w:t>
            </w:r>
          </w:p>
        </w:tc>
        <w:tc>
          <w:tcPr>
            <w:tcW w:w="709" w:type="dxa"/>
            <w:shd w:val="clear" w:color="auto" w:fill="D9D9D9"/>
            <w:vAlign w:val="center"/>
          </w:tcPr>
          <w:p w14:paraId="4B99FE77" w14:textId="77777777" w:rsidR="00544576" w:rsidRPr="00544576" w:rsidRDefault="00544576" w:rsidP="00544576">
            <w:pPr>
              <w:ind w:left="-112" w:right="-113" w:hanging="112"/>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 xml:space="preserve">  298.502 children</w:t>
            </w:r>
          </w:p>
        </w:tc>
        <w:tc>
          <w:tcPr>
            <w:tcW w:w="2126" w:type="dxa"/>
            <w:shd w:val="clear" w:color="auto" w:fill="D9D9D9"/>
            <w:vAlign w:val="center"/>
          </w:tcPr>
          <w:p w14:paraId="6DC4022E" w14:textId="77777777" w:rsidR="00544576" w:rsidRPr="00544576" w:rsidRDefault="00544576" w:rsidP="00544576">
            <w:pPr>
              <w:ind w:left="-108" w:right="-113" w:firstLine="108"/>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Investigate the association between early childhood medication exposure and MIH occurrence, potential influence of perinatal factors</w:t>
            </w:r>
          </w:p>
        </w:tc>
        <w:tc>
          <w:tcPr>
            <w:tcW w:w="1701" w:type="dxa"/>
            <w:shd w:val="clear" w:color="auto" w:fill="D9D9D9"/>
            <w:vAlign w:val="center"/>
          </w:tcPr>
          <w:p w14:paraId="13948E95" w14:textId="77777777" w:rsidR="00544576" w:rsidRPr="00544576" w:rsidRDefault="00544576" w:rsidP="00544576">
            <w:pPr>
              <w:ind w:left="-112"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 xml:space="preserve">Children with continuous data from birth to age 9 and insured between 6–9 years (MIH diagnosis) </w:t>
            </w:r>
          </w:p>
        </w:tc>
        <w:tc>
          <w:tcPr>
            <w:tcW w:w="1843" w:type="dxa"/>
            <w:shd w:val="clear" w:color="auto" w:fill="D9D9D9"/>
            <w:vAlign w:val="center"/>
          </w:tcPr>
          <w:p w14:paraId="452EA4F3" w14:textId="77777777" w:rsidR="00544576" w:rsidRPr="00544576" w:rsidRDefault="00544576" w:rsidP="00544576">
            <w:pPr>
              <w:ind w:left="-106"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MIH diagnosis based on treatment patterns in first molars; medication prescription records from the first 4 years of life</w:t>
            </w:r>
          </w:p>
        </w:tc>
        <w:tc>
          <w:tcPr>
            <w:tcW w:w="1984" w:type="dxa"/>
            <w:gridSpan w:val="2"/>
            <w:shd w:val="clear" w:color="auto" w:fill="D9D9D9"/>
            <w:vAlign w:val="center"/>
          </w:tcPr>
          <w:p w14:paraId="297AC84F" w14:textId="77777777" w:rsidR="00544576" w:rsidRPr="00544576" w:rsidRDefault="00544576" w:rsidP="00544576">
            <w:pPr>
              <w:ind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Early antibiotic use may be associated with higher MIH prevalence; no association found with perinatal factors</w:t>
            </w:r>
          </w:p>
        </w:tc>
      </w:tr>
      <w:tr w:rsidR="00544576" w:rsidRPr="00544576" w14:paraId="29DECCCE" w14:textId="77777777" w:rsidTr="00032711">
        <w:trPr>
          <w:trHeight w:val="957"/>
        </w:trPr>
        <w:tc>
          <w:tcPr>
            <w:tcW w:w="1560" w:type="dxa"/>
            <w:tcBorders>
              <w:bottom w:val="single" w:sz="4" w:space="0" w:color="000000"/>
            </w:tcBorders>
          </w:tcPr>
          <w:p w14:paraId="092F1B81" w14:textId="77777777" w:rsidR="00544576" w:rsidRPr="00544576" w:rsidRDefault="00544576" w:rsidP="00544576">
            <w:pPr>
              <w:ind w:left="-120" w:right="-113" w:firstLine="120"/>
              <w:jc w:val="center"/>
              <w:rPr>
                <w:rFonts w:ascii="Arial" w:eastAsia="Times New Roman" w:hAnsi="Arial" w:cs="Arial"/>
                <w:sz w:val="16"/>
                <w:szCs w:val="16"/>
                <w:highlight w:val="white"/>
                <w:lang w:val="en-US" w:eastAsia="en-US"/>
              </w:rPr>
            </w:pPr>
            <w:r w:rsidRPr="00544576">
              <w:rPr>
                <w:rFonts w:ascii="Arial" w:eastAsia="Times New Roman" w:hAnsi="Arial" w:cs="Arial"/>
                <w:sz w:val="16"/>
                <w:szCs w:val="16"/>
                <w:highlight w:val="white"/>
                <w:lang w:val="en-US" w:eastAsia="en-US"/>
              </w:rPr>
              <w:t xml:space="preserve">Nørrisgaard </w:t>
            </w:r>
            <w:r w:rsidRPr="00544576">
              <w:rPr>
                <w:rFonts w:ascii="Arial" w:eastAsia="Times New Roman" w:hAnsi="Arial" w:cs="Arial"/>
                <w:i/>
                <w:sz w:val="16"/>
                <w:szCs w:val="16"/>
                <w:highlight w:val="white"/>
                <w:lang w:val="en-US" w:eastAsia="en-US"/>
              </w:rPr>
              <w:t>et al.,</w:t>
            </w:r>
            <w:r w:rsidRPr="00544576">
              <w:rPr>
                <w:rFonts w:ascii="Arial" w:eastAsia="Times New Roman" w:hAnsi="Arial" w:cs="Arial"/>
                <w:sz w:val="16"/>
                <w:szCs w:val="16"/>
                <w:highlight w:val="white"/>
                <w:lang w:val="en-US" w:eastAsia="en-US"/>
              </w:rPr>
              <w:t xml:space="preserve"> 2023 / Denmark</w:t>
            </w:r>
          </w:p>
          <w:p w14:paraId="6F3EC966" w14:textId="77777777" w:rsidR="00544576" w:rsidRPr="00544576" w:rsidRDefault="00544576" w:rsidP="00544576">
            <w:pPr>
              <w:ind w:right="-113"/>
              <w:jc w:val="center"/>
              <w:rPr>
                <w:rFonts w:ascii="Arial" w:eastAsia="Times New Roman" w:hAnsi="Arial" w:cs="Arial"/>
                <w:sz w:val="16"/>
                <w:szCs w:val="16"/>
                <w:highlight w:val="white"/>
                <w:lang w:val="en-US" w:eastAsia="en-US"/>
              </w:rPr>
            </w:pPr>
            <w:r w:rsidRPr="00544576">
              <w:rPr>
                <w:rFonts w:ascii="Arial" w:eastAsia="Times New Roman" w:hAnsi="Arial" w:cs="Arial"/>
                <w:sz w:val="16"/>
                <w:szCs w:val="16"/>
                <w:highlight w:val="white"/>
                <w:lang w:val="en-US" w:eastAsia="en-US"/>
              </w:rPr>
              <w:t>Prospective cohort</w:t>
            </w:r>
          </w:p>
        </w:tc>
        <w:tc>
          <w:tcPr>
            <w:tcW w:w="709" w:type="dxa"/>
            <w:tcBorders>
              <w:bottom w:val="single" w:sz="4" w:space="0" w:color="000000"/>
            </w:tcBorders>
          </w:tcPr>
          <w:p w14:paraId="56C14E55" w14:textId="77777777" w:rsidR="00544576" w:rsidRPr="00544576" w:rsidRDefault="00544576" w:rsidP="00544576">
            <w:pPr>
              <w:ind w:left="-396" w:right="-113" w:firstLine="142"/>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700</w:t>
            </w:r>
          </w:p>
          <w:p w14:paraId="50E6EB85" w14:textId="77777777" w:rsidR="00544576" w:rsidRPr="00544576" w:rsidRDefault="00544576" w:rsidP="00544576">
            <w:pPr>
              <w:ind w:left="-254"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mother-</w:t>
            </w:r>
          </w:p>
          <w:p w14:paraId="45E62296" w14:textId="77777777" w:rsidR="00544576" w:rsidRPr="00544576" w:rsidRDefault="00544576" w:rsidP="00544576">
            <w:pPr>
              <w:ind w:left="-254"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child</w:t>
            </w:r>
          </w:p>
          <w:p w14:paraId="28C9A318" w14:textId="77777777" w:rsidR="00544576" w:rsidRPr="00544576" w:rsidRDefault="00544576" w:rsidP="00544576">
            <w:pPr>
              <w:ind w:left="-254"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pairs</w:t>
            </w:r>
          </w:p>
        </w:tc>
        <w:tc>
          <w:tcPr>
            <w:tcW w:w="2126" w:type="dxa"/>
            <w:tcBorders>
              <w:bottom w:val="single" w:sz="4" w:space="0" w:color="000000"/>
            </w:tcBorders>
            <w:vAlign w:val="bottom"/>
          </w:tcPr>
          <w:p w14:paraId="5A8297F3" w14:textId="77777777" w:rsidR="00544576" w:rsidRPr="00544576" w:rsidRDefault="00544576" w:rsidP="00544576">
            <w:pPr>
              <w:ind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Evaluate whether asthma and its treatments increase the risk of caries and enamel defects by age 6</w:t>
            </w:r>
          </w:p>
          <w:p w14:paraId="5F0C2303" w14:textId="77777777" w:rsidR="00544576" w:rsidRPr="00544576" w:rsidRDefault="00544576" w:rsidP="00544576">
            <w:pPr>
              <w:ind w:right="-113"/>
              <w:jc w:val="center"/>
              <w:rPr>
                <w:rFonts w:ascii="Arial" w:eastAsia="Times New Roman" w:hAnsi="Arial" w:cs="Arial"/>
                <w:sz w:val="16"/>
                <w:szCs w:val="16"/>
                <w:lang w:val="en-US" w:eastAsia="en-US"/>
              </w:rPr>
            </w:pPr>
          </w:p>
        </w:tc>
        <w:tc>
          <w:tcPr>
            <w:tcW w:w="1701" w:type="dxa"/>
            <w:tcBorders>
              <w:bottom w:val="single" w:sz="4" w:space="0" w:color="000000"/>
            </w:tcBorders>
            <w:vAlign w:val="center"/>
          </w:tcPr>
          <w:p w14:paraId="6FA80CD8" w14:textId="77777777" w:rsidR="00544576" w:rsidRPr="00544576" w:rsidRDefault="00544576" w:rsidP="00544576">
            <w:pPr>
              <w:ind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Participants of the COPSAC2010 cohort; routine medical supervision and symptom diaries</w:t>
            </w:r>
          </w:p>
        </w:tc>
        <w:tc>
          <w:tcPr>
            <w:tcW w:w="1843" w:type="dxa"/>
            <w:tcBorders>
              <w:bottom w:val="single" w:sz="4" w:space="0" w:color="000000"/>
            </w:tcBorders>
            <w:vAlign w:val="center"/>
          </w:tcPr>
          <w:p w14:paraId="1D01A3BF" w14:textId="77777777" w:rsidR="00544576" w:rsidRPr="00544576" w:rsidRDefault="00544576" w:rsidP="00544576">
            <w:pPr>
              <w:ind w:left="-106" w:right="-113" w:hanging="106"/>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Medication use, asthma diagnosis during pregnancy and infancy; dental exam at age 6 (caries and DDE)</w:t>
            </w:r>
          </w:p>
        </w:tc>
        <w:tc>
          <w:tcPr>
            <w:tcW w:w="1984" w:type="dxa"/>
            <w:gridSpan w:val="2"/>
            <w:tcBorders>
              <w:bottom w:val="single" w:sz="4" w:space="0" w:color="000000"/>
            </w:tcBorders>
            <w:vAlign w:val="center"/>
          </w:tcPr>
          <w:p w14:paraId="62F391CE" w14:textId="77777777" w:rsidR="00544576" w:rsidRPr="00544576" w:rsidRDefault="00544576" w:rsidP="00544576">
            <w:pPr>
              <w:ind w:left="-250" w:right="-113" w:firstLine="142"/>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Asthma medication use in the first 6 years was not associated with caries development or</w:t>
            </w:r>
          </w:p>
          <w:p w14:paraId="352D6740" w14:textId="77777777" w:rsidR="00544576" w:rsidRPr="00544576" w:rsidRDefault="00544576" w:rsidP="00544576">
            <w:pPr>
              <w:ind w:left="-250" w:right="-113" w:firstLine="142"/>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DDE at age 6</w:t>
            </w:r>
          </w:p>
        </w:tc>
      </w:tr>
      <w:tr w:rsidR="00544576" w:rsidRPr="00544576" w14:paraId="0658F43E" w14:textId="77777777" w:rsidTr="00032711">
        <w:trPr>
          <w:trHeight w:val="811"/>
        </w:trPr>
        <w:tc>
          <w:tcPr>
            <w:tcW w:w="9923" w:type="dxa"/>
            <w:gridSpan w:val="7"/>
            <w:tcBorders>
              <w:top w:val="single" w:sz="4" w:space="0" w:color="000000"/>
            </w:tcBorders>
          </w:tcPr>
          <w:p w14:paraId="4DAB8F46" w14:textId="0C62B2F2" w:rsidR="00544576" w:rsidRPr="00F43492" w:rsidRDefault="00544576" w:rsidP="00544576">
            <w:pPr>
              <w:jc w:val="both"/>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Source: adapted from</w:t>
            </w:r>
            <w:r w:rsidR="006960B6" w:rsidRPr="006960B6">
              <w:rPr>
                <w:rFonts w:ascii="Arial" w:eastAsia="Times New Roman" w:hAnsi="Arial" w:cs="Arial"/>
                <w:sz w:val="16"/>
                <w:szCs w:val="16"/>
                <w:lang w:val="en-US" w:eastAsia="en-US"/>
              </w:rPr>
              <w:t xml:space="preserve"> Silva et al., 2024, Muniz et al., 2025, </w:t>
            </w:r>
            <w:proofErr w:type="spellStart"/>
            <w:r w:rsidR="006960B6" w:rsidRPr="006960B6">
              <w:rPr>
                <w:rFonts w:ascii="Arial" w:eastAsia="Times New Roman" w:hAnsi="Arial" w:cs="Arial"/>
                <w:sz w:val="16"/>
                <w:szCs w:val="16"/>
                <w:lang w:val="en-US" w:eastAsia="en-US"/>
              </w:rPr>
              <w:t>Protásio</w:t>
            </w:r>
            <w:proofErr w:type="spellEnd"/>
            <w:r w:rsidR="006960B6" w:rsidRPr="006960B6">
              <w:rPr>
                <w:rFonts w:ascii="Arial" w:eastAsia="Times New Roman" w:hAnsi="Arial" w:cs="Arial"/>
                <w:sz w:val="16"/>
                <w:szCs w:val="16"/>
                <w:lang w:val="en-US" w:eastAsia="en-US"/>
              </w:rPr>
              <w:t xml:space="preserve"> et al., 2025</w:t>
            </w:r>
            <w:proofErr w:type="gramStart"/>
            <w:r w:rsidR="006960B6" w:rsidRPr="006960B6">
              <w:rPr>
                <w:rFonts w:ascii="Arial" w:eastAsia="Times New Roman" w:hAnsi="Arial" w:cs="Arial"/>
                <w:sz w:val="16"/>
                <w:szCs w:val="16"/>
                <w:lang w:val="en-US" w:eastAsia="en-US"/>
              </w:rPr>
              <w:t>.</w:t>
            </w:r>
            <w:r w:rsidRPr="00544576">
              <w:rPr>
                <w:rFonts w:ascii="Arial" w:eastAsia="Times New Roman" w:hAnsi="Arial" w:cs="Arial"/>
                <w:sz w:val="16"/>
                <w:szCs w:val="16"/>
                <w:lang w:val="en-US" w:eastAsia="en-US"/>
              </w:rPr>
              <w:t xml:space="preserve"> .</w:t>
            </w:r>
            <w:proofErr w:type="gramEnd"/>
            <w:r w:rsidRPr="00544576">
              <w:rPr>
                <w:rFonts w:ascii="Arial" w:eastAsia="Times New Roman" w:hAnsi="Arial" w:cs="Arial"/>
                <w:sz w:val="16"/>
                <w:szCs w:val="16"/>
                <w:lang w:val="en-US" w:eastAsia="en-US"/>
              </w:rPr>
              <w:t xml:space="preserve">  Abbreviations: </w:t>
            </w:r>
            <w:r w:rsidRPr="00544576">
              <w:rPr>
                <w:rFonts w:ascii="Arial" w:eastAsia="Times New Roman" w:hAnsi="Arial" w:cs="Arial"/>
                <w:b/>
                <w:sz w:val="16"/>
                <w:szCs w:val="16"/>
                <w:lang w:val="en-US" w:eastAsia="en-US"/>
              </w:rPr>
              <w:t>1st PM</w:t>
            </w:r>
            <w:r w:rsidRPr="00544576">
              <w:rPr>
                <w:rFonts w:ascii="Arial" w:eastAsia="Times New Roman" w:hAnsi="Arial" w:cs="Arial"/>
                <w:sz w:val="16"/>
                <w:szCs w:val="16"/>
                <w:lang w:val="en-US" w:eastAsia="en-US"/>
              </w:rPr>
              <w:t xml:space="preserve"> = First Permanent Molar; </w:t>
            </w:r>
            <w:r w:rsidRPr="00544576">
              <w:rPr>
                <w:rFonts w:ascii="Arial" w:eastAsia="Times New Roman" w:hAnsi="Arial" w:cs="Arial"/>
                <w:b/>
                <w:sz w:val="16"/>
                <w:szCs w:val="16"/>
                <w:lang w:val="en-US" w:eastAsia="en-US"/>
              </w:rPr>
              <w:t>AF</w:t>
            </w:r>
            <w:r w:rsidRPr="00544576">
              <w:rPr>
                <w:rFonts w:ascii="Arial" w:eastAsia="Times New Roman" w:hAnsi="Arial" w:cs="Arial"/>
                <w:sz w:val="16"/>
                <w:szCs w:val="16"/>
                <w:lang w:val="en-US" w:eastAsia="en-US"/>
              </w:rPr>
              <w:t xml:space="preserve"> = Sickle Cell </w:t>
            </w:r>
            <w:proofErr w:type="spellStart"/>
            <w:r w:rsidRPr="00544576">
              <w:rPr>
                <w:rFonts w:ascii="Arial" w:eastAsia="Times New Roman" w:hAnsi="Arial" w:cs="Arial"/>
                <w:sz w:val="16"/>
                <w:szCs w:val="16"/>
                <w:lang w:val="en-US" w:eastAsia="en-US"/>
              </w:rPr>
              <w:t>Anaemia</w:t>
            </w:r>
            <w:proofErr w:type="spellEnd"/>
            <w:r w:rsidRPr="00544576">
              <w:rPr>
                <w:rFonts w:ascii="Arial" w:eastAsia="Times New Roman" w:hAnsi="Arial" w:cs="Arial"/>
                <w:sz w:val="16"/>
                <w:szCs w:val="16"/>
                <w:lang w:val="en-US" w:eastAsia="en-US"/>
              </w:rPr>
              <w:t xml:space="preserve">; </w:t>
            </w:r>
            <w:r w:rsidRPr="00544576">
              <w:rPr>
                <w:rFonts w:ascii="Arial" w:eastAsia="Times New Roman" w:hAnsi="Arial" w:cs="Arial"/>
                <w:b/>
                <w:sz w:val="16"/>
                <w:szCs w:val="16"/>
                <w:lang w:val="en-US" w:eastAsia="en-US"/>
              </w:rPr>
              <w:t>BP</w:t>
            </w:r>
            <w:r w:rsidRPr="00544576">
              <w:rPr>
                <w:rFonts w:ascii="Arial" w:eastAsia="Times New Roman" w:hAnsi="Arial" w:cs="Arial"/>
                <w:sz w:val="16"/>
                <w:szCs w:val="16"/>
                <w:lang w:val="en-US" w:eastAsia="en-US"/>
              </w:rPr>
              <w:t xml:space="preserve"> = Intravenous Bisphosphonate; </w:t>
            </w:r>
            <w:r w:rsidRPr="00544576">
              <w:rPr>
                <w:rFonts w:ascii="Arial" w:eastAsia="Times New Roman" w:hAnsi="Arial" w:cs="Arial"/>
                <w:b/>
                <w:sz w:val="16"/>
                <w:szCs w:val="16"/>
                <w:lang w:val="en-US" w:eastAsia="en-US"/>
              </w:rPr>
              <w:t>Chemo-IMRT</w:t>
            </w:r>
            <w:r w:rsidRPr="00544576">
              <w:rPr>
                <w:rFonts w:ascii="Arial" w:eastAsia="Times New Roman" w:hAnsi="Arial" w:cs="Arial"/>
                <w:sz w:val="16"/>
                <w:szCs w:val="16"/>
                <w:lang w:val="en-US" w:eastAsia="en-US"/>
              </w:rPr>
              <w:t xml:space="preserve"> = Chemotherapy with Intensity-Modulated Radiotherapy; </w:t>
            </w:r>
            <w:r w:rsidRPr="00544576">
              <w:rPr>
                <w:rFonts w:ascii="Arial" w:eastAsia="Times New Roman" w:hAnsi="Arial" w:cs="Arial"/>
                <w:b/>
                <w:sz w:val="16"/>
                <w:szCs w:val="16"/>
                <w:lang w:val="en-US" w:eastAsia="en-US"/>
              </w:rPr>
              <w:t>DDE</w:t>
            </w:r>
            <w:r w:rsidRPr="00544576">
              <w:rPr>
                <w:rFonts w:ascii="Arial" w:eastAsia="Times New Roman" w:hAnsi="Arial" w:cs="Arial"/>
                <w:sz w:val="16"/>
                <w:szCs w:val="16"/>
                <w:lang w:val="en-US" w:eastAsia="en-US"/>
              </w:rPr>
              <w:t xml:space="preserve"> = Developmental Defects of Enamel; </w:t>
            </w:r>
            <w:r w:rsidRPr="00544576">
              <w:rPr>
                <w:rFonts w:ascii="Arial" w:eastAsia="Times New Roman" w:hAnsi="Arial" w:cs="Arial"/>
                <w:b/>
                <w:sz w:val="16"/>
                <w:szCs w:val="16"/>
                <w:lang w:val="en-US" w:eastAsia="en-US"/>
              </w:rPr>
              <w:t>DE</w:t>
            </w:r>
            <w:r w:rsidRPr="00544576">
              <w:rPr>
                <w:rFonts w:ascii="Arial" w:eastAsia="Times New Roman" w:hAnsi="Arial" w:cs="Arial"/>
                <w:sz w:val="16"/>
                <w:szCs w:val="16"/>
                <w:lang w:val="en-US" w:eastAsia="en-US"/>
              </w:rPr>
              <w:t xml:space="preserve"> = Enamel Defect; </w:t>
            </w:r>
            <w:r w:rsidRPr="00544576">
              <w:rPr>
                <w:rFonts w:ascii="Arial" w:eastAsia="Times New Roman" w:hAnsi="Arial" w:cs="Arial"/>
                <w:b/>
                <w:sz w:val="16"/>
                <w:szCs w:val="16"/>
                <w:lang w:val="en-US" w:eastAsia="en-US"/>
              </w:rPr>
              <w:t>DGI</w:t>
            </w:r>
            <w:r w:rsidRPr="00544576">
              <w:rPr>
                <w:rFonts w:ascii="Arial" w:eastAsia="Times New Roman" w:hAnsi="Arial" w:cs="Arial"/>
                <w:sz w:val="16"/>
                <w:szCs w:val="16"/>
                <w:lang w:val="en-US" w:eastAsia="en-US"/>
              </w:rPr>
              <w:t xml:space="preserve"> = </w:t>
            </w:r>
            <w:proofErr w:type="spellStart"/>
            <w:r w:rsidRPr="00544576">
              <w:rPr>
                <w:rFonts w:ascii="Arial" w:eastAsia="Times New Roman" w:hAnsi="Arial" w:cs="Arial"/>
                <w:sz w:val="16"/>
                <w:szCs w:val="16"/>
                <w:lang w:val="en-US" w:eastAsia="en-US"/>
              </w:rPr>
              <w:t>Dentinogenesis</w:t>
            </w:r>
            <w:proofErr w:type="spellEnd"/>
            <w:r w:rsidRPr="00544576">
              <w:rPr>
                <w:rFonts w:ascii="Arial" w:eastAsia="Times New Roman" w:hAnsi="Arial" w:cs="Arial"/>
                <w:sz w:val="16"/>
                <w:szCs w:val="16"/>
                <w:lang w:val="en-US" w:eastAsia="en-US"/>
              </w:rPr>
              <w:t xml:space="preserve"> Imperfecta; </w:t>
            </w:r>
            <w:proofErr w:type="spellStart"/>
            <w:r w:rsidRPr="00544576">
              <w:rPr>
                <w:rFonts w:ascii="Arial" w:eastAsia="Times New Roman" w:hAnsi="Arial" w:cs="Arial"/>
                <w:b/>
                <w:sz w:val="16"/>
                <w:szCs w:val="16"/>
                <w:lang w:val="en-US" w:eastAsia="en-US"/>
              </w:rPr>
              <w:t>dMIH</w:t>
            </w:r>
            <w:proofErr w:type="spellEnd"/>
            <w:r w:rsidRPr="00544576">
              <w:rPr>
                <w:rFonts w:ascii="Arial" w:eastAsia="Times New Roman" w:hAnsi="Arial" w:cs="Arial"/>
                <w:sz w:val="16"/>
                <w:szCs w:val="16"/>
                <w:lang w:val="en-US" w:eastAsia="en-US"/>
              </w:rPr>
              <w:t xml:space="preserve"> = Deciduous Molar </w:t>
            </w:r>
            <w:proofErr w:type="spellStart"/>
            <w:r w:rsidRPr="00544576">
              <w:rPr>
                <w:rFonts w:ascii="Arial" w:eastAsia="Times New Roman" w:hAnsi="Arial" w:cs="Arial"/>
                <w:sz w:val="16"/>
                <w:szCs w:val="16"/>
                <w:lang w:val="en-US" w:eastAsia="en-US"/>
              </w:rPr>
              <w:t>Hypomineralization</w:t>
            </w:r>
            <w:proofErr w:type="spellEnd"/>
            <w:r w:rsidRPr="00544576">
              <w:rPr>
                <w:rFonts w:ascii="Arial" w:eastAsia="Times New Roman" w:hAnsi="Arial" w:cs="Arial"/>
                <w:sz w:val="16"/>
                <w:szCs w:val="16"/>
                <w:lang w:val="en-US" w:eastAsia="en-US"/>
              </w:rPr>
              <w:t xml:space="preserve">; </w:t>
            </w:r>
            <w:r w:rsidRPr="00544576">
              <w:rPr>
                <w:rFonts w:ascii="Arial" w:eastAsia="Times New Roman" w:hAnsi="Arial" w:cs="Arial"/>
                <w:b/>
                <w:sz w:val="16"/>
                <w:szCs w:val="16"/>
                <w:lang w:val="en-US" w:eastAsia="en-US"/>
              </w:rPr>
              <w:t>DP</w:t>
            </w:r>
            <w:r w:rsidRPr="00544576">
              <w:rPr>
                <w:rFonts w:ascii="Arial" w:eastAsia="Times New Roman" w:hAnsi="Arial" w:cs="Arial"/>
                <w:sz w:val="16"/>
                <w:szCs w:val="16"/>
                <w:lang w:val="en-US" w:eastAsia="en-US"/>
              </w:rPr>
              <w:t xml:space="preserve"> = Permanent Teeth; </w:t>
            </w:r>
            <w:r w:rsidRPr="00544576">
              <w:rPr>
                <w:rFonts w:ascii="Arial" w:eastAsia="Times New Roman" w:hAnsi="Arial" w:cs="Arial"/>
                <w:b/>
                <w:sz w:val="16"/>
                <w:szCs w:val="16"/>
                <w:lang w:val="en-US" w:eastAsia="en-US"/>
              </w:rPr>
              <w:t>FRI</w:t>
            </w:r>
            <w:r w:rsidRPr="00544576">
              <w:rPr>
                <w:rFonts w:ascii="Arial" w:eastAsia="Times New Roman" w:hAnsi="Arial" w:cs="Arial"/>
                <w:sz w:val="16"/>
                <w:szCs w:val="16"/>
                <w:lang w:val="en-US" w:eastAsia="en-US"/>
              </w:rPr>
              <w:t xml:space="preserve"> = Fluorosis Risk Index; </w:t>
            </w:r>
            <w:r w:rsidRPr="00544576">
              <w:rPr>
                <w:rFonts w:ascii="Arial" w:eastAsia="Times New Roman" w:hAnsi="Arial" w:cs="Arial"/>
                <w:b/>
                <w:sz w:val="16"/>
                <w:szCs w:val="16"/>
                <w:lang w:val="en-US" w:eastAsia="en-US"/>
              </w:rPr>
              <w:t>HNRMS</w:t>
            </w:r>
            <w:r w:rsidRPr="00544576">
              <w:rPr>
                <w:rFonts w:ascii="Arial" w:eastAsia="Times New Roman" w:hAnsi="Arial" w:cs="Arial"/>
                <w:sz w:val="16"/>
                <w:szCs w:val="16"/>
                <w:lang w:val="en-US" w:eastAsia="en-US"/>
              </w:rPr>
              <w:t xml:space="preserve"> = Head and Neck Rhabdomyosarcoma; </w:t>
            </w:r>
            <w:r w:rsidRPr="00544576">
              <w:rPr>
                <w:rFonts w:ascii="Arial" w:eastAsia="Times New Roman" w:hAnsi="Arial" w:cs="Arial"/>
                <w:b/>
                <w:sz w:val="16"/>
                <w:szCs w:val="16"/>
                <w:lang w:val="en-US" w:eastAsia="en-US"/>
              </w:rPr>
              <w:t>MIH</w:t>
            </w:r>
            <w:r w:rsidRPr="00544576">
              <w:rPr>
                <w:rFonts w:ascii="Arial" w:eastAsia="Times New Roman" w:hAnsi="Arial" w:cs="Arial"/>
                <w:sz w:val="16"/>
                <w:szCs w:val="16"/>
                <w:lang w:val="en-US" w:eastAsia="en-US"/>
              </w:rPr>
              <w:t xml:space="preserve"> = Molar-Incisor </w:t>
            </w:r>
            <w:proofErr w:type="spellStart"/>
            <w:r w:rsidRPr="00544576">
              <w:rPr>
                <w:rFonts w:ascii="Arial" w:eastAsia="Times New Roman" w:hAnsi="Arial" w:cs="Arial"/>
                <w:sz w:val="16"/>
                <w:szCs w:val="16"/>
                <w:lang w:val="en-US" w:eastAsia="en-US"/>
              </w:rPr>
              <w:t>Hypomineralization</w:t>
            </w:r>
            <w:proofErr w:type="spellEnd"/>
            <w:r w:rsidRPr="00544576">
              <w:rPr>
                <w:rFonts w:ascii="Arial" w:eastAsia="Times New Roman" w:hAnsi="Arial" w:cs="Arial"/>
                <w:sz w:val="16"/>
                <w:szCs w:val="16"/>
                <w:lang w:val="en-US" w:eastAsia="en-US"/>
              </w:rPr>
              <w:t xml:space="preserve">; </w:t>
            </w:r>
            <w:proofErr w:type="spellStart"/>
            <w:r w:rsidRPr="00544576">
              <w:rPr>
                <w:rFonts w:ascii="Arial" w:eastAsia="Times New Roman" w:hAnsi="Arial" w:cs="Arial"/>
                <w:b/>
                <w:sz w:val="16"/>
                <w:szCs w:val="16"/>
                <w:lang w:val="en-US" w:eastAsia="en-US"/>
              </w:rPr>
              <w:t>mDDE</w:t>
            </w:r>
            <w:proofErr w:type="spellEnd"/>
            <w:r w:rsidRPr="00544576">
              <w:rPr>
                <w:rFonts w:ascii="Arial" w:eastAsia="Times New Roman" w:hAnsi="Arial" w:cs="Arial"/>
                <w:sz w:val="16"/>
                <w:szCs w:val="16"/>
                <w:lang w:val="en-US" w:eastAsia="en-US"/>
              </w:rPr>
              <w:t xml:space="preserve"> = modified Developmental Defects of Enamel index; </w:t>
            </w:r>
            <w:r w:rsidRPr="00544576">
              <w:rPr>
                <w:rFonts w:ascii="Arial" w:eastAsia="Times New Roman" w:hAnsi="Arial" w:cs="Arial"/>
                <w:b/>
                <w:sz w:val="16"/>
                <w:szCs w:val="16"/>
                <w:lang w:val="en-US" w:eastAsia="en-US"/>
              </w:rPr>
              <w:t>MP</w:t>
            </w:r>
            <w:r w:rsidRPr="00544576">
              <w:rPr>
                <w:rFonts w:ascii="Arial" w:eastAsia="Times New Roman" w:hAnsi="Arial" w:cs="Arial"/>
                <w:sz w:val="16"/>
                <w:szCs w:val="16"/>
                <w:lang w:val="en-US" w:eastAsia="en-US"/>
              </w:rPr>
              <w:t xml:space="preserve"> = Permanent Molar; </w:t>
            </w:r>
            <w:r w:rsidRPr="00544576">
              <w:rPr>
                <w:rFonts w:ascii="Arial" w:eastAsia="Times New Roman" w:hAnsi="Arial" w:cs="Arial"/>
                <w:b/>
                <w:sz w:val="16"/>
                <w:szCs w:val="16"/>
                <w:lang w:val="en-US" w:eastAsia="en-US"/>
              </w:rPr>
              <w:t>OI</w:t>
            </w:r>
            <w:r w:rsidRPr="00544576">
              <w:rPr>
                <w:rFonts w:ascii="Arial" w:eastAsia="Times New Roman" w:hAnsi="Arial" w:cs="Arial"/>
                <w:sz w:val="16"/>
                <w:szCs w:val="16"/>
                <w:lang w:val="en-US" w:eastAsia="en-US"/>
              </w:rPr>
              <w:t xml:space="preserve"> = Osteogenesis Imperfecta; </w:t>
            </w:r>
            <w:r w:rsidRPr="00544576">
              <w:rPr>
                <w:rFonts w:ascii="Arial" w:eastAsia="Times New Roman" w:hAnsi="Arial" w:cs="Arial"/>
                <w:b/>
                <w:sz w:val="16"/>
                <w:szCs w:val="16"/>
                <w:lang w:val="en-US" w:eastAsia="en-US"/>
              </w:rPr>
              <w:t>TDF</w:t>
            </w:r>
            <w:r w:rsidRPr="00544576">
              <w:rPr>
                <w:rFonts w:ascii="Arial" w:eastAsia="Times New Roman" w:hAnsi="Arial" w:cs="Arial"/>
                <w:sz w:val="16"/>
                <w:szCs w:val="16"/>
                <w:lang w:val="en-US" w:eastAsia="en-US"/>
              </w:rPr>
              <w:t xml:space="preserve"> = Tenofovir; </w:t>
            </w:r>
            <w:r w:rsidRPr="00544576">
              <w:rPr>
                <w:rFonts w:ascii="Arial" w:eastAsia="Times New Roman" w:hAnsi="Arial" w:cs="Arial"/>
                <w:b/>
                <w:sz w:val="16"/>
                <w:szCs w:val="16"/>
                <w:lang w:val="en-US" w:eastAsia="en-US"/>
              </w:rPr>
              <w:t>TSIF</w:t>
            </w:r>
            <w:r w:rsidRPr="00544576">
              <w:rPr>
                <w:rFonts w:ascii="Arial" w:eastAsia="Times New Roman" w:hAnsi="Arial" w:cs="Arial"/>
                <w:sz w:val="16"/>
                <w:szCs w:val="16"/>
                <w:lang w:val="en-US" w:eastAsia="en-US"/>
              </w:rPr>
              <w:t xml:space="preserve"> = Tooth Surface Index of Fluorosis.</w:t>
            </w:r>
          </w:p>
          <w:p w14:paraId="6363CA68" w14:textId="77777777" w:rsidR="00544576" w:rsidRPr="00544576" w:rsidRDefault="00544576" w:rsidP="00544576">
            <w:pPr>
              <w:jc w:val="both"/>
              <w:rPr>
                <w:rFonts w:ascii="Arial" w:eastAsia="Times New Roman" w:hAnsi="Arial" w:cs="Arial"/>
                <w:sz w:val="16"/>
                <w:szCs w:val="16"/>
                <w:lang w:val="en-US" w:eastAsia="en-US"/>
              </w:rPr>
            </w:pPr>
          </w:p>
        </w:tc>
      </w:tr>
    </w:tbl>
    <w:p w14:paraId="5B07C907" w14:textId="77777777" w:rsidR="00544576" w:rsidRDefault="00544576">
      <w:pPr>
        <w:jc w:val="both"/>
        <w:rPr>
          <w:rFonts w:ascii="Arial" w:eastAsia="Arial" w:hAnsi="Arial" w:cs="Arial"/>
        </w:rPr>
      </w:pPr>
    </w:p>
    <w:p w14:paraId="0CD28BF1" w14:textId="77777777" w:rsidR="00150BA3" w:rsidRDefault="00AB0688">
      <w:pPr>
        <w:jc w:val="both"/>
        <w:rPr>
          <w:rFonts w:ascii="Arial" w:eastAsia="Arial" w:hAnsi="Arial" w:cs="Arial"/>
          <w:highlight w:val="yellow"/>
        </w:rPr>
      </w:pPr>
      <w:r>
        <w:rPr>
          <w:rFonts w:ascii="Arial" w:eastAsia="Arial" w:hAnsi="Arial" w:cs="Arial"/>
        </w:rPr>
        <w:t>Based on the three predefined domains used to assess methodological quality according to the Newcastle-Ottawa Scale (NOS), the risk of bias among the included cohort studies r</w:t>
      </w:r>
      <w:r>
        <w:rPr>
          <w:rFonts w:ascii="Arial" w:eastAsia="Arial" w:hAnsi="Arial" w:cs="Arial"/>
        </w:rPr>
        <w:t xml:space="preserve">anged from moderate to high. Of the 10 cohort studies included, 3 received the maximum score of 9 </w:t>
      </w:r>
      <w:r>
        <w:rPr>
          <w:rFonts w:ascii="Arial" w:eastAsia="Arial" w:hAnsi="Arial" w:cs="Arial"/>
        </w:rPr>
        <w:lastRenderedPageBreak/>
        <w:t xml:space="preserve">points, 1 received 8 points, 4 received 7 points, and 2 scored 6 points according to the NOS (Table 2). </w:t>
      </w:r>
    </w:p>
    <w:p w14:paraId="044F5760" w14:textId="77777777" w:rsidR="00150BA3" w:rsidRDefault="00150BA3">
      <w:pPr>
        <w:jc w:val="both"/>
        <w:rPr>
          <w:rFonts w:ascii="Arial" w:eastAsia="Arial" w:hAnsi="Arial" w:cs="Arial"/>
          <w:highlight w:val="yellow"/>
        </w:rPr>
      </w:pPr>
    </w:p>
    <w:p w14:paraId="72D7A18A" w14:textId="77777777" w:rsidR="00150BA3" w:rsidRDefault="00AB0688">
      <w:pPr>
        <w:jc w:val="both"/>
        <w:rPr>
          <w:rFonts w:ascii="Arial" w:eastAsia="Arial" w:hAnsi="Arial" w:cs="Arial"/>
          <w:b/>
        </w:rPr>
      </w:pPr>
      <w:r>
        <w:rPr>
          <w:rFonts w:ascii="Arial" w:eastAsia="Arial" w:hAnsi="Arial" w:cs="Arial"/>
          <w:b/>
        </w:rPr>
        <w:t>Table 2. Assessment of methodological quality of coh</w:t>
      </w:r>
      <w:r>
        <w:rPr>
          <w:rFonts w:ascii="Arial" w:eastAsia="Arial" w:hAnsi="Arial" w:cs="Arial"/>
          <w:b/>
        </w:rPr>
        <w:t>ort studies</w:t>
      </w:r>
    </w:p>
    <w:p w14:paraId="555D16A7" w14:textId="77777777" w:rsidR="00150BA3" w:rsidRDefault="00150BA3">
      <w:pPr>
        <w:jc w:val="both"/>
        <w:rPr>
          <w:rFonts w:ascii="Arial" w:eastAsia="Arial" w:hAnsi="Arial" w:cs="Arial"/>
          <w:b/>
        </w:rPr>
      </w:pPr>
    </w:p>
    <w:tbl>
      <w:tblPr>
        <w:tblW w:w="8364" w:type="dxa"/>
        <w:tblLayout w:type="fixed"/>
        <w:tblLook w:val="0600" w:firstRow="0" w:lastRow="0" w:firstColumn="0" w:lastColumn="0" w:noHBand="1" w:noVBand="1"/>
      </w:tblPr>
      <w:tblGrid>
        <w:gridCol w:w="1843"/>
        <w:gridCol w:w="1701"/>
        <w:gridCol w:w="1418"/>
        <w:gridCol w:w="1984"/>
        <w:gridCol w:w="1418"/>
      </w:tblGrid>
      <w:tr w:rsidR="00F43492" w:rsidRPr="00F43492" w14:paraId="3289D7BD" w14:textId="77777777" w:rsidTr="006960B6">
        <w:trPr>
          <w:trHeight w:val="177"/>
        </w:trPr>
        <w:tc>
          <w:tcPr>
            <w:tcW w:w="8364" w:type="dxa"/>
            <w:gridSpan w:val="5"/>
            <w:tcBorders>
              <w:bottom w:val="single" w:sz="4" w:space="0" w:color="auto"/>
            </w:tcBorders>
            <w:shd w:val="clear" w:color="auto" w:fill="FFFFFF"/>
            <w:tcMar>
              <w:top w:w="40" w:type="dxa"/>
              <w:left w:w="40" w:type="dxa"/>
              <w:bottom w:w="40" w:type="dxa"/>
              <w:right w:w="40" w:type="dxa"/>
            </w:tcMar>
            <w:vAlign w:val="bottom"/>
          </w:tcPr>
          <w:p w14:paraId="35E52359" w14:textId="597AF022" w:rsidR="00F43492" w:rsidRPr="00F43492" w:rsidRDefault="00F43492" w:rsidP="00F43492">
            <w:pPr>
              <w:rPr>
                <w:rFonts w:ascii="Times New Roman" w:eastAsia="Times New Roman" w:hAnsi="Times New Roman" w:cs="Times New Roman"/>
                <w:b/>
                <w:sz w:val="18"/>
                <w:szCs w:val="18"/>
                <w:lang w:val="en-US" w:eastAsia="en-US"/>
              </w:rPr>
            </w:pPr>
          </w:p>
        </w:tc>
      </w:tr>
      <w:tr w:rsidR="00F43492" w:rsidRPr="00F43492" w14:paraId="549FF59D" w14:textId="77777777" w:rsidTr="006960B6">
        <w:trPr>
          <w:trHeight w:val="414"/>
        </w:trPr>
        <w:tc>
          <w:tcPr>
            <w:tcW w:w="1843" w:type="dxa"/>
            <w:tcBorders>
              <w:bottom w:val="single" w:sz="4" w:space="0" w:color="auto"/>
            </w:tcBorders>
            <w:tcMar>
              <w:top w:w="40" w:type="dxa"/>
              <w:left w:w="40" w:type="dxa"/>
              <w:bottom w:w="40" w:type="dxa"/>
              <w:right w:w="40" w:type="dxa"/>
            </w:tcMar>
            <w:vAlign w:val="center"/>
          </w:tcPr>
          <w:p w14:paraId="6D262F4B" w14:textId="77777777" w:rsidR="00F43492" w:rsidRPr="00F43492" w:rsidRDefault="00F43492" w:rsidP="00F43492">
            <w:pPr>
              <w:jc w:val="center"/>
              <w:rPr>
                <w:rFonts w:ascii="Arial" w:eastAsia="Times New Roman" w:hAnsi="Arial" w:cs="Arial"/>
                <w:b/>
                <w:sz w:val="16"/>
                <w:szCs w:val="16"/>
                <w:lang w:val="en-US" w:eastAsia="en-US"/>
              </w:rPr>
            </w:pPr>
            <w:r w:rsidRPr="00F43492">
              <w:rPr>
                <w:rFonts w:ascii="Arial" w:eastAsia="Times New Roman" w:hAnsi="Arial" w:cs="Arial"/>
                <w:b/>
                <w:sz w:val="16"/>
                <w:szCs w:val="16"/>
                <w:lang w:val="en-US" w:eastAsia="en-US"/>
              </w:rPr>
              <w:t>Author / Year/</w:t>
            </w:r>
          </w:p>
          <w:p w14:paraId="6CF154F1" w14:textId="77777777" w:rsidR="00F43492" w:rsidRPr="00F43492" w:rsidRDefault="00F43492" w:rsidP="00F43492">
            <w:pPr>
              <w:widowControl w:val="0"/>
              <w:jc w:val="center"/>
              <w:rPr>
                <w:rFonts w:ascii="Arial" w:eastAsia="Times New Roman" w:hAnsi="Arial" w:cs="Arial"/>
                <w:sz w:val="16"/>
                <w:szCs w:val="16"/>
                <w:lang w:val="en-US" w:eastAsia="en-US"/>
              </w:rPr>
            </w:pPr>
            <w:r w:rsidRPr="00F43492">
              <w:rPr>
                <w:rFonts w:ascii="Arial" w:eastAsia="Times New Roman" w:hAnsi="Arial" w:cs="Arial"/>
                <w:b/>
                <w:sz w:val="16"/>
                <w:szCs w:val="16"/>
                <w:lang w:val="en-US" w:eastAsia="en-US"/>
              </w:rPr>
              <w:t>Study design</w:t>
            </w:r>
          </w:p>
        </w:tc>
        <w:tc>
          <w:tcPr>
            <w:tcW w:w="1701" w:type="dxa"/>
            <w:tcBorders>
              <w:bottom w:val="single" w:sz="4" w:space="0" w:color="auto"/>
            </w:tcBorders>
            <w:tcMar>
              <w:top w:w="40" w:type="dxa"/>
              <w:left w:w="40" w:type="dxa"/>
              <w:bottom w:w="40" w:type="dxa"/>
              <w:right w:w="40" w:type="dxa"/>
            </w:tcMar>
            <w:vAlign w:val="center"/>
          </w:tcPr>
          <w:p w14:paraId="015495C5" w14:textId="77777777" w:rsidR="00F43492" w:rsidRPr="00F43492" w:rsidRDefault="00F43492" w:rsidP="00F43492">
            <w:pPr>
              <w:widowControl w:val="0"/>
              <w:jc w:val="center"/>
              <w:rPr>
                <w:rFonts w:ascii="Arial" w:eastAsia="Times New Roman" w:hAnsi="Arial" w:cs="Arial"/>
                <w:sz w:val="16"/>
                <w:szCs w:val="16"/>
                <w:lang w:val="en-US" w:eastAsia="en-US"/>
              </w:rPr>
            </w:pPr>
            <w:r w:rsidRPr="00F43492">
              <w:rPr>
                <w:rFonts w:ascii="Arial" w:eastAsia="Times New Roman" w:hAnsi="Arial" w:cs="Arial"/>
                <w:b/>
                <w:sz w:val="16"/>
                <w:szCs w:val="16"/>
                <w:lang w:val="en-US" w:eastAsia="en-US"/>
              </w:rPr>
              <w:t>Selection</w:t>
            </w:r>
          </w:p>
        </w:tc>
        <w:tc>
          <w:tcPr>
            <w:tcW w:w="1418" w:type="dxa"/>
            <w:tcBorders>
              <w:bottom w:val="single" w:sz="4" w:space="0" w:color="auto"/>
            </w:tcBorders>
            <w:tcMar>
              <w:top w:w="40" w:type="dxa"/>
              <w:left w:w="40" w:type="dxa"/>
              <w:bottom w:w="40" w:type="dxa"/>
              <w:right w:w="40" w:type="dxa"/>
            </w:tcMar>
            <w:vAlign w:val="center"/>
          </w:tcPr>
          <w:p w14:paraId="25024F8E" w14:textId="77777777" w:rsidR="00F43492" w:rsidRPr="00F43492" w:rsidRDefault="00F43492" w:rsidP="00F43492">
            <w:pPr>
              <w:widowControl w:val="0"/>
              <w:jc w:val="center"/>
              <w:rPr>
                <w:rFonts w:ascii="Arial" w:eastAsia="Times New Roman" w:hAnsi="Arial" w:cs="Arial"/>
                <w:sz w:val="16"/>
                <w:szCs w:val="16"/>
                <w:lang w:val="en-US" w:eastAsia="en-US"/>
              </w:rPr>
            </w:pPr>
            <w:r w:rsidRPr="00F43492">
              <w:rPr>
                <w:rFonts w:ascii="Arial" w:eastAsia="Times New Roman" w:hAnsi="Arial" w:cs="Arial"/>
                <w:b/>
                <w:sz w:val="16"/>
                <w:szCs w:val="16"/>
                <w:lang w:val="en-US" w:eastAsia="en-US"/>
              </w:rPr>
              <w:t>Comparability</w:t>
            </w:r>
          </w:p>
        </w:tc>
        <w:tc>
          <w:tcPr>
            <w:tcW w:w="1984" w:type="dxa"/>
            <w:tcBorders>
              <w:bottom w:val="single" w:sz="4" w:space="0" w:color="auto"/>
            </w:tcBorders>
            <w:tcMar>
              <w:top w:w="40" w:type="dxa"/>
              <w:left w:w="40" w:type="dxa"/>
              <w:bottom w:w="40" w:type="dxa"/>
              <w:right w:w="40" w:type="dxa"/>
            </w:tcMar>
            <w:vAlign w:val="center"/>
          </w:tcPr>
          <w:p w14:paraId="64B2BBC6" w14:textId="77777777" w:rsidR="00F43492" w:rsidRPr="00F43492" w:rsidRDefault="00F43492" w:rsidP="00F43492">
            <w:pPr>
              <w:widowControl w:val="0"/>
              <w:jc w:val="center"/>
              <w:rPr>
                <w:rFonts w:ascii="Arial" w:eastAsia="Times New Roman" w:hAnsi="Arial" w:cs="Arial"/>
                <w:sz w:val="16"/>
                <w:szCs w:val="16"/>
                <w:lang w:val="en-US" w:eastAsia="en-US"/>
              </w:rPr>
            </w:pPr>
            <w:r w:rsidRPr="00F43492">
              <w:rPr>
                <w:rFonts w:ascii="Arial" w:eastAsia="Times New Roman" w:hAnsi="Arial" w:cs="Arial"/>
                <w:b/>
                <w:sz w:val="16"/>
                <w:szCs w:val="16"/>
                <w:lang w:val="en-US" w:eastAsia="en-US"/>
              </w:rPr>
              <w:t>Exposure / Outcome</w:t>
            </w:r>
          </w:p>
        </w:tc>
        <w:tc>
          <w:tcPr>
            <w:tcW w:w="1418" w:type="dxa"/>
            <w:tcBorders>
              <w:bottom w:val="single" w:sz="4" w:space="0" w:color="auto"/>
            </w:tcBorders>
            <w:tcMar>
              <w:top w:w="40" w:type="dxa"/>
              <w:left w:w="40" w:type="dxa"/>
              <w:bottom w:w="40" w:type="dxa"/>
              <w:right w:w="40" w:type="dxa"/>
            </w:tcMar>
            <w:vAlign w:val="center"/>
          </w:tcPr>
          <w:p w14:paraId="37DA8152" w14:textId="77777777" w:rsidR="00F43492" w:rsidRPr="00F43492" w:rsidRDefault="00F43492" w:rsidP="00F43492">
            <w:pPr>
              <w:widowControl w:val="0"/>
              <w:jc w:val="center"/>
              <w:rPr>
                <w:rFonts w:ascii="Arial" w:eastAsia="Times New Roman" w:hAnsi="Arial" w:cs="Arial"/>
                <w:sz w:val="16"/>
                <w:szCs w:val="16"/>
                <w:lang w:val="en-US" w:eastAsia="en-US"/>
              </w:rPr>
            </w:pPr>
            <w:r w:rsidRPr="00F43492">
              <w:rPr>
                <w:rFonts w:ascii="Arial" w:eastAsia="Times New Roman" w:hAnsi="Arial" w:cs="Arial"/>
                <w:b/>
                <w:sz w:val="16"/>
                <w:szCs w:val="16"/>
                <w:lang w:val="en-US" w:eastAsia="en-US"/>
              </w:rPr>
              <w:t>Score</w:t>
            </w:r>
          </w:p>
        </w:tc>
      </w:tr>
      <w:tr w:rsidR="006960B6" w:rsidRPr="00F43492" w14:paraId="2AC19E11" w14:textId="77777777" w:rsidTr="006960B6">
        <w:trPr>
          <w:trHeight w:val="315"/>
        </w:trPr>
        <w:tc>
          <w:tcPr>
            <w:tcW w:w="1843" w:type="dxa"/>
            <w:tcBorders>
              <w:top w:val="single" w:sz="4" w:space="0" w:color="auto"/>
            </w:tcBorders>
            <w:shd w:val="clear" w:color="auto" w:fill="D9D9D9"/>
            <w:tcMar>
              <w:top w:w="40" w:type="dxa"/>
              <w:left w:w="40" w:type="dxa"/>
              <w:bottom w:w="40" w:type="dxa"/>
              <w:right w:w="40" w:type="dxa"/>
            </w:tcMar>
            <w:vAlign w:val="center"/>
          </w:tcPr>
          <w:p w14:paraId="179E652C" w14:textId="77777777" w:rsidR="00F43492" w:rsidRPr="00F43492" w:rsidRDefault="00F43492" w:rsidP="00F43492">
            <w:pPr>
              <w:widowControl w:val="0"/>
              <w:rPr>
                <w:rFonts w:ascii="Arial" w:eastAsia="Times New Roman" w:hAnsi="Arial" w:cs="Arial"/>
                <w:sz w:val="16"/>
                <w:szCs w:val="16"/>
                <w:lang w:val="en-US" w:eastAsia="en-US"/>
              </w:rPr>
            </w:pPr>
            <w:r w:rsidRPr="00F43492">
              <w:rPr>
                <w:rFonts w:ascii="Arial" w:eastAsia="Times New Roman" w:hAnsi="Arial" w:cs="Arial"/>
                <w:sz w:val="16"/>
                <w:szCs w:val="16"/>
                <w:lang w:val="en-US" w:eastAsia="en-US"/>
              </w:rPr>
              <w:t>Hong</w:t>
            </w:r>
            <w:r w:rsidRPr="00F43492">
              <w:rPr>
                <w:rFonts w:ascii="Arial" w:eastAsia="Times New Roman" w:hAnsi="Arial" w:cs="Arial"/>
                <w:i/>
                <w:sz w:val="16"/>
                <w:szCs w:val="16"/>
                <w:lang w:val="en-US" w:eastAsia="en-US"/>
              </w:rPr>
              <w:t xml:space="preserve"> et al.</w:t>
            </w:r>
            <w:r w:rsidRPr="00F43492">
              <w:rPr>
                <w:rFonts w:ascii="Arial" w:eastAsia="Times New Roman" w:hAnsi="Arial" w:cs="Arial"/>
                <w:sz w:val="16"/>
                <w:szCs w:val="16"/>
                <w:lang w:val="en-US" w:eastAsia="en-US"/>
              </w:rPr>
              <w:t>, 2004</w:t>
            </w:r>
          </w:p>
          <w:p w14:paraId="329C1A5C" w14:textId="77777777" w:rsidR="00F43492" w:rsidRPr="00F43492" w:rsidRDefault="00F43492" w:rsidP="00F43492">
            <w:pPr>
              <w:widowControl w:val="0"/>
              <w:rPr>
                <w:rFonts w:ascii="Arial" w:eastAsia="Times New Roman" w:hAnsi="Arial" w:cs="Arial"/>
                <w:sz w:val="16"/>
                <w:szCs w:val="16"/>
                <w:lang w:val="en-US" w:eastAsia="en-US"/>
              </w:rPr>
            </w:pPr>
            <w:r w:rsidRPr="00F43492">
              <w:rPr>
                <w:rFonts w:ascii="Arial" w:eastAsia="Times New Roman" w:hAnsi="Arial" w:cs="Arial"/>
                <w:sz w:val="16"/>
                <w:szCs w:val="16"/>
                <w:lang w:val="en-US" w:eastAsia="en-US"/>
              </w:rPr>
              <w:t>Prospective cohort</w:t>
            </w:r>
          </w:p>
        </w:tc>
        <w:tc>
          <w:tcPr>
            <w:tcW w:w="1701" w:type="dxa"/>
            <w:tcBorders>
              <w:top w:val="single" w:sz="4" w:space="0" w:color="auto"/>
            </w:tcBorders>
            <w:shd w:val="clear" w:color="auto" w:fill="D9D9D9"/>
            <w:tcMar>
              <w:top w:w="40" w:type="dxa"/>
              <w:left w:w="40" w:type="dxa"/>
              <w:bottom w:w="40" w:type="dxa"/>
              <w:right w:w="40" w:type="dxa"/>
            </w:tcMar>
            <w:vAlign w:val="center"/>
          </w:tcPr>
          <w:p w14:paraId="29ABF8F1" w14:textId="77777777" w:rsidR="00F43492" w:rsidRPr="00F43492" w:rsidRDefault="00F43492" w:rsidP="00F43492">
            <w:pPr>
              <w:widowControl w:val="0"/>
              <w:jc w:val="center"/>
              <w:rPr>
                <w:rFonts w:ascii="Arial" w:eastAsia="Times New Roman" w:hAnsi="Arial" w:cs="Arial"/>
                <w:sz w:val="36"/>
                <w:szCs w:val="36"/>
                <w:lang w:val="en-US" w:eastAsia="en-US"/>
              </w:rPr>
            </w:pPr>
            <w:r w:rsidRPr="00F43492">
              <w:rPr>
                <w:rFonts w:ascii="Arial" w:eastAsia="Times New Roman" w:hAnsi="Arial" w:cs="Arial"/>
                <w:sz w:val="36"/>
                <w:szCs w:val="36"/>
                <w:lang w:val="en-US" w:eastAsia="en-US"/>
              </w:rPr>
              <w:t>***</w:t>
            </w:r>
          </w:p>
        </w:tc>
        <w:tc>
          <w:tcPr>
            <w:tcW w:w="1418" w:type="dxa"/>
            <w:tcBorders>
              <w:top w:val="single" w:sz="4" w:space="0" w:color="auto"/>
            </w:tcBorders>
            <w:shd w:val="clear" w:color="auto" w:fill="D9D9D9"/>
            <w:tcMar>
              <w:top w:w="40" w:type="dxa"/>
              <w:left w:w="40" w:type="dxa"/>
              <w:bottom w:w="40" w:type="dxa"/>
              <w:right w:w="40" w:type="dxa"/>
            </w:tcMar>
            <w:vAlign w:val="center"/>
          </w:tcPr>
          <w:p w14:paraId="4579EDE6" w14:textId="77777777" w:rsidR="00F43492" w:rsidRPr="00F43492" w:rsidRDefault="00F43492" w:rsidP="00F43492">
            <w:pPr>
              <w:widowControl w:val="0"/>
              <w:jc w:val="center"/>
              <w:rPr>
                <w:rFonts w:ascii="Arial" w:eastAsia="Times New Roman" w:hAnsi="Arial" w:cs="Arial"/>
                <w:sz w:val="36"/>
                <w:szCs w:val="36"/>
                <w:lang w:val="en-US" w:eastAsia="en-US"/>
              </w:rPr>
            </w:pPr>
            <w:r w:rsidRPr="00F43492">
              <w:rPr>
                <w:rFonts w:ascii="Arial" w:eastAsia="Times New Roman" w:hAnsi="Arial" w:cs="Arial"/>
                <w:sz w:val="36"/>
                <w:szCs w:val="36"/>
                <w:lang w:val="en-US" w:eastAsia="en-US"/>
              </w:rPr>
              <w:t>**</w:t>
            </w:r>
          </w:p>
        </w:tc>
        <w:tc>
          <w:tcPr>
            <w:tcW w:w="1984" w:type="dxa"/>
            <w:tcBorders>
              <w:top w:val="single" w:sz="4" w:space="0" w:color="auto"/>
            </w:tcBorders>
            <w:shd w:val="clear" w:color="auto" w:fill="D9D9D9"/>
            <w:tcMar>
              <w:top w:w="40" w:type="dxa"/>
              <w:left w:w="40" w:type="dxa"/>
              <w:bottom w:w="40" w:type="dxa"/>
              <w:right w:w="40" w:type="dxa"/>
            </w:tcMar>
            <w:vAlign w:val="center"/>
          </w:tcPr>
          <w:p w14:paraId="71A85ACE" w14:textId="77777777" w:rsidR="00F43492" w:rsidRPr="00F43492" w:rsidRDefault="00F43492" w:rsidP="00F43492">
            <w:pPr>
              <w:widowControl w:val="0"/>
              <w:jc w:val="center"/>
              <w:rPr>
                <w:rFonts w:ascii="Arial" w:eastAsia="Times New Roman" w:hAnsi="Arial" w:cs="Arial"/>
                <w:sz w:val="36"/>
                <w:szCs w:val="36"/>
                <w:lang w:val="en-US" w:eastAsia="en-US"/>
              </w:rPr>
            </w:pPr>
            <w:r w:rsidRPr="00F43492">
              <w:rPr>
                <w:rFonts w:ascii="Arial" w:eastAsia="Times New Roman" w:hAnsi="Arial" w:cs="Arial"/>
                <w:sz w:val="36"/>
                <w:szCs w:val="36"/>
                <w:lang w:val="en-US" w:eastAsia="en-US"/>
              </w:rPr>
              <w:t>**</w:t>
            </w:r>
          </w:p>
        </w:tc>
        <w:tc>
          <w:tcPr>
            <w:tcW w:w="1418" w:type="dxa"/>
            <w:tcBorders>
              <w:top w:val="single" w:sz="4" w:space="0" w:color="auto"/>
            </w:tcBorders>
            <w:shd w:val="clear" w:color="auto" w:fill="D9D9D9"/>
            <w:tcMar>
              <w:top w:w="40" w:type="dxa"/>
              <w:left w:w="40" w:type="dxa"/>
              <w:bottom w:w="40" w:type="dxa"/>
              <w:right w:w="40" w:type="dxa"/>
            </w:tcMar>
            <w:vAlign w:val="center"/>
          </w:tcPr>
          <w:p w14:paraId="62B09143" w14:textId="77777777" w:rsidR="00F43492" w:rsidRPr="00F43492" w:rsidRDefault="00F43492" w:rsidP="00F43492">
            <w:pPr>
              <w:widowControl w:val="0"/>
              <w:jc w:val="center"/>
              <w:rPr>
                <w:rFonts w:ascii="Arial" w:eastAsia="Times New Roman" w:hAnsi="Arial" w:cs="Arial"/>
                <w:lang w:val="en-US" w:eastAsia="en-US"/>
              </w:rPr>
            </w:pPr>
            <w:r w:rsidRPr="00F43492">
              <w:rPr>
                <w:rFonts w:ascii="Arial" w:eastAsia="Times New Roman" w:hAnsi="Arial" w:cs="Arial"/>
                <w:sz w:val="18"/>
                <w:szCs w:val="18"/>
                <w:lang w:val="en-US" w:eastAsia="en-US"/>
              </w:rPr>
              <w:t>7</w:t>
            </w:r>
          </w:p>
        </w:tc>
      </w:tr>
      <w:tr w:rsidR="00F43492" w:rsidRPr="00F43492" w14:paraId="696CE0D7" w14:textId="77777777" w:rsidTr="006960B6">
        <w:trPr>
          <w:trHeight w:val="651"/>
        </w:trPr>
        <w:tc>
          <w:tcPr>
            <w:tcW w:w="1843" w:type="dxa"/>
            <w:shd w:val="clear" w:color="auto" w:fill="FFFFFF"/>
            <w:tcMar>
              <w:top w:w="40" w:type="dxa"/>
              <w:left w:w="40" w:type="dxa"/>
              <w:bottom w:w="40" w:type="dxa"/>
              <w:right w:w="40" w:type="dxa"/>
            </w:tcMar>
            <w:vAlign w:val="center"/>
          </w:tcPr>
          <w:p w14:paraId="60D9CD23" w14:textId="77777777" w:rsidR="00F43492" w:rsidRPr="00F43492" w:rsidRDefault="00F43492" w:rsidP="00F43492">
            <w:pPr>
              <w:ind w:hanging="45"/>
              <w:rPr>
                <w:rFonts w:ascii="Arial" w:eastAsia="Times New Roman" w:hAnsi="Arial" w:cs="Arial"/>
                <w:sz w:val="16"/>
                <w:szCs w:val="16"/>
                <w:lang w:val="en-US" w:eastAsia="en-US"/>
              </w:rPr>
            </w:pPr>
            <w:r w:rsidRPr="00F43492">
              <w:rPr>
                <w:rFonts w:ascii="Arial" w:eastAsia="Times New Roman" w:hAnsi="Arial" w:cs="Arial"/>
                <w:sz w:val="16"/>
                <w:szCs w:val="16"/>
                <w:lang w:val="en-US" w:eastAsia="en-US"/>
              </w:rPr>
              <w:t xml:space="preserve">Hong </w:t>
            </w:r>
            <w:r w:rsidRPr="00F43492">
              <w:rPr>
                <w:rFonts w:ascii="Arial" w:eastAsia="Times New Roman" w:hAnsi="Arial" w:cs="Arial"/>
                <w:i/>
                <w:sz w:val="16"/>
                <w:szCs w:val="16"/>
                <w:lang w:val="en-US" w:eastAsia="en-US"/>
              </w:rPr>
              <w:t>et al.</w:t>
            </w:r>
            <w:r w:rsidRPr="00F43492">
              <w:rPr>
                <w:rFonts w:ascii="Arial" w:eastAsia="Times New Roman" w:hAnsi="Arial" w:cs="Arial"/>
                <w:sz w:val="16"/>
                <w:szCs w:val="16"/>
                <w:lang w:val="en-US" w:eastAsia="en-US"/>
              </w:rPr>
              <w:t>, 2005</w:t>
            </w:r>
          </w:p>
          <w:p w14:paraId="1E9FA530" w14:textId="77777777" w:rsidR="00F43492" w:rsidRPr="00F43492" w:rsidRDefault="00F43492" w:rsidP="00F43492">
            <w:pPr>
              <w:rPr>
                <w:rFonts w:ascii="Arial" w:eastAsia="Times New Roman" w:hAnsi="Arial" w:cs="Arial"/>
                <w:sz w:val="16"/>
                <w:szCs w:val="16"/>
                <w:lang w:val="en-US" w:eastAsia="en-US"/>
              </w:rPr>
            </w:pPr>
            <w:r w:rsidRPr="00F43492">
              <w:rPr>
                <w:rFonts w:ascii="Arial" w:eastAsia="Times New Roman" w:hAnsi="Arial" w:cs="Arial"/>
                <w:sz w:val="16"/>
                <w:szCs w:val="16"/>
                <w:lang w:val="en-US" w:eastAsia="en-US"/>
              </w:rPr>
              <w:t>Prospective cohort</w:t>
            </w:r>
          </w:p>
        </w:tc>
        <w:tc>
          <w:tcPr>
            <w:tcW w:w="1701" w:type="dxa"/>
            <w:tcMar>
              <w:top w:w="40" w:type="dxa"/>
              <w:left w:w="40" w:type="dxa"/>
              <w:bottom w:w="40" w:type="dxa"/>
              <w:right w:w="40" w:type="dxa"/>
            </w:tcMar>
            <w:vAlign w:val="center"/>
          </w:tcPr>
          <w:p w14:paraId="6D90E45F"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418" w:type="dxa"/>
            <w:tcMar>
              <w:top w:w="40" w:type="dxa"/>
              <w:left w:w="40" w:type="dxa"/>
              <w:bottom w:w="40" w:type="dxa"/>
              <w:right w:w="40" w:type="dxa"/>
            </w:tcMar>
            <w:vAlign w:val="center"/>
          </w:tcPr>
          <w:p w14:paraId="6A960AB8"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984" w:type="dxa"/>
            <w:tcMar>
              <w:top w:w="40" w:type="dxa"/>
              <w:left w:w="40" w:type="dxa"/>
              <w:bottom w:w="40" w:type="dxa"/>
              <w:right w:w="40" w:type="dxa"/>
            </w:tcMar>
            <w:vAlign w:val="center"/>
          </w:tcPr>
          <w:p w14:paraId="19261893"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418" w:type="dxa"/>
            <w:tcMar>
              <w:top w:w="40" w:type="dxa"/>
              <w:left w:w="40" w:type="dxa"/>
              <w:bottom w:w="40" w:type="dxa"/>
              <w:right w:w="40" w:type="dxa"/>
            </w:tcMar>
            <w:vAlign w:val="center"/>
          </w:tcPr>
          <w:p w14:paraId="6589902C" w14:textId="77777777" w:rsidR="00F43492" w:rsidRPr="00F43492" w:rsidRDefault="00F43492" w:rsidP="00F43492">
            <w:pPr>
              <w:widowControl w:val="0"/>
              <w:jc w:val="center"/>
              <w:rPr>
                <w:rFonts w:ascii="Arial" w:eastAsia="Times New Roman" w:hAnsi="Arial" w:cs="Arial"/>
                <w:lang w:val="en-US" w:eastAsia="en-US"/>
              </w:rPr>
            </w:pPr>
            <w:r w:rsidRPr="00F43492">
              <w:rPr>
                <w:rFonts w:ascii="Arial" w:eastAsia="Times New Roman" w:hAnsi="Arial" w:cs="Arial"/>
                <w:sz w:val="18"/>
                <w:szCs w:val="18"/>
                <w:lang w:val="en-US" w:eastAsia="en-US"/>
              </w:rPr>
              <w:t>7</w:t>
            </w:r>
          </w:p>
        </w:tc>
      </w:tr>
      <w:tr w:rsidR="006960B6" w:rsidRPr="00F43492" w14:paraId="2E1E7749" w14:textId="77777777" w:rsidTr="006960B6">
        <w:trPr>
          <w:trHeight w:val="315"/>
        </w:trPr>
        <w:tc>
          <w:tcPr>
            <w:tcW w:w="1843" w:type="dxa"/>
            <w:shd w:val="clear" w:color="auto" w:fill="D9D9D9"/>
            <w:tcMar>
              <w:top w:w="40" w:type="dxa"/>
              <w:left w:w="40" w:type="dxa"/>
              <w:bottom w:w="40" w:type="dxa"/>
              <w:right w:w="40" w:type="dxa"/>
            </w:tcMar>
            <w:vAlign w:val="center"/>
          </w:tcPr>
          <w:p w14:paraId="10FA97C9" w14:textId="77777777" w:rsidR="00F43492" w:rsidRPr="00F43492" w:rsidRDefault="00F43492" w:rsidP="00F43492">
            <w:pPr>
              <w:rPr>
                <w:rFonts w:ascii="Arial" w:eastAsia="Times New Roman" w:hAnsi="Arial" w:cs="Arial"/>
                <w:sz w:val="16"/>
                <w:szCs w:val="16"/>
                <w:lang w:val="en-US" w:eastAsia="en-US"/>
              </w:rPr>
            </w:pPr>
            <w:r w:rsidRPr="00F43492">
              <w:rPr>
                <w:rFonts w:ascii="Arial" w:eastAsia="Times New Roman" w:hAnsi="Arial" w:cs="Arial"/>
                <w:sz w:val="16"/>
                <w:szCs w:val="16"/>
                <w:lang w:val="en-US" w:eastAsia="en-US"/>
              </w:rPr>
              <w:t xml:space="preserve">Hong </w:t>
            </w:r>
            <w:r w:rsidRPr="00F43492">
              <w:rPr>
                <w:rFonts w:ascii="Arial" w:eastAsia="Times New Roman" w:hAnsi="Arial" w:cs="Arial"/>
                <w:i/>
                <w:sz w:val="16"/>
                <w:szCs w:val="16"/>
                <w:lang w:val="en-US" w:eastAsia="en-US"/>
              </w:rPr>
              <w:t>et al.,</w:t>
            </w:r>
            <w:r w:rsidRPr="00F43492">
              <w:rPr>
                <w:rFonts w:ascii="Arial" w:eastAsia="Times New Roman" w:hAnsi="Arial" w:cs="Arial"/>
                <w:sz w:val="16"/>
                <w:szCs w:val="16"/>
                <w:lang w:val="en-US" w:eastAsia="en-US"/>
              </w:rPr>
              <w:t xml:space="preserve"> 2011</w:t>
            </w:r>
          </w:p>
          <w:p w14:paraId="789DC146" w14:textId="77777777" w:rsidR="00F43492" w:rsidRPr="00F43492" w:rsidRDefault="00F43492" w:rsidP="00F43492">
            <w:pPr>
              <w:widowControl w:val="0"/>
              <w:rPr>
                <w:rFonts w:ascii="Arial" w:eastAsia="Times New Roman" w:hAnsi="Arial" w:cs="Arial"/>
                <w:sz w:val="16"/>
                <w:szCs w:val="16"/>
                <w:lang w:val="en-US" w:eastAsia="en-US"/>
              </w:rPr>
            </w:pPr>
            <w:r w:rsidRPr="00F43492">
              <w:rPr>
                <w:rFonts w:ascii="Arial" w:eastAsia="Times New Roman" w:hAnsi="Arial" w:cs="Arial"/>
                <w:sz w:val="16"/>
                <w:szCs w:val="16"/>
                <w:lang w:val="en-US" w:eastAsia="en-US"/>
              </w:rPr>
              <w:t>Prospective cohort</w:t>
            </w:r>
          </w:p>
        </w:tc>
        <w:tc>
          <w:tcPr>
            <w:tcW w:w="1701" w:type="dxa"/>
            <w:shd w:val="clear" w:color="auto" w:fill="D9D9D9"/>
            <w:tcMar>
              <w:top w:w="40" w:type="dxa"/>
              <w:left w:w="40" w:type="dxa"/>
              <w:bottom w:w="40" w:type="dxa"/>
              <w:right w:w="40" w:type="dxa"/>
            </w:tcMar>
            <w:vAlign w:val="center"/>
          </w:tcPr>
          <w:p w14:paraId="570C90AA"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418" w:type="dxa"/>
            <w:shd w:val="clear" w:color="auto" w:fill="D9D9D9"/>
            <w:tcMar>
              <w:top w:w="40" w:type="dxa"/>
              <w:left w:w="40" w:type="dxa"/>
              <w:bottom w:w="40" w:type="dxa"/>
              <w:right w:w="40" w:type="dxa"/>
            </w:tcMar>
            <w:vAlign w:val="center"/>
          </w:tcPr>
          <w:p w14:paraId="1816BBE0"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984" w:type="dxa"/>
            <w:shd w:val="clear" w:color="auto" w:fill="D9D9D9"/>
            <w:tcMar>
              <w:top w:w="40" w:type="dxa"/>
              <w:left w:w="40" w:type="dxa"/>
              <w:bottom w:w="40" w:type="dxa"/>
              <w:right w:w="40" w:type="dxa"/>
            </w:tcMar>
            <w:vAlign w:val="center"/>
          </w:tcPr>
          <w:p w14:paraId="3B324C5A"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418" w:type="dxa"/>
            <w:shd w:val="clear" w:color="auto" w:fill="D9D9D9"/>
            <w:tcMar>
              <w:top w:w="40" w:type="dxa"/>
              <w:left w:w="40" w:type="dxa"/>
              <w:bottom w:w="40" w:type="dxa"/>
              <w:right w:w="40" w:type="dxa"/>
            </w:tcMar>
            <w:vAlign w:val="center"/>
          </w:tcPr>
          <w:p w14:paraId="13A7F995" w14:textId="77777777" w:rsidR="00F43492" w:rsidRPr="00F43492" w:rsidRDefault="00F43492" w:rsidP="00F43492">
            <w:pPr>
              <w:widowControl w:val="0"/>
              <w:jc w:val="center"/>
              <w:rPr>
                <w:rFonts w:ascii="Arial" w:eastAsia="Times New Roman" w:hAnsi="Arial" w:cs="Arial"/>
                <w:lang w:val="en-US" w:eastAsia="en-US"/>
              </w:rPr>
            </w:pPr>
            <w:r w:rsidRPr="00F43492">
              <w:rPr>
                <w:rFonts w:ascii="Arial" w:eastAsia="Times New Roman" w:hAnsi="Arial" w:cs="Arial"/>
                <w:sz w:val="18"/>
                <w:szCs w:val="18"/>
                <w:lang w:val="en-US" w:eastAsia="en-US"/>
              </w:rPr>
              <w:t>7</w:t>
            </w:r>
          </w:p>
        </w:tc>
      </w:tr>
      <w:tr w:rsidR="00F43492" w:rsidRPr="00F43492" w14:paraId="5D5795DB" w14:textId="77777777" w:rsidTr="006960B6">
        <w:trPr>
          <w:trHeight w:val="315"/>
        </w:trPr>
        <w:tc>
          <w:tcPr>
            <w:tcW w:w="1843" w:type="dxa"/>
            <w:shd w:val="clear" w:color="auto" w:fill="FFFFFF"/>
            <w:tcMar>
              <w:top w:w="40" w:type="dxa"/>
              <w:left w:w="40" w:type="dxa"/>
              <w:bottom w:w="40" w:type="dxa"/>
              <w:right w:w="40" w:type="dxa"/>
            </w:tcMar>
            <w:vAlign w:val="center"/>
          </w:tcPr>
          <w:p w14:paraId="61D30129" w14:textId="77777777" w:rsidR="00F43492" w:rsidRPr="00F43492" w:rsidRDefault="00F43492" w:rsidP="00F43492">
            <w:pPr>
              <w:rPr>
                <w:rFonts w:ascii="Arial" w:eastAsia="Times New Roman" w:hAnsi="Arial" w:cs="Arial"/>
                <w:sz w:val="16"/>
                <w:szCs w:val="16"/>
                <w:lang w:val="en-US" w:eastAsia="en-US"/>
              </w:rPr>
            </w:pPr>
            <w:r w:rsidRPr="00F43492">
              <w:rPr>
                <w:rFonts w:ascii="Arial" w:eastAsia="Times New Roman" w:hAnsi="Arial" w:cs="Arial"/>
                <w:sz w:val="16"/>
                <w:szCs w:val="16"/>
                <w:lang w:val="en-US" w:eastAsia="en-US"/>
              </w:rPr>
              <w:t>Elfrink</w:t>
            </w:r>
            <w:r w:rsidRPr="00F43492">
              <w:rPr>
                <w:rFonts w:ascii="Arial" w:eastAsia="Times New Roman" w:hAnsi="Arial" w:cs="Arial"/>
                <w:i/>
                <w:sz w:val="16"/>
                <w:szCs w:val="16"/>
                <w:lang w:val="en-US" w:eastAsia="en-US"/>
              </w:rPr>
              <w:t xml:space="preserve"> et al.</w:t>
            </w:r>
            <w:r w:rsidRPr="00F43492">
              <w:rPr>
                <w:rFonts w:ascii="Arial" w:eastAsia="Times New Roman" w:hAnsi="Arial" w:cs="Arial"/>
                <w:sz w:val="16"/>
                <w:szCs w:val="16"/>
                <w:lang w:val="en-US" w:eastAsia="en-US"/>
              </w:rPr>
              <w:t>, 2013</w:t>
            </w:r>
          </w:p>
          <w:p w14:paraId="76E07355" w14:textId="77777777" w:rsidR="00F43492" w:rsidRPr="00F43492" w:rsidRDefault="00F43492" w:rsidP="00F43492">
            <w:pPr>
              <w:widowControl w:val="0"/>
              <w:rPr>
                <w:rFonts w:ascii="Arial" w:eastAsia="Times New Roman" w:hAnsi="Arial" w:cs="Arial"/>
                <w:sz w:val="16"/>
                <w:szCs w:val="16"/>
                <w:lang w:val="en-US" w:eastAsia="en-US"/>
              </w:rPr>
            </w:pPr>
            <w:r w:rsidRPr="00F43492">
              <w:rPr>
                <w:rFonts w:ascii="Arial" w:eastAsia="Times New Roman" w:hAnsi="Arial" w:cs="Arial"/>
                <w:sz w:val="16"/>
                <w:szCs w:val="16"/>
                <w:lang w:val="en-US" w:eastAsia="en-US"/>
              </w:rPr>
              <w:t>Prospective cohort</w:t>
            </w:r>
          </w:p>
        </w:tc>
        <w:tc>
          <w:tcPr>
            <w:tcW w:w="1701" w:type="dxa"/>
            <w:tcMar>
              <w:top w:w="40" w:type="dxa"/>
              <w:left w:w="40" w:type="dxa"/>
              <w:bottom w:w="40" w:type="dxa"/>
              <w:right w:w="40" w:type="dxa"/>
            </w:tcMar>
            <w:vAlign w:val="center"/>
          </w:tcPr>
          <w:p w14:paraId="1BB5843C"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418" w:type="dxa"/>
            <w:tcMar>
              <w:top w:w="40" w:type="dxa"/>
              <w:left w:w="40" w:type="dxa"/>
              <w:bottom w:w="40" w:type="dxa"/>
              <w:right w:w="40" w:type="dxa"/>
            </w:tcMar>
            <w:vAlign w:val="center"/>
          </w:tcPr>
          <w:p w14:paraId="1D9EAB1F"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984" w:type="dxa"/>
            <w:tcMar>
              <w:top w:w="40" w:type="dxa"/>
              <w:left w:w="40" w:type="dxa"/>
              <w:bottom w:w="40" w:type="dxa"/>
              <w:right w:w="40" w:type="dxa"/>
            </w:tcMar>
            <w:vAlign w:val="center"/>
          </w:tcPr>
          <w:p w14:paraId="6B177603"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418" w:type="dxa"/>
            <w:tcMar>
              <w:top w:w="40" w:type="dxa"/>
              <w:left w:w="40" w:type="dxa"/>
              <w:bottom w:w="40" w:type="dxa"/>
              <w:right w:w="40" w:type="dxa"/>
            </w:tcMar>
            <w:vAlign w:val="center"/>
          </w:tcPr>
          <w:p w14:paraId="7E17424E" w14:textId="77777777" w:rsidR="00F43492" w:rsidRPr="00F43492" w:rsidRDefault="00F43492" w:rsidP="00F43492">
            <w:pPr>
              <w:widowControl w:val="0"/>
              <w:jc w:val="center"/>
              <w:rPr>
                <w:rFonts w:ascii="Arial" w:eastAsia="Times New Roman" w:hAnsi="Arial" w:cs="Arial"/>
                <w:lang w:val="en-US" w:eastAsia="en-US"/>
              </w:rPr>
            </w:pPr>
            <w:r w:rsidRPr="00F43492">
              <w:rPr>
                <w:rFonts w:ascii="Arial" w:eastAsia="Times New Roman" w:hAnsi="Arial" w:cs="Arial"/>
                <w:sz w:val="18"/>
                <w:szCs w:val="18"/>
                <w:lang w:val="en-US" w:eastAsia="en-US"/>
              </w:rPr>
              <w:t>8</w:t>
            </w:r>
          </w:p>
        </w:tc>
      </w:tr>
      <w:tr w:rsidR="006960B6" w:rsidRPr="00F43492" w14:paraId="7CF2F1F9" w14:textId="77777777" w:rsidTr="006960B6">
        <w:trPr>
          <w:trHeight w:val="315"/>
        </w:trPr>
        <w:tc>
          <w:tcPr>
            <w:tcW w:w="1843" w:type="dxa"/>
            <w:shd w:val="clear" w:color="auto" w:fill="D9D9D9"/>
            <w:tcMar>
              <w:top w:w="40" w:type="dxa"/>
              <w:left w:w="40" w:type="dxa"/>
              <w:bottom w:w="40" w:type="dxa"/>
              <w:right w:w="40" w:type="dxa"/>
            </w:tcMar>
            <w:vAlign w:val="center"/>
          </w:tcPr>
          <w:p w14:paraId="041CE594" w14:textId="77777777" w:rsidR="00F43492" w:rsidRPr="00F43492" w:rsidRDefault="00F43492" w:rsidP="00F43492">
            <w:pPr>
              <w:rPr>
                <w:rFonts w:ascii="Arial" w:eastAsia="Times New Roman" w:hAnsi="Arial" w:cs="Arial"/>
                <w:sz w:val="16"/>
                <w:szCs w:val="16"/>
                <w:lang w:val="en-US" w:eastAsia="en-US"/>
              </w:rPr>
            </w:pPr>
            <w:proofErr w:type="spellStart"/>
            <w:r w:rsidRPr="00F43492">
              <w:rPr>
                <w:rFonts w:ascii="Arial" w:eastAsia="Times New Roman" w:hAnsi="Arial" w:cs="Arial"/>
                <w:sz w:val="16"/>
                <w:szCs w:val="16"/>
                <w:lang w:val="en-US" w:eastAsia="en-US"/>
              </w:rPr>
              <w:t>Owosho</w:t>
            </w:r>
            <w:proofErr w:type="spellEnd"/>
            <w:r w:rsidRPr="00F43492">
              <w:rPr>
                <w:rFonts w:ascii="Arial" w:eastAsia="Times New Roman" w:hAnsi="Arial" w:cs="Arial"/>
                <w:i/>
                <w:sz w:val="16"/>
                <w:szCs w:val="16"/>
                <w:lang w:val="en-US" w:eastAsia="en-US"/>
              </w:rPr>
              <w:t xml:space="preserve"> et al.,</w:t>
            </w:r>
            <w:r w:rsidRPr="00F43492">
              <w:rPr>
                <w:rFonts w:ascii="Arial" w:eastAsia="Times New Roman" w:hAnsi="Arial" w:cs="Arial"/>
                <w:sz w:val="16"/>
                <w:szCs w:val="16"/>
                <w:lang w:val="en-US" w:eastAsia="en-US"/>
              </w:rPr>
              <w:t xml:space="preserve"> 2016</w:t>
            </w:r>
          </w:p>
          <w:p w14:paraId="63A00B45" w14:textId="77777777" w:rsidR="00F43492" w:rsidRPr="00F43492" w:rsidRDefault="00F43492" w:rsidP="00F43492">
            <w:pPr>
              <w:widowControl w:val="0"/>
              <w:rPr>
                <w:rFonts w:ascii="Arial" w:eastAsia="Times New Roman" w:hAnsi="Arial" w:cs="Arial"/>
                <w:sz w:val="16"/>
                <w:szCs w:val="16"/>
                <w:lang w:val="en-US" w:eastAsia="en-US"/>
              </w:rPr>
            </w:pPr>
            <w:r w:rsidRPr="00F43492">
              <w:rPr>
                <w:rFonts w:ascii="Arial" w:eastAsia="Times New Roman" w:hAnsi="Arial" w:cs="Arial"/>
                <w:sz w:val="16"/>
                <w:szCs w:val="16"/>
                <w:lang w:val="en-US" w:eastAsia="en-US"/>
              </w:rPr>
              <w:t>Retrospective cohort</w:t>
            </w:r>
          </w:p>
        </w:tc>
        <w:tc>
          <w:tcPr>
            <w:tcW w:w="1701" w:type="dxa"/>
            <w:shd w:val="clear" w:color="auto" w:fill="D9D9D9"/>
            <w:tcMar>
              <w:top w:w="40" w:type="dxa"/>
              <w:left w:w="40" w:type="dxa"/>
              <w:bottom w:w="40" w:type="dxa"/>
              <w:right w:w="40" w:type="dxa"/>
            </w:tcMar>
            <w:vAlign w:val="center"/>
          </w:tcPr>
          <w:p w14:paraId="0DDD523A"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418" w:type="dxa"/>
            <w:shd w:val="clear" w:color="auto" w:fill="D9D9D9"/>
            <w:tcMar>
              <w:top w:w="40" w:type="dxa"/>
              <w:left w:w="40" w:type="dxa"/>
              <w:bottom w:w="40" w:type="dxa"/>
              <w:right w:w="40" w:type="dxa"/>
            </w:tcMar>
            <w:vAlign w:val="center"/>
          </w:tcPr>
          <w:p w14:paraId="7EA82DB8"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984" w:type="dxa"/>
            <w:shd w:val="clear" w:color="auto" w:fill="D9D9D9"/>
            <w:tcMar>
              <w:top w:w="40" w:type="dxa"/>
              <w:left w:w="40" w:type="dxa"/>
              <w:bottom w:w="40" w:type="dxa"/>
              <w:right w:w="40" w:type="dxa"/>
            </w:tcMar>
            <w:vAlign w:val="center"/>
          </w:tcPr>
          <w:p w14:paraId="14EEE3F5"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418" w:type="dxa"/>
            <w:shd w:val="clear" w:color="auto" w:fill="D9D9D9"/>
            <w:tcMar>
              <w:top w:w="40" w:type="dxa"/>
              <w:left w:w="40" w:type="dxa"/>
              <w:bottom w:w="40" w:type="dxa"/>
              <w:right w:w="40" w:type="dxa"/>
            </w:tcMar>
            <w:vAlign w:val="center"/>
          </w:tcPr>
          <w:p w14:paraId="2BABE813" w14:textId="77777777" w:rsidR="00F43492" w:rsidRPr="00F43492" w:rsidRDefault="00F43492" w:rsidP="00F43492">
            <w:pPr>
              <w:widowControl w:val="0"/>
              <w:jc w:val="center"/>
              <w:rPr>
                <w:rFonts w:ascii="Arial" w:eastAsia="Times New Roman" w:hAnsi="Arial" w:cs="Arial"/>
                <w:lang w:val="en-US" w:eastAsia="en-US"/>
              </w:rPr>
            </w:pPr>
            <w:r w:rsidRPr="00F43492">
              <w:rPr>
                <w:rFonts w:ascii="Arial" w:eastAsia="Times New Roman" w:hAnsi="Arial" w:cs="Arial"/>
                <w:sz w:val="18"/>
                <w:szCs w:val="18"/>
                <w:lang w:val="en-US" w:eastAsia="en-US"/>
              </w:rPr>
              <w:t>6</w:t>
            </w:r>
          </w:p>
        </w:tc>
      </w:tr>
      <w:tr w:rsidR="00F43492" w:rsidRPr="00F43492" w14:paraId="5C7B9BE5" w14:textId="77777777" w:rsidTr="006960B6">
        <w:trPr>
          <w:trHeight w:val="315"/>
        </w:trPr>
        <w:tc>
          <w:tcPr>
            <w:tcW w:w="1843" w:type="dxa"/>
            <w:shd w:val="clear" w:color="auto" w:fill="FFFFFF"/>
            <w:tcMar>
              <w:top w:w="40" w:type="dxa"/>
              <w:left w:w="40" w:type="dxa"/>
              <w:bottom w:w="40" w:type="dxa"/>
              <w:right w:w="40" w:type="dxa"/>
            </w:tcMar>
            <w:vAlign w:val="center"/>
          </w:tcPr>
          <w:p w14:paraId="0F39CBD4" w14:textId="77777777" w:rsidR="00F43492" w:rsidRPr="00F43492" w:rsidRDefault="00F43492" w:rsidP="00F43492">
            <w:pPr>
              <w:ind w:left="-120" w:right="-113" w:firstLine="120"/>
              <w:rPr>
                <w:rFonts w:ascii="Arial" w:eastAsia="Times New Roman" w:hAnsi="Arial" w:cs="Arial"/>
                <w:sz w:val="16"/>
                <w:szCs w:val="16"/>
                <w:lang w:val="en-US" w:eastAsia="en-US"/>
              </w:rPr>
            </w:pPr>
            <w:proofErr w:type="spellStart"/>
            <w:r w:rsidRPr="00F43492">
              <w:rPr>
                <w:rFonts w:ascii="Arial" w:eastAsia="Times New Roman" w:hAnsi="Arial" w:cs="Arial"/>
                <w:sz w:val="16"/>
                <w:szCs w:val="16"/>
                <w:lang w:val="en-US" w:eastAsia="en-US"/>
              </w:rPr>
              <w:t>Kühnisch</w:t>
            </w:r>
            <w:proofErr w:type="spellEnd"/>
            <w:r w:rsidRPr="00F43492">
              <w:rPr>
                <w:rFonts w:ascii="Arial" w:eastAsia="Times New Roman" w:hAnsi="Arial" w:cs="Arial"/>
                <w:sz w:val="16"/>
                <w:szCs w:val="16"/>
                <w:lang w:val="en-US" w:eastAsia="en-US"/>
              </w:rPr>
              <w:t xml:space="preserve"> </w:t>
            </w:r>
            <w:r w:rsidRPr="00F43492">
              <w:rPr>
                <w:rFonts w:ascii="Arial" w:eastAsia="Times New Roman" w:hAnsi="Arial" w:cs="Arial"/>
                <w:i/>
                <w:sz w:val="16"/>
                <w:szCs w:val="16"/>
                <w:lang w:val="en-US" w:eastAsia="en-US"/>
              </w:rPr>
              <w:t>et al</w:t>
            </w:r>
            <w:r w:rsidRPr="00F43492">
              <w:rPr>
                <w:rFonts w:ascii="Arial" w:eastAsia="Times New Roman" w:hAnsi="Arial" w:cs="Arial"/>
                <w:sz w:val="16"/>
                <w:szCs w:val="16"/>
                <w:lang w:val="en-US" w:eastAsia="en-US"/>
              </w:rPr>
              <w:t>., 2017</w:t>
            </w:r>
          </w:p>
          <w:p w14:paraId="374D4CEC" w14:textId="77777777" w:rsidR="00F43492" w:rsidRPr="00F43492" w:rsidRDefault="00F43492" w:rsidP="00F43492">
            <w:pPr>
              <w:widowControl w:val="0"/>
              <w:rPr>
                <w:rFonts w:ascii="Arial" w:eastAsia="Times New Roman" w:hAnsi="Arial" w:cs="Arial"/>
                <w:sz w:val="16"/>
                <w:szCs w:val="16"/>
                <w:lang w:val="en-US" w:eastAsia="en-US"/>
              </w:rPr>
            </w:pPr>
            <w:r w:rsidRPr="00F43492">
              <w:rPr>
                <w:rFonts w:ascii="Arial" w:eastAsia="Times New Roman" w:hAnsi="Arial" w:cs="Arial"/>
                <w:sz w:val="16"/>
                <w:szCs w:val="16"/>
                <w:lang w:val="en-US" w:eastAsia="en-US"/>
              </w:rPr>
              <w:t>Prospective cohort</w:t>
            </w:r>
          </w:p>
        </w:tc>
        <w:tc>
          <w:tcPr>
            <w:tcW w:w="1701" w:type="dxa"/>
            <w:tcMar>
              <w:top w:w="40" w:type="dxa"/>
              <w:left w:w="40" w:type="dxa"/>
              <w:bottom w:w="40" w:type="dxa"/>
              <w:right w:w="40" w:type="dxa"/>
            </w:tcMar>
            <w:vAlign w:val="center"/>
          </w:tcPr>
          <w:p w14:paraId="2B8CC976"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418" w:type="dxa"/>
            <w:tcMar>
              <w:top w:w="40" w:type="dxa"/>
              <w:left w:w="40" w:type="dxa"/>
              <w:bottom w:w="40" w:type="dxa"/>
              <w:right w:w="40" w:type="dxa"/>
            </w:tcMar>
            <w:vAlign w:val="center"/>
          </w:tcPr>
          <w:p w14:paraId="53197188"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984" w:type="dxa"/>
            <w:tcMar>
              <w:top w:w="40" w:type="dxa"/>
              <w:left w:w="40" w:type="dxa"/>
              <w:bottom w:w="40" w:type="dxa"/>
              <w:right w:w="40" w:type="dxa"/>
            </w:tcMar>
            <w:vAlign w:val="center"/>
          </w:tcPr>
          <w:p w14:paraId="12255B0E"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418" w:type="dxa"/>
            <w:tcMar>
              <w:top w:w="40" w:type="dxa"/>
              <w:left w:w="40" w:type="dxa"/>
              <w:bottom w:w="40" w:type="dxa"/>
              <w:right w:w="40" w:type="dxa"/>
            </w:tcMar>
            <w:vAlign w:val="center"/>
          </w:tcPr>
          <w:p w14:paraId="3E22EA19" w14:textId="77777777" w:rsidR="00F43492" w:rsidRPr="00F43492" w:rsidRDefault="00F43492" w:rsidP="00F43492">
            <w:pPr>
              <w:widowControl w:val="0"/>
              <w:jc w:val="center"/>
              <w:rPr>
                <w:rFonts w:ascii="Arial" w:eastAsia="Times New Roman" w:hAnsi="Arial" w:cs="Arial"/>
                <w:lang w:val="en-US" w:eastAsia="en-US"/>
              </w:rPr>
            </w:pPr>
            <w:r w:rsidRPr="00F43492">
              <w:rPr>
                <w:rFonts w:ascii="Arial" w:eastAsia="Times New Roman" w:hAnsi="Arial" w:cs="Arial"/>
                <w:sz w:val="18"/>
                <w:szCs w:val="18"/>
                <w:lang w:val="en-US" w:eastAsia="en-US"/>
              </w:rPr>
              <w:t>7</w:t>
            </w:r>
          </w:p>
        </w:tc>
      </w:tr>
      <w:tr w:rsidR="006960B6" w:rsidRPr="00F43492" w14:paraId="29FACEF8" w14:textId="77777777" w:rsidTr="006960B6">
        <w:trPr>
          <w:trHeight w:val="315"/>
        </w:trPr>
        <w:tc>
          <w:tcPr>
            <w:tcW w:w="1843" w:type="dxa"/>
            <w:shd w:val="clear" w:color="auto" w:fill="D9D9D9"/>
            <w:tcMar>
              <w:top w:w="40" w:type="dxa"/>
              <w:left w:w="40" w:type="dxa"/>
              <w:bottom w:w="40" w:type="dxa"/>
              <w:right w:w="40" w:type="dxa"/>
            </w:tcMar>
            <w:vAlign w:val="center"/>
          </w:tcPr>
          <w:p w14:paraId="0D187FBA" w14:textId="77777777" w:rsidR="00F43492" w:rsidRPr="00F43492" w:rsidRDefault="00F43492" w:rsidP="00F43492">
            <w:pPr>
              <w:ind w:left="-120" w:right="-113" w:firstLine="120"/>
              <w:rPr>
                <w:rFonts w:ascii="Arial" w:eastAsia="Times New Roman" w:hAnsi="Arial" w:cs="Arial"/>
                <w:sz w:val="16"/>
                <w:szCs w:val="16"/>
                <w:lang w:val="en-US" w:eastAsia="en-US"/>
              </w:rPr>
            </w:pPr>
            <w:proofErr w:type="spellStart"/>
            <w:r w:rsidRPr="00F43492">
              <w:rPr>
                <w:rFonts w:ascii="Arial" w:eastAsia="Times New Roman" w:hAnsi="Arial" w:cs="Arial"/>
                <w:sz w:val="16"/>
                <w:szCs w:val="16"/>
                <w:lang w:val="en-US" w:eastAsia="en-US"/>
              </w:rPr>
              <w:t>Schüttfort</w:t>
            </w:r>
            <w:proofErr w:type="spellEnd"/>
            <w:r w:rsidRPr="00F43492">
              <w:rPr>
                <w:rFonts w:ascii="Arial" w:eastAsia="Times New Roman" w:hAnsi="Arial" w:cs="Arial"/>
                <w:i/>
                <w:sz w:val="16"/>
                <w:szCs w:val="16"/>
                <w:lang w:val="en-US" w:eastAsia="en-US"/>
              </w:rPr>
              <w:t xml:space="preserve"> et al.</w:t>
            </w:r>
            <w:r w:rsidRPr="00F43492">
              <w:rPr>
                <w:rFonts w:ascii="Arial" w:eastAsia="Times New Roman" w:hAnsi="Arial" w:cs="Arial"/>
                <w:sz w:val="16"/>
                <w:szCs w:val="16"/>
                <w:lang w:val="en-US" w:eastAsia="en-US"/>
              </w:rPr>
              <w:t>, 2020</w:t>
            </w:r>
          </w:p>
          <w:p w14:paraId="7FE8CCBF" w14:textId="77777777" w:rsidR="00F43492" w:rsidRPr="00F43492" w:rsidRDefault="00F43492" w:rsidP="00F43492">
            <w:pPr>
              <w:widowControl w:val="0"/>
              <w:rPr>
                <w:rFonts w:ascii="Arial" w:eastAsia="Times New Roman" w:hAnsi="Arial" w:cs="Arial"/>
                <w:sz w:val="16"/>
                <w:szCs w:val="16"/>
                <w:lang w:val="en-US" w:eastAsia="en-US"/>
              </w:rPr>
            </w:pPr>
            <w:r w:rsidRPr="00F43492">
              <w:rPr>
                <w:rFonts w:ascii="Arial" w:eastAsia="Times New Roman" w:hAnsi="Arial" w:cs="Arial"/>
                <w:sz w:val="16"/>
                <w:szCs w:val="16"/>
                <w:lang w:val="en-US" w:eastAsia="en-US"/>
              </w:rPr>
              <w:t>Prospective cohort</w:t>
            </w:r>
          </w:p>
        </w:tc>
        <w:tc>
          <w:tcPr>
            <w:tcW w:w="1701" w:type="dxa"/>
            <w:shd w:val="clear" w:color="auto" w:fill="D9D9D9"/>
            <w:tcMar>
              <w:top w:w="40" w:type="dxa"/>
              <w:left w:w="40" w:type="dxa"/>
              <w:bottom w:w="40" w:type="dxa"/>
              <w:right w:w="40" w:type="dxa"/>
            </w:tcMar>
            <w:vAlign w:val="center"/>
          </w:tcPr>
          <w:p w14:paraId="2103B4D9"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418" w:type="dxa"/>
            <w:shd w:val="clear" w:color="auto" w:fill="D9D9D9"/>
            <w:tcMar>
              <w:top w:w="40" w:type="dxa"/>
              <w:left w:w="40" w:type="dxa"/>
              <w:bottom w:w="40" w:type="dxa"/>
              <w:right w:w="40" w:type="dxa"/>
            </w:tcMar>
            <w:vAlign w:val="center"/>
          </w:tcPr>
          <w:p w14:paraId="263DAD3E"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984" w:type="dxa"/>
            <w:shd w:val="clear" w:color="auto" w:fill="D9D9D9"/>
            <w:tcMar>
              <w:top w:w="40" w:type="dxa"/>
              <w:left w:w="40" w:type="dxa"/>
              <w:bottom w:w="40" w:type="dxa"/>
              <w:right w:w="40" w:type="dxa"/>
            </w:tcMar>
            <w:vAlign w:val="center"/>
          </w:tcPr>
          <w:p w14:paraId="272BF725"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418" w:type="dxa"/>
            <w:shd w:val="clear" w:color="auto" w:fill="D9D9D9"/>
            <w:tcMar>
              <w:top w:w="40" w:type="dxa"/>
              <w:left w:w="40" w:type="dxa"/>
              <w:bottom w:w="40" w:type="dxa"/>
              <w:right w:w="40" w:type="dxa"/>
            </w:tcMar>
            <w:vAlign w:val="center"/>
          </w:tcPr>
          <w:p w14:paraId="5CB51531" w14:textId="77777777" w:rsidR="00F43492" w:rsidRPr="00F43492" w:rsidRDefault="00F43492" w:rsidP="00F43492">
            <w:pPr>
              <w:widowControl w:val="0"/>
              <w:jc w:val="center"/>
              <w:rPr>
                <w:rFonts w:ascii="Arial" w:eastAsia="Times New Roman" w:hAnsi="Arial" w:cs="Arial"/>
                <w:lang w:val="en-US" w:eastAsia="en-US"/>
              </w:rPr>
            </w:pPr>
            <w:r w:rsidRPr="00F43492">
              <w:rPr>
                <w:rFonts w:ascii="Arial" w:eastAsia="Times New Roman" w:hAnsi="Arial" w:cs="Arial"/>
                <w:sz w:val="18"/>
                <w:szCs w:val="18"/>
                <w:lang w:val="en-US" w:eastAsia="en-US"/>
              </w:rPr>
              <w:t>6</w:t>
            </w:r>
          </w:p>
        </w:tc>
      </w:tr>
      <w:tr w:rsidR="00F43492" w:rsidRPr="00F43492" w14:paraId="6A83F7A0" w14:textId="77777777" w:rsidTr="006960B6">
        <w:trPr>
          <w:trHeight w:val="315"/>
        </w:trPr>
        <w:tc>
          <w:tcPr>
            <w:tcW w:w="1843" w:type="dxa"/>
            <w:shd w:val="clear" w:color="auto" w:fill="FFFFFF"/>
            <w:tcMar>
              <w:top w:w="40" w:type="dxa"/>
              <w:left w:w="40" w:type="dxa"/>
              <w:bottom w:w="40" w:type="dxa"/>
              <w:right w:w="40" w:type="dxa"/>
            </w:tcMar>
            <w:vAlign w:val="center"/>
          </w:tcPr>
          <w:p w14:paraId="15E2D597" w14:textId="77777777" w:rsidR="00F43492" w:rsidRPr="00F43492" w:rsidRDefault="00F43492" w:rsidP="00F43492">
            <w:pPr>
              <w:rPr>
                <w:rFonts w:ascii="Arial" w:eastAsia="Times New Roman" w:hAnsi="Arial" w:cs="Arial"/>
                <w:sz w:val="16"/>
                <w:szCs w:val="16"/>
                <w:lang w:val="en-US" w:eastAsia="en-US"/>
              </w:rPr>
            </w:pPr>
            <w:r w:rsidRPr="00F43492">
              <w:rPr>
                <w:rFonts w:ascii="Arial" w:eastAsia="Times New Roman" w:hAnsi="Arial" w:cs="Arial"/>
                <w:sz w:val="16"/>
                <w:szCs w:val="16"/>
                <w:lang w:val="en-US" w:eastAsia="en-US"/>
              </w:rPr>
              <w:t xml:space="preserve">Malmgren </w:t>
            </w:r>
            <w:r w:rsidRPr="00F43492">
              <w:rPr>
                <w:rFonts w:ascii="Arial" w:eastAsia="Times New Roman" w:hAnsi="Arial" w:cs="Arial"/>
                <w:i/>
                <w:sz w:val="16"/>
                <w:szCs w:val="16"/>
                <w:lang w:val="en-US" w:eastAsia="en-US"/>
              </w:rPr>
              <w:t xml:space="preserve">et al., </w:t>
            </w:r>
            <w:r w:rsidRPr="00F43492">
              <w:rPr>
                <w:rFonts w:ascii="Arial" w:eastAsia="Times New Roman" w:hAnsi="Arial" w:cs="Arial"/>
                <w:sz w:val="16"/>
                <w:szCs w:val="16"/>
                <w:lang w:val="en-US" w:eastAsia="en-US"/>
              </w:rPr>
              <w:t>2021</w:t>
            </w:r>
          </w:p>
          <w:p w14:paraId="3A28BEFF" w14:textId="77777777" w:rsidR="00F43492" w:rsidRPr="00F43492" w:rsidRDefault="00F43492" w:rsidP="00F43492">
            <w:pPr>
              <w:widowControl w:val="0"/>
              <w:rPr>
                <w:rFonts w:ascii="Arial" w:eastAsia="Times New Roman" w:hAnsi="Arial" w:cs="Arial"/>
                <w:sz w:val="16"/>
                <w:szCs w:val="16"/>
                <w:lang w:val="en-US" w:eastAsia="en-US"/>
              </w:rPr>
            </w:pPr>
            <w:r w:rsidRPr="00F43492">
              <w:rPr>
                <w:rFonts w:ascii="Arial" w:eastAsia="Times New Roman" w:hAnsi="Arial" w:cs="Arial"/>
                <w:sz w:val="16"/>
                <w:szCs w:val="16"/>
                <w:lang w:val="en-US" w:eastAsia="en-US"/>
              </w:rPr>
              <w:t>Retrospective cohort</w:t>
            </w:r>
          </w:p>
        </w:tc>
        <w:tc>
          <w:tcPr>
            <w:tcW w:w="1701" w:type="dxa"/>
            <w:tcMar>
              <w:top w:w="40" w:type="dxa"/>
              <w:left w:w="40" w:type="dxa"/>
              <w:bottom w:w="40" w:type="dxa"/>
              <w:right w:w="40" w:type="dxa"/>
            </w:tcMar>
            <w:vAlign w:val="center"/>
          </w:tcPr>
          <w:p w14:paraId="48341EDE"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418" w:type="dxa"/>
            <w:tcMar>
              <w:top w:w="40" w:type="dxa"/>
              <w:left w:w="40" w:type="dxa"/>
              <w:bottom w:w="40" w:type="dxa"/>
              <w:right w:w="40" w:type="dxa"/>
            </w:tcMar>
            <w:vAlign w:val="center"/>
          </w:tcPr>
          <w:p w14:paraId="12910983"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984" w:type="dxa"/>
            <w:tcMar>
              <w:top w:w="40" w:type="dxa"/>
              <w:left w:w="40" w:type="dxa"/>
              <w:bottom w:w="40" w:type="dxa"/>
              <w:right w:w="40" w:type="dxa"/>
            </w:tcMar>
            <w:vAlign w:val="center"/>
          </w:tcPr>
          <w:p w14:paraId="6126986A"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418" w:type="dxa"/>
            <w:tcMar>
              <w:top w:w="40" w:type="dxa"/>
              <w:left w:w="40" w:type="dxa"/>
              <w:bottom w:w="40" w:type="dxa"/>
              <w:right w:w="40" w:type="dxa"/>
            </w:tcMar>
            <w:vAlign w:val="center"/>
          </w:tcPr>
          <w:p w14:paraId="20B212B2" w14:textId="77777777" w:rsidR="00F43492" w:rsidRPr="00F43492" w:rsidRDefault="00F43492" w:rsidP="00F43492">
            <w:pPr>
              <w:widowControl w:val="0"/>
              <w:jc w:val="center"/>
              <w:rPr>
                <w:rFonts w:ascii="Arial" w:eastAsia="Times New Roman" w:hAnsi="Arial" w:cs="Arial"/>
                <w:lang w:val="en-US" w:eastAsia="en-US"/>
              </w:rPr>
            </w:pPr>
            <w:r w:rsidRPr="00F43492">
              <w:rPr>
                <w:rFonts w:ascii="Arial" w:eastAsia="Times New Roman" w:hAnsi="Arial" w:cs="Arial"/>
                <w:sz w:val="18"/>
                <w:szCs w:val="18"/>
                <w:lang w:val="en-US" w:eastAsia="en-US"/>
              </w:rPr>
              <w:t>9</w:t>
            </w:r>
          </w:p>
        </w:tc>
      </w:tr>
      <w:tr w:rsidR="006960B6" w:rsidRPr="00F43492" w14:paraId="574F7E68" w14:textId="77777777" w:rsidTr="006960B6">
        <w:trPr>
          <w:trHeight w:val="315"/>
        </w:trPr>
        <w:tc>
          <w:tcPr>
            <w:tcW w:w="1843" w:type="dxa"/>
            <w:shd w:val="clear" w:color="auto" w:fill="D9D9D9"/>
            <w:tcMar>
              <w:top w:w="40" w:type="dxa"/>
              <w:left w:w="40" w:type="dxa"/>
              <w:bottom w:w="40" w:type="dxa"/>
              <w:right w:w="40" w:type="dxa"/>
            </w:tcMar>
            <w:vAlign w:val="center"/>
          </w:tcPr>
          <w:p w14:paraId="63BFA178" w14:textId="77777777" w:rsidR="00F43492" w:rsidRPr="00F43492" w:rsidRDefault="00F43492" w:rsidP="00F43492">
            <w:pPr>
              <w:ind w:left="-120" w:right="-113" w:firstLine="120"/>
              <w:rPr>
                <w:rFonts w:ascii="Arial" w:eastAsia="Times New Roman" w:hAnsi="Arial" w:cs="Arial"/>
                <w:sz w:val="16"/>
                <w:szCs w:val="16"/>
                <w:lang w:val="en-US" w:eastAsia="en-US"/>
              </w:rPr>
            </w:pPr>
            <w:r w:rsidRPr="00F43492">
              <w:rPr>
                <w:rFonts w:ascii="Arial" w:eastAsia="Times New Roman" w:hAnsi="Arial" w:cs="Arial"/>
                <w:sz w:val="16"/>
                <w:szCs w:val="16"/>
                <w:lang w:val="en-US" w:eastAsia="en-US"/>
              </w:rPr>
              <w:t>Raedel</w:t>
            </w:r>
            <w:r w:rsidRPr="00F43492">
              <w:rPr>
                <w:rFonts w:ascii="Arial" w:eastAsia="Times New Roman" w:hAnsi="Arial" w:cs="Arial"/>
                <w:i/>
                <w:sz w:val="16"/>
                <w:szCs w:val="16"/>
                <w:lang w:val="en-US" w:eastAsia="en-US"/>
              </w:rPr>
              <w:t xml:space="preserve"> et al.,</w:t>
            </w:r>
            <w:r w:rsidRPr="00F43492">
              <w:rPr>
                <w:rFonts w:ascii="Arial" w:eastAsia="Times New Roman" w:hAnsi="Arial" w:cs="Arial"/>
                <w:sz w:val="16"/>
                <w:szCs w:val="16"/>
                <w:lang w:val="en-US" w:eastAsia="en-US"/>
              </w:rPr>
              <w:t xml:space="preserve"> 2022</w:t>
            </w:r>
          </w:p>
          <w:p w14:paraId="49A26B75" w14:textId="77777777" w:rsidR="00F43492" w:rsidRPr="00F43492" w:rsidRDefault="00F43492" w:rsidP="00F43492">
            <w:pPr>
              <w:widowControl w:val="0"/>
              <w:rPr>
                <w:rFonts w:ascii="Arial" w:eastAsia="Times New Roman" w:hAnsi="Arial" w:cs="Arial"/>
                <w:sz w:val="16"/>
                <w:szCs w:val="16"/>
                <w:lang w:val="en-US" w:eastAsia="en-US"/>
              </w:rPr>
            </w:pPr>
            <w:r w:rsidRPr="00F43492">
              <w:rPr>
                <w:rFonts w:ascii="Arial" w:eastAsia="Times New Roman" w:hAnsi="Arial" w:cs="Arial"/>
                <w:sz w:val="16"/>
                <w:szCs w:val="16"/>
                <w:lang w:val="en-US" w:eastAsia="en-US"/>
              </w:rPr>
              <w:t>Retrospective cohort</w:t>
            </w:r>
          </w:p>
        </w:tc>
        <w:tc>
          <w:tcPr>
            <w:tcW w:w="1701" w:type="dxa"/>
            <w:shd w:val="clear" w:color="auto" w:fill="D9D9D9"/>
            <w:tcMar>
              <w:top w:w="40" w:type="dxa"/>
              <w:left w:w="40" w:type="dxa"/>
              <w:bottom w:w="40" w:type="dxa"/>
              <w:right w:w="40" w:type="dxa"/>
            </w:tcMar>
            <w:vAlign w:val="center"/>
          </w:tcPr>
          <w:p w14:paraId="770152CC"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418" w:type="dxa"/>
            <w:shd w:val="clear" w:color="auto" w:fill="D9D9D9"/>
            <w:tcMar>
              <w:top w:w="40" w:type="dxa"/>
              <w:left w:w="40" w:type="dxa"/>
              <w:bottom w:w="40" w:type="dxa"/>
              <w:right w:w="40" w:type="dxa"/>
            </w:tcMar>
            <w:vAlign w:val="center"/>
          </w:tcPr>
          <w:p w14:paraId="08D26083"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984" w:type="dxa"/>
            <w:shd w:val="clear" w:color="auto" w:fill="D9D9D9"/>
            <w:tcMar>
              <w:top w:w="40" w:type="dxa"/>
              <w:left w:w="40" w:type="dxa"/>
              <w:bottom w:w="40" w:type="dxa"/>
              <w:right w:w="40" w:type="dxa"/>
            </w:tcMar>
            <w:vAlign w:val="center"/>
          </w:tcPr>
          <w:p w14:paraId="09CD3392"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418" w:type="dxa"/>
            <w:shd w:val="clear" w:color="auto" w:fill="D9D9D9"/>
            <w:tcMar>
              <w:top w:w="40" w:type="dxa"/>
              <w:left w:w="40" w:type="dxa"/>
              <w:bottom w:w="40" w:type="dxa"/>
              <w:right w:w="40" w:type="dxa"/>
            </w:tcMar>
            <w:vAlign w:val="center"/>
          </w:tcPr>
          <w:p w14:paraId="20402170" w14:textId="77777777" w:rsidR="00F43492" w:rsidRPr="00F43492" w:rsidRDefault="00F43492" w:rsidP="00F43492">
            <w:pPr>
              <w:widowControl w:val="0"/>
              <w:jc w:val="center"/>
              <w:rPr>
                <w:rFonts w:ascii="Arial" w:eastAsia="Times New Roman" w:hAnsi="Arial" w:cs="Arial"/>
                <w:lang w:val="en-US" w:eastAsia="en-US"/>
              </w:rPr>
            </w:pPr>
            <w:r w:rsidRPr="00F43492">
              <w:rPr>
                <w:rFonts w:ascii="Arial" w:eastAsia="Times New Roman" w:hAnsi="Arial" w:cs="Arial"/>
                <w:sz w:val="18"/>
                <w:szCs w:val="18"/>
                <w:lang w:val="en-US" w:eastAsia="en-US"/>
              </w:rPr>
              <w:t>9</w:t>
            </w:r>
          </w:p>
        </w:tc>
      </w:tr>
      <w:tr w:rsidR="00F43492" w:rsidRPr="00F43492" w14:paraId="65BAFCDF" w14:textId="77777777" w:rsidTr="006960B6">
        <w:trPr>
          <w:trHeight w:val="315"/>
        </w:trPr>
        <w:tc>
          <w:tcPr>
            <w:tcW w:w="1843" w:type="dxa"/>
            <w:tcBorders>
              <w:bottom w:val="single" w:sz="4" w:space="0" w:color="auto"/>
            </w:tcBorders>
            <w:shd w:val="clear" w:color="auto" w:fill="FFFFFF"/>
            <w:tcMar>
              <w:top w:w="40" w:type="dxa"/>
              <w:left w:w="40" w:type="dxa"/>
              <w:bottom w:w="40" w:type="dxa"/>
              <w:right w:w="40" w:type="dxa"/>
            </w:tcMar>
            <w:vAlign w:val="center"/>
          </w:tcPr>
          <w:p w14:paraId="1FB148E1" w14:textId="77777777" w:rsidR="00F43492" w:rsidRPr="00F43492" w:rsidRDefault="00F43492" w:rsidP="00F43492">
            <w:pPr>
              <w:ind w:left="-120" w:right="-113" w:firstLine="120"/>
              <w:rPr>
                <w:rFonts w:ascii="Arial" w:eastAsia="Times New Roman" w:hAnsi="Arial" w:cs="Arial"/>
                <w:sz w:val="16"/>
                <w:szCs w:val="16"/>
                <w:lang w:val="en-US" w:eastAsia="en-US"/>
              </w:rPr>
            </w:pPr>
            <w:r w:rsidRPr="00F43492">
              <w:rPr>
                <w:rFonts w:ascii="Arial" w:eastAsia="Times New Roman" w:hAnsi="Arial" w:cs="Arial"/>
                <w:sz w:val="16"/>
                <w:szCs w:val="16"/>
                <w:lang w:val="en-US" w:eastAsia="en-US"/>
              </w:rPr>
              <w:t xml:space="preserve">Nørrisgaard </w:t>
            </w:r>
            <w:r w:rsidRPr="00F43492">
              <w:rPr>
                <w:rFonts w:ascii="Arial" w:eastAsia="Times New Roman" w:hAnsi="Arial" w:cs="Arial"/>
                <w:i/>
                <w:sz w:val="16"/>
                <w:szCs w:val="16"/>
                <w:lang w:val="en-US" w:eastAsia="en-US"/>
              </w:rPr>
              <w:t>et al.,</w:t>
            </w:r>
            <w:r w:rsidRPr="00F43492">
              <w:rPr>
                <w:rFonts w:ascii="Arial" w:eastAsia="Times New Roman" w:hAnsi="Arial" w:cs="Arial"/>
                <w:sz w:val="16"/>
                <w:szCs w:val="16"/>
                <w:lang w:val="en-US" w:eastAsia="en-US"/>
              </w:rPr>
              <w:t xml:space="preserve"> 2023</w:t>
            </w:r>
          </w:p>
          <w:p w14:paraId="6F45A532" w14:textId="77777777" w:rsidR="00F43492" w:rsidRPr="00F43492" w:rsidRDefault="00F43492" w:rsidP="00F43492">
            <w:pPr>
              <w:widowControl w:val="0"/>
              <w:rPr>
                <w:rFonts w:ascii="Arial" w:eastAsia="Times New Roman" w:hAnsi="Arial" w:cs="Arial"/>
                <w:sz w:val="16"/>
                <w:szCs w:val="16"/>
                <w:lang w:val="en-US" w:eastAsia="en-US"/>
              </w:rPr>
            </w:pPr>
            <w:r w:rsidRPr="00F43492">
              <w:rPr>
                <w:rFonts w:ascii="Arial" w:eastAsia="Times New Roman" w:hAnsi="Arial" w:cs="Arial"/>
                <w:sz w:val="16"/>
                <w:szCs w:val="16"/>
                <w:lang w:val="en-US" w:eastAsia="en-US"/>
              </w:rPr>
              <w:t>Prospective cohort</w:t>
            </w:r>
          </w:p>
        </w:tc>
        <w:tc>
          <w:tcPr>
            <w:tcW w:w="1701" w:type="dxa"/>
            <w:tcBorders>
              <w:bottom w:val="single" w:sz="4" w:space="0" w:color="auto"/>
            </w:tcBorders>
            <w:shd w:val="clear" w:color="auto" w:fill="FFFFFF"/>
            <w:tcMar>
              <w:top w:w="40" w:type="dxa"/>
              <w:left w:w="40" w:type="dxa"/>
              <w:bottom w:w="40" w:type="dxa"/>
              <w:right w:w="40" w:type="dxa"/>
            </w:tcMar>
            <w:vAlign w:val="center"/>
          </w:tcPr>
          <w:p w14:paraId="5DDF579D"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418" w:type="dxa"/>
            <w:tcBorders>
              <w:bottom w:val="single" w:sz="4" w:space="0" w:color="auto"/>
            </w:tcBorders>
            <w:shd w:val="clear" w:color="auto" w:fill="FFFFFF"/>
            <w:tcMar>
              <w:top w:w="40" w:type="dxa"/>
              <w:left w:w="40" w:type="dxa"/>
              <w:bottom w:w="40" w:type="dxa"/>
              <w:right w:w="40" w:type="dxa"/>
            </w:tcMar>
            <w:vAlign w:val="center"/>
          </w:tcPr>
          <w:p w14:paraId="5C3103F7"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984" w:type="dxa"/>
            <w:tcBorders>
              <w:bottom w:val="single" w:sz="4" w:space="0" w:color="auto"/>
            </w:tcBorders>
            <w:shd w:val="clear" w:color="auto" w:fill="FFFFFF"/>
            <w:tcMar>
              <w:top w:w="40" w:type="dxa"/>
              <w:left w:w="40" w:type="dxa"/>
              <w:bottom w:w="40" w:type="dxa"/>
              <w:right w:w="40" w:type="dxa"/>
            </w:tcMar>
            <w:vAlign w:val="center"/>
          </w:tcPr>
          <w:p w14:paraId="5F720414"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418" w:type="dxa"/>
            <w:tcBorders>
              <w:bottom w:val="single" w:sz="4" w:space="0" w:color="auto"/>
            </w:tcBorders>
            <w:shd w:val="clear" w:color="auto" w:fill="FFFFFF"/>
            <w:tcMar>
              <w:top w:w="40" w:type="dxa"/>
              <w:left w:w="40" w:type="dxa"/>
              <w:bottom w:w="40" w:type="dxa"/>
              <w:right w:w="40" w:type="dxa"/>
            </w:tcMar>
            <w:vAlign w:val="center"/>
          </w:tcPr>
          <w:p w14:paraId="34135BF1" w14:textId="77777777" w:rsidR="00F43492" w:rsidRPr="00F43492" w:rsidRDefault="00F43492" w:rsidP="00F43492">
            <w:pPr>
              <w:widowControl w:val="0"/>
              <w:jc w:val="center"/>
              <w:rPr>
                <w:rFonts w:ascii="Arial" w:eastAsia="Times New Roman" w:hAnsi="Arial" w:cs="Arial"/>
                <w:lang w:val="en-US" w:eastAsia="en-US"/>
              </w:rPr>
            </w:pPr>
            <w:r w:rsidRPr="00F43492">
              <w:rPr>
                <w:rFonts w:ascii="Arial" w:eastAsia="Times New Roman" w:hAnsi="Arial" w:cs="Arial"/>
                <w:sz w:val="18"/>
                <w:szCs w:val="18"/>
                <w:lang w:val="en-US" w:eastAsia="en-US"/>
              </w:rPr>
              <w:t>9</w:t>
            </w:r>
          </w:p>
        </w:tc>
      </w:tr>
      <w:tr w:rsidR="00F43492" w:rsidRPr="00F43492" w14:paraId="4D11DD46" w14:textId="77777777" w:rsidTr="006960B6">
        <w:trPr>
          <w:trHeight w:val="315"/>
        </w:trPr>
        <w:tc>
          <w:tcPr>
            <w:tcW w:w="8364" w:type="dxa"/>
            <w:gridSpan w:val="5"/>
            <w:tcBorders>
              <w:top w:val="single" w:sz="4" w:space="0" w:color="auto"/>
            </w:tcBorders>
            <w:shd w:val="clear" w:color="auto" w:fill="FFFFFF"/>
            <w:tcMar>
              <w:top w:w="40" w:type="dxa"/>
              <w:left w:w="40" w:type="dxa"/>
              <w:bottom w:w="40" w:type="dxa"/>
              <w:right w:w="40" w:type="dxa"/>
            </w:tcMar>
          </w:tcPr>
          <w:p w14:paraId="5183EC6C" w14:textId="646A1FCD" w:rsidR="00F43492" w:rsidRPr="00F43492" w:rsidRDefault="00F43492" w:rsidP="00F43492">
            <w:pPr>
              <w:spacing w:line="360" w:lineRule="auto"/>
              <w:rPr>
                <w:rFonts w:ascii="Times New Roman" w:eastAsia="Times New Roman" w:hAnsi="Times New Roman" w:cs="Times New Roman"/>
                <w:sz w:val="16"/>
                <w:szCs w:val="16"/>
                <w:lang w:val="en-US" w:eastAsia="en-US"/>
              </w:rPr>
            </w:pPr>
            <w:r w:rsidRPr="00F43492">
              <w:rPr>
                <w:rFonts w:ascii="Times New Roman" w:eastAsia="Times New Roman" w:hAnsi="Times New Roman" w:cs="Times New Roman"/>
                <w:sz w:val="16"/>
                <w:szCs w:val="16"/>
                <w:lang w:val="en-US" w:eastAsia="en-US"/>
              </w:rPr>
              <w:t xml:space="preserve">Source: adapted from </w:t>
            </w:r>
            <w:proofErr w:type="spellStart"/>
            <w:r w:rsidRPr="00F43492">
              <w:rPr>
                <w:rFonts w:ascii="Times New Roman" w:eastAsia="Times New Roman" w:hAnsi="Times New Roman" w:cs="Times New Roman"/>
                <w:sz w:val="16"/>
                <w:szCs w:val="16"/>
                <w:lang w:val="en-US" w:eastAsia="en-US"/>
              </w:rPr>
              <w:t>Dreweck</w:t>
            </w:r>
            <w:proofErr w:type="spellEnd"/>
            <w:r w:rsidRPr="00F43492">
              <w:rPr>
                <w:rFonts w:ascii="Times New Roman" w:eastAsia="Times New Roman" w:hAnsi="Times New Roman" w:cs="Times New Roman"/>
                <w:sz w:val="16"/>
                <w:szCs w:val="16"/>
                <w:lang w:val="en-US" w:eastAsia="en-US"/>
              </w:rPr>
              <w:t xml:space="preserve"> </w:t>
            </w:r>
            <w:r>
              <w:rPr>
                <w:rFonts w:ascii="Times New Roman" w:eastAsia="Times New Roman" w:hAnsi="Times New Roman" w:cs="Times New Roman"/>
                <w:sz w:val="16"/>
                <w:szCs w:val="16"/>
                <w:lang w:val="en-US" w:eastAsia="en-US"/>
              </w:rPr>
              <w:t>et al., 2020.</w:t>
            </w:r>
          </w:p>
        </w:tc>
      </w:tr>
    </w:tbl>
    <w:p w14:paraId="443CC772" w14:textId="77777777" w:rsidR="00150BA3" w:rsidRDefault="00150BA3">
      <w:pPr>
        <w:ind w:firstLine="480"/>
        <w:jc w:val="both"/>
        <w:rPr>
          <w:rFonts w:ascii="Times New Roman" w:eastAsia="Times New Roman" w:hAnsi="Times New Roman" w:cs="Times New Roman"/>
          <w:sz w:val="24"/>
          <w:szCs w:val="24"/>
        </w:rPr>
      </w:pPr>
    </w:p>
    <w:p w14:paraId="6ABC365B" w14:textId="77777777" w:rsidR="00150BA3" w:rsidRPr="00544576" w:rsidRDefault="00AB0688">
      <w:pPr>
        <w:keepNext/>
        <w:pBdr>
          <w:top w:val="nil"/>
          <w:left w:val="nil"/>
          <w:bottom w:val="nil"/>
          <w:right w:val="nil"/>
          <w:between w:val="nil"/>
        </w:pBdr>
        <w:jc w:val="both"/>
        <w:rPr>
          <w:rFonts w:ascii="Arial" w:eastAsia="Arial" w:hAnsi="Arial" w:cs="Arial"/>
          <w:b/>
          <w:caps/>
          <w:color w:val="000000"/>
          <w:sz w:val="22"/>
          <w:szCs w:val="22"/>
        </w:rPr>
      </w:pPr>
      <w:r w:rsidRPr="00544576">
        <w:rPr>
          <w:rFonts w:ascii="Arial" w:eastAsia="Arial" w:hAnsi="Arial" w:cs="Arial"/>
          <w:b/>
          <w:caps/>
          <w:color w:val="000000"/>
          <w:sz w:val="22"/>
          <w:szCs w:val="22"/>
        </w:rPr>
        <w:t>4. discussion</w:t>
      </w:r>
    </w:p>
    <w:p w14:paraId="517E2802" w14:textId="77777777" w:rsidR="00150BA3" w:rsidRDefault="00150BA3">
      <w:pPr>
        <w:pBdr>
          <w:top w:val="nil"/>
          <w:left w:val="nil"/>
          <w:bottom w:val="nil"/>
          <w:right w:val="nil"/>
          <w:between w:val="nil"/>
        </w:pBdr>
        <w:jc w:val="both"/>
        <w:rPr>
          <w:rFonts w:ascii="Arial" w:eastAsia="Arial" w:hAnsi="Arial" w:cs="Arial"/>
          <w:color w:val="000000"/>
        </w:rPr>
      </w:pPr>
    </w:p>
    <w:p w14:paraId="6FD1C498" w14:textId="77777777" w:rsidR="00150BA3" w:rsidRDefault="00AB06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This review did not identify randomized controlled trials (RCTs) </w:t>
      </w:r>
      <w:r>
        <w:rPr>
          <w:rFonts w:ascii="Arial" w:eastAsia="Arial" w:hAnsi="Arial" w:cs="Arial"/>
          <w:color w:val="000000"/>
        </w:rPr>
        <w:t>addressing the research question: “Is exposure to medications during pregnancy or childhood associated with the development of enamel defects in children?” However, seven prospective cohort studies and three retrospective cohort studies were identified tha</w:t>
      </w:r>
      <w:r>
        <w:rPr>
          <w:rFonts w:ascii="Arial" w:eastAsia="Arial" w:hAnsi="Arial" w:cs="Arial"/>
          <w:color w:val="000000"/>
        </w:rPr>
        <w:t>t explored the potential association between medication intake and the occurrence of enamel defects in children.</w:t>
      </w:r>
    </w:p>
    <w:p w14:paraId="5D6FDC53" w14:textId="1FBED0B4" w:rsidR="00150BA3" w:rsidRDefault="00AB06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absence of RCTs is likely due to the ethical challenges involved in conducting clinical trials with pregnant women and children, especially</w:t>
      </w:r>
      <w:r>
        <w:rPr>
          <w:rFonts w:ascii="Arial" w:eastAsia="Arial" w:hAnsi="Arial" w:cs="Arial"/>
          <w:color w:val="000000"/>
        </w:rPr>
        <w:t xml:space="preserve"> considering the potential harm associated with drug exposure (Sheffield et al., 2014; Van Der Graaf et al., 2018). A recent survey indicated that, among nearly 400.000 clinical studies registered on ClinicalTrials.gov, fewer than 9.000 included pregnant w</w:t>
      </w:r>
      <w:r>
        <w:rPr>
          <w:rFonts w:ascii="Arial" w:eastAsia="Arial" w:hAnsi="Arial" w:cs="Arial"/>
          <w:color w:val="000000"/>
        </w:rPr>
        <w:t xml:space="preserve">omen, with the vast majority being observational studies due to legal concerns and historical medication-related harms in this group </w:t>
      </w:r>
      <w:r>
        <w:rPr>
          <w:rFonts w:ascii="Arial" w:eastAsia="Arial" w:hAnsi="Arial" w:cs="Arial"/>
        </w:rPr>
        <w:t>(Shaikh et al., 2024)</w:t>
      </w:r>
      <w:r>
        <w:rPr>
          <w:rFonts w:ascii="Arial" w:eastAsia="Arial" w:hAnsi="Arial" w:cs="Arial"/>
          <w:color w:val="000000"/>
        </w:rPr>
        <w:t>.</w:t>
      </w:r>
    </w:p>
    <w:p w14:paraId="27644594" w14:textId="12AA91DE" w:rsidR="00150BA3" w:rsidRDefault="00AB0688">
      <w:pPr>
        <w:pBdr>
          <w:top w:val="nil"/>
          <w:left w:val="nil"/>
          <w:bottom w:val="nil"/>
          <w:right w:val="nil"/>
          <w:between w:val="nil"/>
        </w:pBdr>
        <w:spacing w:after="240"/>
        <w:jc w:val="both"/>
        <w:rPr>
          <w:rFonts w:ascii="Arial" w:eastAsia="Arial" w:hAnsi="Arial" w:cs="Arial"/>
        </w:rPr>
      </w:pPr>
      <w:r>
        <w:rPr>
          <w:rFonts w:ascii="Arial" w:eastAsia="Arial" w:hAnsi="Arial" w:cs="Arial"/>
          <w:color w:val="000000"/>
        </w:rPr>
        <w:t>Moreover, the long interval between exposure and the onset of enamel defects makes the execution and</w:t>
      </w:r>
      <w:r>
        <w:rPr>
          <w:rFonts w:ascii="Arial" w:eastAsia="Arial" w:hAnsi="Arial" w:cs="Arial"/>
          <w:color w:val="000000"/>
        </w:rPr>
        <w:t xml:space="preserve"> follow-up of RCTs logistically unfeasible, particularly due to potential loss to follow-up and even mortality during extended monitoring periods. As a result, many researchers rely on observational designs, such as cohort or case-control studies</w:t>
      </w:r>
      <w:r w:rsidR="00544576">
        <w:rPr>
          <w:rFonts w:ascii="Arial" w:eastAsia="Arial" w:hAnsi="Arial" w:cs="Arial"/>
          <w:color w:val="000000"/>
        </w:rPr>
        <w:t xml:space="preserve"> </w:t>
      </w:r>
      <w:r>
        <w:rPr>
          <w:rFonts w:ascii="Arial" w:eastAsia="Arial" w:hAnsi="Arial" w:cs="Arial"/>
          <w:color w:val="000000"/>
        </w:rPr>
        <w:t>(Herbert;</w:t>
      </w:r>
      <w:r>
        <w:rPr>
          <w:rFonts w:ascii="Arial" w:eastAsia="Arial" w:hAnsi="Arial" w:cs="Arial"/>
          <w:color w:val="000000"/>
        </w:rPr>
        <w:t xml:space="preserve"> </w:t>
      </w:r>
      <w:proofErr w:type="spellStart"/>
      <w:r>
        <w:rPr>
          <w:rFonts w:ascii="Arial" w:eastAsia="Arial" w:hAnsi="Arial" w:cs="Arial"/>
          <w:color w:val="000000"/>
        </w:rPr>
        <w:t>Kasza</w:t>
      </w:r>
      <w:proofErr w:type="spellEnd"/>
      <w:r>
        <w:rPr>
          <w:rFonts w:ascii="Arial" w:eastAsia="Arial" w:hAnsi="Arial" w:cs="Arial"/>
          <w:color w:val="000000"/>
        </w:rPr>
        <w:t xml:space="preserve">; </w:t>
      </w:r>
      <w:proofErr w:type="spellStart"/>
      <w:r>
        <w:rPr>
          <w:rFonts w:ascii="Arial" w:eastAsia="Arial" w:hAnsi="Arial" w:cs="Arial"/>
          <w:color w:val="000000"/>
        </w:rPr>
        <w:t>Bø</w:t>
      </w:r>
      <w:proofErr w:type="spellEnd"/>
      <w:r>
        <w:rPr>
          <w:rFonts w:ascii="Arial" w:eastAsia="Arial" w:hAnsi="Arial" w:cs="Arial"/>
          <w:color w:val="000000"/>
        </w:rPr>
        <w:t>, 2018).</w:t>
      </w:r>
    </w:p>
    <w:p w14:paraId="4CCE080C" w14:textId="77777777" w:rsidR="00150BA3" w:rsidRDefault="00AB06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lastRenderedPageBreak/>
        <w:t xml:space="preserve">In recent years, the traditional hierarchy of the evidence pyramid has been reconsidered in light of the practical and ethical limitations of conducting RCTs. While RCTs remain the gold standard for establishing causality, well-designed </w:t>
      </w:r>
      <w:r>
        <w:rPr>
          <w:rFonts w:ascii="Arial" w:eastAsia="Arial" w:hAnsi="Arial" w:cs="Arial"/>
          <w:color w:val="000000"/>
        </w:rPr>
        <w:t xml:space="preserve">observational studies have gained recognition for their relevance and clinical applicability (Murad et al., 2016). Thus, when addressing associations between medication exposure and enamel defects, the cohort studies included in this review play a central </w:t>
      </w:r>
      <w:r>
        <w:rPr>
          <w:rFonts w:ascii="Arial" w:eastAsia="Arial" w:hAnsi="Arial" w:cs="Arial"/>
          <w:color w:val="000000"/>
        </w:rPr>
        <w:t>role and meaningfully contribute to building reliable knowledge, even in the absence of controlled trials.</w:t>
      </w:r>
    </w:p>
    <w:p w14:paraId="17178090" w14:textId="77777777" w:rsidR="00150BA3" w:rsidRDefault="00AB06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Studies with a score of six stars on the Newcastle-Ottawa Scale (NOS) generally indicate moderate methodological quality, partially meeting the asses</w:t>
      </w:r>
      <w:r>
        <w:rPr>
          <w:rFonts w:ascii="Arial" w:eastAsia="Arial" w:hAnsi="Arial" w:cs="Arial"/>
          <w:color w:val="000000"/>
        </w:rPr>
        <w:t>sment criteria and showing limitations that may affect internal or external validity (Canto, 2021). In this review, studies with this score exhibited follow-up losses or lacked clear descriptions of cohort retention, sample representativeness, and the sele</w:t>
      </w:r>
      <w:r>
        <w:rPr>
          <w:rFonts w:ascii="Arial" w:eastAsia="Arial" w:hAnsi="Arial" w:cs="Arial"/>
          <w:color w:val="000000"/>
        </w:rPr>
        <w:t>ction of the non-exposed cohort (</w:t>
      </w:r>
      <w:proofErr w:type="spellStart"/>
      <w:r>
        <w:rPr>
          <w:rFonts w:ascii="Arial" w:eastAsia="Arial" w:hAnsi="Arial" w:cs="Arial"/>
          <w:color w:val="000000"/>
        </w:rPr>
        <w:t>Schüttfort</w:t>
      </w:r>
      <w:proofErr w:type="spellEnd"/>
      <w:r>
        <w:rPr>
          <w:rFonts w:ascii="Arial" w:eastAsia="Arial" w:hAnsi="Arial" w:cs="Arial"/>
          <w:color w:val="000000"/>
        </w:rPr>
        <w:t xml:space="preserve"> et al., 2020; </w:t>
      </w:r>
      <w:proofErr w:type="spellStart"/>
      <w:r>
        <w:rPr>
          <w:rFonts w:ascii="Arial" w:eastAsia="Arial" w:hAnsi="Arial" w:cs="Arial"/>
          <w:color w:val="000000"/>
        </w:rPr>
        <w:t>Owosho</w:t>
      </w:r>
      <w:proofErr w:type="spellEnd"/>
      <w:r>
        <w:rPr>
          <w:rFonts w:ascii="Arial" w:eastAsia="Arial" w:hAnsi="Arial" w:cs="Arial"/>
          <w:color w:val="000000"/>
        </w:rPr>
        <w:t xml:space="preserve"> et al., 2016). These limitations suggest a moderate risk of bias, especially regarding the generalizability of findings and the robustness of observed associations.</w:t>
      </w:r>
    </w:p>
    <w:p w14:paraId="7BABE3BC" w14:textId="77777777" w:rsidR="00150BA3" w:rsidRDefault="00AB06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All studies scoring below </w:t>
      </w:r>
      <w:r>
        <w:rPr>
          <w:rFonts w:ascii="Arial" w:eastAsia="Arial" w:hAnsi="Arial" w:cs="Arial"/>
          <w:color w:val="000000"/>
        </w:rPr>
        <w:t xml:space="preserve">nine stars received no points in the domain assessing adequacy of cohort follow-up due to significant attrition or lack of clear information regarding losses (Hong et al., 2004a, 2005b, 2011c; </w:t>
      </w:r>
      <w:proofErr w:type="spellStart"/>
      <w:r>
        <w:rPr>
          <w:rFonts w:ascii="Arial" w:eastAsia="Arial" w:hAnsi="Arial" w:cs="Arial"/>
          <w:color w:val="000000"/>
        </w:rPr>
        <w:t>Kühnisch</w:t>
      </w:r>
      <w:proofErr w:type="spellEnd"/>
      <w:r>
        <w:rPr>
          <w:rFonts w:ascii="Arial" w:eastAsia="Arial" w:hAnsi="Arial" w:cs="Arial"/>
          <w:color w:val="000000"/>
        </w:rPr>
        <w:t xml:space="preserve"> et al., 2017; Elfrink et al., 2013; </w:t>
      </w:r>
      <w:proofErr w:type="spellStart"/>
      <w:r>
        <w:rPr>
          <w:rFonts w:ascii="Arial" w:eastAsia="Arial" w:hAnsi="Arial" w:cs="Arial"/>
          <w:color w:val="000000"/>
        </w:rPr>
        <w:t>Schüttfort</w:t>
      </w:r>
      <w:proofErr w:type="spellEnd"/>
      <w:r>
        <w:rPr>
          <w:rFonts w:ascii="Arial" w:eastAsia="Arial" w:hAnsi="Arial" w:cs="Arial"/>
          <w:color w:val="000000"/>
        </w:rPr>
        <w:t xml:space="preserve"> et al.,</w:t>
      </w:r>
      <w:r>
        <w:rPr>
          <w:rFonts w:ascii="Arial" w:eastAsia="Arial" w:hAnsi="Arial" w:cs="Arial"/>
          <w:color w:val="000000"/>
        </w:rPr>
        <w:t xml:space="preserve"> 2020; </w:t>
      </w:r>
      <w:proofErr w:type="spellStart"/>
      <w:r>
        <w:rPr>
          <w:rFonts w:ascii="Arial" w:eastAsia="Arial" w:hAnsi="Arial" w:cs="Arial"/>
          <w:color w:val="000000"/>
        </w:rPr>
        <w:t>Owosho</w:t>
      </w:r>
      <w:proofErr w:type="spellEnd"/>
      <w:r>
        <w:rPr>
          <w:rFonts w:ascii="Arial" w:eastAsia="Arial" w:hAnsi="Arial" w:cs="Arial"/>
          <w:color w:val="000000"/>
        </w:rPr>
        <w:t xml:space="preserve"> et al., 2016). This limitation may compromise the reliability of outcomes and must be considered when interpreting the results. Nonetheless, the NOS proved effective in distinguishing the methodological quality of the included studies. While </w:t>
      </w:r>
      <w:r>
        <w:rPr>
          <w:rFonts w:ascii="Arial" w:eastAsia="Arial" w:hAnsi="Arial" w:cs="Arial"/>
          <w:color w:val="000000"/>
        </w:rPr>
        <w:t>most studies were of good quality, variability was noted in follow-up rigor and reporting of losses, reinforcing the importance of transparency and completeness in study design.</w:t>
      </w:r>
    </w:p>
    <w:p w14:paraId="0C4C91D2" w14:textId="77777777" w:rsidR="00150BA3" w:rsidRDefault="00AB06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Compared with the findings of the systematic review by Serna et al. (2016), wh</w:t>
      </w:r>
      <w:r>
        <w:rPr>
          <w:rFonts w:ascii="Arial" w:eastAsia="Arial" w:hAnsi="Arial" w:cs="Arial"/>
          <w:color w:val="000000"/>
        </w:rPr>
        <w:t>ich evaluated studies published up to 2014 regarding the association between medication use in childhood and MIH occurrence, the cohort studies included in the present review scored higher and more consistently on the NOS. This may reflect improved methodo</w:t>
      </w:r>
      <w:r>
        <w:rPr>
          <w:rFonts w:ascii="Arial" w:eastAsia="Arial" w:hAnsi="Arial" w:cs="Arial"/>
          <w:color w:val="000000"/>
        </w:rPr>
        <w:t xml:space="preserve">logical standards in more recent investigations, as the highest-quality studies in this review were also the most recent </w:t>
      </w:r>
      <w:r>
        <w:rPr>
          <w:rFonts w:ascii="Arial" w:eastAsia="Arial" w:hAnsi="Arial" w:cs="Arial"/>
        </w:rPr>
        <w:t>(</w:t>
      </w:r>
      <w:proofErr w:type="spellStart"/>
      <w:r>
        <w:rPr>
          <w:rFonts w:ascii="Arial" w:eastAsia="Arial" w:hAnsi="Arial" w:cs="Arial"/>
        </w:rPr>
        <w:t>Schüttfort</w:t>
      </w:r>
      <w:proofErr w:type="spellEnd"/>
      <w:r>
        <w:rPr>
          <w:rFonts w:ascii="Arial" w:eastAsia="Arial" w:hAnsi="Arial" w:cs="Arial"/>
        </w:rPr>
        <w:t xml:space="preserve"> et al., 2020; Raedel et al., 2022; Nørrisgaard et al., 2023).</w:t>
      </w:r>
    </w:p>
    <w:p w14:paraId="7082D5C4" w14:textId="77777777" w:rsidR="00150BA3" w:rsidRDefault="00AB0688">
      <w:pPr>
        <w:pBdr>
          <w:top w:val="nil"/>
          <w:left w:val="nil"/>
          <w:bottom w:val="nil"/>
          <w:right w:val="nil"/>
          <w:between w:val="nil"/>
        </w:pBdr>
        <w:spacing w:after="240"/>
        <w:jc w:val="both"/>
        <w:rPr>
          <w:rFonts w:ascii="Arial" w:eastAsia="Arial" w:hAnsi="Arial" w:cs="Arial"/>
        </w:rPr>
      </w:pPr>
      <w:r>
        <w:rPr>
          <w:rFonts w:ascii="Arial" w:eastAsia="Arial" w:hAnsi="Arial" w:cs="Arial"/>
          <w:color w:val="000000"/>
        </w:rPr>
        <w:t>No consistent relationship was found between NOS score and th</w:t>
      </w:r>
      <w:r>
        <w:rPr>
          <w:rFonts w:ascii="Arial" w:eastAsia="Arial" w:hAnsi="Arial" w:cs="Arial"/>
          <w:color w:val="000000"/>
        </w:rPr>
        <w:t>e type of cohort study. Both prospective and retrospective cohorts scored similarly, ranging from six to nine stars. Although prospective designs are theoretically more robust (Salazar et al., 2019), some retrospective studies in this sample demonstrated c</w:t>
      </w:r>
      <w:r>
        <w:rPr>
          <w:rFonts w:ascii="Arial" w:eastAsia="Arial" w:hAnsi="Arial" w:cs="Arial"/>
          <w:color w:val="000000"/>
        </w:rPr>
        <w:t xml:space="preserve">omparable or even superior methodological quality. Therefore, NOS scoring appears to depend more on design quality and bias control than on study type, and each study should be interpreted in light of its specific context </w:t>
      </w:r>
      <w:r>
        <w:rPr>
          <w:rFonts w:ascii="Arial" w:eastAsia="Arial" w:hAnsi="Arial" w:cs="Arial"/>
        </w:rPr>
        <w:t>(Wells et al., 2015).</w:t>
      </w:r>
    </w:p>
    <w:p w14:paraId="664FAE0C" w14:textId="77777777" w:rsidR="00150BA3" w:rsidRDefault="00AB06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Among the me</w:t>
      </w:r>
      <w:r>
        <w:rPr>
          <w:rFonts w:ascii="Arial" w:eastAsia="Arial" w:hAnsi="Arial" w:cs="Arial"/>
          <w:color w:val="000000"/>
        </w:rPr>
        <w:t>dications assessed, amoxicillin was the drug most frequently associated with enamel defects. Prospective cohort studies by Hong et al. (2004a, 2005b, 2011c) in the United States suggested a possible link between amoxicillin use during the first year of lif</w:t>
      </w:r>
      <w:r>
        <w:rPr>
          <w:rFonts w:ascii="Arial" w:eastAsia="Arial" w:hAnsi="Arial" w:cs="Arial"/>
          <w:color w:val="000000"/>
        </w:rPr>
        <w:t xml:space="preserve">e and the development of dental fluorosis and enamel defects in both primary and permanent teeth. Laisi </w:t>
      </w:r>
      <w:r>
        <w:rPr>
          <w:rFonts w:ascii="Arial" w:eastAsia="Arial" w:hAnsi="Arial" w:cs="Arial"/>
        </w:rPr>
        <w:t>et al. (2009)</w:t>
      </w:r>
      <w:r>
        <w:rPr>
          <w:rFonts w:ascii="Arial" w:eastAsia="Arial" w:hAnsi="Arial" w:cs="Arial"/>
          <w:color w:val="000000"/>
        </w:rPr>
        <w:t xml:space="preserve"> supported this hypothesis, identifying early amoxicillin use as a potential causal factor in MIH. More recently, Raedel</w:t>
      </w:r>
      <w:r>
        <w:rPr>
          <w:rFonts w:ascii="Arial" w:eastAsia="Arial" w:hAnsi="Arial" w:cs="Arial"/>
        </w:rPr>
        <w:t xml:space="preserve"> </w:t>
      </w:r>
      <w:r>
        <w:rPr>
          <w:rFonts w:ascii="Arial" w:eastAsia="Arial" w:hAnsi="Arial" w:cs="Arial"/>
          <w:color w:val="000000"/>
        </w:rPr>
        <w:t>et al. (2022) reinforced this association, reporting a higher prevalence of MIH in children with early antibiotic exposure, including amoxicillin. Although the effects of this specific antibiotic were not isolated, its frequent prescription and potential r</w:t>
      </w:r>
      <w:r>
        <w:rPr>
          <w:rFonts w:ascii="Arial" w:eastAsia="Arial" w:hAnsi="Arial" w:cs="Arial"/>
          <w:color w:val="000000"/>
        </w:rPr>
        <w:t xml:space="preserve">ole in enamel mineralization defects were considered relevant by the authors </w:t>
      </w:r>
      <w:r>
        <w:rPr>
          <w:rFonts w:ascii="Arial" w:eastAsia="Arial" w:hAnsi="Arial" w:cs="Arial"/>
        </w:rPr>
        <w:t>(Raedel et al., 2022).</w:t>
      </w:r>
    </w:p>
    <w:p w14:paraId="19D4E74A" w14:textId="77777777" w:rsidR="00150BA3" w:rsidRDefault="00AB06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Conversely, conflicting results are found in the literature. Elfrink et al. (2013), for example, reported no statistically significant association between t</w:t>
      </w:r>
      <w:r>
        <w:rPr>
          <w:rFonts w:ascii="Arial" w:eastAsia="Arial" w:hAnsi="Arial" w:cs="Arial"/>
          <w:color w:val="000000"/>
        </w:rPr>
        <w:t xml:space="preserve">he use of antibacterial drugs during </w:t>
      </w:r>
      <w:r>
        <w:rPr>
          <w:rFonts w:ascii="Arial" w:eastAsia="Arial" w:hAnsi="Arial" w:cs="Arial"/>
          <w:color w:val="000000"/>
        </w:rPr>
        <w:lastRenderedPageBreak/>
        <w:t xml:space="preserve">pregnancy and the development of enamel </w:t>
      </w:r>
      <w:proofErr w:type="spellStart"/>
      <w:r>
        <w:rPr>
          <w:rFonts w:ascii="Arial" w:eastAsia="Arial" w:hAnsi="Arial" w:cs="Arial"/>
          <w:color w:val="000000"/>
        </w:rPr>
        <w:t>hypomineralization</w:t>
      </w:r>
      <w:proofErr w:type="spellEnd"/>
      <w:r>
        <w:rPr>
          <w:rFonts w:ascii="Arial" w:eastAsia="Arial" w:hAnsi="Arial" w:cs="Arial"/>
          <w:color w:val="000000"/>
        </w:rPr>
        <w:t>. These discrepancies may result from methodological differences, including how exposure was measured, variations in outcome definitions (e.g., fluorosis, hypopl</w:t>
      </w:r>
      <w:r>
        <w:rPr>
          <w:rFonts w:ascii="Arial" w:eastAsia="Arial" w:hAnsi="Arial" w:cs="Arial"/>
          <w:color w:val="000000"/>
        </w:rPr>
        <w:t>asia, or MIH), or insufficient control for confounding factors such as fluoride intake and genetic susceptibility.</w:t>
      </w:r>
    </w:p>
    <w:p w14:paraId="17B9CF10" w14:textId="6584EEF9" w:rsidR="00150BA3" w:rsidRDefault="00AB06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Regarding systemic medications, the study by </w:t>
      </w:r>
      <w:proofErr w:type="spellStart"/>
      <w:r>
        <w:rPr>
          <w:rFonts w:ascii="Arial" w:eastAsia="Arial" w:hAnsi="Arial" w:cs="Arial"/>
          <w:color w:val="000000"/>
        </w:rPr>
        <w:t>Owosho</w:t>
      </w:r>
      <w:proofErr w:type="spellEnd"/>
      <w:r>
        <w:rPr>
          <w:rFonts w:ascii="Arial" w:eastAsia="Arial" w:hAnsi="Arial" w:cs="Arial"/>
          <w:color w:val="000000"/>
        </w:rPr>
        <w:t xml:space="preserve"> et al. (2016) was the only one found to investigate cancer treatment in relation to enamel defects. The authors reported that children with head and neck rhabdomyosarcoma treated with radiotherapy and chemotherapy exhibited dentofacial abnormalities. This</w:t>
      </w:r>
      <w:r>
        <w:rPr>
          <w:rFonts w:ascii="Arial" w:eastAsia="Arial" w:hAnsi="Arial" w:cs="Arial"/>
          <w:color w:val="000000"/>
        </w:rPr>
        <w:t xml:space="preserve"> aligns with other studies reporting associations between chemotherapy and enamel defects </w:t>
      </w:r>
      <w:r>
        <w:rPr>
          <w:rFonts w:ascii="Arial" w:eastAsia="Arial" w:hAnsi="Arial" w:cs="Arial"/>
        </w:rPr>
        <w:t>(</w:t>
      </w:r>
      <w:r>
        <w:rPr>
          <w:rFonts w:ascii="Arial" w:eastAsia="Arial" w:hAnsi="Arial" w:cs="Arial"/>
          <w:color w:val="000000"/>
        </w:rPr>
        <w:t xml:space="preserve">Kaste et al., 2009; </w:t>
      </w:r>
      <w:proofErr w:type="spellStart"/>
      <w:r>
        <w:rPr>
          <w:rFonts w:ascii="Arial" w:eastAsia="Arial" w:hAnsi="Arial" w:cs="Arial"/>
          <w:color w:val="000000"/>
        </w:rPr>
        <w:t>Bagattoni</w:t>
      </w:r>
      <w:proofErr w:type="spellEnd"/>
      <w:r>
        <w:rPr>
          <w:rFonts w:ascii="Arial" w:eastAsia="Arial" w:hAnsi="Arial" w:cs="Arial"/>
        </w:rPr>
        <w:t xml:space="preserve"> et al., </w:t>
      </w:r>
      <w:r>
        <w:rPr>
          <w:rFonts w:ascii="Arial" w:eastAsia="Arial" w:hAnsi="Arial" w:cs="Arial"/>
          <w:color w:val="000000"/>
        </w:rPr>
        <w:t>2014).</w:t>
      </w:r>
    </w:p>
    <w:p w14:paraId="4E494FBC" w14:textId="77777777" w:rsidR="00150BA3" w:rsidRDefault="00AB06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However, Nørrisgaard </w:t>
      </w:r>
      <w:r>
        <w:rPr>
          <w:rFonts w:ascii="Arial" w:eastAsia="Arial" w:hAnsi="Arial" w:cs="Arial"/>
        </w:rPr>
        <w:t>et al. (2023)</w:t>
      </w:r>
      <w:r>
        <w:rPr>
          <w:rFonts w:ascii="Arial" w:eastAsia="Arial" w:hAnsi="Arial" w:cs="Arial"/>
          <w:color w:val="000000"/>
        </w:rPr>
        <w:t xml:space="preserve"> found no association between asthma medication use and enamel defects in children—con</w:t>
      </w:r>
      <w:r>
        <w:rPr>
          <w:rFonts w:ascii="Arial" w:eastAsia="Arial" w:hAnsi="Arial" w:cs="Arial"/>
          <w:color w:val="000000"/>
        </w:rPr>
        <w:t xml:space="preserve">trasting with </w:t>
      </w:r>
      <w:proofErr w:type="spellStart"/>
      <w:r>
        <w:rPr>
          <w:rFonts w:ascii="Arial" w:eastAsia="Arial" w:hAnsi="Arial" w:cs="Arial"/>
          <w:color w:val="000000"/>
        </w:rPr>
        <w:t>Mastora</w:t>
      </w:r>
      <w:proofErr w:type="spellEnd"/>
      <w:r>
        <w:rPr>
          <w:rFonts w:ascii="Arial" w:eastAsia="Arial" w:hAnsi="Arial" w:cs="Arial"/>
        </w:rPr>
        <w:t xml:space="preserve"> </w:t>
      </w:r>
      <w:r>
        <w:rPr>
          <w:rFonts w:ascii="Arial" w:eastAsia="Arial" w:hAnsi="Arial" w:cs="Arial"/>
          <w:color w:val="000000"/>
        </w:rPr>
        <w:t xml:space="preserve">et al. (2017), who reported a general increased risk of </w:t>
      </w:r>
      <w:proofErr w:type="spellStart"/>
      <w:r>
        <w:rPr>
          <w:rFonts w:ascii="Arial" w:eastAsia="Arial" w:hAnsi="Arial" w:cs="Arial"/>
          <w:color w:val="000000"/>
        </w:rPr>
        <w:t>hypomineralization</w:t>
      </w:r>
      <w:proofErr w:type="spellEnd"/>
      <w:r>
        <w:rPr>
          <w:rFonts w:ascii="Arial" w:eastAsia="Arial" w:hAnsi="Arial" w:cs="Arial"/>
          <w:color w:val="000000"/>
        </w:rPr>
        <w:t xml:space="preserve"> in first permanent molars among children treated with asthma medications.</w:t>
      </w:r>
    </w:p>
    <w:p w14:paraId="6D84BE9A" w14:textId="77777777" w:rsidR="00150BA3" w:rsidRDefault="00AB06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role of vitamin D supplementation during pregnancy remains unclear due to conflic</w:t>
      </w:r>
      <w:r>
        <w:rPr>
          <w:rFonts w:ascii="Arial" w:eastAsia="Arial" w:hAnsi="Arial" w:cs="Arial"/>
          <w:color w:val="000000"/>
        </w:rPr>
        <w:t>ting findings. Nørrisgaard</w:t>
      </w:r>
      <w:r>
        <w:rPr>
          <w:rFonts w:ascii="Arial" w:eastAsia="Arial" w:hAnsi="Arial" w:cs="Arial"/>
        </w:rPr>
        <w:t xml:space="preserve"> et al. (2019)</w:t>
      </w:r>
      <w:r>
        <w:rPr>
          <w:rFonts w:ascii="Arial" w:eastAsia="Arial" w:hAnsi="Arial" w:cs="Arial"/>
          <w:color w:val="000000"/>
        </w:rPr>
        <w:t xml:space="preserve"> found that high-dose supplementation significantly reduced the occurrence of enamel defects in children. Similarly, </w:t>
      </w:r>
      <w:proofErr w:type="spellStart"/>
      <w:r>
        <w:rPr>
          <w:rFonts w:ascii="Arial" w:eastAsia="Arial" w:hAnsi="Arial" w:cs="Arial"/>
          <w:color w:val="000000"/>
        </w:rPr>
        <w:t>Colonetti</w:t>
      </w:r>
      <w:proofErr w:type="spellEnd"/>
      <w:r>
        <w:rPr>
          <w:rFonts w:ascii="Arial" w:eastAsia="Arial" w:hAnsi="Arial" w:cs="Arial"/>
          <w:color w:val="000000"/>
        </w:rPr>
        <w:t xml:space="preserve"> </w:t>
      </w:r>
      <w:r>
        <w:rPr>
          <w:rFonts w:ascii="Arial" w:eastAsia="Arial" w:hAnsi="Arial" w:cs="Arial"/>
        </w:rPr>
        <w:t>et al. (2022)</w:t>
      </w:r>
      <w:r>
        <w:rPr>
          <w:rFonts w:ascii="Arial" w:eastAsia="Arial" w:hAnsi="Arial" w:cs="Arial"/>
          <w:color w:val="000000"/>
        </w:rPr>
        <w:t xml:space="preserve"> emphasized that adequate prenatal vitamin D levels may benefit both oral an</w:t>
      </w:r>
      <w:r>
        <w:rPr>
          <w:rFonts w:ascii="Arial" w:eastAsia="Arial" w:hAnsi="Arial" w:cs="Arial"/>
          <w:color w:val="000000"/>
        </w:rPr>
        <w:t>d systemic health. Observational studies such as Børsting</w:t>
      </w:r>
      <w:r>
        <w:rPr>
          <w:rFonts w:ascii="Arial" w:eastAsia="Arial" w:hAnsi="Arial" w:cs="Arial"/>
        </w:rPr>
        <w:t xml:space="preserve"> et al. (2022) </w:t>
      </w:r>
      <w:r>
        <w:rPr>
          <w:rFonts w:ascii="Arial" w:eastAsia="Arial" w:hAnsi="Arial" w:cs="Arial"/>
          <w:color w:val="000000"/>
        </w:rPr>
        <w:t xml:space="preserve">and the systematic review by </w:t>
      </w:r>
      <w:r>
        <w:rPr>
          <w:rFonts w:ascii="Arial" w:eastAsia="Arial" w:hAnsi="Arial" w:cs="Arial"/>
        </w:rPr>
        <w:t>Tapalaga et al. (2023)</w:t>
      </w:r>
      <w:r>
        <w:rPr>
          <w:rFonts w:ascii="Arial" w:eastAsia="Arial" w:hAnsi="Arial" w:cs="Arial"/>
          <w:color w:val="000000"/>
        </w:rPr>
        <w:t xml:space="preserve"> further suggested that insufficient maternal vitamin D is associated with an increased prevalence of these defects. Nevertheless,</w:t>
      </w:r>
      <w:r>
        <w:rPr>
          <w:rFonts w:ascii="Arial" w:eastAsia="Arial" w:hAnsi="Arial" w:cs="Arial"/>
        </w:rPr>
        <w:t xml:space="preserve"> </w:t>
      </w:r>
      <w:proofErr w:type="spellStart"/>
      <w:r>
        <w:rPr>
          <w:rFonts w:ascii="Arial" w:eastAsia="Arial" w:hAnsi="Arial" w:cs="Arial"/>
          <w:color w:val="000000"/>
        </w:rPr>
        <w:t>Kü</w:t>
      </w:r>
      <w:r>
        <w:rPr>
          <w:rFonts w:ascii="Arial" w:eastAsia="Arial" w:hAnsi="Arial" w:cs="Arial"/>
          <w:color w:val="000000"/>
        </w:rPr>
        <w:t>hnisch</w:t>
      </w:r>
      <w:proofErr w:type="spellEnd"/>
      <w:r>
        <w:rPr>
          <w:rFonts w:ascii="Arial" w:eastAsia="Arial" w:hAnsi="Arial" w:cs="Arial"/>
          <w:color w:val="000000"/>
        </w:rPr>
        <w:t xml:space="preserve"> et al. (2017</w:t>
      </w:r>
      <w:proofErr w:type="gramStart"/>
      <w:r>
        <w:rPr>
          <w:rFonts w:ascii="Arial" w:eastAsia="Arial" w:hAnsi="Arial" w:cs="Arial"/>
          <w:color w:val="000000"/>
        </w:rPr>
        <w:t>)  reported</w:t>
      </w:r>
      <w:proofErr w:type="gramEnd"/>
      <w:r>
        <w:rPr>
          <w:rFonts w:ascii="Arial" w:eastAsia="Arial" w:hAnsi="Arial" w:cs="Arial"/>
          <w:color w:val="000000"/>
        </w:rPr>
        <w:t xml:space="preserve"> no significant effect of postnatal fluoride and vitamin D supplementation on MIH, and </w:t>
      </w:r>
      <w:proofErr w:type="spellStart"/>
      <w:r>
        <w:rPr>
          <w:rFonts w:ascii="Arial" w:eastAsia="Arial" w:hAnsi="Arial" w:cs="Arial"/>
          <w:color w:val="000000"/>
        </w:rPr>
        <w:t>Rogalnikovaite</w:t>
      </w:r>
      <w:proofErr w:type="spellEnd"/>
      <w:r>
        <w:rPr>
          <w:rFonts w:ascii="Arial" w:eastAsia="Arial" w:hAnsi="Arial" w:cs="Arial"/>
          <w:color w:val="000000"/>
        </w:rPr>
        <w:t xml:space="preserve"> et al. (2022) highlighted that the effects of prenatal vitamin D on oral health remain inconclusive. While causal evidence i</w:t>
      </w:r>
      <w:r>
        <w:rPr>
          <w:rFonts w:ascii="Arial" w:eastAsia="Arial" w:hAnsi="Arial" w:cs="Arial"/>
          <w:color w:val="000000"/>
        </w:rPr>
        <w:t>s lacking, the body of findings points to a potential role for vitamin D in dental formation.</w:t>
      </w:r>
    </w:p>
    <w:p w14:paraId="18911BF3" w14:textId="77777777" w:rsidR="00150BA3" w:rsidRDefault="00AB06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main limitations of this review stem from the scarcity of RCTs in the literature, for the ethical and practical reasons previously discussed. Although RCTs re</w:t>
      </w:r>
      <w:r>
        <w:rPr>
          <w:rFonts w:ascii="Arial" w:eastAsia="Arial" w:hAnsi="Arial" w:cs="Arial"/>
          <w:color w:val="000000"/>
        </w:rPr>
        <w:t>present the highest level of clinical evidence, the lack of controlled trials should not be interpreted as an absence of association (</w:t>
      </w:r>
      <w:proofErr w:type="spellStart"/>
      <w:r>
        <w:rPr>
          <w:rFonts w:ascii="Arial" w:eastAsia="Arial" w:hAnsi="Arial" w:cs="Arial"/>
          <w:color w:val="000000"/>
        </w:rPr>
        <w:t>Brasil</w:t>
      </w:r>
      <w:proofErr w:type="spellEnd"/>
      <w:r>
        <w:rPr>
          <w:rFonts w:ascii="Arial" w:eastAsia="Arial" w:hAnsi="Arial" w:cs="Arial"/>
          <w:color w:val="000000"/>
        </w:rPr>
        <w:t>, 2014). On the contrary, it highlights the importance of considering alternative designs—such as well-conducted pro</w:t>
      </w:r>
      <w:r>
        <w:rPr>
          <w:rFonts w:ascii="Arial" w:eastAsia="Arial" w:hAnsi="Arial" w:cs="Arial"/>
          <w:color w:val="000000"/>
        </w:rPr>
        <w:t>spective and retrospective cohort studies—which allow for ethical and longitudinal assessment of drug exposure effects on children’s oral health (Serna et al., 2016). Given the heterogeneity in findings, a synthesis of high-quality observational evidence r</w:t>
      </w:r>
      <w:r>
        <w:rPr>
          <w:rFonts w:ascii="Arial" w:eastAsia="Arial" w:hAnsi="Arial" w:cs="Arial"/>
          <w:color w:val="000000"/>
        </w:rPr>
        <w:t>emains critical. While some studies reported significant associations between medication use and enamel alterations (Jacobsen et al., 2023; Shinde et al., 2022), others did not find statistically significant results (</w:t>
      </w:r>
      <w:proofErr w:type="spellStart"/>
      <w:r>
        <w:rPr>
          <w:rFonts w:ascii="Arial" w:eastAsia="Arial" w:hAnsi="Arial" w:cs="Arial"/>
          <w:color w:val="000000"/>
        </w:rPr>
        <w:t>Schüttfort</w:t>
      </w:r>
      <w:proofErr w:type="spellEnd"/>
      <w:r>
        <w:rPr>
          <w:rFonts w:ascii="Arial" w:eastAsia="Arial" w:hAnsi="Arial" w:cs="Arial"/>
          <w:color w:val="000000"/>
        </w:rPr>
        <w:t xml:space="preserve"> et al., 2020; Elfrink et al.</w:t>
      </w:r>
      <w:r>
        <w:rPr>
          <w:rFonts w:ascii="Arial" w:eastAsia="Arial" w:hAnsi="Arial" w:cs="Arial"/>
          <w:color w:val="000000"/>
        </w:rPr>
        <w:t xml:space="preserve">, 2013). </w:t>
      </w:r>
    </w:p>
    <w:p w14:paraId="11E9F273" w14:textId="77777777" w:rsidR="00150BA3" w:rsidRDefault="00AB06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Therefore, future investigations should prioritize cohort designs with representative samples, long-term follow-up, and standardized diagnostic protocols for enamel defects. Multicenter studies involving diverse populations may further enhance th</w:t>
      </w:r>
      <w:r>
        <w:rPr>
          <w:rFonts w:ascii="Arial" w:eastAsia="Arial" w:hAnsi="Arial" w:cs="Arial"/>
          <w:color w:val="000000"/>
        </w:rPr>
        <w:t>e evidence base and support public health policies.</w:t>
      </w:r>
    </w:p>
    <w:p w14:paraId="5706EFF5" w14:textId="77777777" w:rsidR="00150BA3" w:rsidRDefault="00AB0688">
      <w:pPr>
        <w:pBdr>
          <w:top w:val="nil"/>
          <w:left w:val="nil"/>
          <w:bottom w:val="nil"/>
          <w:right w:val="nil"/>
          <w:between w:val="nil"/>
        </w:pBdr>
        <w:jc w:val="both"/>
        <w:rPr>
          <w:rFonts w:ascii="Arial" w:eastAsia="Arial" w:hAnsi="Arial" w:cs="Arial"/>
          <w:color w:val="FF0000"/>
        </w:rPr>
      </w:pPr>
      <w:r>
        <w:rPr>
          <w:rFonts w:ascii="Arial" w:eastAsia="Arial" w:hAnsi="Arial" w:cs="Arial"/>
          <w:color w:val="000000"/>
        </w:rPr>
        <w:t>One of the main strengths of this review lies in its comprehensive search strategy across relevant databases. This methodological rigor provides an updated and broad perspective on the topic, reducing the</w:t>
      </w:r>
      <w:r>
        <w:rPr>
          <w:rFonts w:ascii="Arial" w:eastAsia="Arial" w:hAnsi="Arial" w:cs="Arial"/>
          <w:color w:val="000000"/>
        </w:rPr>
        <w:t xml:space="preserve"> risk of publication bias (Wells et al., 2015; </w:t>
      </w:r>
      <w:proofErr w:type="spellStart"/>
      <w:r>
        <w:rPr>
          <w:rFonts w:ascii="Arial" w:eastAsia="Arial" w:hAnsi="Arial" w:cs="Arial"/>
          <w:color w:val="000000"/>
        </w:rPr>
        <w:t>Brasil</w:t>
      </w:r>
      <w:proofErr w:type="spellEnd"/>
      <w:r>
        <w:rPr>
          <w:rFonts w:ascii="Arial" w:eastAsia="Arial" w:hAnsi="Arial" w:cs="Arial"/>
          <w:color w:val="000000"/>
        </w:rPr>
        <w:t>, 2014). Another strength was the use of strict inclusion criteria and a standardized methodological assessment using the Newcastle-Ottawa Scale, which allowed prioritization of evidence quality. This cr</w:t>
      </w:r>
      <w:r>
        <w:rPr>
          <w:rFonts w:ascii="Arial" w:eastAsia="Arial" w:hAnsi="Arial" w:cs="Arial"/>
          <w:color w:val="000000"/>
        </w:rPr>
        <w:t>itical approach enhances the reliability and clinical relevance of the findings while offering solid directions for future research in pediatric oral health.</w:t>
      </w:r>
    </w:p>
    <w:p w14:paraId="40305D1A" w14:textId="77777777" w:rsidR="00150BA3" w:rsidRDefault="00150BA3">
      <w:pPr>
        <w:pBdr>
          <w:top w:val="nil"/>
          <w:left w:val="nil"/>
          <w:bottom w:val="nil"/>
          <w:right w:val="nil"/>
          <w:between w:val="nil"/>
        </w:pBdr>
        <w:jc w:val="both"/>
        <w:rPr>
          <w:rFonts w:ascii="Arial" w:eastAsia="Arial" w:hAnsi="Arial" w:cs="Arial"/>
          <w:color w:val="FF0000"/>
        </w:rPr>
      </w:pPr>
    </w:p>
    <w:p w14:paraId="1A7072C8" w14:textId="77777777" w:rsidR="00150BA3" w:rsidRDefault="00150BA3">
      <w:pPr>
        <w:pBdr>
          <w:top w:val="nil"/>
          <w:left w:val="nil"/>
          <w:bottom w:val="nil"/>
          <w:right w:val="nil"/>
          <w:between w:val="nil"/>
        </w:pBdr>
        <w:jc w:val="both"/>
        <w:rPr>
          <w:rFonts w:ascii="Arial" w:eastAsia="Arial" w:hAnsi="Arial" w:cs="Arial"/>
          <w:color w:val="FF0000"/>
        </w:rPr>
      </w:pPr>
    </w:p>
    <w:p w14:paraId="66F02F4E" w14:textId="77777777" w:rsidR="00150BA3" w:rsidRDefault="00AB0688">
      <w:pPr>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sz w:val="22"/>
          <w:szCs w:val="22"/>
        </w:rPr>
        <w:lastRenderedPageBreak/>
        <w:t>4</w:t>
      </w:r>
      <w:r w:rsidRPr="00544576">
        <w:rPr>
          <w:rFonts w:ascii="Arial" w:eastAsia="Arial" w:hAnsi="Arial" w:cs="Arial"/>
          <w:b/>
          <w:caps/>
          <w:sz w:val="22"/>
          <w:szCs w:val="22"/>
        </w:rPr>
        <w:t>. Conclusion</w:t>
      </w:r>
    </w:p>
    <w:p w14:paraId="2753BC92" w14:textId="77777777" w:rsidR="00150BA3" w:rsidRDefault="00150BA3">
      <w:pPr>
        <w:keepNext/>
        <w:pBdr>
          <w:top w:val="nil"/>
          <w:left w:val="nil"/>
          <w:bottom w:val="nil"/>
          <w:right w:val="nil"/>
          <w:between w:val="nil"/>
        </w:pBdr>
        <w:jc w:val="both"/>
        <w:rPr>
          <w:rFonts w:ascii="Arial" w:eastAsia="Arial" w:hAnsi="Arial" w:cs="Arial"/>
          <w:b/>
          <w:smallCaps/>
          <w:sz w:val="22"/>
          <w:szCs w:val="22"/>
        </w:rPr>
      </w:pPr>
    </w:p>
    <w:p w14:paraId="527602D5" w14:textId="77777777" w:rsidR="00150BA3" w:rsidRDefault="00AB0688">
      <w:pPr>
        <w:pBdr>
          <w:top w:val="nil"/>
          <w:left w:val="nil"/>
          <w:bottom w:val="nil"/>
          <w:right w:val="nil"/>
          <w:between w:val="nil"/>
        </w:pBdr>
        <w:jc w:val="both"/>
        <w:rPr>
          <w:rFonts w:ascii="Arial" w:eastAsia="Arial" w:hAnsi="Arial" w:cs="Arial"/>
        </w:rPr>
      </w:pPr>
      <w:r>
        <w:rPr>
          <w:rFonts w:ascii="Arial" w:eastAsia="Arial" w:hAnsi="Arial" w:cs="Arial"/>
        </w:rPr>
        <w:t xml:space="preserve">Observational studies investigating the potential association between medication </w:t>
      </w:r>
      <w:r>
        <w:rPr>
          <w:rFonts w:ascii="Arial" w:eastAsia="Arial" w:hAnsi="Arial" w:cs="Arial"/>
        </w:rPr>
        <w:t xml:space="preserve">use and enamel developmental defects were identified. However, the available evidence does not allow for the establishment of a direct causal relationship between drug exposures and the occurrence of enamel defects. In the absence of randomized controlled </w:t>
      </w:r>
      <w:r>
        <w:rPr>
          <w:rFonts w:ascii="Arial" w:eastAsia="Arial" w:hAnsi="Arial" w:cs="Arial"/>
        </w:rPr>
        <w:t>trials, these studies remain a viable alternative for exploring this topic, supporting future research, clinical practice, and public health policy focused on child health.</w:t>
      </w:r>
    </w:p>
    <w:p w14:paraId="14577E66" w14:textId="77777777" w:rsidR="00150BA3" w:rsidRDefault="00150BA3">
      <w:pPr>
        <w:pBdr>
          <w:top w:val="nil"/>
          <w:left w:val="nil"/>
          <w:bottom w:val="nil"/>
          <w:right w:val="nil"/>
          <w:between w:val="nil"/>
        </w:pBdr>
        <w:jc w:val="both"/>
        <w:rPr>
          <w:rFonts w:ascii="Arial" w:eastAsia="Arial" w:hAnsi="Arial" w:cs="Arial"/>
          <w:color w:val="FF0000"/>
        </w:rPr>
      </w:pPr>
    </w:p>
    <w:p w14:paraId="54020EB0" w14:textId="77777777" w:rsidR="00150BA3" w:rsidRDefault="00150BA3">
      <w:pPr>
        <w:keepNext/>
        <w:pBdr>
          <w:top w:val="nil"/>
          <w:left w:val="nil"/>
          <w:bottom w:val="nil"/>
          <w:right w:val="nil"/>
          <w:between w:val="nil"/>
        </w:pBdr>
        <w:jc w:val="both"/>
        <w:rPr>
          <w:rFonts w:ascii="Arial" w:eastAsia="Arial" w:hAnsi="Arial" w:cs="Arial"/>
          <w:color w:val="FF0000"/>
          <w:u w:val="single"/>
        </w:rPr>
      </w:pPr>
    </w:p>
    <w:p w14:paraId="6DFA6607" w14:textId="77777777" w:rsidR="00150BA3" w:rsidRDefault="00150BA3">
      <w:pPr>
        <w:keepNext/>
        <w:pBdr>
          <w:top w:val="nil"/>
          <w:left w:val="nil"/>
          <w:bottom w:val="nil"/>
          <w:right w:val="nil"/>
          <w:between w:val="nil"/>
        </w:pBdr>
        <w:jc w:val="both"/>
        <w:rPr>
          <w:rFonts w:ascii="Arial" w:eastAsia="Arial" w:hAnsi="Arial" w:cs="Arial"/>
        </w:rPr>
      </w:pPr>
    </w:p>
    <w:p w14:paraId="3A29108E" w14:textId="77777777" w:rsidR="00150BA3" w:rsidRPr="00544576" w:rsidRDefault="00AB0688">
      <w:pPr>
        <w:keepNext/>
        <w:pBdr>
          <w:top w:val="nil"/>
          <w:left w:val="nil"/>
          <w:bottom w:val="nil"/>
          <w:right w:val="nil"/>
          <w:between w:val="nil"/>
        </w:pBdr>
        <w:jc w:val="both"/>
        <w:rPr>
          <w:rFonts w:ascii="Arial" w:eastAsia="Arial" w:hAnsi="Arial" w:cs="Arial"/>
          <w:b/>
          <w:caps/>
          <w:sz w:val="22"/>
          <w:szCs w:val="22"/>
        </w:rPr>
      </w:pPr>
      <w:r w:rsidRPr="00544576">
        <w:rPr>
          <w:rFonts w:ascii="Arial" w:eastAsia="Arial" w:hAnsi="Arial" w:cs="Arial"/>
          <w:b/>
          <w:caps/>
          <w:sz w:val="22"/>
          <w:szCs w:val="22"/>
        </w:rPr>
        <w:t>Consent</w:t>
      </w:r>
    </w:p>
    <w:p w14:paraId="546CF4B9" w14:textId="77777777" w:rsidR="00150BA3" w:rsidRDefault="00150BA3">
      <w:pPr>
        <w:keepNext/>
        <w:pBdr>
          <w:top w:val="nil"/>
          <w:left w:val="nil"/>
          <w:bottom w:val="nil"/>
          <w:right w:val="nil"/>
          <w:between w:val="nil"/>
        </w:pBdr>
        <w:jc w:val="both"/>
        <w:rPr>
          <w:rFonts w:ascii="Arial" w:eastAsia="Arial" w:hAnsi="Arial" w:cs="Arial"/>
          <w:b/>
          <w:smallCaps/>
          <w:sz w:val="22"/>
          <w:szCs w:val="22"/>
        </w:rPr>
      </w:pPr>
    </w:p>
    <w:p w14:paraId="72F52E94" w14:textId="77777777" w:rsidR="00150BA3" w:rsidRDefault="00AB0688">
      <w:pPr>
        <w:keepNext/>
        <w:pBdr>
          <w:top w:val="nil"/>
          <w:left w:val="nil"/>
          <w:bottom w:val="nil"/>
          <w:right w:val="nil"/>
          <w:between w:val="nil"/>
        </w:pBdr>
        <w:jc w:val="both"/>
        <w:rPr>
          <w:rFonts w:ascii="Arial" w:eastAsia="Arial" w:hAnsi="Arial" w:cs="Arial"/>
          <w:u w:val="single"/>
        </w:rPr>
      </w:pPr>
      <w:r>
        <w:rPr>
          <w:rFonts w:ascii="Arial" w:eastAsia="Arial" w:hAnsi="Arial" w:cs="Arial"/>
        </w:rPr>
        <w:t>It is not applicable</w:t>
      </w:r>
    </w:p>
    <w:p w14:paraId="4308C7A5" w14:textId="77777777" w:rsidR="00150BA3" w:rsidRDefault="00150BA3">
      <w:pPr>
        <w:keepNext/>
        <w:pBdr>
          <w:top w:val="nil"/>
          <w:left w:val="nil"/>
          <w:bottom w:val="nil"/>
          <w:right w:val="nil"/>
          <w:between w:val="nil"/>
        </w:pBdr>
        <w:jc w:val="both"/>
        <w:rPr>
          <w:rFonts w:ascii="Arial" w:eastAsia="Arial" w:hAnsi="Arial" w:cs="Arial"/>
          <w:color w:val="FF0000"/>
        </w:rPr>
      </w:pPr>
    </w:p>
    <w:p w14:paraId="42DFE3BA" w14:textId="77777777" w:rsidR="00150BA3" w:rsidRDefault="00150BA3">
      <w:pPr>
        <w:keepNext/>
        <w:pBdr>
          <w:top w:val="nil"/>
          <w:left w:val="nil"/>
          <w:bottom w:val="nil"/>
          <w:right w:val="nil"/>
          <w:between w:val="nil"/>
        </w:pBdr>
        <w:jc w:val="both"/>
        <w:rPr>
          <w:rFonts w:ascii="Arial" w:eastAsia="Arial" w:hAnsi="Arial" w:cs="Arial"/>
          <w:color w:val="FF0000"/>
        </w:rPr>
      </w:pPr>
    </w:p>
    <w:p w14:paraId="223027CB" w14:textId="77777777" w:rsidR="00150BA3" w:rsidRPr="00544576" w:rsidRDefault="00AB0688">
      <w:pPr>
        <w:keepNext/>
        <w:pBdr>
          <w:top w:val="nil"/>
          <w:left w:val="nil"/>
          <w:bottom w:val="nil"/>
          <w:right w:val="nil"/>
          <w:between w:val="nil"/>
        </w:pBdr>
        <w:jc w:val="both"/>
        <w:rPr>
          <w:rFonts w:ascii="Arial" w:eastAsia="Arial" w:hAnsi="Arial" w:cs="Arial"/>
          <w:b/>
          <w:caps/>
          <w:sz w:val="22"/>
          <w:szCs w:val="22"/>
        </w:rPr>
      </w:pPr>
      <w:r w:rsidRPr="00544576">
        <w:rPr>
          <w:rFonts w:ascii="Arial" w:eastAsia="Arial" w:hAnsi="Arial" w:cs="Arial"/>
          <w:b/>
          <w:caps/>
          <w:sz w:val="22"/>
          <w:szCs w:val="22"/>
        </w:rPr>
        <w:t>Ethical approval</w:t>
      </w:r>
    </w:p>
    <w:p w14:paraId="2C736CB1" w14:textId="77777777" w:rsidR="00150BA3" w:rsidRDefault="00150BA3">
      <w:pPr>
        <w:keepNext/>
        <w:pBdr>
          <w:top w:val="nil"/>
          <w:left w:val="nil"/>
          <w:bottom w:val="nil"/>
          <w:right w:val="nil"/>
          <w:between w:val="nil"/>
        </w:pBdr>
        <w:jc w:val="both"/>
        <w:rPr>
          <w:rFonts w:ascii="Arial" w:eastAsia="Arial" w:hAnsi="Arial" w:cs="Arial"/>
          <w:b/>
          <w:smallCaps/>
          <w:sz w:val="22"/>
          <w:szCs w:val="22"/>
        </w:rPr>
      </w:pPr>
    </w:p>
    <w:p w14:paraId="631D82E3" w14:textId="77777777" w:rsidR="00150BA3" w:rsidRDefault="00AB0688">
      <w:pPr>
        <w:keepNext/>
        <w:pBdr>
          <w:top w:val="nil"/>
          <w:left w:val="nil"/>
          <w:bottom w:val="nil"/>
          <w:right w:val="nil"/>
          <w:between w:val="nil"/>
        </w:pBdr>
        <w:jc w:val="both"/>
        <w:rPr>
          <w:rFonts w:ascii="Arial" w:eastAsia="Arial" w:hAnsi="Arial" w:cs="Arial"/>
        </w:rPr>
      </w:pPr>
      <w:r>
        <w:rPr>
          <w:rFonts w:ascii="Arial" w:eastAsia="Arial" w:hAnsi="Arial" w:cs="Arial"/>
        </w:rPr>
        <w:t>It is not applicable</w:t>
      </w:r>
    </w:p>
    <w:p w14:paraId="32786356" w14:textId="77777777" w:rsidR="007A1A10" w:rsidRDefault="007A1A10">
      <w:pPr>
        <w:keepNext/>
        <w:pBdr>
          <w:top w:val="nil"/>
          <w:left w:val="nil"/>
          <w:bottom w:val="nil"/>
          <w:right w:val="nil"/>
          <w:between w:val="nil"/>
        </w:pBdr>
        <w:jc w:val="both"/>
        <w:rPr>
          <w:rFonts w:ascii="Arial" w:eastAsia="Arial" w:hAnsi="Arial" w:cs="Arial"/>
        </w:rPr>
      </w:pPr>
    </w:p>
    <w:p w14:paraId="12BEF4F5" w14:textId="77777777" w:rsidR="007A1A10" w:rsidRDefault="007A1A10">
      <w:pPr>
        <w:keepNext/>
        <w:pBdr>
          <w:top w:val="nil"/>
          <w:left w:val="nil"/>
          <w:bottom w:val="nil"/>
          <w:right w:val="nil"/>
          <w:between w:val="nil"/>
        </w:pBdr>
        <w:jc w:val="both"/>
        <w:rPr>
          <w:rFonts w:ascii="Arial" w:eastAsia="Arial" w:hAnsi="Arial" w:cs="Arial"/>
        </w:rPr>
      </w:pPr>
    </w:p>
    <w:p w14:paraId="2D4E5738" w14:textId="77777777" w:rsidR="007A1A10" w:rsidRDefault="007A1A10">
      <w:pPr>
        <w:keepNext/>
        <w:pBdr>
          <w:top w:val="nil"/>
          <w:left w:val="nil"/>
          <w:bottom w:val="nil"/>
          <w:right w:val="nil"/>
          <w:between w:val="nil"/>
        </w:pBdr>
        <w:jc w:val="both"/>
        <w:rPr>
          <w:rFonts w:ascii="Arial" w:eastAsia="Arial" w:hAnsi="Arial" w:cs="Arial"/>
          <w:u w:val="single"/>
        </w:rPr>
      </w:pPr>
    </w:p>
    <w:p w14:paraId="7E332E54" w14:textId="77777777" w:rsidR="00150BA3" w:rsidRDefault="00150BA3">
      <w:pPr>
        <w:keepNext/>
        <w:pBdr>
          <w:top w:val="nil"/>
          <w:left w:val="nil"/>
          <w:bottom w:val="nil"/>
          <w:right w:val="nil"/>
          <w:between w:val="nil"/>
        </w:pBdr>
        <w:jc w:val="both"/>
        <w:rPr>
          <w:rFonts w:ascii="Arial" w:eastAsia="Arial" w:hAnsi="Arial" w:cs="Arial"/>
          <w:b/>
          <w:smallCaps/>
          <w:color w:val="FF0000"/>
          <w:sz w:val="22"/>
          <w:szCs w:val="22"/>
        </w:rPr>
      </w:pPr>
    </w:p>
    <w:p w14:paraId="0C8553FD" w14:textId="77777777" w:rsidR="00150BA3" w:rsidRDefault="00150BA3">
      <w:pPr>
        <w:keepNext/>
        <w:pBdr>
          <w:top w:val="nil"/>
          <w:left w:val="nil"/>
          <w:bottom w:val="nil"/>
          <w:right w:val="nil"/>
          <w:between w:val="nil"/>
        </w:pBdr>
        <w:jc w:val="both"/>
        <w:rPr>
          <w:rFonts w:ascii="Arial" w:eastAsia="Arial" w:hAnsi="Arial" w:cs="Arial"/>
          <w:b/>
          <w:smallCaps/>
          <w:color w:val="FF0000"/>
          <w:sz w:val="22"/>
          <w:szCs w:val="22"/>
        </w:rPr>
      </w:pPr>
    </w:p>
    <w:p w14:paraId="71F3D3F8" w14:textId="77777777" w:rsidR="00150BA3" w:rsidRPr="00544576" w:rsidRDefault="00AB0688">
      <w:pPr>
        <w:keepNext/>
        <w:pBdr>
          <w:top w:val="nil"/>
          <w:left w:val="nil"/>
          <w:bottom w:val="nil"/>
          <w:right w:val="nil"/>
          <w:between w:val="nil"/>
        </w:pBdr>
        <w:jc w:val="both"/>
        <w:rPr>
          <w:rFonts w:ascii="Arial" w:eastAsia="Arial" w:hAnsi="Arial" w:cs="Arial"/>
          <w:b/>
          <w:caps/>
          <w:sz w:val="22"/>
          <w:szCs w:val="22"/>
        </w:rPr>
      </w:pPr>
      <w:r w:rsidRPr="00544576">
        <w:rPr>
          <w:rFonts w:ascii="Arial" w:eastAsia="Arial" w:hAnsi="Arial" w:cs="Arial"/>
          <w:b/>
          <w:caps/>
          <w:sz w:val="22"/>
          <w:szCs w:val="22"/>
        </w:rPr>
        <w:t>References</w:t>
      </w:r>
    </w:p>
    <w:p w14:paraId="3217C0BD" w14:textId="77777777" w:rsidR="00150BA3" w:rsidRDefault="00150BA3">
      <w:pPr>
        <w:keepNext/>
        <w:pBdr>
          <w:top w:val="nil"/>
          <w:left w:val="nil"/>
          <w:bottom w:val="nil"/>
          <w:right w:val="nil"/>
          <w:between w:val="nil"/>
        </w:pBdr>
        <w:jc w:val="both"/>
        <w:rPr>
          <w:rFonts w:ascii="Arial" w:eastAsia="Arial" w:hAnsi="Arial" w:cs="Arial"/>
          <w:b/>
          <w:smallCaps/>
          <w:color w:val="FF0000"/>
          <w:sz w:val="22"/>
          <w:szCs w:val="22"/>
        </w:rPr>
      </w:pPr>
    </w:p>
    <w:p w14:paraId="0D5E878A" w14:textId="032340AD" w:rsidR="00F02122" w:rsidRPr="005F5738" w:rsidRDefault="00F02122" w:rsidP="005F5738">
      <w:pPr>
        <w:pStyle w:val="ListParagraph"/>
        <w:keepNext/>
        <w:numPr>
          <w:ilvl w:val="0"/>
          <w:numId w:val="2"/>
        </w:numPr>
        <w:pBdr>
          <w:top w:val="nil"/>
          <w:left w:val="nil"/>
          <w:bottom w:val="nil"/>
          <w:right w:val="nil"/>
          <w:between w:val="nil"/>
        </w:pBdr>
        <w:jc w:val="both"/>
        <w:rPr>
          <w:iCs/>
        </w:rPr>
      </w:pPr>
      <w:r w:rsidRPr="005F5738">
        <w:rPr>
          <w:iCs/>
        </w:rPr>
        <w:t xml:space="preserve">Santos, K. S., &amp; Abreu, C. C. G. (2024). </w:t>
      </w:r>
      <w:proofErr w:type="spellStart"/>
      <w:r w:rsidRPr="005F5738">
        <w:rPr>
          <w:iCs/>
        </w:rPr>
        <w:t>Hipomineralização</w:t>
      </w:r>
      <w:proofErr w:type="spellEnd"/>
      <w:r w:rsidRPr="005F5738">
        <w:rPr>
          <w:iCs/>
        </w:rPr>
        <w:t xml:space="preserve"> molar </w:t>
      </w:r>
      <w:proofErr w:type="spellStart"/>
      <w:r w:rsidRPr="005F5738">
        <w:rPr>
          <w:iCs/>
        </w:rPr>
        <w:t>incisivo</w:t>
      </w:r>
      <w:proofErr w:type="spellEnd"/>
      <w:r w:rsidRPr="005F5738">
        <w:rPr>
          <w:iCs/>
        </w:rPr>
        <w:t xml:space="preserve">: </w:t>
      </w:r>
      <w:proofErr w:type="spellStart"/>
      <w:r w:rsidRPr="005F5738">
        <w:rPr>
          <w:iCs/>
        </w:rPr>
        <w:t>uma</w:t>
      </w:r>
      <w:proofErr w:type="spellEnd"/>
      <w:r w:rsidRPr="005F5738">
        <w:rPr>
          <w:iCs/>
        </w:rPr>
        <w:t xml:space="preserve"> </w:t>
      </w:r>
      <w:proofErr w:type="spellStart"/>
      <w:r w:rsidRPr="005F5738">
        <w:rPr>
          <w:iCs/>
        </w:rPr>
        <w:t>revisão</w:t>
      </w:r>
      <w:proofErr w:type="spellEnd"/>
      <w:r w:rsidRPr="005F5738">
        <w:rPr>
          <w:iCs/>
        </w:rPr>
        <w:t xml:space="preserve"> da </w:t>
      </w:r>
      <w:proofErr w:type="spellStart"/>
      <w:r w:rsidRPr="005F5738">
        <w:rPr>
          <w:iCs/>
        </w:rPr>
        <w:t>literatura</w:t>
      </w:r>
      <w:proofErr w:type="spellEnd"/>
      <w:r w:rsidRPr="005F5738">
        <w:rPr>
          <w:iCs/>
        </w:rPr>
        <w:t xml:space="preserve">. </w:t>
      </w:r>
      <w:proofErr w:type="spellStart"/>
      <w:r w:rsidRPr="005F5738">
        <w:rPr>
          <w:iCs/>
        </w:rPr>
        <w:t>Revista</w:t>
      </w:r>
      <w:proofErr w:type="spellEnd"/>
      <w:r w:rsidRPr="005F5738">
        <w:rPr>
          <w:iCs/>
        </w:rPr>
        <w:t xml:space="preserve"> </w:t>
      </w:r>
      <w:proofErr w:type="spellStart"/>
      <w:r w:rsidRPr="005F5738">
        <w:rPr>
          <w:iCs/>
        </w:rPr>
        <w:t>Ibero</w:t>
      </w:r>
      <w:proofErr w:type="spellEnd"/>
      <w:r w:rsidRPr="005F5738">
        <w:rPr>
          <w:iCs/>
        </w:rPr>
        <w:t xml:space="preserve">-Americana de </w:t>
      </w:r>
      <w:proofErr w:type="spellStart"/>
      <w:r w:rsidRPr="005F5738">
        <w:rPr>
          <w:iCs/>
        </w:rPr>
        <w:t>Humanidades</w:t>
      </w:r>
      <w:proofErr w:type="spellEnd"/>
      <w:r w:rsidRPr="005F5738">
        <w:rPr>
          <w:iCs/>
        </w:rPr>
        <w:t xml:space="preserve">, </w:t>
      </w:r>
      <w:proofErr w:type="spellStart"/>
      <w:r w:rsidRPr="005F5738">
        <w:rPr>
          <w:iCs/>
        </w:rPr>
        <w:t>Ciências</w:t>
      </w:r>
      <w:proofErr w:type="spellEnd"/>
      <w:r w:rsidRPr="005F5738">
        <w:rPr>
          <w:iCs/>
        </w:rPr>
        <w:t xml:space="preserve"> e </w:t>
      </w:r>
      <w:proofErr w:type="spellStart"/>
      <w:r w:rsidRPr="005F5738">
        <w:rPr>
          <w:iCs/>
        </w:rPr>
        <w:t>Educação</w:t>
      </w:r>
      <w:proofErr w:type="spellEnd"/>
      <w:r w:rsidRPr="005F5738">
        <w:rPr>
          <w:iCs/>
        </w:rPr>
        <w:t xml:space="preserve">, 10, 3187–3201. https://doi.org/10.51891/rease.v10i11.16714. </w:t>
      </w:r>
    </w:p>
    <w:p w14:paraId="5987D894" w14:textId="77777777" w:rsidR="005F5738" w:rsidRDefault="00F02122" w:rsidP="00F02122">
      <w:pPr>
        <w:pStyle w:val="ListParagraph"/>
        <w:keepNext/>
        <w:numPr>
          <w:ilvl w:val="0"/>
          <w:numId w:val="2"/>
        </w:numPr>
        <w:pBdr>
          <w:top w:val="nil"/>
          <w:left w:val="nil"/>
          <w:bottom w:val="nil"/>
          <w:right w:val="nil"/>
          <w:between w:val="nil"/>
        </w:pBdr>
        <w:jc w:val="both"/>
        <w:rPr>
          <w:iCs/>
        </w:rPr>
      </w:pPr>
      <w:r w:rsidRPr="005F5738">
        <w:rPr>
          <w:iCs/>
        </w:rPr>
        <w:t xml:space="preserve">Costa Pinto, G. (2024). </w:t>
      </w:r>
      <w:proofErr w:type="spellStart"/>
      <w:r w:rsidRPr="005F5738">
        <w:rPr>
          <w:iCs/>
        </w:rPr>
        <w:t>Defeitos</w:t>
      </w:r>
      <w:proofErr w:type="spellEnd"/>
      <w:r w:rsidRPr="005F5738">
        <w:rPr>
          <w:iCs/>
        </w:rPr>
        <w:t xml:space="preserve"> de </w:t>
      </w:r>
      <w:proofErr w:type="spellStart"/>
      <w:r w:rsidRPr="005F5738">
        <w:rPr>
          <w:iCs/>
        </w:rPr>
        <w:t>formação</w:t>
      </w:r>
      <w:proofErr w:type="spellEnd"/>
      <w:r w:rsidRPr="005F5738">
        <w:rPr>
          <w:iCs/>
        </w:rPr>
        <w:t xml:space="preserve"> do </w:t>
      </w:r>
      <w:proofErr w:type="spellStart"/>
      <w:r w:rsidRPr="005F5738">
        <w:rPr>
          <w:iCs/>
        </w:rPr>
        <w:t>esmalte</w:t>
      </w:r>
      <w:proofErr w:type="spellEnd"/>
      <w:r w:rsidRPr="005F5738">
        <w:rPr>
          <w:iCs/>
        </w:rPr>
        <w:t xml:space="preserve">: um </w:t>
      </w:r>
      <w:proofErr w:type="spellStart"/>
      <w:r w:rsidRPr="005F5738">
        <w:rPr>
          <w:iCs/>
        </w:rPr>
        <w:t>problema</w:t>
      </w:r>
      <w:proofErr w:type="spellEnd"/>
      <w:r w:rsidRPr="005F5738">
        <w:rPr>
          <w:iCs/>
        </w:rPr>
        <w:t xml:space="preserve"> </w:t>
      </w:r>
      <w:proofErr w:type="spellStart"/>
      <w:r w:rsidRPr="005F5738">
        <w:rPr>
          <w:iCs/>
        </w:rPr>
        <w:t>mais</w:t>
      </w:r>
      <w:proofErr w:type="spellEnd"/>
      <w:r w:rsidRPr="005F5738">
        <w:rPr>
          <w:iCs/>
        </w:rPr>
        <w:t xml:space="preserve"> grave que a </w:t>
      </w:r>
      <w:proofErr w:type="spellStart"/>
      <w:r w:rsidRPr="005F5738">
        <w:rPr>
          <w:iCs/>
        </w:rPr>
        <w:t>cárie</w:t>
      </w:r>
      <w:proofErr w:type="spellEnd"/>
      <w:r w:rsidRPr="005F5738">
        <w:rPr>
          <w:iCs/>
        </w:rPr>
        <w:t xml:space="preserve">? </w:t>
      </w:r>
      <w:proofErr w:type="spellStart"/>
      <w:r w:rsidRPr="005F5738">
        <w:rPr>
          <w:iCs/>
        </w:rPr>
        <w:t>Revista</w:t>
      </w:r>
      <w:proofErr w:type="spellEnd"/>
      <w:r w:rsidRPr="005F5738">
        <w:rPr>
          <w:iCs/>
        </w:rPr>
        <w:t xml:space="preserve"> </w:t>
      </w:r>
      <w:proofErr w:type="spellStart"/>
      <w:r w:rsidRPr="005F5738">
        <w:rPr>
          <w:iCs/>
        </w:rPr>
        <w:t>Materlife</w:t>
      </w:r>
      <w:proofErr w:type="spellEnd"/>
      <w:r w:rsidRPr="005F5738">
        <w:rPr>
          <w:iCs/>
        </w:rPr>
        <w:t xml:space="preserve">. Available from: https://materlife.com.br/defeitos-de-formacao-do-esmalte-um-problema-mais-grave-que-a-carie/ </w:t>
      </w:r>
    </w:p>
    <w:p w14:paraId="461C0E49" w14:textId="77777777" w:rsidR="005F5738" w:rsidRDefault="00F02122" w:rsidP="00F02122">
      <w:pPr>
        <w:pStyle w:val="ListParagraph"/>
        <w:keepNext/>
        <w:numPr>
          <w:ilvl w:val="0"/>
          <w:numId w:val="2"/>
        </w:numPr>
        <w:pBdr>
          <w:top w:val="nil"/>
          <w:left w:val="nil"/>
          <w:bottom w:val="nil"/>
          <w:right w:val="nil"/>
          <w:between w:val="nil"/>
        </w:pBdr>
        <w:jc w:val="both"/>
        <w:rPr>
          <w:iCs/>
        </w:rPr>
      </w:pPr>
      <w:r w:rsidRPr="005F5738">
        <w:rPr>
          <w:iCs/>
        </w:rPr>
        <w:t xml:space="preserve"> Portella, P. D., Dias, B. C., Ferreira, P., de Souza, J. F., </w:t>
      </w:r>
      <w:proofErr w:type="spellStart"/>
      <w:r w:rsidRPr="005F5738">
        <w:rPr>
          <w:iCs/>
        </w:rPr>
        <w:t>Wambier</w:t>
      </w:r>
      <w:proofErr w:type="spellEnd"/>
      <w:r w:rsidRPr="005F5738">
        <w:rPr>
          <w:iCs/>
        </w:rPr>
        <w:t xml:space="preserve">, L., Assunção, L. R. S., et al. (2022). </w:t>
      </w:r>
      <w:proofErr w:type="gramStart"/>
      <w:r w:rsidRPr="005F5738">
        <w:rPr>
          <w:iCs/>
        </w:rPr>
        <w:t>A</w:t>
      </w:r>
      <w:proofErr w:type="gramEnd"/>
      <w:r w:rsidRPr="005F5738">
        <w:rPr>
          <w:iCs/>
        </w:rPr>
        <w:t xml:space="preserve"> </w:t>
      </w:r>
      <w:proofErr w:type="spellStart"/>
      <w:r w:rsidRPr="005F5738">
        <w:rPr>
          <w:iCs/>
        </w:rPr>
        <w:t>associação</w:t>
      </w:r>
      <w:proofErr w:type="spellEnd"/>
      <w:r w:rsidRPr="005F5738">
        <w:rPr>
          <w:iCs/>
        </w:rPr>
        <w:t xml:space="preserve"> de </w:t>
      </w:r>
      <w:proofErr w:type="spellStart"/>
      <w:r w:rsidRPr="005F5738">
        <w:rPr>
          <w:iCs/>
        </w:rPr>
        <w:t>defeitos</w:t>
      </w:r>
      <w:proofErr w:type="spellEnd"/>
      <w:r w:rsidRPr="005F5738">
        <w:rPr>
          <w:iCs/>
        </w:rPr>
        <w:t xml:space="preserve"> do </w:t>
      </w:r>
      <w:proofErr w:type="spellStart"/>
      <w:r w:rsidRPr="005F5738">
        <w:rPr>
          <w:iCs/>
        </w:rPr>
        <w:t>desenvolvimento</w:t>
      </w:r>
      <w:proofErr w:type="spellEnd"/>
      <w:r w:rsidRPr="005F5738">
        <w:rPr>
          <w:iCs/>
        </w:rPr>
        <w:t xml:space="preserve"> do </w:t>
      </w:r>
      <w:proofErr w:type="spellStart"/>
      <w:r w:rsidRPr="005F5738">
        <w:rPr>
          <w:iCs/>
        </w:rPr>
        <w:t>esmalte</w:t>
      </w:r>
      <w:proofErr w:type="spellEnd"/>
      <w:r w:rsidRPr="005F5738">
        <w:rPr>
          <w:iCs/>
        </w:rPr>
        <w:t xml:space="preserve"> e as </w:t>
      </w:r>
      <w:proofErr w:type="spellStart"/>
      <w:r w:rsidRPr="005F5738">
        <w:rPr>
          <w:iCs/>
        </w:rPr>
        <w:t>consequências</w:t>
      </w:r>
      <w:proofErr w:type="spellEnd"/>
      <w:r w:rsidRPr="005F5738">
        <w:rPr>
          <w:iCs/>
        </w:rPr>
        <w:t xml:space="preserve"> </w:t>
      </w:r>
      <w:proofErr w:type="spellStart"/>
      <w:r w:rsidRPr="005F5738">
        <w:rPr>
          <w:iCs/>
        </w:rPr>
        <w:t>clínicas</w:t>
      </w:r>
      <w:proofErr w:type="spellEnd"/>
      <w:r w:rsidRPr="005F5738">
        <w:rPr>
          <w:iCs/>
        </w:rPr>
        <w:t xml:space="preserve"> </w:t>
      </w:r>
      <w:proofErr w:type="spellStart"/>
      <w:r w:rsidRPr="005F5738">
        <w:rPr>
          <w:iCs/>
        </w:rPr>
        <w:t>na</w:t>
      </w:r>
      <w:proofErr w:type="spellEnd"/>
      <w:r w:rsidRPr="005F5738">
        <w:rPr>
          <w:iCs/>
        </w:rPr>
        <w:t xml:space="preserve"> </w:t>
      </w:r>
      <w:proofErr w:type="spellStart"/>
      <w:r w:rsidRPr="005F5738">
        <w:rPr>
          <w:iCs/>
        </w:rPr>
        <w:t>dentição</w:t>
      </w:r>
      <w:proofErr w:type="spellEnd"/>
      <w:r w:rsidRPr="005F5738">
        <w:rPr>
          <w:iCs/>
        </w:rPr>
        <w:t xml:space="preserve"> </w:t>
      </w:r>
      <w:proofErr w:type="spellStart"/>
      <w:r w:rsidRPr="005F5738">
        <w:rPr>
          <w:iCs/>
        </w:rPr>
        <w:t>primária</w:t>
      </w:r>
      <w:proofErr w:type="spellEnd"/>
      <w:r w:rsidRPr="005F5738">
        <w:rPr>
          <w:iCs/>
        </w:rPr>
        <w:t xml:space="preserve">: </w:t>
      </w:r>
      <w:proofErr w:type="spellStart"/>
      <w:r w:rsidRPr="005F5738">
        <w:rPr>
          <w:iCs/>
        </w:rPr>
        <w:t>uma</w:t>
      </w:r>
      <w:proofErr w:type="spellEnd"/>
      <w:r w:rsidRPr="005F5738">
        <w:rPr>
          <w:iCs/>
        </w:rPr>
        <w:t xml:space="preserve"> </w:t>
      </w:r>
      <w:proofErr w:type="spellStart"/>
      <w:r w:rsidRPr="005F5738">
        <w:rPr>
          <w:iCs/>
        </w:rPr>
        <w:t>revisão</w:t>
      </w:r>
      <w:proofErr w:type="spellEnd"/>
      <w:r w:rsidRPr="005F5738">
        <w:rPr>
          <w:iCs/>
        </w:rPr>
        <w:t xml:space="preserve"> </w:t>
      </w:r>
      <w:proofErr w:type="spellStart"/>
      <w:r w:rsidRPr="005F5738">
        <w:rPr>
          <w:iCs/>
        </w:rPr>
        <w:t>sistemática</w:t>
      </w:r>
      <w:proofErr w:type="spellEnd"/>
      <w:r w:rsidRPr="005F5738">
        <w:rPr>
          <w:iCs/>
        </w:rPr>
        <w:t xml:space="preserve"> de </w:t>
      </w:r>
      <w:proofErr w:type="spellStart"/>
      <w:r w:rsidRPr="005F5738">
        <w:rPr>
          <w:iCs/>
        </w:rPr>
        <w:t>estudos</w:t>
      </w:r>
      <w:proofErr w:type="spellEnd"/>
      <w:r w:rsidRPr="005F5738">
        <w:rPr>
          <w:iCs/>
        </w:rPr>
        <w:t xml:space="preserve"> </w:t>
      </w:r>
      <w:proofErr w:type="spellStart"/>
      <w:r w:rsidRPr="005F5738">
        <w:rPr>
          <w:iCs/>
        </w:rPr>
        <w:t>observacionais</w:t>
      </w:r>
      <w:proofErr w:type="spellEnd"/>
      <w:r w:rsidRPr="005F5738">
        <w:rPr>
          <w:iCs/>
        </w:rPr>
        <w:t>. Pediatric Dentistry, 44, 330–339.</w:t>
      </w:r>
    </w:p>
    <w:p w14:paraId="01F25B5A" w14:textId="77777777" w:rsidR="005F5738" w:rsidRDefault="00F02122" w:rsidP="00F02122">
      <w:pPr>
        <w:pStyle w:val="ListParagraph"/>
        <w:keepNext/>
        <w:numPr>
          <w:ilvl w:val="0"/>
          <w:numId w:val="2"/>
        </w:numPr>
        <w:pBdr>
          <w:top w:val="nil"/>
          <w:left w:val="nil"/>
          <w:bottom w:val="nil"/>
          <w:right w:val="nil"/>
          <w:between w:val="nil"/>
        </w:pBdr>
        <w:jc w:val="both"/>
        <w:rPr>
          <w:iCs/>
        </w:rPr>
      </w:pPr>
      <w:r w:rsidRPr="005F5738">
        <w:rPr>
          <w:iCs/>
        </w:rPr>
        <w:t xml:space="preserve">Cunha, L. S., Lima, C. C., Braga, L. L. A., Andrade, C. M. O., Caixeta, D. A. F., Dietrich, L. (2020). </w:t>
      </w:r>
      <w:proofErr w:type="spellStart"/>
      <w:r w:rsidRPr="005F5738">
        <w:rPr>
          <w:iCs/>
        </w:rPr>
        <w:t>Hipomineralização</w:t>
      </w:r>
      <w:proofErr w:type="spellEnd"/>
      <w:r w:rsidRPr="005F5738">
        <w:rPr>
          <w:iCs/>
        </w:rPr>
        <w:t xml:space="preserve"> molar-</w:t>
      </w:r>
      <w:proofErr w:type="spellStart"/>
      <w:r w:rsidRPr="005F5738">
        <w:rPr>
          <w:iCs/>
        </w:rPr>
        <w:t>incisivo</w:t>
      </w:r>
      <w:proofErr w:type="spellEnd"/>
      <w:r w:rsidRPr="005F5738">
        <w:rPr>
          <w:iCs/>
        </w:rPr>
        <w:t xml:space="preserve"> </w:t>
      </w:r>
      <w:proofErr w:type="spellStart"/>
      <w:r w:rsidRPr="005F5738">
        <w:rPr>
          <w:iCs/>
        </w:rPr>
        <w:t>em</w:t>
      </w:r>
      <w:proofErr w:type="spellEnd"/>
      <w:r w:rsidRPr="005F5738">
        <w:rPr>
          <w:iCs/>
        </w:rPr>
        <w:t xml:space="preserve"> </w:t>
      </w:r>
      <w:proofErr w:type="spellStart"/>
      <w:r w:rsidRPr="005F5738">
        <w:rPr>
          <w:iCs/>
        </w:rPr>
        <w:t>dentes</w:t>
      </w:r>
      <w:proofErr w:type="spellEnd"/>
      <w:r w:rsidRPr="005F5738">
        <w:rPr>
          <w:iCs/>
        </w:rPr>
        <w:t xml:space="preserve"> </w:t>
      </w:r>
      <w:proofErr w:type="spellStart"/>
      <w:r w:rsidRPr="005F5738">
        <w:rPr>
          <w:iCs/>
        </w:rPr>
        <w:t>permanentes</w:t>
      </w:r>
      <w:proofErr w:type="spellEnd"/>
      <w:r w:rsidRPr="005F5738">
        <w:rPr>
          <w:iCs/>
        </w:rPr>
        <w:t xml:space="preserve">: </w:t>
      </w:r>
      <w:proofErr w:type="spellStart"/>
      <w:r w:rsidRPr="005F5738">
        <w:rPr>
          <w:iCs/>
        </w:rPr>
        <w:t>revisão</w:t>
      </w:r>
      <w:proofErr w:type="spellEnd"/>
      <w:r w:rsidRPr="005F5738">
        <w:rPr>
          <w:iCs/>
        </w:rPr>
        <w:t xml:space="preserve"> de </w:t>
      </w:r>
      <w:proofErr w:type="spellStart"/>
      <w:r w:rsidRPr="005F5738">
        <w:rPr>
          <w:iCs/>
        </w:rPr>
        <w:t>literatura</w:t>
      </w:r>
      <w:proofErr w:type="spellEnd"/>
      <w:r w:rsidRPr="005F5738">
        <w:rPr>
          <w:iCs/>
        </w:rPr>
        <w:t xml:space="preserve">. </w:t>
      </w:r>
      <w:proofErr w:type="spellStart"/>
      <w:r w:rsidRPr="005F5738">
        <w:rPr>
          <w:iCs/>
        </w:rPr>
        <w:t>Revista</w:t>
      </w:r>
      <w:proofErr w:type="spellEnd"/>
      <w:r w:rsidRPr="005F5738">
        <w:rPr>
          <w:iCs/>
        </w:rPr>
        <w:t xml:space="preserve"> </w:t>
      </w:r>
      <w:proofErr w:type="spellStart"/>
      <w:r w:rsidRPr="005F5738">
        <w:rPr>
          <w:iCs/>
        </w:rPr>
        <w:t>Sociedade</w:t>
      </w:r>
      <w:proofErr w:type="spellEnd"/>
      <w:r w:rsidRPr="005F5738">
        <w:rPr>
          <w:iCs/>
        </w:rPr>
        <w:t xml:space="preserve"> &amp; </w:t>
      </w:r>
      <w:proofErr w:type="spellStart"/>
      <w:r w:rsidRPr="005F5738">
        <w:rPr>
          <w:iCs/>
        </w:rPr>
        <w:t>Desenvolvimento</w:t>
      </w:r>
      <w:proofErr w:type="spellEnd"/>
      <w:r w:rsidRPr="005F5738">
        <w:rPr>
          <w:iCs/>
        </w:rPr>
        <w:t xml:space="preserve">, 9. https://doi.org/10.33448/rsd-v9i11.9653 </w:t>
      </w:r>
    </w:p>
    <w:p w14:paraId="39F1011E" w14:textId="77777777" w:rsidR="005F5738" w:rsidRDefault="00F02122" w:rsidP="00F02122">
      <w:pPr>
        <w:pStyle w:val="ListParagraph"/>
        <w:keepNext/>
        <w:numPr>
          <w:ilvl w:val="0"/>
          <w:numId w:val="2"/>
        </w:numPr>
        <w:pBdr>
          <w:top w:val="nil"/>
          <w:left w:val="nil"/>
          <w:bottom w:val="nil"/>
          <w:right w:val="nil"/>
          <w:between w:val="nil"/>
        </w:pBdr>
        <w:jc w:val="both"/>
        <w:rPr>
          <w:iCs/>
        </w:rPr>
      </w:pPr>
      <w:r w:rsidRPr="005F5738">
        <w:rPr>
          <w:iCs/>
        </w:rPr>
        <w:t xml:space="preserve">Oliveira, J., Silva de Lima, M., &amp; Salas, M. M. S. (2024). </w:t>
      </w:r>
      <w:proofErr w:type="spellStart"/>
      <w:r w:rsidRPr="005F5738">
        <w:rPr>
          <w:iCs/>
        </w:rPr>
        <w:t>Defeitos</w:t>
      </w:r>
      <w:proofErr w:type="spellEnd"/>
      <w:r w:rsidRPr="005F5738">
        <w:rPr>
          <w:iCs/>
        </w:rPr>
        <w:t xml:space="preserve"> de </w:t>
      </w:r>
      <w:proofErr w:type="spellStart"/>
      <w:r w:rsidRPr="005F5738">
        <w:rPr>
          <w:iCs/>
        </w:rPr>
        <w:t>desenvolvimento</w:t>
      </w:r>
      <w:proofErr w:type="spellEnd"/>
      <w:r w:rsidRPr="005F5738">
        <w:rPr>
          <w:iCs/>
        </w:rPr>
        <w:t xml:space="preserve"> de </w:t>
      </w:r>
      <w:proofErr w:type="spellStart"/>
      <w:r w:rsidRPr="005F5738">
        <w:rPr>
          <w:iCs/>
        </w:rPr>
        <w:t>esmalte</w:t>
      </w:r>
      <w:proofErr w:type="spellEnd"/>
      <w:r w:rsidRPr="005F5738">
        <w:rPr>
          <w:iCs/>
        </w:rPr>
        <w:t xml:space="preserve"> </w:t>
      </w:r>
      <w:proofErr w:type="spellStart"/>
      <w:r w:rsidRPr="005F5738">
        <w:rPr>
          <w:iCs/>
        </w:rPr>
        <w:t>não</w:t>
      </w:r>
      <w:proofErr w:type="spellEnd"/>
      <w:r w:rsidRPr="005F5738">
        <w:rPr>
          <w:iCs/>
        </w:rPr>
        <w:t xml:space="preserve"> </w:t>
      </w:r>
      <w:proofErr w:type="spellStart"/>
      <w:r w:rsidRPr="005F5738">
        <w:rPr>
          <w:iCs/>
        </w:rPr>
        <w:t>hereditários</w:t>
      </w:r>
      <w:proofErr w:type="spellEnd"/>
      <w:r w:rsidRPr="005F5738">
        <w:rPr>
          <w:iCs/>
        </w:rPr>
        <w:t xml:space="preserve"> </w:t>
      </w:r>
      <w:proofErr w:type="spellStart"/>
      <w:r w:rsidRPr="005F5738">
        <w:rPr>
          <w:iCs/>
        </w:rPr>
        <w:t>na</w:t>
      </w:r>
      <w:proofErr w:type="spellEnd"/>
      <w:r w:rsidRPr="005F5738">
        <w:rPr>
          <w:iCs/>
        </w:rPr>
        <w:t xml:space="preserve"> </w:t>
      </w:r>
      <w:proofErr w:type="spellStart"/>
      <w:r w:rsidRPr="005F5738">
        <w:rPr>
          <w:iCs/>
        </w:rPr>
        <w:t>dentição</w:t>
      </w:r>
      <w:proofErr w:type="spellEnd"/>
      <w:r w:rsidRPr="005F5738">
        <w:rPr>
          <w:iCs/>
        </w:rPr>
        <w:t xml:space="preserve"> </w:t>
      </w:r>
      <w:proofErr w:type="spellStart"/>
      <w:r w:rsidRPr="005F5738">
        <w:rPr>
          <w:iCs/>
        </w:rPr>
        <w:t>decídua</w:t>
      </w:r>
      <w:proofErr w:type="spellEnd"/>
      <w:r w:rsidRPr="005F5738">
        <w:rPr>
          <w:iCs/>
        </w:rPr>
        <w:t xml:space="preserve"> </w:t>
      </w:r>
      <w:proofErr w:type="spellStart"/>
      <w:r w:rsidRPr="005F5738">
        <w:rPr>
          <w:iCs/>
        </w:rPr>
        <w:t>como</w:t>
      </w:r>
      <w:proofErr w:type="spellEnd"/>
      <w:r w:rsidRPr="005F5738">
        <w:rPr>
          <w:iCs/>
        </w:rPr>
        <w:t xml:space="preserve"> </w:t>
      </w:r>
      <w:proofErr w:type="spellStart"/>
      <w:r w:rsidRPr="005F5738">
        <w:rPr>
          <w:iCs/>
        </w:rPr>
        <w:t>indicador</w:t>
      </w:r>
      <w:proofErr w:type="spellEnd"/>
      <w:r w:rsidRPr="005F5738">
        <w:rPr>
          <w:iCs/>
        </w:rPr>
        <w:t xml:space="preserve"> de </w:t>
      </w:r>
      <w:proofErr w:type="spellStart"/>
      <w:r w:rsidRPr="005F5738">
        <w:rPr>
          <w:iCs/>
        </w:rPr>
        <w:t>eventos</w:t>
      </w:r>
      <w:proofErr w:type="spellEnd"/>
      <w:r w:rsidRPr="005F5738">
        <w:rPr>
          <w:iCs/>
        </w:rPr>
        <w:t xml:space="preserve"> </w:t>
      </w:r>
      <w:proofErr w:type="spellStart"/>
      <w:r w:rsidRPr="005F5738">
        <w:rPr>
          <w:iCs/>
        </w:rPr>
        <w:t>negativos</w:t>
      </w:r>
      <w:proofErr w:type="spellEnd"/>
      <w:r w:rsidRPr="005F5738">
        <w:rPr>
          <w:iCs/>
        </w:rPr>
        <w:t xml:space="preserve"> de </w:t>
      </w:r>
      <w:proofErr w:type="spellStart"/>
      <w:r w:rsidRPr="005F5738">
        <w:rPr>
          <w:iCs/>
        </w:rPr>
        <w:t>vida</w:t>
      </w:r>
      <w:proofErr w:type="spellEnd"/>
      <w:r w:rsidRPr="005F5738">
        <w:rPr>
          <w:iCs/>
        </w:rPr>
        <w:t xml:space="preserve">: </w:t>
      </w:r>
      <w:proofErr w:type="spellStart"/>
      <w:r w:rsidRPr="005F5738">
        <w:rPr>
          <w:iCs/>
        </w:rPr>
        <w:t>uma</w:t>
      </w:r>
      <w:proofErr w:type="spellEnd"/>
      <w:r w:rsidRPr="005F5738">
        <w:rPr>
          <w:iCs/>
        </w:rPr>
        <w:t xml:space="preserve"> </w:t>
      </w:r>
      <w:proofErr w:type="spellStart"/>
      <w:r w:rsidRPr="005F5738">
        <w:rPr>
          <w:iCs/>
        </w:rPr>
        <w:t>revisão</w:t>
      </w:r>
      <w:proofErr w:type="spellEnd"/>
      <w:r w:rsidRPr="005F5738">
        <w:rPr>
          <w:iCs/>
        </w:rPr>
        <w:t xml:space="preserve"> </w:t>
      </w:r>
      <w:proofErr w:type="spellStart"/>
      <w:r w:rsidRPr="005F5738">
        <w:rPr>
          <w:iCs/>
        </w:rPr>
        <w:t>sistemática</w:t>
      </w:r>
      <w:proofErr w:type="spellEnd"/>
      <w:r w:rsidRPr="005F5738">
        <w:rPr>
          <w:iCs/>
        </w:rPr>
        <w:t xml:space="preserve">. </w:t>
      </w:r>
      <w:proofErr w:type="spellStart"/>
      <w:r w:rsidRPr="005F5738">
        <w:rPr>
          <w:iCs/>
        </w:rPr>
        <w:t>Revista</w:t>
      </w:r>
      <w:proofErr w:type="spellEnd"/>
      <w:r w:rsidRPr="005F5738">
        <w:rPr>
          <w:iCs/>
        </w:rPr>
        <w:t xml:space="preserve"> da </w:t>
      </w:r>
      <w:proofErr w:type="spellStart"/>
      <w:r w:rsidRPr="005F5738">
        <w:rPr>
          <w:iCs/>
        </w:rPr>
        <w:t>Faculdade</w:t>
      </w:r>
      <w:proofErr w:type="spellEnd"/>
      <w:r w:rsidRPr="005F5738">
        <w:rPr>
          <w:iCs/>
        </w:rPr>
        <w:t xml:space="preserve"> de </w:t>
      </w:r>
      <w:proofErr w:type="spellStart"/>
      <w:r w:rsidRPr="005F5738">
        <w:rPr>
          <w:iCs/>
        </w:rPr>
        <w:t>Odontologia</w:t>
      </w:r>
      <w:proofErr w:type="spellEnd"/>
      <w:r w:rsidRPr="005F5738">
        <w:rPr>
          <w:iCs/>
        </w:rPr>
        <w:t xml:space="preserve"> da UPF, 29. https://doi.org/10.5335/rfo.v29i1.15756 </w:t>
      </w:r>
    </w:p>
    <w:p w14:paraId="6AEABE11" w14:textId="77777777" w:rsidR="005F5738" w:rsidRDefault="00F02122" w:rsidP="00F02122">
      <w:pPr>
        <w:pStyle w:val="ListParagraph"/>
        <w:keepNext/>
        <w:numPr>
          <w:ilvl w:val="0"/>
          <w:numId w:val="2"/>
        </w:numPr>
        <w:pBdr>
          <w:top w:val="nil"/>
          <w:left w:val="nil"/>
          <w:bottom w:val="nil"/>
          <w:right w:val="nil"/>
          <w:between w:val="nil"/>
        </w:pBdr>
        <w:jc w:val="both"/>
        <w:rPr>
          <w:iCs/>
        </w:rPr>
      </w:pPr>
      <w:r w:rsidRPr="005F5738">
        <w:rPr>
          <w:iCs/>
        </w:rPr>
        <w:t xml:space="preserve">Silva, T. K. X. S., Moura de Lima, M. D., Lima, C. C. B., Silva de Moura, M., Lopes, T. S. P., Silva de Moura, J. S. et al. (2021). </w:t>
      </w:r>
      <w:proofErr w:type="spellStart"/>
      <w:r w:rsidRPr="005F5738">
        <w:rPr>
          <w:iCs/>
        </w:rPr>
        <w:t>Crianças</w:t>
      </w:r>
      <w:proofErr w:type="spellEnd"/>
      <w:r w:rsidRPr="005F5738">
        <w:rPr>
          <w:iCs/>
        </w:rPr>
        <w:t xml:space="preserve"> e </w:t>
      </w:r>
      <w:proofErr w:type="spellStart"/>
      <w:r w:rsidRPr="005F5738">
        <w:rPr>
          <w:iCs/>
        </w:rPr>
        <w:t>adolescentes</w:t>
      </w:r>
      <w:proofErr w:type="spellEnd"/>
      <w:r w:rsidRPr="005F5738">
        <w:rPr>
          <w:iCs/>
        </w:rPr>
        <w:t xml:space="preserve"> </w:t>
      </w:r>
      <w:proofErr w:type="spellStart"/>
      <w:r w:rsidRPr="005F5738">
        <w:rPr>
          <w:iCs/>
        </w:rPr>
        <w:t>quilombolas</w:t>
      </w:r>
      <w:proofErr w:type="spellEnd"/>
      <w:r w:rsidRPr="005F5738">
        <w:rPr>
          <w:iCs/>
        </w:rPr>
        <w:t xml:space="preserve"> </w:t>
      </w:r>
      <w:proofErr w:type="spellStart"/>
      <w:r w:rsidRPr="005F5738">
        <w:rPr>
          <w:iCs/>
        </w:rPr>
        <w:t>apresentam</w:t>
      </w:r>
      <w:proofErr w:type="spellEnd"/>
      <w:r w:rsidRPr="005F5738">
        <w:rPr>
          <w:iCs/>
        </w:rPr>
        <w:t xml:space="preserve"> </w:t>
      </w:r>
      <w:proofErr w:type="spellStart"/>
      <w:r w:rsidRPr="005F5738">
        <w:rPr>
          <w:iCs/>
        </w:rPr>
        <w:t>alta</w:t>
      </w:r>
      <w:proofErr w:type="spellEnd"/>
      <w:r w:rsidRPr="005F5738">
        <w:rPr>
          <w:iCs/>
        </w:rPr>
        <w:t xml:space="preserve"> </w:t>
      </w:r>
      <w:proofErr w:type="spellStart"/>
      <w:r w:rsidRPr="005F5738">
        <w:rPr>
          <w:iCs/>
        </w:rPr>
        <w:t>prevalência</w:t>
      </w:r>
      <w:proofErr w:type="spellEnd"/>
      <w:r w:rsidRPr="005F5738">
        <w:rPr>
          <w:iCs/>
        </w:rPr>
        <w:t xml:space="preserve"> de </w:t>
      </w:r>
      <w:proofErr w:type="spellStart"/>
      <w:r w:rsidRPr="005F5738">
        <w:rPr>
          <w:iCs/>
        </w:rPr>
        <w:t>defeitos</w:t>
      </w:r>
      <w:proofErr w:type="spellEnd"/>
      <w:r w:rsidRPr="005F5738">
        <w:rPr>
          <w:iCs/>
        </w:rPr>
        <w:t xml:space="preserve"> de </w:t>
      </w:r>
      <w:proofErr w:type="spellStart"/>
      <w:r w:rsidRPr="005F5738">
        <w:rPr>
          <w:iCs/>
        </w:rPr>
        <w:t>desenvolvimento</w:t>
      </w:r>
      <w:proofErr w:type="spellEnd"/>
      <w:r w:rsidRPr="005F5738">
        <w:rPr>
          <w:iCs/>
        </w:rPr>
        <w:t xml:space="preserve"> do </w:t>
      </w:r>
      <w:proofErr w:type="spellStart"/>
      <w:r w:rsidRPr="005F5738">
        <w:rPr>
          <w:iCs/>
        </w:rPr>
        <w:t>esmalte</w:t>
      </w:r>
      <w:proofErr w:type="spellEnd"/>
      <w:r w:rsidRPr="005F5738">
        <w:rPr>
          <w:iCs/>
        </w:rPr>
        <w:t xml:space="preserve">. </w:t>
      </w:r>
      <w:proofErr w:type="spellStart"/>
      <w:r w:rsidRPr="005F5738">
        <w:rPr>
          <w:iCs/>
        </w:rPr>
        <w:t>Ciência</w:t>
      </w:r>
      <w:proofErr w:type="spellEnd"/>
      <w:r w:rsidRPr="005F5738">
        <w:rPr>
          <w:iCs/>
        </w:rPr>
        <w:t xml:space="preserve"> &amp; </w:t>
      </w:r>
      <w:proofErr w:type="spellStart"/>
      <w:r w:rsidRPr="005F5738">
        <w:rPr>
          <w:iCs/>
        </w:rPr>
        <w:lastRenderedPageBreak/>
        <w:t>Saúde</w:t>
      </w:r>
      <w:proofErr w:type="spellEnd"/>
      <w:r w:rsidRPr="005F5738">
        <w:rPr>
          <w:iCs/>
        </w:rPr>
        <w:t xml:space="preserve"> </w:t>
      </w:r>
      <w:proofErr w:type="spellStart"/>
      <w:r w:rsidRPr="005F5738">
        <w:rPr>
          <w:iCs/>
        </w:rPr>
        <w:t>Coletiva</w:t>
      </w:r>
      <w:proofErr w:type="spellEnd"/>
      <w:r w:rsidRPr="005F5738">
        <w:rPr>
          <w:iCs/>
        </w:rPr>
        <w:t xml:space="preserve">, 26, 2889–2898. https://doi.org/10.1590/1413-81232021267.12762019 </w:t>
      </w:r>
    </w:p>
    <w:p w14:paraId="36AA7A48" w14:textId="77777777" w:rsidR="005F5738" w:rsidRDefault="00F02122" w:rsidP="00F02122">
      <w:pPr>
        <w:pStyle w:val="ListParagraph"/>
        <w:keepNext/>
        <w:numPr>
          <w:ilvl w:val="0"/>
          <w:numId w:val="2"/>
        </w:numPr>
        <w:pBdr>
          <w:top w:val="nil"/>
          <w:left w:val="nil"/>
          <w:bottom w:val="nil"/>
          <w:right w:val="nil"/>
          <w:between w:val="nil"/>
        </w:pBdr>
        <w:jc w:val="both"/>
        <w:rPr>
          <w:iCs/>
        </w:rPr>
      </w:pPr>
      <w:proofErr w:type="spellStart"/>
      <w:r w:rsidRPr="005F5738">
        <w:rPr>
          <w:iCs/>
        </w:rPr>
        <w:t>Becam</w:t>
      </w:r>
      <w:proofErr w:type="spellEnd"/>
      <w:r w:rsidRPr="005F5738">
        <w:rPr>
          <w:iCs/>
        </w:rPr>
        <w:t xml:space="preserve">, G., &amp; Chevalier, T. (2019). Neandertal features of the deciduous and permanent teeth from </w:t>
      </w:r>
      <w:proofErr w:type="spellStart"/>
      <w:r w:rsidRPr="005F5738">
        <w:rPr>
          <w:iCs/>
        </w:rPr>
        <w:t>Portel</w:t>
      </w:r>
      <w:proofErr w:type="spellEnd"/>
      <w:r w:rsidRPr="005F5738">
        <w:rPr>
          <w:iCs/>
        </w:rPr>
        <w:t>-Ouest Cave (</w:t>
      </w:r>
      <w:proofErr w:type="spellStart"/>
      <w:r w:rsidRPr="005F5738">
        <w:rPr>
          <w:iCs/>
        </w:rPr>
        <w:t>Ariege</w:t>
      </w:r>
      <w:proofErr w:type="spellEnd"/>
      <w:r w:rsidRPr="005F5738">
        <w:rPr>
          <w:iCs/>
        </w:rPr>
        <w:t xml:space="preserve">, France). American Journal of Physical Anthropology, 168, 45–49. https://doi.org/10.1002/ajpa.23719 </w:t>
      </w:r>
    </w:p>
    <w:p w14:paraId="76B36972" w14:textId="77777777" w:rsidR="00432A9F" w:rsidRDefault="00F02122" w:rsidP="00F02122">
      <w:pPr>
        <w:pStyle w:val="ListParagraph"/>
        <w:keepNext/>
        <w:numPr>
          <w:ilvl w:val="0"/>
          <w:numId w:val="2"/>
        </w:numPr>
        <w:pBdr>
          <w:top w:val="nil"/>
          <w:left w:val="nil"/>
          <w:bottom w:val="nil"/>
          <w:right w:val="nil"/>
          <w:between w:val="nil"/>
        </w:pBdr>
        <w:jc w:val="both"/>
        <w:rPr>
          <w:iCs/>
        </w:rPr>
      </w:pPr>
      <w:r w:rsidRPr="005F5738">
        <w:rPr>
          <w:iCs/>
        </w:rPr>
        <w:t>Dulla, J. A., &amp; Meyer-</w:t>
      </w:r>
      <w:proofErr w:type="spellStart"/>
      <w:r w:rsidRPr="005F5738">
        <w:rPr>
          <w:iCs/>
        </w:rPr>
        <w:t>Lueckel</w:t>
      </w:r>
      <w:proofErr w:type="spellEnd"/>
      <w:r w:rsidRPr="005F5738">
        <w:rPr>
          <w:iCs/>
        </w:rPr>
        <w:t xml:space="preserve">, H. (2021). Molar-Incisor </w:t>
      </w:r>
      <w:proofErr w:type="spellStart"/>
      <w:r w:rsidRPr="005F5738">
        <w:rPr>
          <w:iCs/>
        </w:rPr>
        <w:t>Hypomineralisation</w:t>
      </w:r>
      <w:proofErr w:type="spellEnd"/>
      <w:r w:rsidRPr="005F5738">
        <w:rPr>
          <w:iCs/>
        </w:rPr>
        <w:t xml:space="preserve">: narrative review on etiology, epidemiology, diagnostics and treatment decision. Swiss Dental Journal, 131. https://doi.org/10.61872/sdj-2021-11-763. </w:t>
      </w:r>
    </w:p>
    <w:p w14:paraId="7B3741F1" w14:textId="77777777" w:rsidR="00432A9F" w:rsidRDefault="00F02122" w:rsidP="00F02122">
      <w:pPr>
        <w:pStyle w:val="ListParagraph"/>
        <w:keepNext/>
        <w:numPr>
          <w:ilvl w:val="0"/>
          <w:numId w:val="2"/>
        </w:numPr>
        <w:pBdr>
          <w:top w:val="nil"/>
          <w:left w:val="nil"/>
          <w:bottom w:val="nil"/>
          <w:right w:val="nil"/>
          <w:between w:val="nil"/>
        </w:pBdr>
        <w:jc w:val="both"/>
        <w:rPr>
          <w:iCs/>
        </w:rPr>
      </w:pPr>
      <w:proofErr w:type="spellStart"/>
      <w:r w:rsidRPr="00432A9F">
        <w:rPr>
          <w:iCs/>
        </w:rPr>
        <w:t>Inchingolo</w:t>
      </w:r>
      <w:proofErr w:type="spellEnd"/>
      <w:r w:rsidRPr="00432A9F">
        <w:rPr>
          <w:iCs/>
        </w:rPr>
        <w:t xml:space="preserve">, A. M., </w:t>
      </w:r>
      <w:proofErr w:type="spellStart"/>
      <w:r w:rsidRPr="00432A9F">
        <w:rPr>
          <w:iCs/>
        </w:rPr>
        <w:t>Inchingolo</w:t>
      </w:r>
      <w:proofErr w:type="spellEnd"/>
      <w:r w:rsidRPr="00432A9F">
        <w:rPr>
          <w:iCs/>
        </w:rPr>
        <w:t xml:space="preserve">, A. D., Viapiano, F., </w:t>
      </w:r>
      <w:proofErr w:type="spellStart"/>
      <w:r w:rsidRPr="00432A9F">
        <w:rPr>
          <w:iCs/>
        </w:rPr>
        <w:t>Ciocia</w:t>
      </w:r>
      <w:proofErr w:type="spellEnd"/>
      <w:r w:rsidRPr="00432A9F">
        <w:rPr>
          <w:iCs/>
        </w:rPr>
        <w:t xml:space="preserve">, A. M., Ferrara, I., Netti, A., et al. (2023). Treatment approaches to molar incisor </w:t>
      </w:r>
      <w:proofErr w:type="spellStart"/>
      <w:r w:rsidRPr="00432A9F">
        <w:rPr>
          <w:iCs/>
        </w:rPr>
        <w:t>hypomineralization</w:t>
      </w:r>
      <w:proofErr w:type="spellEnd"/>
      <w:r w:rsidRPr="00432A9F">
        <w:rPr>
          <w:iCs/>
        </w:rPr>
        <w:t xml:space="preserve">: a systematic review. Journal of Clinical Medicine, 12, 7194. https://doi.org/10.3390/jcm12227194 </w:t>
      </w:r>
    </w:p>
    <w:p w14:paraId="62DE3945" w14:textId="77777777" w:rsidR="00432A9F" w:rsidRDefault="00F02122" w:rsidP="00F02122">
      <w:pPr>
        <w:pStyle w:val="ListParagraph"/>
        <w:keepNext/>
        <w:numPr>
          <w:ilvl w:val="0"/>
          <w:numId w:val="2"/>
        </w:numPr>
        <w:pBdr>
          <w:top w:val="nil"/>
          <w:left w:val="nil"/>
          <w:bottom w:val="nil"/>
          <w:right w:val="nil"/>
          <w:between w:val="nil"/>
        </w:pBdr>
        <w:jc w:val="both"/>
        <w:rPr>
          <w:iCs/>
        </w:rPr>
      </w:pPr>
      <w:proofErr w:type="spellStart"/>
      <w:r w:rsidRPr="00432A9F">
        <w:rPr>
          <w:iCs/>
        </w:rPr>
        <w:t>Weerheijm</w:t>
      </w:r>
      <w:proofErr w:type="spellEnd"/>
      <w:r w:rsidRPr="00432A9F">
        <w:rPr>
          <w:iCs/>
        </w:rPr>
        <w:t xml:space="preserve">, K. L., Duggal, M., </w:t>
      </w:r>
      <w:proofErr w:type="spellStart"/>
      <w:r w:rsidRPr="00432A9F">
        <w:rPr>
          <w:iCs/>
        </w:rPr>
        <w:t>Mejàre</w:t>
      </w:r>
      <w:proofErr w:type="spellEnd"/>
      <w:r w:rsidRPr="00432A9F">
        <w:rPr>
          <w:iCs/>
        </w:rPr>
        <w:t xml:space="preserve">, I., </w:t>
      </w:r>
      <w:proofErr w:type="spellStart"/>
      <w:r w:rsidRPr="00432A9F">
        <w:rPr>
          <w:iCs/>
        </w:rPr>
        <w:t>Papagiannoulis</w:t>
      </w:r>
      <w:proofErr w:type="spellEnd"/>
      <w:r w:rsidRPr="00432A9F">
        <w:rPr>
          <w:iCs/>
        </w:rPr>
        <w:t xml:space="preserve">, L., Koch, G., Martens, L. C., et al. (2003). Judgement criteria for molar incisor </w:t>
      </w:r>
      <w:proofErr w:type="spellStart"/>
      <w:r w:rsidRPr="00432A9F">
        <w:rPr>
          <w:iCs/>
        </w:rPr>
        <w:t>hypomineralisation</w:t>
      </w:r>
      <w:proofErr w:type="spellEnd"/>
      <w:r w:rsidRPr="00432A9F">
        <w:rPr>
          <w:iCs/>
        </w:rPr>
        <w:t xml:space="preserve"> (MIH) in epidemiologic studies: a summary of the European meeting on MIH held in Athens, 2003. European Journal of </w:t>
      </w:r>
      <w:proofErr w:type="spellStart"/>
      <w:r w:rsidRPr="00432A9F">
        <w:rPr>
          <w:iCs/>
        </w:rPr>
        <w:t>Paediatric</w:t>
      </w:r>
      <w:proofErr w:type="spellEnd"/>
      <w:r w:rsidRPr="00432A9F">
        <w:rPr>
          <w:iCs/>
        </w:rPr>
        <w:t xml:space="preserve"> Dentistry, 4, 110–113.</w:t>
      </w:r>
    </w:p>
    <w:p w14:paraId="53D6F2A7" w14:textId="56E9FA08" w:rsidR="00432A9F" w:rsidRDefault="00F02122" w:rsidP="00F02122">
      <w:pPr>
        <w:pStyle w:val="ListParagraph"/>
        <w:keepNext/>
        <w:numPr>
          <w:ilvl w:val="0"/>
          <w:numId w:val="2"/>
        </w:numPr>
        <w:pBdr>
          <w:top w:val="nil"/>
          <w:left w:val="nil"/>
          <w:bottom w:val="nil"/>
          <w:right w:val="nil"/>
          <w:between w:val="nil"/>
        </w:pBdr>
        <w:jc w:val="both"/>
        <w:rPr>
          <w:iCs/>
        </w:rPr>
      </w:pPr>
      <w:r w:rsidRPr="00432A9F">
        <w:rPr>
          <w:iCs/>
        </w:rPr>
        <w:t xml:space="preserve">Soares, L. S., Medeiros, R. C. F., Fernandes, E. C., Santos, P. B. (2024). Los 100 </w:t>
      </w:r>
      <w:proofErr w:type="spellStart"/>
      <w:r w:rsidRPr="00432A9F">
        <w:rPr>
          <w:iCs/>
        </w:rPr>
        <w:t>artículos</w:t>
      </w:r>
      <w:proofErr w:type="spellEnd"/>
      <w:r w:rsidRPr="00432A9F">
        <w:rPr>
          <w:iCs/>
        </w:rPr>
        <w:t xml:space="preserve"> </w:t>
      </w:r>
      <w:proofErr w:type="spellStart"/>
      <w:r w:rsidRPr="00432A9F">
        <w:rPr>
          <w:iCs/>
        </w:rPr>
        <w:t>más</w:t>
      </w:r>
      <w:proofErr w:type="spellEnd"/>
      <w:r w:rsidRPr="00432A9F">
        <w:rPr>
          <w:iCs/>
        </w:rPr>
        <w:t xml:space="preserve"> </w:t>
      </w:r>
      <w:proofErr w:type="spellStart"/>
      <w:r w:rsidRPr="00432A9F">
        <w:rPr>
          <w:iCs/>
        </w:rPr>
        <w:t>citados</w:t>
      </w:r>
      <w:proofErr w:type="spellEnd"/>
      <w:r w:rsidRPr="00432A9F">
        <w:rPr>
          <w:iCs/>
        </w:rPr>
        <w:t xml:space="preserve"> </w:t>
      </w:r>
      <w:proofErr w:type="spellStart"/>
      <w:r w:rsidRPr="00432A9F">
        <w:rPr>
          <w:iCs/>
        </w:rPr>
        <w:t>sobre</w:t>
      </w:r>
      <w:proofErr w:type="spellEnd"/>
      <w:r w:rsidRPr="00432A9F">
        <w:rPr>
          <w:iCs/>
        </w:rPr>
        <w:t xml:space="preserve"> </w:t>
      </w:r>
      <w:proofErr w:type="spellStart"/>
      <w:r w:rsidRPr="00432A9F">
        <w:rPr>
          <w:iCs/>
        </w:rPr>
        <w:t>hipomineralización</w:t>
      </w:r>
      <w:proofErr w:type="spellEnd"/>
      <w:r w:rsidRPr="00432A9F">
        <w:rPr>
          <w:iCs/>
        </w:rPr>
        <w:t xml:space="preserve"> molar-</w:t>
      </w:r>
      <w:proofErr w:type="spellStart"/>
      <w:r w:rsidRPr="00432A9F">
        <w:rPr>
          <w:iCs/>
        </w:rPr>
        <w:t>incisivo</w:t>
      </w:r>
      <w:proofErr w:type="spellEnd"/>
      <w:r w:rsidRPr="00432A9F">
        <w:rPr>
          <w:iCs/>
        </w:rPr>
        <w:t xml:space="preserve">: un </w:t>
      </w:r>
      <w:proofErr w:type="spellStart"/>
      <w:r w:rsidRPr="00432A9F">
        <w:rPr>
          <w:iCs/>
        </w:rPr>
        <w:t>análisis</w:t>
      </w:r>
      <w:proofErr w:type="spellEnd"/>
      <w:r w:rsidRPr="00432A9F">
        <w:rPr>
          <w:iCs/>
        </w:rPr>
        <w:t xml:space="preserve"> </w:t>
      </w:r>
      <w:proofErr w:type="spellStart"/>
      <w:r w:rsidRPr="00432A9F">
        <w:rPr>
          <w:iCs/>
        </w:rPr>
        <w:t>bibliométrico</w:t>
      </w:r>
      <w:proofErr w:type="spellEnd"/>
      <w:r w:rsidRPr="00432A9F">
        <w:rPr>
          <w:iCs/>
        </w:rPr>
        <w:t xml:space="preserve">. </w:t>
      </w:r>
      <w:proofErr w:type="spellStart"/>
      <w:r w:rsidRPr="00432A9F">
        <w:rPr>
          <w:iCs/>
        </w:rPr>
        <w:t>Revista</w:t>
      </w:r>
      <w:proofErr w:type="spellEnd"/>
      <w:r w:rsidRPr="00432A9F">
        <w:rPr>
          <w:iCs/>
        </w:rPr>
        <w:t xml:space="preserve"> de </w:t>
      </w:r>
      <w:proofErr w:type="spellStart"/>
      <w:r w:rsidRPr="00432A9F">
        <w:rPr>
          <w:iCs/>
        </w:rPr>
        <w:t>Odontopediatría</w:t>
      </w:r>
      <w:proofErr w:type="spellEnd"/>
      <w:r w:rsidRPr="00432A9F">
        <w:rPr>
          <w:iCs/>
        </w:rPr>
        <w:t xml:space="preserve"> </w:t>
      </w:r>
      <w:proofErr w:type="spellStart"/>
      <w:r w:rsidRPr="00432A9F">
        <w:rPr>
          <w:iCs/>
        </w:rPr>
        <w:t>Latinoamericana</w:t>
      </w:r>
      <w:proofErr w:type="spellEnd"/>
      <w:r w:rsidRPr="00432A9F">
        <w:rPr>
          <w:iCs/>
        </w:rPr>
        <w:t xml:space="preserve">, 14, e-233628. </w:t>
      </w:r>
      <w:hyperlink r:id="rId26" w:history="1">
        <w:r w:rsidR="00432A9F" w:rsidRPr="00170648">
          <w:rPr>
            <w:rStyle w:val="Hyperlink"/>
            <w:iCs/>
          </w:rPr>
          <w:t>https://doi.org/10.47990/961ty669</w:t>
        </w:r>
      </w:hyperlink>
      <w:r w:rsidR="00432A9F">
        <w:rPr>
          <w:iCs/>
        </w:rPr>
        <w:t>.</w:t>
      </w:r>
    </w:p>
    <w:p w14:paraId="50BE42DD" w14:textId="7B7AFEC5" w:rsidR="00432A9F" w:rsidRDefault="00F02122" w:rsidP="00F02122">
      <w:pPr>
        <w:pStyle w:val="ListParagraph"/>
        <w:keepNext/>
        <w:numPr>
          <w:ilvl w:val="0"/>
          <w:numId w:val="2"/>
        </w:numPr>
        <w:pBdr>
          <w:top w:val="nil"/>
          <w:left w:val="nil"/>
          <w:bottom w:val="nil"/>
          <w:right w:val="nil"/>
          <w:between w:val="nil"/>
        </w:pBdr>
        <w:jc w:val="both"/>
        <w:rPr>
          <w:iCs/>
        </w:rPr>
      </w:pPr>
      <w:r w:rsidRPr="00432A9F">
        <w:rPr>
          <w:iCs/>
        </w:rPr>
        <w:t xml:space="preserve">Mazur, M., </w:t>
      </w:r>
      <w:proofErr w:type="spellStart"/>
      <w:r w:rsidRPr="00432A9F">
        <w:rPr>
          <w:iCs/>
        </w:rPr>
        <w:t>Corridore</w:t>
      </w:r>
      <w:proofErr w:type="spellEnd"/>
      <w:r w:rsidRPr="00432A9F">
        <w:rPr>
          <w:iCs/>
        </w:rPr>
        <w:t xml:space="preserve">, D., </w:t>
      </w:r>
      <w:proofErr w:type="spellStart"/>
      <w:r w:rsidRPr="00432A9F">
        <w:rPr>
          <w:iCs/>
        </w:rPr>
        <w:t>Ndokaj</w:t>
      </w:r>
      <w:proofErr w:type="spellEnd"/>
      <w:r w:rsidRPr="00432A9F">
        <w:rPr>
          <w:iCs/>
        </w:rPr>
        <w:t xml:space="preserve">, A., Romano, A. Vozza, I., </w:t>
      </w:r>
      <w:proofErr w:type="spellStart"/>
      <w:r w:rsidRPr="00432A9F">
        <w:rPr>
          <w:iCs/>
        </w:rPr>
        <w:t>Babajko</w:t>
      </w:r>
      <w:proofErr w:type="spellEnd"/>
      <w:r w:rsidRPr="00432A9F">
        <w:rPr>
          <w:iCs/>
        </w:rPr>
        <w:t xml:space="preserve">, S., et al. (2023). MIH e </w:t>
      </w:r>
      <w:proofErr w:type="spellStart"/>
      <w:r w:rsidRPr="00432A9F">
        <w:rPr>
          <w:iCs/>
        </w:rPr>
        <w:t>cárie</w:t>
      </w:r>
      <w:proofErr w:type="spellEnd"/>
      <w:r w:rsidRPr="00432A9F">
        <w:rPr>
          <w:iCs/>
        </w:rPr>
        <w:t xml:space="preserve"> </w:t>
      </w:r>
      <w:proofErr w:type="spellStart"/>
      <w:r w:rsidRPr="00432A9F">
        <w:rPr>
          <w:iCs/>
        </w:rPr>
        <w:t>dentária</w:t>
      </w:r>
      <w:proofErr w:type="spellEnd"/>
      <w:r w:rsidRPr="00432A9F">
        <w:rPr>
          <w:iCs/>
        </w:rPr>
        <w:t xml:space="preserve"> </w:t>
      </w:r>
      <w:proofErr w:type="spellStart"/>
      <w:r w:rsidRPr="00432A9F">
        <w:rPr>
          <w:iCs/>
        </w:rPr>
        <w:t>em</w:t>
      </w:r>
      <w:proofErr w:type="spellEnd"/>
      <w:r w:rsidRPr="00432A9F">
        <w:rPr>
          <w:iCs/>
        </w:rPr>
        <w:t xml:space="preserve"> </w:t>
      </w:r>
      <w:proofErr w:type="spellStart"/>
      <w:r w:rsidRPr="00432A9F">
        <w:rPr>
          <w:iCs/>
        </w:rPr>
        <w:t>crianças</w:t>
      </w:r>
      <w:proofErr w:type="spellEnd"/>
      <w:r w:rsidRPr="00432A9F">
        <w:rPr>
          <w:iCs/>
        </w:rPr>
        <w:t xml:space="preserve">: </w:t>
      </w:r>
      <w:proofErr w:type="spellStart"/>
      <w:r w:rsidRPr="00432A9F">
        <w:rPr>
          <w:iCs/>
        </w:rPr>
        <w:t>uma</w:t>
      </w:r>
      <w:proofErr w:type="spellEnd"/>
      <w:r w:rsidRPr="00432A9F">
        <w:rPr>
          <w:iCs/>
        </w:rPr>
        <w:t xml:space="preserve"> </w:t>
      </w:r>
      <w:proofErr w:type="spellStart"/>
      <w:r w:rsidRPr="00432A9F">
        <w:rPr>
          <w:iCs/>
        </w:rPr>
        <w:t>revisão</w:t>
      </w:r>
      <w:proofErr w:type="spellEnd"/>
      <w:r w:rsidRPr="00432A9F">
        <w:rPr>
          <w:iCs/>
        </w:rPr>
        <w:t xml:space="preserve"> </w:t>
      </w:r>
      <w:proofErr w:type="spellStart"/>
      <w:r w:rsidRPr="00432A9F">
        <w:rPr>
          <w:iCs/>
        </w:rPr>
        <w:t>sistemática</w:t>
      </w:r>
      <w:proofErr w:type="spellEnd"/>
      <w:r w:rsidRPr="00432A9F">
        <w:rPr>
          <w:iCs/>
        </w:rPr>
        <w:t xml:space="preserve"> e meta-</w:t>
      </w:r>
      <w:proofErr w:type="spellStart"/>
      <w:r w:rsidRPr="00432A9F">
        <w:rPr>
          <w:iCs/>
        </w:rPr>
        <w:t>análise</w:t>
      </w:r>
      <w:proofErr w:type="spellEnd"/>
      <w:r w:rsidRPr="00432A9F">
        <w:rPr>
          <w:iCs/>
        </w:rPr>
        <w:t xml:space="preserve">. Healthcare, 11, 1795. </w:t>
      </w:r>
      <w:hyperlink r:id="rId27" w:history="1">
        <w:r w:rsidR="00432A9F" w:rsidRPr="00170648">
          <w:rPr>
            <w:rStyle w:val="Hyperlink"/>
            <w:iCs/>
          </w:rPr>
          <w:t>https://doi.org/10.3390/healthcare11121795</w:t>
        </w:r>
      </w:hyperlink>
      <w:r w:rsidRPr="00432A9F">
        <w:rPr>
          <w:iCs/>
        </w:rPr>
        <w:t>.</w:t>
      </w:r>
    </w:p>
    <w:p w14:paraId="7F792F1D" w14:textId="53A300F6" w:rsidR="00432A9F" w:rsidRDefault="00F02122" w:rsidP="00F02122">
      <w:pPr>
        <w:pStyle w:val="ListParagraph"/>
        <w:keepNext/>
        <w:numPr>
          <w:ilvl w:val="0"/>
          <w:numId w:val="2"/>
        </w:numPr>
        <w:pBdr>
          <w:top w:val="nil"/>
          <w:left w:val="nil"/>
          <w:bottom w:val="nil"/>
          <w:right w:val="nil"/>
          <w:between w:val="nil"/>
        </w:pBdr>
        <w:jc w:val="both"/>
        <w:rPr>
          <w:iCs/>
        </w:rPr>
      </w:pPr>
      <w:r w:rsidRPr="00432A9F">
        <w:rPr>
          <w:iCs/>
        </w:rPr>
        <w:t xml:space="preserve">França, T. K. X. S., Lima, M. de D. M. </w:t>
      </w:r>
      <w:proofErr w:type="gramStart"/>
      <w:r w:rsidRPr="00432A9F">
        <w:rPr>
          <w:iCs/>
        </w:rPr>
        <w:t>de .</w:t>
      </w:r>
      <w:proofErr w:type="gramEnd"/>
      <w:r w:rsidRPr="00432A9F">
        <w:rPr>
          <w:iCs/>
        </w:rPr>
        <w:t xml:space="preserve">, Lima, C. C. B., Moura, M. S. de ., Lopes, T. S. P., Moura, J. S. S. de ., &amp; Moura, L. de F. A. de D.. (2021). </w:t>
      </w:r>
      <w:proofErr w:type="spellStart"/>
      <w:r w:rsidRPr="00432A9F">
        <w:rPr>
          <w:iCs/>
        </w:rPr>
        <w:t>Crianças</w:t>
      </w:r>
      <w:proofErr w:type="spellEnd"/>
      <w:r w:rsidRPr="00432A9F">
        <w:rPr>
          <w:iCs/>
        </w:rPr>
        <w:t xml:space="preserve"> e </w:t>
      </w:r>
      <w:proofErr w:type="spellStart"/>
      <w:r w:rsidRPr="00432A9F">
        <w:rPr>
          <w:iCs/>
        </w:rPr>
        <w:t>adolescentes</w:t>
      </w:r>
      <w:proofErr w:type="spellEnd"/>
      <w:r w:rsidRPr="00432A9F">
        <w:rPr>
          <w:iCs/>
        </w:rPr>
        <w:t xml:space="preserve"> </w:t>
      </w:r>
      <w:proofErr w:type="spellStart"/>
      <w:r w:rsidRPr="00432A9F">
        <w:rPr>
          <w:iCs/>
        </w:rPr>
        <w:t>quilombolas</w:t>
      </w:r>
      <w:proofErr w:type="spellEnd"/>
      <w:r w:rsidRPr="00432A9F">
        <w:rPr>
          <w:iCs/>
        </w:rPr>
        <w:t xml:space="preserve"> </w:t>
      </w:r>
      <w:proofErr w:type="spellStart"/>
      <w:r w:rsidRPr="00432A9F">
        <w:rPr>
          <w:iCs/>
        </w:rPr>
        <w:t>apresentam</w:t>
      </w:r>
      <w:proofErr w:type="spellEnd"/>
      <w:r w:rsidRPr="00432A9F">
        <w:rPr>
          <w:iCs/>
        </w:rPr>
        <w:t xml:space="preserve"> </w:t>
      </w:r>
      <w:proofErr w:type="spellStart"/>
      <w:r w:rsidRPr="00432A9F">
        <w:rPr>
          <w:iCs/>
        </w:rPr>
        <w:t>alta</w:t>
      </w:r>
      <w:proofErr w:type="spellEnd"/>
      <w:r w:rsidRPr="00432A9F">
        <w:rPr>
          <w:iCs/>
        </w:rPr>
        <w:t xml:space="preserve"> </w:t>
      </w:r>
      <w:proofErr w:type="spellStart"/>
      <w:r w:rsidRPr="00432A9F">
        <w:rPr>
          <w:iCs/>
        </w:rPr>
        <w:t>prevalência</w:t>
      </w:r>
      <w:proofErr w:type="spellEnd"/>
      <w:r w:rsidRPr="00432A9F">
        <w:rPr>
          <w:iCs/>
        </w:rPr>
        <w:t xml:space="preserve"> de </w:t>
      </w:r>
      <w:proofErr w:type="spellStart"/>
      <w:r w:rsidRPr="00432A9F">
        <w:rPr>
          <w:iCs/>
        </w:rPr>
        <w:t>defeitos</w:t>
      </w:r>
      <w:proofErr w:type="spellEnd"/>
      <w:r w:rsidRPr="00432A9F">
        <w:rPr>
          <w:iCs/>
        </w:rPr>
        <w:t xml:space="preserve"> de </w:t>
      </w:r>
      <w:proofErr w:type="spellStart"/>
      <w:r w:rsidRPr="00432A9F">
        <w:rPr>
          <w:iCs/>
        </w:rPr>
        <w:t>desenvolvimento</w:t>
      </w:r>
      <w:proofErr w:type="spellEnd"/>
      <w:r w:rsidRPr="00432A9F">
        <w:rPr>
          <w:iCs/>
        </w:rPr>
        <w:t xml:space="preserve"> do </w:t>
      </w:r>
      <w:proofErr w:type="spellStart"/>
      <w:r w:rsidRPr="00432A9F">
        <w:rPr>
          <w:iCs/>
        </w:rPr>
        <w:t>esmalte</w:t>
      </w:r>
      <w:proofErr w:type="spellEnd"/>
      <w:r w:rsidRPr="00432A9F">
        <w:rPr>
          <w:iCs/>
        </w:rPr>
        <w:t xml:space="preserve">. </w:t>
      </w:r>
      <w:proofErr w:type="spellStart"/>
      <w:r w:rsidRPr="00432A9F">
        <w:rPr>
          <w:iCs/>
        </w:rPr>
        <w:t>Ciência</w:t>
      </w:r>
      <w:proofErr w:type="spellEnd"/>
      <w:r w:rsidRPr="00432A9F">
        <w:rPr>
          <w:iCs/>
        </w:rPr>
        <w:t xml:space="preserve"> &amp; </w:t>
      </w:r>
      <w:proofErr w:type="spellStart"/>
      <w:r w:rsidRPr="00432A9F">
        <w:rPr>
          <w:iCs/>
        </w:rPr>
        <w:t>Saúde</w:t>
      </w:r>
      <w:proofErr w:type="spellEnd"/>
      <w:r w:rsidRPr="00432A9F">
        <w:rPr>
          <w:iCs/>
        </w:rPr>
        <w:t xml:space="preserve"> </w:t>
      </w:r>
      <w:proofErr w:type="spellStart"/>
      <w:r w:rsidRPr="00432A9F">
        <w:rPr>
          <w:iCs/>
        </w:rPr>
        <w:t>Coletiva</w:t>
      </w:r>
      <w:proofErr w:type="spellEnd"/>
      <w:r w:rsidRPr="00432A9F">
        <w:rPr>
          <w:iCs/>
        </w:rPr>
        <w:t xml:space="preserve">, 26(7), 2889–2898. </w:t>
      </w:r>
      <w:hyperlink r:id="rId28" w:history="1">
        <w:r w:rsidR="00432A9F" w:rsidRPr="00170648">
          <w:rPr>
            <w:rStyle w:val="Hyperlink"/>
            <w:iCs/>
          </w:rPr>
          <w:t>https://doi.org/10.1590/1413-81232021267.12762019</w:t>
        </w:r>
      </w:hyperlink>
    </w:p>
    <w:p w14:paraId="2DAB4E80" w14:textId="3A81B5E3" w:rsidR="00432A9F" w:rsidRDefault="00F02122" w:rsidP="00F02122">
      <w:pPr>
        <w:pStyle w:val="ListParagraph"/>
        <w:keepNext/>
        <w:numPr>
          <w:ilvl w:val="0"/>
          <w:numId w:val="2"/>
        </w:numPr>
        <w:pBdr>
          <w:top w:val="nil"/>
          <w:left w:val="nil"/>
          <w:bottom w:val="nil"/>
          <w:right w:val="nil"/>
          <w:between w:val="nil"/>
        </w:pBdr>
        <w:jc w:val="both"/>
        <w:rPr>
          <w:iCs/>
        </w:rPr>
      </w:pPr>
      <w:r w:rsidRPr="00432A9F">
        <w:rPr>
          <w:iCs/>
        </w:rPr>
        <w:t xml:space="preserve">Garot, E., </w:t>
      </w:r>
      <w:proofErr w:type="spellStart"/>
      <w:r w:rsidRPr="00432A9F">
        <w:rPr>
          <w:iCs/>
        </w:rPr>
        <w:t>Rouas</w:t>
      </w:r>
      <w:proofErr w:type="spellEnd"/>
      <w:r w:rsidRPr="00432A9F">
        <w:rPr>
          <w:iCs/>
        </w:rPr>
        <w:t xml:space="preserve">, P., Somani, C., Taylor, G. D., Wong, F., &amp; </w:t>
      </w:r>
      <w:proofErr w:type="spellStart"/>
      <w:r w:rsidRPr="00432A9F">
        <w:rPr>
          <w:iCs/>
        </w:rPr>
        <w:t>Lygidakis</w:t>
      </w:r>
      <w:proofErr w:type="spellEnd"/>
      <w:r w:rsidRPr="00432A9F">
        <w:rPr>
          <w:iCs/>
        </w:rPr>
        <w:t xml:space="preserve">, N. A. (2022). An update of the </w:t>
      </w:r>
      <w:proofErr w:type="spellStart"/>
      <w:r w:rsidRPr="00432A9F">
        <w:rPr>
          <w:iCs/>
        </w:rPr>
        <w:t>aetiological</w:t>
      </w:r>
      <w:proofErr w:type="spellEnd"/>
      <w:r w:rsidRPr="00432A9F">
        <w:rPr>
          <w:iCs/>
        </w:rPr>
        <w:t xml:space="preserve"> factors involved in molar incisor </w:t>
      </w:r>
      <w:proofErr w:type="spellStart"/>
      <w:r w:rsidRPr="00432A9F">
        <w:rPr>
          <w:iCs/>
        </w:rPr>
        <w:t>hypomineralisation</w:t>
      </w:r>
      <w:proofErr w:type="spellEnd"/>
      <w:r w:rsidRPr="00432A9F">
        <w:rPr>
          <w:iCs/>
        </w:rPr>
        <w:t xml:space="preserve"> (MIH): a systematic review and meta-analysis. Eur Arch </w:t>
      </w:r>
      <w:proofErr w:type="spellStart"/>
      <w:r w:rsidRPr="00432A9F">
        <w:rPr>
          <w:iCs/>
        </w:rPr>
        <w:t>Paediatr</w:t>
      </w:r>
      <w:proofErr w:type="spellEnd"/>
      <w:r w:rsidRPr="00432A9F">
        <w:rPr>
          <w:iCs/>
        </w:rPr>
        <w:t xml:space="preserve"> Dent, 23(1), 23-38. </w:t>
      </w:r>
      <w:hyperlink r:id="rId29" w:history="1">
        <w:r w:rsidR="00432A9F" w:rsidRPr="00170648">
          <w:rPr>
            <w:rStyle w:val="Hyperlink"/>
            <w:iCs/>
          </w:rPr>
          <w:t>https://doi.org/10.1007/s40368-021-00646-x</w:t>
        </w:r>
      </w:hyperlink>
    </w:p>
    <w:p w14:paraId="4AE0C946" w14:textId="77777777" w:rsidR="00432A9F" w:rsidRDefault="00F02122" w:rsidP="00F02122">
      <w:pPr>
        <w:pStyle w:val="ListParagraph"/>
        <w:keepNext/>
        <w:numPr>
          <w:ilvl w:val="0"/>
          <w:numId w:val="2"/>
        </w:numPr>
        <w:pBdr>
          <w:top w:val="nil"/>
          <w:left w:val="nil"/>
          <w:bottom w:val="nil"/>
          <w:right w:val="nil"/>
          <w:between w:val="nil"/>
        </w:pBdr>
        <w:jc w:val="both"/>
        <w:rPr>
          <w:iCs/>
        </w:rPr>
      </w:pPr>
      <w:proofErr w:type="spellStart"/>
      <w:r w:rsidRPr="00432A9F">
        <w:rPr>
          <w:iCs/>
        </w:rPr>
        <w:t>Mastora</w:t>
      </w:r>
      <w:proofErr w:type="spellEnd"/>
      <w:r w:rsidRPr="00432A9F">
        <w:rPr>
          <w:iCs/>
        </w:rPr>
        <w:t xml:space="preserve">, A., </w:t>
      </w:r>
      <w:proofErr w:type="spellStart"/>
      <w:r w:rsidRPr="00432A9F">
        <w:rPr>
          <w:iCs/>
        </w:rPr>
        <w:t>Vadiakas</w:t>
      </w:r>
      <w:proofErr w:type="spellEnd"/>
      <w:r w:rsidRPr="00432A9F">
        <w:rPr>
          <w:iCs/>
        </w:rPr>
        <w:t xml:space="preserve">, G., </w:t>
      </w:r>
      <w:proofErr w:type="spellStart"/>
      <w:r w:rsidRPr="00432A9F">
        <w:rPr>
          <w:iCs/>
        </w:rPr>
        <w:t>Agouropoulos</w:t>
      </w:r>
      <w:proofErr w:type="spellEnd"/>
      <w:r w:rsidRPr="00432A9F">
        <w:rPr>
          <w:iCs/>
        </w:rPr>
        <w:t xml:space="preserve">, A., </w:t>
      </w:r>
      <w:proofErr w:type="spellStart"/>
      <w:r w:rsidRPr="00432A9F">
        <w:rPr>
          <w:iCs/>
        </w:rPr>
        <w:t>Gartagani-Panagiotopoulou</w:t>
      </w:r>
      <w:proofErr w:type="spellEnd"/>
      <w:r w:rsidRPr="00432A9F">
        <w:rPr>
          <w:iCs/>
        </w:rPr>
        <w:t xml:space="preserve">, P., </w:t>
      </w:r>
      <w:proofErr w:type="spellStart"/>
      <w:r w:rsidRPr="00432A9F">
        <w:rPr>
          <w:iCs/>
        </w:rPr>
        <w:t>Gemou</w:t>
      </w:r>
      <w:proofErr w:type="spellEnd"/>
      <w:r w:rsidRPr="00432A9F">
        <w:rPr>
          <w:iCs/>
        </w:rPr>
        <w:t xml:space="preserve"> </w:t>
      </w:r>
      <w:proofErr w:type="spellStart"/>
      <w:r w:rsidRPr="00432A9F">
        <w:rPr>
          <w:iCs/>
        </w:rPr>
        <w:t>Engesaeth</w:t>
      </w:r>
      <w:proofErr w:type="spellEnd"/>
      <w:r w:rsidRPr="00432A9F">
        <w:rPr>
          <w:iCs/>
        </w:rPr>
        <w:t xml:space="preserve">, V., Papadopoulos, M., et al. (2017). Developmental defects of enamel in first permanent molars associated with use of asthma drugs in preschool aged children: a retrospective case-control study. European Archives of </w:t>
      </w:r>
      <w:proofErr w:type="spellStart"/>
      <w:r w:rsidRPr="00432A9F">
        <w:rPr>
          <w:iCs/>
        </w:rPr>
        <w:t>Paediatric</w:t>
      </w:r>
      <w:proofErr w:type="spellEnd"/>
      <w:r w:rsidRPr="00432A9F">
        <w:rPr>
          <w:iCs/>
        </w:rPr>
        <w:t xml:space="preserve"> Dentistry, 18, 105–111. </w:t>
      </w:r>
    </w:p>
    <w:p w14:paraId="75C09EC6" w14:textId="77777777" w:rsidR="00432A9F" w:rsidRDefault="00F02122" w:rsidP="00F02122">
      <w:pPr>
        <w:pStyle w:val="ListParagraph"/>
        <w:keepNext/>
        <w:numPr>
          <w:ilvl w:val="0"/>
          <w:numId w:val="2"/>
        </w:numPr>
        <w:pBdr>
          <w:top w:val="nil"/>
          <w:left w:val="nil"/>
          <w:bottom w:val="nil"/>
          <w:right w:val="nil"/>
          <w:between w:val="nil"/>
        </w:pBdr>
        <w:jc w:val="both"/>
        <w:rPr>
          <w:iCs/>
        </w:rPr>
      </w:pPr>
      <w:r w:rsidRPr="00432A9F">
        <w:rPr>
          <w:iCs/>
        </w:rPr>
        <w:t xml:space="preserve">Arjona, E. F. (2018). </w:t>
      </w:r>
      <w:proofErr w:type="spellStart"/>
      <w:r w:rsidRPr="00432A9F">
        <w:rPr>
          <w:iCs/>
        </w:rPr>
        <w:t>Defeito</w:t>
      </w:r>
      <w:proofErr w:type="spellEnd"/>
      <w:r w:rsidRPr="00432A9F">
        <w:rPr>
          <w:iCs/>
        </w:rPr>
        <w:t xml:space="preserve"> de </w:t>
      </w:r>
      <w:proofErr w:type="spellStart"/>
      <w:r w:rsidRPr="00432A9F">
        <w:rPr>
          <w:iCs/>
        </w:rPr>
        <w:t>desenvolvimento</w:t>
      </w:r>
      <w:proofErr w:type="spellEnd"/>
      <w:r w:rsidRPr="00432A9F">
        <w:rPr>
          <w:iCs/>
        </w:rPr>
        <w:t xml:space="preserve"> do </w:t>
      </w:r>
      <w:proofErr w:type="spellStart"/>
      <w:r w:rsidRPr="00432A9F">
        <w:rPr>
          <w:iCs/>
        </w:rPr>
        <w:t>esmalte</w:t>
      </w:r>
      <w:proofErr w:type="spellEnd"/>
      <w:r w:rsidRPr="00432A9F">
        <w:rPr>
          <w:iCs/>
        </w:rPr>
        <w:t xml:space="preserve"> </w:t>
      </w:r>
      <w:proofErr w:type="spellStart"/>
      <w:r w:rsidRPr="00432A9F">
        <w:rPr>
          <w:iCs/>
        </w:rPr>
        <w:t>dentário</w:t>
      </w:r>
      <w:proofErr w:type="spellEnd"/>
      <w:r w:rsidRPr="00432A9F">
        <w:rPr>
          <w:iCs/>
        </w:rPr>
        <w:t xml:space="preserve"> e </w:t>
      </w:r>
      <w:proofErr w:type="spellStart"/>
      <w:r w:rsidRPr="00432A9F">
        <w:rPr>
          <w:iCs/>
        </w:rPr>
        <w:t>cárie</w:t>
      </w:r>
      <w:proofErr w:type="spellEnd"/>
      <w:r w:rsidRPr="00432A9F">
        <w:rPr>
          <w:iCs/>
        </w:rPr>
        <w:t xml:space="preserve"> da </w:t>
      </w:r>
      <w:proofErr w:type="spellStart"/>
      <w:r w:rsidRPr="00432A9F">
        <w:rPr>
          <w:iCs/>
        </w:rPr>
        <w:t>primeira</w:t>
      </w:r>
      <w:proofErr w:type="spellEnd"/>
      <w:r w:rsidRPr="00432A9F">
        <w:rPr>
          <w:iCs/>
        </w:rPr>
        <w:t xml:space="preserve"> </w:t>
      </w:r>
      <w:proofErr w:type="spellStart"/>
      <w:r w:rsidRPr="00432A9F">
        <w:rPr>
          <w:iCs/>
        </w:rPr>
        <w:t>infância</w:t>
      </w:r>
      <w:proofErr w:type="spellEnd"/>
      <w:r w:rsidRPr="00432A9F">
        <w:rPr>
          <w:iCs/>
        </w:rPr>
        <w:t xml:space="preserve"> </w:t>
      </w:r>
      <w:proofErr w:type="spellStart"/>
      <w:r w:rsidRPr="00432A9F">
        <w:rPr>
          <w:iCs/>
        </w:rPr>
        <w:t>em</w:t>
      </w:r>
      <w:proofErr w:type="spellEnd"/>
      <w:r w:rsidRPr="00432A9F">
        <w:rPr>
          <w:iCs/>
        </w:rPr>
        <w:t xml:space="preserve"> </w:t>
      </w:r>
      <w:proofErr w:type="spellStart"/>
      <w:r w:rsidRPr="00432A9F">
        <w:rPr>
          <w:iCs/>
        </w:rPr>
        <w:t>crianças</w:t>
      </w:r>
      <w:proofErr w:type="spellEnd"/>
      <w:r w:rsidRPr="00432A9F">
        <w:rPr>
          <w:iCs/>
        </w:rPr>
        <w:t xml:space="preserve"> </w:t>
      </w:r>
      <w:proofErr w:type="spellStart"/>
      <w:r w:rsidRPr="00432A9F">
        <w:rPr>
          <w:iCs/>
        </w:rPr>
        <w:t>prematuras</w:t>
      </w:r>
      <w:proofErr w:type="spellEnd"/>
      <w:r w:rsidRPr="00432A9F">
        <w:rPr>
          <w:iCs/>
        </w:rPr>
        <w:t xml:space="preserve"> e com </w:t>
      </w:r>
      <w:proofErr w:type="spellStart"/>
      <w:r w:rsidRPr="00432A9F">
        <w:rPr>
          <w:iCs/>
        </w:rPr>
        <w:t>baixo</w:t>
      </w:r>
      <w:proofErr w:type="spellEnd"/>
      <w:r w:rsidRPr="00432A9F">
        <w:rPr>
          <w:iCs/>
        </w:rPr>
        <w:t xml:space="preserve"> peso </w:t>
      </w:r>
      <w:proofErr w:type="spellStart"/>
      <w:r w:rsidRPr="00432A9F">
        <w:rPr>
          <w:iCs/>
        </w:rPr>
        <w:t>ao</w:t>
      </w:r>
      <w:proofErr w:type="spellEnd"/>
      <w:r w:rsidRPr="00432A9F">
        <w:rPr>
          <w:iCs/>
        </w:rPr>
        <w:t xml:space="preserve"> </w:t>
      </w:r>
      <w:proofErr w:type="spellStart"/>
      <w:r w:rsidRPr="00432A9F">
        <w:rPr>
          <w:iCs/>
        </w:rPr>
        <w:t>nascer</w:t>
      </w:r>
      <w:proofErr w:type="spellEnd"/>
      <w:r w:rsidRPr="00432A9F">
        <w:rPr>
          <w:iCs/>
        </w:rPr>
        <w:t xml:space="preserve"> [</w:t>
      </w:r>
      <w:proofErr w:type="spellStart"/>
      <w:r w:rsidRPr="00432A9F">
        <w:rPr>
          <w:iCs/>
        </w:rPr>
        <w:t>Dissertação</w:t>
      </w:r>
      <w:proofErr w:type="spellEnd"/>
      <w:r w:rsidRPr="00432A9F">
        <w:rPr>
          <w:iCs/>
        </w:rPr>
        <w:t xml:space="preserve"> de </w:t>
      </w:r>
      <w:proofErr w:type="spellStart"/>
      <w:r w:rsidRPr="00432A9F">
        <w:rPr>
          <w:iCs/>
        </w:rPr>
        <w:t>Mestrado</w:t>
      </w:r>
      <w:proofErr w:type="spellEnd"/>
      <w:r w:rsidRPr="00432A9F">
        <w:rPr>
          <w:iCs/>
        </w:rPr>
        <w:t xml:space="preserve">]. </w:t>
      </w:r>
      <w:proofErr w:type="spellStart"/>
      <w:r w:rsidRPr="00432A9F">
        <w:rPr>
          <w:iCs/>
        </w:rPr>
        <w:t>Universidade</w:t>
      </w:r>
      <w:proofErr w:type="spellEnd"/>
      <w:r w:rsidRPr="00432A9F">
        <w:rPr>
          <w:iCs/>
        </w:rPr>
        <w:t xml:space="preserve"> Federal de Minas Gerais, Belo Horizonte.</w:t>
      </w:r>
    </w:p>
    <w:p w14:paraId="22088B70" w14:textId="77777777" w:rsidR="00432A9F" w:rsidRDefault="00F02122" w:rsidP="00F02122">
      <w:pPr>
        <w:pStyle w:val="ListParagraph"/>
        <w:keepNext/>
        <w:numPr>
          <w:ilvl w:val="0"/>
          <w:numId w:val="2"/>
        </w:numPr>
        <w:pBdr>
          <w:top w:val="nil"/>
          <w:left w:val="nil"/>
          <w:bottom w:val="nil"/>
          <w:right w:val="nil"/>
          <w:between w:val="nil"/>
        </w:pBdr>
        <w:jc w:val="both"/>
        <w:rPr>
          <w:iCs/>
        </w:rPr>
      </w:pPr>
      <w:r w:rsidRPr="00432A9F">
        <w:rPr>
          <w:iCs/>
        </w:rPr>
        <w:t xml:space="preserve">Laisi, S., Ess, A., Sahlberg, C., Arvio, P., </w:t>
      </w:r>
      <w:proofErr w:type="spellStart"/>
      <w:r w:rsidRPr="00432A9F">
        <w:rPr>
          <w:iCs/>
        </w:rPr>
        <w:t>Lukinmaa</w:t>
      </w:r>
      <w:proofErr w:type="spellEnd"/>
      <w:r w:rsidRPr="00432A9F">
        <w:rPr>
          <w:iCs/>
        </w:rPr>
        <w:t xml:space="preserve">, P. L., </w:t>
      </w:r>
      <w:proofErr w:type="spellStart"/>
      <w:r w:rsidRPr="00432A9F">
        <w:rPr>
          <w:iCs/>
        </w:rPr>
        <w:t>Alaluusua</w:t>
      </w:r>
      <w:proofErr w:type="spellEnd"/>
      <w:r w:rsidRPr="00432A9F">
        <w:rPr>
          <w:iCs/>
        </w:rPr>
        <w:t xml:space="preserve">, S. (2009). Amoxicillin may cause molar incisor </w:t>
      </w:r>
      <w:proofErr w:type="spellStart"/>
      <w:r w:rsidRPr="00432A9F">
        <w:rPr>
          <w:iCs/>
        </w:rPr>
        <w:t>hypomineralization</w:t>
      </w:r>
      <w:proofErr w:type="spellEnd"/>
      <w:r w:rsidRPr="00432A9F">
        <w:rPr>
          <w:iCs/>
        </w:rPr>
        <w:t>. Journal of Dental Research, 88, 132–136.</w:t>
      </w:r>
    </w:p>
    <w:p w14:paraId="3F2A0224" w14:textId="77777777" w:rsidR="00432A9F" w:rsidRDefault="00F02122" w:rsidP="00F02122">
      <w:pPr>
        <w:pStyle w:val="ListParagraph"/>
        <w:keepNext/>
        <w:numPr>
          <w:ilvl w:val="0"/>
          <w:numId w:val="2"/>
        </w:numPr>
        <w:pBdr>
          <w:top w:val="nil"/>
          <w:left w:val="nil"/>
          <w:bottom w:val="nil"/>
          <w:right w:val="nil"/>
          <w:between w:val="nil"/>
        </w:pBdr>
        <w:jc w:val="both"/>
        <w:rPr>
          <w:iCs/>
        </w:rPr>
      </w:pPr>
      <w:r w:rsidRPr="00432A9F">
        <w:rPr>
          <w:iCs/>
        </w:rPr>
        <w:t xml:space="preserve">Hong, L., Levy, S. M., Warren, J. J., </w:t>
      </w:r>
      <w:proofErr w:type="spellStart"/>
      <w:r w:rsidRPr="00432A9F">
        <w:rPr>
          <w:iCs/>
        </w:rPr>
        <w:t>Broffitt</w:t>
      </w:r>
      <w:proofErr w:type="spellEnd"/>
      <w:r w:rsidRPr="00432A9F">
        <w:rPr>
          <w:iCs/>
        </w:rPr>
        <w:t>, B. (2011). Amoxicillin use during early childhood and fluorosis of later developing tooth zones. Journal of Public Health Dentistry, 71, 229–235.</w:t>
      </w:r>
    </w:p>
    <w:p w14:paraId="02B76640" w14:textId="77777777" w:rsidR="00432A9F" w:rsidRDefault="00F02122" w:rsidP="00F02122">
      <w:pPr>
        <w:pStyle w:val="ListParagraph"/>
        <w:keepNext/>
        <w:numPr>
          <w:ilvl w:val="0"/>
          <w:numId w:val="2"/>
        </w:numPr>
        <w:pBdr>
          <w:top w:val="nil"/>
          <w:left w:val="nil"/>
          <w:bottom w:val="nil"/>
          <w:right w:val="nil"/>
          <w:between w:val="nil"/>
        </w:pBdr>
        <w:jc w:val="both"/>
        <w:rPr>
          <w:iCs/>
        </w:rPr>
      </w:pPr>
      <w:r w:rsidRPr="00432A9F">
        <w:rPr>
          <w:iCs/>
        </w:rPr>
        <w:t xml:space="preserve">Nørrisgaard, P. E., Haubek, D., </w:t>
      </w:r>
      <w:proofErr w:type="spellStart"/>
      <w:r w:rsidRPr="00432A9F">
        <w:rPr>
          <w:iCs/>
        </w:rPr>
        <w:t>Kühnisch</w:t>
      </w:r>
      <w:proofErr w:type="spellEnd"/>
      <w:r w:rsidRPr="00432A9F">
        <w:rPr>
          <w:iCs/>
        </w:rPr>
        <w:t>, J., Chawes, B. L., Jakob Stokholm, J.</w:t>
      </w:r>
      <w:proofErr w:type="gramStart"/>
      <w:r w:rsidRPr="00432A9F">
        <w:rPr>
          <w:iCs/>
        </w:rPr>
        <w:t>,  Bønnelykke</w:t>
      </w:r>
      <w:proofErr w:type="gramEnd"/>
      <w:r w:rsidRPr="00432A9F">
        <w:rPr>
          <w:iCs/>
        </w:rPr>
        <w:t xml:space="preserve">, K. et al. (2019). Association of high-dose vitamin D supplementation </w:t>
      </w:r>
      <w:r w:rsidRPr="00432A9F">
        <w:rPr>
          <w:iCs/>
        </w:rPr>
        <w:lastRenderedPageBreak/>
        <w:t>during pregnancy with the risk of enamel defects in offspring: a 6-year follow-up of a randomized clinical trial. JAMA Pediatrics, 173, 924–930.</w:t>
      </w:r>
    </w:p>
    <w:p w14:paraId="19070395" w14:textId="5E324A83" w:rsidR="00432A9F" w:rsidRDefault="00F02122" w:rsidP="00F02122">
      <w:pPr>
        <w:pStyle w:val="ListParagraph"/>
        <w:keepNext/>
        <w:numPr>
          <w:ilvl w:val="0"/>
          <w:numId w:val="2"/>
        </w:numPr>
        <w:pBdr>
          <w:top w:val="nil"/>
          <w:left w:val="nil"/>
          <w:bottom w:val="nil"/>
          <w:right w:val="nil"/>
          <w:between w:val="nil"/>
        </w:pBdr>
        <w:jc w:val="both"/>
        <w:rPr>
          <w:iCs/>
        </w:rPr>
      </w:pPr>
      <w:r w:rsidRPr="00432A9F">
        <w:rPr>
          <w:iCs/>
        </w:rPr>
        <w:t xml:space="preserve">Tapalaga, G., Bumbu, B. A., Reddy, S. R., </w:t>
      </w:r>
      <w:proofErr w:type="spellStart"/>
      <w:r w:rsidRPr="00432A9F">
        <w:rPr>
          <w:iCs/>
        </w:rPr>
        <w:t>Vutukuru</w:t>
      </w:r>
      <w:proofErr w:type="spellEnd"/>
      <w:r w:rsidRPr="00432A9F">
        <w:rPr>
          <w:iCs/>
        </w:rPr>
        <w:t xml:space="preserve">, S. D., Nalla, A., Bratosin, F., et al. (2023). The impact of prenatal vitamin D on enamel defects and tooth erosion: a systematic review. Nutrients, 15, 3863. </w:t>
      </w:r>
      <w:hyperlink r:id="rId30" w:history="1">
        <w:r w:rsidR="00432A9F" w:rsidRPr="00170648">
          <w:rPr>
            <w:rStyle w:val="Hyperlink"/>
            <w:iCs/>
          </w:rPr>
          <w:t>https://doi.org/10.3390/nu15183863</w:t>
        </w:r>
      </w:hyperlink>
    </w:p>
    <w:p w14:paraId="438143DE" w14:textId="77777777" w:rsidR="00432A9F" w:rsidRDefault="00F02122" w:rsidP="00432A9F">
      <w:pPr>
        <w:pStyle w:val="ListParagraph"/>
        <w:keepNext/>
        <w:numPr>
          <w:ilvl w:val="0"/>
          <w:numId w:val="2"/>
        </w:numPr>
        <w:pBdr>
          <w:top w:val="nil"/>
          <w:left w:val="nil"/>
          <w:bottom w:val="nil"/>
          <w:right w:val="nil"/>
          <w:between w:val="nil"/>
        </w:pBdr>
        <w:jc w:val="both"/>
        <w:rPr>
          <w:iCs/>
        </w:rPr>
      </w:pPr>
      <w:r w:rsidRPr="00432A9F">
        <w:rPr>
          <w:iCs/>
        </w:rPr>
        <w:t xml:space="preserve">Muñoz, C. S., Ruiz, A. J. O., Pérez A.  S., Bravo-González, L. A., &amp; Vicente, A. (2020). Second primary molar </w:t>
      </w:r>
      <w:proofErr w:type="spellStart"/>
      <w:r w:rsidRPr="00432A9F">
        <w:rPr>
          <w:iCs/>
        </w:rPr>
        <w:t>hypomineralisation</w:t>
      </w:r>
      <w:proofErr w:type="spellEnd"/>
      <w:r w:rsidRPr="00432A9F">
        <w:rPr>
          <w:iCs/>
        </w:rPr>
        <w:t xml:space="preserve"> and drugs used during pregnancy and infancy. A systematic review. Clin Oral </w:t>
      </w:r>
      <w:proofErr w:type="spellStart"/>
      <w:r w:rsidRPr="00432A9F">
        <w:rPr>
          <w:iCs/>
        </w:rPr>
        <w:t>Investig</w:t>
      </w:r>
      <w:proofErr w:type="spellEnd"/>
      <w:r w:rsidRPr="00432A9F">
        <w:rPr>
          <w:iCs/>
        </w:rPr>
        <w:t xml:space="preserve">, 24(3), 1287-1297. https://doi.org/10.1007/s00784-019-03007-7 </w:t>
      </w:r>
    </w:p>
    <w:p w14:paraId="446BCF1D" w14:textId="77777777" w:rsidR="00432A9F" w:rsidRDefault="00F02122" w:rsidP="00F02122">
      <w:pPr>
        <w:pStyle w:val="ListParagraph"/>
        <w:keepNext/>
        <w:numPr>
          <w:ilvl w:val="0"/>
          <w:numId w:val="2"/>
        </w:numPr>
        <w:pBdr>
          <w:top w:val="nil"/>
          <w:left w:val="nil"/>
          <w:bottom w:val="nil"/>
          <w:right w:val="nil"/>
          <w:between w:val="nil"/>
        </w:pBdr>
        <w:jc w:val="both"/>
        <w:rPr>
          <w:iCs/>
        </w:rPr>
      </w:pPr>
      <w:r w:rsidRPr="00432A9F">
        <w:rPr>
          <w:iCs/>
        </w:rPr>
        <w:t xml:space="preserve">24. Wogelius, P., Viuff, J. H., Haubek, D., (2020). Use of asthma drugs and prevalence of molar incisor </w:t>
      </w:r>
      <w:proofErr w:type="spellStart"/>
      <w:r w:rsidRPr="00432A9F">
        <w:rPr>
          <w:iCs/>
        </w:rPr>
        <w:t>hypomineralization</w:t>
      </w:r>
      <w:proofErr w:type="spellEnd"/>
      <w:r w:rsidRPr="00432A9F">
        <w:rPr>
          <w:iCs/>
        </w:rPr>
        <w:t xml:space="preserve">. International Journal of </w:t>
      </w:r>
      <w:proofErr w:type="spellStart"/>
      <w:r w:rsidRPr="00432A9F">
        <w:rPr>
          <w:iCs/>
        </w:rPr>
        <w:t>Paediatric</w:t>
      </w:r>
      <w:proofErr w:type="spellEnd"/>
      <w:r w:rsidRPr="00432A9F">
        <w:rPr>
          <w:iCs/>
        </w:rPr>
        <w:t xml:space="preserve"> Dentistry, 30, 734–740.</w:t>
      </w:r>
    </w:p>
    <w:p w14:paraId="3F1B4BF0" w14:textId="77777777" w:rsidR="00432A9F" w:rsidRDefault="00F02122" w:rsidP="00F02122">
      <w:pPr>
        <w:pStyle w:val="ListParagraph"/>
        <w:keepNext/>
        <w:numPr>
          <w:ilvl w:val="0"/>
          <w:numId w:val="2"/>
        </w:numPr>
        <w:pBdr>
          <w:top w:val="nil"/>
          <w:left w:val="nil"/>
          <w:bottom w:val="nil"/>
          <w:right w:val="nil"/>
          <w:between w:val="nil"/>
        </w:pBdr>
        <w:jc w:val="both"/>
        <w:rPr>
          <w:iCs/>
        </w:rPr>
      </w:pPr>
      <w:proofErr w:type="spellStart"/>
      <w:r w:rsidRPr="00432A9F">
        <w:rPr>
          <w:iCs/>
        </w:rPr>
        <w:t>Weerheijm</w:t>
      </w:r>
      <w:proofErr w:type="spellEnd"/>
      <w:r w:rsidRPr="00432A9F">
        <w:rPr>
          <w:iCs/>
        </w:rPr>
        <w:t xml:space="preserve">, K. L., Duggal, M., </w:t>
      </w:r>
      <w:proofErr w:type="spellStart"/>
      <w:r w:rsidRPr="00432A9F">
        <w:rPr>
          <w:iCs/>
        </w:rPr>
        <w:t>Mejàre</w:t>
      </w:r>
      <w:proofErr w:type="spellEnd"/>
      <w:r w:rsidRPr="00432A9F">
        <w:rPr>
          <w:iCs/>
        </w:rPr>
        <w:t xml:space="preserve">, I., </w:t>
      </w:r>
      <w:proofErr w:type="spellStart"/>
      <w:r w:rsidRPr="00432A9F">
        <w:rPr>
          <w:iCs/>
        </w:rPr>
        <w:t>Papagiannoulis</w:t>
      </w:r>
      <w:proofErr w:type="spellEnd"/>
      <w:r w:rsidRPr="00432A9F">
        <w:rPr>
          <w:iCs/>
        </w:rPr>
        <w:t xml:space="preserve">, L., Koch, G., Martens, L. C., et al. (2003). Judgement criteria for molar incisor </w:t>
      </w:r>
      <w:proofErr w:type="spellStart"/>
      <w:r w:rsidRPr="00432A9F">
        <w:rPr>
          <w:iCs/>
        </w:rPr>
        <w:t>hypomineralisation</w:t>
      </w:r>
      <w:proofErr w:type="spellEnd"/>
      <w:r w:rsidRPr="00432A9F">
        <w:rPr>
          <w:iCs/>
        </w:rPr>
        <w:t xml:space="preserve"> (MIH) in epidemiologic studies: a summary of the European meeting on MIH held in Athens, 2003. European Journal of </w:t>
      </w:r>
      <w:proofErr w:type="spellStart"/>
      <w:r w:rsidRPr="00432A9F">
        <w:rPr>
          <w:iCs/>
        </w:rPr>
        <w:t>Paediatric</w:t>
      </w:r>
      <w:proofErr w:type="spellEnd"/>
      <w:r w:rsidRPr="00432A9F">
        <w:rPr>
          <w:iCs/>
        </w:rPr>
        <w:t xml:space="preserve"> Dentistry, 4, 110–113.</w:t>
      </w:r>
    </w:p>
    <w:p w14:paraId="0508ECAC" w14:textId="0251AFC5" w:rsidR="00432A9F" w:rsidRDefault="00F02122" w:rsidP="00F02122">
      <w:pPr>
        <w:pStyle w:val="ListParagraph"/>
        <w:keepNext/>
        <w:numPr>
          <w:ilvl w:val="0"/>
          <w:numId w:val="2"/>
        </w:numPr>
        <w:pBdr>
          <w:top w:val="nil"/>
          <w:left w:val="nil"/>
          <w:bottom w:val="nil"/>
          <w:right w:val="nil"/>
          <w:between w:val="nil"/>
        </w:pBdr>
        <w:jc w:val="both"/>
        <w:rPr>
          <w:iCs/>
        </w:rPr>
      </w:pPr>
      <w:r w:rsidRPr="00432A9F">
        <w:rPr>
          <w:iCs/>
        </w:rPr>
        <w:t xml:space="preserve">Wells, G., Shea, B., O'Connell, D., Peterson, J., Welch, V., </w:t>
      </w:r>
      <w:proofErr w:type="spellStart"/>
      <w:r w:rsidRPr="00432A9F">
        <w:rPr>
          <w:iCs/>
        </w:rPr>
        <w:t>Losos</w:t>
      </w:r>
      <w:proofErr w:type="spellEnd"/>
      <w:r w:rsidRPr="00432A9F">
        <w:rPr>
          <w:iCs/>
        </w:rPr>
        <w:t xml:space="preserve">, M., et al. (2015). Newcastle-Ottawa Scale (NOS) for assessing the quality of </w:t>
      </w:r>
      <w:proofErr w:type="spellStart"/>
      <w:r w:rsidRPr="00432A9F">
        <w:rPr>
          <w:iCs/>
        </w:rPr>
        <w:t>nonrandomised</w:t>
      </w:r>
      <w:proofErr w:type="spellEnd"/>
      <w:r w:rsidRPr="00432A9F">
        <w:rPr>
          <w:iCs/>
        </w:rPr>
        <w:t xml:space="preserve"> studies in meta-analyses. Available from: </w:t>
      </w:r>
      <w:hyperlink r:id="rId31" w:history="1">
        <w:r w:rsidR="00432A9F" w:rsidRPr="00170648">
          <w:rPr>
            <w:rStyle w:val="Hyperlink"/>
            <w:iCs/>
          </w:rPr>
          <w:t>http://www.ohri.ca/programs/clinical_epidemiology/oxford.asp</w:t>
        </w:r>
      </w:hyperlink>
      <w:r w:rsidRPr="00432A9F">
        <w:rPr>
          <w:iCs/>
        </w:rPr>
        <w:t>.</w:t>
      </w:r>
    </w:p>
    <w:p w14:paraId="39E91EC1" w14:textId="77777777" w:rsidR="00432A9F" w:rsidRDefault="00F02122" w:rsidP="00F02122">
      <w:pPr>
        <w:pStyle w:val="ListParagraph"/>
        <w:keepNext/>
        <w:numPr>
          <w:ilvl w:val="0"/>
          <w:numId w:val="2"/>
        </w:numPr>
        <w:pBdr>
          <w:top w:val="nil"/>
          <w:left w:val="nil"/>
          <w:bottom w:val="nil"/>
          <w:right w:val="nil"/>
          <w:between w:val="nil"/>
        </w:pBdr>
        <w:jc w:val="both"/>
        <w:rPr>
          <w:iCs/>
        </w:rPr>
      </w:pPr>
      <w:r w:rsidRPr="00432A9F">
        <w:rPr>
          <w:iCs/>
        </w:rPr>
        <w:t xml:space="preserve">Bitencourt, F. V., Oliveira, L. B., </w:t>
      </w:r>
      <w:proofErr w:type="spellStart"/>
      <w:r w:rsidRPr="00432A9F">
        <w:rPr>
          <w:iCs/>
        </w:rPr>
        <w:t>Massignan</w:t>
      </w:r>
      <w:proofErr w:type="spellEnd"/>
      <w:r w:rsidRPr="00432A9F">
        <w:rPr>
          <w:iCs/>
        </w:rPr>
        <w:t xml:space="preserve">, C., Stefani, C. M., Canto, G. L., et al. (2021). </w:t>
      </w:r>
      <w:proofErr w:type="spellStart"/>
      <w:r w:rsidRPr="00432A9F">
        <w:rPr>
          <w:iCs/>
        </w:rPr>
        <w:t>Análise</w:t>
      </w:r>
      <w:proofErr w:type="spellEnd"/>
      <w:r w:rsidRPr="00432A9F">
        <w:rPr>
          <w:iCs/>
        </w:rPr>
        <w:t xml:space="preserve"> da </w:t>
      </w:r>
      <w:proofErr w:type="spellStart"/>
      <w:r w:rsidRPr="00432A9F">
        <w:rPr>
          <w:iCs/>
        </w:rPr>
        <w:t>qualidade</w:t>
      </w:r>
      <w:proofErr w:type="spellEnd"/>
      <w:r w:rsidRPr="00432A9F">
        <w:rPr>
          <w:iCs/>
        </w:rPr>
        <w:t xml:space="preserve"> </w:t>
      </w:r>
      <w:proofErr w:type="spellStart"/>
      <w:r w:rsidRPr="00432A9F">
        <w:rPr>
          <w:iCs/>
        </w:rPr>
        <w:t>metodológica</w:t>
      </w:r>
      <w:proofErr w:type="spellEnd"/>
      <w:r w:rsidRPr="00432A9F">
        <w:rPr>
          <w:iCs/>
        </w:rPr>
        <w:t xml:space="preserve"> de </w:t>
      </w:r>
      <w:proofErr w:type="spellStart"/>
      <w:r w:rsidRPr="00432A9F">
        <w:rPr>
          <w:iCs/>
        </w:rPr>
        <w:t>estudos</w:t>
      </w:r>
      <w:proofErr w:type="spellEnd"/>
      <w:r w:rsidRPr="00432A9F">
        <w:rPr>
          <w:iCs/>
        </w:rPr>
        <w:t xml:space="preserve"> </w:t>
      </w:r>
      <w:proofErr w:type="spellStart"/>
      <w:r w:rsidRPr="00432A9F">
        <w:rPr>
          <w:iCs/>
        </w:rPr>
        <w:t>observacionais</w:t>
      </w:r>
      <w:proofErr w:type="spellEnd"/>
      <w:r w:rsidRPr="00432A9F">
        <w:rPr>
          <w:iCs/>
        </w:rPr>
        <w:t xml:space="preserve"> (</w:t>
      </w:r>
      <w:proofErr w:type="spellStart"/>
      <w:r w:rsidRPr="00432A9F">
        <w:rPr>
          <w:iCs/>
        </w:rPr>
        <w:t>coorte</w:t>
      </w:r>
      <w:proofErr w:type="spellEnd"/>
      <w:r w:rsidRPr="00432A9F">
        <w:rPr>
          <w:iCs/>
        </w:rPr>
        <w:t xml:space="preserve"> e </w:t>
      </w:r>
      <w:proofErr w:type="spellStart"/>
      <w:r w:rsidRPr="00432A9F">
        <w:rPr>
          <w:iCs/>
        </w:rPr>
        <w:t>caso-controle</w:t>
      </w:r>
      <w:proofErr w:type="spellEnd"/>
      <w:r w:rsidRPr="00432A9F">
        <w:rPr>
          <w:iCs/>
        </w:rPr>
        <w:t xml:space="preserve">) com a ferramenta Newcastle-Ottawa Scale (NOS). In: Canto, G. D. L. (Ed.), </w:t>
      </w:r>
      <w:proofErr w:type="spellStart"/>
      <w:r w:rsidRPr="00432A9F">
        <w:rPr>
          <w:iCs/>
        </w:rPr>
        <w:t>Risco</w:t>
      </w:r>
      <w:proofErr w:type="spellEnd"/>
      <w:r w:rsidRPr="00432A9F">
        <w:rPr>
          <w:iCs/>
        </w:rPr>
        <w:t xml:space="preserve"> de </w:t>
      </w:r>
      <w:proofErr w:type="spellStart"/>
      <w:r w:rsidRPr="00432A9F">
        <w:rPr>
          <w:iCs/>
        </w:rPr>
        <w:t>viés</w:t>
      </w:r>
      <w:proofErr w:type="spellEnd"/>
      <w:r w:rsidRPr="00432A9F">
        <w:rPr>
          <w:iCs/>
        </w:rPr>
        <w:t xml:space="preserve"> </w:t>
      </w:r>
      <w:proofErr w:type="spellStart"/>
      <w:r w:rsidRPr="00432A9F">
        <w:rPr>
          <w:iCs/>
        </w:rPr>
        <w:t>em</w:t>
      </w:r>
      <w:proofErr w:type="spellEnd"/>
      <w:r w:rsidRPr="00432A9F">
        <w:rPr>
          <w:iCs/>
        </w:rPr>
        <w:t xml:space="preserve"> </w:t>
      </w:r>
      <w:proofErr w:type="spellStart"/>
      <w:r w:rsidRPr="00432A9F">
        <w:rPr>
          <w:iCs/>
        </w:rPr>
        <w:t>revisões</w:t>
      </w:r>
      <w:proofErr w:type="spellEnd"/>
      <w:r w:rsidRPr="00432A9F">
        <w:rPr>
          <w:iCs/>
        </w:rPr>
        <w:t xml:space="preserve"> </w:t>
      </w:r>
      <w:proofErr w:type="spellStart"/>
      <w:r w:rsidRPr="00432A9F">
        <w:rPr>
          <w:iCs/>
        </w:rPr>
        <w:t>sistemáticas</w:t>
      </w:r>
      <w:proofErr w:type="spellEnd"/>
      <w:r w:rsidRPr="00432A9F">
        <w:rPr>
          <w:iCs/>
        </w:rPr>
        <w:t xml:space="preserve">: </w:t>
      </w:r>
      <w:proofErr w:type="spellStart"/>
      <w:r w:rsidRPr="00432A9F">
        <w:rPr>
          <w:iCs/>
        </w:rPr>
        <w:t>guia</w:t>
      </w:r>
      <w:proofErr w:type="spellEnd"/>
      <w:r w:rsidRPr="00432A9F">
        <w:rPr>
          <w:iCs/>
        </w:rPr>
        <w:t xml:space="preserve"> </w:t>
      </w:r>
      <w:proofErr w:type="spellStart"/>
      <w:r w:rsidRPr="00432A9F">
        <w:rPr>
          <w:iCs/>
        </w:rPr>
        <w:t>prático</w:t>
      </w:r>
      <w:proofErr w:type="spellEnd"/>
      <w:r w:rsidRPr="00432A9F">
        <w:rPr>
          <w:iCs/>
        </w:rPr>
        <w:t xml:space="preserve">. </w:t>
      </w:r>
      <w:proofErr w:type="spellStart"/>
      <w:r w:rsidRPr="00432A9F">
        <w:rPr>
          <w:iCs/>
        </w:rPr>
        <w:t>Florianópolis</w:t>
      </w:r>
      <w:proofErr w:type="spellEnd"/>
      <w:r w:rsidRPr="00432A9F">
        <w:rPr>
          <w:iCs/>
        </w:rPr>
        <w:t xml:space="preserve">: </w:t>
      </w:r>
      <w:proofErr w:type="spellStart"/>
      <w:r w:rsidRPr="00432A9F">
        <w:rPr>
          <w:iCs/>
        </w:rPr>
        <w:t>Universidade</w:t>
      </w:r>
      <w:proofErr w:type="spellEnd"/>
      <w:r w:rsidRPr="00432A9F">
        <w:rPr>
          <w:iCs/>
        </w:rPr>
        <w:t xml:space="preserve"> Federal de Santa Catarina – COBE UFSC.</w:t>
      </w:r>
    </w:p>
    <w:p w14:paraId="475C1F05" w14:textId="77777777" w:rsidR="00432A9F" w:rsidRDefault="00F02122" w:rsidP="00F02122">
      <w:pPr>
        <w:pStyle w:val="ListParagraph"/>
        <w:keepNext/>
        <w:numPr>
          <w:ilvl w:val="0"/>
          <w:numId w:val="2"/>
        </w:numPr>
        <w:pBdr>
          <w:top w:val="nil"/>
          <w:left w:val="nil"/>
          <w:bottom w:val="nil"/>
          <w:right w:val="nil"/>
          <w:between w:val="nil"/>
        </w:pBdr>
        <w:jc w:val="both"/>
        <w:rPr>
          <w:iCs/>
        </w:rPr>
      </w:pPr>
      <w:r w:rsidRPr="00432A9F">
        <w:rPr>
          <w:iCs/>
        </w:rPr>
        <w:t xml:space="preserve">Reeves, B. C., Deeks, J. J., Higgins, J. P. T., Shea, B., Tugwell, P., Wells, G. A. (2021). Including non-randomized studies on intervention effects. In: Higgins, J. P. T., Thomas, J., Chandler, J., Cumpston, M., Li, T., Page, M. J., et al. (Eds.), Cochrane Handbook for Systematic Reviews of Interventions (Version 6.2). Cochrane. </w:t>
      </w:r>
      <w:proofErr w:type="spellStart"/>
      <w:r w:rsidRPr="00432A9F">
        <w:rPr>
          <w:iCs/>
        </w:rPr>
        <w:t>Recuperado</w:t>
      </w:r>
      <w:proofErr w:type="spellEnd"/>
      <w:r w:rsidRPr="00432A9F">
        <w:rPr>
          <w:iCs/>
        </w:rPr>
        <w:t xml:space="preserve"> de https://www.training.cochrane.org/handbook </w:t>
      </w:r>
    </w:p>
    <w:p w14:paraId="4272B973" w14:textId="77777777" w:rsidR="00432A9F" w:rsidRDefault="00F02122" w:rsidP="00F02122">
      <w:pPr>
        <w:pStyle w:val="ListParagraph"/>
        <w:keepNext/>
        <w:numPr>
          <w:ilvl w:val="0"/>
          <w:numId w:val="2"/>
        </w:numPr>
        <w:pBdr>
          <w:top w:val="nil"/>
          <w:left w:val="nil"/>
          <w:bottom w:val="nil"/>
          <w:right w:val="nil"/>
          <w:between w:val="nil"/>
        </w:pBdr>
        <w:jc w:val="both"/>
        <w:rPr>
          <w:iCs/>
        </w:rPr>
      </w:pPr>
      <w:r w:rsidRPr="00432A9F">
        <w:rPr>
          <w:iCs/>
        </w:rPr>
        <w:t xml:space="preserve">Stang, A. (2010). Critical evaluation of the Newcastle-Ottawa scale for the assessment of the quality of nonrandomized studies in meta-analyses. European Journal of Epidemiology, 25, 603–605. https://doi.org/10.1007/s10654-010-9491-z </w:t>
      </w:r>
    </w:p>
    <w:p w14:paraId="0DAFE976" w14:textId="77777777" w:rsidR="00432A9F" w:rsidRDefault="00F02122" w:rsidP="00F02122">
      <w:pPr>
        <w:pStyle w:val="ListParagraph"/>
        <w:keepNext/>
        <w:numPr>
          <w:ilvl w:val="0"/>
          <w:numId w:val="2"/>
        </w:numPr>
        <w:pBdr>
          <w:top w:val="nil"/>
          <w:left w:val="nil"/>
          <w:bottom w:val="nil"/>
          <w:right w:val="nil"/>
          <w:between w:val="nil"/>
        </w:pBdr>
        <w:jc w:val="both"/>
        <w:rPr>
          <w:iCs/>
        </w:rPr>
      </w:pPr>
      <w:r w:rsidRPr="00432A9F">
        <w:rPr>
          <w:iCs/>
        </w:rPr>
        <w:t xml:space="preserve">Cochrane Scientific Committee.  (2021). Statement on the use of ROBINS-I for non-randomized studies of interventions in Cochrane Reviews. Cochrane Methods. Available from: https://methods.cochrane.org/sites/methods.cochrane.org/files/uploads/scientific_committee_statement_report_robins_i_fin.pdf.  </w:t>
      </w:r>
    </w:p>
    <w:p w14:paraId="4613A821" w14:textId="77777777" w:rsidR="00432A9F" w:rsidRDefault="00F02122" w:rsidP="00F02122">
      <w:pPr>
        <w:pStyle w:val="ListParagraph"/>
        <w:keepNext/>
        <w:numPr>
          <w:ilvl w:val="0"/>
          <w:numId w:val="2"/>
        </w:numPr>
        <w:pBdr>
          <w:top w:val="nil"/>
          <w:left w:val="nil"/>
          <w:bottom w:val="nil"/>
          <w:right w:val="nil"/>
          <w:between w:val="nil"/>
        </w:pBdr>
        <w:jc w:val="both"/>
        <w:rPr>
          <w:iCs/>
        </w:rPr>
      </w:pPr>
      <w:r w:rsidRPr="00432A9F">
        <w:rPr>
          <w:iCs/>
        </w:rPr>
        <w:t xml:space="preserve">Silva, B. L., </w:t>
      </w:r>
      <w:proofErr w:type="spellStart"/>
      <w:r w:rsidRPr="00432A9F">
        <w:rPr>
          <w:iCs/>
        </w:rPr>
        <w:t>Baracho</w:t>
      </w:r>
      <w:proofErr w:type="spellEnd"/>
      <w:r w:rsidRPr="00432A9F">
        <w:rPr>
          <w:iCs/>
        </w:rPr>
        <w:t xml:space="preserve">, M. N. L., Alves, V. P., Almeida, L. M. C., Rocha, G. F., Santos, H. C., et al. (2024). Oral diazepam versus midazolam in controlling children’s negative </w:t>
      </w:r>
      <w:proofErr w:type="spellStart"/>
      <w:r w:rsidRPr="00432A9F">
        <w:rPr>
          <w:iCs/>
        </w:rPr>
        <w:t>behaviour</w:t>
      </w:r>
      <w:proofErr w:type="spellEnd"/>
      <w:r w:rsidRPr="00432A9F">
        <w:rPr>
          <w:iCs/>
        </w:rPr>
        <w:t xml:space="preserve"> during dental treatment: a critical review of clinical trials. </w:t>
      </w:r>
      <w:proofErr w:type="spellStart"/>
      <w:r w:rsidRPr="00432A9F">
        <w:rPr>
          <w:iCs/>
        </w:rPr>
        <w:t>Contribuições</w:t>
      </w:r>
      <w:proofErr w:type="spellEnd"/>
      <w:r w:rsidRPr="00432A9F">
        <w:rPr>
          <w:iCs/>
        </w:rPr>
        <w:t xml:space="preserve"> à </w:t>
      </w:r>
      <w:proofErr w:type="spellStart"/>
      <w:r w:rsidRPr="00432A9F">
        <w:rPr>
          <w:iCs/>
        </w:rPr>
        <w:t>Ciência</w:t>
      </w:r>
      <w:proofErr w:type="spellEnd"/>
      <w:r w:rsidRPr="00432A9F">
        <w:rPr>
          <w:iCs/>
        </w:rPr>
        <w:t xml:space="preserve"> Social, 17, e12792. https://doi.org/10.55905/revconv.17n.12-219. </w:t>
      </w:r>
    </w:p>
    <w:p w14:paraId="67B0231F" w14:textId="77777777" w:rsidR="00432A9F" w:rsidRDefault="00F02122" w:rsidP="00F02122">
      <w:pPr>
        <w:pStyle w:val="ListParagraph"/>
        <w:keepNext/>
        <w:numPr>
          <w:ilvl w:val="0"/>
          <w:numId w:val="2"/>
        </w:numPr>
        <w:pBdr>
          <w:top w:val="nil"/>
          <w:left w:val="nil"/>
          <w:bottom w:val="nil"/>
          <w:right w:val="nil"/>
          <w:between w:val="nil"/>
        </w:pBdr>
        <w:jc w:val="both"/>
        <w:rPr>
          <w:iCs/>
        </w:rPr>
      </w:pPr>
      <w:r w:rsidRPr="00432A9F">
        <w:rPr>
          <w:iCs/>
        </w:rPr>
        <w:t xml:space="preserve">Muniz, M. F. S., Rocha, G. F., Santos, H. C., </w:t>
      </w:r>
      <w:proofErr w:type="spellStart"/>
      <w:r w:rsidRPr="00432A9F">
        <w:rPr>
          <w:iCs/>
        </w:rPr>
        <w:t>Protásio</w:t>
      </w:r>
      <w:proofErr w:type="spellEnd"/>
      <w:r w:rsidRPr="00432A9F">
        <w:rPr>
          <w:iCs/>
        </w:rPr>
        <w:t xml:space="preserve">, A. C. R., Neves, E. C., Almeida, R. S., et al. (2025). Bicarbonate versus alternative treatments in chemotherapy oral mucositis in children: a systematic review of randomized clinical trials. Journal of Advances in Medicine and Medical Research, 37, 156–164. https://doi.org/10.9734/jammr/2025/v37i25729 </w:t>
      </w:r>
    </w:p>
    <w:p w14:paraId="5CADFACC" w14:textId="782C1942" w:rsidR="00432A9F" w:rsidRDefault="00F02122" w:rsidP="00F02122">
      <w:pPr>
        <w:pStyle w:val="ListParagraph"/>
        <w:keepNext/>
        <w:numPr>
          <w:ilvl w:val="0"/>
          <w:numId w:val="2"/>
        </w:numPr>
        <w:pBdr>
          <w:top w:val="nil"/>
          <w:left w:val="nil"/>
          <w:bottom w:val="nil"/>
          <w:right w:val="nil"/>
          <w:between w:val="nil"/>
        </w:pBdr>
        <w:jc w:val="both"/>
        <w:rPr>
          <w:iCs/>
        </w:rPr>
      </w:pPr>
      <w:proofErr w:type="spellStart"/>
      <w:r w:rsidRPr="00432A9F">
        <w:rPr>
          <w:iCs/>
        </w:rPr>
        <w:t>Protásio</w:t>
      </w:r>
      <w:proofErr w:type="spellEnd"/>
      <w:r w:rsidRPr="00432A9F">
        <w:rPr>
          <w:iCs/>
        </w:rPr>
        <w:t xml:space="preserve">, A. C. R., Neves, E. C., Almeida, R. S., Claudino, V. M., Alves, V. P., Almeida, L. M. C., et al. (2025). A comparative study between clear aligners and conventional </w:t>
      </w:r>
      <w:r w:rsidRPr="00432A9F">
        <w:rPr>
          <w:iCs/>
        </w:rPr>
        <w:lastRenderedPageBreak/>
        <w:t xml:space="preserve">braces in </w:t>
      </w:r>
      <w:proofErr w:type="spellStart"/>
      <w:r w:rsidRPr="00432A9F">
        <w:rPr>
          <w:iCs/>
        </w:rPr>
        <w:t>orthosurgical</w:t>
      </w:r>
      <w:proofErr w:type="spellEnd"/>
      <w:r w:rsidRPr="00432A9F">
        <w:rPr>
          <w:iCs/>
        </w:rPr>
        <w:t xml:space="preserve"> patients: a systematic review. Journal of Advances in Medicine and Medical Research, 37, 215–226. </w:t>
      </w:r>
      <w:hyperlink r:id="rId32" w:history="1">
        <w:r w:rsidR="00432A9F" w:rsidRPr="00170648">
          <w:rPr>
            <w:rStyle w:val="Hyperlink"/>
            <w:iCs/>
          </w:rPr>
          <w:t>https://doi.org/10.9734/jammr/2025/v37i25735</w:t>
        </w:r>
      </w:hyperlink>
    </w:p>
    <w:p w14:paraId="53B77D36" w14:textId="77777777" w:rsidR="00432A9F" w:rsidRDefault="00F02122" w:rsidP="00F02122">
      <w:pPr>
        <w:pStyle w:val="ListParagraph"/>
        <w:keepNext/>
        <w:numPr>
          <w:ilvl w:val="0"/>
          <w:numId w:val="2"/>
        </w:numPr>
        <w:pBdr>
          <w:top w:val="nil"/>
          <w:left w:val="nil"/>
          <w:bottom w:val="nil"/>
          <w:right w:val="nil"/>
          <w:between w:val="nil"/>
        </w:pBdr>
        <w:jc w:val="both"/>
        <w:rPr>
          <w:iCs/>
        </w:rPr>
      </w:pPr>
      <w:proofErr w:type="spellStart"/>
      <w:r w:rsidRPr="00432A9F">
        <w:rPr>
          <w:iCs/>
        </w:rPr>
        <w:t>Dreweck</w:t>
      </w:r>
      <w:proofErr w:type="spellEnd"/>
      <w:r w:rsidRPr="00432A9F">
        <w:rPr>
          <w:iCs/>
        </w:rPr>
        <w:t xml:space="preserve">, F. D. S., Soares, S., Duarte, J., Conti, P. C. R., Canto, G. L., André Luís </w:t>
      </w:r>
      <w:proofErr w:type="spellStart"/>
      <w:r w:rsidRPr="00432A9F">
        <w:rPr>
          <w:iCs/>
        </w:rPr>
        <w:t>Porporatti</w:t>
      </w:r>
      <w:proofErr w:type="spellEnd"/>
      <w:r w:rsidRPr="00432A9F">
        <w:rPr>
          <w:iCs/>
        </w:rPr>
        <w:t xml:space="preserve">, A. L., (2020). Association between painful temporomandibular disorders and sleep quality: a systematic review. Journal of Oral Rehabilitation, 47, 1041–1051 </w:t>
      </w:r>
    </w:p>
    <w:p w14:paraId="22C7C9FA" w14:textId="77777777" w:rsidR="00432A9F" w:rsidRDefault="00F02122" w:rsidP="00F02122">
      <w:pPr>
        <w:pStyle w:val="ListParagraph"/>
        <w:keepNext/>
        <w:numPr>
          <w:ilvl w:val="0"/>
          <w:numId w:val="2"/>
        </w:numPr>
        <w:pBdr>
          <w:top w:val="nil"/>
          <w:left w:val="nil"/>
          <w:bottom w:val="nil"/>
          <w:right w:val="nil"/>
          <w:between w:val="nil"/>
        </w:pBdr>
        <w:jc w:val="both"/>
        <w:rPr>
          <w:iCs/>
        </w:rPr>
      </w:pPr>
      <w:r w:rsidRPr="00432A9F">
        <w:rPr>
          <w:iCs/>
        </w:rPr>
        <w:t xml:space="preserve">Sheffield, J. S., Siegel, D., </w:t>
      </w:r>
      <w:proofErr w:type="spellStart"/>
      <w:r w:rsidRPr="00432A9F">
        <w:rPr>
          <w:iCs/>
        </w:rPr>
        <w:t>Mirochnick</w:t>
      </w:r>
      <w:proofErr w:type="spellEnd"/>
      <w:r w:rsidRPr="00432A9F">
        <w:rPr>
          <w:iCs/>
        </w:rPr>
        <w:t>, M., Heine, R. P., Nguyen, C., Bergman, K. L., et al. (2014). Designing drug trials: considerations for pregnant women. Clinical Infectious Diseases, 59 (Suppl 7), S437–S444.</w:t>
      </w:r>
    </w:p>
    <w:p w14:paraId="3F69FFBB" w14:textId="77777777" w:rsidR="00432A9F" w:rsidRDefault="00F02122" w:rsidP="00F02122">
      <w:pPr>
        <w:pStyle w:val="ListParagraph"/>
        <w:keepNext/>
        <w:numPr>
          <w:ilvl w:val="0"/>
          <w:numId w:val="2"/>
        </w:numPr>
        <w:pBdr>
          <w:top w:val="nil"/>
          <w:left w:val="nil"/>
          <w:bottom w:val="nil"/>
          <w:right w:val="nil"/>
          <w:between w:val="nil"/>
        </w:pBdr>
        <w:jc w:val="both"/>
        <w:rPr>
          <w:iCs/>
        </w:rPr>
      </w:pPr>
      <w:r w:rsidRPr="00432A9F">
        <w:rPr>
          <w:iCs/>
        </w:rPr>
        <w:t xml:space="preserve">van der Graaf, R., van der Zande, I. S. E., den </w:t>
      </w:r>
      <w:proofErr w:type="spellStart"/>
      <w:r w:rsidRPr="00432A9F">
        <w:rPr>
          <w:iCs/>
        </w:rPr>
        <w:t>Ruijter</w:t>
      </w:r>
      <w:proofErr w:type="spellEnd"/>
      <w:r w:rsidRPr="00432A9F">
        <w:rPr>
          <w:iCs/>
        </w:rPr>
        <w:t>, H. M., Jansen, M. P., de Vries, R. G., van Delden, J. J. M., et al. (2018). Fair inclusion of pregnant women in clinical trials: an integrated scientific and ethical approach. Trials, 19, 78.</w:t>
      </w:r>
    </w:p>
    <w:p w14:paraId="4E248257" w14:textId="77777777" w:rsidR="00432A9F" w:rsidRDefault="00F02122" w:rsidP="00F02122">
      <w:pPr>
        <w:pStyle w:val="ListParagraph"/>
        <w:keepNext/>
        <w:numPr>
          <w:ilvl w:val="0"/>
          <w:numId w:val="2"/>
        </w:numPr>
        <w:pBdr>
          <w:top w:val="nil"/>
          <w:left w:val="nil"/>
          <w:bottom w:val="nil"/>
          <w:right w:val="nil"/>
          <w:between w:val="nil"/>
        </w:pBdr>
        <w:jc w:val="both"/>
        <w:rPr>
          <w:iCs/>
        </w:rPr>
      </w:pPr>
      <w:r w:rsidRPr="00432A9F">
        <w:rPr>
          <w:iCs/>
        </w:rPr>
        <w:t xml:space="preserve">Shaikh, H., Mahadik, P. V., Shaikh, P., Pardeshi, A., </w:t>
      </w:r>
      <w:proofErr w:type="spellStart"/>
      <w:r w:rsidRPr="00432A9F">
        <w:rPr>
          <w:iCs/>
        </w:rPr>
        <w:t>Wakte</w:t>
      </w:r>
      <w:proofErr w:type="spellEnd"/>
      <w:r w:rsidRPr="00432A9F">
        <w:rPr>
          <w:iCs/>
        </w:rPr>
        <w:t xml:space="preserve">, S. P., </w:t>
      </w:r>
      <w:proofErr w:type="spellStart"/>
      <w:r w:rsidRPr="00432A9F">
        <w:rPr>
          <w:iCs/>
        </w:rPr>
        <w:t>Dakh</w:t>
      </w:r>
      <w:proofErr w:type="spellEnd"/>
      <w:r w:rsidRPr="00432A9F">
        <w:rPr>
          <w:iCs/>
        </w:rPr>
        <w:t xml:space="preserve">, K. S., et al. (2024). Inclusion of pregnant women in clinical trials: need, ethical and scientific considerations and current status. Journal of South Asian Federation of Obstetrics and </w:t>
      </w:r>
      <w:proofErr w:type="spellStart"/>
      <w:r w:rsidRPr="00432A9F">
        <w:rPr>
          <w:iCs/>
        </w:rPr>
        <w:t>Gynaecology</w:t>
      </w:r>
      <w:proofErr w:type="spellEnd"/>
      <w:r w:rsidRPr="00432A9F">
        <w:rPr>
          <w:iCs/>
        </w:rPr>
        <w:t xml:space="preserve">, 16, 126–133. https://doi.org/10.5005/jp-journals-10006-2401 </w:t>
      </w:r>
    </w:p>
    <w:p w14:paraId="67C20AC4" w14:textId="77777777" w:rsidR="00432A9F" w:rsidRDefault="00F02122" w:rsidP="00F02122">
      <w:pPr>
        <w:pStyle w:val="ListParagraph"/>
        <w:keepNext/>
        <w:numPr>
          <w:ilvl w:val="0"/>
          <w:numId w:val="2"/>
        </w:numPr>
        <w:pBdr>
          <w:top w:val="nil"/>
          <w:left w:val="nil"/>
          <w:bottom w:val="nil"/>
          <w:right w:val="nil"/>
          <w:between w:val="nil"/>
        </w:pBdr>
        <w:jc w:val="both"/>
        <w:rPr>
          <w:iCs/>
        </w:rPr>
      </w:pPr>
      <w:r w:rsidRPr="00432A9F">
        <w:rPr>
          <w:iCs/>
        </w:rPr>
        <w:t xml:space="preserve">Herbert, R. D., Kasza, J., &amp; </w:t>
      </w:r>
      <w:proofErr w:type="spellStart"/>
      <w:r w:rsidRPr="00432A9F">
        <w:rPr>
          <w:iCs/>
        </w:rPr>
        <w:t>Bø</w:t>
      </w:r>
      <w:proofErr w:type="spellEnd"/>
      <w:r w:rsidRPr="00432A9F">
        <w:rPr>
          <w:iCs/>
        </w:rPr>
        <w:t xml:space="preserve">, K. (2018). Analysis of </w:t>
      </w:r>
      <w:proofErr w:type="spellStart"/>
      <w:r w:rsidRPr="00432A9F">
        <w:rPr>
          <w:iCs/>
        </w:rPr>
        <w:t>randomised</w:t>
      </w:r>
      <w:proofErr w:type="spellEnd"/>
      <w:r w:rsidRPr="00432A9F">
        <w:rPr>
          <w:iCs/>
        </w:rPr>
        <w:t xml:space="preserve"> trials with long-term follow-up. BMC Medical Research Methodology, 18, 48. </w:t>
      </w:r>
    </w:p>
    <w:p w14:paraId="43E6CFE2" w14:textId="77777777" w:rsidR="00432A9F" w:rsidRDefault="00F02122" w:rsidP="00F02122">
      <w:pPr>
        <w:pStyle w:val="ListParagraph"/>
        <w:keepNext/>
        <w:numPr>
          <w:ilvl w:val="0"/>
          <w:numId w:val="2"/>
        </w:numPr>
        <w:pBdr>
          <w:top w:val="nil"/>
          <w:left w:val="nil"/>
          <w:bottom w:val="nil"/>
          <w:right w:val="nil"/>
          <w:between w:val="nil"/>
        </w:pBdr>
        <w:jc w:val="both"/>
        <w:rPr>
          <w:iCs/>
        </w:rPr>
      </w:pPr>
      <w:r w:rsidRPr="00432A9F">
        <w:rPr>
          <w:iCs/>
        </w:rPr>
        <w:t xml:space="preserve">Murad, M. H., Asi, N., </w:t>
      </w:r>
      <w:proofErr w:type="spellStart"/>
      <w:r w:rsidRPr="00432A9F">
        <w:rPr>
          <w:iCs/>
        </w:rPr>
        <w:t>Alsawas</w:t>
      </w:r>
      <w:proofErr w:type="spellEnd"/>
      <w:r w:rsidRPr="00432A9F">
        <w:rPr>
          <w:iCs/>
        </w:rPr>
        <w:t xml:space="preserve">, M., &amp; </w:t>
      </w:r>
      <w:proofErr w:type="spellStart"/>
      <w:r w:rsidRPr="00432A9F">
        <w:rPr>
          <w:iCs/>
        </w:rPr>
        <w:t>Alahdab</w:t>
      </w:r>
      <w:proofErr w:type="spellEnd"/>
      <w:r w:rsidRPr="00432A9F">
        <w:rPr>
          <w:iCs/>
        </w:rPr>
        <w:t>, F. (2016). New evidence pyramid. Evidence-Based Medicine, 21, 125–127.</w:t>
      </w:r>
    </w:p>
    <w:p w14:paraId="22BEE0AF" w14:textId="5F674798" w:rsidR="00432A9F" w:rsidRDefault="00F02122" w:rsidP="00F02122">
      <w:pPr>
        <w:pStyle w:val="ListParagraph"/>
        <w:keepNext/>
        <w:numPr>
          <w:ilvl w:val="0"/>
          <w:numId w:val="2"/>
        </w:numPr>
        <w:pBdr>
          <w:top w:val="nil"/>
          <w:left w:val="nil"/>
          <w:bottom w:val="nil"/>
          <w:right w:val="nil"/>
          <w:between w:val="nil"/>
        </w:pBdr>
        <w:jc w:val="both"/>
        <w:rPr>
          <w:iCs/>
        </w:rPr>
      </w:pPr>
      <w:r w:rsidRPr="00432A9F">
        <w:rPr>
          <w:iCs/>
        </w:rPr>
        <w:t xml:space="preserve">Canto, G. L., Stefani, C. M., &amp; </w:t>
      </w:r>
      <w:proofErr w:type="spellStart"/>
      <w:r w:rsidRPr="00432A9F">
        <w:rPr>
          <w:iCs/>
        </w:rPr>
        <w:t>Massignan</w:t>
      </w:r>
      <w:proofErr w:type="spellEnd"/>
      <w:r w:rsidRPr="00432A9F">
        <w:rPr>
          <w:iCs/>
        </w:rPr>
        <w:t xml:space="preserve">, C. (Eds.). (2021). </w:t>
      </w:r>
      <w:proofErr w:type="spellStart"/>
      <w:r w:rsidRPr="00432A9F">
        <w:rPr>
          <w:iCs/>
        </w:rPr>
        <w:t>Risco</w:t>
      </w:r>
      <w:proofErr w:type="spellEnd"/>
      <w:r w:rsidRPr="00432A9F">
        <w:rPr>
          <w:iCs/>
        </w:rPr>
        <w:t xml:space="preserve"> de </w:t>
      </w:r>
      <w:proofErr w:type="spellStart"/>
      <w:r w:rsidRPr="00432A9F">
        <w:rPr>
          <w:iCs/>
        </w:rPr>
        <w:t>viés</w:t>
      </w:r>
      <w:proofErr w:type="spellEnd"/>
      <w:r w:rsidRPr="00432A9F">
        <w:rPr>
          <w:iCs/>
        </w:rPr>
        <w:t xml:space="preserve"> </w:t>
      </w:r>
      <w:proofErr w:type="spellStart"/>
      <w:r w:rsidRPr="00432A9F">
        <w:rPr>
          <w:iCs/>
        </w:rPr>
        <w:t>em</w:t>
      </w:r>
      <w:proofErr w:type="spellEnd"/>
      <w:r w:rsidRPr="00432A9F">
        <w:rPr>
          <w:iCs/>
        </w:rPr>
        <w:t xml:space="preserve"> </w:t>
      </w:r>
      <w:proofErr w:type="spellStart"/>
      <w:r w:rsidRPr="00432A9F">
        <w:rPr>
          <w:iCs/>
        </w:rPr>
        <w:t>revisões</w:t>
      </w:r>
      <w:proofErr w:type="spellEnd"/>
      <w:r w:rsidRPr="00432A9F">
        <w:rPr>
          <w:iCs/>
        </w:rPr>
        <w:t xml:space="preserve"> </w:t>
      </w:r>
      <w:proofErr w:type="spellStart"/>
      <w:r w:rsidRPr="00432A9F">
        <w:rPr>
          <w:iCs/>
        </w:rPr>
        <w:t>sistemáticas</w:t>
      </w:r>
      <w:proofErr w:type="spellEnd"/>
      <w:r w:rsidRPr="00432A9F">
        <w:rPr>
          <w:iCs/>
        </w:rPr>
        <w:t xml:space="preserve">: </w:t>
      </w:r>
      <w:proofErr w:type="spellStart"/>
      <w:r w:rsidRPr="00432A9F">
        <w:rPr>
          <w:iCs/>
        </w:rPr>
        <w:t>guia</w:t>
      </w:r>
      <w:proofErr w:type="spellEnd"/>
      <w:r w:rsidRPr="00432A9F">
        <w:rPr>
          <w:iCs/>
        </w:rPr>
        <w:t xml:space="preserve"> </w:t>
      </w:r>
      <w:proofErr w:type="spellStart"/>
      <w:r w:rsidRPr="00432A9F">
        <w:rPr>
          <w:iCs/>
        </w:rPr>
        <w:t>prático</w:t>
      </w:r>
      <w:proofErr w:type="spellEnd"/>
      <w:r w:rsidRPr="00432A9F">
        <w:rPr>
          <w:iCs/>
        </w:rPr>
        <w:t xml:space="preserve">. </w:t>
      </w:r>
      <w:proofErr w:type="spellStart"/>
      <w:r w:rsidRPr="00432A9F">
        <w:rPr>
          <w:iCs/>
        </w:rPr>
        <w:t>Florianópolis</w:t>
      </w:r>
      <w:proofErr w:type="spellEnd"/>
      <w:r w:rsidRPr="00432A9F">
        <w:rPr>
          <w:iCs/>
        </w:rPr>
        <w:t xml:space="preserve">: Centro </w:t>
      </w:r>
      <w:proofErr w:type="spellStart"/>
      <w:r w:rsidRPr="00432A9F">
        <w:rPr>
          <w:iCs/>
        </w:rPr>
        <w:t>Brasileiro</w:t>
      </w:r>
      <w:proofErr w:type="spellEnd"/>
      <w:r w:rsidRPr="00432A9F">
        <w:rPr>
          <w:iCs/>
        </w:rPr>
        <w:t xml:space="preserve"> de </w:t>
      </w:r>
      <w:proofErr w:type="spellStart"/>
      <w:r w:rsidRPr="00432A9F">
        <w:rPr>
          <w:iCs/>
        </w:rPr>
        <w:t>Pesquisas</w:t>
      </w:r>
      <w:proofErr w:type="spellEnd"/>
      <w:r w:rsidRPr="00432A9F">
        <w:rPr>
          <w:iCs/>
        </w:rPr>
        <w:t xml:space="preserve"> </w:t>
      </w:r>
      <w:proofErr w:type="spellStart"/>
      <w:r w:rsidRPr="00432A9F">
        <w:rPr>
          <w:iCs/>
        </w:rPr>
        <w:t>Baseadas</w:t>
      </w:r>
      <w:proofErr w:type="spellEnd"/>
      <w:r w:rsidRPr="00432A9F">
        <w:rPr>
          <w:iCs/>
        </w:rPr>
        <w:t xml:space="preserve"> </w:t>
      </w:r>
      <w:proofErr w:type="spellStart"/>
      <w:r w:rsidRPr="00432A9F">
        <w:rPr>
          <w:iCs/>
        </w:rPr>
        <w:t>em</w:t>
      </w:r>
      <w:proofErr w:type="spellEnd"/>
      <w:r w:rsidRPr="00432A9F">
        <w:rPr>
          <w:iCs/>
        </w:rPr>
        <w:t xml:space="preserve"> </w:t>
      </w:r>
      <w:proofErr w:type="spellStart"/>
      <w:r w:rsidRPr="00432A9F">
        <w:rPr>
          <w:iCs/>
        </w:rPr>
        <w:t>Evidências</w:t>
      </w:r>
      <w:proofErr w:type="spellEnd"/>
      <w:r w:rsidRPr="00432A9F">
        <w:rPr>
          <w:iCs/>
        </w:rPr>
        <w:t xml:space="preserve"> – COBE UFSC. </w:t>
      </w:r>
      <w:proofErr w:type="spellStart"/>
      <w:r w:rsidRPr="00432A9F">
        <w:rPr>
          <w:iCs/>
        </w:rPr>
        <w:t>Recuperado</w:t>
      </w:r>
      <w:proofErr w:type="spellEnd"/>
      <w:r w:rsidRPr="00432A9F">
        <w:rPr>
          <w:iCs/>
        </w:rPr>
        <w:t xml:space="preserve"> de </w:t>
      </w:r>
      <w:hyperlink r:id="rId33" w:history="1">
        <w:r w:rsidR="00432A9F" w:rsidRPr="00170648">
          <w:rPr>
            <w:rStyle w:val="Hyperlink"/>
            <w:iCs/>
          </w:rPr>
          <w:t>https://guiariscodeviescobe.paginas.ufsc.br/</w:t>
        </w:r>
      </w:hyperlink>
    </w:p>
    <w:p w14:paraId="567CC260" w14:textId="77777777" w:rsidR="00432A9F" w:rsidRDefault="00F02122" w:rsidP="00F02122">
      <w:pPr>
        <w:pStyle w:val="ListParagraph"/>
        <w:keepNext/>
        <w:numPr>
          <w:ilvl w:val="0"/>
          <w:numId w:val="2"/>
        </w:numPr>
        <w:pBdr>
          <w:top w:val="nil"/>
          <w:left w:val="nil"/>
          <w:bottom w:val="nil"/>
          <w:right w:val="nil"/>
          <w:between w:val="nil"/>
        </w:pBdr>
        <w:jc w:val="both"/>
        <w:rPr>
          <w:iCs/>
        </w:rPr>
      </w:pPr>
      <w:proofErr w:type="spellStart"/>
      <w:r w:rsidRPr="00432A9F">
        <w:rPr>
          <w:iCs/>
        </w:rPr>
        <w:t>Schüttfort</w:t>
      </w:r>
      <w:proofErr w:type="spellEnd"/>
      <w:r w:rsidRPr="00432A9F">
        <w:rPr>
          <w:iCs/>
        </w:rPr>
        <w:t xml:space="preserve">, G., Höfler, S., Kann, G., </w:t>
      </w:r>
      <w:proofErr w:type="spellStart"/>
      <w:r w:rsidRPr="00432A9F">
        <w:rPr>
          <w:iCs/>
        </w:rPr>
        <w:t>Königs</w:t>
      </w:r>
      <w:proofErr w:type="spellEnd"/>
      <w:r w:rsidRPr="00432A9F">
        <w:rPr>
          <w:iCs/>
        </w:rPr>
        <w:t xml:space="preserve">, C., de Leuw, P., Herrmann, E., et al. (2020). Influence of tenofovir exposure in utero on primary dentition. European Journal of Pediatrics, 179(11), 1761–1768. https://doi.org/10.1007/s00431-020-03660-1 </w:t>
      </w:r>
    </w:p>
    <w:p w14:paraId="24472D4F" w14:textId="5669C060" w:rsidR="00432A9F" w:rsidRDefault="00F02122" w:rsidP="00F02122">
      <w:pPr>
        <w:pStyle w:val="ListParagraph"/>
        <w:keepNext/>
        <w:numPr>
          <w:ilvl w:val="0"/>
          <w:numId w:val="2"/>
        </w:numPr>
        <w:pBdr>
          <w:top w:val="nil"/>
          <w:left w:val="nil"/>
          <w:bottom w:val="nil"/>
          <w:right w:val="nil"/>
          <w:between w:val="nil"/>
        </w:pBdr>
        <w:jc w:val="both"/>
        <w:rPr>
          <w:iCs/>
        </w:rPr>
      </w:pPr>
      <w:proofErr w:type="spellStart"/>
      <w:r w:rsidRPr="00432A9F">
        <w:rPr>
          <w:iCs/>
        </w:rPr>
        <w:t>Owosho</w:t>
      </w:r>
      <w:proofErr w:type="spellEnd"/>
      <w:r w:rsidRPr="00432A9F">
        <w:rPr>
          <w:iCs/>
        </w:rPr>
        <w:t xml:space="preserve">, A. A., Brady, P., Wolden, S. L., Wexler, L. H., Antonescu, C. R., Huryn, J. M., et al. (2016). Long-term effect of chemotherapy-intensity-modulated radiation therapy (chemo-IMRT) on dentofacial development in head and neck rhabdomyosarcoma patients. Pediatric Hematology and Oncology, 33(6), 383–392. </w:t>
      </w:r>
      <w:hyperlink r:id="rId34" w:history="1">
        <w:r w:rsidR="00432A9F" w:rsidRPr="00170648">
          <w:rPr>
            <w:rStyle w:val="Hyperlink"/>
            <w:iCs/>
          </w:rPr>
          <w:t>https://doi.org/10.1080/08880018.2016.1219797</w:t>
        </w:r>
      </w:hyperlink>
    </w:p>
    <w:p w14:paraId="5EBF25FA" w14:textId="7CEC2936" w:rsidR="00432A9F" w:rsidRDefault="00F02122" w:rsidP="00F02122">
      <w:pPr>
        <w:pStyle w:val="ListParagraph"/>
        <w:keepNext/>
        <w:numPr>
          <w:ilvl w:val="0"/>
          <w:numId w:val="2"/>
        </w:numPr>
        <w:pBdr>
          <w:top w:val="nil"/>
          <w:left w:val="nil"/>
          <w:bottom w:val="nil"/>
          <w:right w:val="nil"/>
          <w:between w:val="nil"/>
        </w:pBdr>
        <w:jc w:val="both"/>
        <w:rPr>
          <w:iCs/>
        </w:rPr>
      </w:pPr>
      <w:r w:rsidRPr="00432A9F">
        <w:rPr>
          <w:iCs/>
        </w:rPr>
        <w:t xml:space="preserve">Hong, L., Levy, S. M., Warren, J. J., Dawson, D. V., Bergus, G. R., Wefel, J. S. (2005). Association of amoxicillin use during early childhood with developmental tooth enamel defects. Archives of Pediatrics &amp; Adolescent Medicine, 159, 943–948. </w:t>
      </w:r>
      <w:hyperlink r:id="rId35" w:history="1">
        <w:r w:rsidR="00432A9F" w:rsidRPr="00170648">
          <w:rPr>
            <w:rStyle w:val="Hyperlink"/>
            <w:iCs/>
          </w:rPr>
          <w:t>https://doi.org/10.1001/archpedi.159.10.943</w:t>
        </w:r>
      </w:hyperlink>
    </w:p>
    <w:p w14:paraId="399F4B22" w14:textId="77777777" w:rsidR="00432A9F" w:rsidRDefault="00F02122" w:rsidP="00F02122">
      <w:pPr>
        <w:pStyle w:val="ListParagraph"/>
        <w:keepNext/>
        <w:numPr>
          <w:ilvl w:val="0"/>
          <w:numId w:val="2"/>
        </w:numPr>
        <w:pBdr>
          <w:top w:val="nil"/>
          <w:left w:val="nil"/>
          <w:bottom w:val="nil"/>
          <w:right w:val="nil"/>
          <w:between w:val="nil"/>
        </w:pBdr>
        <w:jc w:val="both"/>
        <w:rPr>
          <w:iCs/>
        </w:rPr>
      </w:pPr>
      <w:proofErr w:type="spellStart"/>
      <w:r w:rsidRPr="00432A9F">
        <w:rPr>
          <w:iCs/>
        </w:rPr>
        <w:t>Kühnisch</w:t>
      </w:r>
      <w:proofErr w:type="spellEnd"/>
      <w:r w:rsidRPr="00432A9F">
        <w:rPr>
          <w:iCs/>
        </w:rPr>
        <w:t xml:space="preserve">, J., Thiering, E., Heinrich-Weltzien, R., Hellwig, E., Hickel, R., Heinrich, J. (2017). Fluoride/vitamin D tablet supplementation in infants: effects on dental health after 10 years. Clinical Oral Investigations, 21, 2283–2290. https://doi.org/10.1007/s00784-016-2021-y </w:t>
      </w:r>
    </w:p>
    <w:p w14:paraId="3E3B1A74" w14:textId="751B0F9F" w:rsidR="00432A9F" w:rsidRDefault="00F02122" w:rsidP="00F02122">
      <w:pPr>
        <w:pStyle w:val="ListParagraph"/>
        <w:keepNext/>
        <w:numPr>
          <w:ilvl w:val="0"/>
          <w:numId w:val="2"/>
        </w:numPr>
        <w:pBdr>
          <w:top w:val="nil"/>
          <w:left w:val="nil"/>
          <w:bottom w:val="nil"/>
          <w:right w:val="nil"/>
          <w:between w:val="nil"/>
        </w:pBdr>
        <w:jc w:val="both"/>
        <w:rPr>
          <w:iCs/>
        </w:rPr>
      </w:pPr>
      <w:r w:rsidRPr="00432A9F">
        <w:rPr>
          <w:iCs/>
        </w:rPr>
        <w:t xml:space="preserve">Elfrink, M. E., Moll, H. A., Kiefte-de Jong, J. C., El </w:t>
      </w:r>
      <w:proofErr w:type="spellStart"/>
      <w:r w:rsidRPr="00432A9F">
        <w:rPr>
          <w:iCs/>
        </w:rPr>
        <w:t>Marroun</w:t>
      </w:r>
      <w:proofErr w:type="spellEnd"/>
      <w:r w:rsidRPr="00432A9F">
        <w:rPr>
          <w:iCs/>
        </w:rPr>
        <w:t xml:space="preserve">, H., </w:t>
      </w:r>
      <w:proofErr w:type="spellStart"/>
      <w:r w:rsidRPr="00432A9F">
        <w:rPr>
          <w:iCs/>
        </w:rPr>
        <w:t>Jaddoe</w:t>
      </w:r>
      <w:proofErr w:type="spellEnd"/>
      <w:r w:rsidRPr="00432A9F">
        <w:rPr>
          <w:iCs/>
        </w:rPr>
        <w:t xml:space="preserve">, V. W., Hofman, A., et al. (2013). Is maternal use of medicines during pregnancy associated </w:t>
      </w:r>
      <w:r w:rsidRPr="00432A9F">
        <w:rPr>
          <w:iCs/>
        </w:rPr>
        <w:lastRenderedPageBreak/>
        <w:t xml:space="preserve">with deciduous molar </w:t>
      </w:r>
      <w:proofErr w:type="spellStart"/>
      <w:r w:rsidRPr="00432A9F">
        <w:rPr>
          <w:iCs/>
        </w:rPr>
        <w:t>hypomineralisation</w:t>
      </w:r>
      <w:proofErr w:type="spellEnd"/>
      <w:r w:rsidRPr="00432A9F">
        <w:rPr>
          <w:iCs/>
        </w:rPr>
        <w:t xml:space="preserve"> in the offspring? A prospective, population-based study. Drug Safety, 36, 627–633. </w:t>
      </w:r>
      <w:hyperlink r:id="rId36" w:history="1">
        <w:r w:rsidR="00432A9F" w:rsidRPr="00170648">
          <w:rPr>
            <w:rStyle w:val="Hyperlink"/>
            <w:iCs/>
          </w:rPr>
          <w:t>https://doi.org/10.1007/s40264-013-0078-y</w:t>
        </w:r>
      </w:hyperlink>
    </w:p>
    <w:p w14:paraId="041AD0B9" w14:textId="77777777" w:rsidR="00432A9F" w:rsidRDefault="00F02122" w:rsidP="00F02122">
      <w:pPr>
        <w:pStyle w:val="ListParagraph"/>
        <w:keepNext/>
        <w:numPr>
          <w:ilvl w:val="0"/>
          <w:numId w:val="2"/>
        </w:numPr>
        <w:pBdr>
          <w:top w:val="nil"/>
          <w:left w:val="nil"/>
          <w:bottom w:val="nil"/>
          <w:right w:val="nil"/>
          <w:between w:val="nil"/>
        </w:pBdr>
        <w:jc w:val="both"/>
        <w:rPr>
          <w:iCs/>
        </w:rPr>
      </w:pPr>
      <w:r w:rsidRPr="00432A9F">
        <w:rPr>
          <w:iCs/>
        </w:rPr>
        <w:t xml:space="preserve">Serna, C., Vicente, A., Finke, C., Ortiz, A. J. (2016). Drugs related to the etiology of molar incisor </w:t>
      </w:r>
      <w:proofErr w:type="spellStart"/>
      <w:r w:rsidRPr="00432A9F">
        <w:rPr>
          <w:iCs/>
        </w:rPr>
        <w:t>hypomineralization</w:t>
      </w:r>
      <w:proofErr w:type="spellEnd"/>
      <w:r w:rsidRPr="00432A9F">
        <w:rPr>
          <w:iCs/>
        </w:rPr>
        <w:t xml:space="preserve">: A systematic review. Journal of the American Dental Association, 147(2), 120–130. https://doi.org/10.1016/j.adaj.2015.08.011 </w:t>
      </w:r>
    </w:p>
    <w:p w14:paraId="48E8A534" w14:textId="77777777" w:rsidR="00432A9F" w:rsidRDefault="00F02122" w:rsidP="00F02122">
      <w:pPr>
        <w:pStyle w:val="ListParagraph"/>
        <w:keepNext/>
        <w:numPr>
          <w:ilvl w:val="0"/>
          <w:numId w:val="2"/>
        </w:numPr>
        <w:pBdr>
          <w:top w:val="nil"/>
          <w:left w:val="nil"/>
          <w:bottom w:val="nil"/>
          <w:right w:val="nil"/>
          <w:between w:val="nil"/>
        </w:pBdr>
        <w:jc w:val="both"/>
        <w:rPr>
          <w:iCs/>
        </w:rPr>
      </w:pPr>
      <w:r w:rsidRPr="00432A9F">
        <w:rPr>
          <w:iCs/>
        </w:rPr>
        <w:t xml:space="preserve">Raedel M., Priess H.W., Wagner Y., Armann J., Bohm S., Hertel S., et al. (2022). Associations of early childhood medication exposure and molar incisor </w:t>
      </w:r>
      <w:proofErr w:type="spellStart"/>
      <w:r w:rsidRPr="00432A9F">
        <w:rPr>
          <w:iCs/>
        </w:rPr>
        <w:t>hypomineralization</w:t>
      </w:r>
      <w:proofErr w:type="spellEnd"/>
      <w:r w:rsidRPr="00432A9F">
        <w:rPr>
          <w:iCs/>
        </w:rPr>
        <w:t xml:space="preserve"> (MIH): A routine data analysis. Journal of dentistry, 126, 104315. https://doi.org/10.1016/j.jdent.2022.104315 </w:t>
      </w:r>
    </w:p>
    <w:p w14:paraId="5CA3B9EB" w14:textId="77777777" w:rsidR="00432A9F" w:rsidRDefault="00F02122" w:rsidP="00F02122">
      <w:pPr>
        <w:pStyle w:val="ListParagraph"/>
        <w:keepNext/>
        <w:numPr>
          <w:ilvl w:val="0"/>
          <w:numId w:val="2"/>
        </w:numPr>
        <w:pBdr>
          <w:top w:val="nil"/>
          <w:left w:val="nil"/>
          <w:bottom w:val="nil"/>
          <w:right w:val="nil"/>
          <w:between w:val="nil"/>
        </w:pBdr>
        <w:jc w:val="both"/>
        <w:rPr>
          <w:iCs/>
        </w:rPr>
      </w:pPr>
      <w:r w:rsidRPr="00432A9F">
        <w:rPr>
          <w:iCs/>
        </w:rPr>
        <w:t xml:space="preserve">Salazar F. P., Manterola D. C., Quiroz S. G., García M. N., Otzen H. T., Mora V. M., et al. (2019). </w:t>
      </w:r>
      <w:proofErr w:type="spellStart"/>
      <w:r w:rsidRPr="00432A9F">
        <w:rPr>
          <w:iCs/>
        </w:rPr>
        <w:t>Estudios</w:t>
      </w:r>
      <w:proofErr w:type="spellEnd"/>
      <w:r w:rsidRPr="00432A9F">
        <w:rPr>
          <w:iCs/>
        </w:rPr>
        <w:t xml:space="preserve"> de </w:t>
      </w:r>
      <w:proofErr w:type="spellStart"/>
      <w:r w:rsidRPr="00432A9F">
        <w:rPr>
          <w:iCs/>
        </w:rPr>
        <w:t>cohortes</w:t>
      </w:r>
      <w:proofErr w:type="spellEnd"/>
      <w:r w:rsidRPr="00432A9F">
        <w:rPr>
          <w:iCs/>
        </w:rPr>
        <w:t>. 1</w:t>
      </w:r>
      <w:r w:rsidRPr="00432A9F">
        <w:rPr>
          <w:rFonts w:ascii="Arial" w:hAnsi="Arial" w:cs="Arial"/>
          <w:iCs/>
        </w:rPr>
        <w:t>ᵃ</w:t>
      </w:r>
      <w:r w:rsidRPr="00432A9F">
        <w:rPr>
          <w:iCs/>
        </w:rPr>
        <w:t xml:space="preserve"> </w:t>
      </w:r>
      <w:proofErr w:type="spellStart"/>
      <w:r w:rsidRPr="00432A9F">
        <w:rPr>
          <w:iCs/>
        </w:rPr>
        <w:t>parte</w:t>
      </w:r>
      <w:proofErr w:type="spellEnd"/>
      <w:r w:rsidRPr="00432A9F">
        <w:rPr>
          <w:iCs/>
        </w:rPr>
        <w:t xml:space="preserve">. </w:t>
      </w:r>
      <w:proofErr w:type="spellStart"/>
      <w:r w:rsidRPr="00432A9F">
        <w:rPr>
          <w:iCs/>
        </w:rPr>
        <w:t>Descripción</w:t>
      </w:r>
      <w:proofErr w:type="spellEnd"/>
      <w:r w:rsidRPr="00432A9F">
        <w:rPr>
          <w:iCs/>
        </w:rPr>
        <w:t xml:space="preserve">, </w:t>
      </w:r>
      <w:proofErr w:type="spellStart"/>
      <w:r w:rsidRPr="00432A9F">
        <w:rPr>
          <w:iCs/>
        </w:rPr>
        <w:t>metodología</w:t>
      </w:r>
      <w:proofErr w:type="spellEnd"/>
      <w:r w:rsidRPr="00432A9F">
        <w:rPr>
          <w:iCs/>
        </w:rPr>
        <w:t xml:space="preserve"> y </w:t>
      </w:r>
      <w:proofErr w:type="spellStart"/>
      <w:r w:rsidRPr="00432A9F">
        <w:rPr>
          <w:iCs/>
        </w:rPr>
        <w:t>aplicaciones</w:t>
      </w:r>
      <w:proofErr w:type="spellEnd"/>
      <w:r w:rsidRPr="00432A9F">
        <w:rPr>
          <w:iCs/>
        </w:rPr>
        <w:t xml:space="preserve">. </w:t>
      </w:r>
      <w:proofErr w:type="spellStart"/>
      <w:r w:rsidRPr="00432A9F">
        <w:rPr>
          <w:iCs/>
        </w:rPr>
        <w:t>Revista</w:t>
      </w:r>
      <w:proofErr w:type="spellEnd"/>
      <w:r w:rsidRPr="00432A9F">
        <w:rPr>
          <w:iCs/>
        </w:rPr>
        <w:t xml:space="preserve"> de </w:t>
      </w:r>
      <w:proofErr w:type="spellStart"/>
      <w:r w:rsidRPr="00432A9F">
        <w:rPr>
          <w:iCs/>
        </w:rPr>
        <w:t>cirugía</w:t>
      </w:r>
      <w:proofErr w:type="spellEnd"/>
      <w:r w:rsidRPr="00432A9F">
        <w:rPr>
          <w:iCs/>
        </w:rPr>
        <w:t xml:space="preserve">, 71(5), 482-493. https://dx.doi.org/10.35687/s2452-45492019005431 </w:t>
      </w:r>
    </w:p>
    <w:p w14:paraId="2E3CD15E" w14:textId="77777777" w:rsidR="00432A9F" w:rsidRDefault="00F02122" w:rsidP="00F02122">
      <w:pPr>
        <w:pStyle w:val="ListParagraph"/>
        <w:keepNext/>
        <w:numPr>
          <w:ilvl w:val="0"/>
          <w:numId w:val="2"/>
        </w:numPr>
        <w:pBdr>
          <w:top w:val="nil"/>
          <w:left w:val="nil"/>
          <w:bottom w:val="nil"/>
          <w:right w:val="nil"/>
          <w:between w:val="nil"/>
        </w:pBdr>
        <w:jc w:val="both"/>
        <w:rPr>
          <w:iCs/>
        </w:rPr>
      </w:pPr>
      <w:r w:rsidRPr="00432A9F">
        <w:rPr>
          <w:iCs/>
        </w:rPr>
        <w:t xml:space="preserve">Kaste S.C., Goodman P., Leisenring W., Stovall M., Hayashi R.J., Yeazel M, </w:t>
      </w:r>
      <w:proofErr w:type="gramStart"/>
      <w:r w:rsidRPr="00432A9F">
        <w:rPr>
          <w:iCs/>
        </w:rPr>
        <w:t>et al.(</w:t>
      </w:r>
      <w:proofErr w:type="gramEnd"/>
      <w:r w:rsidRPr="00432A9F">
        <w:rPr>
          <w:iCs/>
        </w:rPr>
        <w:t xml:space="preserve">2009). Impact of radiation and chemotherapy on risk of dental abnormalities: a report from the Childhood Cancer Survivor Study. Cancer;115, 5817–27. https://doi.org/10.1002/cncr.24670 </w:t>
      </w:r>
    </w:p>
    <w:p w14:paraId="1552AEB1" w14:textId="3B712324" w:rsidR="00432A9F" w:rsidRDefault="00F02122" w:rsidP="00F02122">
      <w:pPr>
        <w:pStyle w:val="ListParagraph"/>
        <w:keepNext/>
        <w:numPr>
          <w:ilvl w:val="0"/>
          <w:numId w:val="2"/>
        </w:numPr>
        <w:pBdr>
          <w:top w:val="nil"/>
          <w:left w:val="nil"/>
          <w:bottom w:val="nil"/>
          <w:right w:val="nil"/>
          <w:between w:val="nil"/>
        </w:pBdr>
        <w:jc w:val="both"/>
        <w:rPr>
          <w:iCs/>
        </w:rPr>
      </w:pPr>
      <w:r w:rsidRPr="00432A9F">
        <w:rPr>
          <w:iCs/>
        </w:rPr>
        <w:t xml:space="preserve"> </w:t>
      </w:r>
      <w:proofErr w:type="spellStart"/>
      <w:r w:rsidRPr="00432A9F">
        <w:rPr>
          <w:iCs/>
        </w:rPr>
        <w:t>Bagattoni</w:t>
      </w:r>
      <w:proofErr w:type="spellEnd"/>
      <w:r w:rsidRPr="00432A9F">
        <w:rPr>
          <w:iCs/>
        </w:rPr>
        <w:t xml:space="preserve"> S., D’Alessandro G., Prete A., Piana G., </w:t>
      </w:r>
      <w:proofErr w:type="spellStart"/>
      <w:r w:rsidRPr="00432A9F">
        <w:rPr>
          <w:iCs/>
        </w:rPr>
        <w:t>Pession</w:t>
      </w:r>
      <w:proofErr w:type="spellEnd"/>
      <w:r w:rsidRPr="00432A9F">
        <w:rPr>
          <w:iCs/>
        </w:rPr>
        <w:t xml:space="preserve"> </w:t>
      </w:r>
      <w:proofErr w:type="gramStart"/>
      <w:r w:rsidRPr="00432A9F">
        <w:rPr>
          <w:iCs/>
        </w:rPr>
        <w:t>A.(</w:t>
      </w:r>
      <w:proofErr w:type="gramEnd"/>
      <w:r w:rsidRPr="00432A9F">
        <w:rPr>
          <w:iCs/>
        </w:rPr>
        <w:t>2014). Oral health and dental late adverse effects in children in remission from malignant disease: a pilot case-control study in Italian children. European journal of pediatric dentistry, 15, 45–50</w:t>
      </w:r>
      <w:r w:rsidR="00432A9F">
        <w:rPr>
          <w:iCs/>
        </w:rPr>
        <w:t>l</w:t>
      </w:r>
    </w:p>
    <w:p w14:paraId="22033DEB" w14:textId="77777777" w:rsidR="00432A9F" w:rsidRDefault="00F02122" w:rsidP="00F02122">
      <w:pPr>
        <w:pStyle w:val="ListParagraph"/>
        <w:keepNext/>
        <w:numPr>
          <w:ilvl w:val="0"/>
          <w:numId w:val="2"/>
        </w:numPr>
        <w:pBdr>
          <w:top w:val="nil"/>
          <w:left w:val="nil"/>
          <w:bottom w:val="nil"/>
          <w:right w:val="nil"/>
          <w:between w:val="nil"/>
        </w:pBdr>
        <w:jc w:val="both"/>
        <w:rPr>
          <w:iCs/>
        </w:rPr>
      </w:pPr>
      <w:r w:rsidRPr="00432A9F">
        <w:rPr>
          <w:iCs/>
        </w:rPr>
        <w:t xml:space="preserve">Nørrisgaard P.E., Haubek D., </w:t>
      </w:r>
      <w:proofErr w:type="spellStart"/>
      <w:r w:rsidRPr="00432A9F">
        <w:rPr>
          <w:iCs/>
        </w:rPr>
        <w:t>Schoos</w:t>
      </w:r>
      <w:proofErr w:type="spellEnd"/>
      <w:r w:rsidRPr="00432A9F">
        <w:rPr>
          <w:iCs/>
        </w:rPr>
        <w:t xml:space="preserve"> A.M., </w:t>
      </w:r>
      <w:proofErr w:type="spellStart"/>
      <w:r w:rsidRPr="00432A9F">
        <w:rPr>
          <w:iCs/>
        </w:rPr>
        <w:t>Kühnisch</w:t>
      </w:r>
      <w:proofErr w:type="spellEnd"/>
      <w:r w:rsidRPr="00432A9F">
        <w:rPr>
          <w:iCs/>
        </w:rPr>
        <w:t xml:space="preserve"> J., Chawes B.L., Stokholm J., et al. (2023). Asthma medication and risk of dental diseases in children: a prospective cohort study. Pediatric allergy and immunology, 34, e14026.</w:t>
      </w:r>
    </w:p>
    <w:p w14:paraId="0FBBD6E4" w14:textId="77777777" w:rsidR="00432A9F" w:rsidRDefault="00F02122" w:rsidP="00F02122">
      <w:pPr>
        <w:pStyle w:val="ListParagraph"/>
        <w:keepNext/>
        <w:numPr>
          <w:ilvl w:val="0"/>
          <w:numId w:val="2"/>
        </w:numPr>
        <w:pBdr>
          <w:top w:val="nil"/>
          <w:left w:val="nil"/>
          <w:bottom w:val="nil"/>
          <w:right w:val="nil"/>
          <w:between w:val="nil"/>
        </w:pBdr>
        <w:jc w:val="both"/>
        <w:rPr>
          <w:iCs/>
        </w:rPr>
      </w:pPr>
      <w:proofErr w:type="spellStart"/>
      <w:r w:rsidRPr="00432A9F">
        <w:rPr>
          <w:iCs/>
        </w:rPr>
        <w:t>Colonetti</w:t>
      </w:r>
      <w:proofErr w:type="spellEnd"/>
      <w:r w:rsidRPr="00432A9F">
        <w:rPr>
          <w:iCs/>
        </w:rPr>
        <w:t xml:space="preserve">, T., Paulino, A. S., Sartor, J. P., Grande, A. J., </w:t>
      </w:r>
      <w:proofErr w:type="spellStart"/>
      <w:r w:rsidRPr="00432A9F">
        <w:rPr>
          <w:iCs/>
        </w:rPr>
        <w:t>Colonetti</w:t>
      </w:r>
      <w:proofErr w:type="spellEnd"/>
      <w:r w:rsidRPr="00432A9F">
        <w:rPr>
          <w:iCs/>
        </w:rPr>
        <w:t xml:space="preserve">, L., &amp; Rosa, M. I. da. (2022). Vitamin D supplementation during pregnancy to prevent vitamin D deficiency in newborns: a systematic review and meta-analysis. </w:t>
      </w:r>
      <w:proofErr w:type="spellStart"/>
      <w:r w:rsidRPr="00432A9F">
        <w:rPr>
          <w:iCs/>
        </w:rPr>
        <w:t>Revista</w:t>
      </w:r>
      <w:proofErr w:type="spellEnd"/>
      <w:r w:rsidRPr="00432A9F">
        <w:rPr>
          <w:iCs/>
        </w:rPr>
        <w:t xml:space="preserve"> </w:t>
      </w:r>
      <w:proofErr w:type="spellStart"/>
      <w:r w:rsidRPr="00432A9F">
        <w:rPr>
          <w:iCs/>
        </w:rPr>
        <w:t>Brasileira</w:t>
      </w:r>
      <w:proofErr w:type="spellEnd"/>
      <w:r w:rsidRPr="00432A9F">
        <w:rPr>
          <w:iCs/>
        </w:rPr>
        <w:t xml:space="preserve"> De </w:t>
      </w:r>
      <w:proofErr w:type="spellStart"/>
      <w:r w:rsidRPr="00432A9F">
        <w:rPr>
          <w:iCs/>
        </w:rPr>
        <w:t>Saúde</w:t>
      </w:r>
      <w:proofErr w:type="spellEnd"/>
      <w:r w:rsidRPr="00432A9F">
        <w:rPr>
          <w:iCs/>
        </w:rPr>
        <w:t xml:space="preserve"> </w:t>
      </w:r>
      <w:proofErr w:type="spellStart"/>
      <w:r w:rsidRPr="00432A9F">
        <w:rPr>
          <w:iCs/>
        </w:rPr>
        <w:t>Materno</w:t>
      </w:r>
      <w:proofErr w:type="spellEnd"/>
      <w:r w:rsidRPr="00432A9F">
        <w:rPr>
          <w:iCs/>
        </w:rPr>
        <w:t xml:space="preserve"> </w:t>
      </w:r>
      <w:proofErr w:type="spellStart"/>
      <w:r w:rsidRPr="00432A9F">
        <w:rPr>
          <w:iCs/>
        </w:rPr>
        <w:t>Infantil</w:t>
      </w:r>
      <w:proofErr w:type="spellEnd"/>
      <w:r w:rsidRPr="00432A9F">
        <w:rPr>
          <w:iCs/>
        </w:rPr>
        <w:t xml:space="preserve">, 22(2), 199–211. https://doi.org/10.1590/1806-9304202200020002. </w:t>
      </w:r>
    </w:p>
    <w:p w14:paraId="68BD4937" w14:textId="77777777" w:rsidR="00432A9F" w:rsidRDefault="00F02122" w:rsidP="00F02122">
      <w:pPr>
        <w:pStyle w:val="ListParagraph"/>
        <w:keepNext/>
        <w:numPr>
          <w:ilvl w:val="0"/>
          <w:numId w:val="2"/>
        </w:numPr>
        <w:pBdr>
          <w:top w:val="nil"/>
          <w:left w:val="nil"/>
          <w:bottom w:val="nil"/>
          <w:right w:val="nil"/>
          <w:between w:val="nil"/>
        </w:pBdr>
        <w:jc w:val="both"/>
        <w:rPr>
          <w:iCs/>
        </w:rPr>
      </w:pPr>
      <w:r w:rsidRPr="00432A9F">
        <w:rPr>
          <w:iCs/>
        </w:rPr>
        <w:t xml:space="preserve">Børsting, T., Schuller, A., van Dommelen, P., Stafne, S. N., Skeie, M. S., Skaare, A. B., Mørkved, S., Salvesen, K., </w:t>
      </w:r>
      <w:proofErr w:type="spellStart"/>
      <w:r w:rsidRPr="00432A9F">
        <w:rPr>
          <w:iCs/>
        </w:rPr>
        <w:t>Stunes</w:t>
      </w:r>
      <w:proofErr w:type="spellEnd"/>
      <w:r w:rsidRPr="00432A9F">
        <w:rPr>
          <w:iCs/>
        </w:rPr>
        <w:t xml:space="preserve">, A. K., Mosti, M. P., Gustafsson, M. K., Syversen, U., &amp; Fagerhaug, T. N. (2022). Maternal vitamin D status in pregnancy and molar incisor </w:t>
      </w:r>
      <w:proofErr w:type="spellStart"/>
      <w:r w:rsidRPr="00432A9F">
        <w:rPr>
          <w:iCs/>
        </w:rPr>
        <w:t>hypomineralisation</w:t>
      </w:r>
      <w:proofErr w:type="spellEnd"/>
      <w:r w:rsidRPr="00432A9F">
        <w:rPr>
          <w:iCs/>
        </w:rPr>
        <w:t xml:space="preserve"> and </w:t>
      </w:r>
      <w:proofErr w:type="spellStart"/>
      <w:r w:rsidRPr="00432A9F">
        <w:rPr>
          <w:iCs/>
        </w:rPr>
        <w:t>hypomineralised</w:t>
      </w:r>
      <w:proofErr w:type="spellEnd"/>
      <w:r w:rsidRPr="00432A9F">
        <w:rPr>
          <w:iCs/>
        </w:rPr>
        <w:t xml:space="preserve"> second primary molars in the offspring at 7-9 years of age: a longitudinal study. European Academy of </w:t>
      </w:r>
      <w:proofErr w:type="spellStart"/>
      <w:r w:rsidRPr="00432A9F">
        <w:rPr>
          <w:iCs/>
        </w:rPr>
        <w:t>Paediatric</w:t>
      </w:r>
      <w:proofErr w:type="spellEnd"/>
      <w:r w:rsidRPr="00432A9F">
        <w:rPr>
          <w:iCs/>
        </w:rPr>
        <w:t xml:space="preserve"> Dentistry, 23(4), 557-566. https://doi.org/10.1007/s40368-022-00712-y. </w:t>
      </w:r>
    </w:p>
    <w:p w14:paraId="4F06FBC6" w14:textId="77777777" w:rsidR="00432A9F" w:rsidRDefault="00F02122" w:rsidP="00F02122">
      <w:pPr>
        <w:pStyle w:val="ListParagraph"/>
        <w:keepNext/>
        <w:numPr>
          <w:ilvl w:val="0"/>
          <w:numId w:val="2"/>
        </w:numPr>
        <w:pBdr>
          <w:top w:val="nil"/>
          <w:left w:val="nil"/>
          <w:bottom w:val="nil"/>
          <w:right w:val="nil"/>
          <w:between w:val="nil"/>
        </w:pBdr>
        <w:jc w:val="both"/>
        <w:rPr>
          <w:iCs/>
        </w:rPr>
      </w:pPr>
      <w:proofErr w:type="spellStart"/>
      <w:r w:rsidRPr="00432A9F">
        <w:rPr>
          <w:iCs/>
        </w:rPr>
        <w:t>Rogalnikovaite</w:t>
      </w:r>
      <w:proofErr w:type="spellEnd"/>
      <w:r w:rsidRPr="00432A9F">
        <w:rPr>
          <w:iCs/>
        </w:rPr>
        <w:t xml:space="preserve">, K., </w:t>
      </w:r>
      <w:proofErr w:type="spellStart"/>
      <w:r w:rsidRPr="00432A9F">
        <w:rPr>
          <w:iCs/>
        </w:rPr>
        <w:t>Bendoraitiene</w:t>
      </w:r>
      <w:proofErr w:type="spellEnd"/>
      <w:r w:rsidRPr="00432A9F">
        <w:rPr>
          <w:iCs/>
        </w:rPr>
        <w:t xml:space="preserve">, E., &amp; </w:t>
      </w:r>
      <w:proofErr w:type="spellStart"/>
      <w:r w:rsidRPr="00432A9F">
        <w:rPr>
          <w:iCs/>
        </w:rPr>
        <w:t>Andruskeviciene</w:t>
      </w:r>
      <w:proofErr w:type="spellEnd"/>
      <w:r w:rsidRPr="00432A9F">
        <w:rPr>
          <w:iCs/>
        </w:rPr>
        <w:t xml:space="preserve">, V. (2022). Associations of Prenatal Vitamin D status with Oral Health in Offspring: A Systematic </w:t>
      </w:r>
      <w:proofErr w:type="spellStart"/>
      <w:r w:rsidRPr="00432A9F">
        <w:rPr>
          <w:iCs/>
        </w:rPr>
        <w:t>Review.Oral</w:t>
      </w:r>
      <w:proofErr w:type="spellEnd"/>
      <w:r w:rsidRPr="00432A9F">
        <w:rPr>
          <w:iCs/>
        </w:rPr>
        <w:t xml:space="preserve"> health and preventive dentistry, 20, 393-400. https://doi.org/10.3290/j.ohpd.b3505831.  </w:t>
      </w:r>
    </w:p>
    <w:p w14:paraId="7B872164" w14:textId="77777777" w:rsidR="00432A9F" w:rsidRDefault="00F02122" w:rsidP="00F02122">
      <w:pPr>
        <w:pStyle w:val="ListParagraph"/>
        <w:keepNext/>
        <w:numPr>
          <w:ilvl w:val="0"/>
          <w:numId w:val="2"/>
        </w:numPr>
        <w:pBdr>
          <w:top w:val="nil"/>
          <w:left w:val="nil"/>
          <w:bottom w:val="nil"/>
          <w:right w:val="nil"/>
          <w:between w:val="nil"/>
        </w:pBdr>
        <w:jc w:val="both"/>
        <w:rPr>
          <w:iCs/>
        </w:rPr>
      </w:pPr>
      <w:proofErr w:type="spellStart"/>
      <w:r w:rsidRPr="00432A9F">
        <w:rPr>
          <w:iCs/>
        </w:rPr>
        <w:t>Brasil</w:t>
      </w:r>
      <w:proofErr w:type="spellEnd"/>
      <w:r w:rsidRPr="00432A9F">
        <w:rPr>
          <w:iCs/>
        </w:rPr>
        <w:t xml:space="preserve">. </w:t>
      </w:r>
      <w:proofErr w:type="spellStart"/>
      <w:r w:rsidRPr="00432A9F">
        <w:rPr>
          <w:iCs/>
        </w:rPr>
        <w:t>Ministério</w:t>
      </w:r>
      <w:proofErr w:type="spellEnd"/>
      <w:r w:rsidRPr="00432A9F">
        <w:rPr>
          <w:iCs/>
        </w:rPr>
        <w:t xml:space="preserve"> da </w:t>
      </w:r>
      <w:proofErr w:type="spellStart"/>
      <w:r w:rsidRPr="00432A9F">
        <w:rPr>
          <w:iCs/>
        </w:rPr>
        <w:t>Saúde</w:t>
      </w:r>
      <w:proofErr w:type="spellEnd"/>
      <w:r w:rsidRPr="00432A9F">
        <w:rPr>
          <w:iCs/>
        </w:rPr>
        <w:t xml:space="preserve">. (2014). </w:t>
      </w:r>
      <w:proofErr w:type="spellStart"/>
      <w:r w:rsidRPr="00432A9F">
        <w:rPr>
          <w:iCs/>
        </w:rPr>
        <w:t>Diretrizes</w:t>
      </w:r>
      <w:proofErr w:type="spellEnd"/>
      <w:r w:rsidRPr="00432A9F">
        <w:rPr>
          <w:iCs/>
        </w:rPr>
        <w:t xml:space="preserve"> </w:t>
      </w:r>
      <w:proofErr w:type="spellStart"/>
      <w:r w:rsidRPr="00432A9F">
        <w:rPr>
          <w:iCs/>
        </w:rPr>
        <w:t>metodológicas</w:t>
      </w:r>
      <w:proofErr w:type="spellEnd"/>
      <w:r w:rsidRPr="00432A9F">
        <w:rPr>
          <w:iCs/>
        </w:rPr>
        <w:t xml:space="preserve">: Sistema GRADE – manual de </w:t>
      </w:r>
      <w:proofErr w:type="spellStart"/>
      <w:r w:rsidRPr="00432A9F">
        <w:rPr>
          <w:iCs/>
        </w:rPr>
        <w:t>graduação</w:t>
      </w:r>
      <w:proofErr w:type="spellEnd"/>
      <w:r w:rsidRPr="00432A9F">
        <w:rPr>
          <w:iCs/>
        </w:rPr>
        <w:t xml:space="preserve"> da </w:t>
      </w:r>
      <w:proofErr w:type="spellStart"/>
      <w:r w:rsidRPr="00432A9F">
        <w:rPr>
          <w:iCs/>
        </w:rPr>
        <w:t>qualidade</w:t>
      </w:r>
      <w:proofErr w:type="spellEnd"/>
      <w:r w:rsidRPr="00432A9F">
        <w:rPr>
          <w:iCs/>
        </w:rPr>
        <w:t xml:space="preserve"> da </w:t>
      </w:r>
      <w:proofErr w:type="spellStart"/>
      <w:r w:rsidRPr="00432A9F">
        <w:rPr>
          <w:iCs/>
        </w:rPr>
        <w:t>evidência</w:t>
      </w:r>
      <w:proofErr w:type="spellEnd"/>
      <w:r w:rsidRPr="00432A9F">
        <w:rPr>
          <w:iCs/>
        </w:rPr>
        <w:t xml:space="preserve"> e </w:t>
      </w:r>
      <w:proofErr w:type="spellStart"/>
      <w:r w:rsidRPr="00432A9F">
        <w:rPr>
          <w:iCs/>
        </w:rPr>
        <w:t>força</w:t>
      </w:r>
      <w:proofErr w:type="spellEnd"/>
      <w:r w:rsidRPr="00432A9F">
        <w:rPr>
          <w:iCs/>
        </w:rPr>
        <w:t xml:space="preserve"> de </w:t>
      </w:r>
      <w:proofErr w:type="spellStart"/>
      <w:r w:rsidRPr="00432A9F">
        <w:rPr>
          <w:iCs/>
        </w:rPr>
        <w:t>recomendação</w:t>
      </w:r>
      <w:proofErr w:type="spellEnd"/>
      <w:r w:rsidRPr="00432A9F">
        <w:rPr>
          <w:iCs/>
        </w:rPr>
        <w:t xml:space="preserve"> para </w:t>
      </w:r>
      <w:proofErr w:type="spellStart"/>
      <w:r w:rsidRPr="00432A9F">
        <w:rPr>
          <w:iCs/>
        </w:rPr>
        <w:t>tomada</w:t>
      </w:r>
      <w:proofErr w:type="spellEnd"/>
      <w:r w:rsidRPr="00432A9F">
        <w:rPr>
          <w:iCs/>
        </w:rPr>
        <w:t xml:space="preserve"> de </w:t>
      </w:r>
      <w:proofErr w:type="spellStart"/>
      <w:r w:rsidRPr="00432A9F">
        <w:rPr>
          <w:iCs/>
        </w:rPr>
        <w:t>decisão</w:t>
      </w:r>
      <w:proofErr w:type="spellEnd"/>
      <w:r w:rsidRPr="00432A9F">
        <w:rPr>
          <w:iCs/>
        </w:rPr>
        <w:t xml:space="preserve"> </w:t>
      </w:r>
      <w:proofErr w:type="spellStart"/>
      <w:r w:rsidRPr="00432A9F">
        <w:rPr>
          <w:iCs/>
        </w:rPr>
        <w:t>em</w:t>
      </w:r>
      <w:proofErr w:type="spellEnd"/>
      <w:r w:rsidRPr="00432A9F">
        <w:rPr>
          <w:iCs/>
        </w:rPr>
        <w:t xml:space="preserve"> </w:t>
      </w:r>
      <w:proofErr w:type="spellStart"/>
      <w:r w:rsidRPr="00432A9F">
        <w:rPr>
          <w:iCs/>
        </w:rPr>
        <w:t>saúde</w:t>
      </w:r>
      <w:proofErr w:type="spellEnd"/>
      <w:r w:rsidRPr="00432A9F">
        <w:rPr>
          <w:iCs/>
        </w:rPr>
        <w:t xml:space="preserve">. Brasília: </w:t>
      </w:r>
      <w:proofErr w:type="spellStart"/>
      <w:r w:rsidRPr="00432A9F">
        <w:rPr>
          <w:iCs/>
        </w:rPr>
        <w:t>Ministério</w:t>
      </w:r>
      <w:proofErr w:type="spellEnd"/>
      <w:r w:rsidRPr="00432A9F">
        <w:rPr>
          <w:iCs/>
        </w:rPr>
        <w:t xml:space="preserve"> da </w:t>
      </w:r>
      <w:proofErr w:type="spellStart"/>
      <w:r w:rsidRPr="00432A9F">
        <w:rPr>
          <w:iCs/>
        </w:rPr>
        <w:t>Saúde</w:t>
      </w:r>
      <w:proofErr w:type="spellEnd"/>
      <w:r w:rsidRPr="00432A9F">
        <w:rPr>
          <w:iCs/>
        </w:rPr>
        <w:t>.</w:t>
      </w:r>
    </w:p>
    <w:p w14:paraId="3B592ED8" w14:textId="77777777" w:rsidR="00432A9F" w:rsidRDefault="00F02122" w:rsidP="00F02122">
      <w:pPr>
        <w:pStyle w:val="ListParagraph"/>
        <w:keepNext/>
        <w:numPr>
          <w:ilvl w:val="0"/>
          <w:numId w:val="2"/>
        </w:numPr>
        <w:pBdr>
          <w:top w:val="nil"/>
          <w:left w:val="nil"/>
          <w:bottom w:val="nil"/>
          <w:right w:val="nil"/>
          <w:between w:val="nil"/>
        </w:pBdr>
        <w:jc w:val="both"/>
        <w:rPr>
          <w:iCs/>
        </w:rPr>
      </w:pPr>
      <w:r w:rsidRPr="00432A9F">
        <w:rPr>
          <w:iCs/>
        </w:rPr>
        <w:t xml:space="preserve">Jacobsen, P. E., Henriksen, T. B., Haubek, D., &amp; Ostergaard, J. R. (2013). Developmental enamel defects in children prenatally exposed to anti-epileptic drugs. Public Library of Science one, 8(3), e58213. https://doi.org/10.1371/journal.pone.0058213. </w:t>
      </w:r>
    </w:p>
    <w:p w14:paraId="71C35672" w14:textId="02B38099" w:rsidR="00F02122" w:rsidRPr="00432A9F" w:rsidRDefault="00F02122" w:rsidP="00F02122">
      <w:pPr>
        <w:pStyle w:val="ListParagraph"/>
        <w:keepNext/>
        <w:numPr>
          <w:ilvl w:val="0"/>
          <w:numId w:val="2"/>
        </w:numPr>
        <w:pBdr>
          <w:top w:val="nil"/>
          <w:left w:val="nil"/>
          <w:bottom w:val="nil"/>
          <w:right w:val="nil"/>
          <w:between w:val="nil"/>
        </w:pBdr>
        <w:jc w:val="both"/>
        <w:rPr>
          <w:iCs/>
        </w:rPr>
      </w:pPr>
      <w:r w:rsidRPr="00432A9F">
        <w:rPr>
          <w:iCs/>
        </w:rPr>
        <w:t xml:space="preserve">Shinde, M. R., &amp; </w:t>
      </w:r>
      <w:proofErr w:type="spellStart"/>
      <w:r w:rsidRPr="00432A9F">
        <w:rPr>
          <w:iCs/>
        </w:rPr>
        <w:t>Winnier</w:t>
      </w:r>
      <w:proofErr w:type="spellEnd"/>
      <w:r w:rsidRPr="00432A9F">
        <w:rPr>
          <w:iCs/>
        </w:rPr>
        <w:t xml:space="preserve">, J. J. (2022). Correlation between Aerosol Therapy and Other Associated Factors in Early Childhood with Molar Incisor </w:t>
      </w:r>
      <w:proofErr w:type="spellStart"/>
      <w:r w:rsidRPr="00432A9F">
        <w:rPr>
          <w:iCs/>
        </w:rPr>
        <w:t>Hypomineralization</w:t>
      </w:r>
      <w:proofErr w:type="spellEnd"/>
      <w:r w:rsidRPr="00432A9F">
        <w:rPr>
          <w:iCs/>
        </w:rPr>
        <w:t xml:space="preserve">. </w:t>
      </w:r>
      <w:r w:rsidRPr="00432A9F">
        <w:rPr>
          <w:iCs/>
        </w:rPr>
        <w:lastRenderedPageBreak/>
        <w:t xml:space="preserve">International journal of clinical pediatric dentistry., 15(5), 554-557. https://doi.org/10.5005/jp-journals-10005-2429.  </w:t>
      </w:r>
    </w:p>
    <w:p w14:paraId="6DD852DD" w14:textId="77777777" w:rsidR="00F02122" w:rsidRPr="00F02122" w:rsidRDefault="00F02122" w:rsidP="00F02122">
      <w:pPr>
        <w:keepNext/>
        <w:pBdr>
          <w:top w:val="nil"/>
          <w:left w:val="nil"/>
          <w:bottom w:val="nil"/>
          <w:right w:val="nil"/>
          <w:between w:val="nil"/>
        </w:pBdr>
        <w:jc w:val="both"/>
        <w:rPr>
          <w:iCs/>
        </w:rPr>
      </w:pPr>
    </w:p>
    <w:p w14:paraId="1EEFE771" w14:textId="77777777" w:rsidR="00F02122" w:rsidRPr="00F02122" w:rsidRDefault="00F02122" w:rsidP="00F02122">
      <w:pPr>
        <w:keepNext/>
        <w:pBdr>
          <w:top w:val="nil"/>
          <w:left w:val="nil"/>
          <w:bottom w:val="nil"/>
          <w:right w:val="nil"/>
          <w:between w:val="nil"/>
        </w:pBdr>
        <w:jc w:val="both"/>
        <w:rPr>
          <w:iCs/>
        </w:rPr>
      </w:pPr>
    </w:p>
    <w:p w14:paraId="748E96F7" w14:textId="77777777" w:rsidR="00F02122" w:rsidRPr="00F02122" w:rsidRDefault="00F02122" w:rsidP="00F02122">
      <w:pPr>
        <w:keepNext/>
        <w:pBdr>
          <w:top w:val="nil"/>
          <w:left w:val="nil"/>
          <w:bottom w:val="nil"/>
          <w:right w:val="nil"/>
          <w:between w:val="nil"/>
        </w:pBdr>
        <w:jc w:val="both"/>
        <w:rPr>
          <w:iCs/>
        </w:rPr>
      </w:pPr>
    </w:p>
    <w:p w14:paraId="1D42756C" w14:textId="77777777" w:rsidR="00F02122" w:rsidRPr="00F02122" w:rsidRDefault="00F02122" w:rsidP="00F02122">
      <w:pPr>
        <w:keepNext/>
        <w:pBdr>
          <w:top w:val="nil"/>
          <w:left w:val="nil"/>
          <w:bottom w:val="nil"/>
          <w:right w:val="nil"/>
          <w:between w:val="nil"/>
        </w:pBdr>
        <w:jc w:val="both"/>
        <w:rPr>
          <w:iCs/>
        </w:rPr>
      </w:pPr>
    </w:p>
    <w:p w14:paraId="199F7519" w14:textId="77777777" w:rsidR="00F02122" w:rsidRPr="00F02122" w:rsidRDefault="00F02122" w:rsidP="00F02122">
      <w:pPr>
        <w:keepNext/>
        <w:pBdr>
          <w:top w:val="nil"/>
          <w:left w:val="nil"/>
          <w:bottom w:val="nil"/>
          <w:right w:val="nil"/>
          <w:between w:val="nil"/>
        </w:pBdr>
        <w:jc w:val="both"/>
        <w:rPr>
          <w:iCs/>
        </w:rPr>
      </w:pPr>
    </w:p>
    <w:p w14:paraId="1D92BE4B" w14:textId="015A6D0E" w:rsidR="00150BA3" w:rsidRDefault="00150BA3">
      <w:pPr>
        <w:keepNext/>
        <w:pBdr>
          <w:top w:val="nil"/>
          <w:left w:val="nil"/>
          <w:bottom w:val="nil"/>
          <w:right w:val="nil"/>
          <w:between w:val="nil"/>
        </w:pBdr>
        <w:jc w:val="both"/>
        <w:rPr>
          <w:rFonts w:ascii="Arial" w:eastAsia="Arial" w:hAnsi="Arial" w:cs="Arial"/>
          <w:smallCaps/>
          <w:color w:val="FF0000"/>
          <w:sz w:val="22"/>
          <w:szCs w:val="22"/>
        </w:rPr>
        <w:sectPr w:rsidR="00150BA3" w:rsidSect="001649B0">
          <w:headerReference w:type="even" r:id="rId37"/>
          <w:headerReference w:type="default" r:id="rId38"/>
          <w:footerReference w:type="default" r:id="rId39"/>
          <w:headerReference w:type="first" r:id="rId40"/>
          <w:type w:val="continuous"/>
          <w:pgSz w:w="12240" w:h="15840"/>
          <w:pgMar w:top="1440" w:right="2016" w:bottom="2016" w:left="2016" w:header="720" w:footer="1123" w:gutter="0"/>
          <w:cols w:space="720"/>
          <w:docGrid w:linePitch="272"/>
        </w:sectPr>
      </w:pPr>
    </w:p>
    <w:p w14:paraId="219B161E" w14:textId="77777777" w:rsidR="00150BA3" w:rsidRDefault="00150BA3" w:rsidP="006960B6">
      <w:pPr>
        <w:keepNext/>
        <w:pBdr>
          <w:top w:val="nil"/>
          <w:left w:val="nil"/>
          <w:bottom w:val="nil"/>
          <w:right w:val="nil"/>
          <w:between w:val="nil"/>
        </w:pBdr>
        <w:jc w:val="both"/>
        <w:rPr>
          <w:rFonts w:ascii="Arial" w:eastAsia="Arial" w:hAnsi="Arial" w:cs="Arial"/>
          <w:smallCaps/>
          <w:color w:val="FF0000"/>
          <w:sz w:val="22"/>
          <w:szCs w:val="22"/>
        </w:rPr>
      </w:pPr>
    </w:p>
    <w:sectPr w:rsidR="00150BA3" w:rsidSect="001649B0">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5EDC86" w14:textId="77777777" w:rsidR="00AB0688" w:rsidRDefault="00AB0688">
      <w:r>
        <w:separator/>
      </w:r>
    </w:p>
  </w:endnote>
  <w:endnote w:type="continuationSeparator" w:id="0">
    <w:p w14:paraId="27555464" w14:textId="77777777" w:rsidR="00AB0688" w:rsidRDefault="00AB06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Helvetica Neue">
    <w:altName w:val="SimSun"/>
    <w:charset w:val="00"/>
    <w:family w:val="auto"/>
    <w:pitch w:val="default"/>
    <w:embedRegular r:id="rId1" w:fontKey="{5F60D194-EC3C-47F6-ACE4-F165EE40AD21}"/>
    <w:embedBold r:id="rId2" w:fontKey="{2B1D8ABD-B8EB-4EE3-A075-BF60BC191428}"/>
    <w:embedItalic r:id="rId3" w:fontKey="{7DA6110B-DD06-475B-9178-B371360DB9D8}"/>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embedRegular r:id="rId4" w:fontKey="{D1746581-BA24-44E8-94FD-A13A9402E793}"/>
  </w:font>
  <w:font w:name="Helvetica">
    <w:panose1 w:val="020B0604020202020204"/>
    <w:charset w:val="00"/>
    <w:family w:val="swiss"/>
    <w:pitch w:val="variable"/>
    <w:sig w:usb0="E0002EFF" w:usb1="C000785B" w:usb2="00000009" w:usb3="00000000" w:csb0="000001FF" w:csb1="00000000"/>
    <w:embedRegular r:id="rId5" w:fontKey="{39F45739-54C2-4E7C-9426-BB863398CDB2}"/>
  </w:font>
  <w:font w:name="Tahoma">
    <w:panose1 w:val="020B0604030504040204"/>
    <w:charset w:val="00"/>
    <w:family w:val="swiss"/>
    <w:pitch w:val="variable"/>
    <w:sig w:usb0="E1002EFF" w:usb1="C000605B" w:usb2="00000029" w:usb3="00000000" w:csb0="000101FF" w:csb1="00000000"/>
    <w:embedRegular r:id="rId6" w:fontKey="{5B686FD6-B89F-4E1F-8F15-A4394690B969}"/>
  </w:font>
  <w:font w:name="Georgia">
    <w:panose1 w:val="02040502050405020303"/>
    <w:charset w:val="00"/>
    <w:family w:val="roman"/>
    <w:pitch w:val="variable"/>
    <w:sig w:usb0="00000287" w:usb1="00000000" w:usb2="00000000" w:usb3="00000000" w:csb0="0000009F" w:csb1="00000000"/>
    <w:embedRegular r:id="rId7" w:fontKey="{FC5DCA3C-BBD8-4CFD-8A35-0C1D15EF381D}"/>
    <w:embedItalic r:id="rId8" w:fontKey="{B3DB2986-B8B7-486B-9337-7E075E71F7AC}"/>
  </w:font>
  <w:font w:name="Cambria">
    <w:panose1 w:val="02040503050406030204"/>
    <w:charset w:val="00"/>
    <w:family w:val="roman"/>
    <w:pitch w:val="variable"/>
    <w:sig w:usb0="E00006FF" w:usb1="420024FF" w:usb2="02000000" w:usb3="00000000" w:csb0="0000019F" w:csb1="00000000"/>
    <w:embedRegular r:id="rId9" w:fontKey="{2D77B7BF-3EA8-4EFC-BBA6-B486D40C8B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49C73" w14:textId="77777777" w:rsidR="00150BA3" w:rsidRDefault="00150BA3">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A87EF" w14:textId="77777777" w:rsidR="001649B0" w:rsidRDefault="001649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77D40" w14:textId="1F47E1C9" w:rsidR="00150BA3" w:rsidRPr="001649B0" w:rsidRDefault="00150BA3" w:rsidP="001649B0">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958E3" w14:textId="77777777" w:rsidR="00150BA3" w:rsidRDefault="00150BA3">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515495" w14:textId="77777777" w:rsidR="00AB0688" w:rsidRDefault="00AB0688">
      <w:r>
        <w:separator/>
      </w:r>
    </w:p>
  </w:footnote>
  <w:footnote w:type="continuationSeparator" w:id="0">
    <w:p w14:paraId="647E5731" w14:textId="77777777" w:rsidR="00AB0688" w:rsidRDefault="00AB06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0CC32" w14:textId="6C98FD31" w:rsidR="00150BA3" w:rsidRDefault="001649B0">
    <w:pPr>
      <w:pBdr>
        <w:top w:val="nil"/>
        <w:left w:val="nil"/>
        <w:bottom w:val="nil"/>
        <w:right w:val="nil"/>
        <w:between w:val="nil"/>
      </w:pBdr>
      <w:tabs>
        <w:tab w:val="center" w:pos="4320"/>
        <w:tab w:val="right" w:pos="8640"/>
      </w:tabs>
      <w:rPr>
        <w:color w:val="000000"/>
      </w:rPr>
    </w:pPr>
    <w:r>
      <w:rPr>
        <w:noProof/>
      </w:rPr>
      <w:pict w14:anchorId="07A1FD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0246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BB773" w14:textId="414DA7C1" w:rsidR="00150BA3" w:rsidRDefault="001649B0">
    <w:pPr>
      <w:pBdr>
        <w:top w:val="nil"/>
        <w:left w:val="nil"/>
        <w:bottom w:val="nil"/>
        <w:right w:val="nil"/>
        <w:between w:val="nil"/>
      </w:pBdr>
      <w:tabs>
        <w:tab w:val="center" w:pos="4320"/>
        <w:tab w:val="right" w:pos="8640"/>
      </w:tabs>
      <w:rPr>
        <w:color w:val="000000"/>
      </w:rPr>
    </w:pPr>
    <w:r>
      <w:rPr>
        <w:noProof/>
      </w:rPr>
      <w:pict w14:anchorId="2161D5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0247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50720" w14:textId="2F8FAA4C" w:rsidR="00150BA3" w:rsidRDefault="001649B0">
    <w:pPr>
      <w:ind w:left="2160"/>
      <w:jc w:val="center"/>
      <w:rPr>
        <w:rFonts w:ascii="Times New Roman" w:eastAsia="Times New Roman" w:hAnsi="Times New Roman" w:cs="Times New Roman"/>
        <w:i/>
        <w:sz w:val="18"/>
        <w:szCs w:val="18"/>
      </w:rPr>
    </w:pPr>
    <w:r>
      <w:rPr>
        <w:noProof/>
      </w:rPr>
      <w:pict w14:anchorId="43159F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0246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723F5660" w14:textId="77777777" w:rsidR="00150BA3" w:rsidRDefault="00AB0688">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2E19578" w14:textId="77777777" w:rsidR="00150BA3" w:rsidRDefault="00AB0688">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232FC1FC" w14:textId="77777777" w:rsidR="00150BA3" w:rsidRDefault="00AB0688">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7A31AC86" w14:textId="77777777" w:rsidR="00150BA3" w:rsidRDefault="00AB0688">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5EB48890" w14:textId="77777777" w:rsidR="00150BA3" w:rsidRDefault="00AB0688">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4EE7EE21" w14:textId="77777777" w:rsidR="00150BA3" w:rsidRDefault="00AB0688">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75EAA" w14:textId="58CDD079" w:rsidR="001649B0" w:rsidRDefault="001649B0">
    <w:pPr>
      <w:pStyle w:val="Header"/>
    </w:pPr>
    <w:r>
      <w:rPr>
        <w:noProof/>
      </w:rPr>
      <w:pict w14:anchorId="74A0D3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0247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9613A" w14:textId="116DB9F2" w:rsidR="001649B0" w:rsidRDefault="001649B0">
    <w:pPr>
      <w:pStyle w:val="Header"/>
    </w:pPr>
    <w:r>
      <w:rPr>
        <w:noProof/>
      </w:rPr>
      <w:pict w14:anchorId="524A8F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0247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82E4D" w14:textId="1A131D7F" w:rsidR="001649B0" w:rsidRDefault="001649B0">
    <w:pPr>
      <w:pStyle w:val="Header"/>
    </w:pPr>
    <w:r>
      <w:rPr>
        <w:noProof/>
      </w:rPr>
      <w:pict w14:anchorId="735B8B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0247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A63A7"/>
    <w:multiLevelType w:val="multilevel"/>
    <w:tmpl w:val="E4D2D32A"/>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BF353B0"/>
    <w:multiLevelType w:val="hybridMultilevel"/>
    <w:tmpl w:val="B0FEAD4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TrueTypeFonts/>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BA3"/>
    <w:rsid w:val="00150BA3"/>
    <w:rsid w:val="001649B0"/>
    <w:rsid w:val="003A2419"/>
    <w:rsid w:val="00432A9F"/>
    <w:rsid w:val="00544576"/>
    <w:rsid w:val="005858E7"/>
    <w:rsid w:val="005F5738"/>
    <w:rsid w:val="00654FB4"/>
    <w:rsid w:val="006960B6"/>
    <w:rsid w:val="0071690E"/>
    <w:rsid w:val="007743AA"/>
    <w:rsid w:val="007A1A10"/>
    <w:rsid w:val="008C7CE1"/>
    <w:rsid w:val="00AB0688"/>
    <w:rsid w:val="00AB2F4E"/>
    <w:rsid w:val="00C47381"/>
    <w:rsid w:val="00D40113"/>
    <w:rsid w:val="00DA2A8F"/>
    <w:rsid w:val="00DF47FD"/>
    <w:rsid w:val="00F02122"/>
    <w:rsid w:val="00F43492"/>
    <w:rsid w:val="00FE1DA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13A5BC4"/>
  <w15:docId w15:val="{2ADBE4BD-5CCD-4D64-BC60-7D93F661D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360"/>
      <w:jc w:val="right"/>
    </w:pPr>
    <w:rPr>
      <w:b/>
      <w:sz w:val="36"/>
      <w:szCs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544576"/>
    <w:pPr>
      <w:spacing w:before="100" w:beforeAutospacing="1" w:after="100" w:afterAutospacing="1"/>
    </w:pPr>
    <w:rPr>
      <w:rFonts w:ascii="Times New Roman" w:eastAsia="Times New Roman" w:hAnsi="Times New Roman" w:cs="Times New Roman"/>
      <w:sz w:val="24"/>
      <w:szCs w:val="24"/>
      <w:lang w:val="pt-BR"/>
    </w:rPr>
  </w:style>
  <w:style w:type="paragraph" w:styleId="ListParagraph">
    <w:name w:val="List Paragraph"/>
    <w:basedOn w:val="Normal"/>
    <w:uiPriority w:val="34"/>
    <w:qFormat/>
    <w:rsid w:val="005F57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26" Type="http://schemas.openxmlformats.org/officeDocument/2006/relationships/hyperlink" Target="https://doi.org/10.47990/961ty669" TargetMode="External"/><Relationship Id="rId39" Type="http://schemas.openxmlformats.org/officeDocument/2006/relationships/footer" Target="footer4.xml"/><Relationship Id="rId3" Type="http://schemas.openxmlformats.org/officeDocument/2006/relationships/numbering" Target="numbering.xml"/><Relationship Id="rId34" Type="http://schemas.openxmlformats.org/officeDocument/2006/relationships/hyperlink" Target="https://doi.org/10.1080/08880018.2016.1219797"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25" Type="http://schemas.openxmlformats.org/officeDocument/2006/relationships/image" Target="media/image1.jpeg"/><Relationship Id="rId33" Type="http://schemas.openxmlformats.org/officeDocument/2006/relationships/hyperlink" Target="https://guiariscodeviescobe.paginas.ufsc.br/" TargetMode="External"/><Relationship Id="rId38" Type="http://schemas.openxmlformats.org/officeDocument/2006/relationships/header" Target="header5.xml"/><Relationship Id="rId2" Type="http://schemas.openxmlformats.org/officeDocument/2006/relationships/customXml" Target="../customXml/item2.xml"/><Relationship Id="rId29" Type="http://schemas.openxmlformats.org/officeDocument/2006/relationships/hyperlink" Target="https://doi.org/10.1007/s40368-021-00646-x"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png"/><Relationship Id="rId32" Type="http://schemas.openxmlformats.org/officeDocument/2006/relationships/hyperlink" Target="https://doi.org/10.9734/jammr/2025/v37i25735" TargetMode="External"/><Relationship Id="rId37" Type="http://schemas.openxmlformats.org/officeDocument/2006/relationships/header" Target="header4.xml"/><Relationship Id="rId40" Type="http://schemas.openxmlformats.org/officeDocument/2006/relationships/header" Target="header6.xml"/><Relationship Id="rId5" Type="http://schemas.openxmlformats.org/officeDocument/2006/relationships/settings" Target="settings.xml"/><Relationship Id="rId28" Type="http://schemas.openxmlformats.org/officeDocument/2006/relationships/hyperlink" Target="https://doi.org/10.1590/1413-81232021267.12762019" TargetMode="External"/><Relationship Id="rId36" Type="http://schemas.openxmlformats.org/officeDocument/2006/relationships/hyperlink" Target="https://doi.org/10.1007/s40264-013-0078-y" TargetMode="External"/><Relationship Id="rId10" Type="http://schemas.openxmlformats.org/officeDocument/2006/relationships/header" Target="header2.xml"/><Relationship Id="rId31" Type="http://schemas.openxmlformats.org/officeDocument/2006/relationships/hyperlink" Target="http://www.ohri.ca/programs/clinical_epidemiology/oxford.asp"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7" Type="http://schemas.openxmlformats.org/officeDocument/2006/relationships/hyperlink" Target="https://doi.org/10.3390/healthcare11121795" TargetMode="External"/><Relationship Id="rId30" Type="http://schemas.openxmlformats.org/officeDocument/2006/relationships/hyperlink" Target="https://doi.org/10.3390/nu15183863" TargetMode="External"/><Relationship Id="rId35" Type="http://schemas.openxmlformats.org/officeDocument/2006/relationships/hyperlink" Target="https://doi.org/10.1001/archpedi.159.10.943" TargetMode="Externa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k9K81yZF3Xd6vQ9l/yeWfQNKCg==">CgMxLjA4AHIhMS1oVFNDVEs1Nkl0TUlrZGZKakw4Y3RJZmZrTmhpUHA1</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F8B10A8-3B77-4E96-A12B-C5A88B371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15</Pages>
  <Words>6779</Words>
  <Characters>38645</Characters>
  <Application>Microsoft Office Word</Application>
  <DocSecurity>0</DocSecurity>
  <Lines>322</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1084</cp:lastModifiedBy>
  <cp:revision>9</cp:revision>
  <dcterms:created xsi:type="dcterms:W3CDTF">2014-10-25T14:34:00Z</dcterms:created>
  <dcterms:modified xsi:type="dcterms:W3CDTF">2025-08-08T10:46:00Z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95c645e0-205a-4fef-9769-122e6c9d45d3</vt:lpwstr>
  </property>
</Properties>
</file>