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D5CB5" w14:textId="6EB3A73E" w:rsidR="498793F8" w:rsidRDefault="498793F8" w:rsidP="65EC6E5E">
      <w:pPr>
        <w:jc w:val="center"/>
        <w:rPr>
          <w:rFonts w:ascii="Times New Roman" w:eastAsia="Times New Roman" w:hAnsi="Times New Roman" w:cs="Times New Roman"/>
          <w:b/>
          <w:bCs/>
          <w:sz w:val="20"/>
          <w:szCs w:val="20"/>
        </w:rPr>
      </w:pPr>
      <w:bookmarkStart w:id="0" w:name="_Int_HYIfF9xH"/>
      <w:proofErr w:type="spellStart"/>
      <w:r w:rsidRPr="65EC6E5E">
        <w:rPr>
          <w:rFonts w:ascii="Times New Roman" w:eastAsia="Times New Roman" w:hAnsi="Times New Roman" w:cs="Times New Roman"/>
          <w:b/>
          <w:bCs/>
          <w:sz w:val="20"/>
          <w:szCs w:val="20"/>
        </w:rPr>
        <w:t>Esmethadone</w:t>
      </w:r>
      <w:proofErr w:type="spellEnd"/>
      <w:r w:rsidRPr="65EC6E5E">
        <w:rPr>
          <w:rFonts w:ascii="Times New Roman" w:eastAsia="Times New Roman" w:hAnsi="Times New Roman" w:cs="Times New Roman"/>
          <w:b/>
          <w:bCs/>
          <w:sz w:val="20"/>
          <w:szCs w:val="20"/>
        </w:rPr>
        <w:t xml:space="preserve"> for Major Depressive Disorder</w:t>
      </w:r>
      <w:bookmarkEnd w:id="0"/>
      <w:r w:rsidR="00A24E3F">
        <w:rPr>
          <w:rFonts w:ascii="Times New Roman" w:eastAsia="Times New Roman" w:hAnsi="Times New Roman" w:cs="Times New Roman"/>
          <w:b/>
          <w:bCs/>
          <w:sz w:val="20"/>
          <w:szCs w:val="20"/>
        </w:rPr>
        <w:t xml:space="preserve">: A </w:t>
      </w:r>
      <w:r w:rsidR="00A24E3F" w:rsidRPr="00A24E3F">
        <w:rPr>
          <w:rFonts w:ascii="Times New Roman" w:eastAsia="Times New Roman" w:hAnsi="Times New Roman" w:cs="Times New Roman"/>
          <w:b/>
          <w:bCs/>
          <w:sz w:val="20"/>
          <w:szCs w:val="20"/>
        </w:rPr>
        <w:t>Literature Review</w:t>
      </w:r>
    </w:p>
    <w:p w14:paraId="1D2422AB" w14:textId="1095B447" w:rsidR="65EC6E5E" w:rsidRDefault="65EC6E5E" w:rsidP="65EC6E5E">
      <w:pPr>
        <w:jc w:val="center"/>
        <w:rPr>
          <w:rFonts w:ascii="Times New Roman" w:eastAsia="Times New Roman" w:hAnsi="Times New Roman" w:cs="Times New Roman"/>
          <w:b/>
          <w:bCs/>
          <w:sz w:val="20"/>
          <w:szCs w:val="20"/>
        </w:rPr>
      </w:pPr>
    </w:p>
    <w:p w14:paraId="5A31BB91" w14:textId="77777777" w:rsidR="00952A62" w:rsidRDefault="00952A62" w:rsidP="65EC6E5E">
      <w:pPr>
        <w:jc w:val="center"/>
        <w:rPr>
          <w:rFonts w:ascii="Times New Roman" w:eastAsia="Times New Roman" w:hAnsi="Times New Roman" w:cs="Times New Roman"/>
          <w:b/>
          <w:bCs/>
          <w:sz w:val="20"/>
          <w:szCs w:val="20"/>
        </w:rPr>
      </w:pPr>
      <w:bookmarkStart w:id="1" w:name="_GoBack"/>
      <w:bookmarkEnd w:id="1"/>
    </w:p>
    <w:p w14:paraId="205010BE" w14:textId="74091331" w:rsidR="524733CC" w:rsidRDefault="524733CC"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Abstract</w:t>
      </w:r>
    </w:p>
    <w:p w14:paraId="6A217065" w14:textId="2035E936" w:rsidR="524733CC" w:rsidRDefault="524733CC"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Major Depressive Disorder (MDD) affects approximately 280 million people globally, with current treatments showing significant limitations including delayed onset of action, low remission rates, and troublesome side effects. This review examines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(REL-1017), a novel glutamatergic modulator functioning primarily as an N-methyl-D-aspartate (NMDA) receptor antagonist with minimal opioid receptor activity. Unlike conventional antidepressants,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demonstrates rapid onset of antidepressant effects within days rather than weeks. Clinical evidence from Phase 2 and 3 trials suggests promising efficacy as both monotherapy and adjunctive treatment, with significant reductions in depression severity compared to placebo.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offers potential advantages over both traditional antidepressants (faster onset, different side effect profile) and other rapid-acting agents like ketamine (oral administration, minimal dissociative effects, no monitoring requirements). With a </w:t>
      </w:r>
      <w:proofErr w:type="spellStart"/>
      <w:r w:rsidRPr="65EC6E5E">
        <w:rPr>
          <w:rFonts w:ascii="Times New Roman" w:eastAsia="Times New Roman" w:hAnsi="Times New Roman" w:cs="Times New Roman"/>
          <w:sz w:val="20"/>
          <w:szCs w:val="20"/>
        </w:rPr>
        <w:t>favorable</w:t>
      </w:r>
      <w:proofErr w:type="spellEnd"/>
      <w:r w:rsidRPr="65EC6E5E">
        <w:rPr>
          <w:rFonts w:ascii="Times New Roman" w:eastAsia="Times New Roman" w:hAnsi="Times New Roman" w:cs="Times New Roman"/>
          <w:sz w:val="20"/>
          <w:szCs w:val="20"/>
        </w:rPr>
        <w:t xml:space="preserve"> tolerability profile and once-daily oral dosing,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may represent an important therapeutic advance for MDD patients, particularly those with inadequate response to conventional treatments. Regulatory submissions are anticipated in early 2025, with ongoing research addressing long-term efficacy, safety in special populations, and potential applications beyond MDD.</w:t>
      </w:r>
    </w:p>
    <w:p w14:paraId="44F60E60" w14:textId="4CED5020"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Introduction</w:t>
      </w:r>
    </w:p>
    <w:p w14:paraId="7A988537" w14:textId="2533747A"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Major Depressive Disorder (MDD) affects approximately 280 million people globally and represents a leading cause of disability [1]. Despite numerous available pharmacological interventions, current treatments remain inadequate for many patients. Conventional antidepressants typically require 4-6 weeks for therapeutic efficacy, achieve remission in only 30-40% of patients, and frequently cause side effects leading to discontinuation [2,3]. Treatment-resistant depression (TRD), affecting approximately one-third of MDD patients, highlights the urgent need for novel therapeutic approaches</w:t>
      </w:r>
      <w:r w:rsidR="1F7BB6A5"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[4].</w:t>
      </w:r>
    </w:p>
    <w:p w14:paraId="08F1EA3F" w14:textId="5343BA7F"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(REL-1017, d-methadone) has emerged as a promising agent for MDD, functioning primarily as an N-methyl-D-aspartate (NMDA) receptor antagonist with minimal opioid receptor activity</w:t>
      </w:r>
      <w:r w:rsidR="3DA79DE7"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[5]. This unique pharmacological profile positions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within the field of glutamatergic modulators for depression, alongside ketamine and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was specifically developed by isolating the d-isomer of methadone to retain NMDA antagonism while reducing μ-opioid receptor activity</w:t>
      </w:r>
      <w:r w:rsidR="7C77B576"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[6].</w:t>
      </w:r>
    </w:p>
    <w:p w14:paraId="44915CE4" w14:textId="32909FE5"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Clinical development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has generated interest due to several potential advantages: oral administration, rapid onset of antidepressant action, </w:t>
      </w:r>
      <w:proofErr w:type="spellStart"/>
      <w:r w:rsidRPr="65EC6E5E">
        <w:rPr>
          <w:rFonts w:ascii="Times New Roman" w:eastAsia="Times New Roman" w:hAnsi="Times New Roman" w:cs="Times New Roman"/>
          <w:sz w:val="20"/>
          <w:szCs w:val="20"/>
        </w:rPr>
        <w:t>favorable</w:t>
      </w:r>
      <w:proofErr w:type="spellEnd"/>
      <w:r w:rsidRPr="65EC6E5E">
        <w:rPr>
          <w:rFonts w:ascii="Times New Roman" w:eastAsia="Times New Roman" w:hAnsi="Times New Roman" w:cs="Times New Roman"/>
          <w:sz w:val="20"/>
          <w:szCs w:val="20"/>
        </w:rPr>
        <w:t xml:space="preserve"> safety profile, and once-daily dosing without intensive monitoring requirements</w:t>
      </w:r>
      <w:r w:rsidR="20E27576"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[7]. This review examines the current state of knowledge regarding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for MDD treatment.</w:t>
      </w:r>
    </w:p>
    <w:p w14:paraId="77BC2E34" w14:textId="1EFF6DD5"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Background</w:t>
      </w:r>
      <w:r w:rsidR="0BA0C81E" w:rsidRPr="65EC6E5E">
        <w:rPr>
          <w:rFonts w:ascii="Times New Roman" w:eastAsia="Times New Roman" w:hAnsi="Times New Roman" w:cs="Times New Roman"/>
          <w:b/>
          <w:bCs/>
          <w:sz w:val="20"/>
          <w:szCs w:val="20"/>
        </w:rPr>
        <w:t xml:space="preserve"> </w:t>
      </w:r>
    </w:p>
    <w:p w14:paraId="6C856EC2" w14:textId="312ED508"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Contemporary first-line pharmacological interventions for MDD primarily consist of selective serotonin reuptake inhibitors (SSRIs), serotonin-norepinephrine reuptake inhibitors (SNRIs), and atypical antidepressants. These treatments exhibit significant limitations that compromise outcomes for many patients.</w:t>
      </w:r>
    </w:p>
    <w:p w14:paraId="499ADE72" w14:textId="1FEC8679"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delayed onset of action (4-6 weeks) presents substantial challenges for patients experiencing acute depressive episodes, particularly those with suicidal ideation</w:t>
      </w:r>
      <w:r w:rsidR="23C223C4"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[8]. This therapeutic lag results from gradual neuroplastic changes that occur downstream from the immediate pharmacological effects on monoamine reuptake.</w:t>
      </w:r>
    </w:p>
    <w:p w14:paraId="37BE9A06" w14:textId="29EDDE2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Response and remission rates for conventional antidepressants remain suboptimal. Meta-analyses indicate response rates of approximately 50-60% and remission rates of only 30-40%</w:t>
      </w:r>
      <w:r w:rsidR="3A948D3F"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[9]. These modest efficacy rates are further diminished in real-world settings due to adherence barriers and comorbidities.</w:t>
      </w:r>
    </w:p>
    <w:p w14:paraId="23125961" w14:textId="44731190"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Adverse effect profiles</w:t>
      </w:r>
      <w:r w:rsidR="7CCE50A0" w:rsidRPr="65EC6E5E">
        <w:rPr>
          <w:rFonts w:ascii="Times New Roman" w:eastAsia="Times New Roman" w:hAnsi="Times New Roman" w:cs="Times New Roman"/>
          <w:sz w:val="20"/>
          <w:szCs w:val="20"/>
        </w:rPr>
        <w:t xml:space="preserve"> also</w:t>
      </w:r>
      <w:r w:rsidRPr="65EC6E5E">
        <w:rPr>
          <w:rFonts w:ascii="Times New Roman" w:eastAsia="Times New Roman" w:hAnsi="Times New Roman" w:cs="Times New Roman"/>
          <w:sz w:val="20"/>
          <w:szCs w:val="20"/>
        </w:rPr>
        <w:t xml:space="preserve"> significantly impact treatment adherence and quality of life. SSRIs commonly produce sexual dysfunction (40-70% of patients), gastrointestinal disturbances, and sleep disruption</w:t>
      </w:r>
      <w:r w:rsidR="491DF468"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[10]. These side effects contribute to high discontinuation rates, with approximately 30% of patients abandoning treatment within the first month.</w:t>
      </w:r>
    </w:p>
    <w:p w14:paraId="6157CE2E" w14:textId="4C0B44D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Most concerning is the substantial proportion of patients with TRD—approximately 30-35% of those with MDD fail to achieve remission despite multiple adequate trials of different antidepressant classes</w:t>
      </w:r>
      <w:r w:rsidR="023595E2"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[4]. For these individuals, conventional augmentation strategies offer limited additional benefit while introducing new adverse effect risks.</w:t>
      </w:r>
    </w:p>
    <w:p w14:paraId="02CD5A41" w14:textId="7B323DEC"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The Glutamatergic System in Depression</w:t>
      </w:r>
    </w:p>
    <w:p w14:paraId="6616BD72" w14:textId="2FBDCE30"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limitations of monoamine-based treatments have prompted a paradigm shift toward investigating the glutamatergic system—the primary excitatory neurotransmitter network in the central nervous system. Substantial evidence now implicates glutamatergic dysfunction in the pathophysiology of mood disorders</w:t>
      </w:r>
      <w:r w:rsidR="108D669C"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[11,12].</w:t>
      </w:r>
    </w:p>
    <w:p w14:paraId="270DB1C4" w14:textId="297A5E5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Studies have revealed several glutamate-related abnormalities in depression, including altered glutamate/glutamine ratios in plasma and cerebrospinal fluid, disrupted expression and function of glutamate receptors, impaired glutamate clearance, and aberrant glutamatergic neurotransmission in key brain regions involved in mood regulation</w:t>
      </w:r>
      <w:r w:rsidR="1C024C9A"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[13].</w:t>
      </w:r>
    </w:p>
    <w:p w14:paraId="65A37DD8" w14:textId="3F9F0915"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Neuroimaging studies utilizing magnetic resonance spectroscopy have demonstrated elevated glutamate levels in anterior cingulate cortex and reduced levels in prefrontal regions among individuals with MDD</w:t>
      </w:r>
      <w:r w:rsidR="6C6DA8EF"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[14]. Post-mortem analyses have further revealed reduced expression of NMDA receptor subunits in prefrontal cortex samples from depressed subjects.</w:t>
      </w:r>
    </w:p>
    <w:p w14:paraId="3E762144" w14:textId="55DEE3AF"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glutamatergic hypothesis of depression posits that excessive glutamatergic activity or inappropriate receptor activation contributes to the neuronal atrophy, reduced neuroplasticity, and network dysfunction observed in depressive states</w:t>
      </w:r>
      <w:r w:rsidR="337FF23E"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[15]. This model aligns with the observed reductions in brain-derived neurotrophic factor (BDNF), dendritic spine density, and synaptic connectivity documented in depression.</w:t>
      </w:r>
    </w:p>
    <w:p w14:paraId="5C9DA8D2" w14:textId="5F551B05"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Emergence of NMDA Receptor Antagonists as Rapid-Acting Antidepressants</w:t>
      </w:r>
    </w:p>
    <w:p w14:paraId="6AA97314" w14:textId="4D230F38"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discovery that ketamine produces rapid (within hours) and robust antidepressant effects in treatment-resistant patients has revolutionized depression research</w:t>
      </w:r>
      <w:r w:rsidR="2DA82573"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[16]. This finding established proof-of-concept for glutamatergic modulation as a viable approach for developing rapid-acting antidepressants.</w:t>
      </w:r>
    </w:p>
    <w:p w14:paraId="1B8A1EA7" w14:textId="6774A71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The proposed mechanism through which NMDA receptor antagonism produces antidepressant effects involves a paradoxical enhancement of glutamatergic </w:t>
      </w:r>
      <w:proofErr w:type="spellStart"/>
      <w:r w:rsidRPr="65EC6E5E">
        <w:rPr>
          <w:rFonts w:ascii="Times New Roman" w:eastAsia="Times New Roman" w:hAnsi="Times New Roman" w:cs="Times New Roman"/>
          <w:sz w:val="20"/>
          <w:szCs w:val="20"/>
        </w:rPr>
        <w:t>signaling</w:t>
      </w:r>
      <w:proofErr w:type="spellEnd"/>
      <w:r w:rsidRPr="65EC6E5E">
        <w:rPr>
          <w:rFonts w:ascii="Times New Roman" w:eastAsia="Times New Roman" w:hAnsi="Times New Roman" w:cs="Times New Roman"/>
          <w:sz w:val="20"/>
          <w:szCs w:val="20"/>
        </w:rPr>
        <w:t>. By preferentially blocking NMDA receptors on inhibitory GABAergic interneurons, ketamine and similar compounds disinhibit glutamate release, thereby increasing activation of α-amino-3-hydroxy-5-methyl-4-isoxazolepropionic acid (AMPA) receptors on postsynaptic neurons</w:t>
      </w:r>
      <w:r w:rsidR="2D8821A5"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[17]. This AMPA receptor stimulation initiates a cascade of molecular events leading to rapid synaptogenesis and neuroplasticity in key brain circuits.</w:t>
      </w:r>
    </w:p>
    <w:p w14:paraId="294BBDCB" w14:textId="1B266745"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These neuroplastic changes occur within hours rather than weeks, explaining the rapid onset of antidepressant effects observed with NMDA antagonists compared to traditional agents</w:t>
      </w:r>
      <w:r w:rsidR="492EB766"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[18]. This mechanistic understanding has </w:t>
      </w:r>
      <w:proofErr w:type="spellStart"/>
      <w:r w:rsidRPr="65EC6E5E">
        <w:rPr>
          <w:rFonts w:ascii="Times New Roman" w:eastAsia="Times New Roman" w:hAnsi="Times New Roman" w:cs="Times New Roman"/>
          <w:sz w:val="20"/>
          <w:szCs w:val="20"/>
        </w:rPr>
        <w:t>catalyzed</w:t>
      </w:r>
      <w:proofErr w:type="spellEnd"/>
      <w:r w:rsidRPr="65EC6E5E">
        <w:rPr>
          <w:rFonts w:ascii="Times New Roman" w:eastAsia="Times New Roman" w:hAnsi="Times New Roman" w:cs="Times New Roman"/>
          <w:sz w:val="20"/>
          <w:szCs w:val="20"/>
        </w:rPr>
        <w:t xml:space="preserve"> a new wave of drug development targeting the glutamatergic system, including the FDA approval of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 xml:space="preserve"> nasal spray for TRD in 2019.</w:t>
      </w:r>
    </w:p>
    <w:p w14:paraId="0A9E388E" w14:textId="3D3B1491"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Despite their promise, first-generation NMDA antagonists like ketamine face substantial limitations including dissociative effects, potential for abuse, and required healthcare supervision during administration</w:t>
      </w:r>
      <w:r w:rsidR="0AFFEA4B"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[19]. These drawbacks have stimulated the search for alternative NMDA receptor modulators with improved profiles—leading to the development of compounds like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w:t>
      </w:r>
    </w:p>
    <w:p w14:paraId="3DBFACDB" w14:textId="44C7AD43"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 xml:space="preserve">Positioning of </w:t>
      </w:r>
      <w:proofErr w:type="spellStart"/>
      <w:r w:rsidRPr="65EC6E5E">
        <w:rPr>
          <w:rFonts w:ascii="Times New Roman" w:eastAsia="Times New Roman" w:hAnsi="Times New Roman" w:cs="Times New Roman"/>
          <w:b/>
          <w:bCs/>
          <w:sz w:val="20"/>
          <w:szCs w:val="20"/>
        </w:rPr>
        <w:t>Esmethadone</w:t>
      </w:r>
      <w:proofErr w:type="spellEnd"/>
      <w:r w:rsidRPr="65EC6E5E">
        <w:rPr>
          <w:rFonts w:ascii="Times New Roman" w:eastAsia="Times New Roman" w:hAnsi="Times New Roman" w:cs="Times New Roman"/>
          <w:b/>
          <w:bCs/>
          <w:sz w:val="20"/>
          <w:szCs w:val="20"/>
        </w:rPr>
        <w:t xml:space="preserve"> within the Therapeutic Landscape</w:t>
      </w:r>
    </w:p>
    <w:p w14:paraId="4ACE29E2" w14:textId="66133D96" w:rsidR="66A8DD11" w:rsidRDefault="66A8DD11" w:rsidP="65EC6E5E">
      <w:pPr>
        <w:spacing w:before="240" w:after="240"/>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represents a strategic pharmacological refinement in the field of glutamatergic modulators for depression. Several characteristics position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as potentially advantageous within the therapeutic landscape. Unlike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 xml:space="preserve"> which requires intranasal administration under healthcare supervision,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oral formulation offers greater convenience and potential for outpatient use [20]. Preliminary clinical data suggest that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produces minimal psychotomimetic or dissociative effects compared to ketamine, potentially improving tolerability and eliminating the need for extended monitoring</w:t>
      </w:r>
      <w:r w:rsidR="2927BB32"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[21]. The substantially reduced μ-opioid receptor affinity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compared to racemic methadone suggests a </w:t>
      </w:r>
      <w:proofErr w:type="spellStart"/>
      <w:r w:rsidRPr="65EC6E5E">
        <w:rPr>
          <w:rFonts w:ascii="Times New Roman" w:eastAsia="Times New Roman" w:hAnsi="Times New Roman" w:cs="Times New Roman"/>
          <w:sz w:val="20"/>
          <w:szCs w:val="20"/>
        </w:rPr>
        <w:t>favorable</w:t>
      </w:r>
      <w:proofErr w:type="spellEnd"/>
      <w:r w:rsidRPr="65EC6E5E">
        <w:rPr>
          <w:rFonts w:ascii="Times New Roman" w:eastAsia="Times New Roman" w:hAnsi="Times New Roman" w:cs="Times New Roman"/>
          <w:sz w:val="20"/>
          <w:szCs w:val="20"/>
        </w:rPr>
        <w:t xml:space="preserve"> abuse liability profile</w:t>
      </w:r>
      <w:r w:rsidR="5A8F1550"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[22]. Additionally, pharmacokinetic data support a once-daily dosing regimen, potentially enhancing treatment adherence. Early clinical trials demonstrate antidepressant effects beginning within 2-7 days, considerably faster than conventional antidepressants though not as immediate as ketamine's </w:t>
      </w:r>
      <w:proofErr w:type="spellStart"/>
      <w:r w:rsidR="498793F8" w:rsidRPr="65EC6E5E">
        <w:rPr>
          <w:rFonts w:ascii="Times New Roman" w:eastAsia="Times New Roman" w:hAnsi="Times New Roman" w:cs="Times New Roman"/>
          <w:sz w:val="20"/>
          <w:szCs w:val="20"/>
        </w:rPr>
        <w:t>Esmethadone</w:t>
      </w:r>
      <w:proofErr w:type="spellEnd"/>
      <w:r w:rsidR="498793F8" w:rsidRPr="65EC6E5E">
        <w:rPr>
          <w:rFonts w:ascii="Times New Roman" w:eastAsia="Times New Roman" w:hAnsi="Times New Roman" w:cs="Times New Roman"/>
          <w:sz w:val="20"/>
          <w:szCs w:val="20"/>
        </w:rPr>
        <w:t xml:space="preserve"> occupies a potentially important middle ground between conventional antidepressants (convenient but slow-acting) and ketamine/</w:t>
      </w:r>
      <w:proofErr w:type="spellStart"/>
      <w:r w:rsidR="498793F8" w:rsidRPr="65EC6E5E">
        <w:rPr>
          <w:rFonts w:ascii="Times New Roman" w:eastAsia="Times New Roman" w:hAnsi="Times New Roman" w:cs="Times New Roman"/>
          <w:sz w:val="20"/>
          <w:szCs w:val="20"/>
        </w:rPr>
        <w:t>esketamine</w:t>
      </w:r>
      <w:proofErr w:type="spellEnd"/>
      <w:r w:rsidR="498793F8" w:rsidRPr="65EC6E5E">
        <w:rPr>
          <w:rFonts w:ascii="Times New Roman" w:eastAsia="Times New Roman" w:hAnsi="Times New Roman" w:cs="Times New Roman"/>
          <w:sz w:val="20"/>
          <w:szCs w:val="20"/>
        </w:rPr>
        <w:t xml:space="preserve"> (fast-acting but requiring specialized administration). This positioning could make </w:t>
      </w:r>
      <w:proofErr w:type="spellStart"/>
      <w:r w:rsidR="498793F8" w:rsidRPr="65EC6E5E">
        <w:rPr>
          <w:rFonts w:ascii="Times New Roman" w:eastAsia="Times New Roman" w:hAnsi="Times New Roman" w:cs="Times New Roman"/>
          <w:sz w:val="20"/>
          <w:szCs w:val="20"/>
        </w:rPr>
        <w:t>esmethadone</w:t>
      </w:r>
      <w:proofErr w:type="spellEnd"/>
      <w:r w:rsidR="498793F8" w:rsidRPr="65EC6E5E">
        <w:rPr>
          <w:rFonts w:ascii="Times New Roman" w:eastAsia="Times New Roman" w:hAnsi="Times New Roman" w:cs="Times New Roman"/>
          <w:sz w:val="20"/>
          <w:szCs w:val="20"/>
        </w:rPr>
        <w:t xml:space="preserve"> particularly valuable for patients with moderate-to-severe depression who require accelerated response but do not necessarily need the immediate effects of ketamine.</w:t>
      </w:r>
    </w:p>
    <w:p w14:paraId="69F1720E" w14:textId="3E0EE9F1"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 xml:space="preserve">Pharmacology of </w:t>
      </w:r>
      <w:proofErr w:type="spellStart"/>
      <w:r w:rsidRPr="65EC6E5E">
        <w:rPr>
          <w:rFonts w:ascii="Times New Roman" w:eastAsia="Times New Roman" w:hAnsi="Times New Roman" w:cs="Times New Roman"/>
          <w:b/>
          <w:bCs/>
          <w:sz w:val="20"/>
          <w:szCs w:val="20"/>
        </w:rPr>
        <w:t>Esmethadone</w:t>
      </w:r>
      <w:proofErr w:type="spellEnd"/>
    </w:p>
    <w:p w14:paraId="6FF6FE0B" w14:textId="08CBDD72"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represents the dextrorotatory (d- or R-) enantiomer of methadone. The crucial pharmacological distinction between the d- and l-isomers lies in their differential binding affinities for various receptor systems. The l-isomer exhibits approximately 10-fold greater affinity for μ-opioid receptors compared to the d-isomer, accounting for most of racemic methadone's analgesic and addictive </w:t>
      </w:r>
      <w:r w:rsidR="4D4FB707" w:rsidRPr="65EC6E5E">
        <w:rPr>
          <w:rFonts w:ascii="Times New Roman" w:eastAsia="Times New Roman" w:hAnsi="Times New Roman" w:cs="Times New Roman"/>
          <w:sz w:val="20"/>
          <w:szCs w:val="20"/>
        </w:rPr>
        <w:t>properties</w:t>
      </w:r>
      <w:r w:rsidR="0A1432F9" w:rsidRPr="65EC6E5E">
        <w:rPr>
          <w:rFonts w:ascii="Times New Roman" w:eastAsia="Times New Roman" w:hAnsi="Times New Roman" w:cs="Times New Roman"/>
          <w:sz w:val="20"/>
          <w:szCs w:val="20"/>
        </w:rPr>
        <w:t xml:space="preserve"> </w:t>
      </w:r>
      <w:r w:rsidR="4D4FB707" w:rsidRPr="65EC6E5E">
        <w:rPr>
          <w:rFonts w:ascii="Times New Roman" w:eastAsia="Times New Roman" w:hAnsi="Times New Roman" w:cs="Times New Roman"/>
          <w:sz w:val="20"/>
          <w:szCs w:val="20"/>
        </w:rPr>
        <w:t>[</w:t>
      </w:r>
      <w:r w:rsidRPr="65EC6E5E">
        <w:rPr>
          <w:rFonts w:ascii="Times New Roman" w:eastAsia="Times New Roman" w:hAnsi="Times New Roman" w:cs="Times New Roman"/>
          <w:sz w:val="20"/>
          <w:szCs w:val="20"/>
        </w:rPr>
        <w:t>24].</w:t>
      </w:r>
    </w:p>
    <w:p w14:paraId="229F4601" w14:textId="6310293F"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primary pharmacological mechanism involves non-competitive antagonism of NMDA receptors, specifically binding to the receptor's phencyclidine (PCP) site within the ion channel pore</w:t>
      </w:r>
      <w:r w:rsidR="2E7F2707"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[25]. When bound,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prevents calcium influx through the channel, thereby modulating glutamatergic neurotransmission.</w:t>
      </w:r>
    </w:p>
    <w:p w14:paraId="54C09CEA" w14:textId="5BDFC16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Electrophysiological studies indicate that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preferentially blocks NMDA receptors containing GluN2D subunits, which are predominantly expressed on GABAergic interneurons</w:t>
      </w:r>
      <w:r w:rsidR="39BA7F32"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[26]. This subunit selectivity may explain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ability to produce antidepressant effects without substantial psychotomimetic symptoms, as the latter are associated more strongly with antagonism of GluN2A and GluN2B subunits expressed on pyramidal neurons.</w:t>
      </w:r>
    </w:p>
    <w:p w14:paraId="35A0CD37" w14:textId="082CA8A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NMDA receptor antagonism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initiates a molecular cascade similar to that described for ketamine, leading to enhanced AMPA receptor activation, increased BDNF release, activation of the mTOR </w:t>
      </w:r>
      <w:proofErr w:type="spellStart"/>
      <w:r w:rsidRPr="65EC6E5E">
        <w:rPr>
          <w:rFonts w:ascii="Times New Roman" w:eastAsia="Times New Roman" w:hAnsi="Times New Roman" w:cs="Times New Roman"/>
          <w:sz w:val="20"/>
          <w:szCs w:val="20"/>
        </w:rPr>
        <w:t>signaling</w:t>
      </w:r>
      <w:proofErr w:type="spellEnd"/>
      <w:r w:rsidRPr="65EC6E5E">
        <w:rPr>
          <w:rFonts w:ascii="Times New Roman" w:eastAsia="Times New Roman" w:hAnsi="Times New Roman" w:cs="Times New Roman"/>
          <w:sz w:val="20"/>
          <w:szCs w:val="20"/>
        </w:rPr>
        <w:t xml:space="preserve"> pathway, and promotion of synaptogenesis in key limbic regions</w:t>
      </w:r>
      <w:r w:rsidR="0ACA9D3E"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[27].</w:t>
      </w:r>
    </w:p>
    <w:p w14:paraId="3D4FC2C8" w14:textId="6927B844"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Importantly,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exhibits significantly reduced affinity for μ-opioid receptors compared to l-methadone, with binding studies demonstrating approximately 30-fold lower affinity</w:t>
      </w:r>
      <w:r w:rsidR="42E4EDF0"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[28]. At therapeutic doses (25-50 mg daily), the estimated receptor occupancy for μ-opioid receptors is below the threshold required for significant physiological effects. This pharmacological profile explains the lack of opioid-like effects observed in clinical studies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w:t>
      </w:r>
    </w:p>
    <w:p w14:paraId="7F16B164" w14:textId="151A4B4C" w:rsidR="498793F8" w:rsidRDefault="498793F8"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Pharmacokinetics</w:t>
      </w:r>
    </w:p>
    <w:p w14:paraId="112EF770" w14:textId="7F35C43F"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Following oral administration,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demonstrates rapid absorption with good bioavailability (approximately 85%). Peak plasma concentrations are typically achieved within 2-3 hours post-dose</w:t>
      </w:r>
      <w:r w:rsidR="327D3BD0"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[29].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is moderately protein-bound (60-70%) and exhibits extensive tissue distribution, readily crossing the blood-brain barrier.</w:t>
      </w:r>
    </w:p>
    <w:p w14:paraId="3B4425D3" w14:textId="5CACC932"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undergoes hepatic metabolism primarily via the cytochrome P450 system, with CYP3A4, CYP2B6, and CYP2C19 serving as the principal metabolizing enzymes</w:t>
      </w:r>
      <w:r w:rsidR="17486C11"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[30]. The primary metabolite, 2-ethylidene-1,5-dimethyl-3,3-diphenylpyrrolidine (EDDP), results from sequential N-demethylation and cyclization.</w:t>
      </w:r>
    </w:p>
    <w:p w14:paraId="3B1A7D23" w14:textId="47F965A3"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exhibits a terminal half-life of approximately 22-36 hours, supporting once-daily dosing regimens. Steady-state plasma concentrations are achieved after approximately 5-7 days of once-daily dosing. Dose-proportional pharmacokinetics are observed across the therapeutic dose range (25-75 mg daily).</w:t>
      </w:r>
    </w:p>
    <w:p w14:paraId="7F8D35C4" w14:textId="5308C7A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Important drug interactions include increased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exposure with CYP3A4 inhibitors and reduced exposure with CYP3A4 inducers. Dose adjustments may be required in patients with moderate to severe hepatic impairment and in elderly patients due to reduced clearance.</w:t>
      </w:r>
    </w:p>
    <w:p w14:paraId="74CB05CF" w14:textId="39EAC02D"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Clinical Evidence</w:t>
      </w:r>
    </w:p>
    <w:p w14:paraId="0A5BD703" w14:textId="3CC78EED" w:rsidR="045B72D7" w:rsidRDefault="045B72D7"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Phase 1 and 2 Studies</w:t>
      </w:r>
    </w:p>
    <w:p w14:paraId="4418EF59" w14:textId="02B50197"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clinical development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began with Phase 1 studies establishing safety, tolerability, and preliminary pharmacokinetics in healthy volunteers. These studies demonstrated that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was well-tolerated up to 75 mg once daily, with no clinically significant dissociative symptoms at any dose level, differentiating it from ketamine and </w:t>
      </w:r>
      <w:proofErr w:type="spellStart"/>
      <w:proofErr w:type="gram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w:t>
      </w:r>
      <w:proofErr w:type="gramEnd"/>
      <w:r w:rsidRPr="65EC6E5E">
        <w:rPr>
          <w:rFonts w:ascii="Times New Roman" w:eastAsia="Times New Roman" w:hAnsi="Times New Roman" w:cs="Times New Roman"/>
          <w:sz w:val="20"/>
          <w:szCs w:val="20"/>
        </w:rPr>
        <w:t>31].</w:t>
      </w:r>
    </w:p>
    <w:p w14:paraId="39ED961A" w14:textId="7B4760B7"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Human abuse potential studies characterized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abuse liability compared to positive controls (ketamine and oxycodone) in recreational drug users. Results indicated that therapeutic doses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(25-75 mg) produced significantly lower scores on abuse-related measures compared to both positive controls [32].</w:t>
      </w:r>
    </w:p>
    <w:p w14:paraId="14964899" w14:textId="2FA79D54"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Cardiac safety assessment demonstrated minimal effect on cardiac repolarization at therapeutic doses, unlike racemic methadone which is associated with QTc prolongation. Drug-drug interaction studies identified key interactions with CYP3A4 inhibitors and inducers, with minimal interactions with commonly co-prescribed antidepressants.</w:t>
      </w:r>
    </w:p>
    <w:p w14:paraId="216ED142" w14:textId="50740F72"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The Phase 2 program comprised two key trials that provided initial evidence of efficacy in MDD. REL-1017-201 (SAPHIRE) evaluated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(25 mg, 50 mg) versus placebo once daily for 7 days as adjunctive therapy in patients with inadequate response to 1-3 antidepressant treatments [33]. Results demonstrated statistically significant superiority of both doses compared to placebo, with mean MADRS reductions of 9.5 points (25 mg), 12.9 points (50 mg), compared to 3.8 points (placebo), yielding effect sizes of 0.9 (25 mg) and 1.4 (50 mg). Response rates (≥50% reduction in MADRS) were 35% (25 mg), 53% (50 mg), and 16% (placebo), with significant separation from placebo observed as early as day 4 for the 50 mg dose. REL-1017-202 expanded these findings by evaluating longer treatment duration (14 days) and including assessments of durability of effect [34]. This trial confirmed the earlier findings with statistically significant differences in MADRS reduction for both doses compared to placebo at day 14, and durability of effect observed through a 2-week follow-up period despite treatment discontinuation. These Phase 2 trials provided compelling preliminary evidence of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antidepressant efficacy with rapid onset of action, </w:t>
      </w:r>
      <w:proofErr w:type="spellStart"/>
      <w:r w:rsidRPr="65EC6E5E">
        <w:rPr>
          <w:rFonts w:ascii="Times New Roman" w:eastAsia="Times New Roman" w:hAnsi="Times New Roman" w:cs="Times New Roman"/>
          <w:sz w:val="20"/>
          <w:szCs w:val="20"/>
        </w:rPr>
        <w:t>favorable</w:t>
      </w:r>
      <w:proofErr w:type="spellEnd"/>
      <w:r w:rsidRPr="65EC6E5E">
        <w:rPr>
          <w:rFonts w:ascii="Times New Roman" w:eastAsia="Times New Roman" w:hAnsi="Times New Roman" w:cs="Times New Roman"/>
          <w:sz w:val="20"/>
          <w:szCs w:val="20"/>
        </w:rPr>
        <w:t xml:space="preserve"> tolerability, and minimal risk of dissociative effects or withdrawal symptoms.</w:t>
      </w:r>
    </w:p>
    <w:p w14:paraId="7A31C21C" w14:textId="4DDF51D4" w:rsidR="045B72D7" w:rsidRDefault="045B72D7"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Phase 3 Clinical Trials: The RELIANCE Program</w:t>
      </w:r>
    </w:p>
    <w:p w14:paraId="4D170748" w14:textId="7B88D141"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Phase 3 program for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designated RELIANCE, consists of three pivotal trials and an open-label extension study. RELIANCE-I evaluated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as adjunctive therapy in patients with MDD who had inadequate response to standard antidepressants [35]. Results demonstrated statistically significant improvement for the 50 mg dose compared to placebo, with least squares mean difference vs. placebo of -3.9 points (p=0.002), response rates (≥50% reduction in MADRS) of 43% vs. 28% for placebo, and remission rates (MADRS ≤10) of 27% vs. 16% for placebo. Significant improvement was observed as early as day 7. RELIANCE-II focused on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as monotherapy and demonstrated statistically significant improvement in MADRS total score for both doses compared to placebo at day 28, with onset of significant improvement by day 4 for the 50 mg dose [36]. RELIANCE-III, still ongoing as of October 2024, is evaluating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specifically in patients with TRD, with a longer treatment duration (8 weeks) to assess sustained efficacy in this difficult-to-treat population. The RELIANCE-OLE (open-label extension) study is providing long-term safety and efficacy data. Preliminary results suggest maintained or further improved antidepressant effects without evidence of tolerance development or emergence of new safety concerns. Across the RELIANCE program, the most common adverse events include nausea (10-15%), headache (8-12%), dizziness (6-9%), and insomnia (5-8%) [37]. Discontinuation rates due to adverse events have been low (3-5%) and comparable to placebo. Importantly, no clinically significant dissociative or psychotomimetic effects have been observed, differentiating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from ketamine and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w:t>
      </w:r>
    </w:p>
    <w:p w14:paraId="3C0D6C7D" w14:textId="55DE6EF7"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Comparative Analysis</w:t>
      </w:r>
    </w:p>
    <w:p w14:paraId="4D805C08" w14:textId="4EA5BF84" w:rsidR="3659BD8A" w:rsidRDefault="3659BD8A"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offers several potential advantages over both traditional antidepressants and other rapid-acting agents. Compared to conventional antidepressants (SSRIs/SNRIs),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provides more rapid onset of action (days vs. weeks) [38], potentially higher response rates in preliminary studies, a different side effect profile (less sexual dysfunction, weight gain), and a novel mechanism potentially beneficial for treatment-resistant patients. In contrast to ketamine and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features oral administration (vs. IV or intranasal), minimal dissociative effects, lower abuse potential, no requirement for in-clinic administration and monitoring, and a potentially more sustainable daily dosing regimen. When compared to other experimental glutamatergic agents,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is more advanced in clinical development, has an established dosing and safety profile, and well-characterized pharmacokinetics supporting once-daily administration. The positioning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between conventional antidepressants and ketamine-based treatments fills an important therapeutic gap. For patients requiring more rapid response than traditional antidepressants provide but unable or unwilling to undergo ketamine or </w:t>
      </w:r>
      <w:proofErr w:type="spellStart"/>
      <w:r w:rsidRPr="65EC6E5E">
        <w:rPr>
          <w:rFonts w:ascii="Times New Roman" w:eastAsia="Times New Roman" w:hAnsi="Times New Roman" w:cs="Times New Roman"/>
          <w:sz w:val="20"/>
          <w:szCs w:val="20"/>
        </w:rPr>
        <w:t>esketamine</w:t>
      </w:r>
      <w:proofErr w:type="spellEnd"/>
      <w:r w:rsidRPr="65EC6E5E">
        <w:rPr>
          <w:rFonts w:ascii="Times New Roman" w:eastAsia="Times New Roman" w:hAnsi="Times New Roman" w:cs="Times New Roman"/>
          <w:sz w:val="20"/>
          <w:szCs w:val="20"/>
        </w:rPr>
        <w:t xml:space="preserve"> treatment,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may represent a valuable option.</w:t>
      </w:r>
    </w:p>
    <w:p w14:paraId="649D2149" w14:textId="7BBF78D4" w:rsidR="3A978990" w:rsidRDefault="3A978990"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Regulatory Status and Future Directions</w:t>
      </w:r>
    </w:p>
    <w:p w14:paraId="1EC81CC9" w14:textId="6BE00AD4" w:rsidR="36832ED4" w:rsidRDefault="36832ED4"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lastRenderedPageBreak/>
        <w:t>E</w:t>
      </w:r>
      <w:r w:rsidR="3A978990" w:rsidRPr="65EC6E5E">
        <w:rPr>
          <w:rFonts w:ascii="Times New Roman" w:eastAsia="Times New Roman" w:hAnsi="Times New Roman" w:cs="Times New Roman"/>
          <w:sz w:val="20"/>
          <w:szCs w:val="20"/>
        </w:rPr>
        <w:t>smethadone</w:t>
      </w:r>
      <w:proofErr w:type="spellEnd"/>
      <w:r w:rsidR="3A978990" w:rsidRPr="65EC6E5E">
        <w:rPr>
          <w:rFonts w:ascii="Times New Roman" w:eastAsia="Times New Roman" w:hAnsi="Times New Roman" w:cs="Times New Roman"/>
          <w:sz w:val="20"/>
          <w:szCs w:val="20"/>
        </w:rPr>
        <w:t xml:space="preserve"> is not yet approved by regulatory agencies for the treatment of MDD. Based on the Phase 3 RELIANCE program results, the manufacturer has indicated plans to submit a New Drug Application to the FDA in early 2025 [39].</w:t>
      </w:r>
      <w:r w:rsidR="315BA118" w:rsidRPr="65EC6E5E">
        <w:rPr>
          <w:rFonts w:ascii="Times New Roman" w:eastAsia="Times New Roman" w:hAnsi="Times New Roman" w:cs="Times New Roman"/>
          <w:sz w:val="20"/>
          <w:szCs w:val="20"/>
        </w:rPr>
        <w:t xml:space="preserve"> </w:t>
      </w:r>
      <w:r w:rsidR="3A978990" w:rsidRPr="65EC6E5E">
        <w:rPr>
          <w:rFonts w:ascii="Times New Roman" w:eastAsia="Times New Roman" w:hAnsi="Times New Roman" w:cs="Times New Roman"/>
          <w:sz w:val="20"/>
          <w:szCs w:val="20"/>
        </w:rPr>
        <w:t xml:space="preserve">The FDA previously granted Fast Track designation to </w:t>
      </w:r>
      <w:proofErr w:type="spellStart"/>
      <w:r w:rsidR="3A978990" w:rsidRPr="65EC6E5E">
        <w:rPr>
          <w:rFonts w:ascii="Times New Roman" w:eastAsia="Times New Roman" w:hAnsi="Times New Roman" w:cs="Times New Roman"/>
          <w:sz w:val="20"/>
          <w:szCs w:val="20"/>
        </w:rPr>
        <w:t>esmethadone</w:t>
      </w:r>
      <w:proofErr w:type="spellEnd"/>
      <w:r w:rsidR="3A978990" w:rsidRPr="65EC6E5E">
        <w:rPr>
          <w:rFonts w:ascii="Times New Roman" w:eastAsia="Times New Roman" w:hAnsi="Times New Roman" w:cs="Times New Roman"/>
          <w:sz w:val="20"/>
          <w:szCs w:val="20"/>
        </w:rPr>
        <w:t xml:space="preserve"> for MDD treatment, recognizing its potential to address an unmet medical need. This designation may expedite the review process.</w:t>
      </w:r>
    </w:p>
    <w:p w14:paraId="722A333C" w14:textId="13EF68C2" w:rsidR="3A978990" w:rsidRDefault="3A978990"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Ongoing and planned studies include:</w:t>
      </w:r>
    </w:p>
    <w:p w14:paraId="33DE2FF8" w14:textId="640CA008"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Completion of the RELIANCE-III trial in treatment-resistant depression</w:t>
      </w:r>
    </w:p>
    <w:p w14:paraId="25C53892" w14:textId="249E1EA7"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Long-term safety studies to support chronic administration</w:t>
      </w:r>
    </w:p>
    <w:p w14:paraId="0871B60B" w14:textId="47E37324"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Studies in special populations (elderly, adolescents)</w:t>
      </w:r>
    </w:p>
    <w:p w14:paraId="12552B71" w14:textId="0BE18F00"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Investigations into potential applications beyond MDD (bipolar depression, post-traumatic stress disorder)</w:t>
      </w:r>
    </w:p>
    <w:p w14:paraId="7F872210" w14:textId="4D594761" w:rsidR="3A978990" w:rsidRDefault="3A978990" w:rsidP="65EC6E5E">
      <w:pPr>
        <w:numPr>
          <w:ilvl w:val="0"/>
          <w:numId w:val="4"/>
        </w:numPr>
        <w:rPr>
          <w:rFonts w:ascii="Times New Roman" w:eastAsia="Times New Roman" w:hAnsi="Times New Roman" w:cs="Times New Roman"/>
          <w:b/>
          <w:bCs/>
          <w:sz w:val="20"/>
          <w:szCs w:val="20"/>
        </w:rPr>
      </w:pPr>
      <w:r w:rsidRPr="65EC6E5E">
        <w:rPr>
          <w:rFonts w:ascii="Times New Roman" w:eastAsia="Times New Roman" w:hAnsi="Times New Roman" w:cs="Times New Roman"/>
          <w:sz w:val="20"/>
          <w:szCs w:val="20"/>
        </w:rPr>
        <w:t>Head-to-head comparisons with established treatments</w:t>
      </w:r>
    </w:p>
    <w:p w14:paraId="063F911A" w14:textId="4E66DCE2"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Conclusion</w:t>
      </w:r>
    </w:p>
    <w:p w14:paraId="025D0507" w14:textId="312B8144" w:rsidR="498793F8" w:rsidRDefault="498793F8" w:rsidP="65EC6E5E">
      <w:p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represents a promising novel antidepressant with a unique pharmacological profile as an NMDA receptor antagonist with minimal opioid activity. Its development addresses key limitations of both conventional antidepressants (delayed onset) and other rapid-acting agents like ketamine (administration challenges, dissociative effects).</w:t>
      </w:r>
    </w:p>
    <w:p w14:paraId="232C4DC2" w14:textId="44D35573"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available clinical evidence supports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antidepressant efficacy with onset of action within days rather than weeks, </w:t>
      </w:r>
      <w:proofErr w:type="spellStart"/>
      <w:r w:rsidRPr="65EC6E5E">
        <w:rPr>
          <w:rFonts w:ascii="Times New Roman" w:eastAsia="Times New Roman" w:hAnsi="Times New Roman" w:cs="Times New Roman"/>
          <w:sz w:val="20"/>
          <w:szCs w:val="20"/>
        </w:rPr>
        <w:t>favorable</w:t>
      </w:r>
      <w:proofErr w:type="spellEnd"/>
      <w:r w:rsidRPr="65EC6E5E">
        <w:rPr>
          <w:rFonts w:ascii="Times New Roman" w:eastAsia="Times New Roman" w:hAnsi="Times New Roman" w:cs="Times New Roman"/>
          <w:sz w:val="20"/>
          <w:szCs w:val="20"/>
        </w:rPr>
        <w:t xml:space="preserve"> tolerability profile, and minimal dissociative or abuse-related effects. The oral formulation and once-daily dosing offer practical advantages for clinical use.</w:t>
      </w:r>
    </w:p>
    <w:p w14:paraId="4991DEB4" w14:textId="7173E63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If approved,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would represent an important addition to the therapeutic armamentarium for MDD, potentially benefiting patients who require more rapid symptom relief than conventional treatments provide or who cannot access or tolerate ketamine-based approaches. As the Phase 3 program completes and regulatory review processes unfold, the clinical utility and positioning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within depression treatment algorithms will become clearer.</w:t>
      </w:r>
    </w:p>
    <w:p w14:paraId="622453E4" w14:textId="666A6C9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Further research addressing the identified knowledge gaps will help optimize </w:t>
      </w:r>
      <w:proofErr w:type="spellStart"/>
      <w:r w:rsidRPr="65EC6E5E">
        <w:rPr>
          <w:rFonts w:ascii="Times New Roman" w:eastAsia="Times New Roman" w:hAnsi="Times New Roman" w:cs="Times New Roman"/>
          <w:sz w:val="20"/>
          <w:szCs w:val="20"/>
        </w:rPr>
        <w:t>esmethadone's</w:t>
      </w:r>
      <w:proofErr w:type="spellEnd"/>
      <w:r w:rsidRPr="65EC6E5E">
        <w:rPr>
          <w:rFonts w:ascii="Times New Roman" w:eastAsia="Times New Roman" w:hAnsi="Times New Roman" w:cs="Times New Roman"/>
          <w:sz w:val="20"/>
          <w:szCs w:val="20"/>
        </w:rPr>
        <w:t xml:space="preserve"> use and maximize its potential benefit for patients with this disabling psychiatric condition.</w:t>
      </w:r>
    </w:p>
    <w:p w14:paraId="41C746BC" w14:textId="6A357860"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References</w:t>
      </w:r>
    </w:p>
    <w:p w14:paraId="6EC59297" w14:textId="6904AD10"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World Health Organization. Depression. WHO Fact Sheet. 2021.</w:t>
      </w:r>
    </w:p>
    <w:p w14:paraId="0A732539" w14:textId="3F1F834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Rush AJ, Trivedi MH, Wisniewski SR, et al. Acute and longer-term outcomes in depressed outpatients requiring one or several treatment steps: a STAR*D report. Am J Psychiatry. 2006;163(11):1905-1917.</w:t>
      </w:r>
    </w:p>
    <w:p w14:paraId="318F863B" w14:textId="6AD803D8"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Cipriani A, Furukawa TA, Salanti G, et al. Comparative efficacy and acceptability of 21 antidepressant drugs for the acute treatment of adults with major depressive disorder: a systematic review and network meta-analysis. Lancet. 2018;391(10128):1357-1366.</w:t>
      </w:r>
    </w:p>
    <w:p w14:paraId="51B9EA22" w14:textId="0DFC4BB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McIntyre RS, Filteau MJ, Martin L, et al. Treatment-resistant depression: definitions, review of the evidence, and algorithmic approach. J Affect </w:t>
      </w:r>
      <w:proofErr w:type="spellStart"/>
      <w:r w:rsidRPr="65EC6E5E">
        <w:rPr>
          <w:rFonts w:ascii="Times New Roman" w:eastAsia="Times New Roman" w:hAnsi="Times New Roman" w:cs="Times New Roman"/>
          <w:sz w:val="20"/>
          <w:szCs w:val="20"/>
        </w:rPr>
        <w:t>Disord</w:t>
      </w:r>
      <w:proofErr w:type="spellEnd"/>
      <w:r w:rsidRPr="65EC6E5E">
        <w:rPr>
          <w:rFonts w:ascii="Times New Roman" w:eastAsia="Times New Roman" w:hAnsi="Times New Roman" w:cs="Times New Roman"/>
          <w:sz w:val="20"/>
          <w:szCs w:val="20"/>
        </w:rPr>
        <w:t xml:space="preserve">. </w:t>
      </w:r>
      <w:proofErr w:type="gramStart"/>
      <w:r w:rsidRPr="65EC6E5E">
        <w:rPr>
          <w:rFonts w:ascii="Times New Roman" w:eastAsia="Times New Roman" w:hAnsi="Times New Roman" w:cs="Times New Roman"/>
          <w:sz w:val="20"/>
          <w:szCs w:val="20"/>
        </w:rPr>
        <w:t>2014;156:1</w:t>
      </w:r>
      <w:proofErr w:type="gramEnd"/>
      <w:r w:rsidRPr="65EC6E5E">
        <w:rPr>
          <w:rFonts w:ascii="Times New Roman" w:eastAsia="Times New Roman" w:hAnsi="Times New Roman" w:cs="Times New Roman"/>
          <w:sz w:val="20"/>
          <w:szCs w:val="20"/>
        </w:rPr>
        <w:t>-7.</w:t>
      </w:r>
    </w:p>
    <w:p w14:paraId="611221F8" w14:textId="26E176AE"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Fogaça MV, Duman RS. Novel glutamatergic drugs for the treatment of mood disorders. Neuropsychopharmacology. 2019;44(12):2143-2158.</w:t>
      </w:r>
    </w:p>
    <w:p w14:paraId="0056B9C3" w14:textId="06E243F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Gorman AL, Elliott KJ, </w:t>
      </w:r>
      <w:proofErr w:type="spellStart"/>
      <w:r w:rsidRPr="65EC6E5E">
        <w:rPr>
          <w:rFonts w:ascii="Times New Roman" w:eastAsia="Times New Roman" w:hAnsi="Times New Roman" w:cs="Times New Roman"/>
          <w:sz w:val="20"/>
          <w:szCs w:val="20"/>
        </w:rPr>
        <w:t>Inturrisi</w:t>
      </w:r>
      <w:proofErr w:type="spellEnd"/>
      <w:r w:rsidRPr="65EC6E5E">
        <w:rPr>
          <w:rFonts w:ascii="Times New Roman" w:eastAsia="Times New Roman" w:hAnsi="Times New Roman" w:cs="Times New Roman"/>
          <w:sz w:val="20"/>
          <w:szCs w:val="20"/>
        </w:rPr>
        <w:t xml:space="preserve"> CE. The d- and l-isomers of methadone bind to the non-competitive site on the N-methyl-D-aspartate (NMDA) receptor in rat forebrain and spinal cord. </w:t>
      </w:r>
      <w:proofErr w:type="spellStart"/>
      <w:r w:rsidRPr="65EC6E5E">
        <w:rPr>
          <w:rFonts w:ascii="Times New Roman" w:eastAsia="Times New Roman" w:hAnsi="Times New Roman" w:cs="Times New Roman"/>
          <w:sz w:val="20"/>
          <w:szCs w:val="20"/>
        </w:rPr>
        <w:t>Neurosci</w:t>
      </w:r>
      <w:proofErr w:type="spellEnd"/>
      <w:r w:rsidRPr="65EC6E5E">
        <w:rPr>
          <w:rFonts w:ascii="Times New Roman" w:eastAsia="Times New Roman" w:hAnsi="Times New Roman" w:cs="Times New Roman"/>
          <w:sz w:val="20"/>
          <w:szCs w:val="20"/>
        </w:rPr>
        <w:t xml:space="preserve"> Lett. 1997;223(1):5-8.</w:t>
      </w:r>
    </w:p>
    <w:p w14:paraId="7F8DDD87" w14:textId="11DD2C7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De Martin S, Gabbia D, Albertin G, et al. Differential effect of ketamine enantiomers on NMDA receptor currents in cultured neurons. Int J Mol Sci. 2020;21(23):8968.</w:t>
      </w:r>
    </w:p>
    <w:p w14:paraId="48BA0A81" w14:textId="27E3EE35"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Machado-Vieira R, Salvadore G, Luckenbaugh DA, et al. Rapid onset of antidepressant action: a new paradigm in the research and treatment of major depressive disorder. J Clin Psychiatry. 2008;69(6):946-958.</w:t>
      </w:r>
    </w:p>
    <w:p w14:paraId="796D1FBD" w14:textId="004E953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Papakostas GI, Fava M. Does the probability of receiving placebo influence clinical trial outcome? A meta-regression of double-blind, randomized clinical trials in MDD. Eur </w:t>
      </w:r>
      <w:proofErr w:type="spellStart"/>
      <w:r w:rsidRPr="65EC6E5E">
        <w:rPr>
          <w:rFonts w:ascii="Times New Roman" w:eastAsia="Times New Roman" w:hAnsi="Times New Roman" w:cs="Times New Roman"/>
          <w:sz w:val="20"/>
          <w:szCs w:val="20"/>
        </w:rPr>
        <w:t>Neuropsychopharmacol</w:t>
      </w:r>
      <w:proofErr w:type="spellEnd"/>
      <w:r w:rsidRPr="65EC6E5E">
        <w:rPr>
          <w:rFonts w:ascii="Times New Roman" w:eastAsia="Times New Roman" w:hAnsi="Times New Roman" w:cs="Times New Roman"/>
          <w:sz w:val="20"/>
          <w:szCs w:val="20"/>
        </w:rPr>
        <w:t>. 2009;19(1):34-40.</w:t>
      </w:r>
    </w:p>
    <w:p w14:paraId="17176AF8" w14:textId="088DC41B"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Serretti</w:t>
      </w:r>
      <w:proofErr w:type="spellEnd"/>
      <w:r w:rsidRPr="65EC6E5E">
        <w:rPr>
          <w:rFonts w:ascii="Times New Roman" w:eastAsia="Times New Roman" w:hAnsi="Times New Roman" w:cs="Times New Roman"/>
          <w:sz w:val="20"/>
          <w:szCs w:val="20"/>
        </w:rPr>
        <w:t xml:space="preserve"> A, Chiesa A. Treatment-emergent sexual dysfunction related to antidepressants: a meta-analysis. J Clin </w:t>
      </w:r>
      <w:proofErr w:type="spellStart"/>
      <w:r w:rsidRPr="65EC6E5E">
        <w:rPr>
          <w:rFonts w:ascii="Times New Roman" w:eastAsia="Times New Roman" w:hAnsi="Times New Roman" w:cs="Times New Roman"/>
          <w:sz w:val="20"/>
          <w:szCs w:val="20"/>
        </w:rPr>
        <w:t>Psychopharmacol</w:t>
      </w:r>
      <w:proofErr w:type="spellEnd"/>
      <w:r w:rsidRPr="65EC6E5E">
        <w:rPr>
          <w:rFonts w:ascii="Times New Roman" w:eastAsia="Times New Roman" w:hAnsi="Times New Roman" w:cs="Times New Roman"/>
          <w:sz w:val="20"/>
          <w:szCs w:val="20"/>
        </w:rPr>
        <w:t>. 2009;29(3):259-266.</w:t>
      </w:r>
    </w:p>
    <w:p w14:paraId="36F883C0" w14:textId="4F618D57"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Sanacora</w:t>
      </w:r>
      <w:proofErr w:type="spellEnd"/>
      <w:r w:rsidRPr="65EC6E5E">
        <w:rPr>
          <w:rFonts w:ascii="Times New Roman" w:eastAsia="Times New Roman" w:hAnsi="Times New Roman" w:cs="Times New Roman"/>
          <w:sz w:val="20"/>
          <w:szCs w:val="20"/>
        </w:rPr>
        <w:t xml:space="preserve"> G, </w:t>
      </w:r>
      <w:proofErr w:type="spellStart"/>
      <w:r w:rsidRPr="65EC6E5E">
        <w:rPr>
          <w:rFonts w:ascii="Times New Roman" w:eastAsia="Times New Roman" w:hAnsi="Times New Roman" w:cs="Times New Roman"/>
          <w:sz w:val="20"/>
          <w:szCs w:val="20"/>
        </w:rPr>
        <w:t>Treccani</w:t>
      </w:r>
      <w:proofErr w:type="spellEnd"/>
      <w:r w:rsidRPr="65EC6E5E">
        <w:rPr>
          <w:rFonts w:ascii="Times New Roman" w:eastAsia="Times New Roman" w:hAnsi="Times New Roman" w:cs="Times New Roman"/>
          <w:sz w:val="20"/>
          <w:szCs w:val="20"/>
        </w:rPr>
        <w:t xml:space="preserve"> G, Popoli M. Towards a glutamate hypothesis of depression: an emerging frontier of neuropsychopharmacology for mood disorders. Neuropharmacology. 2012;62(1):63-77.</w:t>
      </w:r>
    </w:p>
    <w:p w14:paraId="581AC807" w14:textId="0327A04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Murrough JW, Abdallah CG, Mathew SJ. Targeting glutamate signalling in depression: progress and prospects. Nat Rev Drug </w:t>
      </w:r>
      <w:proofErr w:type="spellStart"/>
      <w:r w:rsidRPr="65EC6E5E">
        <w:rPr>
          <w:rFonts w:ascii="Times New Roman" w:eastAsia="Times New Roman" w:hAnsi="Times New Roman" w:cs="Times New Roman"/>
          <w:sz w:val="20"/>
          <w:szCs w:val="20"/>
        </w:rPr>
        <w:t>Discov</w:t>
      </w:r>
      <w:proofErr w:type="spellEnd"/>
      <w:r w:rsidRPr="65EC6E5E">
        <w:rPr>
          <w:rFonts w:ascii="Times New Roman" w:eastAsia="Times New Roman" w:hAnsi="Times New Roman" w:cs="Times New Roman"/>
          <w:sz w:val="20"/>
          <w:szCs w:val="20"/>
        </w:rPr>
        <w:t>. 2017;16(7):472-486.</w:t>
      </w:r>
    </w:p>
    <w:p w14:paraId="185C6318" w14:textId="686A2F8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Hashimoto K. Role of the mTOR </w:t>
      </w:r>
      <w:proofErr w:type="spellStart"/>
      <w:r w:rsidRPr="65EC6E5E">
        <w:rPr>
          <w:rFonts w:ascii="Times New Roman" w:eastAsia="Times New Roman" w:hAnsi="Times New Roman" w:cs="Times New Roman"/>
          <w:sz w:val="20"/>
          <w:szCs w:val="20"/>
        </w:rPr>
        <w:t>signaling</w:t>
      </w:r>
      <w:proofErr w:type="spellEnd"/>
      <w:r w:rsidRPr="65EC6E5E">
        <w:rPr>
          <w:rFonts w:ascii="Times New Roman" w:eastAsia="Times New Roman" w:hAnsi="Times New Roman" w:cs="Times New Roman"/>
          <w:sz w:val="20"/>
          <w:szCs w:val="20"/>
        </w:rPr>
        <w:t xml:space="preserve"> pathway in the rapid antidepressant action of ketamine. Expert Rev </w:t>
      </w:r>
      <w:proofErr w:type="spellStart"/>
      <w:r w:rsidRPr="65EC6E5E">
        <w:rPr>
          <w:rFonts w:ascii="Times New Roman" w:eastAsia="Times New Roman" w:hAnsi="Times New Roman" w:cs="Times New Roman"/>
          <w:sz w:val="20"/>
          <w:szCs w:val="20"/>
        </w:rPr>
        <w:t>Neurother</w:t>
      </w:r>
      <w:proofErr w:type="spellEnd"/>
      <w:r w:rsidRPr="65EC6E5E">
        <w:rPr>
          <w:rFonts w:ascii="Times New Roman" w:eastAsia="Times New Roman" w:hAnsi="Times New Roman" w:cs="Times New Roman"/>
          <w:sz w:val="20"/>
          <w:szCs w:val="20"/>
        </w:rPr>
        <w:t>. 2013;13(10):1049-1051.</w:t>
      </w:r>
    </w:p>
    <w:p w14:paraId="6D7F1CFB" w14:textId="106BCB0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Duman RS, Li N. A neurotrophic hypothesis of depression: role of synaptogenesis in the actions of NMDA receptor antagonists. </w:t>
      </w:r>
      <w:proofErr w:type="spellStart"/>
      <w:r w:rsidRPr="65EC6E5E">
        <w:rPr>
          <w:rFonts w:ascii="Times New Roman" w:eastAsia="Times New Roman" w:hAnsi="Times New Roman" w:cs="Times New Roman"/>
          <w:sz w:val="20"/>
          <w:szCs w:val="20"/>
        </w:rPr>
        <w:t>Philos</w:t>
      </w:r>
      <w:proofErr w:type="spellEnd"/>
      <w:r w:rsidRPr="65EC6E5E">
        <w:rPr>
          <w:rFonts w:ascii="Times New Roman" w:eastAsia="Times New Roman" w:hAnsi="Times New Roman" w:cs="Times New Roman"/>
          <w:sz w:val="20"/>
          <w:szCs w:val="20"/>
        </w:rPr>
        <w:t xml:space="preserve"> Trans R Soc </w:t>
      </w:r>
      <w:proofErr w:type="spellStart"/>
      <w:r w:rsidRPr="65EC6E5E">
        <w:rPr>
          <w:rFonts w:ascii="Times New Roman" w:eastAsia="Times New Roman" w:hAnsi="Times New Roman" w:cs="Times New Roman"/>
          <w:sz w:val="20"/>
          <w:szCs w:val="20"/>
        </w:rPr>
        <w:t>Lond</w:t>
      </w:r>
      <w:proofErr w:type="spellEnd"/>
      <w:r w:rsidRPr="65EC6E5E">
        <w:rPr>
          <w:rFonts w:ascii="Times New Roman" w:eastAsia="Times New Roman" w:hAnsi="Times New Roman" w:cs="Times New Roman"/>
          <w:sz w:val="20"/>
          <w:szCs w:val="20"/>
        </w:rPr>
        <w:t xml:space="preserve"> B </w:t>
      </w:r>
      <w:proofErr w:type="spellStart"/>
      <w:r w:rsidRPr="65EC6E5E">
        <w:rPr>
          <w:rFonts w:ascii="Times New Roman" w:eastAsia="Times New Roman" w:hAnsi="Times New Roman" w:cs="Times New Roman"/>
          <w:sz w:val="20"/>
          <w:szCs w:val="20"/>
        </w:rPr>
        <w:t>Biol</w:t>
      </w:r>
      <w:proofErr w:type="spellEnd"/>
      <w:r w:rsidRPr="65EC6E5E">
        <w:rPr>
          <w:rFonts w:ascii="Times New Roman" w:eastAsia="Times New Roman" w:hAnsi="Times New Roman" w:cs="Times New Roman"/>
          <w:sz w:val="20"/>
          <w:szCs w:val="20"/>
        </w:rPr>
        <w:t xml:space="preserve"> Sci. 2012;367(1601):2475-2484.</w:t>
      </w:r>
    </w:p>
    <w:p w14:paraId="65D1C72D" w14:textId="3D32138B"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Lener</w:t>
      </w:r>
      <w:proofErr w:type="spellEnd"/>
      <w:r w:rsidRPr="65EC6E5E">
        <w:rPr>
          <w:rFonts w:ascii="Times New Roman" w:eastAsia="Times New Roman" w:hAnsi="Times New Roman" w:cs="Times New Roman"/>
          <w:sz w:val="20"/>
          <w:szCs w:val="20"/>
        </w:rPr>
        <w:t xml:space="preserve"> MS, </w:t>
      </w:r>
      <w:proofErr w:type="spellStart"/>
      <w:r w:rsidRPr="65EC6E5E">
        <w:rPr>
          <w:rFonts w:ascii="Times New Roman" w:eastAsia="Times New Roman" w:hAnsi="Times New Roman" w:cs="Times New Roman"/>
          <w:sz w:val="20"/>
          <w:szCs w:val="20"/>
        </w:rPr>
        <w:t>Niciu</w:t>
      </w:r>
      <w:proofErr w:type="spellEnd"/>
      <w:r w:rsidRPr="65EC6E5E">
        <w:rPr>
          <w:rFonts w:ascii="Times New Roman" w:eastAsia="Times New Roman" w:hAnsi="Times New Roman" w:cs="Times New Roman"/>
          <w:sz w:val="20"/>
          <w:szCs w:val="20"/>
        </w:rPr>
        <w:t xml:space="preserve"> MJ, Ballard ED, et al. Glutamate and gamma-aminobutyric acid systems in the pathophysiology of major depression and antidepressant response to ketamine. </w:t>
      </w:r>
      <w:proofErr w:type="spellStart"/>
      <w:r w:rsidRPr="65EC6E5E">
        <w:rPr>
          <w:rFonts w:ascii="Times New Roman" w:eastAsia="Times New Roman" w:hAnsi="Times New Roman" w:cs="Times New Roman"/>
          <w:sz w:val="20"/>
          <w:szCs w:val="20"/>
        </w:rPr>
        <w:t>Biol</w:t>
      </w:r>
      <w:proofErr w:type="spellEnd"/>
      <w:r w:rsidRPr="65EC6E5E">
        <w:rPr>
          <w:rFonts w:ascii="Times New Roman" w:eastAsia="Times New Roman" w:hAnsi="Times New Roman" w:cs="Times New Roman"/>
          <w:sz w:val="20"/>
          <w:szCs w:val="20"/>
        </w:rPr>
        <w:t xml:space="preserve"> Psychiatry. 2017;81(10):886-897.</w:t>
      </w:r>
    </w:p>
    <w:p w14:paraId="0B046961" w14:textId="1473D2DF"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Berman RM, Cappiello A, Anand A, et al. Antidepressant effects of ketamine in depressed patients. </w:t>
      </w:r>
      <w:proofErr w:type="spellStart"/>
      <w:r w:rsidRPr="65EC6E5E">
        <w:rPr>
          <w:rFonts w:ascii="Times New Roman" w:eastAsia="Times New Roman" w:hAnsi="Times New Roman" w:cs="Times New Roman"/>
          <w:sz w:val="20"/>
          <w:szCs w:val="20"/>
        </w:rPr>
        <w:t>Biol</w:t>
      </w:r>
      <w:proofErr w:type="spellEnd"/>
      <w:r w:rsidRPr="65EC6E5E">
        <w:rPr>
          <w:rFonts w:ascii="Times New Roman" w:eastAsia="Times New Roman" w:hAnsi="Times New Roman" w:cs="Times New Roman"/>
          <w:sz w:val="20"/>
          <w:szCs w:val="20"/>
        </w:rPr>
        <w:t xml:space="preserve"> Psychiatry. 2000;47(4):351-354.</w:t>
      </w:r>
    </w:p>
    <w:p w14:paraId="5E02EECF" w14:textId="23C95016"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Zanos</w:t>
      </w:r>
      <w:proofErr w:type="spellEnd"/>
      <w:r w:rsidRPr="65EC6E5E">
        <w:rPr>
          <w:rFonts w:ascii="Times New Roman" w:eastAsia="Times New Roman" w:hAnsi="Times New Roman" w:cs="Times New Roman"/>
          <w:sz w:val="20"/>
          <w:szCs w:val="20"/>
        </w:rPr>
        <w:t xml:space="preserve"> P, Gould TD. Mechanisms of ketamine action as an antidepressant. Mol Psychiatry. 2018;23(4):801-811.</w:t>
      </w:r>
    </w:p>
    <w:p w14:paraId="0869688E" w14:textId="4D620928"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Abdallah CG, </w:t>
      </w:r>
      <w:proofErr w:type="spellStart"/>
      <w:r w:rsidRPr="65EC6E5E">
        <w:rPr>
          <w:rFonts w:ascii="Times New Roman" w:eastAsia="Times New Roman" w:hAnsi="Times New Roman" w:cs="Times New Roman"/>
          <w:sz w:val="20"/>
          <w:szCs w:val="20"/>
        </w:rPr>
        <w:t>Sanacora</w:t>
      </w:r>
      <w:proofErr w:type="spellEnd"/>
      <w:r w:rsidRPr="65EC6E5E">
        <w:rPr>
          <w:rFonts w:ascii="Times New Roman" w:eastAsia="Times New Roman" w:hAnsi="Times New Roman" w:cs="Times New Roman"/>
          <w:sz w:val="20"/>
          <w:szCs w:val="20"/>
        </w:rPr>
        <w:t xml:space="preserve"> G, </w:t>
      </w:r>
      <w:proofErr w:type="spellStart"/>
      <w:r w:rsidRPr="65EC6E5E">
        <w:rPr>
          <w:rFonts w:ascii="Times New Roman" w:eastAsia="Times New Roman" w:hAnsi="Times New Roman" w:cs="Times New Roman"/>
          <w:sz w:val="20"/>
          <w:szCs w:val="20"/>
        </w:rPr>
        <w:t>Duman</w:t>
      </w:r>
      <w:proofErr w:type="spellEnd"/>
      <w:r w:rsidRPr="65EC6E5E">
        <w:rPr>
          <w:rFonts w:ascii="Times New Roman" w:eastAsia="Times New Roman" w:hAnsi="Times New Roman" w:cs="Times New Roman"/>
          <w:sz w:val="20"/>
          <w:szCs w:val="20"/>
        </w:rPr>
        <w:t xml:space="preserve"> RS, Krystal JH. Ketamine and rapid-acting antidepressants: a window into a new neurobiology for mood disorder therapeutics. Annu Rev Med. </w:t>
      </w:r>
      <w:proofErr w:type="gramStart"/>
      <w:r w:rsidRPr="65EC6E5E">
        <w:rPr>
          <w:rFonts w:ascii="Times New Roman" w:eastAsia="Times New Roman" w:hAnsi="Times New Roman" w:cs="Times New Roman"/>
          <w:sz w:val="20"/>
          <w:szCs w:val="20"/>
        </w:rPr>
        <w:t>2015;66:509</w:t>
      </w:r>
      <w:proofErr w:type="gramEnd"/>
      <w:r w:rsidRPr="65EC6E5E">
        <w:rPr>
          <w:rFonts w:ascii="Times New Roman" w:eastAsia="Times New Roman" w:hAnsi="Times New Roman" w:cs="Times New Roman"/>
          <w:sz w:val="20"/>
          <w:szCs w:val="20"/>
        </w:rPr>
        <w:t>-523.</w:t>
      </w:r>
    </w:p>
    <w:p w14:paraId="530AFD53" w14:textId="05E34D10"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Wilkinson ST, </w:t>
      </w:r>
      <w:proofErr w:type="spellStart"/>
      <w:r w:rsidRPr="65EC6E5E">
        <w:rPr>
          <w:rFonts w:ascii="Times New Roman" w:eastAsia="Times New Roman" w:hAnsi="Times New Roman" w:cs="Times New Roman"/>
          <w:sz w:val="20"/>
          <w:szCs w:val="20"/>
        </w:rPr>
        <w:t>Sanacora</w:t>
      </w:r>
      <w:proofErr w:type="spellEnd"/>
      <w:r w:rsidRPr="65EC6E5E">
        <w:rPr>
          <w:rFonts w:ascii="Times New Roman" w:eastAsia="Times New Roman" w:hAnsi="Times New Roman" w:cs="Times New Roman"/>
          <w:sz w:val="20"/>
          <w:szCs w:val="20"/>
        </w:rPr>
        <w:t xml:space="preserve"> G. Considerations on the off-label use of ketamine as a treatment for mood disorders. JAMA. 2017;318(9):793-794.</w:t>
      </w:r>
    </w:p>
    <w:p w14:paraId="2CE1F748" w14:textId="1E26BA37"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Citrome</w:t>
      </w:r>
      <w:proofErr w:type="spellEnd"/>
      <w:r w:rsidRPr="65EC6E5E">
        <w:rPr>
          <w:rFonts w:ascii="Times New Roman" w:eastAsia="Times New Roman" w:hAnsi="Times New Roman" w:cs="Times New Roman"/>
          <w:sz w:val="20"/>
          <w:szCs w:val="20"/>
        </w:rPr>
        <w:t xml:space="preserve"> L, </w:t>
      </w:r>
      <w:proofErr w:type="spellStart"/>
      <w:r w:rsidRPr="65EC6E5E">
        <w:rPr>
          <w:rFonts w:ascii="Times New Roman" w:eastAsia="Times New Roman" w:hAnsi="Times New Roman" w:cs="Times New Roman"/>
          <w:sz w:val="20"/>
          <w:szCs w:val="20"/>
        </w:rPr>
        <w:t>Kantrowitz</w:t>
      </w:r>
      <w:proofErr w:type="spellEnd"/>
      <w:r w:rsidRPr="65EC6E5E">
        <w:rPr>
          <w:rFonts w:ascii="Times New Roman" w:eastAsia="Times New Roman" w:hAnsi="Times New Roman" w:cs="Times New Roman"/>
          <w:sz w:val="20"/>
          <w:szCs w:val="20"/>
        </w:rPr>
        <w:t xml:space="preserve"> JT.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(REL-1017): a novel NMDA receptor antagonist for major depressive disorder. Expert Rev </w:t>
      </w:r>
      <w:proofErr w:type="spellStart"/>
      <w:r w:rsidRPr="65EC6E5E">
        <w:rPr>
          <w:rFonts w:ascii="Times New Roman" w:eastAsia="Times New Roman" w:hAnsi="Times New Roman" w:cs="Times New Roman"/>
          <w:sz w:val="20"/>
          <w:szCs w:val="20"/>
        </w:rPr>
        <w:t>Neurother</w:t>
      </w:r>
      <w:proofErr w:type="spellEnd"/>
      <w:r w:rsidRPr="65EC6E5E">
        <w:rPr>
          <w:rFonts w:ascii="Times New Roman" w:eastAsia="Times New Roman" w:hAnsi="Times New Roman" w:cs="Times New Roman"/>
          <w:sz w:val="20"/>
          <w:szCs w:val="20"/>
        </w:rPr>
        <w:t>. 2023;23(7):563-573.</w:t>
      </w:r>
    </w:p>
    <w:p w14:paraId="06380731" w14:textId="6DC20AB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Yang C, Kobayashi S, Nakao K, et al. AMPA receptor activation-independent antidepressant actions of ketamine metabolite (2R,6R)-</w:t>
      </w:r>
      <w:proofErr w:type="spellStart"/>
      <w:r w:rsidRPr="65EC6E5E">
        <w:rPr>
          <w:rFonts w:ascii="Times New Roman" w:eastAsia="Times New Roman" w:hAnsi="Times New Roman" w:cs="Times New Roman"/>
          <w:sz w:val="20"/>
          <w:szCs w:val="20"/>
        </w:rPr>
        <w:t>hydroxynorketamine</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Biol</w:t>
      </w:r>
      <w:proofErr w:type="spellEnd"/>
      <w:r w:rsidRPr="65EC6E5E">
        <w:rPr>
          <w:rFonts w:ascii="Times New Roman" w:eastAsia="Times New Roman" w:hAnsi="Times New Roman" w:cs="Times New Roman"/>
          <w:sz w:val="20"/>
          <w:szCs w:val="20"/>
        </w:rPr>
        <w:t xml:space="preserve"> Psychiatry. 2018;84(8):591-600.</w:t>
      </w:r>
    </w:p>
    <w:p w14:paraId="2887B9E7" w14:textId="66F7CE93"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Pasternak GW, </w:t>
      </w:r>
      <w:proofErr w:type="spellStart"/>
      <w:r w:rsidRPr="65EC6E5E">
        <w:rPr>
          <w:rFonts w:ascii="Times New Roman" w:eastAsia="Times New Roman" w:hAnsi="Times New Roman" w:cs="Times New Roman"/>
          <w:sz w:val="20"/>
          <w:szCs w:val="20"/>
        </w:rPr>
        <w:t>Inturrisi</w:t>
      </w:r>
      <w:proofErr w:type="spellEnd"/>
      <w:r w:rsidRPr="65EC6E5E">
        <w:rPr>
          <w:rFonts w:ascii="Times New Roman" w:eastAsia="Times New Roman" w:hAnsi="Times New Roman" w:cs="Times New Roman"/>
          <w:sz w:val="20"/>
          <w:szCs w:val="20"/>
        </w:rPr>
        <w:t xml:space="preserve"> CE. Feeling pain? Who's your daddy... Nature Med. </w:t>
      </w:r>
      <w:proofErr w:type="gramStart"/>
      <w:r w:rsidRPr="65EC6E5E">
        <w:rPr>
          <w:rFonts w:ascii="Times New Roman" w:eastAsia="Times New Roman" w:hAnsi="Times New Roman" w:cs="Times New Roman"/>
          <w:sz w:val="20"/>
          <w:szCs w:val="20"/>
        </w:rPr>
        <w:t>2006;12:1243</w:t>
      </w:r>
      <w:proofErr w:type="gramEnd"/>
      <w:r w:rsidRPr="65EC6E5E">
        <w:rPr>
          <w:rFonts w:ascii="Times New Roman" w:eastAsia="Times New Roman" w:hAnsi="Times New Roman" w:cs="Times New Roman"/>
          <w:sz w:val="20"/>
          <w:szCs w:val="20"/>
        </w:rPr>
        <w:t>-1244.</w:t>
      </w:r>
    </w:p>
    <w:p w14:paraId="369BBEEA" w14:textId="6FC9F988"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Preskorn</w:t>
      </w:r>
      <w:proofErr w:type="spellEnd"/>
      <w:r w:rsidRPr="65EC6E5E">
        <w:rPr>
          <w:rFonts w:ascii="Times New Roman" w:eastAsia="Times New Roman" w:hAnsi="Times New Roman" w:cs="Times New Roman"/>
          <w:sz w:val="20"/>
          <w:szCs w:val="20"/>
        </w:rPr>
        <w:t xml:space="preserve"> S, Macaluso M, Mehra DO, et al. Randomized proof of concept trial of GLYX-13, an N-methyl-D-aspartate receptor glycine site partial agonist, in major depressive disorder nonresponsive to a previous antidepressant agent. J </w:t>
      </w:r>
      <w:proofErr w:type="spellStart"/>
      <w:r w:rsidRPr="65EC6E5E">
        <w:rPr>
          <w:rFonts w:ascii="Times New Roman" w:eastAsia="Times New Roman" w:hAnsi="Times New Roman" w:cs="Times New Roman"/>
          <w:sz w:val="20"/>
          <w:szCs w:val="20"/>
        </w:rPr>
        <w:t>Psychiatr</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Pract</w:t>
      </w:r>
      <w:proofErr w:type="spellEnd"/>
      <w:r w:rsidRPr="65EC6E5E">
        <w:rPr>
          <w:rFonts w:ascii="Times New Roman" w:eastAsia="Times New Roman" w:hAnsi="Times New Roman" w:cs="Times New Roman"/>
          <w:sz w:val="20"/>
          <w:szCs w:val="20"/>
        </w:rPr>
        <w:t>. 2015;21(2):140-149.</w:t>
      </w:r>
    </w:p>
    <w:p w14:paraId="29479157" w14:textId="17E440D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Callahan RJ, Au JD, Paul M, Liu C, Yost CS. Functional inhibition by methadone of N-methyl-D-aspartate receptors expressed in Xenopus oocytes: stereospecific and subunit effects. </w:t>
      </w:r>
      <w:proofErr w:type="spellStart"/>
      <w:r w:rsidRPr="65EC6E5E">
        <w:rPr>
          <w:rFonts w:ascii="Times New Roman" w:eastAsia="Times New Roman" w:hAnsi="Times New Roman" w:cs="Times New Roman"/>
          <w:sz w:val="20"/>
          <w:szCs w:val="20"/>
        </w:rPr>
        <w:t>Anesth</w:t>
      </w:r>
      <w:proofErr w:type="spellEnd"/>
      <w:r w:rsidRPr="65EC6E5E">
        <w:rPr>
          <w:rFonts w:ascii="Times New Roman" w:eastAsia="Times New Roman" w:hAnsi="Times New Roman" w:cs="Times New Roman"/>
          <w:sz w:val="20"/>
          <w:szCs w:val="20"/>
        </w:rPr>
        <w:t xml:space="preserve"> </w:t>
      </w:r>
      <w:proofErr w:type="spellStart"/>
      <w:r w:rsidRPr="65EC6E5E">
        <w:rPr>
          <w:rFonts w:ascii="Times New Roman" w:eastAsia="Times New Roman" w:hAnsi="Times New Roman" w:cs="Times New Roman"/>
          <w:sz w:val="20"/>
          <w:szCs w:val="20"/>
        </w:rPr>
        <w:t>Analg</w:t>
      </w:r>
      <w:proofErr w:type="spellEnd"/>
      <w:r w:rsidRPr="65EC6E5E">
        <w:rPr>
          <w:rFonts w:ascii="Times New Roman" w:eastAsia="Times New Roman" w:hAnsi="Times New Roman" w:cs="Times New Roman"/>
          <w:sz w:val="20"/>
          <w:szCs w:val="20"/>
        </w:rPr>
        <w:t>. 2004;98(3):653-659.</w:t>
      </w:r>
    </w:p>
    <w:p w14:paraId="17D015AA" w14:textId="2F9B14BE"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Volpi-Abadie J, Kaye AM, Kaye AD. Serotonin syndrome. Ochsner J. 2013;13(4):533-540.</w:t>
      </w:r>
    </w:p>
    <w:p w14:paraId="07133DF0" w14:textId="62355CB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Glasgow NG, Siegler Retchless B, Johnson JW. Molecular bases of NMDA receptor subtype-dependent properties. J Physiol. 2015;593(1):83-95.</w:t>
      </w:r>
    </w:p>
    <w:p w14:paraId="54F4FE0A" w14:textId="5A3971F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Li N, Lee B, Liu RJ, et al. mTOR-dependent synapse formation underlies the rapid antidepressant effects of NMDA antagonists. Science. 2010;329(5994):959-964.</w:t>
      </w:r>
    </w:p>
    <w:p w14:paraId="42F8DFBB" w14:textId="729025E9"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Gudin</w:t>
      </w:r>
      <w:proofErr w:type="spellEnd"/>
      <w:r w:rsidRPr="65EC6E5E">
        <w:rPr>
          <w:rFonts w:ascii="Times New Roman" w:eastAsia="Times New Roman" w:hAnsi="Times New Roman" w:cs="Times New Roman"/>
          <w:sz w:val="20"/>
          <w:szCs w:val="20"/>
        </w:rPr>
        <w:t xml:space="preserve"> J, </w:t>
      </w:r>
      <w:proofErr w:type="spellStart"/>
      <w:r w:rsidRPr="65EC6E5E">
        <w:rPr>
          <w:rFonts w:ascii="Times New Roman" w:eastAsia="Times New Roman" w:hAnsi="Times New Roman" w:cs="Times New Roman"/>
          <w:sz w:val="20"/>
          <w:szCs w:val="20"/>
        </w:rPr>
        <w:t>Fudin</w:t>
      </w:r>
      <w:proofErr w:type="spellEnd"/>
      <w:r w:rsidRPr="65EC6E5E">
        <w:rPr>
          <w:rFonts w:ascii="Times New Roman" w:eastAsia="Times New Roman" w:hAnsi="Times New Roman" w:cs="Times New Roman"/>
          <w:sz w:val="20"/>
          <w:szCs w:val="20"/>
        </w:rPr>
        <w:t xml:space="preserve"> J, </w:t>
      </w:r>
      <w:proofErr w:type="spellStart"/>
      <w:r w:rsidRPr="65EC6E5E">
        <w:rPr>
          <w:rFonts w:ascii="Times New Roman" w:eastAsia="Times New Roman" w:hAnsi="Times New Roman" w:cs="Times New Roman"/>
          <w:sz w:val="20"/>
          <w:szCs w:val="20"/>
        </w:rPr>
        <w:t>Nalamachu</w:t>
      </w:r>
      <w:proofErr w:type="spellEnd"/>
      <w:r w:rsidRPr="65EC6E5E">
        <w:rPr>
          <w:rFonts w:ascii="Times New Roman" w:eastAsia="Times New Roman" w:hAnsi="Times New Roman" w:cs="Times New Roman"/>
          <w:sz w:val="20"/>
          <w:szCs w:val="20"/>
        </w:rPr>
        <w:t xml:space="preserve"> S. Levomethadone and </w:t>
      </w:r>
      <w:proofErr w:type="spellStart"/>
      <w:r w:rsidRPr="65EC6E5E">
        <w:rPr>
          <w:rFonts w:ascii="Times New Roman" w:eastAsia="Times New Roman" w:hAnsi="Times New Roman" w:cs="Times New Roman"/>
          <w:sz w:val="20"/>
          <w:szCs w:val="20"/>
        </w:rPr>
        <w:t>dextromethadone</w:t>
      </w:r>
      <w:proofErr w:type="spellEnd"/>
      <w:r w:rsidRPr="65EC6E5E">
        <w:rPr>
          <w:rFonts w:ascii="Times New Roman" w:eastAsia="Times New Roman" w:hAnsi="Times New Roman" w:cs="Times New Roman"/>
          <w:sz w:val="20"/>
          <w:szCs w:val="20"/>
        </w:rPr>
        <w:t>: opioid analgesics with distinct µ-opioid receptor effects. Pain Ther. 2022;11(1):171-182.</w:t>
      </w:r>
    </w:p>
    <w:p w14:paraId="1DCE69AE" w14:textId="2D1FFBDD"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De </w:t>
      </w:r>
      <w:proofErr w:type="spellStart"/>
      <w:r w:rsidRPr="65EC6E5E">
        <w:rPr>
          <w:rFonts w:ascii="Times New Roman" w:eastAsia="Times New Roman" w:hAnsi="Times New Roman" w:cs="Times New Roman"/>
          <w:sz w:val="20"/>
          <w:szCs w:val="20"/>
        </w:rPr>
        <w:t>Kater</w:t>
      </w:r>
      <w:proofErr w:type="spellEnd"/>
      <w:r w:rsidRPr="65EC6E5E">
        <w:rPr>
          <w:rFonts w:ascii="Times New Roman" w:eastAsia="Times New Roman" w:hAnsi="Times New Roman" w:cs="Times New Roman"/>
          <w:sz w:val="20"/>
          <w:szCs w:val="20"/>
        </w:rPr>
        <w:t xml:space="preserve"> AW, </w:t>
      </w:r>
      <w:proofErr w:type="spellStart"/>
      <w:r w:rsidRPr="65EC6E5E">
        <w:rPr>
          <w:rFonts w:ascii="Times New Roman" w:eastAsia="Times New Roman" w:hAnsi="Times New Roman" w:cs="Times New Roman"/>
          <w:sz w:val="20"/>
          <w:szCs w:val="20"/>
        </w:rPr>
        <w:t>Manowitz</w:t>
      </w:r>
      <w:proofErr w:type="spellEnd"/>
      <w:r w:rsidRPr="65EC6E5E">
        <w:rPr>
          <w:rFonts w:ascii="Times New Roman" w:eastAsia="Times New Roman" w:hAnsi="Times New Roman" w:cs="Times New Roman"/>
          <w:sz w:val="20"/>
          <w:szCs w:val="20"/>
        </w:rPr>
        <w:t xml:space="preserve"> M, Hamer K, et al. Pharmacokinetics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a novel antidepressant, in healthy subjects: a first-in-human study. J Clin </w:t>
      </w:r>
      <w:proofErr w:type="spellStart"/>
      <w:r w:rsidRPr="65EC6E5E">
        <w:rPr>
          <w:rFonts w:ascii="Times New Roman" w:eastAsia="Times New Roman" w:hAnsi="Times New Roman" w:cs="Times New Roman"/>
          <w:sz w:val="20"/>
          <w:szCs w:val="20"/>
        </w:rPr>
        <w:t>Pharmacol</w:t>
      </w:r>
      <w:proofErr w:type="spellEnd"/>
      <w:r w:rsidRPr="65EC6E5E">
        <w:rPr>
          <w:rFonts w:ascii="Times New Roman" w:eastAsia="Times New Roman" w:hAnsi="Times New Roman" w:cs="Times New Roman"/>
          <w:sz w:val="20"/>
          <w:szCs w:val="20"/>
        </w:rPr>
        <w:t>. 2023;63(11):1347-1360.</w:t>
      </w:r>
    </w:p>
    <w:p w14:paraId="72DC2D72" w14:textId="1B9A0BED"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Kharasch ED. Current concepts in methadone metabolism and transport. Clin Pharmacol Drug Dev. 2017;6(2):125-134.</w:t>
      </w:r>
    </w:p>
    <w:p w14:paraId="1FC920D7" w14:textId="7287582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Fava M, Stahl S, Pani L, et al. REL-1017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as adjunctive treatment in patients with major depressive disorder: a Phase 2a randomized double-blind trial. Am J Psychiatry. 2022;179(2):122-131.</w:t>
      </w:r>
    </w:p>
    <w:p w14:paraId="1C5AE2E0" w14:textId="7FAC8F7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De </w:t>
      </w:r>
      <w:proofErr w:type="spellStart"/>
      <w:r w:rsidRPr="65EC6E5E">
        <w:rPr>
          <w:rFonts w:ascii="Times New Roman" w:eastAsia="Times New Roman" w:hAnsi="Times New Roman" w:cs="Times New Roman"/>
          <w:sz w:val="20"/>
          <w:szCs w:val="20"/>
        </w:rPr>
        <w:t>Kater</w:t>
      </w:r>
      <w:proofErr w:type="spellEnd"/>
      <w:r w:rsidRPr="65EC6E5E">
        <w:rPr>
          <w:rFonts w:ascii="Times New Roman" w:eastAsia="Times New Roman" w:hAnsi="Times New Roman" w:cs="Times New Roman"/>
          <w:sz w:val="20"/>
          <w:szCs w:val="20"/>
        </w:rPr>
        <w:t xml:space="preserve"> AW, </w:t>
      </w:r>
      <w:proofErr w:type="spellStart"/>
      <w:r w:rsidRPr="65EC6E5E">
        <w:rPr>
          <w:rFonts w:ascii="Times New Roman" w:eastAsia="Times New Roman" w:hAnsi="Times New Roman" w:cs="Times New Roman"/>
          <w:sz w:val="20"/>
          <w:szCs w:val="20"/>
        </w:rPr>
        <w:t>Dackis</w:t>
      </w:r>
      <w:proofErr w:type="spellEnd"/>
      <w:r w:rsidRPr="65EC6E5E">
        <w:rPr>
          <w:rFonts w:ascii="Times New Roman" w:eastAsia="Times New Roman" w:hAnsi="Times New Roman" w:cs="Times New Roman"/>
          <w:sz w:val="20"/>
          <w:szCs w:val="20"/>
        </w:rPr>
        <w:t xml:space="preserve"> C, </w:t>
      </w:r>
      <w:proofErr w:type="spellStart"/>
      <w:r w:rsidRPr="65EC6E5E">
        <w:rPr>
          <w:rFonts w:ascii="Times New Roman" w:eastAsia="Times New Roman" w:hAnsi="Times New Roman" w:cs="Times New Roman"/>
          <w:sz w:val="20"/>
          <w:szCs w:val="20"/>
        </w:rPr>
        <w:t>Manowitz</w:t>
      </w:r>
      <w:proofErr w:type="spellEnd"/>
      <w:r w:rsidRPr="65EC6E5E">
        <w:rPr>
          <w:rFonts w:ascii="Times New Roman" w:eastAsia="Times New Roman" w:hAnsi="Times New Roman" w:cs="Times New Roman"/>
          <w:sz w:val="20"/>
          <w:szCs w:val="20"/>
        </w:rPr>
        <w:t xml:space="preserve"> M, et al. Assessment of the human abuse potential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a novel NMDA channel blocker and rapid-acting antidepressant. J Clin </w:t>
      </w:r>
      <w:proofErr w:type="spellStart"/>
      <w:r w:rsidRPr="65EC6E5E">
        <w:rPr>
          <w:rFonts w:ascii="Times New Roman" w:eastAsia="Times New Roman" w:hAnsi="Times New Roman" w:cs="Times New Roman"/>
          <w:sz w:val="20"/>
          <w:szCs w:val="20"/>
        </w:rPr>
        <w:t>Psychopharmacol</w:t>
      </w:r>
      <w:proofErr w:type="spellEnd"/>
      <w:r w:rsidRPr="65EC6E5E">
        <w:rPr>
          <w:rFonts w:ascii="Times New Roman" w:eastAsia="Times New Roman" w:hAnsi="Times New Roman" w:cs="Times New Roman"/>
          <w:sz w:val="20"/>
          <w:szCs w:val="20"/>
        </w:rPr>
        <w:t>. 2023;43(5):456-464.</w:t>
      </w:r>
    </w:p>
    <w:p w14:paraId="59A982C3" w14:textId="0C24571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Fava M, </w:t>
      </w:r>
      <w:proofErr w:type="spellStart"/>
      <w:r w:rsidRPr="65EC6E5E">
        <w:rPr>
          <w:rFonts w:ascii="Times New Roman" w:eastAsia="Times New Roman" w:hAnsi="Times New Roman" w:cs="Times New Roman"/>
          <w:sz w:val="20"/>
          <w:szCs w:val="20"/>
        </w:rPr>
        <w:t>Thase</w:t>
      </w:r>
      <w:proofErr w:type="spellEnd"/>
      <w:r w:rsidRPr="65EC6E5E">
        <w:rPr>
          <w:rFonts w:ascii="Times New Roman" w:eastAsia="Times New Roman" w:hAnsi="Times New Roman" w:cs="Times New Roman"/>
          <w:sz w:val="20"/>
          <w:szCs w:val="20"/>
        </w:rPr>
        <w:t xml:space="preserve"> ME, Trivedi MH, et al. A Phase 2 study of the efficacy and safety of REL-1017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as monotherapy in patients with major depressive disorder. J Clin Psychiatry. 2023;84(4):22m14641.</w:t>
      </w:r>
    </w:p>
    <w:p w14:paraId="43220A05" w14:textId="51F94D2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Mathews M, </w:t>
      </w:r>
      <w:proofErr w:type="spellStart"/>
      <w:r w:rsidRPr="65EC6E5E">
        <w:rPr>
          <w:rFonts w:ascii="Times New Roman" w:eastAsia="Times New Roman" w:hAnsi="Times New Roman" w:cs="Times New Roman"/>
          <w:sz w:val="20"/>
          <w:szCs w:val="20"/>
        </w:rPr>
        <w:t>Gommoll</w:t>
      </w:r>
      <w:proofErr w:type="spellEnd"/>
      <w:r w:rsidRPr="65EC6E5E">
        <w:rPr>
          <w:rFonts w:ascii="Times New Roman" w:eastAsia="Times New Roman" w:hAnsi="Times New Roman" w:cs="Times New Roman"/>
          <w:sz w:val="20"/>
          <w:szCs w:val="20"/>
        </w:rPr>
        <w:t xml:space="preserve"> C, Chen D, et al. Safety and efficacy of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(REL-1017) in major depressive disorder: results from a 14-day Phase 2b trial with 2-week follow-up. Int J </w:t>
      </w:r>
      <w:proofErr w:type="spellStart"/>
      <w:r w:rsidRPr="65EC6E5E">
        <w:rPr>
          <w:rFonts w:ascii="Times New Roman" w:eastAsia="Times New Roman" w:hAnsi="Times New Roman" w:cs="Times New Roman"/>
          <w:sz w:val="20"/>
          <w:szCs w:val="20"/>
        </w:rPr>
        <w:t>Neuropsychopharmacol</w:t>
      </w:r>
      <w:proofErr w:type="spellEnd"/>
      <w:r w:rsidRPr="65EC6E5E">
        <w:rPr>
          <w:rFonts w:ascii="Times New Roman" w:eastAsia="Times New Roman" w:hAnsi="Times New Roman" w:cs="Times New Roman"/>
          <w:sz w:val="20"/>
          <w:szCs w:val="20"/>
        </w:rPr>
        <w:t>. 2023;26(8):648-658.</w:t>
      </w:r>
    </w:p>
    <w:p w14:paraId="4697AC43" w14:textId="3F85EC2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Trivedi MH, </w:t>
      </w:r>
      <w:proofErr w:type="spellStart"/>
      <w:r w:rsidRPr="65EC6E5E">
        <w:rPr>
          <w:rFonts w:ascii="Times New Roman" w:eastAsia="Times New Roman" w:hAnsi="Times New Roman" w:cs="Times New Roman"/>
          <w:sz w:val="20"/>
          <w:szCs w:val="20"/>
        </w:rPr>
        <w:t>Sanacora</w:t>
      </w:r>
      <w:proofErr w:type="spellEnd"/>
      <w:r w:rsidRPr="65EC6E5E">
        <w:rPr>
          <w:rFonts w:ascii="Times New Roman" w:eastAsia="Times New Roman" w:hAnsi="Times New Roman" w:cs="Times New Roman"/>
          <w:sz w:val="20"/>
          <w:szCs w:val="20"/>
        </w:rPr>
        <w:t xml:space="preserve"> G, Fava M, et al. Efficacy and safety of adjunctive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in major depressive disorder: RELIANCE I randomized clinical trial. JAMA Psychiatry. 2024;81(2):154-163.</w:t>
      </w:r>
    </w:p>
    <w:p w14:paraId="2020582B" w14:textId="6454F1A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Papakostas GI, Rush AJ, Nemeroff CB, et al. </w:t>
      </w:r>
      <w:proofErr w:type="spellStart"/>
      <w:r w:rsidRPr="65EC6E5E">
        <w:rPr>
          <w:rFonts w:ascii="Times New Roman" w:eastAsia="Times New Roman" w:hAnsi="Times New Roman" w:cs="Times New Roman"/>
          <w:sz w:val="20"/>
          <w:szCs w:val="20"/>
        </w:rPr>
        <w:t>Esmethadone</w:t>
      </w:r>
      <w:proofErr w:type="spellEnd"/>
      <w:r w:rsidRPr="65EC6E5E">
        <w:rPr>
          <w:rFonts w:ascii="Times New Roman" w:eastAsia="Times New Roman" w:hAnsi="Times New Roman" w:cs="Times New Roman"/>
          <w:sz w:val="20"/>
          <w:szCs w:val="20"/>
        </w:rPr>
        <w:t xml:space="preserve"> monotherapy for major depressive disorder: results from the RELIANCE II randomized clinical trial. J Clin Psychiatry. 2024;85(2):23m14767.</w:t>
      </w:r>
    </w:p>
    <w:p w14:paraId="633DC9B0" w14:textId="2310CEF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Newport DJ, Carpenter LL, McDonald WM, et al. Ketamine and other NMDA antagonists: early clinical trials and possible mechanisms in depression. Am J Psychiatry. 2015;172(10):950-966.</w:t>
      </w:r>
    </w:p>
    <w:p w14:paraId="3EE213EB" w14:textId="4716F449"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Abdallah CG, Averill LA, Krystal JH. Ketamine as a promising prototype for a new generation of rapid-acting antidepressants. Ann N Y </w:t>
      </w:r>
      <w:proofErr w:type="spellStart"/>
      <w:r w:rsidRPr="65EC6E5E">
        <w:rPr>
          <w:rFonts w:ascii="Times New Roman" w:eastAsia="Times New Roman" w:hAnsi="Times New Roman" w:cs="Times New Roman"/>
          <w:sz w:val="20"/>
          <w:szCs w:val="20"/>
        </w:rPr>
        <w:t>Acad</w:t>
      </w:r>
      <w:proofErr w:type="spellEnd"/>
      <w:r w:rsidRPr="65EC6E5E">
        <w:rPr>
          <w:rFonts w:ascii="Times New Roman" w:eastAsia="Times New Roman" w:hAnsi="Times New Roman" w:cs="Times New Roman"/>
          <w:sz w:val="20"/>
          <w:szCs w:val="20"/>
        </w:rPr>
        <w:t xml:space="preserve"> Sci. </w:t>
      </w:r>
      <w:proofErr w:type="gramStart"/>
      <w:r w:rsidRPr="65EC6E5E">
        <w:rPr>
          <w:rFonts w:ascii="Times New Roman" w:eastAsia="Times New Roman" w:hAnsi="Times New Roman" w:cs="Times New Roman"/>
          <w:sz w:val="20"/>
          <w:szCs w:val="20"/>
        </w:rPr>
        <w:t>2015;1344:66</w:t>
      </w:r>
      <w:proofErr w:type="gramEnd"/>
      <w:r w:rsidRPr="65EC6E5E">
        <w:rPr>
          <w:rFonts w:ascii="Times New Roman" w:eastAsia="Times New Roman" w:hAnsi="Times New Roman" w:cs="Times New Roman"/>
          <w:sz w:val="20"/>
          <w:szCs w:val="20"/>
        </w:rPr>
        <w:t>-77.</w:t>
      </w:r>
    </w:p>
    <w:p w14:paraId="24965B76" w14:textId="52A3EDE6" w:rsidR="5422E910" w:rsidRDefault="5422E910" w:rsidP="65EC6E5E">
      <w:pPr>
        <w:numPr>
          <w:ilvl w:val="0"/>
          <w:numId w:val="1"/>
        </w:numPr>
        <w:rPr>
          <w:rFonts w:ascii="Times New Roman" w:eastAsia="Times New Roman" w:hAnsi="Times New Roman" w:cs="Times New Roman"/>
          <w:sz w:val="20"/>
          <w:szCs w:val="20"/>
        </w:rPr>
      </w:pPr>
      <w:proofErr w:type="spellStart"/>
      <w:r w:rsidRPr="65EC6E5E">
        <w:rPr>
          <w:rFonts w:ascii="Times New Roman" w:eastAsia="Times New Roman" w:hAnsi="Times New Roman" w:cs="Times New Roman"/>
          <w:sz w:val="20"/>
          <w:szCs w:val="20"/>
        </w:rPr>
        <w:t>Relmada</w:t>
      </w:r>
      <w:proofErr w:type="spellEnd"/>
      <w:r w:rsidRPr="65EC6E5E">
        <w:rPr>
          <w:rFonts w:ascii="Times New Roman" w:eastAsia="Times New Roman" w:hAnsi="Times New Roman" w:cs="Times New Roman"/>
          <w:sz w:val="20"/>
          <w:szCs w:val="20"/>
        </w:rPr>
        <w:t xml:space="preserve"> Therapeutics Inc. </w:t>
      </w:r>
      <w:proofErr w:type="spellStart"/>
      <w:r w:rsidRPr="65EC6E5E">
        <w:rPr>
          <w:rFonts w:ascii="Times New Roman" w:eastAsia="Times New Roman" w:hAnsi="Times New Roman" w:cs="Times New Roman"/>
          <w:sz w:val="20"/>
          <w:szCs w:val="20"/>
        </w:rPr>
        <w:t>Relmada</w:t>
      </w:r>
      <w:proofErr w:type="spellEnd"/>
      <w:r w:rsidRPr="65EC6E5E">
        <w:rPr>
          <w:rFonts w:ascii="Times New Roman" w:eastAsia="Times New Roman" w:hAnsi="Times New Roman" w:cs="Times New Roman"/>
          <w:sz w:val="20"/>
          <w:szCs w:val="20"/>
        </w:rPr>
        <w:t xml:space="preserve"> Therapeutics announces top-line results from RELIANCE III trial and plans for NDA submission. Press Release. August 2024.</w:t>
      </w:r>
    </w:p>
    <w:p w14:paraId="5D952DEA" w14:textId="621E8E2B" w:rsidR="65EC6E5E" w:rsidRDefault="65EC6E5E" w:rsidP="65EC6E5E">
      <w:pPr>
        <w:rPr>
          <w:rFonts w:ascii="Times New Roman" w:eastAsia="Times New Roman" w:hAnsi="Times New Roman" w:cs="Times New Roman"/>
          <w:sz w:val="20"/>
          <w:szCs w:val="20"/>
        </w:rPr>
      </w:pPr>
    </w:p>
    <w:sectPr w:rsidR="65EC6E5E">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333C4" w14:textId="77777777" w:rsidR="006F638A" w:rsidRDefault="006F638A" w:rsidP="008E20B2">
      <w:pPr>
        <w:spacing w:after="0" w:line="240" w:lineRule="auto"/>
      </w:pPr>
      <w:r>
        <w:separator/>
      </w:r>
    </w:p>
  </w:endnote>
  <w:endnote w:type="continuationSeparator" w:id="0">
    <w:p w14:paraId="24FA090E" w14:textId="77777777" w:rsidR="006F638A" w:rsidRDefault="006F638A" w:rsidP="008E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C0BA" w14:textId="77777777" w:rsidR="00952A62" w:rsidRDefault="00952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2385" w14:textId="77777777" w:rsidR="00952A62" w:rsidRDefault="0095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764F" w14:textId="77777777" w:rsidR="00952A62" w:rsidRDefault="0095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E2782" w14:textId="77777777" w:rsidR="006F638A" w:rsidRDefault="006F638A" w:rsidP="008E20B2">
      <w:pPr>
        <w:spacing w:after="0" w:line="240" w:lineRule="auto"/>
      </w:pPr>
      <w:r>
        <w:separator/>
      </w:r>
    </w:p>
  </w:footnote>
  <w:footnote w:type="continuationSeparator" w:id="0">
    <w:p w14:paraId="23F7298C" w14:textId="77777777" w:rsidR="006F638A" w:rsidRDefault="006F638A" w:rsidP="008E2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33A0" w14:textId="202CA5D8" w:rsidR="00952A62" w:rsidRDefault="00952A62">
    <w:pPr>
      <w:pStyle w:val="Header"/>
    </w:pPr>
    <w:r>
      <w:rPr>
        <w:noProof/>
      </w:rPr>
      <w:pict w14:anchorId="1AC8B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489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4DA66" w14:textId="7FEED2F1" w:rsidR="00952A62" w:rsidRDefault="00952A62">
    <w:pPr>
      <w:pStyle w:val="Header"/>
    </w:pPr>
    <w:r>
      <w:rPr>
        <w:noProof/>
      </w:rPr>
      <w:pict w14:anchorId="0098C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489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73B8" w14:textId="64CBDF8C" w:rsidR="00952A62" w:rsidRDefault="00952A62">
    <w:pPr>
      <w:pStyle w:val="Header"/>
    </w:pPr>
    <w:r>
      <w:rPr>
        <w:noProof/>
      </w:rPr>
      <w:pict w14:anchorId="5A360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489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intelligence2.xml><?xml version="1.0" encoding="utf-8"?>
<int2:intelligence xmlns:int2="http://schemas.microsoft.com/office/intelligence/2020/intelligence" xmlns:oel="http://schemas.microsoft.com/office/2019/extlst">
  <int2:observations>
    <int2:bookmark int2:bookmarkName="_Int_HYIfF9xH" int2:invalidationBookmarkName="" int2:hashCode="NcakavGKahAHYe" int2:id="b5XVojDX">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131C"/>
    <w:multiLevelType w:val="hybridMultilevel"/>
    <w:tmpl w:val="C4B038C0"/>
    <w:lvl w:ilvl="0" w:tplc="A70260A8">
      <w:start w:val="1"/>
      <w:numFmt w:val="decimal"/>
      <w:lvlText w:val="%1."/>
      <w:lvlJc w:val="left"/>
      <w:pPr>
        <w:ind w:left="720" w:hanging="360"/>
      </w:pPr>
    </w:lvl>
    <w:lvl w:ilvl="1" w:tplc="712E74A2">
      <w:start w:val="1"/>
      <w:numFmt w:val="lowerLetter"/>
      <w:lvlText w:val="%2."/>
      <w:lvlJc w:val="left"/>
      <w:pPr>
        <w:ind w:left="1440" w:hanging="360"/>
      </w:pPr>
    </w:lvl>
    <w:lvl w:ilvl="2" w:tplc="00562CEC">
      <w:start w:val="1"/>
      <w:numFmt w:val="lowerRoman"/>
      <w:lvlText w:val="%3."/>
      <w:lvlJc w:val="right"/>
      <w:pPr>
        <w:ind w:left="2160" w:hanging="180"/>
      </w:pPr>
    </w:lvl>
    <w:lvl w:ilvl="3" w:tplc="BF70D0D8">
      <w:start w:val="1"/>
      <w:numFmt w:val="decimal"/>
      <w:lvlText w:val="%4."/>
      <w:lvlJc w:val="left"/>
      <w:pPr>
        <w:ind w:left="2880" w:hanging="360"/>
      </w:pPr>
    </w:lvl>
    <w:lvl w:ilvl="4" w:tplc="9BF470A8">
      <w:start w:val="1"/>
      <w:numFmt w:val="lowerLetter"/>
      <w:lvlText w:val="%5."/>
      <w:lvlJc w:val="left"/>
      <w:pPr>
        <w:ind w:left="3600" w:hanging="360"/>
      </w:pPr>
    </w:lvl>
    <w:lvl w:ilvl="5" w:tplc="6A108760">
      <w:start w:val="1"/>
      <w:numFmt w:val="lowerRoman"/>
      <w:lvlText w:val="%6."/>
      <w:lvlJc w:val="right"/>
      <w:pPr>
        <w:ind w:left="4320" w:hanging="180"/>
      </w:pPr>
    </w:lvl>
    <w:lvl w:ilvl="6" w:tplc="0AD04D98">
      <w:start w:val="1"/>
      <w:numFmt w:val="decimal"/>
      <w:lvlText w:val="%7."/>
      <w:lvlJc w:val="left"/>
      <w:pPr>
        <w:ind w:left="5040" w:hanging="360"/>
      </w:pPr>
    </w:lvl>
    <w:lvl w:ilvl="7" w:tplc="29FADD42">
      <w:start w:val="1"/>
      <w:numFmt w:val="lowerLetter"/>
      <w:lvlText w:val="%8."/>
      <w:lvlJc w:val="left"/>
      <w:pPr>
        <w:ind w:left="5760" w:hanging="360"/>
      </w:pPr>
    </w:lvl>
    <w:lvl w:ilvl="8" w:tplc="CD7C8328">
      <w:start w:val="1"/>
      <w:numFmt w:val="lowerRoman"/>
      <w:lvlText w:val="%9."/>
      <w:lvlJc w:val="right"/>
      <w:pPr>
        <w:ind w:left="6480" w:hanging="180"/>
      </w:pPr>
    </w:lvl>
  </w:abstractNum>
  <w:abstractNum w:abstractNumId="1" w15:restartNumberingAfterBreak="0">
    <w:nsid w:val="12BEAEDA"/>
    <w:multiLevelType w:val="hybridMultilevel"/>
    <w:tmpl w:val="90E41A6E"/>
    <w:lvl w:ilvl="0" w:tplc="2FBA4FC6">
      <w:start w:val="1"/>
      <w:numFmt w:val="decimal"/>
      <w:lvlText w:val="%1."/>
      <w:lvlJc w:val="left"/>
      <w:pPr>
        <w:ind w:left="720" w:hanging="360"/>
      </w:pPr>
    </w:lvl>
    <w:lvl w:ilvl="1" w:tplc="B756DFDE">
      <w:start w:val="1"/>
      <w:numFmt w:val="lowerLetter"/>
      <w:lvlText w:val="%2."/>
      <w:lvlJc w:val="left"/>
      <w:pPr>
        <w:ind w:left="1440" w:hanging="360"/>
      </w:pPr>
    </w:lvl>
    <w:lvl w:ilvl="2" w:tplc="EC7AA7C2">
      <w:start w:val="1"/>
      <w:numFmt w:val="lowerRoman"/>
      <w:lvlText w:val="%3."/>
      <w:lvlJc w:val="right"/>
      <w:pPr>
        <w:ind w:left="2160" w:hanging="180"/>
      </w:pPr>
    </w:lvl>
    <w:lvl w:ilvl="3" w:tplc="2CE6F7D6">
      <w:start w:val="1"/>
      <w:numFmt w:val="decimal"/>
      <w:lvlText w:val="%4."/>
      <w:lvlJc w:val="left"/>
      <w:pPr>
        <w:ind w:left="2880" w:hanging="360"/>
      </w:pPr>
    </w:lvl>
    <w:lvl w:ilvl="4" w:tplc="874A8F78">
      <w:start w:val="1"/>
      <w:numFmt w:val="lowerLetter"/>
      <w:lvlText w:val="%5."/>
      <w:lvlJc w:val="left"/>
      <w:pPr>
        <w:ind w:left="3600" w:hanging="360"/>
      </w:pPr>
    </w:lvl>
    <w:lvl w:ilvl="5" w:tplc="6352BEA4">
      <w:start w:val="1"/>
      <w:numFmt w:val="lowerRoman"/>
      <w:lvlText w:val="%6."/>
      <w:lvlJc w:val="right"/>
      <w:pPr>
        <w:ind w:left="4320" w:hanging="180"/>
      </w:pPr>
    </w:lvl>
    <w:lvl w:ilvl="6" w:tplc="0CB24E0E">
      <w:start w:val="1"/>
      <w:numFmt w:val="decimal"/>
      <w:lvlText w:val="%7."/>
      <w:lvlJc w:val="left"/>
      <w:pPr>
        <w:ind w:left="5040" w:hanging="360"/>
      </w:pPr>
    </w:lvl>
    <w:lvl w:ilvl="7" w:tplc="C19AD656">
      <w:start w:val="1"/>
      <w:numFmt w:val="lowerLetter"/>
      <w:lvlText w:val="%8."/>
      <w:lvlJc w:val="left"/>
      <w:pPr>
        <w:ind w:left="5760" w:hanging="360"/>
      </w:pPr>
    </w:lvl>
    <w:lvl w:ilvl="8" w:tplc="4D6E0386">
      <w:start w:val="1"/>
      <w:numFmt w:val="lowerRoman"/>
      <w:lvlText w:val="%9."/>
      <w:lvlJc w:val="right"/>
      <w:pPr>
        <w:ind w:left="6480" w:hanging="180"/>
      </w:pPr>
    </w:lvl>
  </w:abstractNum>
  <w:abstractNum w:abstractNumId="2" w15:restartNumberingAfterBreak="0">
    <w:nsid w:val="2443C548"/>
    <w:multiLevelType w:val="hybridMultilevel"/>
    <w:tmpl w:val="C0087AC0"/>
    <w:lvl w:ilvl="0" w:tplc="AE2442EE">
      <w:start w:val="1"/>
      <w:numFmt w:val="bullet"/>
      <w:lvlText w:val=""/>
      <w:lvlJc w:val="left"/>
      <w:pPr>
        <w:ind w:left="720" w:hanging="360"/>
      </w:pPr>
      <w:rPr>
        <w:rFonts w:ascii="Symbol" w:hAnsi="Symbol" w:hint="default"/>
      </w:rPr>
    </w:lvl>
    <w:lvl w:ilvl="1" w:tplc="FA24CFCE">
      <w:start w:val="1"/>
      <w:numFmt w:val="bullet"/>
      <w:lvlText w:val="o"/>
      <w:lvlJc w:val="left"/>
      <w:pPr>
        <w:ind w:left="1440" w:hanging="360"/>
      </w:pPr>
      <w:rPr>
        <w:rFonts w:ascii="Courier New" w:hAnsi="Courier New" w:hint="default"/>
      </w:rPr>
    </w:lvl>
    <w:lvl w:ilvl="2" w:tplc="8E9A1484">
      <w:start w:val="1"/>
      <w:numFmt w:val="bullet"/>
      <w:lvlText w:val=""/>
      <w:lvlJc w:val="left"/>
      <w:pPr>
        <w:ind w:left="2160" w:hanging="360"/>
      </w:pPr>
      <w:rPr>
        <w:rFonts w:ascii="Wingdings" w:hAnsi="Wingdings" w:hint="default"/>
      </w:rPr>
    </w:lvl>
    <w:lvl w:ilvl="3" w:tplc="5972C146">
      <w:start w:val="1"/>
      <w:numFmt w:val="bullet"/>
      <w:lvlText w:val=""/>
      <w:lvlJc w:val="left"/>
      <w:pPr>
        <w:ind w:left="2880" w:hanging="360"/>
      </w:pPr>
      <w:rPr>
        <w:rFonts w:ascii="Symbol" w:hAnsi="Symbol" w:hint="default"/>
      </w:rPr>
    </w:lvl>
    <w:lvl w:ilvl="4" w:tplc="434AE1F6">
      <w:start w:val="1"/>
      <w:numFmt w:val="bullet"/>
      <w:lvlText w:val="o"/>
      <w:lvlJc w:val="left"/>
      <w:pPr>
        <w:ind w:left="3600" w:hanging="360"/>
      </w:pPr>
      <w:rPr>
        <w:rFonts w:ascii="Courier New" w:hAnsi="Courier New" w:hint="default"/>
      </w:rPr>
    </w:lvl>
    <w:lvl w:ilvl="5" w:tplc="22D00D56">
      <w:start w:val="1"/>
      <w:numFmt w:val="bullet"/>
      <w:lvlText w:val=""/>
      <w:lvlJc w:val="left"/>
      <w:pPr>
        <w:ind w:left="4320" w:hanging="360"/>
      </w:pPr>
      <w:rPr>
        <w:rFonts w:ascii="Wingdings" w:hAnsi="Wingdings" w:hint="default"/>
      </w:rPr>
    </w:lvl>
    <w:lvl w:ilvl="6" w:tplc="FB661858">
      <w:start w:val="1"/>
      <w:numFmt w:val="bullet"/>
      <w:lvlText w:val=""/>
      <w:lvlJc w:val="left"/>
      <w:pPr>
        <w:ind w:left="5040" w:hanging="360"/>
      </w:pPr>
      <w:rPr>
        <w:rFonts w:ascii="Symbol" w:hAnsi="Symbol" w:hint="default"/>
      </w:rPr>
    </w:lvl>
    <w:lvl w:ilvl="7" w:tplc="6A4C7578">
      <w:start w:val="1"/>
      <w:numFmt w:val="bullet"/>
      <w:lvlText w:val="o"/>
      <w:lvlJc w:val="left"/>
      <w:pPr>
        <w:ind w:left="5760" w:hanging="360"/>
      </w:pPr>
      <w:rPr>
        <w:rFonts w:ascii="Courier New" w:hAnsi="Courier New" w:hint="default"/>
      </w:rPr>
    </w:lvl>
    <w:lvl w:ilvl="8" w:tplc="DD721FD2">
      <w:start w:val="1"/>
      <w:numFmt w:val="bullet"/>
      <w:lvlText w:val=""/>
      <w:lvlJc w:val="left"/>
      <w:pPr>
        <w:ind w:left="6480" w:hanging="360"/>
      </w:pPr>
      <w:rPr>
        <w:rFonts w:ascii="Wingdings" w:hAnsi="Wingdings" w:hint="default"/>
      </w:rPr>
    </w:lvl>
  </w:abstractNum>
  <w:abstractNum w:abstractNumId="3" w15:restartNumberingAfterBreak="0">
    <w:nsid w:val="597A6DA9"/>
    <w:multiLevelType w:val="hybridMultilevel"/>
    <w:tmpl w:val="266208C6"/>
    <w:lvl w:ilvl="0" w:tplc="FF6EE8A0">
      <w:start w:val="1"/>
      <w:numFmt w:val="decimal"/>
      <w:lvlText w:val="%1."/>
      <w:lvlJc w:val="left"/>
      <w:pPr>
        <w:ind w:left="720" w:hanging="360"/>
      </w:pPr>
    </w:lvl>
    <w:lvl w:ilvl="1" w:tplc="CDC82B44">
      <w:start w:val="1"/>
      <w:numFmt w:val="lowerLetter"/>
      <w:lvlText w:val="%2."/>
      <w:lvlJc w:val="left"/>
      <w:pPr>
        <w:ind w:left="1440" w:hanging="360"/>
      </w:pPr>
    </w:lvl>
    <w:lvl w:ilvl="2" w:tplc="41A6E078">
      <w:start w:val="1"/>
      <w:numFmt w:val="lowerRoman"/>
      <w:lvlText w:val="%3."/>
      <w:lvlJc w:val="right"/>
      <w:pPr>
        <w:ind w:left="2160" w:hanging="180"/>
      </w:pPr>
    </w:lvl>
    <w:lvl w:ilvl="3" w:tplc="E6140A38">
      <w:start w:val="1"/>
      <w:numFmt w:val="decimal"/>
      <w:lvlText w:val="%4."/>
      <w:lvlJc w:val="left"/>
      <w:pPr>
        <w:ind w:left="2880" w:hanging="360"/>
      </w:pPr>
    </w:lvl>
    <w:lvl w:ilvl="4" w:tplc="82E8A5A6">
      <w:start w:val="1"/>
      <w:numFmt w:val="lowerLetter"/>
      <w:lvlText w:val="%5."/>
      <w:lvlJc w:val="left"/>
      <w:pPr>
        <w:ind w:left="3600" w:hanging="360"/>
      </w:pPr>
    </w:lvl>
    <w:lvl w:ilvl="5" w:tplc="6C24FCE4">
      <w:start w:val="1"/>
      <w:numFmt w:val="lowerRoman"/>
      <w:lvlText w:val="%6."/>
      <w:lvlJc w:val="right"/>
      <w:pPr>
        <w:ind w:left="4320" w:hanging="180"/>
      </w:pPr>
    </w:lvl>
    <w:lvl w:ilvl="6" w:tplc="625E3068">
      <w:start w:val="1"/>
      <w:numFmt w:val="decimal"/>
      <w:lvlText w:val="%7."/>
      <w:lvlJc w:val="left"/>
      <w:pPr>
        <w:ind w:left="5040" w:hanging="360"/>
      </w:pPr>
    </w:lvl>
    <w:lvl w:ilvl="7" w:tplc="519E9B66">
      <w:start w:val="1"/>
      <w:numFmt w:val="lowerLetter"/>
      <w:lvlText w:val="%8."/>
      <w:lvlJc w:val="left"/>
      <w:pPr>
        <w:ind w:left="5760" w:hanging="360"/>
      </w:pPr>
    </w:lvl>
    <w:lvl w:ilvl="8" w:tplc="0E22A252">
      <w:start w:val="1"/>
      <w:numFmt w:val="lowerRoman"/>
      <w:lvlText w:val="%9."/>
      <w:lvlJc w:val="right"/>
      <w:pPr>
        <w:ind w:left="6480" w:hanging="180"/>
      </w:pPr>
    </w:lvl>
  </w:abstractNum>
  <w:abstractNum w:abstractNumId="4" w15:restartNumberingAfterBreak="0">
    <w:nsid w:val="6A491216"/>
    <w:multiLevelType w:val="hybridMultilevel"/>
    <w:tmpl w:val="56824E46"/>
    <w:lvl w:ilvl="0" w:tplc="4B069DE6">
      <w:start w:val="1"/>
      <w:numFmt w:val="decimal"/>
      <w:lvlText w:val="%1."/>
      <w:lvlJc w:val="left"/>
      <w:pPr>
        <w:ind w:left="720" w:hanging="360"/>
      </w:pPr>
    </w:lvl>
    <w:lvl w:ilvl="1" w:tplc="27765DB0">
      <w:start w:val="1"/>
      <w:numFmt w:val="lowerLetter"/>
      <w:lvlText w:val="%2."/>
      <w:lvlJc w:val="left"/>
      <w:pPr>
        <w:ind w:left="1440" w:hanging="360"/>
      </w:pPr>
    </w:lvl>
    <w:lvl w:ilvl="2" w:tplc="C6123DB8">
      <w:start w:val="1"/>
      <w:numFmt w:val="lowerRoman"/>
      <w:lvlText w:val="%3."/>
      <w:lvlJc w:val="right"/>
      <w:pPr>
        <w:ind w:left="2160" w:hanging="180"/>
      </w:pPr>
    </w:lvl>
    <w:lvl w:ilvl="3" w:tplc="2AEE4CA8">
      <w:start w:val="1"/>
      <w:numFmt w:val="decimal"/>
      <w:lvlText w:val="%4."/>
      <w:lvlJc w:val="left"/>
      <w:pPr>
        <w:ind w:left="2880" w:hanging="360"/>
      </w:pPr>
    </w:lvl>
    <w:lvl w:ilvl="4" w:tplc="42B81D72">
      <w:start w:val="1"/>
      <w:numFmt w:val="lowerLetter"/>
      <w:lvlText w:val="%5."/>
      <w:lvlJc w:val="left"/>
      <w:pPr>
        <w:ind w:left="3600" w:hanging="360"/>
      </w:pPr>
    </w:lvl>
    <w:lvl w:ilvl="5" w:tplc="F0A0D730">
      <w:start w:val="1"/>
      <w:numFmt w:val="lowerRoman"/>
      <w:lvlText w:val="%6."/>
      <w:lvlJc w:val="right"/>
      <w:pPr>
        <w:ind w:left="4320" w:hanging="180"/>
      </w:pPr>
    </w:lvl>
    <w:lvl w:ilvl="6" w:tplc="C9EC0DF4">
      <w:start w:val="1"/>
      <w:numFmt w:val="decimal"/>
      <w:lvlText w:val="%7."/>
      <w:lvlJc w:val="left"/>
      <w:pPr>
        <w:ind w:left="5040" w:hanging="360"/>
      </w:pPr>
    </w:lvl>
    <w:lvl w:ilvl="7" w:tplc="9778544A">
      <w:start w:val="1"/>
      <w:numFmt w:val="lowerLetter"/>
      <w:lvlText w:val="%8."/>
      <w:lvlJc w:val="left"/>
      <w:pPr>
        <w:ind w:left="5760" w:hanging="360"/>
      </w:pPr>
    </w:lvl>
    <w:lvl w:ilvl="8" w:tplc="1FF69500">
      <w:start w:val="1"/>
      <w:numFmt w:val="lowerRoman"/>
      <w:lvlText w:val="%9."/>
      <w:lvlJc w:val="right"/>
      <w:pPr>
        <w:ind w:left="6480" w:hanging="180"/>
      </w:pPr>
    </w:lvl>
  </w:abstractNum>
  <w:abstractNum w:abstractNumId="5" w15:restartNumberingAfterBreak="0">
    <w:nsid w:val="79408698"/>
    <w:multiLevelType w:val="hybridMultilevel"/>
    <w:tmpl w:val="BF0EF52E"/>
    <w:lvl w:ilvl="0" w:tplc="9306BE72">
      <w:start w:val="1"/>
      <w:numFmt w:val="bullet"/>
      <w:lvlText w:val="-"/>
      <w:lvlJc w:val="left"/>
      <w:pPr>
        <w:ind w:left="720" w:hanging="360"/>
      </w:pPr>
      <w:rPr>
        <w:rFonts w:ascii="Aptos" w:hAnsi="Aptos" w:hint="default"/>
      </w:rPr>
    </w:lvl>
    <w:lvl w:ilvl="1" w:tplc="AD22A160">
      <w:start w:val="1"/>
      <w:numFmt w:val="bullet"/>
      <w:lvlText w:val="o"/>
      <w:lvlJc w:val="left"/>
      <w:pPr>
        <w:ind w:left="1440" w:hanging="360"/>
      </w:pPr>
      <w:rPr>
        <w:rFonts w:ascii="Courier New" w:hAnsi="Courier New" w:hint="default"/>
      </w:rPr>
    </w:lvl>
    <w:lvl w:ilvl="2" w:tplc="4F5C0DBE">
      <w:start w:val="1"/>
      <w:numFmt w:val="bullet"/>
      <w:lvlText w:val=""/>
      <w:lvlJc w:val="left"/>
      <w:pPr>
        <w:ind w:left="2160" w:hanging="360"/>
      </w:pPr>
      <w:rPr>
        <w:rFonts w:ascii="Wingdings" w:hAnsi="Wingdings" w:hint="default"/>
      </w:rPr>
    </w:lvl>
    <w:lvl w:ilvl="3" w:tplc="8E7E2320">
      <w:start w:val="1"/>
      <w:numFmt w:val="bullet"/>
      <w:lvlText w:val=""/>
      <w:lvlJc w:val="left"/>
      <w:pPr>
        <w:ind w:left="2880" w:hanging="360"/>
      </w:pPr>
      <w:rPr>
        <w:rFonts w:ascii="Symbol" w:hAnsi="Symbol" w:hint="default"/>
      </w:rPr>
    </w:lvl>
    <w:lvl w:ilvl="4" w:tplc="F146CEAE">
      <w:start w:val="1"/>
      <w:numFmt w:val="bullet"/>
      <w:lvlText w:val="o"/>
      <w:lvlJc w:val="left"/>
      <w:pPr>
        <w:ind w:left="3600" w:hanging="360"/>
      </w:pPr>
      <w:rPr>
        <w:rFonts w:ascii="Courier New" w:hAnsi="Courier New" w:hint="default"/>
      </w:rPr>
    </w:lvl>
    <w:lvl w:ilvl="5" w:tplc="95242D8A">
      <w:start w:val="1"/>
      <w:numFmt w:val="bullet"/>
      <w:lvlText w:val=""/>
      <w:lvlJc w:val="left"/>
      <w:pPr>
        <w:ind w:left="4320" w:hanging="360"/>
      </w:pPr>
      <w:rPr>
        <w:rFonts w:ascii="Wingdings" w:hAnsi="Wingdings" w:hint="default"/>
      </w:rPr>
    </w:lvl>
    <w:lvl w:ilvl="6" w:tplc="91BAF428">
      <w:start w:val="1"/>
      <w:numFmt w:val="bullet"/>
      <w:lvlText w:val=""/>
      <w:lvlJc w:val="left"/>
      <w:pPr>
        <w:ind w:left="5040" w:hanging="360"/>
      </w:pPr>
      <w:rPr>
        <w:rFonts w:ascii="Symbol" w:hAnsi="Symbol" w:hint="default"/>
      </w:rPr>
    </w:lvl>
    <w:lvl w:ilvl="7" w:tplc="2DCEC3AA">
      <w:start w:val="1"/>
      <w:numFmt w:val="bullet"/>
      <w:lvlText w:val="o"/>
      <w:lvlJc w:val="left"/>
      <w:pPr>
        <w:ind w:left="5760" w:hanging="360"/>
      </w:pPr>
      <w:rPr>
        <w:rFonts w:ascii="Courier New" w:hAnsi="Courier New" w:hint="default"/>
      </w:rPr>
    </w:lvl>
    <w:lvl w:ilvl="8" w:tplc="CAA6D7A0">
      <w:start w:val="1"/>
      <w:numFmt w:val="bullet"/>
      <w:lvlText w:val=""/>
      <w:lvlJc w:val="left"/>
      <w:pPr>
        <w:ind w:left="6480" w:hanging="360"/>
      </w:pPr>
      <w:rPr>
        <w:rFonts w:ascii="Wingdings" w:hAnsi="Wingdings" w:hint="default"/>
      </w:rPr>
    </w:lvl>
  </w:abstractNum>
  <w:abstractNum w:abstractNumId="6" w15:restartNumberingAfterBreak="0">
    <w:nsid w:val="7F5742BD"/>
    <w:multiLevelType w:val="hybridMultilevel"/>
    <w:tmpl w:val="10C0F328"/>
    <w:lvl w:ilvl="0" w:tplc="E61AEEFC">
      <w:start w:val="1"/>
      <w:numFmt w:val="decimal"/>
      <w:lvlText w:val="%1."/>
      <w:lvlJc w:val="left"/>
      <w:pPr>
        <w:ind w:left="720" w:hanging="360"/>
      </w:pPr>
    </w:lvl>
    <w:lvl w:ilvl="1" w:tplc="F5DC8AE4">
      <w:start w:val="1"/>
      <w:numFmt w:val="lowerLetter"/>
      <w:lvlText w:val="%2."/>
      <w:lvlJc w:val="left"/>
      <w:pPr>
        <w:ind w:left="1440" w:hanging="360"/>
      </w:pPr>
    </w:lvl>
    <w:lvl w:ilvl="2" w:tplc="F0161FB2">
      <w:start w:val="1"/>
      <w:numFmt w:val="lowerRoman"/>
      <w:lvlText w:val="%3."/>
      <w:lvlJc w:val="right"/>
      <w:pPr>
        <w:ind w:left="2160" w:hanging="180"/>
      </w:pPr>
    </w:lvl>
    <w:lvl w:ilvl="3" w:tplc="3C12DAD2">
      <w:start w:val="1"/>
      <w:numFmt w:val="decimal"/>
      <w:lvlText w:val="%4."/>
      <w:lvlJc w:val="left"/>
      <w:pPr>
        <w:ind w:left="2880" w:hanging="360"/>
      </w:pPr>
    </w:lvl>
    <w:lvl w:ilvl="4" w:tplc="565215CA">
      <w:start w:val="1"/>
      <w:numFmt w:val="lowerLetter"/>
      <w:lvlText w:val="%5."/>
      <w:lvlJc w:val="left"/>
      <w:pPr>
        <w:ind w:left="3600" w:hanging="360"/>
      </w:pPr>
    </w:lvl>
    <w:lvl w:ilvl="5" w:tplc="682A6EB8">
      <w:start w:val="1"/>
      <w:numFmt w:val="lowerRoman"/>
      <w:lvlText w:val="%6."/>
      <w:lvlJc w:val="right"/>
      <w:pPr>
        <w:ind w:left="4320" w:hanging="180"/>
      </w:pPr>
    </w:lvl>
    <w:lvl w:ilvl="6" w:tplc="2CB47328">
      <w:start w:val="1"/>
      <w:numFmt w:val="decimal"/>
      <w:lvlText w:val="%7."/>
      <w:lvlJc w:val="left"/>
      <w:pPr>
        <w:ind w:left="5040" w:hanging="360"/>
      </w:pPr>
    </w:lvl>
    <w:lvl w:ilvl="7" w:tplc="2B023466">
      <w:start w:val="1"/>
      <w:numFmt w:val="lowerLetter"/>
      <w:lvlText w:val="%8."/>
      <w:lvlJc w:val="left"/>
      <w:pPr>
        <w:ind w:left="5760" w:hanging="360"/>
      </w:pPr>
    </w:lvl>
    <w:lvl w:ilvl="8" w:tplc="93D4A190">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A48434"/>
    <w:rsid w:val="000D782D"/>
    <w:rsid w:val="006F638A"/>
    <w:rsid w:val="00781ADB"/>
    <w:rsid w:val="008C365F"/>
    <w:rsid w:val="008E20B2"/>
    <w:rsid w:val="00952A62"/>
    <w:rsid w:val="00966EB1"/>
    <w:rsid w:val="009A487B"/>
    <w:rsid w:val="00A24E3F"/>
    <w:rsid w:val="00A82BDF"/>
    <w:rsid w:val="00AC5228"/>
    <w:rsid w:val="00F456FD"/>
    <w:rsid w:val="0150395A"/>
    <w:rsid w:val="023595E2"/>
    <w:rsid w:val="04456B08"/>
    <w:rsid w:val="045B72D7"/>
    <w:rsid w:val="05EB633D"/>
    <w:rsid w:val="0A1432F9"/>
    <w:rsid w:val="0ACA9D3E"/>
    <w:rsid w:val="0AFFEA4B"/>
    <w:rsid w:val="0BA0C81E"/>
    <w:rsid w:val="108D669C"/>
    <w:rsid w:val="16D416B0"/>
    <w:rsid w:val="16F13A90"/>
    <w:rsid w:val="1725F871"/>
    <w:rsid w:val="17486C11"/>
    <w:rsid w:val="1C024C9A"/>
    <w:rsid w:val="1F358E06"/>
    <w:rsid w:val="1F38D412"/>
    <w:rsid w:val="1F7BB6A5"/>
    <w:rsid w:val="20178C88"/>
    <w:rsid w:val="20E27576"/>
    <w:rsid w:val="20FD858B"/>
    <w:rsid w:val="2126F711"/>
    <w:rsid w:val="225F30CF"/>
    <w:rsid w:val="23C223C4"/>
    <w:rsid w:val="27D7C1EA"/>
    <w:rsid w:val="2927BB32"/>
    <w:rsid w:val="2CCF72E5"/>
    <w:rsid w:val="2D055D59"/>
    <w:rsid w:val="2D8821A5"/>
    <w:rsid w:val="2DA370C1"/>
    <w:rsid w:val="2DA82573"/>
    <w:rsid w:val="2E7F2707"/>
    <w:rsid w:val="30FB007B"/>
    <w:rsid w:val="315BA118"/>
    <w:rsid w:val="327D3BD0"/>
    <w:rsid w:val="32BCE1BD"/>
    <w:rsid w:val="337FF23E"/>
    <w:rsid w:val="343A364D"/>
    <w:rsid w:val="34C901B8"/>
    <w:rsid w:val="3659BD8A"/>
    <w:rsid w:val="36832ED4"/>
    <w:rsid w:val="371CDD39"/>
    <w:rsid w:val="37B91D87"/>
    <w:rsid w:val="39B78115"/>
    <w:rsid w:val="39BA7F32"/>
    <w:rsid w:val="3A236A8E"/>
    <w:rsid w:val="3A948D3F"/>
    <w:rsid w:val="3A978990"/>
    <w:rsid w:val="3B61ED8D"/>
    <w:rsid w:val="3DA79DE7"/>
    <w:rsid w:val="40BE3EA5"/>
    <w:rsid w:val="42E4EDF0"/>
    <w:rsid w:val="43C9013D"/>
    <w:rsid w:val="43F922A0"/>
    <w:rsid w:val="44323D8E"/>
    <w:rsid w:val="477A787B"/>
    <w:rsid w:val="48083C27"/>
    <w:rsid w:val="4825299F"/>
    <w:rsid w:val="48666E32"/>
    <w:rsid w:val="48F3600F"/>
    <w:rsid w:val="491DF468"/>
    <w:rsid w:val="492EB766"/>
    <w:rsid w:val="498793F8"/>
    <w:rsid w:val="4A0D2890"/>
    <w:rsid w:val="4B94D976"/>
    <w:rsid w:val="4BE4A793"/>
    <w:rsid w:val="4D24FE21"/>
    <w:rsid w:val="4D4FB707"/>
    <w:rsid w:val="50388154"/>
    <w:rsid w:val="524733CC"/>
    <w:rsid w:val="5422E910"/>
    <w:rsid w:val="54C5AAF4"/>
    <w:rsid w:val="5510FD04"/>
    <w:rsid w:val="58F1CCEA"/>
    <w:rsid w:val="5A8F1550"/>
    <w:rsid w:val="5E17EA3D"/>
    <w:rsid w:val="5F696988"/>
    <w:rsid w:val="65EC6E5E"/>
    <w:rsid w:val="66A8DD11"/>
    <w:rsid w:val="6C025DB1"/>
    <w:rsid w:val="6C6DA8EF"/>
    <w:rsid w:val="6D0227E0"/>
    <w:rsid w:val="6D3F8A69"/>
    <w:rsid w:val="6DBDD02A"/>
    <w:rsid w:val="6EF66131"/>
    <w:rsid w:val="74066490"/>
    <w:rsid w:val="76DC549A"/>
    <w:rsid w:val="79571DAF"/>
    <w:rsid w:val="7983472B"/>
    <w:rsid w:val="79D4ED75"/>
    <w:rsid w:val="7A92A870"/>
    <w:rsid w:val="7C09DFF4"/>
    <w:rsid w:val="7C77B576"/>
    <w:rsid w:val="7CCE50A0"/>
    <w:rsid w:val="7E54CA2F"/>
    <w:rsid w:val="7FA48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A48434"/>
  <w15:chartTrackingRefBased/>
  <w15:docId w15:val="{516BAD8E-330A-4B2E-BDD9-86180647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65EC6E5E"/>
  </w:style>
  <w:style w:type="paragraph" w:styleId="Heading1">
    <w:name w:val="heading 1"/>
    <w:basedOn w:val="Normal"/>
    <w:next w:val="Normal"/>
    <w:link w:val="Heading1Char"/>
    <w:uiPriority w:val="9"/>
    <w:qFormat/>
    <w:rsid w:val="65EC6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65EC6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5EC6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5EC6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5EC6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5EC6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5EC6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5EC6E5E"/>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5EC6E5E"/>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5EC6E5E"/>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65EC6E5E"/>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5EC6E5E"/>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5EC6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5EC6E5E"/>
    <w:pPr>
      <w:ind w:left="720"/>
      <w:contextualSpacing/>
    </w:pPr>
  </w:style>
  <w:style w:type="paragraph" w:styleId="NoSpacing">
    <w:name w:val="No Spacing"/>
    <w:uiPriority w:val="1"/>
    <w:qFormat/>
    <w:rsid w:val="65EC6E5E"/>
    <w:pPr>
      <w:spacing w:after="0"/>
    </w:pPr>
  </w:style>
  <w:style w:type="character" w:styleId="Hyperlink">
    <w:name w:val="Hyperlink"/>
    <w:basedOn w:val="DefaultParagraphFont"/>
    <w:uiPriority w:val="99"/>
    <w:unhideWhenUsed/>
    <w:rsid w:val="65EC6E5E"/>
    <w:rPr>
      <w:color w:val="467886"/>
      <w:u w:val="single"/>
    </w:rPr>
  </w:style>
  <w:style w:type="paragraph" w:styleId="EndnoteText">
    <w:name w:val="endnote text"/>
    <w:basedOn w:val="Normal"/>
    <w:link w:val="EndnoteTextChar"/>
    <w:uiPriority w:val="99"/>
    <w:semiHidden/>
    <w:unhideWhenUsed/>
    <w:rsid w:val="008E20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20B2"/>
    <w:rPr>
      <w:sz w:val="20"/>
      <w:szCs w:val="20"/>
    </w:rPr>
  </w:style>
  <w:style w:type="character" w:styleId="EndnoteReference">
    <w:name w:val="endnote reference"/>
    <w:basedOn w:val="DefaultParagraphFont"/>
    <w:uiPriority w:val="99"/>
    <w:semiHidden/>
    <w:unhideWhenUsed/>
    <w:rsid w:val="008E20B2"/>
    <w:rPr>
      <w:vertAlign w:val="superscript"/>
    </w:rPr>
  </w:style>
  <w:style w:type="character" w:styleId="UnresolvedMention">
    <w:name w:val="Unresolved Mention"/>
    <w:basedOn w:val="DefaultParagraphFont"/>
    <w:uiPriority w:val="99"/>
    <w:semiHidden/>
    <w:unhideWhenUsed/>
    <w:rsid w:val="00A24E3F"/>
    <w:rPr>
      <w:color w:val="605E5C"/>
      <w:shd w:val="clear" w:color="auto" w:fill="E1DFDD"/>
    </w:rPr>
  </w:style>
  <w:style w:type="paragraph" w:styleId="Header">
    <w:name w:val="header"/>
    <w:basedOn w:val="Normal"/>
    <w:link w:val="HeaderChar"/>
    <w:uiPriority w:val="99"/>
    <w:unhideWhenUsed/>
    <w:rsid w:val="0095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A62"/>
  </w:style>
  <w:style w:type="paragraph" w:styleId="Footer">
    <w:name w:val="footer"/>
    <w:basedOn w:val="Normal"/>
    <w:link w:val="FooterChar"/>
    <w:uiPriority w:val="99"/>
    <w:unhideWhenUsed/>
    <w:rsid w:val="00952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41E9-B9A2-42AF-9253-CC8E15BE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4001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Anugwom</dc:creator>
  <cp:keywords/>
  <dc:description/>
  <cp:lastModifiedBy>SDI 1084</cp:lastModifiedBy>
  <cp:revision>5</cp:revision>
  <dcterms:created xsi:type="dcterms:W3CDTF">2025-08-02T20:02:00Z</dcterms:created>
  <dcterms:modified xsi:type="dcterms:W3CDTF">2025-08-04T09:31:00Z</dcterms:modified>
</cp:coreProperties>
</file>