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09285" w14:textId="77777777" w:rsidR="007F6E3C" w:rsidRPr="00CC12E6" w:rsidRDefault="007B09F4" w:rsidP="005B06D6">
      <w:pPr>
        <w:spacing w:line="480" w:lineRule="auto"/>
        <w:jc w:val="both"/>
        <w:rPr>
          <w:rFonts w:eastAsia="Arial"/>
          <w:b/>
          <w:color w:val="26282A"/>
          <w:sz w:val="20"/>
          <w:szCs w:val="20"/>
        </w:rPr>
      </w:pPr>
      <w:r w:rsidRPr="00CC12E6">
        <w:rPr>
          <w:rFonts w:eastAsia="Arial"/>
          <w:b/>
          <w:color w:val="26282A"/>
          <w:sz w:val="20"/>
          <w:szCs w:val="20"/>
        </w:rPr>
        <w:t>The impact of dental anxiety on blood pressure measurements in patients at an urgent dental care clinic</w:t>
      </w:r>
    </w:p>
    <w:p w14:paraId="2C0EBF5A" w14:textId="77777777" w:rsidR="00104EBD" w:rsidRPr="00104EBD" w:rsidRDefault="00104EBD" w:rsidP="00104EBD">
      <w:pPr>
        <w:pStyle w:val="ListParagraph"/>
        <w:spacing w:line="480" w:lineRule="auto"/>
        <w:ind w:left="360" w:right="-7"/>
        <w:jc w:val="both"/>
        <w:rPr>
          <w:sz w:val="20"/>
          <w:szCs w:val="20"/>
        </w:rPr>
      </w:pPr>
    </w:p>
    <w:p w14:paraId="5A2A4942" w14:textId="77777777" w:rsidR="00D1484D" w:rsidRDefault="00D1484D" w:rsidP="005B06D6">
      <w:pPr>
        <w:spacing w:line="480" w:lineRule="auto"/>
        <w:jc w:val="both"/>
        <w:rPr>
          <w:rFonts w:eastAsia="Arial"/>
          <w:b/>
          <w:color w:val="26282A"/>
          <w:sz w:val="20"/>
          <w:szCs w:val="20"/>
        </w:rPr>
      </w:pPr>
    </w:p>
    <w:p w14:paraId="734AAE69" w14:textId="22600EF3" w:rsidR="00573FA0" w:rsidRPr="00CC12E6" w:rsidRDefault="00655520" w:rsidP="005B06D6">
      <w:pPr>
        <w:spacing w:line="480" w:lineRule="auto"/>
        <w:jc w:val="both"/>
        <w:rPr>
          <w:rFonts w:eastAsia="Arial"/>
          <w:b/>
          <w:color w:val="26282A"/>
          <w:sz w:val="20"/>
          <w:szCs w:val="20"/>
        </w:rPr>
      </w:pPr>
      <w:r w:rsidRPr="00CC12E6">
        <w:rPr>
          <w:rFonts w:eastAsia="Arial"/>
          <w:b/>
          <w:color w:val="26282A"/>
          <w:sz w:val="20"/>
          <w:szCs w:val="20"/>
        </w:rPr>
        <w:t xml:space="preserve">Abstract </w:t>
      </w:r>
    </w:p>
    <w:p w14:paraId="7A2E03F3" w14:textId="4AFDE2DE" w:rsidR="00BB37C4" w:rsidRPr="00CC12E6" w:rsidRDefault="00FE43F5" w:rsidP="008D37B3">
      <w:pPr>
        <w:shd w:val="clear" w:color="auto" w:fill="FFFFFF"/>
        <w:spacing w:line="360" w:lineRule="auto"/>
        <w:jc w:val="both"/>
        <w:rPr>
          <w:rFonts w:eastAsia="Arial"/>
          <w:color w:val="26282A"/>
          <w:sz w:val="20"/>
          <w:szCs w:val="20"/>
        </w:rPr>
      </w:pPr>
      <w:r w:rsidRPr="00CC12E6">
        <w:rPr>
          <w:rFonts w:eastAsia="Arial"/>
          <w:bCs/>
          <w:color w:val="26282A"/>
          <w:sz w:val="20"/>
          <w:szCs w:val="20"/>
        </w:rPr>
        <w:t>Dental anxiety is frequently observed in dental clinics, when an increase in blood pressure (BP) values ​​is detected, it can be classified as white coat hypertension (WCH). This study aimed to monitor BP before and after emergency dental treatments in a university dental clinic and discuss the importance of approaching these patients, considering their BP values ​​and dental anxiety. This observational cross-sectional study randomly included patients in the waiting room of an emergency clinic. Two calibrated researchers used a mercury sphygmomanometer to assess study participants before (T1) and after (T2) the emergency consultation. The comparison between the variation in BP measurement with the Visual Analog Scale (VAS), dental history, high blood pressure (HBP) and other comorbidities was statistically analyzed. Among the participants (n = 75), the mean age was 45.5 ± 12.7 years, 66.7% of the patients were female, 78.7% had pain before dental care (VAS scale: 5.2 ± 3.5) and used analgesics, and 44.4% reported dental anxiety. For 60% of the patients, EAP (&gt; 130 mmHg) was found; 53.3% of the patients had a family history of EAP; 28.9% were diagnosed with hypertension; and of these, 50% regularly took antihypertensives. The mean systolic blood pressure (SBP) was 131.9, the diastolic blood pressure (DBP) was 90.4 mmHg, and the evolution showed a variation of 3.7 to 1.7, respectively. It is concluded that BP monitoring in the dental clinic is recommended, with most patients presenting HBP before the consultation, but these parameters were not an impediment to emergency dental care.</w:t>
      </w:r>
      <w:r w:rsidR="00BB37C4" w:rsidRPr="00CC12E6">
        <w:rPr>
          <w:rFonts w:eastAsia="Arial"/>
          <w:color w:val="26282A"/>
          <w:sz w:val="20"/>
          <w:szCs w:val="20"/>
        </w:rPr>
        <w:t> </w:t>
      </w:r>
    </w:p>
    <w:p w14:paraId="58CE9001" w14:textId="77777777" w:rsidR="001144AD" w:rsidRPr="00CC12E6" w:rsidRDefault="001144AD" w:rsidP="008D37B3">
      <w:pPr>
        <w:shd w:val="clear" w:color="auto" w:fill="FFFFFF"/>
        <w:spacing w:line="360" w:lineRule="auto"/>
        <w:jc w:val="both"/>
        <w:rPr>
          <w:rFonts w:eastAsia="Arial"/>
          <w:color w:val="26282A"/>
          <w:sz w:val="20"/>
          <w:szCs w:val="20"/>
        </w:rPr>
      </w:pPr>
    </w:p>
    <w:p w14:paraId="2AC43F5C" w14:textId="28561EE3" w:rsidR="00573FA0" w:rsidRPr="00CC12E6" w:rsidRDefault="00655520" w:rsidP="00E3382E">
      <w:pPr>
        <w:shd w:val="clear" w:color="auto" w:fill="FFFFFF"/>
        <w:spacing w:line="480" w:lineRule="auto"/>
        <w:jc w:val="both"/>
        <w:rPr>
          <w:rFonts w:eastAsia="Arial"/>
          <w:color w:val="26282A"/>
          <w:sz w:val="20"/>
          <w:szCs w:val="20"/>
        </w:rPr>
      </w:pPr>
      <w:r w:rsidRPr="00CC12E6">
        <w:rPr>
          <w:rFonts w:eastAsia="Arial"/>
          <w:b/>
          <w:bCs/>
          <w:color w:val="26282A"/>
          <w:sz w:val="20"/>
          <w:szCs w:val="20"/>
        </w:rPr>
        <w:t>Key</w:t>
      </w:r>
      <w:r w:rsidR="00CB5CB9" w:rsidRPr="00CC12E6">
        <w:rPr>
          <w:rFonts w:eastAsia="Arial"/>
          <w:b/>
          <w:bCs/>
          <w:color w:val="26282A"/>
          <w:sz w:val="20"/>
          <w:szCs w:val="20"/>
        </w:rPr>
        <w:t xml:space="preserve"> </w:t>
      </w:r>
      <w:r w:rsidRPr="00CC12E6">
        <w:rPr>
          <w:rFonts w:eastAsia="Arial"/>
          <w:b/>
          <w:bCs/>
          <w:color w:val="26282A"/>
          <w:sz w:val="20"/>
          <w:szCs w:val="20"/>
        </w:rPr>
        <w:t>words:</w:t>
      </w:r>
      <w:r w:rsidRPr="00CC12E6">
        <w:rPr>
          <w:rFonts w:eastAsia="Arial"/>
          <w:color w:val="26282A"/>
          <w:sz w:val="20"/>
          <w:szCs w:val="20"/>
        </w:rPr>
        <w:t xml:space="preserve"> White coat hypertension; Dental anxiety, </w:t>
      </w:r>
      <w:r w:rsidR="00FD105D" w:rsidRPr="00CC12E6">
        <w:rPr>
          <w:rFonts w:eastAsia="Arial"/>
          <w:color w:val="26282A"/>
          <w:sz w:val="20"/>
          <w:szCs w:val="20"/>
        </w:rPr>
        <w:t>Blood pressure</w:t>
      </w:r>
      <w:r w:rsidR="00335020" w:rsidRPr="00CC12E6">
        <w:rPr>
          <w:rFonts w:eastAsia="Arial"/>
          <w:color w:val="26282A"/>
          <w:sz w:val="20"/>
          <w:szCs w:val="20"/>
        </w:rPr>
        <w:t xml:space="preserve">, </w:t>
      </w:r>
      <w:r w:rsidR="00226A38" w:rsidRPr="00CC12E6">
        <w:rPr>
          <w:rFonts w:eastAsia="Arial"/>
          <w:color w:val="26282A"/>
          <w:sz w:val="20"/>
          <w:szCs w:val="20"/>
        </w:rPr>
        <w:t xml:space="preserve">Dental </w:t>
      </w:r>
      <w:r w:rsidR="00BA7E23" w:rsidRPr="00CC12E6">
        <w:rPr>
          <w:rFonts w:eastAsia="Arial"/>
          <w:color w:val="26282A"/>
          <w:sz w:val="20"/>
          <w:szCs w:val="20"/>
        </w:rPr>
        <w:t>care</w:t>
      </w:r>
    </w:p>
    <w:p w14:paraId="45BF6E82" w14:textId="77777777" w:rsidR="00573FA0" w:rsidRPr="00CC12E6" w:rsidRDefault="00573FA0" w:rsidP="00E3382E">
      <w:pPr>
        <w:shd w:val="clear" w:color="auto" w:fill="FFFFFF"/>
        <w:spacing w:line="480" w:lineRule="auto"/>
        <w:jc w:val="both"/>
        <w:rPr>
          <w:rFonts w:eastAsia="Arial"/>
          <w:color w:val="26282A"/>
          <w:sz w:val="20"/>
          <w:szCs w:val="20"/>
        </w:rPr>
      </w:pPr>
    </w:p>
    <w:p w14:paraId="743658AC" w14:textId="00B019A5" w:rsidR="00FB5E2B" w:rsidRPr="00CC12E6" w:rsidRDefault="00655520" w:rsidP="00E3382E">
      <w:pPr>
        <w:shd w:val="clear" w:color="auto" w:fill="FFFFFF"/>
        <w:spacing w:line="480" w:lineRule="auto"/>
        <w:jc w:val="both"/>
        <w:rPr>
          <w:rFonts w:eastAsia="Arial"/>
          <w:color w:val="26282A"/>
          <w:sz w:val="20"/>
          <w:szCs w:val="20"/>
        </w:rPr>
      </w:pPr>
      <w:r w:rsidRPr="00CC12E6">
        <w:rPr>
          <w:rFonts w:eastAsia="Arial"/>
          <w:color w:val="26282A"/>
          <w:sz w:val="20"/>
          <w:szCs w:val="20"/>
        </w:rPr>
        <w:t xml:space="preserve"> </w:t>
      </w:r>
    </w:p>
    <w:p w14:paraId="4CA792D9" w14:textId="76710C5C" w:rsidR="007B4DFF" w:rsidRPr="00CC12E6" w:rsidRDefault="008D37B3" w:rsidP="008D37B3">
      <w:pPr>
        <w:rPr>
          <w:rFonts w:eastAsia="Arial"/>
          <w:color w:val="26282A"/>
          <w:sz w:val="20"/>
          <w:szCs w:val="20"/>
        </w:rPr>
      </w:pPr>
      <w:r w:rsidRPr="00CC12E6">
        <w:rPr>
          <w:rFonts w:eastAsia="Arial"/>
          <w:color w:val="26282A"/>
          <w:sz w:val="20"/>
          <w:szCs w:val="20"/>
        </w:rPr>
        <w:br w:type="page"/>
      </w:r>
    </w:p>
    <w:p w14:paraId="0EC02B45" w14:textId="69F41044" w:rsidR="00B256DC" w:rsidRPr="00CC12E6" w:rsidRDefault="0088317B" w:rsidP="008D37B3">
      <w:pPr>
        <w:shd w:val="clear" w:color="auto" w:fill="FFFFFF"/>
        <w:spacing w:line="420" w:lineRule="auto"/>
        <w:jc w:val="both"/>
        <w:rPr>
          <w:rFonts w:eastAsia="Arial"/>
          <w:b/>
          <w:bCs/>
          <w:color w:val="26282A"/>
          <w:sz w:val="20"/>
          <w:szCs w:val="20"/>
        </w:rPr>
      </w:pPr>
      <w:r w:rsidRPr="00CC12E6">
        <w:rPr>
          <w:rFonts w:eastAsia="Arial"/>
          <w:b/>
          <w:bCs/>
          <w:color w:val="26282A"/>
          <w:sz w:val="20"/>
          <w:szCs w:val="20"/>
        </w:rPr>
        <w:lastRenderedPageBreak/>
        <w:t>Introduction</w:t>
      </w:r>
    </w:p>
    <w:p w14:paraId="4CEFD3D0" w14:textId="77777777" w:rsidR="001C11D4" w:rsidRPr="00CC12E6" w:rsidRDefault="001C11D4" w:rsidP="008D37B3">
      <w:pPr>
        <w:shd w:val="clear" w:color="auto" w:fill="FFFFFF"/>
        <w:spacing w:line="420" w:lineRule="auto"/>
        <w:jc w:val="both"/>
        <w:rPr>
          <w:rFonts w:eastAsia="Arial"/>
          <w:b/>
          <w:bCs/>
          <w:color w:val="26282A"/>
          <w:sz w:val="20"/>
          <w:szCs w:val="20"/>
        </w:rPr>
      </w:pPr>
    </w:p>
    <w:p w14:paraId="204F4886" w14:textId="344954A9" w:rsidR="00C31B0C" w:rsidRPr="00CC12E6" w:rsidRDefault="00C31B0C"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 xml:space="preserve">Hypertension, or high blood pressure (HBP), is a condition characterized by sustained systolic blood pressure above 139 mmHg and/or diastolic blood pressure over 39 mmHg. This must be accurately recorded a minimum of two times and subsequently verified following 24-hour ambulatory blood pressure monitoring (ABPM) and home blood pressure monitoring (HBPM). Blood pressure can fluctuate according on the interplay of neuropsychological variables. Age, sex, race, obesity, excessive alcohol use, physical inactivity, along with genetic, behavioral, and environmental factors, are all recognized as contributors to the heightened risk of hypertension. </w:t>
      </w:r>
      <w:r w:rsidR="008D37B3" w:rsidRPr="00CC12E6">
        <w:rPr>
          <w:rFonts w:eastAsia="Arial Unicode MS"/>
          <w:color w:val="26282A"/>
          <w:sz w:val="20"/>
          <w:szCs w:val="20"/>
        </w:rPr>
        <w:t>(</w:t>
      </w:r>
      <w:r w:rsidRPr="00CC12E6">
        <w:rPr>
          <w:rFonts w:eastAsia="Arial Unicode MS"/>
          <w:color w:val="26282A"/>
          <w:sz w:val="20"/>
          <w:szCs w:val="20"/>
        </w:rPr>
        <w:t>1</w:t>
      </w:r>
      <w:r w:rsidR="00E3382E" w:rsidRPr="00CC12E6">
        <w:rPr>
          <w:rFonts w:eastAsia="Arial Unicode MS"/>
          <w:color w:val="26282A"/>
          <w:sz w:val="20"/>
          <w:szCs w:val="20"/>
        </w:rPr>
        <w:t>,</w:t>
      </w:r>
      <w:r w:rsidRPr="00CC12E6">
        <w:rPr>
          <w:rFonts w:eastAsia="Arial Unicode MS"/>
          <w:color w:val="26282A"/>
          <w:sz w:val="20"/>
          <w:szCs w:val="20"/>
        </w:rPr>
        <w:t>2</w:t>
      </w:r>
      <w:r w:rsidR="008D37B3" w:rsidRPr="00CC12E6">
        <w:rPr>
          <w:rFonts w:eastAsia="Arial Unicode MS"/>
          <w:color w:val="26282A"/>
          <w:sz w:val="20"/>
          <w:szCs w:val="20"/>
        </w:rPr>
        <w:t>)</w:t>
      </w:r>
    </w:p>
    <w:p w14:paraId="727D5B6A" w14:textId="7EBAA228" w:rsidR="00C31B0C" w:rsidRPr="00CC12E6" w:rsidRDefault="00C31B0C"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 xml:space="preserve">The American College of Cardiology and the American Heart Association (ACC/AHA) define white-coat hypertension (WCH) as the disparity between the blood pressure reading in a clinical setting and the average ambulatory blood pressure monitoring (ABPM) during wakefulness, commonly referred to as home blood pressure monitoring (HBPM) (≥ 130/80 mmHg). The WCH is deemed significant when the variance exceeds 20 mmHg for systolic pressure and 10 mmHg for diastolic pressure above the threshold. </w:t>
      </w:r>
      <w:r w:rsidR="008D37B3" w:rsidRPr="00CC12E6">
        <w:rPr>
          <w:rFonts w:eastAsia="Arial Unicode MS"/>
          <w:color w:val="26282A"/>
          <w:sz w:val="20"/>
          <w:szCs w:val="20"/>
        </w:rPr>
        <w:t>(</w:t>
      </w:r>
      <w:r w:rsidR="00E3382E" w:rsidRPr="00CC12E6">
        <w:rPr>
          <w:rFonts w:eastAsia="Arial Unicode MS"/>
          <w:color w:val="26282A"/>
          <w:sz w:val="20"/>
          <w:szCs w:val="20"/>
        </w:rPr>
        <w:t>2-4</w:t>
      </w:r>
      <w:r w:rsidR="008D37B3" w:rsidRPr="00CC12E6">
        <w:rPr>
          <w:rFonts w:eastAsia="Arial Unicode MS"/>
          <w:color w:val="26282A"/>
          <w:sz w:val="20"/>
          <w:szCs w:val="20"/>
        </w:rPr>
        <w:t>)</w:t>
      </w:r>
    </w:p>
    <w:p w14:paraId="4E28F23C" w14:textId="6942C8EC" w:rsidR="00C31B0C" w:rsidRPr="00CC12E6" w:rsidRDefault="00C31B0C"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 xml:space="preserve">Current research indicates that WCH occurs in 15–40% of cases, and individuals exhibiting it may face an elevated long-term risk of developing cardiovascular disorders; nevertheless, this correlation remains ambiguous. </w:t>
      </w:r>
      <w:r w:rsidR="008D37B3" w:rsidRPr="00CC12E6">
        <w:rPr>
          <w:rFonts w:eastAsia="Arial Unicode MS"/>
          <w:color w:val="26282A"/>
          <w:sz w:val="20"/>
          <w:szCs w:val="20"/>
        </w:rPr>
        <w:t>(</w:t>
      </w:r>
      <w:r w:rsidR="00E3382E" w:rsidRPr="00CC12E6">
        <w:rPr>
          <w:rFonts w:eastAsia="Arial Unicode MS"/>
          <w:color w:val="26282A"/>
          <w:sz w:val="20"/>
          <w:szCs w:val="20"/>
        </w:rPr>
        <w:t>3-6</w:t>
      </w:r>
      <w:r w:rsidR="008D37B3" w:rsidRPr="00CC12E6">
        <w:rPr>
          <w:rFonts w:eastAsia="Arial Unicode MS"/>
          <w:color w:val="26282A"/>
          <w:sz w:val="20"/>
          <w:szCs w:val="20"/>
        </w:rPr>
        <w:t>)</w:t>
      </w:r>
    </w:p>
    <w:p w14:paraId="13E1C3E3" w14:textId="77777777" w:rsidR="00C31B0C" w:rsidRPr="00CC12E6" w:rsidRDefault="00C31B0C"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This study aims to assess the fluctuations in blood pressure among patients prior to and during stressful emergency dental interventions in an emergency dentistry clinic.</w:t>
      </w:r>
    </w:p>
    <w:p w14:paraId="42E6ED73" w14:textId="77777777" w:rsidR="00BF3C68" w:rsidRPr="00CC12E6" w:rsidRDefault="00BF3C68" w:rsidP="008D37B3">
      <w:pPr>
        <w:spacing w:line="420" w:lineRule="auto"/>
        <w:jc w:val="both"/>
        <w:rPr>
          <w:rFonts w:eastAsia="Arial Unicode MS"/>
          <w:color w:val="26282A"/>
          <w:sz w:val="20"/>
          <w:szCs w:val="20"/>
        </w:rPr>
      </w:pPr>
      <w:r w:rsidRPr="00CC12E6">
        <w:rPr>
          <w:rFonts w:eastAsia="Arial Unicode MS"/>
          <w:color w:val="26282A"/>
          <w:sz w:val="20"/>
          <w:szCs w:val="20"/>
        </w:rPr>
        <w:t> </w:t>
      </w:r>
    </w:p>
    <w:p w14:paraId="303035F6" w14:textId="77777777" w:rsidR="00BF3C68" w:rsidRPr="00CC12E6" w:rsidRDefault="00BF3C68" w:rsidP="008D37B3">
      <w:pPr>
        <w:spacing w:line="420" w:lineRule="auto"/>
        <w:jc w:val="both"/>
        <w:rPr>
          <w:rFonts w:eastAsia="Arial Unicode MS"/>
          <w:color w:val="26282A"/>
          <w:sz w:val="20"/>
          <w:szCs w:val="20"/>
        </w:rPr>
      </w:pPr>
      <w:r w:rsidRPr="00CC12E6">
        <w:rPr>
          <w:rFonts w:eastAsia="Arial Unicode MS"/>
          <w:b/>
          <w:bCs/>
          <w:color w:val="26282A"/>
          <w:sz w:val="20"/>
          <w:szCs w:val="20"/>
        </w:rPr>
        <w:t>Materials and methods</w:t>
      </w:r>
    </w:p>
    <w:p w14:paraId="4492E865" w14:textId="77777777" w:rsidR="00BF3C68" w:rsidRPr="00CC12E6" w:rsidRDefault="00BF3C68" w:rsidP="008D37B3">
      <w:pPr>
        <w:spacing w:line="420" w:lineRule="auto"/>
        <w:jc w:val="both"/>
        <w:rPr>
          <w:rFonts w:eastAsia="Arial Unicode MS"/>
          <w:color w:val="26282A"/>
          <w:sz w:val="20"/>
          <w:szCs w:val="20"/>
        </w:rPr>
      </w:pPr>
      <w:r w:rsidRPr="00CC12E6">
        <w:rPr>
          <w:rFonts w:eastAsia="Arial Unicode MS"/>
          <w:b/>
          <w:bCs/>
          <w:color w:val="26282A"/>
          <w:sz w:val="20"/>
          <w:szCs w:val="20"/>
        </w:rPr>
        <w:t> </w:t>
      </w:r>
    </w:p>
    <w:p w14:paraId="52EA5636" w14:textId="0A64A29F" w:rsidR="00BF3C68" w:rsidRPr="00CC12E6" w:rsidRDefault="00BF3C68"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This cross-sectional observational study evaluated patients seen at a Brazilian university's dental clinic. After a brief explanation of the study, all patients had read and signed an informed consent form developed for the study (University of Santo Amaro IRB number: 68033517.2.0000.</w:t>
      </w:r>
      <w:r w:rsidRPr="00280D1D">
        <w:rPr>
          <w:rFonts w:eastAsia="Arial Unicode MS"/>
          <w:color w:val="26282A"/>
          <w:sz w:val="20"/>
          <w:szCs w:val="20"/>
        </w:rPr>
        <w:t>0081).</w:t>
      </w:r>
      <w:r w:rsidR="008A5D6F" w:rsidRPr="00280D1D">
        <w:rPr>
          <w:rFonts w:eastAsia="Arial Unicode MS"/>
          <w:color w:val="26282A"/>
          <w:sz w:val="20"/>
          <w:szCs w:val="20"/>
        </w:rPr>
        <w:t xml:space="preserve"> This research was conducted ethically in accordance with the code of ethics of the Declaration of Helsinki (World Medical Association).</w:t>
      </w:r>
    </w:p>
    <w:p w14:paraId="02FA4890" w14:textId="77777777" w:rsidR="00BF3C68" w:rsidRPr="00CC12E6" w:rsidRDefault="00BF3C68"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This study included adults with known or unknown HBP status. We randomly selected and approached all individuals in this study in the emergency dental service waiting room of a dental school.</w:t>
      </w:r>
    </w:p>
    <w:p w14:paraId="56BE61DA" w14:textId="77777777" w:rsidR="00BF3C68" w:rsidRPr="00CC12E6" w:rsidRDefault="00BF3C68"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Two calibrated researchers evaluated the participants of the study using a mercury sphygmomanometer before (T1) and after (T2) the emergency dental appointment. Also, the participants answered a questionnaire designed for this study, which included the visual analog pain scale (VAS), whose values ranged from 0 (no pain) to 10 (severe pain). </w:t>
      </w:r>
    </w:p>
    <w:p w14:paraId="60BCC21C" w14:textId="77777777" w:rsidR="00BF3C68" w:rsidRPr="00CC12E6" w:rsidRDefault="00BF3C68"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lastRenderedPageBreak/>
        <w:t xml:space="preserve">After the patient took a comfortable seat, the interviewer asked some questions, like: Do you drink coffee or any other stimulating drink? Are you a smoker? Did you exercise before the consultation? Did you use any medication or illicit drugs before the consultation? Have you emptied your bladder? The BP values used were those recommended by the American Heart Association. </w:t>
      </w:r>
      <w:r w:rsidRPr="00CC12E6">
        <w:rPr>
          <w:rFonts w:eastAsia="Arial Unicode MS"/>
          <w:color w:val="26282A"/>
          <w:sz w:val="20"/>
          <w:szCs w:val="20"/>
          <w:vertAlign w:val="superscript"/>
        </w:rPr>
        <w:t>1</w:t>
      </w:r>
      <w:r w:rsidRPr="00CC12E6">
        <w:rPr>
          <w:rFonts w:eastAsia="Arial Unicode MS"/>
          <w:color w:val="26282A"/>
          <w:sz w:val="20"/>
          <w:szCs w:val="20"/>
        </w:rPr>
        <w:t> </w:t>
      </w:r>
    </w:p>
    <w:p w14:paraId="08B96D22" w14:textId="6D6E56F1" w:rsidR="00BF3C68" w:rsidRPr="00CC12E6" w:rsidRDefault="00BF3C68"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We described the results using means, standard deviations, and other summary measures for the BP values and their evolution.</w:t>
      </w:r>
      <w:r w:rsidR="00E3382E" w:rsidRPr="00CC12E6">
        <w:rPr>
          <w:rFonts w:eastAsia="Arial Unicode MS"/>
          <w:color w:val="26282A"/>
          <w:sz w:val="20"/>
          <w:szCs w:val="20"/>
        </w:rPr>
        <w:t xml:space="preserve"> </w:t>
      </w:r>
      <w:r w:rsidRPr="00CC12E6">
        <w:rPr>
          <w:rFonts w:eastAsia="Arial Unicode MS"/>
          <w:color w:val="26282A"/>
          <w:sz w:val="20"/>
          <w:szCs w:val="20"/>
        </w:rPr>
        <w:t>To assess whether there was a significant evolution and whether the evolutions were different, the non-parametric Wilcoxon test was used. For the evaluation of the correlations between the evolutions and the continuous measures, we used Pearson's linear correlation index. We used the JMP® Pro software version 13 (SAS Institute Inc., Cary, NC, USA), 1989–2019, for the analysis, with a significance level of 0.05 and 95% confidence.</w:t>
      </w:r>
    </w:p>
    <w:p w14:paraId="4C9C5A69" w14:textId="77777777" w:rsidR="00BF3C68" w:rsidRPr="00CC12E6" w:rsidRDefault="00BF3C68" w:rsidP="008D37B3">
      <w:pPr>
        <w:spacing w:line="420" w:lineRule="auto"/>
        <w:jc w:val="both"/>
        <w:rPr>
          <w:rFonts w:eastAsia="Arial Unicode MS"/>
          <w:color w:val="26282A"/>
          <w:sz w:val="20"/>
          <w:szCs w:val="20"/>
        </w:rPr>
      </w:pPr>
      <w:r w:rsidRPr="00CC12E6">
        <w:rPr>
          <w:rFonts w:eastAsia="Arial Unicode MS"/>
          <w:color w:val="26282A"/>
          <w:sz w:val="20"/>
          <w:szCs w:val="20"/>
        </w:rPr>
        <w:t> </w:t>
      </w:r>
    </w:p>
    <w:p w14:paraId="25455CAA" w14:textId="77777777" w:rsidR="00BF3C68" w:rsidRPr="00CC12E6" w:rsidRDefault="00BF3C68" w:rsidP="008D37B3">
      <w:pPr>
        <w:spacing w:line="420" w:lineRule="auto"/>
        <w:jc w:val="both"/>
        <w:rPr>
          <w:rFonts w:eastAsia="Arial Unicode MS"/>
          <w:color w:val="26282A"/>
          <w:sz w:val="20"/>
          <w:szCs w:val="20"/>
        </w:rPr>
      </w:pPr>
      <w:r w:rsidRPr="00CC12E6">
        <w:rPr>
          <w:rFonts w:eastAsia="Arial Unicode MS"/>
          <w:b/>
          <w:bCs/>
          <w:color w:val="26282A"/>
          <w:sz w:val="20"/>
          <w:szCs w:val="20"/>
        </w:rPr>
        <w:t>Results</w:t>
      </w:r>
    </w:p>
    <w:p w14:paraId="7100BC86" w14:textId="77777777" w:rsidR="00BF3C68" w:rsidRPr="00CC12E6" w:rsidRDefault="00BF3C68" w:rsidP="008D37B3">
      <w:pPr>
        <w:spacing w:line="420" w:lineRule="auto"/>
        <w:jc w:val="both"/>
        <w:rPr>
          <w:rFonts w:eastAsia="Arial Unicode MS"/>
          <w:color w:val="26282A"/>
          <w:sz w:val="20"/>
          <w:szCs w:val="20"/>
        </w:rPr>
      </w:pPr>
      <w:r w:rsidRPr="00CC12E6">
        <w:rPr>
          <w:rFonts w:eastAsia="Arial Unicode MS"/>
          <w:b/>
          <w:bCs/>
          <w:color w:val="26282A"/>
          <w:sz w:val="20"/>
          <w:szCs w:val="20"/>
        </w:rPr>
        <w:t> </w:t>
      </w:r>
    </w:p>
    <w:p w14:paraId="2B979CE3" w14:textId="4FCDFF89" w:rsidR="00971CCA"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The waiting room of the university's emergency dentistry clinic assessed 75 adult patients aged 18 and older.</w:t>
      </w:r>
      <w:r w:rsidR="00E3382E" w:rsidRPr="00CC12E6">
        <w:rPr>
          <w:rFonts w:eastAsia="Arial Unicode MS"/>
          <w:color w:val="26282A"/>
          <w:sz w:val="20"/>
          <w:szCs w:val="20"/>
        </w:rPr>
        <w:t xml:space="preserve"> </w:t>
      </w:r>
      <w:r w:rsidRPr="00CC12E6">
        <w:rPr>
          <w:rFonts w:eastAsia="Arial Unicode MS"/>
          <w:color w:val="26282A"/>
          <w:sz w:val="20"/>
          <w:szCs w:val="20"/>
        </w:rPr>
        <w:t>Of the total participants (n = 75), 66.7% (n = 50) were female, whereas 33.3% (n = 25) were male. The average age was 45.5 ± 12.7 years, with a range from 21 to 70 years. The emergency intervention predominantly involved the management of oral and dental infections in 82.6% of the patients.</w:t>
      </w:r>
    </w:p>
    <w:p w14:paraId="67CC5D3E" w14:textId="77777777" w:rsidR="00BD37C4"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The patients were categorized into two groups: the first exhibiting increased blood pressure readings (&gt;130 x 90 mmHg) and the second group displaying normal blood pressure levels. Sixty percent of the subjects had hypertension, while forty percent displayed normal levels. Table 1 presents the demographic data.</w:t>
      </w:r>
    </w:p>
    <w:p w14:paraId="5979BC99" w14:textId="77777777" w:rsidR="00BD37C4"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Concerning the inquiries prior to blood pressure measurement, eight individuals engaged in cigarette smoking and three participated in physical activity. Of these, five participants who smoked before to consultation exhibited blood pressure readings exceeding 130 x 90 mmHg.</w:t>
      </w:r>
    </w:p>
    <w:p w14:paraId="113F3727" w14:textId="77777777" w:rsidR="00BD37C4"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Regarding discomfort, 78.7% (n = 57) reported experiencing pain with a VAS of 5.2 ± 3.5, 42.6% (n = 32) utilized analgesics, and 38.6% (n = 29) expressed anxiety regarding dental visits. Data on blood pressure indicated that 52% (n = 39) of patients possessed a familial history of hypertension; 18.6% (n = 14) had previously received a diagnosis; 14.6% (n = 11) were undergoing antihypertensive medication; and 96% (n = 72) had never undergone blood pressure assessment prior to dental treatment. The average blood pressure was 133 over 90 mmHg. Of the individuals interviewed, 16% (n = 12) were sent to a physician for hypertension (&gt;180 x 110 mmHg).</w:t>
      </w:r>
    </w:p>
    <w:p w14:paraId="68D4D0BA" w14:textId="77777777" w:rsidR="00BD37C4"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To evaluate any significant alteration in systolic and diastolic values at T1 and T2, we employed the non-parametric Wilcoxon test, with a threshold of p-value &gt; 0.05.</w:t>
      </w:r>
    </w:p>
    <w:p w14:paraId="72821705" w14:textId="72ACC37F" w:rsidR="00971CCA"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lastRenderedPageBreak/>
        <w:t>The systolic variations spanned from -30 mmHg to 80 mmHg in T1 and T2, with a p-value of 0.0555, approaching significant. The diastolic variations spanned from 20 mmHg to 90 mmHg (p-value: 0.5480).</w:t>
      </w:r>
    </w:p>
    <w:p w14:paraId="03BA16AD" w14:textId="696171E6" w:rsidR="00971CCA" w:rsidRPr="00CC12E6" w:rsidRDefault="00971CCA" w:rsidP="008D37B3">
      <w:pPr>
        <w:spacing w:line="420" w:lineRule="auto"/>
        <w:jc w:val="both"/>
        <w:rPr>
          <w:rFonts w:eastAsia="Arial Unicode MS"/>
          <w:color w:val="26282A"/>
          <w:sz w:val="20"/>
          <w:szCs w:val="20"/>
        </w:rPr>
      </w:pPr>
      <w:r w:rsidRPr="00CC12E6">
        <w:rPr>
          <w:rFonts w:eastAsia="Arial Unicode MS"/>
          <w:color w:val="26282A"/>
          <w:sz w:val="20"/>
          <w:szCs w:val="20"/>
        </w:rPr>
        <w:t>In 36.0% of the patients, there was an increase in systolic blood pressure, 21.3% exhibited a decrease, and 42.7% maintained normal levels. Diastolic alterations were observed in 29.3% of patients; however, in T2, blood pressure decreased by 25.3% and remained within normal ranges in 45.3% of instances</w:t>
      </w:r>
      <w:r w:rsidR="005B07F7" w:rsidRPr="00CC12E6">
        <w:rPr>
          <w:rFonts w:eastAsia="Arial Unicode MS"/>
          <w:color w:val="26282A"/>
          <w:sz w:val="20"/>
          <w:szCs w:val="20"/>
        </w:rPr>
        <w:t xml:space="preserve">. </w:t>
      </w:r>
      <w:r w:rsidRPr="00CC12E6">
        <w:rPr>
          <w:rFonts w:eastAsia="Arial Unicode MS"/>
          <w:color w:val="26282A"/>
          <w:sz w:val="20"/>
          <w:szCs w:val="20"/>
        </w:rPr>
        <w:t>Table 2 displays the variations observed following two blood pressure measurements.</w:t>
      </w:r>
    </w:p>
    <w:p w14:paraId="1504A811" w14:textId="77777777" w:rsidR="00971CCA"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All 45 patients exhibiting sustained blood pressure over 180/110 mmHg post-intervention or displaying symptoms of a hypertensive crisis, such as headaches, dizziness, or visual disturbances, were promptly sent to the emergency room.</w:t>
      </w:r>
    </w:p>
    <w:p w14:paraId="6EB05702" w14:textId="77777777" w:rsidR="00971CCA" w:rsidRPr="00CC12E6" w:rsidRDefault="00971CCA" w:rsidP="008D37B3">
      <w:pPr>
        <w:spacing w:line="420" w:lineRule="auto"/>
        <w:jc w:val="both"/>
        <w:rPr>
          <w:rFonts w:eastAsia="Arial Unicode MS"/>
          <w:color w:val="26282A"/>
          <w:sz w:val="20"/>
          <w:szCs w:val="20"/>
        </w:rPr>
      </w:pPr>
      <w:r w:rsidRPr="00CC12E6">
        <w:rPr>
          <w:rFonts w:eastAsia="Arial Unicode MS"/>
          <w:color w:val="26282A"/>
          <w:sz w:val="20"/>
          <w:szCs w:val="20"/>
        </w:rPr>
        <w:t xml:space="preserve"> </w:t>
      </w:r>
    </w:p>
    <w:p w14:paraId="4EF35FEF" w14:textId="77777777" w:rsidR="008D37B3" w:rsidRPr="00CC12E6" w:rsidRDefault="008D37B3" w:rsidP="008D37B3">
      <w:pPr>
        <w:spacing w:line="420" w:lineRule="auto"/>
        <w:jc w:val="both"/>
        <w:rPr>
          <w:rFonts w:eastAsia="Arial Unicode MS"/>
          <w:color w:val="26282A"/>
          <w:sz w:val="20"/>
          <w:szCs w:val="20"/>
        </w:rPr>
      </w:pPr>
    </w:p>
    <w:p w14:paraId="737E1A18" w14:textId="77777777" w:rsidR="008D37B3" w:rsidRPr="00CC12E6" w:rsidRDefault="008D37B3" w:rsidP="008D37B3">
      <w:pPr>
        <w:spacing w:line="420" w:lineRule="auto"/>
        <w:jc w:val="both"/>
        <w:rPr>
          <w:rFonts w:eastAsia="Arial Unicode MS"/>
          <w:color w:val="26282A"/>
          <w:sz w:val="20"/>
          <w:szCs w:val="20"/>
        </w:rPr>
      </w:pPr>
    </w:p>
    <w:p w14:paraId="4996D5EE" w14:textId="77777777" w:rsidR="00BF3C68" w:rsidRPr="00CC12E6" w:rsidRDefault="00BF3C68" w:rsidP="008D37B3">
      <w:pPr>
        <w:spacing w:line="420" w:lineRule="auto"/>
        <w:jc w:val="both"/>
        <w:rPr>
          <w:rFonts w:eastAsia="Arial Unicode MS"/>
          <w:color w:val="26282A"/>
          <w:sz w:val="20"/>
          <w:szCs w:val="20"/>
        </w:rPr>
      </w:pPr>
      <w:r w:rsidRPr="00CC12E6">
        <w:rPr>
          <w:rFonts w:eastAsia="Arial Unicode MS"/>
          <w:b/>
          <w:bCs/>
          <w:color w:val="26282A"/>
          <w:sz w:val="20"/>
          <w:szCs w:val="20"/>
        </w:rPr>
        <w:t>Discussion</w:t>
      </w:r>
    </w:p>
    <w:p w14:paraId="3A99F5C9" w14:textId="77777777" w:rsidR="00BF3C68" w:rsidRPr="00CC12E6" w:rsidRDefault="00BF3C68" w:rsidP="008D37B3">
      <w:pPr>
        <w:spacing w:line="420" w:lineRule="auto"/>
        <w:jc w:val="both"/>
        <w:rPr>
          <w:rFonts w:eastAsia="Arial Unicode MS"/>
          <w:color w:val="26282A"/>
          <w:sz w:val="20"/>
          <w:szCs w:val="20"/>
        </w:rPr>
      </w:pPr>
      <w:r w:rsidRPr="00CC12E6">
        <w:rPr>
          <w:rFonts w:eastAsia="Arial Unicode MS"/>
          <w:b/>
          <w:bCs/>
          <w:color w:val="26282A"/>
          <w:sz w:val="20"/>
          <w:szCs w:val="20"/>
        </w:rPr>
        <w:t> </w:t>
      </w:r>
    </w:p>
    <w:p w14:paraId="082651F0" w14:textId="33C3F27E" w:rsidR="00971CCA"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Hypertension is an insidious disease associated with increased cardiovascular risk and mortality. HBP can lead to sudden death, stroke, acute myocardial infarction, heart failure, peripheral arterial disease, and fatal and non-fatal chronic kidney disease. Therefore, this illness might be regarded one of the major public health crises in the globe.</w:t>
      </w:r>
      <w:r w:rsidR="008D37B3" w:rsidRPr="00CC12E6">
        <w:rPr>
          <w:rFonts w:eastAsia="Arial Unicode MS"/>
          <w:color w:val="26282A"/>
          <w:sz w:val="20"/>
          <w:szCs w:val="20"/>
          <w:vertAlign w:val="superscript"/>
        </w:rPr>
        <w:t xml:space="preserve"> </w:t>
      </w:r>
      <w:r w:rsidR="008D37B3" w:rsidRPr="00CC12E6">
        <w:rPr>
          <w:rFonts w:eastAsia="Arial Unicode MS"/>
          <w:color w:val="26282A"/>
          <w:sz w:val="20"/>
          <w:szCs w:val="20"/>
        </w:rPr>
        <w:t>(1)</w:t>
      </w:r>
    </w:p>
    <w:p w14:paraId="412219B0" w14:textId="69FC977B" w:rsidR="00971CCA" w:rsidRPr="00CC12E6" w:rsidRDefault="00971CCA" w:rsidP="008D37B3">
      <w:pPr>
        <w:spacing w:line="420" w:lineRule="auto"/>
        <w:jc w:val="both"/>
        <w:rPr>
          <w:rFonts w:eastAsia="Arial Unicode MS"/>
          <w:color w:val="26282A"/>
          <w:sz w:val="20"/>
          <w:szCs w:val="20"/>
        </w:rPr>
      </w:pPr>
      <w:r w:rsidRPr="00CC12E6">
        <w:rPr>
          <w:rFonts w:eastAsia="Arial Unicode MS"/>
          <w:color w:val="26282A"/>
          <w:sz w:val="20"/>
          <w:szCs w:val="20"/>
        </w:rPr>
        <w:t xml:space="preserve">           Patients at risk for HBP require specific dental treatment, considering that roughly half of the hypertension patients can be asymptomatic and ignorant of the condition. Dental management must include a full clinical assessment, medical history, and BP monitoring prior to dental procedures. </w:t>
      </w:r>
      <w:r w:rsidR="008D37B3" w:rsidRPr="00CC12E6">
        <w:rPr>
          <w:rFonts w:eastAsia="Arial Unicode MS"/>
          <w:color w:val="26282A"/>
          <w:sz w:val="20"/>
          <w:szCs w:val="20"/>
        </w:rPr>
        <w:t>(7)</w:t>
      </w:r>
    </w:p>
    <w:p w14:paraId="4054CE66" w14:textId="748EBDBB" w:rsidR="00971CCA" w:rsidRPr="00CC12E6" w:rsidRDefault="00971CCA" w:rsidP="008D37B3">
      <w:pPr>
        <w:spacing w:line="420" w:lineRule="auto"/>
        <w:ind w:firstLine="720"/>
        <w:jc w:val="both"/>
        <w:rPr>
          <w:rFonts w:eastAsia="Arial Unicode MS"/>
          <w:color w:val="26282A"/>
          <w:sz w:val="20"/>
          <w:szCs w:val="20"/>
        </w:rPr>
      </w:pPr>
      <w:r w:rsidRPr="00CC12E6">
        <w:rPr>
          <w:rFonts w:eastAsia="Arial Unicode MS"/>
          <w:color w:val="26282A"/>
          <w:sz w:val="20"/>
          <w:szCs w:val="20"/>
        </w:rPr>
        <w:t xml:space="preserve">Since HBP can be regarded one of Brazil's main public health problems, affecting more than 20% of the population, high BP values are continuously identified in the dentistry clinic during physical examination. Due to the large circulation of individuals and trained professionals, the dentistry clinic is an ideal site for BP screening. Although studies monitoring BP levels in a dental environment are widely addressed in the literature, there is no consensus regarding the optimal timing to treat these individuals. </w:t>
      </w:r>
      <w:r w:rsidR="008D37B3" w:rsidRPr="00CC12E6">
        <w:rPr>
          <w:rFonts w:eastAsia="Arial Unicode MS"/>
          <w:color w:val="26282A"/>
          <w:sz w:val="20"/>
          <w:szCs w:val="20"/>
        </w:rPr>
        <w:t>(8)</w:t>
      </w:r>
    </w:p>
    <w:p w14:paraId="107EF766" w14:textId="6FE183B1" w:rsidR="00971CCA" w:rsidRPr="00CC12E6" w:rsidRDefault="00971CCA" w:rsidP="008D37B3">
      <w:pPr>
        <w:spacing w:line="360" w:lineRule="auto"/>
        <w:jc w:val="both"/>
        <w:rPr>
          <w:rFonts w:eastAsia="Arial Unicode MS"/>
          <w:color w:val="26282A"/>
          <w:sz w:val="20"/>
          <w:szCs w:val="20"/>
        </w:rPr>
      </w:pPr>
      <w:r w:rsidRPr="00CC12E6">
        <w:rPr>
          <w:rFonts w:eastAsia="Arial Unicode MS"/>
          <w:color w:val="26282A"/>
          <w:sz w:val="20"/>
          <w:szCs w:val="20"/>
        </w:rPr>
        <w:t xml:space="preserve">            Most patients with hypertension have an uncontrolled condition. The dental consultation gives a unique chance to screen individuals for undiagnosed and uncontrolled hypertension, which could contribute to enhanced monitoring and treatment. Many specialists advocate avoiding elective dental treatments in persons with blood pressure &gt;180/110 mmHg due to the lack of controlled randomized clinical trials. </w:t>
      </w:r>
      <w:r w:rsidR="008D37B3" w:rsidRPr="00CC12E6">
        <w:rPr>
          <w:rFonts w:eastAsia="Arial Unicode MS"/>
          <w:color w:val="26282A"/>
          <w:sz w:val="20"/>
          <w:szCs w:val="20"/>
        </w:rPr>
        <w:t>(</w:t>
      </w:r>
      <w:r w:rsidRPr="00CC12E6">
        <w:rPr>
          <w:rFonts w:eastAsia="Arial Unicode MS"/>
          <w:color w:val="26282A"/>
          <w:sz w:val="20"/>
          <w:szCs w:val="20"/>
        </w:rPr>
        <w:t>10</w:t>
      </w:r>
      <w:r w:rsidR="008D37B3" w:rsidRPr="00CC12E6">
        <w:rPr>
          <w:rFonts w:eastAsia="Arial Unicode MS"/>
          <w:color w:val="26282A"/>
          <w:sz w:val="20"/>
          <w:szCs w:val="20"/>
        </w:rPr>
        <w:t>)</w:t>
      </w:r>
    </w:p>
    <w:p w14:paraId="7424B730" w14:textId="77777777" w:rsidR="005B07F7" w:rsidRPr="00CC12E6" w:rsidRDefault="00971CCA" w:rsidP="008D37B3">
      <w:pPr>
        <w:spacing w:line="360" w:lineRule="auto"/>
        <w:ind w:firstLine="720"/>
        <w:jc w:val="both"/>
        <w:rPr>
          <w:rFonts w:eastAsia="Arial Unicode MS"/>
          <w:color w:val="26282A"/>
          <w:sz w:val="20"/>
          <w:szCs w:val="20"/>
        </w:rPr>
      </w:pPr>
      <w:r w:rsidRPr="00CC12E6">
        <w:rPr>
          <w:rFonts w:eastAsia="Arial Unicode MS"/>
          <w:color w:val="26282A"/>
          <w:sz w:val="20"/>
          <w:szCs w:val="20"/>
        </w:rPr>
        <w:t>The purpose of this study was to determine the average blood pressure of patients before they received urgent dental treatment. We examined 75 patients from the clinic's emergency dental service, and 38.6% of them expressed apprehension about receiving dental treatment. Stress and fear may lead to elevated blood pressure or the identification of an unidentified white coat hypertension (WCH).</w:t>
      </w:r>
    </w:p>
    <w:p w14:paraId="6826DB0B" w14:textId="74A3B512" w:rsidR="008D37B3" w:rsidRPr="00CC12E6" w:rsidRDefault="00971CCA" w:rsidP="008D37B3">
      <w:pPr>
        <w:spacing w:line="360" w:lineRule="auto"/>
        <w:ind w:firstLine="720"/>
        <w:jc w:val="both"/>
        <w:rPr>
          <w:rFonts w:eastAsia="Arial Unicode MS"/>
          <w:color w:val="26282A"/>
          <w:sz w:val="20"/>
          <w:szCs w:val="20"/>
        </w:rPr>
      </w:pPr>
      <w:r w:rsidRPr="00CC12E6">
        <w:rPr>
          <w:rFonts w:eastAsia="Arial Unicode MS"/>
          <w:color w:val="26282A"/>
          <w:sz w:val="20"/>
          <w:szCs w:val="20"/>
        </w:rPr>
        <w:lastRenderedPageBreak/>
        <w:t xml:space="preserve">Disagreement persists on the correlation between WCH and long-term cardiac events; however, accumulating evidence suggests that these early indicators may result in a misdiagnosis of hypertension. </w:t>
      </w:r>
      <w:r w:rsidR="008D37B3" w:rsidRPr="00CC12E6">
        <w:rPr>
          <w:rFonts w:eastAsia="Arial Unicode MS"/>
          <w:color w:val="26282A"/>
          <w:sz w:val="20"/>
          <w:szCs w:val="20"/>
        </w:rPr>
        <w:t>(</w:t>
      </w:r>
      <w:r w:rsidRPr="00CC12E6">
        <w:rPr>
          <w:rFonts w:eastAsia="Arial Unicode MS"/>
          <w:color w:val="26282A"/>
          <w:sz w:val="20"/>
          <w:szCs w:val="20"/>
        </w:rPr>
        <w:t>8-9</w:t>
      </w:r>
      <w:r w:rsidR="008D37B3" w:rsidRPr="00CC12E6">
        <w:rPr>
          <w:rFonts w:eastAsia="Arial Unicode MS"/>
          <w:color w:val="26282A"/>
          <w:sz w:val="20"/>
          <w:szCs w:val="20"/>
        </w:rPr>
        <w:t>)</w:t>
      </w:r>
    </w:p>
    <w:p w14:paraId="79E3BC17" w14:textId="3F50BEC2" w:rsidR="00971CCA" w:rsidRPr="00CC12E6" w:rsidRDefault="00971CCA" w:rsidP="008D37B3">
      <w:pPr>
        <w:spacing w:line="360" w:lineRule="auto"/>
        <w:ind w:firstLine="720"/>
        <w:jc w:val="both"/>
        <w:rPr>
          <w:rFonts w:eastAsia="Arial Unicode MS"/>
          <w:color w:val="26282A"/>
          <w:sz w:val="20"/>
          <w:szCs w:val="20"/>
        </w:rPr>
      </w:pPr>
      <w:r w:rsidRPr="00CC12E6">
        <w:rPr>
          <w:rFonts w:eastAsia="Arial Unicode MS"/>
          <w:color w:val="26282A"/>
          <w:sz w:val="20"/>
          <w:szCs w:val="20"/>
        </w:rPr>
        <w:t xml:space="preserve"> WCH can directly influence hemodynamics, leading to significant alterations in blood pressure, heart rate, and myocardial oxygen demand. This anxiety can be mitigated by arranging morning appointments, having concise consultations, managing pain, and reducing stress, which frequently necessitate prescriptions for anxiolytic medications. </w:t>
      </w:r>
      <w:r w:rsidR="008D37B3" w:rsidRPr="00CC12E6">
        <w:rPr>
          <w:rFonts w:eastAsia="Arial Unicode MS"/>
          <w:color w:val="26282A"/>
          <w:sz w:val="20"/>
          <w:szCs w:val="20"/>
        </w:rPr>
        <w:t>(</w:t>
      </w:r>
      <w:r w:rsidR="005B07F7" w:rsidRPr="00CC12E6">
        <w:rPr>
          <w:rFonts w:eastAsia="Arial Unicode MS"/>
          <w:color w:val="26282A"/>
          <w:sz w:val="20"/>
          <w:szCs w:val="20"/>
        </w:rPr>
        <w:t>10,11</w:t>
      </w:r>
      <w:r w:rsidR="008D37B3" w:rsidRPr="00CC12E6">
        <w:rPr>
          <w:rFonts w:eastAsia="Arial Unicode MS"/>
          <w:color w:val="26282A"/>
          <w:sz w:val="20"/>
          <w:szCs w:val="20"/>
        </w:rPr>
        <w:t>)</w:t>
      </w:r>
    </w:p>
    <w:p w14:paraId="30B3B126" w14:textId="2CD5468C" w:rsidR="00971CCA" w:rsidRPr="00CC12E6" w:rsidRDefault="00971CCA" w:rsidP="008D37B3">
      <w:pPr>
        <w:spacing w:line="360" w:lineRule="auto"/>
        <w:ind w:firstLine="720"/>
        <w:jc w:val="both"/>
        <w:rPr>
          <w:rFonts w:eastAsia="Arial Unicode MS"/>
          <w:color w:val="26282A"/>
          <w:sz w:val="20"/>
          <w:szCs w:val="20"/>
        </w:rPr>
      </w:pPr>
      <w:r w:rsidRPr="00CC12E6">
        <w:rPr>
          <w:rFonts w:eastAsia="Arial Unicode MS"/>
          <w:color w:val="26282A"/>
          <w:sz w:val="20"/>
          <w:szCs w:val="20"/>
        </w:rPr>
        <w:t xml:space="preserve">Individuals with hypertension exhibit a significantly heightened stress response compared to those with normotension. In our study, individuals with a verified diagnosis of hypertension maintained elevated blood pressure levels before and after an emergency dental appointment. Under these conditions, therapy should incorporate effective anesthetic techniques and the administration of analgesics; otherwise, these operations may elevate blood pressure. </w:t>
      </w:r>
      <w:r w:rsidR="008D37B3" w:rsidRPr="00CC12E6">
        <w:rPr>
          <w:rFonts w:eastAsia="Arial Unicode MS"/>
          <w:color w:val="26282A"/>
          <w:sz w:val="20"/>
          <w:szCs w:val="20"/>
        </w:rPr>
        <w:t>(10,11)</w:t>
      </w:r>
    </w:p>
    <w:p w14:paraId="789FBCC4" w14:textId="5FD5B196" w:rsidR="00971CCA" w:rsidRPr="00CC12E6" w:rsidRDefault="00971CCA" w:rsidP="008D37B3">
      <w:pPr>
        <w:spacing w:line="360" w:lineRule="auto"/>
        <w:ind w:firstLine="720"/>
        <w:jc w:val="both"/>
        <w:rPr>
          <w:rFonts w:eastAsia="Arial Unicode MS"/>
          <w:color w:val="26282A"/>
          <w:sz w:val="20"/>
          <w:szCs w:val="20"/>
        </w:rPr>
      </w:pPr>
      <w:r w:rsidRPr="00CC12E6">
        <w:rPr>
          <w:rFonts w:eastAsia="Arial Unicode MS"/>
          <w:color w:val="26282A"/>
          <w:sz w:val="20"/>
          <w:szCs w:val="20"/>
        </w:rPr>
        <w:t>Nonetheless, superfluous cancellations of dental appointments occur frequently when patients exhibit elevated blood pressure readings, despite the absence of clinical indicators of hypertensive crises. This primarily arises from a deficiency of knowledge among professionals regarding WCH or the management of hypertensive patients. Furthermore, there is no empirical evidence demonstrating the benefits of deferring dental treatment in these instances.</w:t>
      </w:r>
      <w:r w:rsidR="008D37B3" w:rsidRPr="00CC12E6">
        <w:rPr>
          <w:rFonts w:eastAsia="Arial Unicode MS"/>
          <w:color w:val="26282A"/>
          <w:sz w:val="20"/>
          <w:szCs w:val="20"/>
        </w:rPr>
        <w:t xml:space="preserve"> (11)</w:t>
      </w:r>
    </w:p>
    <w:p w14:paraId="2C109819" w14:textId="5D64B58A" w:rsidR="00971CCA" w:rsidRPr="00CC12E6" w:rsidRDefault="00971CCA" w:rsidP="008D37B3">
      <w:pPr>
        <w:spacing w:line="360" w:lineRule="auto"/>
        <w:jc w:val="both"/>
        <w:rPr>
          <w:rFonts w:eastAsia="Arial Unicode MS"/>
          <w:color w:val="26282A"/>
          <w:sz w:val="20"/>
          <w:szCs w:val="20"/>
        </w:rPr>
      </w:pPr>
      <w:r w:rsidRPr="00CC12E6">
        <w:rPr>
          <w:rFonts w:eastAsia="Arial Unicode MS"/>
          <w:color w:val="26282A"/>
          <w:sz w:val="20"/>
          <w:szCs w:val="20"/>
        </w:rPr>
        <w:t xml:space="preserve">           Pain and oral infections that are produced by teeth will naturally create elevated blood pressure due of the production of endogenous catecholamines. This process will not be stopped if dental care is not provided.10 In our investigation, only twelve individuals exhibiting modest symptoms were sent for medical follow-up due to persistently elevated values even after immediate dental care (&gt;180 x 110 mmHg).</w:t>
      </w:r>
    </w:p>
    <w:p w14:paraId="4A2C0566" w14:textId="77777777" w:rsidR="008D37B3" w:rsidRPr="00CC12E6" w:rsidRDefault="008D37B3" w:rsidP="008D37B3">
      <w:pPr>
        <w:spacing w:line="360" w:lineRule="auto"/>
        <w:jc w:val="both"/>
        <w:rPr>
          <w:rFonts w:eastAsia="Arial Unicode MS"/>
          <w:b/>
          <w:bCs/>
          <w:color w:val="26282A"/>
          <w:sz w:val="20"/>
          <w:szCs w:val="20"/>
        </w:rPr>
      </w:pPr>
    </w:p>
    <w:p w14:paraId="28659B24" w14:textId="240AB770" w:rsidR="00971CCA" w:rsidRPr="00CC12E6" w:rsidRDefault="00971CCA" w:rsidP="008D37B3">
      <w:pPr>
        <w:spacing w:line="360" w:lineRule="auto"/>
        <w:jc w:val="both"/>
        <w:rPr>
          <w:rFonts w:eastAsia="Arial Unicode MS"/>
          <w:b/>
          <w:bCs/>
          <w:color w:val="26282A"/>
          <w:sz w:val="20"/>
          <w:szCs w:val="20"/>
        </w:rPr>
      </w:pPr>
      <w:r w:rsidRPr="00CC12E6">
        <w:rPr>
          <w:rFonts w:eastAsia="Arial Unicode MS"/>
          <w:b/>
          <w:bCs/>
          <w:color w:val="26282A"/>
          <w:sz w:val="20"/>
          <w:szCs w:val="20"/>
        </w:rPr>
        <w:t>Conclusions</w:t>
      </w:r>
    </w:p>
    <w:p w14:paraId="1A6C3614" w14:textId="77777777" w:rsidR="008D37B3" w:rsidRPr="00CC12E6" w:rsidRDefault="008D37B3" w:rsidP="008D37B3">
      <w:pPr>
        <w:spacing w:line="360" w:lineRule="auto"/>
        <w:jc w:val="both"/>
        <w:rPr>
          <w:rFonts w:eastAsia="Arial Unicode MS"/>
          <w:b/>
          <w:bCs/>
          <w:color w:val="26282A"/>
          <w:sz w:val="20"/>
          <w:szCs w:val="20"/>
        </w:rPr>
      </w:pPr>
    </w:p>
    <w:p w14:paraId="1A62D6F2" w14:textId="0A959968" w:rsidR="00971CCA" w:rsidRDefault="00971CCA" w:rsidP="008D37B3">
      <w:pPr>
        <w:spacing w:line="360" w:lineRule="auto"/>
        <w:ind w:firstLine="720"/>
        <w:jc w:val="both"/>
        <w:rPr>
          <w:rFonts w:eastAsia="Arial Unicode MS"/>
          <w:color w:val="26282A"/>
          <w:sz w:val="20"/>
          <w:szCs w:val="20"/>
        </w:rPr>
      </w:pPr>
      <w:r w:rsidRPr="00CC12E6">
        <w:rPr>
          <w:rFonts w:eastAsia="Arial Unicode MS"/>
          <w:color w:val="26282A"/>
          <w:sz w:val="20"/>
          <w:szCs w:val="20"/>
        </w:rPr>
        <w:t>The results indicate that, despite a propensity for patients to have elevated blood pressure prior to emergency dental procedures, pain and infection require appropriate management. The healthcare practitioner must notice these changes and appropriately recommend patients for medical therapy.</w:t>
      </w:r>
    </w:p>
    <w:p w14:paraId="3026C13A" w14:textId="77777777" w:rsidR="00D328B7" w:rsidRDefault="00D328B7" w:rsidP="008D37B3">
      <w:pPr>
        <w:spacing w:line="360" w:lineRule="auto"/>
        <w:ind w:firstLine="720"/>
        <w:jc w:val="both"/>
        <w:rPr>
          <w:rFonts w:eastAsia="Arial Unicode MS"/>
          <w:color w:val="26282A"/>
          <w:sz w:val="20"/>
          <w:szCs w:val="20"/>
        </w:rPr>
      </w:pPr>
    </w:p>
    <w:p w14:paraId="65471DDA" w14:textId="77777777" w:rsidR="00040F2F" w:rsidRDefault="00040F2F" w:rsidP="00D328B7">
      <w:pPr>
        <w:spacing w:line="480" w:lineRule="auto"/>
        <w:ind w:right="-7"/>
        <w:jc w:val="both"/>
        <w:rPr>
          <w:b/>
          <w:bCs/>
          <w:sz w:val="20"/>
          <w:szCs w:val="20"/>
        </w:rPr>
      </w:pPr>
    </w:p>
    <w:p w14:paraId="66ADC8C1" w14:textId="77777777" w:rsidR="00040F2F" w:rsidRDefault="00040F2F" w:rsidP="00D328B7">
      <w:pPr>
        <w:spacing w:line="480" w:lineRule="auto"/>
        <w:ind w:right="-7"/>
        <w:jc w:val="both"/>
        <w:rPr>
          <w:b/>
          <w:bCs/>
          <w:sz w:val="20"/>
          <w:szCs w:val="20"/>
        </w:rPr>
      </w:pPr>
    </w:p>
    <w:p w14:paraId="54E5FF90" w14:textId="77777777" w:rsidR="00040F2F" w:rsidRDefault="00040F2F" w:rsidP="00D328B7">
      <w:pPr>
        <w:spacing w:line="480" w:lineRule="auto"/>
        <w:ind w:right="-7"/>
        <w:jc w:val="both"/>
        <w:rPr>
          <w:b/>
          <w:bCs/>
          <w:sz w:val="20"/>
          <w:szCs w:val="20"/>
        </w:rPr>
      </w:pPr>
    </w:p>
    <w:p w14:paraId="4BD1BF0B" w14:textId="77777777" w:rsidR="00040F2F" w:rsidRDefault="00040F2F" w:rsidP="00D328B7">
      <w:pPr>
        <w:spacing w:line="480" w:lineRule="auto"/>
        <w:ind w:right="-7"/>
        <w:jc w:val="both"/>
        <w:rPr>
          <w:b/>
          <w:bCs/>
          <w:sz w:val="20"/>
          <w:szCs w:val="20"/>
        </w:rPr>
      </w:pPr>
    </w:p>
    <w:p w14:paraId="7A44AEAB" w14:textId="77777777" w:rsidR="00040F2F" w:rsidRDefault="00040F2F" w:rsidP="00D328B7">
      <w:pPr>
        <w:spacing w:line="480" w:lineRule="auto"/>
        <w:ind w:right="-7"/>
        <w:jc w:val="both"/>
        <w:rPr>
          <w:b/>
          <w:bCs/>
          <w:sz w:val="20"/>
          <w:szCs w:val="20"/>
        </w:rPr>
      </w:pPr>
    </w:p>
    <w:p w14:paraId="38C890F9" w14:textId="77777777" w:rsidR="00040F2F" w:rsidRDefault="00040F2F" w:rsidP="00D328B7">
      <w:pPr>
        <w:spacing w:line="480" w:lineRule="auto"/>
        <w:ind w:right="-7"/>
        <w:jc w:val="both"/>
        <w:rPr>
          <w:b/>
          <w:bCs/>
          <w:sz w:val="20"/>
          <w:szCs w:val="20"/>
        </w:rPr>
      </w:pPr>
    </w:p>
    <w:p w14:paraId="0299525A" w14:textId="77777777" w:rsidR="00040F2F" w:rsidRDefault="00040F2F" w:rsidP="00D328B7">
      <w:pPr>
        <w:spacing w:line="480" w:lineRule="auto"/>
        <w:ind w:right="-7"/>
        <w:jc w:val="both"/>
        <w:rPr>
          <w:b/>
          <w:bCs/>
          <w:sz w:val="20"/>
          <w:szCs w:val="20"/>
        </w:rPr>
      </w:pPr>
    </w:p>
    <w:p w14:paraId="3F40B710" w14:textId="77777777" w:rsidR="00040F2F" w:rsidRDefault="00040F2F" w:rsidP="00D328B7">
      <w:pPr>
        <w:spacing w:line="480" w:lineRule="auto"/>
        <w:ind w:right="-7"/>
        <w:jc w:val="both"/>
        <w:rPr>
          <w:b/>
          <w:bCs/>
          <w:sz w:val="20"/>
          <w:szCs w:val="20"/>
        </w:rPr>
      </w:pPr>
    </w:p>
    <w:p w14:paraId="2CDD6B60" w14:textId="77777777" w:rsidR="00040F2F" w:rsidRDefault="00040F2F" w:rsidP="00D328B7">
      <w:pPr>
        <w:spacing w:line="480" w:lineRule="auto"/>
        <w:ind w:right="-7"/>
        <w:jc w:val="both"/>
        <w:rPr>
          <w:b/>
          <w:bCs/>
          <w:sz w:val="20"/>
          <w:szCs w:val="20"/>
        </w:rPr>
      </w:pPr>
    </w:p>
    <w:p w14:paraId="5B5514AA" w14:textId="77777777" w:rsidR="00CC1056" w:rsidRDefault="00CC1056" w:rsidP="00CC1056">
      <w:pPr>
        <w:jc w:val="both"/>
        <w:rPr>
          <w:b/>
          <w:bCs/>
          <w:sz w:val="20"/>
          <w:szCs w:val="20"/>
        </w:rPr>
      </w:pPr>
    </w:p>
    <w:p w14:paraId="1009AB56" w14:textId="006C71C4" w:rsidR="00CC1056" w:rsidRPr="00CC1056" w:rsidRDefault="00CC1056" w:rsidP="00CC1056">
      <w:pPr>
        <w:jc w:val="both"/>
        <w:rPr>
          <w:sz w:val="20"/>
          <w:szCs w:val="20"/>
        </w:rPr>
      </w:pPr>
      <w:r w:rsidRPr="00CC1056">
        <w:rPr>
          <w:b/>
          <w:bCs/>
          <w:sz w:val="20"/>
          <w:szCs w:val="20"/>
        </w:rPr>
        <w:t>Declaration of Generative AI and AI-Assisted Technologies in the Writing Process</w:t>
      </w:r>
    </w:p>
    <w:p w14:paraId="5DFEC91F" w14:textId="77777777" w:rsidR="00CC1056" w:rsidRPr="00CC12E6" w:rsidRDefault="00CC1056" w:rsidP="00CC1056">
      <w:pPr>
        <w:jc w:val="both"/>
        <w:rPr>
          <w:sz w:val="20"/>
          <w:szCs w:val="20"/>
        </w:rPr>
      </w:pPr>
    </w:p>
    <w:p w14:paraId="1276A406" w14:textId="77777777" w:rsidR="00CC1056" w:rsidRPr="00CC12E6" w:rsidRDefault="00CC1056" w:rsidP="00CC1056">
      <w:pPr>
        <w:spacing w:line="360" w:lineRule="auto"/>
        <w:ind w:firstLine="360"/>
        <w:jc w:val="both"/>
        <w:rPr>
          <w:sz w:val="20"/>
          <w:szCs w:val="20"/>
        </w:rPr>
      </w:pPr>
      <w:r w:rsidRPr="00CC12E6">
        <w:rPr>
          <w:sz w:val="20"/>
          <w:szCs w:val="20"/>
        </w:rPr>
        <w:t xml:space="preserve">The authors acknowledge that AI-assisted technologies, including </w:t>
      </w:r>
      <w:proofErr w:type="spellStart"/>
      <w:r w:rsidRPr="00CC12E6">
        <w:rPr>
          <w:sz w:val="20"/>
          <w:szCs w:val="20"/>
        </w:rPr>
        <w:t>QuillBot</w:t>
      </w:r>
      <w:proofErr w:type="spellEnd"/>
      <w:r w:rsidRPr="00CC12E6">
        <w:rPr>
          <w:sz w:val="20"/>
          <w:szCs w:val="20"/>
        </w:rPr>
        <w:t>, were utilized in the writing process to assist with grammar and language refinement. These tools were employed solely to enhance clarity and readability without altering the substantive content of the work.</w:t>
      </w:r>
    </w:p>
    <w:p w14:paraId="6C7F3406" w14:textId="77777777" w:rsidR="00CC1056" w:rsidRDefault="00CC1056" w:rsidP="00CC1056">
      <w:pPr>
        <w:spacing w:line="360" w:lineRule="auto"/>
        <w:jc w:val="both"/>
        <w:rPr>
          <w:sz w:val="20"/>
          <w:szCs w:val="20"/>
        </w:rPr>
      </w:pPr>
      <w:r w:rsidRPr="00CC12E6">
        <w:rPr>
          <w:sz w:val="20"/>
          <w:szCs w:val="20"/>
        </w:rPr>
        <w:t>After utilizing these technologies, the author(s) thoroughly reviewed and edited the content as needed to ensure accuracy, coherence, and alignment with the intended message. The author(s) take full responsibility for the final content of this publication.</w:t>
      </w:r>
    </w:p>
    <w:p w14:paraId="04ECD73E" w14:textId="77777777" w:rsidR="00040F2F" w:rsidRDefault="00040F2F" w:rsidP="008C191A">
      <w:pPr>
        <w:pStyle w:val="ListParagraph"/>
        <w:spacing w:line="480" w:lineRule="auto"/>
        <w:ind w:left="0" w:right="-7"/>
        <w:jc w:val="both"/>
        <w:rPr>
          <w:rFonts w:eastAsia="Arial"/>
          <w:b/>
          <w:sz w:val="20"/>
          <w:szCs w:val="20"/>
        </w:rPr>
      </w:pPr>
    </w:p>
    <w:p w14:paraId="0B4B4018" w14:textId="23493FAC" w:rsidR="008C191A" w:rsidRDefault="008C191A" w:rsidP="008C191A">
      <w:pPr>
        <w:spacing w:line="480" w:lineRule="auto"/>
        <w:ind w:right="-7"/>
        <w:jc w:val="both"/>
        <w:rPr>
          <w:rFonts w:eastAsia="Arial"/>
          <w:sz w:val="20"/>
          <w:szCs w:val="20"/>
        </w:rPr>
      </w:pPr>
    </w:p>
    <w:p w14:paraId="4C1C6307" w14:textId="77777777" w:rsidR="00D1484D" w:rsidRPr="00CC12E6" w:rsidRDefault="00D1484D" w:rsidP="008C191A">
      <w:pPr>
        <w:spacing w:line="480" w:lineRule="auto"/>
        <w:ind w:right="-7"/>
        <w:jc w:val="both"/>
        <w:rPr>
          <w:rFonts w:eastAsia="Arial"/>
          <w:sz w:val="20"/>
          <w:szCs w:val="20"/>
        </w:rPr>
      </w:pPr>
    </w:p>
    <w:p w14:paraId="60E68958" w14:textId="77777777" w:rsidR="008C191A" w:rsidRPr="00CC12E6" w:rsidRDefault="008C191A" w:rsidP="008C191A">
      <w:pPr>
        <w:pStyle w:val="ListParagraph"/>
        <w:spacing w:line="480" w:lineRule="auto"/>
        <w:ind w:left="0" w:right="-7"/>
        <w:jc w:val="both"/>
        <w:rPr>
          <w:rFonts w:eastAsia="Arial"/>
          <w:b/>
          <w:bCs/>
          <w:sz w:val="20"/>
          <w:szCs w:val="20"/>
        </w:rPr>
      </w:pPr>
      <w:r w:rsidRPr="00CC12E6">
        <w:rPr>
          <w:rFonts w:eastAsia="Arial"/>
          <w:b/>
          <w:bCs/>
          <w:sz w:val="20"/>
          <w:szCs w:val="20"/>
        </w:rPr>
        <w:t>Ethics</w:t>
      </w:r>
    </w:p>
    <w:p w14:paraId="072FF0C1" w14:textId="5A09199A" w:rsidR="008C191A" w:rsidRPr="00CC12E6" w:rsidRDefault="00040F2F" w:rsidP="008C191A">
      <w:pPr>
        <w:pBdr>
          <w:top w:val="nil"/>
          <w:left w:val="nil"/>
          <w:bottom w:val="nil"/>
          <w:right w:val="nil"/>
          <w:between w:val="nil"/>
        </w:pBdr>
        <w:spacing w:line="480" w:lineRule="auto"/>
        <w:ind w:right="-7"/>
        <w:jc w:val="both"/>
        <w:rPr>
          <w:rFonts w:eastAsia="Arial"/>
          <w:color w:val="000000"/>
          <w:sz w:val="20"/>
          <w:szCs w:val="20"/>
        </w:rPr>
      </w:pPr>
      <w:r>
        <w:rPr>
          <w:rFonts w:eastAsia="Arial"/>
          <w:color w:val="000000"/>
          <w:sz w:val="20"/>
          <w:szCs w:val="20"/>
        </w:rPr>
        <w:t xml:space="preserve">         </w:t>
      </w:r>
      <w:r w:rsidR="008C191A" w:rsidRPr="00CC12E6">
        <w:rPr>
          <w:rFonts w:eastAsia="Arial"/>
          <w:color w:val="000000"/>
          <w:sz w:val="20"/>
          <w:szCs w:val="20"/>
        </w:rPr>
        <w:t xml:space="preserve">This study was approved by the local ethics committee. (University of Santo Amaro IRB number: 68033517.2.0000.0081). All patients had read and signed the informed consent. </w:t>
      </w:r>
    </w:p>
    <w:p w14:paraId="5533D249" w14:textId="77777777" w:rsidR="008C191A" w:rsidRPr="00CC12E6" w:rsidRDefault="008C191A" w:rsidP="008C191A">
      <w:pPr>
        <w:pBdr>
          <w:top w:val="nil"/>
          <w:left w:val="nil"/>
          <w:bottom w:val="nil"/>
          <w:right w:val="nil"/>
          <w:between w:val="nil"/>
        </w:pBdr>
        <w:spacing w:line="480" w:lineRule="auto"/>
        <w:ind w:right="-7"/>
        <w:jc w:val="both"/>
        <w:rPr>
          <w:rFonts w:eastAsia="Arial"/>
          <w:color w:val="000000"/>
          <w:sz w:val="20"/>
          <w:szCs w:val="20"/>
        </w:rPr>
      </w:pPr>
    </w:p>
    <w:p w14:paraId="5DBD90C0" w14:textId="77777777" w:rsidR="008C191A" w:rsidRDefault="008C191A" w:rsidP="00CC1056">
      <w:pPr>
        <w:spacing w:line="360" w:lineRule="auto"/>
        <w:jc w:val="both"/>
        <w:rPr>
          <w:sz w:val="20"/>
          <w:szCs w:val="20"/>
        </w:rPr>
      </w:pPr>
    </w:p>
    <w:p w14:paraId="5EE26974" w14:textId="77777777" w:rsidR="00040F2F" w:rsidRDefault="00040F2F" w:rsidP="0069469C">
      <w:pPr>
        <w:spacing w:line="480" w:lineRule="auto"/>
        <w:jc w:val="both"/>
        <w:rPr>
          <w:rFonts w:eastAsia="Arial"/>
          <w:b/>
          <w:sz w:val="20"/>
          <w:szCs w:val="20"/>
        </w:rPr>
      </w:pPr>
    </w:p>
    <w:p w14:paraId="7269D5A2" w14:textId="77777777" w:rsidR="00040F2F" w:rsidRDefault="00040F2F" w:rsidP="0069469C">
      <w:pPr>
        <w:spacing w:line="480" w:lineRule="auto"/>
        <w:jc w:val="both"/>
        <w:rPr>
          <w:rFonts w:eastAsia="Arial"/>
          <w:b/>
          <w:sz w:val="20"/>
          <w:szCs w:val="20"/>
        </w:rPr>
      </w:pPr>
    </w:p>
    <w:p w14:paraId="62B9500A" w14:textId="77777777" w:rsidR="00040F2F" w:rsidRDefault="00040F2F" w:rsidP="0069469C">
      <w:pPr>
        <w:spacing w:line="480" w:lineRule="auto"/>
        <w:jc w:val="both"/>
        <w:rPr>
          <w:rFonts w:eastAsia="Arial"/>
          <w:b/>
          <w:sz w:val="20"/>
          <w:szCs w:val="20"/>
        </w:rPr>
      </w:pPr>
    </w:p>
    <w:p w14:paraId="18510822" w14:textId="77777777" w:rsidR="00040F2F" w:rsidRDefault="00040F2F" w:rsidP="0069469C">
      <w:pPr>
        <w:spacing w:line="480" w:lineRule="auto"/>
        <w:jc w:val="both"/>
        <w:rPr>
          <w:rFonts w:eastAsia="Arial"/>
          <w:b/>
          <w:sz w:val="20"/>
          <w:szCs w:val="20"/>
        </w:rPr>
      </w:pPr>
    </w:p>
    <w:p w14:paraId="7B5D2EDE" w14:textId="77777777" w:rsidR="00040F2F" w:rsidRDefault="00040F2F" w:rsidP="0069469C">
      <w:pPr>
        <w:spacing w:line="480" w:lineRule="auto"/>
        <w:jc w:val="both"/>
        <w:rPr>
          <w:rFonts w:eastAsia="Arial"/>
          <w:b/>
          <w:sz w:val="20"/>
          <w:szCs w:val="20"/>
        </w:rPr>
      </w:pPr>
    </w:p>
    <w:p w14:paraId="52C8C837" w14:textId="77777777" w:rsidR="00040F2F" w:rsidRDefault="00040F2F" w:rsidP="0069469C">
      <w:pPr>
        <w:spacing w:line="480" w:lineRule="auto"/>
        <w:jc w:val="both"/>
        <w:rPr>
          <w:rFonts w:eastAsia="Arial"/>
          <w:b/>
          <w:sz w:val="20"/>
          <w:szCs w:val="20"/>
        </w:rPr>
      </w:pPr>
    </w:p>
    <w:p w14:paraId="09E8264C" w14:textId="77777777" w:rsidR="00040F2F" w:rsidRDefault="00040F2F" w:rsidP="0069469C">
      <w:pPr>
        <w:spacing w:line="480" w:lineRule="auto"/>
        <w:jc w:val="both"/>
        <w:rPr>
          <w:rFonts w:eastAsia="Arial"/>
          <w:b/>
          <w:sz w:val="20"/>
          <w:szCs w:val="20"/>
        </w:rPr>
      </w:pPr>
    </w:p>
    <w:p w14:paraId="0AD09734" w14:textId="780FF08F" w:rsidR="00040F2F" w:rsidRDefault="00040F2F" w:rsidP="0069469C">
      <w:pPr>
        <w:spacing w:line="480" w:lineRule="auto"/>
        <w:jc w:val="both"/>
        <w:rPr>
          <w:rFonts w:eastAsia="Arial"/>
          <w:b/>
          <w:sz w:val="20"/>
          <w:szCs w:val="20"/>
        </w:rPr>
      </w:pPr>
    </w:p>
    <w:p w14:paraId="168CA92B" w14:textId="2D429CFB" w:rsidR="00D1484D" w:rsidRDefault="00D1484D" w:rsidP="0069469C">
      <w:pPr>
        <w:spacing w:line="480" w:lineRule="auto"/>
        <w:jc w:val="both"/>
        <w:rPr>
          <w:rFonts w:eastAsia="Arial"/>
          <w:b/>
          <w:sz w:val="20"/>
          <w:szCs w:val="20"/>
        </w:rPr>
      </w:pPr>
    </w:p>
    <w:p w14:paraId="6F8D1229" w14:textId="11FEABF4" w:rsidR="00D1484D" w:rsidRDefault="00D1484D" w:rsidP="0069469C">
      <w:pPr>
        <w:spacing w:line="480" w:lineRule="auto"/>
        <w:jc w:val="both"/>
        <w:rPr>
          <w:rFonts w:eastAsia="Arial"/>
          <w:b/>
          <w:sz w:val="20"/>
          <w:szCs w:val="20"/>
        </w:rPr>
      </w:pPr>
    </w:p>
    <w:p w14:paraId="72176942" w14:textId="072DFCF8" w:rsidR="00D1484D" w:rsidRDefault="00D1484D" w:rsidP="0069469C">
      <w:pPr>
        <w:spacing w:line="480" w:lineRule="auto"/>
        <w:jc w:val="both"/>
        <w:rPr>
          <w:rFonts w:eastAsia="Arial"/>
          <w:b/>
          <w:sz w:val="20"/>
          <w:szCs w:val="20"/>
        </w:rPr>
      </w:pPr>
    </w:p>
    <w:p w14:paraId="0A4E7077" w14:textId="77777777" w:rsidR="00D1484D" w:rsidRDefault="00D1484D" w:rsidP="0069469C">
      <w:pPr>
        <w:spacing w:line="480" w:lineRule="auto"/>
        <w:jc w:val="both"/>
        <w:rPr>
          <w:rFonts w:eastAsia="Arial"/>
          <w:b/>
          <w:sz w:val="20"/>
          <w:szCs w:val="20"/>
        </w:rPr>
      </w:pPr>
    </w:p>
    <w:p w14:paraId="22F537A6" w14:textId="77777777" w:rsidR="00040F2F" w:rsidRDefault="00040F2F" w:rsidP="0069469C">
      <w:pPr>
        <w:spacing w:line="480" w:lineRule="auto"/>
        <w:jc w:val="both"/>
        <w:rPr>
          <w:rFonts w:eastAsia="Arial"/>
          <w:b/>
          <w:sz w:val="20"/>
          <w:szCs w:val="20"/>
        </w:rPr>
      </w:pPr>
    </w:p>
    <w:p w14:paraId="14C5B24B" w14:textId="7E3D4BCF" w:rsidR="00040F2F" w:rsidRDefault="00040F2F" w:rsidP="0069469C">
      <w:pPr>
        <w:spacing w:line="480" w:lineRule="auto"/>
        <w:jc w:val="both"/>
        <w:rPr>
          <w:rFonts w:eastAsia="Arial"/>
          <w:b/>
          <w:sz w:val="20"/>
          <w:szCs w:val="20"/>
        </w:rPr>
      </w:pPr>
    </w:p>
    <w:p w14:paraId="10924873" w14:textId="56F22E2E" w:rsidR="00D1484D" w:rsidRDefault="00D1484D" w:rsidP="0069469C">
      <w:pPr>
        <w:spacing w:line="480" w:lineRule="auto"/>
        <w:jc w:val="both"/>
        <w:rPr>
          <w:rFonts w:eastAsia="Arial"/>
          <w:b/>
          <w:sz w:val="20"/>
          <w:szCs w:val="20"/>
        </w:rPr>
      </w:pPr>
    </w:p>
    <w:p w14:paraId="23E282B7" w14:textId="43BD5E74" w:rsidR="00D1484D" w:rsidRDefault="00D1484D" w:rsidP="0069469C">
      <w:pPr>
        <w:spacing w:line="480" w:lineRule="auto"/>
        <w:jc w:val="both"/>
        <w:rPr>
          <w:rFonts w:eastAsia="Arial"/>
          <w:b/>
          <w:sz w:val="20"/>
          <w:szCs w:val="20"/>
        </w:rPr>
      </w:pPr>
    </w:p>
    <w:p w14:paraId="52DD55EA" w14:textId="77777777" w:rsidR="00D1484D" w:rsidRDefault="00D1484D" w:rsidP="0069469C">
      <w:pPr>
        <w:spacing w:line="480" w:lineRule="auto"/>
        <w:jc w:val="both"/>
        <w:rPr>
          <w:rFonts w:eastAsia="Arial"/>
          <w:b/>
          <w:sz w:val="20"/>
          <w:szCs w:val="20"/>
        </w:rPr>
      </w:pPr>
      <w:bookmarkStart w:id="0" w:name="_GoBack"/>
      <w:bookmarkEnd w:id="0"/>
    </w:p>
    <w:p w14:paraId="10A7CDB2" w14:textId="77777777" w:rsidR="00040F2F" w:rsidRDefault="00040F2F" w:rsidP="0069469C">
      <w:pPr>
        <w:spacing w:line="480" w:lineRule="auto"/>
        <w:jc w:val="both"/>
        <w:rPr>
          <w:rFonts w:eastAsia="Arial"/>
          <w:b/>
          <w:sz w:val="20"/>
          <w:szCs w:val="20"/>
        </w:rPr>
      </w:pPr>
    </w:p>
    <w:p w14:paraId="25CBFA88" w14:textId="7F5590FA" w:rsidR="0069469C" w:rsidRPr="00CC12E6" w:rsidRDefault="00655520" w:rsidP="0069469C">
      <w:pPr>
        <w:spacing w:line="480" w:lineRule="auto"/>
        <w:jc w:val="both"/>
        <w:rPr>
          <w:rFonts w:eastAsia="Arial"/>
          <w:b/>
          <w:sz w:val="20"/>
          <w:szCs w:val="20"/>
        </w:rPr>
      </w:pPr>
      <w:r w:rsidRPr="00CC12E6">
        <w:rPr>
          <w:rFonts w:eastAsia="Arial"/>
          <w:b/>
          <w:sz w:val="20"/>
          <w:szCs w:val="20"/>
        </w:rPr>
        <w:t>Table</w:t>
      </w:r>
      <w:r w:rsidR="0069469C" w:rsidRPr="00CC12E6">
        <w:rPr>
          <w:rFonts w:eastAsia="Arial"/>
          <w:b/>
          <w:sz w:val="20"/>
          <w:szCs w:val="20"/>
        </w:rPr>
        <w:t>s</w:t>
      </w:r>
    </w:p>
    <w:p w14:paraId="2EB9EE7D" w14:textId="49A9ACBB" w:rsidR="00573FA0" w:rsidRPr="00CC12E6" w:rsidRDefault="0069469C" w:rsidP="0069469C">
      <w:pPr>
        <w:spacing w:line="480" w:lineRule="auto"/>
        <w:jc w:val="both"/>
        <w:rPr>
          <w:rFonts w:eastAsia="Arial"/>
          <w:color w:val="FF0000"/>
          <w:sz w:val="20"/>
          <w:szCs w:val="20"/>
        </w:rPr>
      </w:pPr>
      <w:r w:rsidRPr="00CC12E6">
        <w:rPr>
          <w:rFonts w:eastAsia="Arial"/>
          <w:b/>
          <w:sz w:val="20"/>
          <w:szCs w:val="20"/>
        </w:rPr>
        <w:t xml:space="preserve">Table 1. Demographic and medical data of the two groups: altered and normal BP measurements.  </w:t>
      </w:r>
    </w:p>
    <w:tbl>
      <w:tblPr>
        <w:tblStyle w:val="Table1"/>
        <w:tblpPr w:leftFromText="141" w:rightFromText="141" w:vertAnchor="text" w:horzAnchor="margin" w:tblpY="206"/>
        <w:tblW w:w="8057" w:type="dxa"/>
        <w:tblInd w:w="0" w:type="dxa"/>
        <w:tblLayout w:type="fixed"/>
        <w:tblLook w:val="0400" w:firstRow="0" w:lastRow="0" w:firstColumn="0" w:lastColumn="0" w:noHBand="0" w:noVBand="1"/>
      </w:tblPr>
      <w:tblGrid>
        <w:gridCol w:w="2552"/>
        <w:gridCol w:w="850"/>
        <w:gridCol w:w="2115"/>
        <w:gridCol w:w="1287"/>
        <w:gridCol w:w="1253"/>
      </w:tblGrid>
      <w:tr w:rsidR="005B06D6" w:rsidRPr="00CC12E6" w14:paraId="5B5DA1C4" w14:textId="77777777" w:rsidTr="005B06D6">
        <w:trPr>
          <w:trHeight w:val="315"/>
        </w:trPr>
        <w:tc>
          <w:tcPr>
            <w:tcW w:w="2552" w:type="dxa"/>
            <w:tcBorders>
              <w:top w:val="single" w:sz="8" w:space="0" w:color="000000"/>
              <w:left w:val="nil"/>
              <w:bottom w:val="nil"/>
              <w:right w:val="nil"/>
            </w:tcBorders>
            <w:shd w:val="clear" w:color="auto" w:fill="auto"/>
            <w:vAlign w:val="bottom"/>
          </w:tcPr>
          <w:p w14:paraId="476FC50C"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 </w:t>
            </w:r>
          </w:p>
        </w:tc>
        <w:tc>
          <w:tcPr>
            <w:tcW w:w="850" w:type="dxa"/>
            <w:tcBorders>
              <w:top w:val="single" w:sz="8" w:space="0" w:color="000000"/>
              <w:left w:val="nil"/>
              <w:bottom w:val="nil"/>
              <w:right w:val="single" w:sz="4" w:space="0" w:color="000000"/>
            </w:tcBorders>
            <w:shd w:val="clear" w:color="auto" w:fill="auto"/>
            <w:vAlign w:val="bottom"/>
          </w:tcPr>
          <w:p w14:paraId="25E72A5A"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 </w:t>
            </w:r>
          </w:p>
        </w:tc>
        <w:tc>
          <w:tcPr>
            <w:tcW w:w="3402" w:type="dxa"/>
            <w:gridSpan w:val="2"/>
            <w:tcBorders>
              <w:top w:val="single" w:sz="8" w:space="0" w:color="000000"/>
              <w:left w:val="nil"/>
              <w:bottom w:val="nil"/>
              <w:right w:val="single" w:sz="4" w:space="0" w:color="000000"/>
            </w:tcBorders>
            <w:shd w:val="clear" w:color="auto" w:fill="auto"/>
            <w:vAlign w:val="bottom"/>
          </w:tcPr>
          <w:p w14:paraId="3050776B"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BP</w:t>
            </w:r>
          </w:p>
        </w:tc>
        <w:tc>
          <w:tcPr>
            <w:tcW w:w="1253" w:type="dxa"/>
            <w:tcBorders>
              <w:top w:val="single" w:sz="8" w:space="0" w:color="000000"/>
              <w:left w:val="nil"/>
              <w:bottom w:val="nil"/>
              <w:right w:val="nil"/>
            </w:tcBorders>
            <w:shd w:val="clear" w:color="auto" w:fill="auto"/>
            <w:vAlign w:val="bottom"/>
          </w:tcPr>
          <w:p w14:paraId="1A020A9B"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 </w:t>
            </w:r>
          </w:p>
        </w:tc>
      </w:tr>
      <w:tr w:rsidR="005B06D6" w:rsidRPr="00CC12E6" w14:paraId="5FAA87F1" w14:textId="77777777" w:rsidTr="005B06D6">
        <w:trPr>
          <w:trHeight w:val="315"/>
        </w:trPr>
        <w:tc>
          <w:tcPr>
            <w:tcW w:w="2552" w:type="dxa"/>
            <w:tcBorders>
              <w:top w:val="nil"/>
              <w:left w:val="nil"/>
              <w:bottom w:val="single" w:sz="4" w:space="0" w:color="000000"/>
              <w:right w:val="nil"/>
            </w:tcBorders>
            <w:shd w:val="clear" w:color="auto" w:fill="auto"/>
            <w:vAlign w:val="bottom"/>
          </w:tcPr>
          <w:p w14:paraId="3213C4A8"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Characteristics</w:t>
            </w:r>
          </w:p>
        </w:tc>
        <w:tc>
          <w:tcPr>
            <w:tcW w:w="850" w:type="dxa"/>
            <w:tcBorders>
              <w:top w:val="nil"/>
              <w:left w:val="nil"/>
              <w:bottom w:val="single" w:sz="4" w:space="0" w:color="000000"/>
              <w:right w:val="single" w:sz="4" w:space="0" w:color="000000"/>
            </w:tcBorders>
            <w:shd w:val="clear" w:color="auto" w:fill="auto"/>
            <w:vAlign w:val="bottom"/>
          </w:tcPr>
          <w:p w14:paraId="3B6C1C73"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 xml:space="preserve"> </w:t>
            </w:r>
          </w:p>
        </w:tc>
        <w:tc>
          <w:tcPr>
            <w:tcW w:w="2115" w:type="dxa"/>
            <w:tcBorders>
              <w:top w:val="nil"/>
              <w:left w:val="nil"/>
              <w:bottom w:val="single" w:sz="4" w:space="0" w:color="000000"/>
              <w:right w:val="nil"/>
            </w:tcBorders>
            <w:shd w:val="clear" w:color="auto" w:fill="auto"/>
            <w:vAlign w:val="bottom"/>
          </w:tcPr>
          <w:p w14:paraId="3D8C4331"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Altered*</w:t>
            </w:r>
          </w:p>
        </w:tc>
        <w:tc>
          <w:tcPr>
            <w:tcW w:w="1287" w:type="dxa"/>
            <w:tcBorders>
              <w:top w:val="nil"/>
              <w:left w:val="nil"/>
              <w:bottom w:val="single" w:sz="4" w:space="0" w:color="000000"/>
              <w:right w:val="single" w:sz="4" w:space="0" w:color="000000"/>
            </w:tcBorders>
            <w:shd w:val="clear" w:color="auto" w:fill="auto"/>
            <w:vAlign w:val="bottom"/>
          </w:tcPr>
          <w:p w14:paraId="48FA795B"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Normal</w:t>
            </w:r>
          </w:p>
        </w:tc>
        <w:tc>
          <w:tcPr>
            <w:tcW w:w="1253" w:type="dxa"/>
            <w:tcBorders>
              <w:top w:val="nil"/>
              <w:left w:val="nil"/>
              <w:bottom w:val="single" w:sz="4" w:space="0" w:color="000000"/>
              <w:right w:val="nil"/>
            </w:tcBorders>
            <w:shd w:val="clear" w:color="auto" w:fill="auto"/>
            <w:vAlign w:val="bottom"/>
          </w:tcPr>
          <w:p w14:paraId="4C0E67A2"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p-value</w:t>
            </w:r>
          </w:p>
        </w:tc>
      </w:tr>
      <w:tr w:rsidR="005B06D6" w:rsidRPr="00CC12E6" w14:paraId="2C09DBFB" w14:textId="77777777" w:rsidTr="005B06D6">
        <w:trPr>
          <w:trHeight w:val="315"/>
        </w:trPr>
        <w:tc>
          <w:tcPr>
            <w:tcW w:w="2552" w:type="dxa"/>
            <w:tcBorders>
              <w:top w:val="nil"/>
              <w:left w:val="nil"/>
              <w:bottom w:val="nil"/>
              <w:right w:val="nil"/>
            </w:tcBorders>
            <w:shd w:val="clear" w:color="auto" w:fill="auto"/>
            <w:vAlign w:val="bottom"/>
          </w:tcPr>
          <w:p w14:paraId="2C2E1D71"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Pain</w:t>
            </w:r>
          </w:p>
        </w:tc>
        <w:tc>
          <w:tcPr>
            <w:tcW w:w="850" w:type="dxa"/>
            <w:tcBorders>
              <w:top w:val="nil"/>
              <w:left w:val="nil"/>
              <w:bottom w:val="nil"/>
              <w:right w:val="single" w:sz="4" w:space="0" w:color="000000"/>
            </w:tcBorders>
            <w:shd w:val="clear" w:color="auto" w:fill="auto"/>
            <w:vAlign w:val="bottom"/>
          </w:tcPr>
          <w:p w14:paraId="002C3951"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3B9F93E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36 (80.0%)</w:t>
            </w:r>
          </w:p>
        </w:tc>
        <w:tc>
          <w:tcPr>
            <w:tcW w:w="1287" w:type="dxa"/>
            <w:tcBorders>
              <w:top w:val="nil"/>
              <w:left w:val="nil"/>
              <w:bottom w:val="nil"/>
              <w:right w:val="single" w:sz="4" w:space="0" w:color="000000"/>
            </w:tcBorders>
            <w:shd w:val="clear" w:color="auto" w:fill="auto"/>
            <w:vAlign w:val="bottom"/>
          </w:tcPr>
          <w:p w14:paraId="73FA80C0"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21 (70.0%)</w:t>
            </w:r>
          </w:p>
        </w:tc>
        <w:tc>
          <w:tcPr>
            <w:tcW w:w="1253" w:type="dxa"/>
            <w:tcBorders>
              <w:top w:val="nil"/>
              <w:left w:val="nil"/>
              <w:bottom w:val="nil"/>
              <w:right w:val="nil"/>
            </w:tcBorders>
            <w:shd w:val="clear" w:color="auto" w:fill="auto"/>
            <w:vAlign w:val="bottom"/>
          </w:tcPr>
          <w:p w14:paraId="6C2A40EE"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0.4100</w:t>
            </w:r>
          </w:p>
        </w:tc>
      </w:tr>
      <w:tr w:rsidR="005B06D6" w:rsidRPr="00CC12E6" w14:paraId="764A377A" w14:textId="77777777" w:rsidTr="005B06D6">
        <w:trPr>
          <w:trHeight w:val="315"/>
        </w:trPr>
        <w:tc>
          <w:tcPr>
            <w:tcW w:w="2552" w:type="dxa"/>
            <w:tcBorders>
              <w:top w:val="nil"/>
              <w:left w:val="nil"/>
              <w:bottom w:val="single" w:sz="4" w:space="0" w:color="000000"/>
              <w:right w:val="nil"/>
            </w:tcBorders>
            <w:shd w:val="clear" w:color="auto" w:fill="auto"/>
            <w:vAlign w:val="bottom"/>
          </w:tcPr>
          <w:p w14:paraId="1148E6D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34CD1BA7"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3BAAA312"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9 (20.0%)</w:t>
            </w:r>
          </w:p>
        </w:tc>
        <w:tc>
          <w:tcPr>
            <w:tcW w:w="1287" w:type="dxa"/>
            <w:tcBorders>
              <w:top w:val="nil"/>
              <w:left w:val="nil"/>
              <w:bottom w:val="single" w:sz="4" w:space="0" w:color="000000"/>
              <w:right w:val="single" w:sz="4" w:space="0" w:color="000000"/>
            </w:tcBorders>
            <w:shd w:val="clear" w:color="auto" w:fill="auto"/>
            <w:vAlign w:val="bottom"/>
          </w:tcPr>
          <w:p w14:paraId="1C3EB55E"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9 (30.0%)</w:t>
            </w:r>
          </w:p>
        </w:tc>
        <w:tc>
          <w:tcPr>
            <w:tcW w:w="1253" w:type="dxa"/>
            <w:tcBorders>
              <w:top w:val="nil"/>
              <w:left w:val="nil"/>
              <w:bottom w:val="single" w:sz="4" w:space="0" w:color="000000"/>
              <w:right w:val="nil"/>
            </w:tcBorders>
            <w:shd w:val="clear" w:color="auto" w:fill="auto"/>
            <w:vAlign w:val="bottom"/>
          </w:tcPr>
          <w:p w14:paraId="2CC0AA18"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0CDB779B" w14:textId="77777777" w:rsidTr="005B06D6">
        <w:trPr>
          <w:trHeight w:val="315"/>
        </w:trPr>
        <w:tc>
          <w:tcPr>
            <w:tcW w:w="2552" w:type="dxa"/>
            <w:tcBorders>
              <w:top w:val="nil"/>
              <w:left w:val="nil"/>
              <w:bottom w:val="nil"/>
              <w:right w:val="nil"/>
            </w:tcBorders>
            <w:shd w:val="clear" w:color="auto" w:fill="auto"/>
            <w:vAlign w:val="bottom"/>
          </w:tcPr>
          <w:p w14:paraId="183F3E95"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xml:space="preserve">Dental Anxiety </w:t>
            </w:r>
          </w:p>
        </w:tc>
        <w:tc>
          <w:tcPr>
            <w:tcW w:w="850" w:type="dxa"/>
            <w:tcBorders>
              <w:top w:val="nil"/>
              <w:left w:val="nil"/>
              <w:bottom w:val="nil"/>
              <w:right w:val="single" w:sz="4" w:space="0" w:color="000000"/>
            </w:tcBorders>
            <w:shd w:val="clear" w:color="auto" w:fill="auto"/>
            <w:vAlign w:val="bottom"/>
          </w:tcPr>
          <w:p w14:paraId="4D5085F6"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2530122C"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20 (44.4%)</w:t>
            </w:r>
          </w:p>
        </w:tc>
        <w:tc>
          <w:tcPr>
            <w:tcW w:w="1287" w:type="dxa"/>
            <w:tcBorders>
              <w:top w:val="nil"/>
              <w:left w:val="nil"/>
              <w:bottom w:val="nil"/>
              <w:right w:val="single" w:sz="4" w:space="0" w:color="000000"/>
            </w:tcBorders>
            <w:shd w:val="clear" w:color="auto" w:fill="auto"/>
            <w:vAlign w:val="bottom"/>
          </w:tcPr>
          <w:p w14:paraId="4035F9BA"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9 (30.0%)</w:t>
            </w:r>
          </w:p>
        </w:tc>
        <w:tc>
          <w:tcPr>
            <w:tcW w:w="1253" w:type="dxa"/>
            <w:tcBorders>
              <w:top w:val="nil"/>
              <w:left w:val="nil"/>
              <w:bottom w:val="nil"/>
              <w:right w:val="nil"/>
            </w:tcBorders>
            <w:shd w:val="clear" w:color="auto" w:fill="auto"/>
            <w:vAlign w:val="bottom"/>
          </w:tcPr>
          <w:p w14:paraId="71BA22F1"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0.2352</w:t>
            </w:r>
          </w:p>
        </w:tc>
      </w:tr>
      <w:tr w:rsidR="005B06D6" w:rsidRPr="00CC12E6" w14:paraId="14104CB2" w14:textId="77777777" w:rsidTr="005B06D6">
        <w:trPr>
          <w:trHeight w:val="315"/>
        </w:trPr>
        <w:tc>
          <w:tcPr>
            <w:tcW w:w="2552" w:type="dxa"/>
            <w:tcBorders>
              <w:top w:val="nil"/>
              <w:left w:val="nil"/>
              <w:bottom w:val="single" w:sz="4" w:space="0" w:color="000000"/>
              <w:right w:val="nil"/>
            </w:tcBorders>
            <w:shd w:val="clear" w:color="auto" w:fill="auto"/>
            <w:vAlign w:val="bottom"/>
          </w:tcPr>
          <w:p w14:paraId="5A88391E"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37041C80"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33C623D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25 (55.6%)</w:t>
            </w:r>
          </w:p>
        </w:tc>
        <w:tc>
          <w:tcPr>
            <w:tcW w:w="1287" w:type="dxa"/>
            <w:tcBorders>
              <w:top w:val="nil"/>
              <w:left w:val="nil"/>
              <w:bottom w:val="single" w:sz="4" w:space="0" w:color="000000"/>
              <w:right w:val="single" w:sz="4" w:space="0" w:color="000000"/>
            </w:tcBorders>
            <w:shd w:val="clear" w:color="auto" w:fill="auto"/>
            <w:vAlign w:val="bottom"/>
          </w:tcPr>
          <w:p w14:paraId="535A5BBA"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21 (70.0%)</w:t>
            </w:r>
          </w:p>
        </w:tc>
        <w:tc>
          <w:tcPr>
            <w:tcW w:w="1253" w:type="dxa"/>
            <w:tcBorders>
              <w:top w:val="nil"/>
              <w:left w:val="nil"/>
              <w:bottom w:val="single" w:sz="4" w:space="0" w:color="000000"/>
              <w:right w:val="nil"/>
            </w:tcBorders>
            <w:shd w:val="clear" w:color="auto" w:fill="auto"/>
            <w:vAlign w:val="bottom"/>
          </w:tcPr>
          <w:p w14:paraId="4C7DE03C"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3412D291" w14:textId="77777777" w:rsidTr="005B06D6">
        <w:trPr>
          <w:trHeight w:val="315"/>
        </w:trPr>
        <w:tc>
          <w:tcPr>
            <w:tcW w:w="2552" w:type="dxa"/>
            <w:tcBorders>
              <w:top w:val="nil"/>
              <w:left w:val="nil"/>
              <w:bottom w:val="nil"/>
              <w:right w:val="nil"/>
            </w:tcBorders>
            <w:shd w:val="clear" w:color="auto" w:fill="auto"/>
            <w:vAlign w:val="bottom"/>
          </w:tcPr>
          <w:p w14:paraId="505AF58C"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Hypertension</w:t>
            </w:r>
          </w:p>
        </w:tc>
        <w:tc>
          <w:tcPr>
            <w:tcW w:w="850" w:type="dxa"/>
            <w:tcBorders>
              <w:top w:val="nil"/>
              <w:left w:val="nil"/>
              <w:bottom w:val="nil"/>
              <w:right w:val="single" w:sz="4" w:space="0" w:color="000000"/>
            </w:tcBorders>
            <w:shd w:val="clear" w:color="auto" w:fill="auto"/>
            <w:vAlign w:val="bottom"/>
          </w:tcPr>
          <w:p w14:paraId="4C8ACE21"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0412B2C4"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13 (28.9%)</w:t>
            </w:r>
          </w:p>
        </w:tc>
        <w:tc>
          <w:tcPr>
            <w:tcW w:w="1287" w:type="dxa"/>
            <w:tcBorders>
              <w:top w:val="nil"/>
              <w:left w:val="nil"/>
              <w:bottom w:val="nil"/>
              <w:right w:val="single" w:sz="4" w:space="0" w:color="000000"/>
            </w:tcBorders>
            <w:shd w:val="clear" w:color="auto" w:fill="auto"/>
            <w:vAlign w:val="bottom"/>
          </w:tcPr>
          <w:p w14:paraId="5C60B675"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 (3.3%)</w:t>
            </w:r>
          </w:p>
        </w:tc>
        <w:tc>
          <w:tcPr>
            <w:tcW w:w="1253" w:type="dxa"/>
            <w:tcBorders>
              <w:top w:val="nil"/>
              <w:left w:val="nil"/>
              <w:bottom w:val="nil"/>
              <w:right w:val="nil"/>
            </w:tcBorders>
            <w:shd w:val="clear" w:color="auto" w:fill="auto"/>
            <w:vAlign w:val="bottom"/>
          </w:tcPr>
          <w:p w14:paraId="05449B9F" w14:textId="77777777" w:rsidR="005B06D6" w:rsidRPr="00CC12E6" w:rsidRDefault="005B06D6" w:rsidP="005B06D6">
            <w:pPr>
              <w:jc w:val="both"/>
              <w:rPr>
                <w:rFonts w:eastAsia="Calibri"/>
                <w:b/>
                <w:color w:val="000000"/>
                <w:sz w:val="20"/>
                <w:szCs w:val="20"/>
              </w:rPr>
            </w:pPr>
            <w:r w:rsidRPr="00CC12E6">
              <w:rPr>
                <w:rFonts w:eastAsia="Calibri"/>
                <w:b/>
                <w:color w:val="000000"/>
                <w:sz w:val="20"/>
                <w:szCs w:val="20"/>
              </w:rPr>
              <w:t>0.0057</w:t>
            </w:r>
          </w:p>
        </w:tc>
      </w:tr>
      <w:tr w:rsidR="005B06D6" w:rsidRPr="00CC12E6" w14:paraId="6A73BCA2" w14:textId="77777777" w:rsidTr="005B06D6">
        <w:trPr>
          <w:trHeight w:val="315"/>
        </w:trPr>
        <w:tc>
          <w:tcPr>
            <w:tcW w:w="2552" w:type="dxa"/>
            <w:tcBorders>
              <w:top w:val="nil"/>
              <w:left w:val="nil"/>
              <w:bottom w:val="single" w:sz="4" w:space="0" w:color="000000"/>
              <w:right w:val="nil"/>
            </w:tcBorders>
            <w:shd w:val="clear" w:color="auto" w:fill="auto"/>
            <w:vAlign w:val="bottom"/>
          </w:tcPr>
          <w:p w14:paraId="5124DA2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0DD28721"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6096B8D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32 (71.1%)</w:t>
            </w:r>
          </w:p>
        </w:tc>
        <w:tc>
          <w:tcPr>
            <w:tcW w:w="1287" w:type="dxa"/>
            <w:tcBorders>
              <w:top w:val="nil"/>
              <w:left w:val="nil"/>
              <w:bottom w:val="single" w:sz="4" w:space="0" w:color="000000"/>
              <w:right w:val="single" w:sz="4" w:space="0" w:color="000000"/>
            </w:tcBorders>
            <w:shd w:val="clear" w:color="auto" w:fill="auto"/>
            <w:vAlign w:val="bottom"/>
          </w:tcPr>
          <w:p w14:paraId="113E886C"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29 (96.7%)</w:t>
            </w:r>
          </w:p>
        </w:tc>
        <w:tc>
          <w:tcPr>
            <w:tcW w:w="1253" w:type="dxa"/>
            <w:tcBorders>
              <w:top w:val="nil"/>
              <w:left w:val="nil"/>
              <w:bottom w:val="single" w:sz="4" w:space="0" w:color="000000"/>
              <w:right w:val="nil"/>
            </w:tcBorders>
            <w:shd w:val="clear" w:color="auto" w:fill="auto"/>
            <w:vAlign w:val="bottom"/>
          </w:tcPr>
          <w:p w14:paraId="27044910"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6DFF9C06" w14:textId="77777777" w:rsidTr="005B06D6">
        <w:trPr>
          <w:trHeight w:val="315"/>
        </w:trPr>
        <w:tc>
          <w:tcPr>
            <w:tcW w:w="2552" w:type="dxa"/>
            <w:tcBorders>
              <w:top w:val="nil"/>
              <w:left w:val="nil"/>
              <w:bottom w:val="nil"/>
              <w:right w:val="nil"/>
            </w:tcBorders>
            <w:shd w:val="clear" w:color="auto" w:fill="auto"/>
            <w:vAlign w:val="bottom"/>
          </w:tcPr>
          <w:p w14:paraId="75187A2D"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Family history</w:t>
            </w:r>
          </w:p>
        </w:tc>
        <w:tc>
          <w:tcPr>
            <w:tcW w:w="850" w:type="dxa"/>
            <w:tcBorders>
              <w:top w:val="nil"/>
              <w:left w:val="nil"/>
              <w:bottom w:val="nil"/>
              <w:right w:val="single" w:sz="4" w:space="0" w:color="000000"/>
            </w:tcBorders>
            <w:shd w:val="clear" w:color="auto" w:fill="auto"/>
            <w:vAlign w:val="bottom"/>
          </w:tcPr>
          <w:p w14:paraId="4713FCB2"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64D2052A"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24 (53.3%)</w:t>
            </w:r>
          </w:p>
        </w:tc>
        <w:tc>
          <w:tcPr>
            <w:tcW w:w="1287" w:type="dxa"/>
            <w:tcBorders>
              <w:top w:val="nil"/>
              <w:left w:val="nil"/>
              <w:bottom w:val="nil"/>
              <w:right w:val="single" w:sz="4" w:space="0" w:color="000000"/>
            </w:tcBorders>
            <w:shd w:val="clear" w:color="auto" w:fill="auto"/>
            <w:vAlign w:val="bottom"/>
          </w:tcPr>
          <w:p w14:paraId="681D078E"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15 (50.0%)</w:t>
            </w:r>
          </w:p>
        </w:tc>
        <w:tc>
          <w:tcPr>
            <w:tcW w:w="1253" w:type="dxa"/>
            <w:tcBorders>
              <w:top w:val="nil"/>
              <w:left w:val="nil"/>
              <w:bottom w:val="nil"/>
              <w:right w:val="nil"/>
            </w:tcBorders>
            <w:shd w:val="clear" w:color="auto" w:fill="auto"/>
            <w:vAlign w:val="bottom"/>
          </w:tcPr>
          <w:p w14:paraId="3CB7B09F"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0.8169</w:t>
            </w:r>
          </w:p>
        </w:tc>
      </w:tr>
      <w:tr w:rsidR="005B06D6" w:rsidRPr="00CC12E6" w14:paraId="70F032F3" w14:textId="77777777" w:rsidTr="005B06D6">
        <w:trPr>
          <w:trHeight w:val="315"/>
        </w:trPr>
        <w:tc>
          <w:tcPr>
            <w:tcW w:w="2552" w:type="dxa"/>
            <w:tcBorders>
              <w:top w:val="nil"/>
              <w:left w:val="nil"/>
              <w:bottom w:val="single" w:sz="4" w:space="0" w:color="000000"/>
              <w:right w:val="nil"/>
            </w:tcBorders>
            <w:shd w:val="clear" w:color="auto" w:fill="auto"/>
            <w:vAlign w:val="bottom"/>
          </w:tcPr>
          <w:p w14:paraId="02119156"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77014D28"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07F9EB3A"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21 (46.7%)</w:t>
            </w:r>
          </w:p>
        </w:tc>
        <w:tc>
          <w:tcPr>
            <w:tcW w:w="1287" w:type="dxa"/>
            <w:tcBorders>
              <w:top w:val="nil"/>
              <w:left w:val="nil"/>
              <w:bottom w:val="single" w:sz="4" w:space="0" w:color="000000"/>
              <w:right w:val="single" w:sz="4" w:space="0" w:color="000000"/>
            </w:tcBorders>
            <w:shd w:val="clear" w:color="auto" w:fill="auto"/>
            <w:vAlign w:val="bottom"/>
          </w:tcPr>
          <w:p w14:paraId="19C1C57F"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15 (50.0%)</w:t>
            </w:r>
          </w:p>
        </w:tc>
        <w:tc>
          <w:tcPr>
            <w:tcW w:w="1253" w:type="dxa"/>
            <w:tcBorders>
              <w:top w:val="nil"/>
              <w:left w:val="nil"/>
              <w:bottom w:val="single" w:sz="4" w:space="0" w:color="000000"/>
              <w:right w:val="nil"/>
            </w:tcBorders>
            <w:shd w:val="clear" w:color="auto" w:fill="auto"/>
            <w:vAlign w:val="bottom"/>
          </w:tcPr>
          <w:p w14:paraId="39C2602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07003638" w14:textId="77777777" w:rsidTr="005B06D6">
        <w:trPr>
          <w:trHeight w:val="315"/>
        </w:trPr>
        <w:tc>
          <w:tcPr>
            <w:tcW w:w="2552" w:type="dxa"/>
            <w:tcBorders>
              <w:top w:val="nil"/>
              <w:left w:val="nil"/>
              <w:bottom w:val="nil"/>
              <w:right w:val="nil"/>
            </w:tcBorders>
            <w:shd w:val="clear" w:color="auto" w:fill="auto"/>
            <w:vAlign w:val="bottom"/>
          </w:tcPr>
          <w:p w14:paraId="49DF929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Gastritis</w:t>
            </w:r>
          </w:p>
        </w:tc>
        <w:tc>
          <w:tcPr>
            <w:tcW w:w="850" w:type="dxa"/>
            <w:tcBorders>
              <w:top w:val="nil"/>
              <w:left w:val="nil"/>
              <w:bottom w:val="nil"/>
              <w:right w:val="single" w:sz="4" w:space="0" w:color="000000"/>
            </w:tcBorders>
            <w:shd w:val="clear" w:color="auto" w:fill="auto"/>
            <w:vAlign w:val="bottom"/>
          </w:tcPr>
          <w:p w14:paraId="21082797"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50E3992E"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 (4.4%)</w:t>
            </w:r>
          </w:p>
        </w:tc>
        <w:tc>
          <w:tcPr>
            <w:tcW w:w="1287" w:type="dxa"/>
            <w:tcBorders>
              <w:top w:val="nil"/>
              <w:left w:val="nil"/>
              <w:bottom w:val="nil"/>
              <w:right w:val="single" w:sz="4" w:space="0" w:color="000000"/>
            </w:tcBorders>
            <w:shd w:val="clear" w:color="auto" w:fill="auto"/>
            <w:vAlign w:val="bottom"/>
          </w:tcPr>
          <w:p w14:paraId="467864EF"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6 (20.0%)</w:t>
            </w:r>
          </w:p>
        </w:tc>
        <w:tc>
          <w:tcPr>
            <w:tcW w:w="1253" w:type="dxa"/>
            <w:tcBorders>
              <w:top w:val="nil"/>
              <w:left w:val="nil"/>
              <w:bottom w:val="nil"/>
              <w:right w:val="nil"/>
            </w:tcBorders>
            <w:shd w:val="clear" w:color="auto" w:fill="auto"/>
            <w:vAlign w:val="bottom"/>
          </w:tcPr>
          <w:p w14:paraId="13C4FBE5"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0.0534</w:t>
            </w:r>
          </w:p>
        </w:tc>
      </w:tr>
      <w:tr w:rsidR="005B06D6" w:rsidRPr="00CC12E6" w14:paraId="796B8931" w14:textId="77777777" w:rsidTr="005B06D6">
        <w:trPr>
          <w:trHeight w:val="315"/>
        </w:trPr>
        <w:tc>
          <w:tcPr>
            <w:tcW w:w="2552" w:type="dxa"/>
            <w:tcBorders>
              <w:top w:val="nil"/>
              <w:left w:val="nil"/>
              <w:bottom w:val="single" w:sz="4" w:space="0" w:color="000000"/>
              <w:right w:val="nil"/>
            </w:tcBorders>
            <w:shd w:val="clear" w:color="auto" w:fill="auto"/>
            <w:vAlign w:val="bottom"/>
          </w:tcPr>
          <w:p w14:paraId="2E2CB466"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04116D6C"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2B9F7CD6"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43 (95.6%)</w:t>
            </w:r>
          </w:p>
        </w:tc>
        <w:tc>
          <w:tcPr>
            <w:tcW w:w="1287" w:type="dxa"/>
            <w:tcBorders>
              <w:top w:val="nil"/>
              <w:left w:val="nil"/>
              <w:bottom w:val="single" w:sz="4" w:space="0" w:color="000000"/>
              <w:right w:val="single" w:sz="4" w:space="0" w:color="000000"/>
            </w:tcBorders>
            <w:shd w:val="clear" w:color="auto" w:fill="auto"/>
            <w:vAlign w:val="bottom"/>
          </w:tcPr>
          <w:p w14:paraId="2084E4DA"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24 (80.0%)</w:t>
            </w:r>
          </w:p>
        </w:tc>
        <w:tc>
          <w:tcPr>
            <w:tcW w:w="1253" w:type="dxa"/>
            <w:tcBorders>
              <w:top w:val="nil"/>
              <w:left w:val="nil"/>
              <w:bottom w:val="single" w:sz="4" w:space="0" w:color="000000"/>
              <w:right w:val="nil"/>
            </w:tcBorders>
            <w:shd w:val="clear" w:color="auto" w:fill="auto"/>
            <w:vAlign w:val="bottom"/>
          </w:tcPr>
          <w:p w14:paraId="254C4122"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65A4C7AC" w14:textId="77777777" w:rsidTr="005B06D6">
        <w:trPr>
          <w:trHeight w:val="315"/>
        </w:trPr>
        <w:tc>
          <w:tcPr>
            <w:tcW w:w="2552" w:type="dxa"/>
            <w:tcBorders>
              <w:top w:val="nil"/>
              <w:left w:val="nil"/>
              <w:bottom w:val="nil"/>
              <w:right w:val="nil"/>
            </w:tcBorders>
            <w:shd w:val="clear" w:color="auto" w:fill="auto"/>
            <w:vAlign w:val="bottom"/>
          </w:tcPr>
          <w:p w14:paraId="2D7B26D2"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Diabetes</w:t>
            </w:r>
          </w:p>
        </w:tc>
        <w:tc>
          <w:tcPr>
            <w:tcW w:w="850" w:type="dxa"/>
            <w:tcBorders>
              <w:top w:val="nil"/>
              <w:left w:val="nil"/>
              <w:bottom w:val="nil"/>
              <w:right w:val="single" w:sz="4" w:space="0" w:color="000000"/>
            </w:tcBorders>
            <w:shd w:val="clear" w:color="auto" w:fill="auto"/>
            <w:vAlign w:val="bottom"/>
          </w:tcPr>
          <w:p w14:paraId="688D1017"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06AF3F57"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5 (11.1%)</w:t>
            </w:r>
          </w:p>
        </w:tc>
        <w:tc>
          <w:tcPr>
            <w:tcW w:w="1287" w:type="dxa"/>
            <w:tcBorders>
              <w:top w:val="nil"/>
              <w:left w:val="nil"/>
              <w:bottom w:val="nil"/>
              <w:right w:val="single" w:sz="4" w:space="0" w:color="000000"/>
            </w:tcBorders>
            <w:shd w:val="clear" w:color="auto" w:fill="auto"/>
            <w:vAlign w:val="bottom"/>
          </w:tcPr>
          <w:p w14:paraId="0C1D9F30"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 (3.3%)</w:t>
            </w:r>
          </w:p>
        </w:tc>
        <w:tc>
          <w:tcPr>
            <w:tcW w:w="1253" w:type="dxa"/>
            <w:tcBorders>
              <w:top w:val="nil"/>
              <w:left w:val="nil"/>
              <w:bottom w:val="nil"/>
              <w:right w:val="nil"/>
            </w:tcBorders>
            <w:shd w:val="clear" w:color="auto" w:fill="auto"/>
            <w:vAlign w:val="bottom"/>
          </w:tcPr>
          <w:p w14:paraId="677098DA"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0.3920</w:t>
            </w:r>
          </w:p>
        </w:tc>
      </w:tr>
      <w:tr w:rsidR="005B06D6" w:rsidRPr="00CC12E6" w14:paraId="1CFCB443" w14:textId="77777777" w:rsidTr="005B06D6">
        <w:trPr>
          <w:trHeight w:val="315"/>
        </w:trPr>
        <w:tc>
          <w:tcPr>
            <w:tcW w:w="2552" w:type="dxa"/>
            <w:tcBorders>
              <w:top w:val="nil"/>
              <w:left w:val="nil"/>
              <w:bottom w:val="single" w:sz="4" w:space="0" w:color="000000"/>
              <w:right w:val="nil"/>
            </w:tcBorders>
            <w:shd w:val="clear" w:color="auto" w:fill="auto"/>
            <w:vAlign w:val="bottom"/>
          </w:tcPr>
          <w:p w14:paraId="7D8D0193"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25825A6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14D371A6"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40 (88.9%)</w:t>
            </w:r>
          </w:p>
        </w:tc>
        <w:tc>
          <w:tcPr>
            <w:tcW w:w="1287" w:type="dxa"/>
            <w:tcBorders>
              <w:top w:val="nil"/>
              <w:left w:val="nil"/>
              <w:bottom w:val="single" w:sz="4" w:space="0" w:color="000000"/>
              <w:right w:val="single" w:sz="4" w:space="0" w:color="000000"/>
            </w:tcBorders>
            <w:shd w:val="clear" w:color="auto" w:fill="auto"/>
            <w:vAlign w:val="bottom"/>
          </w:tcPr>
          <w:p w14:paraId="0EBB9851"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29 (96.7%)</w:t>
            </w:r>
          </w:p>
        </w:tc>
        <w:tc>
          <w:tcPr>
            <w:tcW w:w="1253" w:type="dxa"/>
            <w:tcBorders>
              <w:top w:val="nil"/>
              <w:left w:val="nil"/>
              <w:bottom w:val="single" w:sz="4" w:space="0" w:color="000000"/>
              <w:right w:val="nil"/>
            </w:tcBorders>
            <w:shd w:val="clear" w:color="auto" w:fill="auto"/>
            <w:vAlign w:val="bottom"/>
          </w:tcPr>
          <w:p w14:paraId="4DCF18F1"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4C809CF1" w14:textId="77777777" w:rsidTr="005B06D6">
        <w:trPr>
          <w:trHeight w:val="315"/>
        </w:trPr>
        <w:tc>
          <w:tcPr>
            <w:tcW w:w="2552" w:type="dxa"/>
            <w:tcBorders>
              <w:top w:val="nil"/>
              <w:left w:val="nil"/>
              <w:bottom w:val="nil"/>
              <w:right w:val="nil"/>
            </w:tcBorders>
            <w:shd w:val="clear" w:color="auto" w:fill="auto"/>
            <w:vAlign w:val="bottom"/>
          </w:tcPr>
          <w:p w14:paraId="259C3899"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Smoking</w:t>
            </w:r>
          </w:p>
        </w:tc>
        <w:tc>
          <w:tcPr>
            <w:tcW w:w="850" w:type="dxa"/>
            <w:tcBorders>
              <w:top w:val="nil"/>
              <w:left w:val="nil"/>
              <w:bottom w:val="nil"/>
              <w:right w:val="single" w:sz="4" w:space="0" w:color="000000"/>
            </w:tcBorders>
            <w:shd w:val="clear" w:color="auto" w:fill="auto"/>
            <w:vAlign w:val="bottom"/>
          </w:tcPr>
          <w:p w14:paraId="7533F948"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65EF25B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8 (17.8%)</w:t>
            </w:r>
          </w:p>
        </w:tc>
        <w:tc>
          <w:tcPr>
            <w:tcW w:w="1287" w:type="dxa"/>
            <w:tcBorders>
              <w:top w:val="nil"/>
              <w:left w:val="nil"/>
              <w:bottom w:val="nil"/>
              <w:right w:val="single" w:sz="4" w:space="0" w:color="000000"/>
            </w:tcBorders>
            <w:shd w:val="clear" w:color="auto" w:fill="auto"/>
            <w:vAlign w:val="bottom"/>
          </w:tcPr>
          <w:p w14:paraId="22876A66"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6 (20.0%)</w:t>
            </w:r>
          </w:p>
        </w:tc>
        <w:tc>
          <w:tcPr>
            <w:tcW w:w="1253" w:type="dxa"/>
            <w:tcBorders>
              <w:top w:val="nil"/>
              <w:left w:val="nil"/>
              <w:bottom w:val="nil"/>
              <w:right w:val="nil"/>
            </w:tcBorders>
            <w:shd w:val="clear" w:color="auto" w:fill="auto"/>
            <w:vAlign w:val="bottom"/>
          </w:tcPr>
          <w:p w14:paraId="4009A15F"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1.0000</w:t>
            </w:r>
          </w:p>
        </w:tc>
      </w:tr>
      <w:tr w:rsidR="005B06D6" w:rsidRPr="00CC12E6" w14:paraId="6F88F001" w14:textId="77777777" w:rsidTr="005B06D6">
        <w:trPr>
          <w:trHeight w:val="315"/>
        </w:trPr>
        <w:tc>
          <w:tcPr>
            <w:tcW w:w="2552" w:type="dxa"/>
            <w:tcBorders>
              <w:top w:val="nil"/>
              <w:left w:val="nil"/>
              <w:bottom w:val="single" w:sz="4" w:space="0" w:color="000000"/>
              <w:right w:val="nil"/>
            </w:tcBorders>
            <w:shd w:val="clear" w:color="auto" w:fill="auto"/>
            <w:vAlign w:val="bottom"/>
          </w:tcPr>
          <w:p w14:paraId="7D11A4CF"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28ECA28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19248664"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37 (82.2%)</w:t>
            </w:r>
          </w:p>
        </w:tc>
        <w:tc>
          <w:tcPr>
            <w:tcW w:w="1287" w:type="dxa"/>
            <w:tcBorders>
              <w:top w:val="nil"/>
              <w:left w:val="nil"/>
              <w:bottom w:val="single" w:sz="4" w:space="0" w:color="000000"/>
              <w:right w:val="single" w:sz="4" w:space="0" w:color="000000"/>
            </w:tcBorders>
            <w:shd w:val="clear" w:color="auto" w:fill="auto"/>
            <w:vAlign w:val="bottom"/>
          </w:tcPr>
          <w:p w14:paraId="29446047"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24 (80.0%)</w:t>
            </w:r>
          </w:p>
        </w:tc>
        <w:tc>
          <w:tcPr>
            <w:tcW w:w="1253" w:type="dxa"/>
            <w:tcBorders>
              <w:top w:val="nil"/>
              <w:left w:val="nil"/>
              <w:bottom w:val="single" w:sz="4" w:space="0" w:color="000000"/>
              <w:right w:val="nil"/>
            </w:tcBorders>
            <w:shd w:val="clear" w:color="auto" w:fill="auto"/>
            <w:vAlign w:val="bottom"/>
          </w:tcPr>
          <w:p w14:paraId="3F2E553E"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4DB459F4" w14:textId="77777777" w:rsidTr="005B06D6">
        <w:trPr>
          <w:trHeight w:val="315"/>
        </w:trPr>
        <w:tc>
          <w:tcPr>
            <w:tcW w:w="2552" w:type="dxa"/>
            <w:tcBorders>
              <w:top w:val="nil"/>
              <w:left w:val="nil"/>
              <w:bottom w:val="nil"/>
              <w:right w:val="nil"/>
            </w:tcBorders>
            <w:shd w:val="clear" w:color="auto" w:fill="auto"/>
            <w:vAlign w:val="bottom"/>
          </w:tcPr>
          <w:p w14:paraId="736C5750"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Alcoholism</w:t>
            </w:r>
          </w:p>
        </w:tc>
        <w:tc>
          <w:tcPr>
            <w:tcW w:w="850" w:type="dxa"/>
            <w:tcBorders>
              <w:top w:val="nil"/>
              <w:left w:val="nil"/>
              <w:bottom w:val="nil"/>
              <w:right w:val="single" w:sz="4" w:space="0" w:color="000000"/>
            </w:tcBorders>
            <w:shd w:val="clear" w:color="auto" w:fill="auto"/>
            <w:vAlign w:val="bottom"/>
          </w:tcPr>
          <w:p w14:paraId="1E5E8922"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2BBF9493"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12 (26.7%)</w:t>
            </w:r>
          </w:p>
        </w:tc>
        <w:tc>
          <w:tcPr>
            <w:tcW w:w="1287" w:type="dxa"/>
            <w:tcBorders>
              <w:top w:val="nil"/>
              <w:left w:val="nil"/>
              <w:bottom w:val="nil"/>
              <w:right w:val="single" w:sz="4" w:space="0" w:color="000000"/>
            </w:tcBorders>
            <w:shd w:val="clear" w:color="auto" w:fill="auto"/>
            <w:vAlign w:val="bottom"/>
          </w:tcPr>
          <w:p w14:paraId="6FB3A038"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7 (23.3%)</w:t>
            </w:r>
          </w:p>
        </w:tc>
        <w:tc>
          <w:tcPr>
            <w:tcW w:w="1253" w:type="dxa"/>
            <w:tcBorders>
              <w:top w:val="nil"/>
              <w:left w:val="nil"/>
              <w:bottom w:val="nil"/>
              <w:right w:val="nil"/>
            </w:tcBorders>
            <w:shd w:val="clear" w:color="auto" w:fill="auto"/>
            <w:vAlign w:val="bottom"/>
          </w:tcPr>
          <w:p w14:paraId="591675DC"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0.7929</w:t>
            </w:r>
          </w:p>
        </w:tc>
      </w:tr>
      <w:tr w:rsidR="005B06D6" w:rsidRPr="00CC12E6" w14:paraId="50C49C1E" w14:textId="77777777" w:rsidTr="005B06D6">
        <w:trPr>
          <w:trHeight w:val="315"/>
        </w:trPr>
        <w:tc>
          <w:tcPr>
            <w:tcW w:w="2552" w:type="dxa"/>
            <w:tcBorders>
              <w:top w:val="nil"/>
              <w:left w:val="nil"/>
              <w:bottom w:val="single" w:sz="4" w:space="0" w:color="000000"/>
              <w:right w:val="nil"/>
            </w:tcBorders>
            <w:shd w:val="clear" w:color="auto" w:fill="auto"/>
            <w:vAlign w:val="bottom"/>
          </w:tcPr>
          <w:p w14:paraId="1AEBC819"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6268347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52B244E0"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33 (73.3%)</w:t>
            </w:r>
          </w:p>
        </w:tc>
        <w:tc>
          <w:tcPr>
            <w:tcW w:w="1287" w:type="dxa"/>
            <w:tcBorders>
              <w:top w:val="nil"/>
              <w:left w:val="nil"/>
              <w:bottom w:val="single" w:sz="4" w:space="0" w:color="000000"/>
              <w:right w:val="single" w:sz="4" w:space="0" w:color="000000"/>
            </w:tcBorders>
            <w:shd w:val="clear" w:color="auto" w:fill="auto"/>
            <w:vAlign w:val="bottom"/>
          </w:tcPr>
          <w:p w14:paraId="1C091853"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23 (76.7%)</w:t>
            </w:r>
          </w:p>
        </w:tc>
        <w:tc>
          <w:tcPr>
            <w:tcW w:w="1253" w:type="dxa"/>
            <w:tcBorders>
              <w:top w:val="nil"/>
              <w:left w:val="nil"/>
              <w:bottom w:val="single" w:sz="4" w:space="0" w:color="000000"/>
              <w:right w:val="nil"/>
            </w:tcBorders>
            <w:shd w:val="clear" w:color="auto" w:fill="auto"/>
            <w:vAlign w:val="bottom"/>
          </w:tcPr>
          <w:p w14:paraId="23F6DE8D"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03DA389E" w14:textId="77777777" w:rsidTr="005B06D6">
        <w:trPr>
          <w:trHeight w:val="315"/>
        </w:trPr>
        <w:tc>
          <w:tcPr>
            <w:tcW w:w="2552" w:type="dxa"/>
            <w:tcBorders>
              <w:top w:val="nil"/>
              <w:left w:val="nil"/>
              <w:bottom w:val="nil"/>
              <w:right w:val="nil"/>
            </w:tcBorders>
            <w:shd w:val="clear" w:color="auto" w:fill="auto"/>
          </w:tcPr>
          <w:p w14:paraId="21A5FD06" w14:textId="77777777" w:rsidR="005B06D6" w:rsidRPr="00CC12E6" w:rsidRDefault="005B06D6" w:rsidP="005B06D6">
            <w:pPr>
              <w:jc w:val="both"/>
              <w:rPr>
                <w:rFonts w:eastAsia="Calibri"/>
                <w:color w:val="000000"/>
                <w:sz w:val="20"/>
                <w:szCs w:val="20"/>
              </w:rPr>
            </w:pPr>
            <w:r w:rsidRPr="00CC12E6">
              <w:rPr>
                <w:rFonts w:eastAsia="Calibri"/>
                <w:sz w:val="20"/>
                <w:szCs w:val="20"/>
              </w:rPr>
              <w:t>Regular physical activity</w:t>
            </w:r>
          </w:p>
        </w:tc>
        <w:tc>
          <w:tcPr>
            <w:tcW w:w="850" w:type="dxa"/>
            <w:tcBorders>
              <w:top w:val="nil"/>
              <w:left w:val="nil"/>
              <w:bottom w:val="nil"/>
              <w:right w:val="single" w:sz="4" w:space="0" w:color="000000"/>
            </w:tcBorders>
            <w:shd w:val="clear" w:color="auto" w:fill="auto"/>
            <w:vAlign w:val="bottom"/>
          </w:tcPr>
          <w:p w14:paraId="77E885A6"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2E5C3388"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12 (26.7%)</w:t>
            </w:r>
          </w:p>
        </w:tc>
        <w:tc>
          <w:tcPr>
            <w:tcW w:w="1287" w:type="dxa"/>
            <w:tcBorders>
              <w:top w:val="nil"/>
              <w:left w:val="nil"/>
              <w:bottom w:val="nil"/>
              <w:right w:val="single" w:sz="4" w:space="0" w:color="000000"/>
            </w:tcBorders>
            <w:shd w:val="clear" w:color="auto" w:fill="auto"/>
            <w:vAlign w:val="bottom"/>
          </w:tcPr>
          <w:p w14:paraId="2231B669"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3 (10.0%)</w:t>
            </w:r>
          </w:p>
        </w:tc>
        <w:tc>
          <w:tcPr>
            <w:tcW w:w="1253" w:type="dxa"/>
            <w:tcBorders>
              <w:top w:val="nil"/>
              <w:left w:val="nil"/>
              <w:bottom w:val="nil"/>
              <w:right w:val="nil"/>
            </w:tcBorders>
            <w:shd w:val="clear" w:color="auto" w:fill="auto"/>
            <w:vAlign w:val="bottom"/>
          </w:tcPr>
          <w:p w14:paraId="682F90FD"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0.1389</w:t>
            </w:r>
          </w:p>
        </w:tc>
      </w:tr>
      <w:tr w:rsidR="005B06D6" w:rsidRPr="00CC12E6" w14:paraId="0ACC41FE" w14:textId="77777777" w:rsidTr="005B06D6">
        <w:trPr>
          <w:trHeight w:val="315"/>
        </w:trPr>
        <w:tc>
          <w:tcPr>
            <w:tcW w:w="2552" w:type="dxa"/>
            <w:tcBorders>
              <w:top w:val="nil"/>
              <w:left w:val="nil"/>
              <w:bottom w:val="single" w:sz="4" w:space="0" w:color="000000"/>
              <w:right w:val="nil"/>
            </w:tcBorders>
            <w:shd w:val="clear" w:color="auto" w:fill="auto"/>
            <w:vAlign w:val="bottom"/>
          </w:tcPr>
          <w:p w14:paraId="65BABEC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483650D4"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4" w:space="0" w:color="000000"/>
              <w:right w:val="nil"/>
            </w:tcBorders>
            <w:shd w:val="clear" w:color="auto" w:fill="auto"/>
            <w:vAlign w:val="bottom"/>
          </w:tcPr>
          <w:p w14:paraId="66C7C21C"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33 (73.3%)</w:t>
            </w:r>
          </w:p>
        </w:tc>
        <w:tc>
          <w:tcPr>
            <w:tcW w:w="1287" w:type="dxa"/>
            <w:tcBorders>
              <w:top w:val="nil"/>
              <w:left w:val="nil"/>
              <w:bottom w:val="single" w:sz="4" w:space="0" w:color="000000"/>
              <w:right w:val="single" w:sz="4" w:space="0" w:color="000000"/>
            </w:tcBorders>
            <w:shd w:val="clear" w:color="auto" w:fill="auto"/>
            <w:vAlign w:val="bottom"/>
          </w:tcPr>
          <w:p w14:paraId="186E97FF"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27 (90.0%)</w:t>
            </w:r>
          </w:p>
        </w:tc>
        <w:tc>
          <w:tcPr>
            <w:tcW w:w="1253" w:type="dxa"/>
            <w:tcBorders>
              <w:top w:val="nil"/>
              <w:left w:val="nil"/>
              <w:bottom w:val="single" w:sz="4" w:space="0" w:color="000000"/>
              <w:right w:val="nil"/>
            </w:tcBorders>
            <w:shd w:val="clear" w:color="auto" w:fill="auto"/>
            <w:vAlign w:val="bottom"/>
          </w:tcPr>
          <w:p w14:paraId="65C9D3B9"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r w:rsidR="005B06D6" w:rsidRPr="00CC12E6" w14:paraId="57C203CA" w14:textId="77777777" w:rsidTr="005B06D6">
        <w:trPr>
          <w:trHeight w:val="315"/>
        </w:trPr>
        <w:tc>
          <w:tcPr>
            <w:tcW w:w="2552" w:type="dxa"/>
            <w:tcBorders>
              <w:top w:val="nil"/>
              <w:left w:val="nil"/>
              <w:bottom w:val="nil"/>
              <w:right w:val="nil"/>
            </w:tcBorders>
            <w:shd w:val="clear" w:color="auto" w:fill="auto"/>
            <w:vAlign w:val="bottom"/>
          </w:tcPr>
          <w:p w14:paraId="590C6252"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xml:space="preserve">Weight gain* </w:t>
            </w:r>
          </w:p>
        </w:tc>
        <w:tc>
          <w:tcPr>
            <w:tcW w:w="850" w:type="dxa"/>
            <w:tcBorders>
              <w:top w:val="nil"/>
              <w:left w:val="nil"/>
              <w:bottom w:val="nil"/>
              <w:right w:val="single" w:sz="4" w:space="0" w:color="000000"/>
            </w:tcBorders>
            <w:shd w:val="clear" w:color="auto" w:fill="auto"/>
            <w:vAlign w:val="bottom"/>
          </w:tcPr>
          <w:p w14:paraId="4B24D4B5"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Yes</w:t>
            </w:r>
          </w:p>
        </w:tc>
        <w:tc>
          <w:tcPr>
            <w:tcW w:w="2115" w:type="dxa"/>
            <w:tcBorders>
              <w:top w:val="nil"/>
              <w:left w:val="nil"/>
              <w:bottom w:val="nil"/>
              <w:right w:val="nil"/>
            </w:tcBorders>
            <w:shd w:val="clear" w:color="auto" w:fill="auto"/>
            <w:vAlign w:val="bottom"/>
          </w:tcPr>
          <w:p w14:paraId="5F00F354"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 (0.0%)</w:t>
            </w:r>
          </w:p>
        </w:tc>
        <w:tc>
          <w:tcPr>
            <w:tcW w:w="1287" w:type="dxa"/>
            <w:tcBorders>
              <w:top w:val="nil"/>
              <w:left w:val="nil"/>
              <w:bottom w:val="nil"/>
              <w:right w:val="single" w:sz="4" w:space="0" w:color="000000"/>
            </w:tcBorders>
            <w:shd w:val="clear" w:color="auto" w:fill="auto"/>
            <w:vAlign w:val="bottom"/>
          </w:tcPr>
          <w:p w14:paraId="4283B39C"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1 (3.3%)</w:t>
            </w:r>
          </w:p>
        </w:tc>
        <w:tc>
          <w:tcPr>
            <w:tcW w:w="1253" w:type="dxa"/>
            <w:tcBorders>
              <w:top w:val="nil"/>
              <w:left w:val="nil"/>
              <w:bottom w:val="nil"/>
              <w:right w:val="nil"/>
            </w:tcBorders>
            <w:shd w:val="clear" w:color="auto" w:fill="auto"/>
            <w:vAlign w:val="bottom"/>
          </w:tcPr>
          <w:p w14:paraId="518E3632"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0.4000</w:t>
            </w:r>
          </w:p>
        </w:tc>
      </w:tr>
      <w:tr w:rsidR="005B06D6" w:rsidRPr="00CC12E6" w14:paraId="6713FAC3" w14:textId="77777777" w:rsidTr="005B06D6">
        <w:trPr>
          <w:trHeight w:val="330"/>
        </w:trPr>
        <w:tc>
          <w:tcPr>
            <w:tcW w:w="2552" w:type="dxa"/>
            <w:tcBorders>
              <w:top w:val="nil"/>
              <w:left w:val="nil"/>
              <w:bottom w:val="single" w:sz="8" w:space="0" w:color="000000"/>
              <w:right w:val="nil"/>
            </w:tcBorders>
            <w:shd w:val="clear" w:color="auto" w:fill="auto"/>
            <w:vAlign w:val="bottom"/>
          </w:tcPr>
          <w:p w14:paraId="49183E3D"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c>
          <w:tcPr>
            <w:tcW w:w="850" w:type="dxa"/>
            <w:tcBorders>
              <w:top w:val="nil"/>
              <w:left w:val="nil"/>
              <w:bottom w:val="single" w:sz="8" w:space="0" w:color="000000"/>
              <w:right w:val="single" w:sz="4" w:space="0" w:color="000000"/>
            </w:tcBorders>
            <w:shd w:val="clear" w:color="auto" w:fill="auto"/>
            <w:vAlign w:val="bottom"/>
          </w:tcPr>
          <w:p w14:paraId="42188C8B"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No</w:t>
            </w:r>
          </w:p>
        </w:tc>
        <w:tc>
          <w:tcPr>
            <w:tcW w:w="2115" w:type="dxa"/>
            <w:tcBorders>
              <w:top w:val="nil"/>
              <w:left w:val="nil"/>
              <w:bottom w:val="single" w:sz="8" w:space="0" w:color="000000"/>
              <w:right w:val="nil"/>
            </w:tcBorders>
            <w:shd w:val="clear" w:color="auto" w:fill="auto"/>
            <w:vAlign w:val="bottom"/>
          </w:tcPr>
          <w:p w14:paraId="42D476EE"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45 (100.0%)</w:t>
            </w:r>
          </w:p>
        </w:tc>
        <w:tc>
          <w:tcPr>
            <w:tcW w:w="1287" w:type="dxa"/>
            <w:tcBorders>
              <w:top w:val="nil"/>
              <w:left w:val="nil"/>
              <w:bottom w:val="single" w:sz="8" w:space="0" w:color="000000"/>
              <w:right w:val="single" w:sz="4" w:space="0" w:color="000000"/>
            </w:tcBorders>
            <w:shd w:val="clear" w:color="auto" w:fill="auto"/>
            <w:vAlign w:val="bottom"/>
          </w:tcPr>
          <w:p w14:paraId="6BE35868"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29 (96.7%)</w:t>
            </w:r>
          </w:p>
        </w:tc>
        <w:tc>
          <w:tcPr>
            <w:tcW w:w="1253" w:type="dxa"/>
            <w:tcBorders>
              <w:top w:val="nil"/>
              <w:left w:val="nil"/>
              <w:bottom w:val="single" w:sz="8" w:space="0" w:color="000000"/>
              <w:right w:val="nil"/>
            </w:tcBorders>
            <w:shd w:val="clear" w:color="auto" w:fill="auto"/>
            <w:vAlign w:val="bottom"/>
          </w:tcPr>
          <w:p w14:paraId="0BC386B8" w14:textId="77777777" w:rsidR="005B06D6" w:rsidRPr="00CC12E6" w:rsidRDefault="005B06D6" w:rsidP="005B06D6">
            <w:pPr>
              <w:jc w:val="both"/>
              <w:rPr>
                <w:rFonts w:eastAsia="Calibri"/>
                <w:color w:val="000000"/>
                <w:sz w:val="20"/>
                <w:szCs w:val="20"/>
              </w:rPr>
            </w:pPr>
            <w:r w:rsidRPr="00CC12E6">
              <w:rPr>
                <w:rFonts w:eastAsia="Calibri"/>
                <w:color w:val="000000"/>
                <w:sz w:val="20"/>
                <w:szCs w:val="20"/>
              </w:rPr>
              <w:t> </w:t>
            </w:r>
          </w:p>
        </w:tc>
      </w:tr>
    </w:tbl>
    <w:p w14:paraId="5B29BA8C" w14:textId="77777777" w:rsidR="00573FA0" w:rsidRPr="00CC12E6" w:rsidRDefault="00655520" w:rsidP="00E3382E">
      <w:pPr>
        <w:spacing w:line="480" w:lineRule="auto"/>
        <w:jc w:val="both"/>
        <w:rPr>
          <w:rFonts w:eastAsia="Arial"/>
          <w:sz w:val="20"/>
          <w:szCs w:val="20"/>
        </w:rPr>
      </w:pPr>
      <w:r w:rsidRPr="00CC12E6">
        <w:rPr>
          <w:rFonts w:eastAsia="Arial"/>
          <w:sz w:val="20"/>
          <w:szCs w:val="20"/>
        </w:rPr>
        <w:t>*In the past six months</w:t>
      </w:r>
    </w:p>
    <w:p w14:paraId="6689CFCD" w14:textId="77777777" w:rsidR="00573FA0" w:rsidRPr="00CC12E6" w:rsidRDefault="00573FA0" w:rsidP="00E3382E">
      <w:pPr>
        <w:pBdr>
          <w:top w:val="nil"/>
          <w:left w:val="nil"/>
          <w:bottom w:val="nil"/>
          <w:right w:val="nil"/>
          <w:between w:val="nil"/>
        </w:pBdr>
        <w:spacing w:line="480" w:lineRule="auto"/>
        <w:jc w:val="both"/>
        <w:rPr>
          <w:rFonts w:eastAsia="Arial"/>
          <w:color w:val="000000"/>
          <w:sz w:val="20"/>
          <w:szCs w:val="20"/>
        </w:rPr>
      </w:pPr>
    </w:p>
    <w:p w14:paraId="4FF5E694" w14:textId="77777777" w:rsidR="00573FA0" w:rsidRPr="00CC12E6" w:rsidRDefault="00655520" w:rsidP="00E3382E">
      <w:pPr>
        <w:keepNext/>
        <w:keepLines/>
        <w:pBdr>
          <w:top w:val="nil"/>
          <w:left w:val="nil"/>
          <w:bottom w:val="nil"/>
          <w:right w:val="nil"/>
          <w:between w:val="nil"/>
        </w:pBdr>
        <w:spacing w:before="120" w:after="120" w:line="480" w:lineRule="auto"/>
        <w:ind w:left="1418" w:hanging="1418"/>
        <w:jc w:val="both"/>
        <w:rPr>
          <w:rFonts w:eastAsia="Arial"/>
          <w:b/>
          <w:color w:val="000000"/>
          <w:sz w:val="20"/>
          <w:szCs w:val="20"/>
        </w:rPr>
      </w:pPr>
      <w:r w:rsidRPr="00CC12E6">
        <w:rPr>
          <w:rFonts w:eastAsia="Arial"/>
          <w:b/>
          <w:color w:val="000000"/>
          <w:sz w:val="20"/>
          <w:szCs w:val="20"/>
        </w:rPr>
        <w:t xml:space="preserve"> Table 2. BP Differences before and after dental urgency care</w:t>
      </w:r>
    </w:p>
    <w:tbl>
      <w:tblPr>
        <w:tblStyle w:val="Table2"/>
        <w:tblW w:w="7575" w:type="dxa"/>
        <w:tblInd w:w="0" w:type="dxa"/>
        <w:tblLayout w:type="fixed"/>
        <w:tblLook w:val="0400" w:firstRow="0" w:lastRow="0" w:firstColumn="0" w:lastColumn="0" w:noHBand="0" w:noVBand="1"/>
      </w:tblPr>
      <w:tblGrid>
        <w:gridCol w:w="1113"/>
        <w:gridCol w:w="1155"/>
        <w:gridCol w:w="1061"/>
        <w:gridCol w:w="1062"/>
        <w:gridCol w:w="1061"/>
        <w:gridCol w:w="1061"/>
        <w:gridCol w:w="1062"/>
      </w:tblGrid>
      <w:tr w:rsidR="00573FA0" w:rsidRPr="00CC12E6" w14:paraId="3F3FD820" w14:textId="77777777">
        <w:trPr>
          <w:trHeight w:val="315"/>
        </w:trPr>
        <w:tc>
          <w:tcPr>
            <w:tcW w:w="1113" w:type="dxa"/>
            <w:tcBorders>
              <w:top w:val="single" w:sz="8" w:space="0" w:color="000000"/>
              <w:left w:val="nil"/>
              <w:bottom w:val="single" w:sz="4" w:space="0" w:color="000000"/>
              <w:right w:val="nil"/>
            </w:tcBorders>
            <w:shd w:val="clear" w:color="auto" w:fill="auto"/>
            <w:vAlign w:val="bottom"/>
          </w:tcPr>
          <w:p w14:paraId="279BA651" w14:textId="77777777" w:rsidR="00573FA0" w:rsidRPr="00CC12E6" w:rsidRDefault="00655520" w:rsidP="005B06D6">
            <w:pPr>
              <w:jc w:val="both"/>
              <w:rPr>
                <w:rFonts w:eastAsia="Calibri"/>
                <w:b/>
                <w:color w:val="000000"/>
                <w:sz w:val="20"/>
                <w:szCs w:val="20"/>
              </w:rPr>
            </w:pPr>
            <w:r w:rsidRPr="00CC12E6">
              <w:rPr>
                <w:rFonts w:eastAsia="Calibri"/>
                <w:b/>
                <w:color w:val="000000"/>
                <w:sz w:val="20"/>
                <w:szCs w:val="20"/>
              </w:rPr>
              <w:t>BP</w:t>
            </w:r>
          </w:p>
        </w:tc>
        <w:tc>
          <w:tcPr>
            <w:tcW w:w="1155" w:type="dxa"/>
            <w:tcBorders>
              <w:top w:val="single" w:sz="8" w:space="0" w:color="000000"/>
              <w:left w:val="nil"/>
              <w:bottom w:val="single" w:sz="4" w:space="0" w:color="000000"/>
              <w:right w:val="single" w:sz="4" w:space="0" w:color="000000"/>
            </w:tcBorders>
            <w:shd w:val="clear" w:color="auto" w:fill="auto"/>
            <w:vAlign w:val="bottom"/>
          </w:tcPr>
          <w:p w14:paraId="19483025" w14:textId="77777777" w:rsidR="00573FA0" w:rsidRPr="00CC12E6" w:rsidRDefault="00655520" w:rsidP="005B06D6">
            <w:pPr>
              <w:jc w:val="both"/>
              <w:rPr>
                <w:rFonts w:eastAsia="Calibri"/>
                <w:b/>
                <w:color w:val="000000"/>
                <w:sz w:val="20"/>
                <w:szCs w:val="20"/>
              </w:rPr>
            </w:pPr>
            <w:r w:rsidRPr="00CC12E6">
              <w:rPr>
                <w:rFonts w:eastAsia="Calibri"/>
                <w:b/>
                <w:color w:val="000000"/>
                <w:sz w:val="20"/>
                <w:szCs w:val="20"/>
              </w:rPr>
              <w:t xml:space="preserve"> Times</w:t>
            </w:r>
          </w:p>
        </w:tc>
        <w:tc>
          <w:tcPr>
            <w:tcW w:w="1061" w:type="dxa"/>
            <w:tcBorders>
              <w:top w:val="single" w:sz="8" w:space="0" w:color="000000"/>
              <w:left w:val="nil"/>
              <w:bottom w:val="single" w:sz="4" w:space="0" w:color="000000"/>
              <w:right w:val="nil"/>
            </w:tcBorders>
            <w:shd w:val="clear" w:color="auto" w:fill="auto"/>
            <w:vAlign w:val="bottom"/>
          </w:tcPr>
          <w:p w14:paraId="016BB032" w14:textId="77777777" w:rsidR="00573FA0" w:rsidRPr="00CC12E6" w:rsidRDefault="00655520" w:rsidP="005B06D6">
            <w:pPr>
              <w:jc w:val="both"/>
              <w:rPr>
                <w:rFonts w:eastAsia="Calibri"/>
                <w:b/>
                <w:color w:val="000000"/>
                <w:sz w:val="20"/>
                <w:szCs w:val="20"/>
              </w:rPr>
            </w:pPr>
            <w:r w:rsidRPr="00CC12E6">
              <w:rPr>
                <w:rFonts w:eastAsia="Calibri"/>
                <w:b/>
                <w:color w:val="000000"/>
                <w:sz w:val="20"/>
                <w:szCs w:val="20"/>
              </w:rPr>
              <w:t>Mean</w:t>
            </w:r>
          </w:p>
        </w:tc>
        <w:tc>
          <w:tcPr>
            <w:tcW w:w="1062" w:type="dxa"/>
            <w:tcBorders>
              <w:top w:val="single" w:sz="8" w:space="0" w:color="000000"/>
              <w:left w:val="nil"/>
              <w:bottom w:val="single" w:sz="4" w:space="0" w:color="000000"/>
              <w:right w:val="nil"/>
            </w:tcBorders>
            <w:shd w:val="clear" w:color="auto" w:fill="auto"/>
            <w:vAlign w:val="bottom"/>
          </w:tcPr>
          <w:p w14:paraId="1B531CD9" w14:textId="77777777" w:rsidR="00573FA0" w:rsidRPr="00CC12E6" w:rsidRDefault="00655520" w:rsidP="005B06D6">
            <w:pPr>
              <w:jc w:val="both"/>
              <w:rPr>
                <w:rFonts w:eastAsia="Calibri"/>
                <w:b/>
                <w:color w:val="000000"/>
                <w:sz w:val="20"/>
                <w:szCs w:val="20"/>
              </w:rPr>
            </w:pPr>
            <w:r w:rsidRPr="00CC12E6">
              <w:rPr>
                <w:rFonts w:eastAsia="Calibri"/>
                <w:b/>
                <w:color w:val="000000"/>
                <w:sz w:val="20"/>
                <w:szCs w:val="20"/>
              </w:rPr>
              <w:t>SD*</w:t>
            </w:r>
          </w:p>
        </w:tc>
        <w:tc>
          <w:tcPr>
            <w:tcW w:w="1061" w:type="dxa"/>
            <w:tcBorders>
              <w:top w:val="single" w:sz="8" w:space="0" w:color="000000"/>
              <w:left w:val="nil"/>
              <w:bottom w:val="single" w:sz="4" w:space="0" w:color="000000"/>
              <w:right w:val="nil"/>
            </w:tcBorders>
            <w:shd w:val="clear" w:color="auto" w:fill="auto"/>
            <w:vAlign w:val="bottom"/>
          </w:tcPr>
          <w:p w14:paraId="5E866A87" w14:textId="77777777" w:rsidR="00573FA0" w:rsidRPr="00CC12E6" w:rsidRDefault="00655520" w:rsidP="005B06D6">
            <w:pPr>
              <w:jc w:val="both"/>
              <w:rPr>
                <w:rFonts w:eastAsia="Calibri"/>
                <w:b/>
                <w:color w:val="000000"/>
                <w:sz w:val="20"/>
                <w:szCs w:val="20"/>
              </w:rPr>
            </w:pPr>
            <w:r w:rsidRPr="00CC12E6">
              <w:rPr>
                <w:rFonts w:eastAsia="Calibri"/>
                <w:b/>
                <w:color w:val="000000"/>
                <w:sz w:val="20"/>
                <w:szCs w:val="20"/>
              </w:rPr>
              <w:t>Min</w:t>
            </w:r>
          </w:p>
        </w:tc>
        <w:tc>
          <w:tcPr>
            <w:tcW w:w="1061" w:type="dxa"/>
            <w:tcBorders>
              <w:top w:val="single" w:sz="8" w:space="0" w:color="000000"/>
              <w:left w:val="nil"/>
              <w:bottom w:val="single" w:sz="4" w:space="0" w:color="000000"/>
              <w:right w:val="nil"/>
            </w:tcBorders>
            <w:shd w:val="clear" w:color="auto" w:fill="auto"/>
            <w:vAlign w:val="bottom"/>
          </w:tcPr>
          <w:p w14:paraId="65B19D23" w14:textId="77777777" w:rsidR="00573FA0" w:rsidRPr="00CC12E6" w:rsidRDefault="00655520" w:rsidP="005B06D6">
            <w:pPr>
              <w:jc w:val="both"/>
              <w:rPr>
                <w:rFonts w:eastAsia="Calibri"/>
                <w:b/>
                <w:color w:val="000000"/>
                <w:sz w:val="20"/>
                <w:szCs w:val="20"/>
              </w:rPr>
            </w:pPr>
            <w:r w:rsidRPr="00CC12E6">
              <w:rPr>
                <w:rFonts w:eastAsia="Calibri"/>
                <w:b/>
                <w:color w:val="000000"/>
                <w:sz w:val="20"/>
                <w:szCs w:val="20"/>
              </w:rPr>
              <w:t>Median</w:t>
            </w:r>
          </w:p>
        </w:tc>
        <w:tc>
          <w:tcPr>
            <w:tcW w:w="1062" w:type="dxa"/>
            <w:tcBorders>
              <w:top w:val="single" w:sz="8" w:space="0" w:color="000000"/>
              <w:left w:val="nil"/>
              <w:bottom w:val="single" w:sz="4" w:space="0" w:color="000000"/>
              <w:right w:val="nil"/>
            </w:tcBorders>
            <w:shd w:val="clear" w:color="auto" w:fill="auto"/>
            <w:vAlign w:val="bottom"/>
          </w:tcPr>
          <w:p w14:paraId="69E63303" w14:textId="77777777" w:rsidR="00573FA0" w:rsidRPr="00CC12E6" w:rsidRDefault="00655520" w:rsidP="005B06D6">
            <w:pPr>
              <w:jc w:val="both"/>
              <w:rPr>
                <w:rFonts w:eastAsia="Calibri"/>
                <w:b/>
                <w:color w:val="000000"/>
                <w:sz w:val="20"/>
                <w:szCs w:val="20"/>
              </w:rPr>
            </w:pPr>
            <w:r w:rsidRPr="00CC12E6">
              <w:rPr>
                <w:rFonts w:eastAsia="Calibri"/>
                <w:b/>
                <w:color w:val="000000"/>
                <w:sz w:val="20"/>
                <w:szCs w:val="20"/>
              </w:rPr>
              <w:t>Max</w:t>
            </w:r>
          </w:p>
        </w:tc>
      </w:tr>
      <w:tr w:rsidR="00573FA0" w:rsidRPr="00CC12E6" w14:paraId="58945008" w14:textId="77777777">
        <w:trPr>
          <w:trHeight w:val="315"/>
        </w:trPr>
        <w:tc>
          <w:tcPr>
            <w:tcW w:w="1113" w:type="dxa"/>
            <w:tcBorders>
              <w:top w:val="nil"/>
              <w:left w:val="nil"/>
              <w:bottom w:val="nil"/>
              <w:right w:val="nil"/>
            </w:tcBorders>
            <w:shd w:val="clear" w:color="auto" w:fill="auto"/>
            <w:vAlign w:val="bottom"/>
          </w:tcPr>
          <w:p w14:paraId="0F531BE5"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Systolic</w:t>
            </w:r>
          </w:p>
        </w:tc>
        <w:tc>
          <w:tcPr>
            <w:tcW w:w="1155" w:type="dxa"/>
            <w:tcBorders>
              <w:top w:val="nil"/>
              <w:left w:val="nil"/>
              <w:bottom w:val="nil"/>
              <w:right w:val="single" w:sz="4" w:space="0" w:color="000000"/>
            </w:tcBorders>
            <w:shd w:val="clear" w:color="auto" w:fill="auto"/>
            <w:vAlign w:val="bottom"/>
          </w:tcPr>
          <w:p w14:paraId="0261D29F"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T1</w:t>
            </w:r>
          </w:p>
        </w:tc>
        <w:tc>
          <w:tcPr>
            <w:tcW w:w="1061" w:type="dxa"/>
            <w:tcBorders>
              <w:top w:val="nil"/>
              <w:left w:val="nil"/>
              <w:bottom w:val="nil"/>
              <w:right w:val="nil"/>
            </w:tcBorders>
            <w:shd w:val="clear" w:color="auto" w:fill="auto"/>
            <w:vAlign w:val="bottom"/>
          </w:tcPr>
          <w:p w14:paraId="7DD9DA9A"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131.9</w:t>
            </w:r>
          </w:p>
        </w:tc>
        <w:tc>
          <w:tcPr>
            <w:tcW w:w="1062" w:type="dxa"/>
            <w:tcBorders>
              <w:top w:val="nil"/>
              <w:left w:val="nil"/>
              <w:bottom w:val="nil"/>
              <w:right w:val="nil"/>
            </w:tcBorders>
            <w:shd w:val="clear" w:color="auto" w:fill="auto"/>
            <w:vAlign w:val="bottom"/>
          </w:tcPr>
          <w:p w14:paraId="29A432AC"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18.9</w:t>
            </w:r>
          </w:p>
        </w:tc>
        <w:tc>
          <w:tcPr>
            <w:tcW w:w="1061" w:type="dxa"/>
            <w:tcBorders>
              <w:top w:val="nil"/>
              <w:left w:val="nil"/>
              <w:bottom w:val="nil"/>
              <w:right w:val="nil"/>
            </w:tcBorders>
            <w:shd w:val="clear" w:color="auto" w:fill="auto"/>
            <w:vAlign w:val="bottom"/>
          </w:tcPr>
          <w:p w14:paraId="1B38AA1B"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90</w:t>
            </w:r>
          </w:p>
        </w:tc>
        <w:tc>
          <w:tcPr>
            <w:tcW w:w="1061" w:type="dxa"/>
            <w:tcBorders>
              <w:top w:val="nil"/>
              <w:left w:val="nil"/>
              <w:bottom w:val="nil"/>
              <w:right w:val="nil"/>
            </w:tcBorders>
            <w:shd w:val="clear" w:color="auto" w:fill="auto"/>
            <w:vAlign w:val="bottom"/>
          </w:tcPr>
          <w:p w14:paraId="67E29B6F"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130</w:t>
            </w:r>
          </w:p>
        </w:tc>
        <w:tc>
          <w:tcPr>
            <w:tcW w:w="1062" w:type="dxa"/>
            <w:tcBorders>
              <w:top w:val="nil"/>
              <w:left w:val="nil"/>
              <w:bottom w:val="nil"/>
              <w:right w:val="nil"/>
            </w:tcBorders>
            <w:shd w:val="clear" w:color="auto" w:fill="auto"/>
            <w:vAlign w:val="bottom"/>
          </w:tcPr>
          <w:p w14:paraId="7B71D20E"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180</w:t>
            </w:r>
          </w:p>
        </w:tc>
      </w:tr>
      <w:tr w:rsidR="00573FA0" w:rsidRPr="00CC12E6" w14:paraId="4AE43DAF" w14:textId="77777777">
        <w:trPr>
          <w:trHeight w:val="315"/>
        </w:trPr>
        <w:tc>
          <w:tcPr>
            <w:tcW w:w="1113" w:type="dxa"/>
            <w:tcBorders>
              <w:top w:val="nil"/>
              <w:left w:val="nil"/>
              <w:bottom w:val="nil"/>
              <w:right w:val="nil"/>
            </w:tcBorders>
            <w:shd w:val="clear" w:color="auto" w:fill="auto"/>
            <w:vAlign w:val="bottom"/>
          </w:tcPr>
          <w:p w14:paraId="4CCF20CA" w14:textId="77777777" w:rsidR="00573FA0" w:rsidRPr="00CC12E6" w:rsidRDefault="00573FA0" w:rsidP="005B06D6">
            <w:pPr>
              <w:jc w:val="both"/>
              <w:rPr>
                <w:rFonts w:eastAsia="Calibri"/>
                <w:color w:val="000000"/>
                <w:sz w:val="20"/>
                <w:szCs w:val="20"/>
              </w:rPr>
            </w:pPr>
          </w:p>
        </w:tc>
        <w:tc>
          <w:tcPr>
            <w:tcW w:w="1155" w:type="dxa"/>
            <w:tcBorders>
              <w:top w:val="nil"/>
              <w:left w:val="nil"/>
              <w:bottom w:val="nil"/>
              <w:right w:val="single" w:sz="4" w:space="0" w:color="000000"/>
            </w:tcBorders>
            <w:shd w:val="clear" w:color="auto" w:fill="auto"/>
            <w:vAlign w:val="bottom"/>
          </w:tcPr>
          <w:p w14:paraId="4129D613"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T2</w:t>
            </w:r>
          </w:p>
        </w:tc>
        <w:tc>
          <w:tcPr>
            <w:tcW w:w="1061" w:type="dxa"/>
            <w:tcBorders>
              <w:top w:val="nil"/>
              <w:left w:val="nil"/>
              <w:bottom w:val="nil"/>
              <w:right w:val="nil"/>
            </w:tcBorders>
            <w:shd w:val="clear" w:color="auto" w:fill="auto"/>
            <w:vAlign w:val="bottom"/>
          </w:tcPr>
          <w:p w14:paraId="7D0677EE"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135.6</w:t>
            </w:r>
          </w:p>
        </w:tc>
        <w:tc>
          <w:tcPr>
            <w:tcW w:w="1062" w:type="dxa"/>
            <w:tcBorders>
              <w:top w:val="nil"/>
              <w:left w:val="nil"/>
              <w:bottom w:val="nil"/>
              <w:right w:val="nil"/>
            </w:tcBorders>
            <w:shd w:val="clear" w:color="auto" w:fill="auto"/>
            <w:vAlign w:val="bottom"/>
          </w:tcPr>
          <w:p w14:paraId="7C33EE47"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22.4</w:t>
            </w:r>
          </w:p>
        </w:tc>
        <w:tc>
          <w:tcPr>
            <w:tcW w:w="1061" w:type="dxa"/>
            <w:tcBorders>
              <w:top w:val="nil"/>
              <w:left w:val="nil"/>
              <w:bottom w:val="nil"/>
              <w:right w:val="nil"/>
            </w:tcBorders>
            <w:shd w:val="clear" w:color="auto" w:fill="auto"/>
            <w:vAlign w:val="bottom"/>
          </w:tcPr>
          <w:p w14:paraId="6F490D8E"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90</w:t>
            </w:r>
          </w:p>
        </w:tc>
        <w:tc>
          <w:tcPr>
            <w:tcW w:w="1061" w:type="dxa"/>
            <w:tcBorders>
              <w:top w:val="nil"/>
              <w:left w:val="nil"/>
              <w:bottom w:val="nil"/>
              <w:right w:val="nil"/>
            </w:tcBorders>
            <w:shd w:val="clear" w:color="auto" w:fill="auto"/>
            <w:vAlign w:val="bottom"/>
          </w:tcPr>
          <w:p w14:paraId="6099F2DA"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130</w:t>
            </w:r>
          </w:p>
        </w:tc>
        <w:tc>
          <w:tcPr>
            <w:tcW w:w="1062" w:type="dxa"/>
            <w:tcBorders>
              <w:top w:val="nil"/>
              <w:left w:val="nil"/>
              <w:bottom w:val="nil"/>
              <w:right w:val="nil"/>
            </w:tcBorders>
            <w:shd w:val="clear" w:color="auto" w:fill="auto"/>
            <w:vAlign w:val="bottom"/>
          </w:tcPr>
          <w:p w14:paraId="0D066F30"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210</w:t>
            </w:r>
          </w:p>
        </w:tc>
      </w:tr>
      <w:tr w:rsidR="00573FA0" w:rsidRPr="00CC12E6" w14:paraId="1F53C6DC" w14:textId="77777777">
        <w:trPr>
          <w:trHeight w:val="315"/>
        </w:trPr>
        <w:tc>
          <w:tcPr>
            <w:tcW w:w="1113" w:type="dxa"/>
            <w:tcBorders>
              <w:top w:val="nil"/>
              <w:left w:val="nil"/>
              <w:bottom w:val="single" w:sz="4" w:space="0" w:color="000000"/>
              <w:right w:val="nil"/>
            </w:tcBorders>
            <w:shd w:val="clear" w:color="auto" w:fill="auto"/>
            <w:vAlign w:val="bottom"/>
          </w:tcPr>
          <w:p w14:paraId="311F33B9"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 </w:t>
            </w:r>
          </w:p>
        </w:tc>
        <w:tc>
          <w:tcPr>
            <w:tcW w:w="1155" w:type="dxa"/>
            <w:tcBorders>
              <w:top w:val="nil"/>
              <w:left w:val="nil"/>
              <w:bottom w:val="single" w:sz="4" w:space="0" w:color="000000"/>
              <w:right w:val="single" w:sz="4" w:space="0" w:color="000000"/>
            </w:tcBorders>
            <w:shd w:val="clear" w:color="auto" w:fill="auto"/>
            <w:vAlign w:val="bottom"/>
          </w:tcPr>
          <w:p w14:paraId="15100F2F"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Evolution</w:t>
            </w:r>
          </w:p>
        </w:tc>
        <w:tc>
          <w:tcPr>
            <w:tcW w:w="1061" w:type="dxa"/>
            <w:tcBorders>
              <w:top w:val="nil"/>
              <w:left w:val="nil"/>
              <w:bottom w:val="single" w:sz="4" w:space="0" w:color="000000"/>
              <w:right w:val="nil"/>
            </w:tcBorders>
            <w:shd w:val="clear" w:color="auto" w:fill="auto"/>
            <w:vAlign w:val="bottom"/>
          </w:tcPr>
          <w:p w14:paraId="242342C9"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3.7</w:t>
            </w:r>
          </w:p>
        </w:tc>
        <w:tc>
          <w:tcPr>
            <w:tcW w:w="1062" w:type="dxa"/>
            <w:tcBorders>
              <w:top w:val="nil"/>
              <w:left w:val="nil"/>
              <w:bottom w:val="single" w:sz="4" w:space="0" w:color="000000"/>
              <w:right w:val="nil"/>
            </w:tcBorders>
            <w:shd w:val="clear" w:color="auto" w:fill="auto"/>
            <w:vAlign w:val="bottom"/>
          </w:tcPr>
          <w:p w14:paraId="77C5E225"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14.6</w:t>
            </w:r>
          </w:p>
        </w:tc>
        <w:tc>
          <w:tcPr>
            <w:tcW w:w="1061" w:type="dxa"/>
            <w:tcBorders>
              <w:top w:val="nil"/>
              <w:left w:val="nil"/>
              <w:bottom w:val="single" w:sz="4" w:space="0" w:color="000000"/>
              <w:right w:val="nil"/>
            </w:tcBorders>
            <w:shd w:val="clear" w:color="auto" w:fill="auto"/>
            <w:vAlign w:val="bottom"/>
          </w:tcPr>
          <w:p w14:paraId="7D81B06E"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-30</w:t>
            </w:r>
          </w:p>
        </w:tc>
        <w:tc>
          <w:tcPr>
            <w:tcW w:w="1061" w:type="dxa"/>
            <w:tcBorders>
              <w:top w:val="nil"/>
              <w:left w:val="nil"/>
              <w:bottom w:val="single" w:sz="4" w:space="0" w:color="000000"/>
              <w:right w:val="nil"/>
            </w:tcBorders>
            <w:shd w:val="clear" w:color="auto" w:fill="auto"/>
            <w:vAlign w:val="bottom"/>
          </w:tcPr>
          <w:p w14:paraId="735A6A10"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0</w:t>
            </w:r>
          </w:p>
        </w:tc>
        <w:tc>
          <w:tcPr>
            <w:tcW w:w="1062" w:type="dxa"/>
            <w:tcBorders>
              <w:top w:val="nil"/>
              <w:left w:val="nil"/>
              <w:bottom w:val="single" w:sz="4" w:space="0" w:color="000000"/>
              <w:right w:val="nil"/>
            </w:tcBorders>
            <w:shd w:val="clear" w:color="auto" w:fill="auto"/>
            <w:vAlign w:val="bottom"/>
          </w:tcPr>
          <w:p w14:paraId="6EA3DCA0"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80</w:t>
            </w:r>
          </w:p>
        </w:tc>
      </w:tr>
      <w:tr w:rsidR="00573FA0" w:rsidRPr="00CC12E6" w14:paraId="04A10076" w14:textId="77777777">
        <w:trPr>
          <w:trHeight w:val="315"/>
        </w:trPr>
        <w:tc>
          <w:tcPr>
            <w:tcW w:w="1113" w:type="dxa"/>
            <w:tcBorders>
              <w:top w:val="nil"/>
              <w:left w:val="nil"/>
              <w:bottom w:val="nil"/>
              <w:right w:val="nil"/>
            </w:tcBorders>
            <w:shd w:val="clear" w:color="auto" w:fill="auto"/>
            <w:vAlign w:val="bottom"/>
          </w:tcPr>
          <w:p w14:paraId="6C00AC94"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Diastolic</w:t>
            </w:r>
          </w:p>
        </w:tc>
        <w:tc>
          <w:tcPr>
            <w:tcW w:w="1155" w:type="dxa"/>
            <w:tcBorders>
              <w:top w:val="nil"/>
              <w:left w:val="nil"/>
              <w:bottom w:val="nil"/>
              <w:right w:val="single" w:sz="4" w:space="0" w:color="000000"/>
            </w:tcBorders>
            <w:shd w:val="clear" w:color="auto" w:fill="auto"/>
            <w:vAlign w:val="bottom"/>
          </w:tcPr>
          <w:p w14:paraId="70E98E9E"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T1</w:t>
            </w:r>
          </w:p>
        </w:tc>
        <w:tc>
          <w:tcPr>
            <w:tcW w:w="1061" w:type="dxa"/>
            <w:tcBorders>
              <w:top w:val="nil"/>
              <w:left w:val="nil"/>
              <w:bottom w:val="nil"/>
              <w:right w:val="nil"/>
            </w:tcBorders>
            <w:shd w:val="clear" w:color="auto" w:fill="auto"/>
            <w:vAlign w:val="bottom"/>
          </w:tcPr>
          <w:p w14:paraId="4B112FF8"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90.4</w:t>
            </w:r>
          </w:p>
        </w:tc>
        <w:tc>
          <w:tcPr>
            <w:tcW w:w="1062" w:type="dxa"/>
            <w:tcBorders>
              <w:top w:val="nil"/>
              <w:left w:val="nil"/>
              <w:bottom w:val="nil"/>
              <w:right w:val="nil"/>
            </w:tcBorders>
            <w:shd w:val="clear" w:color="auto" w:fill="auto"/>
            <w:vAlign w:val="bottom"/>
          </w:tcPr>
          <w:p w14:paraId="6D6A1E93"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15.5</w:t>
            </w:r>
          </w:p>
        </w:tc>
        <w:tc>
          <w:tcPr>
            <w:tcW w:w="1061" w:type="dxa"/>
            <w:tcBorders>
              <w:top w:val="nil"/>
              <w:left w:val="nil"/>
              <w:bottom w:val="nil"/>
              <w:right w:val="nil"/>
            </w:tcBorders>
            <w:shd w:val="clear" w:color="auto" w:fill="auto"/>
            <w:vAlign w:val="bottom"/>
          </w:tcPr>
          <w:p w14:paraId="1B23D34F"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50</w:t>
            </w:r>
          </w:p>
        </w:tc>
        <w:tc>
          <w:tcPr>
            <w:tcW w:w="1061" w:type="dxa"/>
            <w:tcBorders>
              <w:top w:val="nil"/>
              <w:left w:val="nil"/>
              <w:bottom w:val="nil"/>
              <w:right w:val="nil"/>
            </w:tcBorders>
            <w:shd w:val="clear" w:color="auto" w:fill="auto"/>
            <w:vAlign w:val="bottom"/>
          </w:tcPr>
          <w:p w14:paraId="486E3260"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90</w:t>
            </w:r>
          </w:p>
        </w:tc>
        <w:tc>
          <w:tcPr>
            <w:tcW w:w="1062" w:type="dxa"/>
            <w:tcBorders>
              <w:top w:val="nil"/>
              <w:left w:val="nil"/>
              <w:bottom w:val="nil"/>
              <w:right w:val="nil"/>
            </w:tcBorders>
            <w:shd w:val="clear" w:color="auto" w:fill="auto"/>
            <w:vAlign w:val="bottom"/>
          </w:tcPr>
          <w:p w14:paraId="468F5AF3"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150</w:t>
            </w:r>
          </w:p>
        </w:tc>
      </w:tr>
      <w:tr w:rsidR="00573FA0" w:rsidRPr="00CC12E6" w14:paraId="7B70BD63" w14:textId="77777777">
        <w:trPr>
          <w:trHeight w:val="315"/>
        </w:trPr>
        <w:tc>
          <w:tcPr>
            <w:tcW w:w="1113" w:type="dxa"/>
            <w:tcBorders>
              <w:top w:val="nil"/>
              <w:left w:val="nil"/>
              <w:bottom w:val="nil"/>
              <w:right w:val="nil"/>
            </w:tcBorders>
            <w:shd w:val="clear" w:color="auto" w:fill="auto"/>
            <w:vAlign w:val="bottom"/>
          </w:tcPr>
          <w:p w14:paraId="2F9B5CBA" w14:textId="77777777" w:rsidR="00573FA0" w:rsidRPr="00CC12E6" w:rsidRDefault="00573FA0" w:rsidP="005B06D6">
            <w:pPr>
              <w:jc w:val="both"/>
              <w:rPr>
                <w:rFonts w:eastAsia="Calibri"/>
                <w:color w:val="000000"/>
                <w:sz w:val="20"/>
                <w:szCs w:val="20"/>
              </w:rPr>
            </w:pPr>
          </w:p>
        </w:tc>
        <w:tc>
          <w:tcPr>
            <w:tcW w:w="1155" w:type="dxa"/>
            <w:tcBorders>
              <w:top w:val="nil"/>
              <w:left w:val="nil"/>
              <w:bottom w:val="nil"/>
              <w:right w:val="single" w:sz="4" w:space="0" w:color="000000"/>
            </w:tcBorders>
            <w:shd w:val="clear" w:color="auto" w:fill="auto"/>
            <w:vAlign w:val="bottom"/>
          </w:tcPr>
          <w:p w14:paraId="76410556"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T2</w:t>
            </w:r>
          </w:p>
        </w:tc>
        <w:tc>
          <w:tcPr>
            <w:tcW w:w="1061" w:type="dxa"/>
            <w:tcBorders>
              <w:top w:val="nil"/>
              <w:left w:val="nil"/>
              <w:bottom w:val="nil"/>
              <w:right w:val="nil"/>
            </w:tcBorders>
            <w:shd w:val="clear" w:color="auto" w:fill="auto"/>
            <w:vAlign w:val="bottom"/>
          </w:tcPr>
          <w:p w14:paraId="3776B62B"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92.1</w:t>
            </w:r>
          </w:p>
        </w:tc>
        <w:tc>
          <w:tcPr>
            <w:tcW w:w="1062" w:type="dxa"/>
            <w:tcBorders>
              <w:top w:val="nil"/>
              <w:left w:val="nil"/>
              <w:bottom w:val="nil"/>
              <w:right w:val="nil"/>
            </w:tcBorders>
            <w:shd w:val="clear" w:color="auto" w:fill="auto"/>
            <w:vAlign w:val="bottom"/>
          </w:tcPr>
          <w:p w14:paraId="6037681C"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17.5</w:t>
            </w:r>
          </w:p>
        </w:tc>
        <w:tc>
          <w:tcPr>
            <w:tcW w:w="1061" w:type="dxa"/>
            <w:tcBorders>
              <w:top w:val="nil"/>
              <w:left w:val="nil"/>
              <w:bottom w:val="nil"/>
              <w:right w:val="nil"/>
            </w:tcBorders>
            <w:shd w:val="clear" w:color="auto" w:fill="auto"/>
            <w:vAlign w:val="bottom"/>
          </w:tcPr>
          <w:p w14:paraId="48A1E7DE"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50</w:t>
            </w:r>
          </w:p>
        </w:tc>
        <w:tc>
          <w:tcPr>
            <w:tcW w:w="1061" w:type="dxa"/>
            <w:tcBorders>
              <w:top w:val="nil"/>
              <w:left w:val="nil"/>
              <w:bottom w:val="nil"/>
              <w:right w:val="nil"/>
            </w:tcBorders>
            <w:shd w:val="clear" w:color="auto" w:fill="auto"/>
            <w:vAlign w:val="bottom"/>
          </w:tcPr>
          <w:p w14:paraId="0649067F"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90</w:t>
            </w:r>
          </w:p>
        </w:tc>
        <w:tc>
          <w:tcPr>
            <w:tcW w:w="1062" w:type="dxa"/>
            <w:tcBorders>
              <w:top w:val="nil"/>
              <w:left w:val="nil"/>
              <w:bottom w:val="nil"/>
              <w:right w:val="nil"/>
            </w:tcBorders>
            <w:shd w:val="clear" w:color="auto" w:fill="auto"/>
            <w:vAlign w:val="bottom"/>
          </w:tcPr>
          <w:p w14:paraId="3A8AD741"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170</w:t>
            </w:r>
          </w:p>
        </w:tc>
      </w:tr>
      <w:tr w:rsidR="00573FA0" w:rsidRPr="00CC12E6" w14:paraId="21CECDBC" w14:textId="77777777">
        <w:trPr>
          <w:trHeight w:val="330"/>
        </w:trPr>
        <w:tc>
          <w:tcPr>
            <w:tcW w:w="1113" w:type="dxa"/>
            <w:tcBorders>
              <w:top w:val="nil"/>
              <w:left w:val="nil"/>
              <w:bottom w:val="single" w:sz="8" w:space="0" w:color="000000"/>
              <w:right w:val="nil"/>
            </w:tcBorders>
            <w:shd w:val="clear" w:color="auto" w:fill="auto"/>
            <w:vAlign w:val="bottom"/>
          </w:tcPr>
          <w:p w14:paraId="2F1E8AEF"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 </w:t>
            </w:r>
          </w:p>
        </w:tc>
        <w:tc>
          <w:tcPr>
            <w:tcW w:w="1155" w:type="dxa"/>
            <w:tcBorders>
              <w:top w:val="nil"/>
              <w:left w:val="nil"/>
              <w:bottom w:val="single" w:sz="8" w:space="0" w:color="000000"/>
              <w:right w:val="single" w:sz="4" w:space="0" w:color="000000"/>
            </w:tcBorders>
            <w:shd w:val="clear" w:color="auto" w:fill="auto"/>
            <w:vAlign w:val="bottom"/>
          </w:tcPr>
          <w:p w14:paraId="41C4B1FD"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Evolution</w:t>
            </w:r>
          </w:p>
        </w:tc>
        <w:tc>
          <w:tcPr>
            <w:tcW w:w="1061" w:type="dxa"/>
            <w:tcBorders>
              <w:top w:val="nil"/>
              <w:left w:val="nil"/>
              <w:bottom w:val="single" w:sz="8" w:space="0" w:color="000000"/>
              <w:right w:val="nil"/>
            </w:tcBorders>
            <w:shd w:val="clear" w:color="auto" w:fill="auto"/>
            <w:vAlign w:val="bottom"/>
          </w:tcPr>
          <w:p w14:paraId="31ED1579"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1.7</w:t>
            </w:r>
          </w:p>
        </w:tc>
        <w:tc>
          <w:tcPr>
            <w:tcW w:w="1062" w:type="dxa"/>
            <w:tcBorders>
              <w:top w:val="nil"/>
              <w:left w:val="nil"/>
              <w:bottom w:val="single" w:sz="8" w:space="0" w:color="000000"/>
              <w:right w:val="nil"/>
            </w:tcBorders>
            <w:shd w:val="clear" w:color="auto" w:fill="auto"/>
            <w:vAlign w:val="bottom"/>
          </w:tcPr>
          <w:p w14:paraId="6F5D7F46"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13.9</w:t>
            </w:r>
          </w:p>
        </w:tc>
        <w:tc>
          <w:tcPr>
            <w:tcW w:w="1061" w:type="dxa"/>
            <w:tcBorders>
              <w:top w:val="nil"/>
              <w:left w:val="nil"/>
              <w:bottom w:val="single" w:sz="8" w:space="0" w:color="000000"/>
              <w:right w:val="nil"/>
            </w:tcBorders>
            <w:shd w:val="clear" w:color="auto" w:fill="auto"/>
            <w:vAlign w:val="bottom"/>
          </w:tcPr>
          <w:p w14:paraId="70E882BC"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-20</w:t>
            </w:r>
          </w:p>
        </w:tc>
        <w:tc>
          <w:tcPr>
            <w:tcW w:w="1061" w:type="dxa"/>
            <w:tcBorders>
              <w:top w:val="nil"/>
              <w:left w:val="nil"/>
              <w:bottom w:val="single" w:sz="8" w:space="0" w:color="000000"/>
              <w:right w:val="nil"/>
            </w:tcBorders>
            <w:shd w:val="clear" w:color="auto" w:fill="auto"/>
            <w:vAlign w:val="bottom"/>
          </w:tcPr>
          <w:p w14:paraId="22EC4C20"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0</w:t>
            </w:r>
          </w:p>
        </w:tc>
        <w:tc>
          <w:tcPr>
            <w:tcW w:w="1062" w:type="dxa"/>
            <w:tcBorders>
              <w:top w:val="nil"/>
              <w:left w:val="nil"/>
              <w:bottom w:val="single" w:sz="8" w:space="0" w:color="000000"/>
              <w:right w:val="nil"/>
            </w:tcBorders>
            <w:shd w:val="clear" w:color="auto" w:fill="auto"/>
            <w:vAlign w:val="bottom"/>
          </w:tcPr>
          <w:p w14:paraId="5E313BC5" w14:textId="77777777" w:rsidR="00573FA0" w:rsidRPr="00CC12E6" w:rsidRDefault="00655520" w:rsidP="005B06D6">
            <w:pPr>
              <w:jc w:val="both"/>
              <w:rPr>
                <w:rFonts w:eastAsia="Calibri"/>
                <w:color w:val="000000"/>
                <w:sz w:val="20"/>
                <w:szCs w:val="20"/>
              </w:rPr>
            </w:pPr>
            <w:r w:rsidRPr="00CC12E6">
              <w:rPr>
                <w:rFonts w:eastAsia="Calibri"/>
                <w:color w:val="000000"/>
                <w:sz w:val="20"/>
                <w:szCs w:val="20"/>
              </w:rPr>
              <w:t>90</w:t>
            </w:r>
          </w:p>
        </w:tc>
      </w:tr>
    </w:tbl>
    <w:p w14:paraId="47AF2D56" w14:textId="67AAD2E5" w:rsidR="00573FA0" w:rsidRDefault="00655520" w:rsidP="0079365C">
      <w:pPr>
        <w:pBdr>
          <w:top w:val="nil"/>
          <w:left w:val="nil"/>
          <w:bottom w:val="nil"/>
          <w:right w:val="nil"/>
          <w:between w:val="nil"/>
        </w:pBdr>
        <w:spacing w:line="480" w:lineRule="auto"/>
        <w:jc w:val="both"/>
        <w:rPr>
          <w:rFonts w:eastAsia="Arial"/>
          <w:color w:val="000000"/>
          <w:sz w:val="20"/>
          <w:szCs w:val="20"/>
        </w:rPr>
      </w:pPr>
      <w:r w:rsidRPr="00CC12E6">
        <w:rPr>
          <w:rFonts w:eastAsia="Arial"/>
          <w:color w:val="000000"/>
          <w:sz w:val="20"/>
          <w:szCs w:val="20"/>
        </w:rPr>
        <w:t>*Standard deviatio</w:t>
      </w:r>
      <w:r w:rsidR="001A278C">
        <w:rPr>
          <w:rFonts w:eastAsia="Arial"/>
          <w:color w:val="000000"/>
          <w:sz w:val="20"/>
          <w:szCs w:val="20"/>
        </w:rPr>
        <w:t>n</w:t>
      </w:r>
    </w:p>
    <w:p w14:paraId="20791EAA" w14:textId="77777777" w:rsidR="004369E5" w:rsidRDefault="004369E5" w:rsidP="0079365C">
      <w:pPr>
        <w:pBdr>
          <w:top w:val="nil"/>
          <w:left w:val="nil"/>
          <w:bottom w:val="nil"/>
          <w:right w:val="nil"/>
          <w:between w:val="nil"/>
        </w:pBdr>
        <w:spacing w:line="480" w:lineRule="auto"/>
        <w:jc w:val="both"/>
        <w:rPr>
          <w:rFonts w:eastAsia="Arial"/>
          <w:color w:val="000000"/>
          <w:sz w:val="20"/>
          <w:szCs w:val="20"/>
        </w:rPr>
      </w:pPr>
    </w:p>
    <w:p w14:paraId="7313C619" w14:textId="77777777" w:rsidR="004369E5" w:rsidRDefault="004369E5" w:rsidP="0079365C">
      <w:pPr>
        <w:pBdr>
          <w:top w:val="nil"/>
          <w:left w:val="nil"/>
          <w:bottom w:val="nil"/>
          <w:right w:val="nil"/>
          <w:between w:val="nil"/>
        </w:pBdr>
        <w:spacing w:line="480" w:lineRule="auto"/>
        <w:jc w:val="both"/>
        <w:rPr>
          <w:rFonts w:eastAsia="Arial"/>
          <w:color w:val="000000"/>
          <w:sz w:val="20"/>
          <w:szCs w:val="20"/>
        </w:rPr>
      </w:pPr>
    </w:p>
    <w:p w14:paraId="236F2BC1" w14:textId="77777777" w:rsidR="00EE4468" w:rsidRDefault="00EE4468" w:rsidP="00EE4468">
      <w:pPr>
        <w:pStyle w:val="ListParagraph"/>
        <w:spacing w:line="480" w:lineRule="auto"/>
        <w:ind w:left="0" w:right="-7"/>
        <w:jc w:val="both"/>
        <w:rPr>
          <w:rFonts w:eastAsia="Arial"/>
          <w:b/>
          <w:sz w:val="20"/>
          <w:szCs w:val="20"/>
        </w:rPr>
      </w:pPr>
    </w:p>
    <w:p w14:paraId="7FFC2D89" w14:textId="77777777" w:rsidR="004369E5" w:rsidRDefault="004369E5" w:rsidP="003B03C1">
      <w:pPr>
        <w:spacing w:line="360" w:lineRule="auto"/>
        <w:jc w:val="both"/>
        <w:rPr>
          <w:sz w:val="20"/>
          <w:szCs w:val="20"/>
        </w:rPr>
      </w:pPr>
    </w:p>
    <w:p w14:paraId="510ABDF0" w14:textId="77777777" w:rsidR="004369E5" w:rsidRDefault="004369E5" w:rsidP="003B03C1">
      <w:pPr>
        <w:spacing w:line="360" w:lineRule="auto"/>
        <w:jc w:val="both"/>
        <w:rPr>
          <w:sz w:val="20"/>
          <w:szCs w:val="20"/>
        </w:rPr>
      </w:pPr>
    </w:p>
    <w:p w14:paraId="7385BB50" w14:textId="77777777" w:rsidR="004369E5" w:rsidRPr="00CC12E6" w:rsidRDefault="004369E5" w:rsidP="004369E5">
      <w:pPr>
        <w:spacing w:line="480" w:lineRule="auto"/>
        <w:jc w:val="both"/>
        <w:rPr>
          <w:rFonts w:eastAsia="Arial"/>
          <w:b/>
          <w:sz w:val="20"/>
          <w:szCs w:val="20"/>
        </w:rPr>
      </w:pPr>
      <w:r w:rsidRPr="00CC12E6">
        <w:rPr>
          <w:rFonts w:eastAsia="Arial"/>
          <w:b/>
          <w:sz w:val="20"/>
          <w:szCs w:val="20"/>
        </w:rPr>
        <w:t>References</w:t>
      </w:r>
    </w:p>
    <w:p w14:paraId="6C6FF39B"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rPr>
        <w:t xml:space="preserve">World Health Organization. (2023). Hypertension. Available on URL: </w:t>
      </w:r>
      <w:hyperlink r:id="rId9">
        <w:r w:rsidRPr="00CC12E6">
          <w:rPr>
            <w:rFonts w:eastAsia="Arial"/>
            <w:color w:val="0563C1"/>
            <w:sz w:val="20"/>
            <w:szCs w:val="20"/>
            <w:u w:val="single"/>
          </w:rPr>
          <w:t>https://www.who.int/news-room/fact-sheets/detail/hypertension</w:t>
        </w:r>
      </w:hyperlink>
      <w:r w:rsidRPr="00CC12E6">
        <w:rPr>
          <w:rFonts w:eastAsia="Arial"/>
          <w:color w:val="000000"/>
          <w:sz w:val="20"/>
          <w:szCs w:val="20"/>
        </w:rPr>
        <w:t xml:space="preserve"> </w:t>
      </w:r>
    </w:p>
    <w:p w14:paraId="1DE171C7"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rPr>
        <w:t>Whelton PK, Carey RM, Aronow WS, et al. 2017 ACC/AHA/AAPA/ABC/ACPM/AGS/</w:t>
      </w:r>
      <w:proofErr w:type="spellStart"/>
      <w:r w:rsidRPr="00CC12E6">
        <w:rPr>
          <w:rFonts w:eastAsia="Arial"/>
          <w:color w:val="000000"/>
          <w:sz w:val="20"/>
          <w:szCs w:val="20"/>
        </w:rPr>
        <w:t>APhA</w:t>
      </w:r>
      <w:proofErr w:type="spellEnd"/>
      <w:r w:rsidRPr="00CC12E6">
        <w:rPr>
          <w:rFonts w:eastAsia="Arial"/>
          <w:color w:val="000000"/>
          <w:sz w:val="20"/>
          <w:szCs w:val="20"/>
        </w:rPr>
        <w:t>/ASH/ASPC/NMA/PCNA Guideline for the Prevention, Detection, Evaluation, and Management of High Blood Pressure in Adults: Executive Summary: A Report of the American College of Cardiology/American Heart Association Task Force on Clinical Practice Guidelines. Circulation 2018;138(17</w:t>
      </w:r>
      <w:proofErr w:type="gramStart"/>
      <w:r w:rsidRPr="00CC12E6">
        <w:rPr>
          <w:rFonts w:eastAsia="Arial"/>
          <w:color w:val="000000"/>
          <w:sz w:val="20"/>
          <w:szCs w:val="20"/>
        </w:rPr>
        <w:t>):e</w:t>
      </w:r>
      <w:proofErr w:type="gramEnd"/>
      <w:r w:rsidRPr="00CC12E6">
        <w:rPr>
          <w:rFonts w:eastAsia="Arial"/>
          <w:color w:val="000000"/>
          <w:sz w:val="20"/>
          <w:szCs w:val="20"/>
        </w:rPr>
        <w:t>426-e83</w:t>
      </w:r>
    </w:p>
    <w:p w14:paraId="6CD6AB7E"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rPr>
        <w:t xml:space="preserve">Mancia G, Grassi G, 2016. The Heterogeneous Nature of White-Coat Hypertension. J Am Coll </w:t>
      </w:r>
      <w:proofErr w:type="spellStart"/>
      <w:r w:rsidRPr="00CC12E6">
        <w:rPr>
          <w:rFonts w:eastAsia="Arial"/>
          <w:color w:val="000000"/>
          <w:sz w:val="20"/>
          <w:szCs w:val="20"/>
        </w:rPr>
        <w:t>Cardiol</w:t>
      </w:r>
      <w:proofErr w:type="spellEnd"/>
      <w:r w:rsidRPr="00CC12E6">
        <w:rPr>
          <w:rFonts w:eastAsia="Arial"/>
          <w:color w:val="000000"/>
          <w:sz w:val="20"/>
          <w:szCs w:val="20"/>
        </w:rPr>
        <w:t xml:space="preserve">. 2016 Nov 8;68(19):2044-2046. </w:t>
      </w:r>
      <w:proofErr w:type="spellStart"/>
      <w:r w:rsidRPr="00CC12E6">
        <w:rPr>
          <w:rFonts w:eastAsia="Arial"/>
          <w:color w:val="000000"/>
          <w:sz w:val="20"/>
          <w:szCs w:val="20"/>
        </w:rPr>
        <w:t>doi</w:t>
      </w:r>
      <w:proofErr w:type="spellEnd"/>
      <w:r w:rsidRPr="00CC12E6">
        <w:rPr>
          <w:rFonts w:eastAsia="Arial"/>
          <w:color w:val="000000"/>
          <w:sz w:val="20"/>
          <w:szCs w:val="20"/>
        </w:rPr>
        <w:t>: 10.1016/j.jacc.2016.08.043</w:t>
      </w:r>
    </w:p>
    <w:p w14:paraId="027DF691"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proofErr w:type="spellStart"/>
      <w:r w:rsidRPr="00CC12E6">
        <w:rPr>
          <w:rFonts w:eastAsia="Arial"/>
          <w:color w:val="000000"/>
          <w:sz w:val="20"/>
          <w:szCs w:val="20"/>
        </w:rPr>
        <w:t>Nuredini</w:t>
      </w:r>
      <w:proofErr w:type="spellEnd"/>
      <w:r w:rsidRPr="00CC12E6">
        <w:rPr>
          <w:rFonts w:eastAsia="Arial"/>
          <w:color w:val="000000"/>
          <w:sz w:val="20"/>
          <w:szCs w:val="20"/>
        </w:rPr>
        <w:t xml:space="preserve"> G, Saunders A, Rajkumar C, Okorie M. Current status of white coat hypertension: where are we? Ther Adv Cardiovasc Dis. 2020 Jan-</w:t>
      </w:r>
      <w:proofErr w:type="gramStart"/>
      <w:r w:rsidRPr="00CC12E6">
        <w:rPr>
          <w:rFonts w:eastAsia="Arial"/>
          <w:color w:val="000000"/>
          <w:sz w:val="20"/>
          <w:szCs w:val="20"/>
        </w:rPr>
        <w:t>Dec;14:1753944720931637</w:t>
      </w:r>
      <w:proofErr w:type="gramEnd"/>
      <w:r w:rsidRPr="00CC12E6">
        <w:rPr>
          <w:rFonts w:eastAsia="Arial"/>
          <w:color w:val="000000"/>
          <w:sz w:val="20"/>
          <w:szCs w:val="20"/>
        </w:rPr>
        <w:t xml:space="preserve">. </w:t>
      </w:r>
      <w:proofErr w:type="spellStart"/>
      <w:r w:rsidRPr="00CC12E6">
        <w:rPr>
          <w:rFonts w:eastAsia="Arial"/>
          <w:color w:val="000000"/>
          <w:sz w:val="20"/>
          <w:szCs w:val="20"/>
        </w:rPr>
        <w:t>doi</w:t>
      </w:r>
      <w:proofErr w:type="spellEnd"/>
      <w:r w:rsidRPr="00CC12E6">
        <w:rPr>
          <w:rFonts w:eastAsia="Arial"/>
          <w:color w:val="000000"/>
          <w:sz w:val="20"/>
          <w:szCs w:val="20"/>
        </w:rPr>
        <w:t>: 10.1177/1753944720931637.</w:t>
      </w:r>
    </w:p>
    <w:p w14:paraId="3568BA78"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rPr>
        <w:t xml:space="preserve">Filippone EJ, Foy AJ, </w:t>
      </w:r>
      <w:proofErr w:type="spellStart"/>
      <w:r w:rsidRPr="00CC12E6">
        <w:rPr>
          <w:rFonts w:eastAsia="Arial"/>
          <w:color w:val="000000"/>
          <w:sz w:val="20"/>
          <w:szCs w:val="20"/>
        </w:rPr>
        <w:t>Naccarelli</w:t>
      </w:r>
      <w:proofErr w:type="spellEnd"/>
      <w:r w:rsidRPr="00CC12E6">
        <w:rPr>
          <w:rFonts w:eastAsia="Arial"/>
          <w:color w:val="000000"/>
          <w:sz w:val="20"/>
          <w:szCs w:val="20"/>
        </w:rPr>
        <w:t xml:space="preserve"> </w:t>
      </w:r>
      <w:proofErr w:type="spellStart"/>
      <w:proofErr w:type="gramStart"/>
      <w:r w:rsidRPr="00CC12E6">
        <w:rPr>
          <w:rFonts w:eastAsia="Arial"/>
          <w:color w:val="000000"/>
          <w:sz w:val="20"/>
          <w:szCs w:val="20"/>
        </w:rPr>
        <w:t>GV.Controversies</w:t>
      </w:r>
      <w:proofErr w:type="spellEnd"/>
      <w:proofErr w:type="gramEnd"/>
      <w:r w:rsidRPr="00CC12E6">
        <w:rPr>
          <w:rFonts w:eastAsia="Arial"/>
          <w:color w:val="000000"/>
          <w:sz w:val="20"/>
          <w:szCs w:val="20"/>
        </w:rPr>
        <w:t xml:space="preserve"> in Hypertension III: Dipping, Nocturnal Hypertension, and the Morning </w:t>
      </w:r>
      <w:proofErr w:type="spellStart"/>
      <w:r w:rsidRPr="00CC12E6">
        <w:rPr>
          <w:rFonts w:eastAsia="Arial"/>
          <w:color w:val="000000"/>
          <w:sz w:val="20"/>
          <w:szCs w:val="20"/>
        </w:rPr>
        <w:t>Surge.Am</w:t>
      </w:r>
      <w:proofErr w:type="spellEnd"/>
      <w:r w:rsidRPr="00CC12E6">
        <w:rPr>
          <w:rFonts w:eastAsia="Arial"/>
          <w:color w:val="000000"/>
          <w:sz w:val="20"/>
          <w:szCs w:val="20"/>
        </w:rPr>
        <w:t xml:space="preserve"> J Med. 2023 Jul;136(7):629-637. </w:t>
      </w:r>
      <w:proofErr w:type="spellStart"/>
      <w:r w:rsidRPr="00CC12E6">
        <w:rPr>
          <w:rFonts w:eastAsia="Arial"/>
          <w:color w:val="000000"/>
          <w:sz w:val="20"/>
          <w:szCs w:val="20"/>
        </w:rPr>
        <w:t>doi</w:t>
      </w:r>
      <w:proofErr w:type="spellEnd"/>
      <w:r w:rsidRPr="00CC12E6">
        <w:rPr>
          <w:rFonts w:eastAsia="Arial"/>
          <w:color w:val="000000"/>
          <w:sz w:val="20"/>
          <w:szCs w:val="20"/>
        </w:rPr>
        <w:t xml:space="preserve">: 10.1016/j.amjmed.2023.02.018. </w:t>
      </w:r>
      <w:proofErr w:type="spellStart"/>
      <w:r w:rsidRPr="00CC12E6">
        <w:rPr>
          <w:rFonts w:eastAsia="Arial"/>
          <w:color w:val="000000"/>
          <w:sz w:val="20"/>
          <w:szCs w:val="20"/>
        </w:rPr>
        <w:t>Epub</w:t>
      </w:r>
      <w:proofErr w:type="spellEnd"/>
      <w:r w:rsidRPr="00CC12E6">
        <w:rPr>
          <w:rFonts w:eastAsia="Arial"/>
          <w:color w:val="000000"/>
          <w:sz w:val="20"/>
          <w:szCs w:val="20"/>
        </w:rPr>
        <w:t xml:space="preserve"> 2023 Mar 7.</w:t>
      </w:r>
    </w:p>
    <w:p w14:paraId="0DC6645E"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rPr>
        <w:t xml:space="preserve">Andersson H, Hedström L, Bergh H (2021) White coat hypertension detected during opportunistic blood pressure screening in a dental healthcare setting, Scandinavian Journal of Primary Health Care, 39:3, 348-354. </w:t>
      </w:r>
    </w:p>
    <w:p w14:paraId="0F051B4E"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rPr>
        <w:t xml:space="preserve">Stergiou GS, </w:t>
      </w:r>
      <w:proofErr w:type="spellStart"/>
      <w:r w:rsidRPr="00CC12E6">
        <w:rPr>
          <w:rFonts w:eastAsia="Arial"/>
          <w:color w:val="000000"/>
          <w:sz w:val="20"/>
          <w:szCs w:val="20"/>
        </w:rPr>
        <w:t>Parati</w:t>
      </w:r>
      <w:proofErr w:type="spellEnd"/>
      <w:r w:rsidRPr="00CC12E6">
        <w:rPr>
          <w:rFonts w:eastAsia="Arial"/>
          <w:color w:val="000000"/>
          <w:sz w:val="20"/>
          <w:szCs w:val="20"/>
        </w:rPr>
        <w:t xml:space="preserve"> G. Diagnosis and management of white coat hypertension. Hypertension. 2018;72(2):232-233.</w:t>
      </w:r>
    </w:p>
    <w:p w14:paraId="51F538CE"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rPr>
        <w:t>Rao SS, Ramana Reddy KV, Nath P, Bindra S, Jadaun G. Is screening in dental office an effective method of detecting undiagnosed hypertension? Indian J Dent Res. 2018 Jul-Aug;29(4):534-539.</w:t>
      </w:r>
    </w:p>
    <w:p w14:paraId="47911CE3"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lang w:val="pt-BR"/>
        </w:rPr>
        <w:t xml:space="preserve">Barroso et al. 7a Diretriz Brasileira de Hipertensão Arterial. </w:t>
      </w:r>
      <w:proofErr w:type="spellStart"/>
      <w:r w:rsidRPr="00CC12E6">
        <w:rPr>
          <w:rFonts w:eastAsia="Arial"/>
          <w:color w:val="000000"/>
          <w:sz w:val="20"/>
          <w:szCs w:val="20"/>
        </w:rPr>
        <w:t>Arq</w:t>
      </w:r>
      <w:proofErr w:type="spellEnd"/>
      <w:r w:rsidRPr="00CC12E6">
        <w:rPr>
          <w:rFonts w:eastAsia="Arial"/>
          <w:color w:val="000000"/>
          <w:sz w:val="20"/>
          <w:szCs w:val="20"/>
        </w:rPr>
        <w:t xml:space="preserve"> Bras </w:t>
      </w:r>
      <w:proofErr w:type="spellStart"/>
      <w:r w:rsidRPr="00CC12E6">
        <w:rPr>
          <w:rFonts w:eastAsia="Arial"/>
          <w:color w:val="000000"/>
          <w:sz w:val="20"/>
          <w:szCs w:val="20"/>
        </w:rPr>
        <w:t>Cardiol</w:t>
      </w:r>
      <w:proofErr w:type="spellEnd"/>
      <w:r w:rsidRPr="00CC12E6">
        <w:rPr>
          <w:rFonts w:eastAsia="Arial"/>
          <w:color w:val="000000"/>
          <w:sz w:val="20"/>
          <w:szCs w:val="20"/>
        </w:rPr>
        <w:t xml:space="preserve">. 2021; 116(3):516-658. </w:t>
      </w:r>
    </w:p>
    <w:p w14:paraId="250E1971"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proofErr w:type="spellStart"/>
      <w:r w:rsidRPr="00CC12E6">
        <w:rPr>
          <w:rFonts w:eastAsia="Arial"/>
          <w:color w:val="000000"/>
          <w:sz w:val="20"/>
          <w:szCs w:val="20"/>
        </w:rPr>
        <w:t>Yarows</w:t>
      </w:r>
      <w:proofErr w:type="spellEnd"/>
      <w:r w:rsidRPr="00CC12E6">
        <w:rPr>
          <w:rFonts w:eastAsia="Arial"/>
          <w:color w:val="000000"/>
          <w:sz w:val="20"/>
          <w:szCs w:val="20"/>
        </w:rPr>
        <w:t xml:space="preserve"> SA, </w:t>
      </w:r>
      <w:proofErr w:type="spellStart"/>
      <w:r w:rsidRPr="00CC12E6">
        <w:rPr>
          <w:rFonts w:eastAsia="Arial"/>
          <w:color w:val="000000"/>
          <w:sz w:val="20"/>
          <w:szCs w:val="20"/>
        </w:rPr>
        <w:t>Vornovitsky</w:t>
      </w:r>
      <w:proofErr w:type="spellEnd"/>
      <w:r w:rsidRPr="00CC12E6">
        <w:rPr>
          <w:rFonts w:eastAsia="Arial"/>
          <w:color w:val="000000"/>
          <w:sz w:val="20"/>
          <w:szCs w:val="20"/>
        </w:rPr>
        <w:t xml:space="preserve"> O, Eber RM, </w:t>
      </w:r>
      <w:proofErr w:type="spellStart"/>
      <w:r w:rsidRPr="00CC12E6">
        <w:rPr>
          <w:rFonts w:eastAsia="Arial"/>
          <w:color w:val="000000"/>
          <w:sz w:val="20"/>
          <w:szCs w:val="20"/>
        </w:rPr>
        <w:t>Bisognano</w:t>
      </w:r>
      <w:proofErr w:type="spellEnd"/>
      <w:r w:rsidRPr="00CC12E6">
        <w:rPr>
          <w:rFonts w:eastAsia="Arial"/>
          <w:color w:val="000000"/>
          <w:sz w:val="20"/>
          <w:szCs w:val="20"/>
        </w:rPr>
        <w:t xml:space="preserve"> JD, Basile J. Canceling dental procedures due to elevated blood pressure: Is it appropriate? J Am Dent Assoc </w:t>
      </w:r>
      <w:proofErr w:type="gramStart"/>
      <w:r w:rsidRPr="00CC12E6">
        <w:rPr>
          <w:rFonts w:eastAsia="Arial"/>
          <w:color w:val="000000"/>
          <w:sz w:val="20"/>
          <w:szCs w:val="20"/>
        </w:rPr>
        <w:t>2020:S</w:t>
      </w:r>
      <w:proofErr w:type="gramEnd"/>
      <w:r w:rsidRPr="00CC12E6">
        <w:rPr>
          <w:rFonts w:eastAsia="Arial"/>
          <w:color w:val="000000"/>
          <w:sz w:val="20"/>
          <w:szCs w:val="20"/>
        </w:rPr>
        <w:t>0002-8177(19)30906-7</w:t>
      </w:r>
    </w:p>
    <w:p w14:paraId="28F2C9E3" w14:textId="77777777" w:rsidR="004369E5" w:rsidRPr="00CC12E6" w:rsidRDefault="004369E5" w:rsidP="004369E5">
      <w:pPr>
        <w:numPr>
          <w:ilvl w:val="0"/>
          <w:numId w:val="1"/>
        </w:numPr>
        <w:pBdr>
          <w:top w:val="nil"/>
          <w:left w:val="nil"/>
          <w:bottom w:val="nil"/>
          <w:right w:val="nil"/>
          <w:between w:val="nil"/>
        </w:pBdr>
        <w:spacing w:line="360" w:lineRule="auto"/>
        <w:jc w:val="both"/>
        <w:rPr>
          <w:rFonts w:eastAsia="Arial"/>
          <w:color w:val="000000"/>
          <w:sz w:val="20"/>
          <w:szCs w:val="20"/>
        </w:rPr>
      </w:pPr>
      <w:r w:rsidRPr="00CC12E6">
        <w:rPr>
          <w:rFonts w:eastAsia="Arial"/>
          <w:color w:val="000000"/>
          <w:sz w:val="20"/>
          <w:szCs w:val="20"/>
        </w:rPr>
        <w:t xml:space="preserve">Southerland JH, Gill DG, </w:t>
      </w:r>
      <w:proofErr w:type="spellStart"/>
      <w:r w:rsidRPr="00CC12E6">
        <w:rPr>
          <w:rFonts w:eastAsia="Arial"/>
          <w:color w:val="000000"/>
          <w:sz w:val="20"/>
          <w:szCs w:val="20"/>
        </w:rPr>
        <w:t>Gangula</w:t>
      </w:r>
      <w:proofErr w:type="spellEnd"/>
      <w:r w:rsidRPr="00CC12E6">
        <w:rPr>
          <w:rFonts w:eastAsia="Arial"/>
          <w:color w:val="000000"/>
          <w:sz w:val="20"/>
          <w:szCs w:val="20"/>
        </w:rPr>
        <w:t xml:space="preserve"> PR, et al. Dental management in patients with hypertension: challenges and solutions. Clin </w:t>
      </w:r>
      <w:proofErr w:type="spellStart"/>
      <w:r w:rsidRPr="00CC12E6">
        <w:rPr>
          <w:rFonts w:eastAsia="Arial"/>
          <w:color w:val="000000"/>
          <w:sz w:val="20"/>
          <w:szCs w:val="20"/>
        </w:rPr>
        <w:t>Cosmet</w:t>
      </w:r>
      <w:proofErr w:type="spellEnd"/>
      <w:r w:rsidRPr="00CC12E6">
        <w:rPr>
          <w:rFonts w:eastAsia="Arial"/>
          <w:color w:val="000000"/>
          <w:sz w:val="20"/>
          <w:szCs w:val="20"/>
        </w:rPr>
        <w:t xml:space="preserve"> </w:t>
      </w:r>
      <w:proofErr w:type="spellStart"/>
      <w:r w:rsidRPr="00CC12E6">
        <w:rPr>
          <w:rFonts w:eastAsia="Arial"/>
          <w:color w:val="000000"/>
          <w:sz w:val="20"/>
          <w:szCs w:val="20"/>
        </w:rPr>
        <w:t>Investig</w:t>
      </w:r>
      <w:proofErr w:type="spellEnd"/>
      <w:r w:rsidRPr="00CC12E6">
        <w:rPr>
          <w:rFonts w:eastAsia="Arial"/>
          <w:color w:val="000000"/>
          <w:sz w:val="20"/>
          <w:szCs w:val="20"/>
        </w:rPr>
        <w:t xml:space="preserve"> Dent </w:t>
      </w:r>
      <w:proofErr w:type="gramStart"/>
      <w:r w:rsidRPr="00CC12E6">
        <w:rPr>
          <w:rFonts w:eastAsia="Arial"/>
          <w:color w:val="000000"/>
          <w:sz w:val="20"/>
          <w:szCs w:val="20"/>
        </w:rPr>
        <w:t>2016;8:111</w:t>
      </w:r>
      <w:proofErr w:type="gramEnd"/>
      <w:r w:rsidRPr="00CC12E6">
        <w:rPr>
          <w:rFonts w:eastAsia="Arial"/>
          <w:color w:val="000000"/>
          <w:sz w:val="20"/>
          <w:szCs w:val="20"/>
        </w:rPr>
        <w:t>-20</w:t>
      </w:r>
    </w:p>
    <w:p w14:paraId="0537C809" w14:textId="77777777" w:rsidR="004369E5" w:rsidRDefault="004369E5" w:rsidP="004369E5">
      <w:pPr>
        <w:pBdr>
          <w:top w:val="nil"/>
          <w:left w:val="nil"/>
          <w:bottom w:val="nil"/>
          <w:right w:val="nil"/>
          <w:between w:val="nil"/>
        </w:pBdr>
        <w:spacing w:line="360" w:lineRule="auto"/>
        <w:ind w:left="720"/>
        <w:jc w:val="both"/>
        <w:rPr>
          <w:rFonts w:eastAsia="Arial"/>
          <w:color w:val="000000"/>
          <w:sz w:val="20"/>
          <w:szCs w:val="20"/>
        </w:rPr>
      </w:pPr>
    </w:p>
    <w:p w14:paraId="2F79ECFF" w14:textId="77777777" w:rsidR="004369E5" w:rsidRPr="00CC12E6" w:rsidRDefault="004369E5" w:rsidP="003B03C1">
      <w:pPr>
        <w:spacing w:line="360" w:lineRule="auto"/>
        <w:jc w:val="both"/>
        <w:rPr>
          <w:sz w:val="20"/>
          <w:szCs w:val="20"/>
        </w:rPr>
      </w:pPr>
    </w:p>
    <w:p w14:paraId="46568E23" w14:textId="46DE1014" w:rsidR="003B03C1" w:rsidRPr="00CC12E6" w:rsidRDefault="003B03C1" w:rsidP="003B03C1">
      <w:pPr>
        <w:spacing w:line="360" w:lineRule="auto"/>
        <w:jc w:val="both"/>
        <w:rPr>
          <w:sz w:val="20"/>
          <w:szCs w:val="20"/>
        </w:rPr>
      </w:pPr>
    </w:p>
    <w:sectPr w:rsidR="003B03C1" w:rsidRPr="00CC12E6">
      <w:headerReference w:type="even" r:id="rId10"/>
      <w:headerReference w:type="default" r:id="rId11"/>
      <w:footerReference w:type="even" r:id="rId12"/>
      <w:footerReference w:type="default" r:id="rId13"/>
      <w:headerReference w:type="first" r:id="rId14"/>
      <w:footerReference w:type="first" r:id="rId15"/>
      <w:pgSz w:w="11900" w:h="16840"/>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77AF1" w14:textId="77777777" w:rsidR="00822C76" w:rsidRDefault="00822C76">
      <w:r>
        <w:separator/>
      </w:r>
    </w:p>
  </w:endnote>
  <w:endnote w:type="continuationSeparator" w:id="0">
    <w:p w14:paraId="451B6AFC" w14:textId="77777777" w:rsidR="00822C76" w:rsidRDefault="0082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74AD" w14:textId="77777777" w:rsidR="00D1484D" w:rsidRDefault="00D14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257054"/>
      <w:docPartObj>
        <w:docPartGallery w:val="Page Numbers (Bottom of Page)"/>
        <w:docPartUnique/>
      </w:docPartObj>
    </w:sdtPr>
    <w:sdtEndPr/>
    <w:sdtContent>
      <w:p w14:paraId="519C05A9" w14:textId="77777777" w:rsidR="00C615D1" w:rsidRDefault="00C615D1">
        <w:pPr>
          <w:pStyle w:val="Footer"/>
          <w:jc w:val="right"/>
        </w:pPr>
      </w:p>
      <w:p w14:paraId="05724F03" w14:textId="30EB655A" w:rsidR="00C615D1" w:rsidRDefault="00C615D1">
        <w:pPr>
          <w:pStyle w:val="Footer"/>
          <w:jc w:val="right"/>
        </w:pPr>
        <w:r>
          <w:fldChar w:fldCharType="begin"/>
        </w:r>
        <w:r>
          <w:instrText>PAGE   \* MERGEFORMAT</w:instrText>
        </w:r>
        <w:r>
          <w:fldChar w:fldCharType="separate"/>
        </w:r>
        <w:r>
          <w:rPr>
            <w:lang w:val="pt-BR"/>
          </w:rPr>
          <w:t>2</w:t>
        </w:r>
        <w:r>
          <w:fldChar w:fldCharType="end"/>
        </w:r>
      </w:p>
    </w:sdtContent>
  </w:sdt>
  <w:p w14:paraId="09FF6D39" w14:textId="77777777" w:rsidR="00573FA0" w:rsidRDefault="00573FA0">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35D42" w14:textId="77777777" w:rsidR="00D1484D" w:rsidRDefault="00D14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8AFF0" w14:textId="77777777" w:rsidR="00822C76" w:rsidRDefault="00822C76">
      <w:r>
        <w:separator/>
      </w:r>
    </w:p>
  </w:footnote>
  <w:footnote w:type="continuationSeparator" w:id="0">
    <w:p w14:paraId="2D3825CD" w14:textId="77777777" w:rsidR="00822C76" w:rsidRDefault="00822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8D59" w14:textId="023F0EAC" w:rsidR="00D1484D" w:rsidRDefault="00D1484D">
    <w:pPr>
      <w:pStyle w:val="Header"/>
    </w:pPr>
    <w:r>
      <w:rPr>
        <w:noProof/>
      </w:rPr>
      <w:pict w14:anchorId="10EA2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95860" o:spid="_x0000_s2050" type="#_x0000_t136" style="position:absolute;margin-left:0;margin-top:0;width:539.1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850A7" w14:textId="3D419B45" w:rsidR="00D1484D" w:rsidRDefault="00D1484D">
    <w:pPr>
      <w:pStyle w:val="Header"/>
    </w:pPr>
    <w:r>
      <w:rPr>
        <w:noProof/>
      </w:rPr>
      <w:pict w14:anchorId="3743C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95861" o:spid="_x0000_s2051" type="#_x0000_t136" style="position:absolute;margin-left:0;margin-top:0;width:539.1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4ED34" w14:textId="03696605" w:rsidR="00D1484D" w:rsidRDefault="00D1484D">
    <w:pPr>
      <w:pStyle w:val="Header"/>
    </w:pPr>
    <w:r>
      <w:rPr>
        <w:noProof/>
      </w:rPr>
      <w:pict w14:anchorId="3305D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95859" o:spid="_x0000_s2049" type="#_x0000_t136" style="position:absolute;margin-left:0;margin-top:0;width:539.1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72776"/>
    <w:multiLevelType w:val="multilevel"/>
    <w:tmpl w:val="2ACE7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076B7F"/>
    <w:multiLevelType w:val="hybridMultilevel"/>
    <w:tmpl w:val="00000000"/>
    <w:lvl w:ilvl="0" w:tplc="608AE52E">
      <w:start w:val="1"/>
      <w:numFmt w:val="bullet"/>
      <w:lvlText w:val="●"/>
      <w:lvlJc w:val="left"/>
      <w:pPr>
        <w:ind w:left="720" w:hanging="360"/>
      </w:pPr>
      <w:rPr>
        <w:rFonts w:ascii="Noto Sans Symbols" w:eastAsia="Noto Sans Symbols" w:hAnsi="Noto Sans Symbols" w:cs="Noto Sans Symbols"/>
      </w:rPr>
    </w:lvl>
    <w:lvl w:ilvl="1" w:tplc="9B7094B2">
      <w:start w:val="1"/>
      <w:numFmt w:val="bullet"/>
      <w:lvlText w:val="o"/>
      <w:lvlJc w:val="left"/>
      <w:pPr>
        <w:ind w:left="1440" w:hanging="360"/>
      </w:pPr>
      <w:rPr>
        <w:rFonts w:ascii="Courier New" w:eastAsia="Courier New" w:hAnsi="Courier New" w:cs="Courier New"/>
      </w:rPr>
    </w:lvl>
    <w:lvl w:ilvl="2" w:tplc="13FE4242">
      <w:start w:val="1"/>
      <w:numFmt w:val="bullet"/>
      <w:lvlText w:val="▪"/>
      <w:lvlJc w:val="left"/>
      <w:pPr>
        <w:ind w:left="2160" w:hanging="360"/>
      </w:pPr>
      <w:rPr>
        <w:rFonts w:ascii="Noto Sans Symbols" w:eastAsia="Noto Sans Symbols" w:hAnsi="Noto Sans Symbols" w:cs="Noto Sans Symbols"/>
      </w:rPr>
    </w:lvl>
    <w:lvl w:ilvl="3" w:tplc="57664182">
      <w:start w:val="1"/>
      <w:numFmt w:val="bullet"/>
      <w:lvlText w:val="●"/>
      <w:lvlJc w:val="left"/>
      <w:pPr>
        <w:ind w:left="2880" w:hanging="360"/>
      </w:pPr>
      <w:rPr>
        <w:rFonts w:ascii="Noto Sans Symbols" w:eastAsia="Noto Sans Symbols" w:hAnsi="Noto Sans Symbols" w:cs="Noto Sans Symbols"/>
      </w:rPr>
    </w:lvl>
    <w:lvl w:ilvl="4" w:tplc="70EC7D14">
      <w:start w:val="1"/>
      <w:numFmt w:val="bullet"/>
      <w:lvlText w:val="o"/>
      <w:lvlJc w:val="left"/>
      <w:pPr>
        <w:ind w:left="3600" w:hanging="360"/>
      </w:pPr>
      <w:rPr>
        <w:rFonts w:ascii="Courier New" w:eastAsia="Courier New" w:hAnsi="Courier New" w:cs="Courier New"/>
      </w:rPr>
    </w:lvl>
    <w:lvl w:ilvl="5" w:tplc="EA88E8A8">
      <w:start w:val="1"/>
      <w:numFmt w:val="bullet"/>
      <w:lvlText w:val="▪"/>
      <w:lvlJc w:val="left"/>
      <w:pPr>
        <w:ind w:left="4320" w:hanging="360"/>
      </w:pPr>
      <w:rPr>
        <w:rFonts w:ascii="Noto Sans Symbols" w:eastAsia="Noto Sans Symbols" w:hAnsi="Noto Sans Symbols" w:cs="Noto Sans Symbols"/>
      </w:rPr>
    </w:lvl>
    <w:lvl w:ilvl="6" w:tplc="096A920E">
      <w:start w:val="1"/>
      <w:numFmt w:val="bullet"/>
      <w:lvlText w:val="●"/>
      <w:lvlJc w:val="left"/>
      <w:pPr>
        <w:ind w:left="5040" w:hanging="360"/>
      </w:pPr>
      <w:rPr>
        <w:rFonts w:ascii="Noto Sans Symbols" w:eastAsia="Noto Sans Symbols" w:hAnsi="Noto Sans Symbols" w:cs="Noto Sans Symbols"/>
      </w:rPr>
    </w:lvl>
    <w:lvl w:ilvl="7" w:tplc="9C12CE4E">
      <w:start w:val="1"/>
      <w:numFmt w:val="bullet"/>
      <w:lvlText w:val="o"/>
      <w:lvlJc w:val="left"/>
      <w:pPr>
        <w:ind w:left="5760" w:hanging="360"/>
      </w:pPr>
      <w:rPr>
        <w:rFonts w:ascii="Courier New" w:eastAsia="Courier New" w:hAnsi="Courier New" w:cs="Courier New"/>
      </w:rPr>
    </w:lvl>
    <w:lvl w:ilvl="8" w:tplc="04EADAA2">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90580B"/>
    <w:multiLevelType w:val="hybridMultilevel"/>
    <w:tmpl w:val="C15462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7A76675"/>
    <w:multiLevelType w:val="hybridMultilevel"/>
    <w:tmpl w:val="92CE870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5E11DF94"/>
    <w:multiLevelType w:val="hybridMultilevel"/>
    <w:tmpl w:val="00000000"/>
    <w:lvl w:ilvl="0" w:tplc="3C8E8BFE">
      <w:start w:val="1"/>
      <w:numFmt w:val="decimal"/>
      <w:lvlText w:val="%1."/>
      <w:lvlJc w:val="left"/>
      <w:pPr>
        <w:ind w:left="720" w:hanging="360"/>
      </w:pPr>
    </w:lvl>
    <w:lvl w:ilvl="1" w:tplc="0928AEA0">
      <w:start w:val="1"/>
      <w:numFmt w:val="lowerLetter"/>
      <w:lvlText w:val="%2."/>
      <w:lvlJc w:val="left"/>
      <w:pPr>
        <w:ind w:left="1440" w:hanging="360"/>
      </w:pPr>
    </w:lvl>
    <w:lvl w:ilvl="2" w:tplc="ADFAF4F6">
      <w:start w:val="1"/>
      <w:numFmt w:val="lowerRoman"/>
      <w:lvlText w:val="%3."/>
      <w:lvlJc w:val="right"/>
      <w:pPr>
        <w:ind w:left="2160" w:hanging="180"/>
      </w:pPr>
    </w:lvl>
    <w:lvl w:ilvl="3" w:tplc="3036069E">
      <w:start w:val="1"/>
      <w:numFmt w:val="decimal"/>
      <w:lvlText w:val="%4."/>
      <w:lvlJc w:val="left"/>
      <w:pPr>
        <w:ind w:left="2880" w:hanging="360"/>
      </w:pPr>
    </w:lvl>
    <w:lvl w:ilvl="4" w:tplc="35381896">
      <w:start w:val="1"/>
      <w:numFmt w:val="lowerLetter"/>
      <w:lvlText w:val="%5."/>
      <w:lvlJc w:val="left"/>
      <w:pPr>
        <w:ind w:left="3600" w:hanging="360"/>
      </w:pPr>
    </w:lvl>
    <w:lvl w:ilvl="5" w:tplc="AAB46A68">
      <w:start w:val="1"/>
      <w:numFmt w:val="lowerRoman"/>
      <w:lvlText w:val="%6."/>
      <w:lvlJc w:val="right"/>
      <w:pPr>
        <w:ind w:left="4320" w:hanging="180"/>
      </w:pPr>
    </w:lvl>
    <w:lvl w:ilvl="6" w:tplc="88FCA8E6">
      <w:start w:val="1"/>
      <w:numFmt w:val="decimal"/>
      <w:lvlText w:val="%7."/>
      <w:lvlJc w:val="left"/>
      <w:pPr>
        <w:ind w:left="5040" w:hanging="360"/>
      </w:pPr>
    </w:lvl>
    <w:lvl w:ilvl="7" w:tplc="F746EFBE">
      <w:start w:val="1"/>
      <w:numFmt w:val="lowerLetter"/>
      <w:lvlText w:val="%8."/>
      <w:lvlJc w:val="left"/>
      <w:pPr>
        <w:ind w:left="5760" w:hanging="360"/>
      </w:pPr>
    </w:lvl>
    <w:lvl w:ilvl="8" w:tplc="0DDC15A8">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A0"/>
    <w:rsid w:val="00031D7C"/>
    <w:rsid w:val="000331B9"/>
    <w:rsid w:val="00037959"/>
    <w:rsid w:val="00040F2F"/>
    <w:rsid w:val="00052CDA"/>
    <w:rsid w:val="00063AF9"/>
    <w:rsid w:val="000B4332"/>
    <w:rsid w:val="000C3C5D"/>
    <w:rsid w:val="000D141D"/>
    <w:rsid w:val="000D77C5"/>
    <w:rsid w:val="00104EBD"/>
    <w:rsid w:val="001144AD"/>
    <w:rsid w:val="00171255"/>
    <w:rsid w:val="00186307"/>
    <w:rsid w:val="001A278C"/>
    <w:rsid w:val="001A618B"/>
    <w:rsid w:val="001C11D4"/>
    <w:rsid w:val="00207838"/>
    <w:rsid w:val="002121FE"/>
    <w:rsid w:val="0022539A"/>
    <w:rsid w:val="00226A38"/>
    <w:rsid w:val="00242A39"/>
    <w:rsid w:val="00255FFB"/>
    <w:rsid w:val="002629C0"/>
    <w:rsid w:val="00270CD9"/>
    <w:rsid w:val="00280D1D"/>
    <w:rsid w:val="00286822"/>
    <w:rsid w:val="002A11C7"/>
    <w:rsid w:val="00307DF8"/>
    <w:rsid w:val="00312310"/>
    <w:rsid w:val="00335020"/>
    <w:rsid w:val="003768C1"/>
    <w:rsid w:val="003B03C1"/>
    <w:rsid w:val="003B4E63"/>
    <w:rsid w:val="003B6D82"/>
    <w:rsid w:val="004050F9"/>
    <w:rsid w:val="004074C8"/>
    <w:rsid w:val="0041400D"/>
    <w:rsid w:val="004369E5"/>
    <w:rsid w:val="004462DC"/>
    <w:rsid w:val="0045495E"/>
    <w:rsid w:val="00472877"/>
    <w:rsid w:val="004D36B3"/>
    <w:rsid w:val="004F6639"/>
    <w:rsid w:val="00504A8C"/>
    <w:rsid w:val="00516C45"/>
    <w:rsid w:val="00573DE2"/>
    <w:rsid w:val="00573FA0"/>
    <w:rsid w:val="005A5939"/>
    <w:rsid w:val="005B06D6"/>
    <w:rsid w:val="005B07F7"/>
    <w:rsid w:val="005C7008"/>
    <w:rsid w:val="005D7C70"/>
    <w:rsid w:val="005E5E82"/>
    <w:rsid w:val="005E7C75"/>
    <w:rsid w:val="005F014C"/>
    <w:rsid w:val="0060019D"/>
    <w:rsid w:val="0063351D"/>
    <w:rsid w:val="00655520"/>
    <w:rsid w:val="00672CBB"/>
    <w:rsid w:val="0069469C"/>
    <w:rsid w:val="006B2294"/>
    <w:rsid w:val="006E4438"/>
    <w:rsid w:val="006F235D"/>
    <w:rsid w:val="0073528E"/>
    <w:rsid w:val="007433D9"/>
    <w:rsid w:val="007523DE"/>
    <w:rsid w:val="00764E0F"/>
    <w:rsid w:val="0079365C"/>
    <w:rsid w:val="00795B90"/>
    <w:rsid w:val="007A1EF7"/>
    <w:rsid w:val="007B09F4"/>
    <w:rsid w:val="007B2863"/>
    <w:rsid w:val="007B4DFF"/>
    <w:rsid w:val="007C4E4D"/>
    <w:rsid w:val="007D4D3D"/>
    <w:rsid w:val="007D7264"/>
    <w:rsid w:val="007F6E3C"/>
    <w:rsid w:val="00822C76"/>
    <w:rsid w:val="0084790D"/>
    <w:rsid w:val="008672A7"/>
    <w:rsid w:val="0088317B"/>
    <w:rsid w:val="0089206E"/>
    <w:rsid w:val="008A5D6F"/>
    <w:rsid w:val="008C191A"/>
    <w:rsid w:val="008D2B46"/>
    <w:rsid w:val="008D37B3"/>
    <w:rsid w:val="008F593D"/>
    <w:rsid w:val="00926C56"/>
    <w:rsid w:val="009314EE"/>
    <w:rsid w:val="009643B4"/>
    <w:rsid w:val="00971CCA"/>
    <w:rsid w:val="009D7709"/>
    <w:rsid w:val="009E6E11"/>
    <w:rsid w:val="00A102BC"/>
    <w:rsid w:val="00A62D34"/>
    <w:rsid w:val="00A85805"/>
    <w:rsid w:val="00A8721D"/>
    <w:rsid w:val="00AB6E87"/>
    <w:rsid w:val="00AD6D01"/>
    <w:rsid w:val="00B256DC"/>
    <w:rsid w:val="00BA7E23"/>
    <w:rsid w:val="00BB37C4"/>
    <w:rsid w:val="00BC71EB"/>
    <w:rsid w:val="00BD37C4"/>
    <w:rsid w:val="00BE0B02"/>
    <w:rsid w:val="00BE2450"/>
    <w:rsid w:val="00BE752C"/>
    <w:rsid w:val="00BF2426"/>
    <w:rsid w:val="00BF3C68"/>
    <w:rsid w:val="00C02448"/>
    <w:rsid w:val="00C06AD0"/>
    <w:rsid w:val="00C1077C"/>
    <w:rsid w:val="00C153E2"/>
    <w:rsid w:val="00C31B0C"/>
    <w:rsid w:val="00C615D1"/>
    <w:rsid w:val="00C6257A"/>
    <w:rsid w:val="00CB5CB9"/>
    <w:rsid w:val="00CC1056"/>
    <w:rsid w:val="00CC12E6"/>
    <w:rsid w:val="00CD2979"/>
    <w:rsid w:val="00D1237E"/>
    <w:rsid w:val="00D125B5"/>
    <w:rsid w:val="00D1484D"/>
    <w:rsid w:val="00D21AA4"/>
    <w:rsid w:val="00D328B7"/>
    <w:rsid w:val="00D37A49"/>
    <w:rsid w:val="00D63457"/>
    <w:rsid w:val="00D73BE5"/>
    <w:rsid w:val="00DA1226"/>
    <w:rsid w:val="00DD3773"/>
    <w:rsid w:val="00E20571"/>
    <w:rsid w:val="00E317CC"/>
    <w:rsid w:val="00E3382E"/>
    <w:rsid w:val="00E36D3C"/>
    <w:rsid w:val="00E4285C"/>
    <w:rsid w:val="00E82AAC"/>
    <w:rsid w:val="00E907E5"/>
    <w:rsid w:val="00EA470A"/>
    <w:rsid w:val="00EC2A24"/>
    <w:rsid w:val="00ED43E2"/>
    <w:rsid w:val="00EE4468"/>
    <w:rsid w:val="00EF35E0"/>
    <w:rsid w:val="00F03D7F"/>
    <w:rsid w:val="00F22DA5"/>
    <w:rsid w:val="00F442E3"/>
    <w:rsid w:val="00F64582"/>
    <w:rsid w:val="00F80FCB"/>
    <w:rsid w:val="00F83A5C"/>
    <w:rsid w:val="00F96DB4"/>
    <w:rsid w:val="00FB5E2B"/>
    <w:rsid w:val="00FD105D"/>
    <w:rsid w:val="00FE4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099343"/>
  <w15:docId w15:val="{112D7954-2051-D94F-A476-5C993267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98E"/>
    <w:rPr>
      <w:lang w:eastAsia="pt-BR"/>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F34BBA"/>
    <w:rPr>
      <w:color w:val="0563C1" w:themeColor="hyperlink"/>
      <w:u w:val="single"/>
    </w:rPr>
  </w:style>
  <w:style w:type="table" w:styleId="PlainTable3">
    <w:name w:val="Plain Table 3"/>
    <w:basedOn w:val="TableNormal"/>
    <w:uiPriority w:val="43"/>
    <w:rsid w:val="004C4F51"/>
    <w:rPr>
      <w:rFonts w:ascii="Arial" w:eastAsia="Arial" w:hAnsi="Arial" w:cs="Arial"/>
      <w:color w:val="000000"/>
      <w:sz w:val="22"/>
      <w:szCs w:val="22"/>
      <w:lang w:eastAsia="pt-B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2D19AF"/>
  </w:style>
  <w:style w:type="character" w:styleId="CommentReference">
    <w:name w:val="annotation reference"/>
    <w:basedOn w:val="DefaultParagraphFont"/>
    <w:uiPriority w:val="99"/>
    <w:semiHidden/>
    <w:unhideWhenUsed/>
    <w:rsid w:val="001D6BB5"/>
    <w:rPr>
      <w:sz w:val="16"/>
      <w:szCs w:val="16"/>
    </w:rPr>
  </w:style>
  <w:style w:type="paragraph" w:styleId="CommentText">
    <w:name w:val="annotation text"/>
    <w:basedOn w:val="Normal"/>
    <w:link w:val="CommentTextChar"/>
    <w:uiPriority w:val="99"/>
    <w:unhideWhenUsed/>
    <w:rsid w:val="001D6BB5"/>
    <w:rPr>
      <w:sz w:val="20"/>
      <w:szCs w:val="20"/>
    </w:rPr>
  </w:style>
  <w:style w:type="character" w:customStyle="1" w:styleId="CommentTextChar">
    <w:name w:val="Comment Text Char"/>
    <w:basedOn w:val="DefaultParagraphFont"/>
    <w:link w:val="CommentText"/>
    <w:uiPriority w:val="99"/>
    <w:rsid w:val="001D6BB5"/>
    <w:rPr>
      <w:sz w:val="20"/>
      <w:szCs w:val="20"/>
    </w:rPr>
  </w:style>
  <w:style w:type="paragraph" w:styleId="CommentSubject">
    <w:name w:val="annotation subject"/>
    <w:basedOn w:val="CommentText"/>
    <w:next w:val="CommentText"/>
    <w:link w:val="CommentSubjectChar"/>
    <w:uiPriority w:val="99"/>
    <w:semiHidden/>
    <w:unhideWhenUsed/>
    <w:rsid w:val="001D6BB5"/>
    <w:rPr>
      <w:b/>
      <w:bCs/>
    </w:rPr>
  </w:style>
  <w:style w:type="character" w:customStyle="1" w:styleId="CommentSubjectChar">
    <w:name w:val="Comment Subject Char"/>
    <w:basedOn w:val="CommentTextChar"/>
    <w:link w:val="CommentSubject"/>
    <w:uiPriority w:val="99"/>
    <w:semiHidden/>
    <w:rsid w:val="001D6BB5"/>
    <w:rPr>
      <w:b/>
      <w:bCs/>
      <w:sz w:val="20"/>
      <w:szCs w:val="20"/>
    </w:rPr>
  </w:style>
  <w:style w:type="paragraph" w:styleId="BalloonText">
    <w:name w:val="Balloon Text"/>
    <w:basedOn w:val="Normal"/>
    <w:link w:val="BalloonTextChar"/>
    <w:uiPriority w:val="99"/>
    <w:semiHidden/>
    <w:unhideWhenUsed/>
    <w:rsid w:val="001D6BB5"/>
    <w:rPr>
      <w:sz w:val="18"/>
      <w:szCs w:val="18"/>
    </w:rPr>
  </w:style>
  <w:style w:type="character" w:customStyle="1" w:styleId="BalloonTextChar">
    <w:name w:val="Balloon Text Char"/>
    <w:basedOn w:val="DefaultParagraphFont"/>
    <w:link w:val="BalloonText"/>
    <w:uiPriority w:val="99"/>
    <w:semiHidden/>
    <w:rsid w:val="001D6BB5"/>
    <w:rPr>
      <w:rFonts w:ascii="Times New Roman" w:hAnsi="Times New Roman" w:cs="Times New Roman"/>
      <w:sz w:val="18"/>
      <w:szCs w:val="18"/>
    </w:rPr>
  </w:style>
  <w:style w:type="table" w:styleId="TableGrid">
    <w:name w:val="Table Grid"/>
    <w:basedOn w:val="TableNormal"/>
    <w:uiPriority w:val="39"/>
    <w:rsid w:val="001D6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B5D"/>
    <w:pPr>
      <w:ind w:left="720"/>
      <w:contextualSpacing/>
    </w:pPr>
  </w:style>
  <w:style w:type="paragraph" w:styleId="Header">
    <w:name w:val="header"/>
    <w:basedOn w:val="Normal"/>
    <w:link w:val="HeaderChar"/>
    <w:uiPriority w:val="99"/>
    <w:unhideWhenUsed/>
    <w:rsid w:val="008478C0"/>
    <w:pPr>
      <w:tabs>
        <w:tab w:val="center" w:pos="4252"/>
        <w:tab w:val="right" w:pos="8504"/>
      </w:tabs>
    </w:pPr>
  </w:style>
  <w:style w:type="character" w:customStyle="1" w:styleId="HeaderChar">
    <w:name w:val="Header Char"/>
    <w:basedOn w:val="DefaultParagraphFont"/>
    <w:link w:val="Header"/>
    <w:uiPriority w:val="99"/>
    <w:rsid w:val="008478C0"/>
    <w:rPr>
      <w:rFonts w:ascii="Times New Roman" w:eastAsia="Times New Roman" w:hAnsi="Times New Roman" w:cs="Times New Roman"/>
      <w:lang w:eastAsia="pt-BR"/>
    </w:rPr>
  </w:style>
  <w:style w:type="paragraph" w:styleId="Footer">
    <w:name w:val="footer"/>
    <w:basedOn w:val="Normal"/>
    <w:link w:val="FooterChar"/>
    <w:uiPriority w:val="99"/>
    <w:unhideWhenUsed/>
    <w:rsid w:val="008478C0"/>
    <w:pPr>
      <w:tabs>
        <w:tab w:val="center" w:pos="4252"/>
        <w:tab w:val="right" w:pos="8504"/>
      </w:tabs>
    </w:pPr>
  </w:style>
  <w:style w:type="character" w:customStyle="1" w:styleId="FooterChar">
    <w:name w:val="Footer Char"/>
    <w:basedOn w:val="DefaultParagraphFont"/>
    <w:link w:val="Footer"/>
    <w:uiPriority w:val="99"/>
    <w:rsid w:val="008478C0"/>
    <w:rPr>
      <w:rFonts w:ascii="Times New Roman" w:eastAsia="Times New Roman" w:hAnsi="Times New Roman" w:cs="Times New Roman"/>
      <w:lang w:eastAsia="pt-BR"/>
    </w:rPr>
  </w:style>
  <w:style w:type="table" w:styleId="PlainTable2">
    <w:name w:val="Plain Table 2"/>
    <w:basedOn w:val="TableNormal"/>
    <w:uiPriority w:val="42"/>
    <w:rsid w:val="001B56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grafonormal">
    <w:name w:val="Parágrafo normal"/>
    <w:basedOn w:val="Normal"/>
    <w:link w:val="PargrafonormalChar"/>
    <w:rsid w:val="00A41BBF"/>
    <w:pPr>
      <w:spacing w:line="360" w:lineRule="auto"/>
      <w:ind w:firstLine="851"/>
      <w:jc w:val="both"/>
    </w:pPr>
    <w:rPr>
      <w:rFonts w:ascii="Arial" w:hAnsi="Arial"/>
      <w:szCs w:val="20"/>
    </w:rPr>
  </w:style>
  <w:style w:type="character" w:customStyle="1" w:styleId="PargrafonormalChar">
    <w:name w:val="Parágrafo normal Char"/>
    <w:basedOn w:val="DefaultParagraphFont"/>
    <w:link w:val="Pargrafonormal"/>
    <w:rsid w:val="00A41BBF"/>
    <w:rPr>
      <w:rFonts w:ascii="Arial" w:eastAsia="Times New Roman" w:hAnsi="Arial" w:cs="Times New Roman"/>
      <w:szCs w:val="20"/>
      <w:lang w:eastAsia="pt-BR"/>
    </w:rPr>
  </w:style>
  <w:style w:type="character" w:styleId="FootnoteReference">
    <w:name w:val="footnote reference"/>
    <w:semiHidden/>
    <w:rsid w:val="00A41BBF"/>
    <w:rPr>
      <w:vertAlign w:val="superscript"/>
    </w:rPr>
  </w:style>
  <w:style w:type="paragraph" w:styleId="FootnoteText">
    <w:name w:val="footnote text"/>
    <w:basedOn w:val="Normal"/>
    <w:link w:val="FootnoteTextChar"/>
    <w:semiHidden/>
    <w:rsid w:val="00A41BBF"/>
    <w:rPr>
      <w:rFonts w:ascii="Arial" w:hAnsi="Arial"/>
      <w:sz w:val="20"/>
      <w:szCs w:val="20"/>
    </w:rPr>
  </w:style>
  <w:style w:type="character" w:customStyle="1" w:styleId="FootnoteTextChar">
    <w:name w:val="Footnote Text Char"/>
    <w:basedOn w:val="DefaultParagraphFont"/>
    <w:link w:val="FootnoteText"/>
    <w:semiHidden/>
    <w:rsid w:val="00A41BBF"/>
    <w:rPr>
      <w:rFonts w:ascii="Arial" w:eastAsia="Times New Roman" w:hAnsi="Arial" w:cs="Times New Roman"/>
      <w:sz w:val="20"/>
      <w:szCs w:val="20"/>
      <w:lang w:eastAsia="pt-BR"/>
    </w:rPr>
  </w:style>
  <w:style w:type="paragraph" w:styleId="Caption">
    <w:name w:val="caption"/>
    <w:basedOn w:val="Normal"/>
    <w:next w:val="Normal"/>
    <w:qFormat/>
    <w:rsid w:val="00A41BBF"/>
    <w:pPr>
      <w:keepNext/>
      <w:keepLines/>
      <w:spacing w:before="120" w:after="120"/>
      <w:ind w:left="1418" w:hanging="1418"/>
    </w:pPr>
    <w:rPr>
      <w:rFonts w:ascii="Arial" w:hAnsi="Arial" w:cs="Arial"/>
      <w:sz w:val="22"/>
      <w:szCs w:val="20"/>
    </w:rPr>
  </w:style>
  <w:style w:type="character" w:styleId="UnresolvedMention">
    <w:name w:val="Unresolved Mention"/>
    <w:basedOn w:val="DefaultParagraphFont"/>
    <w:uiPriority w:val="99"/>
    <w:rsid w:val="005A1186"/>
    <w:rPr>
      <w:color w:val="605E5C"/>
      <w:shd w:val="clear" w:color="auto" w:fill="E1DFDD"/>
    </w:rPr>
  </w:style>
  <w:style w:type="paragraph" w:styleId="Revision">
    <w:name w:val="Revision"/>
    <w:hidden/>
    <w:uiPriority w:val="99"/>
    <w:semiHidden/>
    <w:rsid w:val="0012676B"/>
    <w:rPr>
      <w:lang w:eastAsia="pt-B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
    <w:name w:val="Table1"/>
    <w:basedOn w:val="TableNormal1"/>
    <w:tblPr>
      <w:tblStyleRowBandSize w:val="1"/>
      <w:tblStyleColBandSize w:val="1"/>
      <w:tblCellMar>
        <w:left w:w="70" w:type="dxa"/>
        <w:right w:w="70" w:type="dxa"/>
      </w:tblCellMar>
    </w:tblPr>
  </w:style>
  <w:style w:type="table" w:customStyle="1" w:styleId="Table2">
    <w:name w:val="Table2"/>
    <w:basedOn w:val="TableNormal1"/>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117">
      <w:bodyDiv w:val="1"/>
      <w:marLeft w:val="0"/>
      <w:marRight w:val="0"/>
      <w:marTop w:val="0"/>
      <w:marBottom w:val="0"/>
      <w:divBdr>
        <w:top w:val="none" w:sz="0" w:space="0" w:color="auto"/>
        <w:left w:val="none" w:sz="0" w:space="0" w:color="auto"/>
        <w:bottom w:val="none" w:sz="0" w:space="0" w:color="auto"/>
        <w:right w:val="none" w:sz="0" w:space="0" w:color="auto"/>
      </w:divBdr>
    </w:div>
    <w:div w:id="45104410">
      <w:bodyDiv w:val="1"/>
      <w:marLeft w:val="0"/>
      <w:marRight w:val="0"/>
      <w:marTop w:val="0"/>
      <w:marBottom w:val="0"/>
      <w:divBdr>
        <w:top w:val="none" w:sz="0" w:space="0" w:color="auto"/>
        <w:left w:val="none" w:sz="0" w:space="0" w:color="auto"/>
        <w:bottom w:val="none" w:sz="0" w:space="0" w:color="auto"/>
        <w:right w:val="none" w:sz="0" w:space="0" w:color="auto"/>
      </w:divBdr>
    </w:div>
    <w:div w:id="114568406">
      <w:bodyDiv w:val="1"/>
      <w:marLeft w:val="0"/>
      <w:marRight w:val="0"/>
      <w:marTop w:val="0"/>
      <w:marBottom w:val="0"/>
      <w:divBdr>
        <w:top w:val="none" w:sz="0" w:space="0" w:color="auto"/>
        <w:left w:val="none" w:sz="0" w:space="0" w:color="auto"/>
        <w:bottom w:val="none" w:sz="0" w:space="0" w:color="auto"/>
        <w:right w:val="none" w:sz="0" w:space="0" w:color="auto"/>
      </w:divBdr>
    </w:div>
    <w:div w:id="253436111">
      <w:bodyDiv w:val="1"/>
      <w:marLeft w:val="0"/>
      <w:marRight w:val="0"/>
      <w:marTop w:val="0"/>
      <w:marBottom w:val="0"/>
      <w:divBdr>
        <w:top w:val="none" w:sz="0" w:space="0" w:color="auto"/>
        <w:left w:val="none" w:sz="0" w:space="0" w:color="auto"/>
        <w:bottom w:val="none" w:sz="0" w:space="0" w:color="auto"/>
        <w:right w:val="none" w:sz="0" w:space="0" w:color="auto"/>
      </w:divBdr>
    </w:div>
    <w:div w:id="268779236">
      <w:bodyDiv w:val="1"/>
      <w:marLeft w:val="0"/>
      <w:marRight w:val="0"/>
      <w:marTop w:val="0"/>
      <w:marBottom w:val="0"/>
      <w:divBdr>
        <w:top w:val="none" w:sz="0" w:space="0" w:color="auto"/>
        <w:left w:val="none" w:sz="0" w:space="0" w:color="auto"/>
        <w:bottom w:val="none" w:sz="0" w:space="0" w:color="auto"/>
        <w:right w:val="none" w:sz="0" w:space="0" w:color="auto"/>
      </w:divBdr>
    </w:div>
    <w:div w:id="292905068">
      <w:bodyDiv w:val="1"/>
      <w:marLeft w:val="0"/>
      <w:marRight w:val="0"/>
      <w:marTop w:val="0"/>
      <w:marBottom w:val="0"/>
      <w:divBdr>
        <w:top w:val="none" w:sz="0" w:space="0" w:color="auto"/>
        <w:left w:val="none" w:sz="0" w:space="0" w:color="auto"/>
        <w:bottom w:val="none" w:sz="0" w:space="0" w:color="auto"/>
        <w:right w:val="none" w:sz="0" w:space="0" w:color="auto"/>
      </w:divBdr>
    </w:div>
    <w:div w:id="330527587">
      <w:bodyDiv w:val="1"/>
      <w:marLeft w:val="0"/>
      <w:marRight w:val="0"/>
      <w:marTop w:val="0"/>
      <w:marBottom w:val="0"/>
      <w:divBdr>
        <w:top w:val="none" w:sz="0" w:space="0" w:color="auto"/>
        <w:left w:val="none" w:sz="0" w:space="0" w:color="auto"/>
        <w:bottom w:val="none" w:sz="0" w:space="0" w:color="auto"/>
        <w:right w:val="none" w:sz="0" w:space="0" w:color="auto"/>
      </w:divBdr>
    </w:div>
    <w:div w:id="334310874">
      <w:bodyDiv w:val="1"/>
      <w:marLeft w:val="0"/>
      <w:marRight w:val="0"/>
      <w:marTop w:val="0"/>
      <w:marBottom w:val="0"/>
      <w:divBdr>
        <w:top w:val="none" w:sz="0" w:space="0" w:color="auto"/>
        <w:left w:val="none" w:sz="0" w:space="0" w:color="auto"/>
        <w:bottom w:val="none" w:sz="0" w:space="0" w:color="auto"/>
        <w:right w:val="none" w:sz="0" w:space="0" w:color="auto"/>
      </w:divBdr>
    </w:div>
    <w:div w:id="413280004">
      <w:bodyDiv w:val="1"/>
      <w:marLeft w:val="0"/>
      <w:marRight w:val="0"/>
      <w:marTop w:val="0"/>
      <w:marBottom w:val="0"/>
      <w:divBdr>
        <w:top w:val="none" w:sz="0" w:space="0" w:color="auto"/>
        <w:left w:val="none" w:sz="0" w:space="0" w:color="auto"/>
        <w:bottom w:val="none" w:sz="0" w:space="0" w:color="auto"/>
        <w:right w:val="none" w:sz="0" w:space="0" w:color="auto"/>
      </w:divBdr>
    </w:div>
    <w:div w:id="494030432">
      <w:bodyDiv w:val="1"/>
      <w:marLeft w:val="0"/>
      <w:marRight w:val="0"/>
      <w:marTop w:val="0"/>
      <w:marBottom w:val="0"/>
      <w:divBdr>
        <w:top w:val="none" w:sz="0" w:space="0" w:color="auto"/>
        <w:left w:val="none" w:sz="0" w:space="0" w:color="auto"/>
        <w:bottom w:val="none" w:sz="0" w:space="0" w:color="auto"/>
        <w:right w:val="none" w:sz="0" w:space="0" w:color="auto"/>
      </w:divBdr>
    </w:div>
    <w:div w:id="618995596">
      <w:bodyDiv w:val="1"/>
      <w:marLeft w:val="0"/>
      <w:marRight w:val="0"/>
      <w:marTop w:val="0"/>
      <w:marBottom w:val="0"/>
      <w:divBdr>
        <w:top w:val="none" w:sz="0" w:space="0" w:color="auto"/>
        <w:left w:val="none" w:sz="0" w:space="0" w:color="auto"/>
        <w:bottom w:val="none" w:sz="0" w:space="0" w:color="auto"/>
        <w:right w:val="none" w:sz="0" w:space="0" w:color="auto"/>
      </w:divBdr>
    </w:div>
    <w:div w:id="624120130">
      <w:bodyDiv w:val="1"/>
      <w:marLeft w:val="0"/>
      <w:marRight w:val="0"/>
      <w:marTop w:val="0"/>
      <w:marBottom w:val="0"/>
      <w:divBdr>
        <w:top w:val="none" w:sz="0" w:space="0" w:color="auto"/>
        <w:left w:val="none" w:sz="0" w:space="0" w:color="auto"/>
        <w:bottom w:val="none" w:sz="0" w:space="0" w:color="auto"/>
        <w:right w:val="none" w:sz="0" w:space="0" w:color="auto"/>
      </w:divBdr>
    </w:div>
    <w:div w:id="629285757">
      <w:bodyDiv w:val="1"/>
      <w:marLeft w:val="0"/>
      <w:marRight w:val="0"/>
      <w:marTop w:val="0"/>
      <w:marBottom w:val="0"/>
      <w:divBdr>
        <w:top w:val="none" w:sz="0" w:space="0" w:color="auto"/>
        <w:left w:val="none" w:sz="0" w:space="0" w:color="auto"/>
        <w:bottom w:val="none" w:sz="0" w:space="0" w:color="auto"/>
        <w:right w:val="none" w:sz="0" w:space="0" w:color="auto"/>
      </w:divBdr>
    </w:div>
    <w:div w:id="631711095">
      <w:bodyDiv w:val="1"/>
      <w:marLeft w:val="0"/>
      <w:marRight w:val="0"/>
      <w:marTop w:val="0"/>
      <w:marBottom w:val="0"/>
      <w:divBdr>
        <w:top w:val="none" w:sz="0" w:space="0" w:color="auto"/>
        <w:left w:val="none" w:sz="0" w:space="0" w:color="auto"/>
        <w:bottom w:val="none" w:sz="0" w:space="0" w:color="auto"/>
        <w:right w:val="none" w:sz="0" w:space="0" w:color="auto"/>
      </w:divBdr>
    </w:div>
    <w:div w:id="649603977">
      <w:bodyDiv w:val="1"/>
      <w:marLeft w:val="0"/>
      <w:marRight w:val="0"/>
      <w:marTop w:val="0"/>
      <w:marBottom w:val="0"/>
      <w:divBdr>
        <w:top w:val="none" w:sz="0" w:space="0" w:color="auto"/>
        <w:left w:val="none" w:sz="0" w:space="0" w:color="auto"/>
        <w:bottom w:val="none" w:sz="0" w:space="0" w:color="auto"/>
        <w:right w:val="none" w:sz="0" w:space="0" w:color="auto"/>
      </w:divBdr>
    </w:div>
    <w:div w:id="682323076">
      <w:bodyDiv w:val="1"/>
      <w:marLeft w:val="0"/>
      <w:marRight w:val="0"/>
      <w:marTop w:val="0"/>
      <w:marBottom w:val="0"/>
      <w:divBdr>
        <w:top w:val="none" w:sz="0" w:space="0" w:color="auto"/>
        <w:left w:val="none" w:sz="0" w:space="0" w:color="auto"/>
        <w:bottom w:val="none" w:sz="0" w:space="0" w:color="auto"/>
        <w:right w:val="none" w:sz="0" w:space="0" w:color="auto"/>
      </w:divBdr>
    </w:div>
    <w:div w:id="743793977">
      <w:bodyDiv w:val="1"/>
      <w:marLeft w:val="0"/>
      <w:marRight w:val="0"/>
      <w:marTop w:val="0"/>
      <w:marBottom w:val="0"/>
      <w:divBdr>
        <w:top w:val="none" w:sz="0" w:space="0" w:color="auto"/>
        <w:left w:val="none" w:sz="0" w:space="0" w:color="auto"/>
        <w:bottom w:val="none" w:sz="0" w:space="0" w:color="auto"/>
        <w:right w:val="none" w:sz="0" w:space="0" w:color="auto"/>
      </w:divBdr>
    </w:div>
    <w:div w:id="830945608">
      <w:bodyDiv w:val="1"/>
      <w:marLeft w:val="0"/>
      <w:marRight w:val="0"/>
      <w:marTop w:val="0"/>
      <w:marBottom w:val="0"/>
      <w:divBdr>
        <w:top w:val="none" w:sz="0" w:space="0" w:color="auto"/>
        <w:left w:val="none" w:sz="0" w:space="0" w:color="auto"/>
        <w:bottom w:val="none" w:sz="0" w:space="0" w:color="auto"/>
        <w:right w:val="none" w:sz="0" w:space="0" w:color="auto"/>
      </w:divBdr>
    </w:div>
    <w:div w:id="844712428">
      <w:bodyDiv w:val="1"/>
      <w:marLeft w:val="0"/>
      <w:marRight w:val="0"/>
      <w:marTop w:val="0"/>
      <w:marBottom w:val="0"/>
      <w:divBdr>
        <w:top w:val="none" w:sz="0" w:space="0" w:color="auto"/>
        <w:left w:val="none" w:sz="0" w:space="0" w:color="auto"/>
        <w:bottom w:val="none" w:sz="0" w:space="0" w:color="auto"/>
        <w:right w:val="none" w:sz="0" w:space="0" w:color="auto"/>
      </w:divBdr>
    </w:div>
    <w:div w:id="850604662">
      <w:bodyDiv w:val="1"/>
      <w:marLeft w:val="0"/>
      <w:marRight w:val="0"/>
      <w:marTop w:val="0"/>
      <w:marBottom w:val="0"/>
      <w:divBdr>
        <w:top w:val="none" w:sz="0" w:space="0" w:color="auto"/>
        <w:left w:val="none" w:sz="0" w:space="0" w:color="auto"/>
        <w:bottom w:val="none" w:sz="0" w:space="0" w:color="auto"/>
        <w:right w:val="none" w:sz="0" w:space="0" w:color="auto"/>
      </w:divBdr>
    </w:div>
    <w:div w:id="941033617">
      <w:bodyDiv w:val="1"/>
      <w:marLeft w:val="0"/>
      <w:marRight w:val="0"/>
      <w:marTop w:val="0"/>
      <w:marBottom w:val="0"/>
      <w:divBdr>
        <w:top w:val="none" w:sz="0" w:space="0" w:color="auto"/>
        <w:left w:val="none" w:sz="0" w:space="0" w:color="auto"/>
        <w:bottom w:val="none" w:sz="0" w:space="0" w:color="auto"/>
        <w:right w:val="none" w:sz="0" w:space="0" w:color="auto"/>
      </w:divBdr>
    </w:div>
    <w:div w:id="1036588649">
      <w:bodyDiv w:val="1"/>
      <w:marLeft w:val="0"/>
      <w:marRight w:val="0"/>
      <w:marTop w:val="0"/>
      <w:marBottom w:val="0"/>
      <w:divBdr>
        <w:top w:val="none" w:sz="0" w:space="0" w:color="auto"/>
        <w:left w:val="none" w:sz="0" w:space="0" w:color="auto"/>
        <w:bottom w:val="none" w:sz="0" w:space="0" w:color="auto"/>
        <w:right w:val="none" w:sz="0" w:space="0" w:color="auto"/>
      </w:divBdr>
    </w:div>
    <w:div w:id="1086922960">
      <w:bodyDiv w:val="1"/>
      <w:marLeft w:val="0"/>
      <w:marRight w:val="0"/>
      <w:marTop w:val="0"/>
      <w:marBottom w:val="0"/>
      <w:divBdr>
        <w:top w:val="none" w:sz="0" w:space="0" w:color="auto"/>
        <w:left w:val="none" w:sz="0" w:space="0" w:color="auto"/>
        <w:bottom w:val="none" w:sz="0" w:space="0" w:color="auto"/>
        <w:right w:val="none" w:sz="0" w:space="0" w:color="auto"/>
      </w:divBdr>
    </w:div>
    <w:div w:id="1167669564">
      <w:bodyDiv w:val="1"/>
      <w:marLeft w:val="0"/>
      <w:marRight w:val="0"/>
      <w:marTop w:val="0"/>
      <w:marBottom w:val="0"/>
      <w:divBdr>
        <w:top w:val="none" w:sz="0" w:space="0" w:color="auto"/>
        <w:left w:val="none" w:sz="0" w:space="0" w:color="auto"/>
        <w:bottom w:val="none" w:sz="0" w:space="0" w:color="auto"/>
        <w:right w:val="none" w:sz="0" w:space="0" w:color="auto"/>
      </w:divBdr>
    </w:div>
    <w:div w:id="1257326940">
      <w:bodyDiv w:val="1"/>
      <w:marLeft w:val="0"/>
      <w:marRight w:val="0"/>
      <w:marTop w:val="0"/>
      <w:marBottom w:val="0"/>
      <w:divBdr>
        <w:top w:val="none" w:sz="0" w:space="0" w:color="auto"/>
        <w:left w:val="none" w:sz="0" w:space="0" w:color="auto"/>
        <w:bottom w:val="none" w:sz="0" w:space="0" w:color="auto"/>
        <w:right w:val="none" w:sz="0" w:space="0" w:color="auto"/>
      </w:divBdr>
    </w:div>
    <w:div w:id="1262300779">
      <w:bodyDiv w:val="1"/>
      <w:marLeft w:val="0"/>
      <w:marRight w:val="0"/>
      <w:marTop w:val="0"/>
      <w:marBottom w:val="0"/>
      <w:divBdr>
        <w:top w:val="none" w:sz="0" w:space="0" w:color="auto"/>
        <w:left w:val="none" w:sz="0" w:space="0" w:color="auto"/>
        <w:bottom w:val="none" w:sz="0" w:space="0" w:color="auto"/>
        <w:right w:val="none" w:sz="0" w:space="0" w:color="auto"/>
      </w:divBdr>
    </w:div>
    <w:div w:id="1323777499">
      <w:bodyDiv w:val="1"/>
      <w:marLeft w:val="0"/>
      <w:marRight w:val="0"/>
      <w:marTop w:val="0"/>
      <w:marBottom w:val="0"/>
      <w:divBdr>
        <w:top w:val="none" w:sz="0" w:space="0" w:color="auto"/>
        <w:left w:val="none" w:sz="0" w:space="0" w:color="auto"/>
        <w:bottom w:val="none" w:sz="0" w:space="0" w:color="auto"/>
        <w:right w:val="none" w:sz="0" w:space="0" w:color="auto"/>
      </w:divBdr>
    </w:div>
    <w:div w:id="1336953441">
      <w:bodyDiv w:val="1"/>
      <w:marLeft w:val="0"/>
      <w:marRight w:val="0"/>
      <w:marTop w:val="0"/>
      <w:marBottom w:val="0"/>
      <w:divBdr>
        <w:top w:val="none" w:sz="0" w:space="0" w:color="auto"/>
        <w:left w:val="none" w:sz="0" w:space="0" w:color="auto"/>
        <w:bottom w:val="none" w:sz="0" w:space="0" w:color="auto"/>
        <w:right w:val="none" w:sz="0" w:space="0" w:color="auto"/>
      </w:divBdr>
    </w:div>
    <w:div w:id="1355304106">
      <w:bodyDiv w:val="1"/>
      <w:marLeft w:val="0"/>
      <w:marRight w:val="0"/>
      <w:marTop w:val="0"/>
      <w:marBottom w:val="0"/>
      <w:divBdr>
        <w:top w:val="none" w:sz="0" w:space="0" w:color="auto"/>
        <w:left w:val="none" w:sz="0" w:space="0" w:color="auto"/>
        <w:bottom w:val="none" w:sz="0" w:space="0" w:color="auto"/>
        <w:right w:val="none" w:sz="0" w:space="0" w:color="auto"/>
      </w:divBdr>
    </w:div>
    <w:div w:id="1482846439">
      <w:bodyDiv w:val="1"/>
      <w:marLeft w:val="0"/>
      <w:marRight w:val="0"/>
      <w:marTop w:val="0"/>
      <w:marBottom w:val="0"/>
      <w:divBdr>
        <w:top w:val="none" w:sz="0" w:space="0" w:color="auto"/>
        <w:left w:val="none" w:sz="0" w:space="0" w:color="auto"/>
        <w:bottom w:val="none" w:sz="0" w:space="0" w:color="auto"/>
        <w:right w:val="none" w:sz="0" w:space="0" w:color="auto"/>
      </w:divBdr>
      <w:divsChild>
        <w:div w:id="334111332">
          <w:marLeft w:val="0"/>
          <w:marRight w:val="0"/>
          <w:marTop w:val="0"/>
          <w:marBottom w:val="0"/>
          <w:divBdr>
            <w:top w:val="none" w:sz="0" w:space="0" w:color="auto"/>
            <w:left w:val="none" w:sz="0" w:space="0" w:color="auto"/>
            <w:bottom w:val="none" w:sz="0" w:space="0" w:color="auto"/>
            <w:right w:val="none" w:sz="0" w:space="0" w:color="auto"/>
          </w:divBdr>
          <w:divsChild>
            <w:div w:id="1368330015">
              <w:marLeft w:val="0"/>
              <w:marRight w:val="0"/>
              <w:marTop w:val="0"/>
              <w:marBottom w:val="0"/>
              <w:divBdr>
                <w:top w:val="none" w:sz="0" w:space="0" w:color="auto"/>
                <w:left w:val="none" w:sz="0" w:space="0" w:color="auto"/>
                <w:bottom w:val="none" w:sz="0" w:space="0" w:color="auto"/>
                <w:right w:val="none" w:sz="0" w:space="0" w:color="auto"/>
              </w:divBdr>
              <w:divsChild>
                <w:div w:id="12385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06858">
      <w:bodyDiv w:val="1"/>
      <w:marLeft w:val="0"/>
      <w:marRight w:val="0"/>
      <w:marTop w:val="0"/>
      <w:marBottom w:val="0"/>
      <w:divBdr>
        <w:top w:val="none" w:sz="0" w:space="0" w:color="auto"/>
        <w:left w:val="none" w:sz="0" w:space="0" w:color="auto"/>
        <w:bottom w:val="none" w:sz="0" w:space="0" w:color="auto"/>
        <w:right w:val="none" w:sz="0" w:space="0" w:color="auto"/>
      </w:divBdr>
    </w:div>
    <w:div w:id="1672219422">
      <w:bodyDiv w:val="1"/>
      <w:marLeft w:val="0"/>
      <w:marRight w:val="0"/>
      <w:marTop w:val="0"/>
      <w:marBottom w:val="0"/>
      <w:divBdr>
        <w:top w:val="none" w:sz="0" w:space="0" w:color="auto"/>
        <w:left w:val="none" w:sz="0" w:space="0" w:color="auto"/>
        <w:bottom w:val="none" w:sz="0" w:space="0" w:color="auto"/>
        <w:right w:val="none" w:sz="0" w:space="0" w:color="auto"/>
      </w:divBdr>
      <w:divsChild>
        <w:div w:id="389379323">
          <w:marLeft w:val="0"/>
          <w:marRight w:val="0"/>
          <w:marTop w:val="0"/>
          <w:marBottom w:val="0"/>
          <w:divBdr>
            <w:top w:val="none" w:sz="0" w:space="0" w:color="auto"/>
            <w:left w:val="none" w:sz="0" w:space="0" w:color="auto"/>
            <w:bottom w:val="none" w:sz="0" w:space="0" w:color="auto"/>
            <w:right w:val="none" w:sz="0" w:space="0" w:color="auto"/>
          </w:divBdr>
          <w:divsChild>
            <w:div w:id="810054334">
              <w:marLeft w:val="0"/>
              <w:marRight w:val="0"/>
              <w:marTop w:val="0"/>
              <w:marBottom w:val="0"/>
              <w:divBdr>
                <w:top w:val="none" w:sz="0" w:space="0" w:color="auto"/>
                <w:left w:val="none" w:sz="0" w:space="0" w:color="auto"/>
                <w:bottom w:val="none" w:sz="0" w:space="0" w:color="auto"/>
                <w:right w:val="none" w:sz="0" w:space="0" w:color="auto"/>
              </w:divBdr>
              <w:divsChild>
                <w:div w:id="583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728">
      <w:bodyDiv w:val="1"/>
      <w:marLeft w:val="0"/>
      <w:marRight w:val="0"/>
      <w:marTop w:val="0"/>
      <w:marBottom w:val="0"/>
      <w:divBdr>
        <w:top w:val="none" w:sz="0" w:space="0" w:color="auto"/>
        <w:left w:val="none" w:sz="0" w:space="0" w:color="auto"/>
        <w:bottom w:val="none" w:sz="0" w:space="0" w:color="auto"/>
        <w:right w:val="none" w:sz="0" w:space="0" w:color="auto"/>
      </w:divBdr>
    </w:div>
    <w:div w:id="1813978450">
      <w:bodyDiv w:val="1"/>
      <w:marLeft w:val="0"/>
      <w:marRight w:val="0"/>
      <w:marTop w:val="0"/>
      <w:marBottom w:val="0"/>
      <w:divBdr>
        <w:top w:val="none" w:sz="0" w:space="0" w:color="auto"/>
        <w:left w:val="none" w:sz="0" w:space="0" w:color="auto"/>
        <w:bottom w:val="none" w:sz="0" w:space="0" w:color="auto"/>
        <w:right w:val="none" w:sz="0" w:space="0" w:color="auto"/>
      </w:divBdr>
    </w:div>
    <w:div w:id="1832603308">
      <w:bodyDiv w:val="1"/>
      <w:marLeft w:val="0"/>
      <w:marRight w:val="0"/>
      <w:marTop w:val="0"/>
      <w:marBottom w:val="0"/>
      <w:divBdr>
        <w:top w:val="none" w:sz="0" w:space="0" w:color="auto"/>
        <w:left w:val="none" w:sz="0" w:space="0" w:color="auto"/>
        <w:bottom w:val="none" w:sz="0" w:space="0" w:color="auto"/>
        <w:right w:val="none" w:sz="0" w:space="0" w:color="auto"/>
      </w:divBdr>
    </w:div>
    <w:div w:id="1891914043">
      <w:bodyDiv w:val="1"/>
      <w:marLeft w:val="0"/>
      <w:marRight w:val="0"/>
      <w:marTop w:val="0"/>
      <w:marBottom w:val="0"/>
      <w:divBdr>
        <w:top w:val="none" w:sz="0" w:space="0" w:color="auto"/>
        <w:left w:val="none" w:sz="0" w:space="0" w:color="auto"/>
        <w:bottom w:val="none" w:sz="0" w:space="0" w:color="auto"/>
        <w:right w:val="none" w:sz="0" w:space="0" w:color="auto"/>
      </w:divBdr>
    </w:div>
    <w:div w:id="1992322123">
      <w:bodyDiv w:val="1"/>
      <w:marLeft w:val="0"/>
      <w:marRight w:val="0"/>
      <w:marTop w:val="0"/>
      <w:marBottom w:val="0"/>
      <w:divBdr>
        <w:top w:val="none" w:sz="0" w:space="0" w:color="auto"/>
        <w:left w:val="none" w:sz="0" w:space="0" w:color="auto"/>
        <w:bottom w:val="none" w:sz="0" w:space="0" w:color="auto"/>
        <w:right w:val="none" w:sz="0" w:space="0" w:color="auto"/>
      </w:divBdr>
    </w:div>
    <w:div w:id="2117171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who.int/news-room/fact-sheets/detail/hypertension"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JcgNPpQPx5o6r4Joqnt5k1w85g==">AMUW2mV/YkbW4XMQGc+WMuE/CZxAQCDH+cKAoxxkqCmfXc932RZGegNR3jqvfkQBT3AE3ZjXjmC6RzY6UJArCoFGILNfd7A21vXtX/rGHFzpU3WSbk3e/lzBClNaJCDXMjtXgnZjh3Q9CHycdrOnNKRr4xE94ZJLP22BaKmUh1ssFba2y3Q4kDqLxfGDXdF32bGsIuLsoI8EOehP/KeRYB1olqO0slvfQlhLjFJmYsY+l3kvRwPOyBM=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08E1EC-B255-46A2-905B-86468A85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2441</Words>
  <Characters>13915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Martins e  Martins de Oliveira</dc:creator>
  <cp:lastModifiedBy>SDI 1180</cp:lastModifiedBy>
  <cp:revision>14</cp:revision>
  <dcterms:created xsi:type="dcterms:W3CDTF">2025-04-01T01:59:00Z</dcterms:created>
  <dcterms:modified xsi:type="dcterms:W3CDTF">2025-07-18T11:13:00Z</dcterms:modified>
</cp:coreProperties>
</file>