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FD391" w14:textId="77777777" w:rsidR="00637C27" w:rsidRDefault="00637C27">
      <w:pPr>
        <w:pStyle w:val="Body"/>
        <w:spacing w:line="360" w:lineRule="auto"/>
        <w:jc w:val="both"/>
        <w:rPr>
          <w:rFonts w:ascii="Arial" w:hAnsi="Arial" w:cs="Arial"/>
          <w:b/>
          <w:bCs/>
          <w:sz w:val="36"/>
          <w:szCs w:val="36"/>
          <w:lang w:val="en-US"/>
        </w:rPr>
      </w:pPr>
      <w:r w:rsidRPr="00637C27">
        <w:rPr>
          <w:rFonts w:ascii="Arial" w:hAnsi="Arial" w:cs="Arial"/>
          <w:b/>
          <w:bCs/>
          <w:sz w:val="36"/>
          <w:szCs w:val="36"/>
          <w:lang w:val="en-US"/>
        </w:rPr>
        <w:t xml:space="preserve">Original Research Article </w:t>
      </w:r>
    </w:p>
    <w:p w14:paraId="081F0375" w14:textId="77777777" w:rsidR="00637C27" w:rsidRDefault="00637C27">
      <w:pPr>
        <w:pStyle w:val="Body"/>
        <w:spacing w:line="360" w:lineRule="auto"/>
        <w:jc w:val="both"/>
        <w:rPr>
          <w:rFonts w:ascii="Arial" w:hAnsi="Arial" w:cs="Arial"/>
          <w:b/>
          <w:bCs/>
          <w:sz w:val="36"/>
          <w:szCs w:val="36"/>
          <w:lang w:val="en-US"/>
        </w:rPr>
      </w:pPr>
    </w:p>
    <w:p w14:paraId="19C05E8B" w14:textId="13019EFB" w:rsidR="002B4DD0" w:rsidRDefault="001D6464">
      <w:pPr>
        <w:pStyle w:val="Body"/>
        <w:spacing w:line="360" w:lineRule="auto"/>
        <w:jc w:val="both"/>
        <w:rPr>
          <w:rFonts w:ascii="Arial" w:hAnsi="Arial" w:cs="Arial"/>
          <w:b/>
          <w:bCs/>
          <w:sz w:val="36"/>
          <w:szCs w:val="36"/>
          <w:lang w:val="en-US"/>
        </w:rPr>
      </w:pPr>
      <w:r w:rsidRPr="00EA34A6">
        <w:rPr>
          <w:rFonts w:ascii="Arial" w:hAnsi="Arial" w:cs="Arial"/>
          <w:b/>
          <w:bCs/>
          <w:sz w:val="36"/>
          <w:szCs w:val="36"/>
          <w:lang w:val="en-US"/>
        </w:rPr>
        <w:t>Orthodontic tooth movement associated with hypothalamic obesity causes reduction in the rate of tooth movement and</w:t>
      </w:r>
      <w:r w:rsidR="0042798D" w:rsidRPr="00EA34A6">
        <w:rPr>
          <w:rFonts w:ascii="Arial" w:hAnsi="Arial" w:cs="Arial"/>
          <w:b/>
          <w:bCs/>
          <w:sz w:val="36"/>
          <w:szCs w:val="36"/>
          <w:lang w:val="en-US"/>
        </w:rPr>
        <w:t xml:space="preserve"> increase</w:t>
      </w:r>
      <w:r w:rsidRPr="00EA34A6">
        <w:rPr>
          <w:rFonts w:ascii="Arial" w:hAnsi="Arial" w:cs="Arial"/>
          <w:b/>
          <w:bCs/>
          <w:sz w:val="36"/>
          <w:szCs w:val="36"/>
          <w:lang w:val="en-US"/>
        </w:rPr>
        <w:t xml:space="preserve"> of periodontal alterations: </w:t>
      </w:r>
      <w:r w:rsidR="00DB3905">
        <w:rPr>
          <w:rFonts w:ascii="Arial" w:hAnsi="Arial" w:cs="Arial"/>
          <w:b/>
          <w:bCs/>
          <w:sz w:val="36"/>
          <w:szCs w:val="36"/>
          <w:lang w:val="en-US"/>
        </w:rPr>
        <w:t xml:space="preserve">An </w:t>
      </w:r>
      <w:r w:rsidRPr="00EA34A6">
        <w:rPr>
          <w:rFonts w:ascii="Arial" w:hAnsi="Arial" w:cs="Arial"/>
          <w:b/>
          <w:bCs/>
          <w:sz w:val="36"/>
          <w:szCs w:val="36"/>
          <w:lang w:val="en-US"/>
        </w:rPr>
        <w:t>Experimental Study in Rats</w:t>
      </w:r>
    </w:p>
    <w:p w14:paraId="1DAB8706" w14:textId="77777777" w:rsidR="001D6464" w:rsidRDefault="001D6464">
      <w:pPr>
        <w:pStyle w:val="Body"/>
        <w:spacing w:line="360" w:lineRule="auto"/>
        <w:jc w:val="both"/>
        <w:rPr>
          <w:rFonts w:ascii="Arial" w:hAnsi="Arial" w:cs="Arial"/>
          <w:b/>
          <w:bCs/>
          <w:sz w:val="20"/>
          <w:szCs w:val="20"/>
          <w:lang w:val="en-US"/>
        </w:rPr>
      </w:pPr>
    </w:p>
    <w:p w14:paraId="77E3F3E5" w14:textId="77777777" w:rsidR="00813C5B" w:rsidRDefault="00813C5B">
      <w:pPr>
        <w:pStyle w:val="Body"/>
        <w:spacing w:line="360" w:lineRule="auto"/>
        <w:jc w:val="both"/>
        <w:rPr>
          <w:rFonts w:ascii="Arial" w:hAnsi="Arial" w:cs="Arial"/>
          <w:b/>
          <w:bCs/>
          <w:sz w:val="20"/>
          <w:szCs w:val="20"/>
          <w:lang w:val="en-US"/>
        </w:rPr>
      </w:pPr>
    </w:p>
    <w:p w14:paraId="7D08FE68" w14:textId="77777777" w:rsidR="00813C5B" w:rsidRPr="00CD2FAE" w:rsidRDefault="00813C5B">
      <w:pPr>
        <w:pStyle w:val="Body"/>
        <w:spacing w:line="360" w:lineRule="auto"/>
        <w:jc w:val="both"/>
        <w:rPr>
          <w:rFonts w:ascii="Arial" w:hAnsi="Arial" w:cs="Arial"/>
          <w:b/>
          <w:bCs/>
          <w:sz w:val="20"/>
          <w:szCs w:val="20"/>
          <w:lang w:val="en-US"/>
        </w:rPr>
      </w:pPr>
    </w:p>
    <w:p w14:paraId="02757234" w14:textId="2B1C5584" w:rsidR="002B4DD0" w:rsidRPr="00910DE5" w:rsidRDefault="000E3AD6" w:rsidP="00CD2FAE">
      <w:pPr>
        <w:pStyle w:val="Body"/>
        <w:spacing w:line="480" w:lineRule="auto"/>
        <w:jc w:val="both"/>
        <w:rPr>
          <w:rFonts w:ascii="Arial" w:hAnsi="Arial" w:cs="Arial"/>
          <w:b/>
          <w:bCs/>
          <w:sz w:val="22"/>
          <w:szCs w:val="22"/>
          <w:lang w:val="en-US"/>
        </w:rPr>
      </w:pPr>
      <w:r w:rsidRPr="00910DE5">
        <w:rPr>
          <w:rFonts w:ascii="Arial" w:hAnsi="Arial" w:cs="Arial"/>
          <w:b/>
          <w:bCs/>
          <w:sz w:val="22"/>
          <w:szCs w:val="22"/>
          <w:lang w:val="en-US"/>
        </w:rPr>
        <w:t>ABSTRACT</w:t>
      </w:r>
    </w:p>
    <w:p w14:paraId="18433DDD" w14:textId="77777777" w:rsidR="00910DE5" w:rsidRPr="00D36883" w:rsidRDefault="00910DE5" w:rsidP="00CD2FAE">
      <w:pPr>
        <w:pStyle w:val="Body"/>
        <w:spacing w:line="480" w:lineRule="auto"/>
        <w:jc w:val="both"/>
        <w:rPr>
          <w:rStyle w:val="Strong"/>
          <w:rFonts w:ascii="Arial" w:eastAsia="Arial Unicode MS" w:hAnsi="Arial" w:cs="Arial"/>
          <w:sz w:val="20"/>
          <w:szCs w:val="20"/>
          <w:lang w:val="en-US"/>
        </w:rPr>
      </w:pPr>
    </w:p>
    <w:p w14:paraId="2DE90C97" w14:textId="16299239" w:rsidR="002B4DD0" w:rsidRPr="00CD2FAE" w:rsidRDefault="00910DE5" w:rsidP="00CD2FAE">
      <w:pPr>
        <w:pStyle w:val="Body"/>
        <w:spacing w:line="480" w:lineRule="auto"/>
        <w:jc w:val="both"/>
        <w:rPr>
          <w:rFonts w:ascii="Arial" w:hAnsi="Arial" w:cs="Arial"/>
          <w:b/>
          <w:bCs/>
          <w:sz w:val="20"/>
          <w:szCs w:val="20"/>
          <w:lang w:val="en-US"/>
        </w:rPr>
      </w:pPr>
      <w:r>
        <w:rPr>
          <w:rFonts w:ascii="Arial" w:hAnsi="Arial" w:cs="Arial"/>
          <w:b/>
          <w:bCs/>
          <w:sz w:val="20"/>
          <w:szCs w:val="20"/>
          <w:lang w:val="en-US"/>
        </w:rPr>
        <w:t>Aims</w:t>
      </w:r>
      <w:r w:rsidRPr="00CD2FAE">
        <w:rPr>
          <w:rFonts w:ascii="Arial" w:hAnsi="Arial" w:cs="Arial"/>
          <w:b/>
          <w:bCs/>
          <w:sz w:val="20"/>
          <w:szCs w:val="20"/>
          <w:lang w:val="en-US"/>
        </w:rPr>
        <w:t xml:space="preserve">: </w:t>
      </w:r>
      <w:r w:rsidRPr="00CD2FAE">
        <w:rPr>
          <w:rFonts w:ascii="Arial" w:hAnsi="Arial" w:cs="Arial"/>
          <w:sz w:val="20"/>
          <w:szCs w:val="20"/>
          <w:lang w:val="en-US"/>
        </w:rPr>
        <w:t>This study aimed to evaluate whether hypothalamic obesity associated with induced tooth movement can influence the histological structure of periodontal tissues in rats.</w:t>
      </w:r>
    </w:p>
    <w:p w14:paraId="6094D2F2" w14:textId="77777777" w:rsidR="002B4DD0" w:rsidRPr="00CD2FAE" w:rsidRDefault="00517DAC" w:rsidP="00CD2FAE">
      <w:pPr>
        <w:pStyle w:val="Body"/>
        <w:spacing w:line="480" w:lineRule="auto"/>
        <w:jc w:val="both"/>
        <w:rPr>
          <w:rFonts w:ascii="Arial" w:hAnsi="Arial" w:cs="Arial"/>
          <w:b/>
          <w:bCs/>
          <w:sz w:val="20"/>
          <w:szCs w:val="20"/>
          <w:lang w:val="en-US"/>
        </w:rPr>
      </w:pPr>
      <w:r w:rsidRPr="00CD2FAE">
        <w:rPr>
          <w:rFonts w:ascii="Arial" w:hAnsi="Arial" w:cs="Arial"/>
          <w:b/>
          <w:bCs/>
          <w:sz w:val="20"/>
          <w:szCs w:val="20"/>
          <w:lang w:val="en-US"/>
        </w:rPr>
        <w:t xml:space="preserve">Study type: </w:t>
      </w:r>
      <w:r w:rsidRPr="00CD2FAE">
        <w:rPr>
          <w:rFonts w:ascii="Arial" w:hAnsi="Arial" w:cs="Arial"/>
          <w:sz w:val="20"/>
          <w:szCs w:val="20"/>
          <w:lang w:val="en-US"/>
        </w:rPr>
        <w:t>Experimental research.</w:t>
      </w:r>
    </w:p>
    <w:p w14:paraId="486D82CD" w14:textId="70F09B9A" w:rsidR="002B4DD0" w:rsidRPr="00CD2FAE" w:rsidRDefault="00517DAC" w:rsidP="00CD2FAE">
      <w:pPr>
        <w:pStyle w:val="Body"/>
        <w:spacing w:line="480" w:lineRule="auto"/>
        <w:jc w:val="both"/>
        <w:rPr>
          <w:rFonts w:ascii="Arial" w:hAnsi="Arial" w:cs="Arial"/>
          <w:b/>
          <w:bCs/>
          <w:sz w:val="20"/>
          <w:szCs w:val="20"/>
          <w:lang w:val="en-US"/>
        </w:rPr>
      </w:pPr>
      <w:r w:rsidRPr="00331993">
        <w:rPr>
          <w:rFonts w:ascii="Arial" w:hAnsi="Arial" w:cs="Arial"/>
          <w:b/>
          <w:bCs/>
          <w:sz w:val="20"/>
          <w:szCs w:val="20"/>
          <w:lang w:val="en-US"/>
        </w:rPr>
        <w:t xml:space="preserve">Methodology: </w:t>
      </w:r>
      <w:r w:rsidRPr="00331993">
        <w:rPr>
          <w:rFonts w:ascii="Arial" w:hAnsi="Arial" w:cs="Arial"/>
          <w:sz w:val="20"/>
          <w:szCs w:val="20"/>
          <w:lang w:val="en-US"/>
        </w:rPr>
        <w:t xml:space="preserve">Forty </w:t>
      </w:r>
      <w:r w:rsidR="00331993" w:rsidRPr="00331993">
        <w:rPr>
          <w:rFonts w:ascii="Arial" w:hAnsi="Arial" w:cs="Arial"/>
          <w:sz w:val="20"/>
          <w:szCs w:val="20"/>
          <w:lang w:val="en-US"/>
        </w:rPr>
        <w:t>fe</w:t>
      </w:r>
      <w:r w:rsidRPr="00331993">
        <w:rPr>
          <w:rFonts w:ascii="Arial" w:hAnsi="Arial" w:cs="Arial"/>
          <w:sz w:val="20"/>
          <w:szCs w:val="20"/>
          <w:lang w:val="en-US"/>
        </w:rPr>
        <w:t xml:space="preserve">male </w:t>
      </w:r>
      <w:r w:rsidR="005C0A37">
        <w:rPr>
          <w:rFonts w:ascii="Arial" w:hAnsi="Arial" w:cs="Arial"/>
          <w:sz w:val="20"/>
          <w:szCs w:val="20"/>
          <w:lang w:val="en-US"/>
        </w:rPr>
        <w:t xml:space="preserve">pups </w:t>
      </w:r>
      <w:r w:rsidRPr="00331993">
        <w:rPr>
          <w:rFonts w:ascii="Arial" w:hAnsi="Arial" w:cs="Arial"/>
          <w:sz w:val="20"/>
          <w:szCs w:val="20"/>
          <w:lang w:val="en-US"/>
        </w:rPr>
        <w:t xml:space="preserve">Wistar rats were used. Twenty </w:t>
      </w:r>
      <w:r w:rsidR="00331993" w:rsidRPr="00331993">
        <w:rPr>
          <w:rFonts w:ascii="Arial" w:hAnsi="Arial" w:cs="Arial"/>
          <w:sz w:val="20"/>
          <w:szCs w:val="20"/>
          <w:lang w:val="en-US"/>
        </w:rPr>
        <w:t>pu</w:t>
      </w:r>
      <w:r w:rsidR="005C0A37">
        <w:rPr>
          <w:rFonts w:ascii="Arial" w:hAnsi="Arial" w:cs="Arial"/>
          <w:sz w:val="20"/>
          <w:szCs w:val="20"/>
          <w:lang w:val="en-US"/>
        </w:rPr>
        <w:t>ps</w:t>
      </w:r>
      <w:r w:rsidRPr="00331993">
        <w:rPr>
          <w:rFonts w:ascii="Arial" w:hAnsi="Arial" w:cs="Arial"/>
          <w:sz w:val="20"/>
          <w:szCs w:val="20"/>
          <w:lang w:val="en-US"/>
        </w:rPr>
        <w:t xml:space="preserve"> received subcutaneous injections of monosodium glutamate (4g/kg/day) in the cervical</w:t>
      </w:r>
      <w:r w:rsidRPr="00CD2FAE">
        <w:rPr>
          <w:rFonts w:ascii="Arial" w:hAnsi="Arial" w:cs="Arial"/>
          <w:sz w:val="20"/>
          <w:szCs w:val="20"/>
          <w:lang w:val="en-US"/>
        </w:rPr>
        <w:t xml:space="preserve"> region for the first five days of life to induce obesity (MSG group). The remaining twenty </w:t>
      </w:r>
      <w:r w:rsidR="00331993">
        <w:rPr>
          <w:rFonts w:ascii="Arial" w:hAnsi="Arial" w:cs="Arial"/>
          <w:sz w:val="20"/>
          <w:szCs w:val="20"/>
          <w:lang w:val="en-US"/>
        </w:rPr>
        <w:t xml:space="preserve">animals </w:t>
      </w:r>
      <w:r w:rsidRPr="00CD2FAE">
        <w:rPr>
          <w:rFonts w:ascii="Arial" w:hAnsi="Arial" w:cs="Arial"/>
          <w:sz w:val="20"/>
          <w:szCs w:val="20"/>
          <w:lang w:val="en-US"/>
        </w:rPr>
        <w:t>received hyperosmotic saline solution (1.25g/kg/day) and served as the non-obese control group (CTL). Animals were divided into four groups (n=10/group): G</w:t>
      </w:r>
      <w:r w:rsidR="005C0A37">
        <w:rPr>
          <w:rFonts w:ascii="Arial" w:hAnsi="Arial" w:cs="Arial"/>
          <w:sz w:val="20"/>
          <w:szCs w:val="20"/>
          <w:lang w:val="en-US"/>
        </w:rPr>
        <w:t>roup</w:t>
      </w:r>
      <w:r w:rsidRPr="00CD2FAE">
        <w:rPr>
          <w:rFonts w:ascii="Arial" w:hAnsi="Arial" w:cs="Arial"/>
          <w:sz w:val="20"/>
          <w:szCs w:val="20"/>
          <w:lang w:val="en-US"/>
        </w:rPr>
        <w:t>1</w:t>
      </w:r>
      <w:r w:rsidR="0097035D">
        <w:rPr>
          <w:rFonts w:ascii="Arial" w:hAnsi="Arial" w:cs="Arial"/>
          <w:sz w:val="20"/>
          <w:szCs w:val="20"/>
          <w:lang w:val="en-US"/>
        </w:rPr>
        <w:t>: N</w:t>
      </w:r>
      <w:r w:rsidRPr="00CD2FAE">
        <w:rPr>
          <w:rFonts w:ascii="Arial" w:hAnsi="Arial" w:cs="Arial"/>
          <w:sz w:val="20"/>
          <w:szCs w:val="20"/>
          <w:lang w:val="en-US"/>
        </w:rPr>
        <w:t>on-obese</w:t>
      </w:r>
      <w:r w:rsidR="0097035D">
        <w:rPr>
          <w:rFonts w:ascii="Arial" w:hAnsi="Arial" w:cs="Arial"/>
          <w:sz w:val="20"/>
          <w:szCs w:val="20"/>
          <w:lang w:val="en-US"/>
        </w:rPr>
        <w:t xml:space="preserve"> rats</w:t>
      </w:r>
      <w:r w:rsidRPr="00CD2FAE">
        <w:rPr>
          <w:rFonts w:ascii="Arial" w:hAnsi="Arial" w:cs="Arial"/>
          <w:sz w:val="20"/>
          <w:szCs w:val="20"/>
          <w:lang w:val="en-US"/>
        </w:rPr>
        <w:t xml:space="preserve"> without induced tooth movement (CTL); G</w:t>
      </w:r>
      <w:r w:rsidR="005C0A37">
        <w:rPr>
          <w:rFonts w:ascii="Arial" w:hAnsi="Arial" w:cs="Arial"/>
          <w:sz w:val="20"/>
          <w:szCs w:val="20"/>
          <w:lang w:val="en-US"/>
        </w:rPr>
        <w:t xml:space="preserve">roup </w:t>
      </w:r>
      <w:r w:rsidR="00331993">
        <w:rPr>
          <w:rFonts w:ascii="Arial" w:hAnsi="Arial" w:cs="Arial"/>
          <w:sz w:val="20"/>
          <w:szCs w:val="20"/>
          <w:lang w:val="en-US"/>
        </w:rPr>
        <w:t>2</w:t>
      </w:r>
      <w:r w:rsidR="0097035D">
        <w:rPr>
          <w:rFonts w:ascii="Arial" w:hAnsi="Arial" w:cs="Arial"/>
          <w:sz w:val="20"/>
          <w:szCs w:val="20"/>
          <w:lang w:val="en-US"/>
        </w:rPr>
        <w:t>: N</w:t>
      </w:r>
      <w:r w:rsidRPr="00CD2FAE">
        <w:rPr>
          <w:rFonts w:ascii="Arial" w:hAnsi="Arial" w:cs="Arial"/>
          <w:sz w:val="20"/>
          <w:szCs w:val="20"/>
          <w:lang w:val="en-US"/>
        </w:rPr>
        <w:t xml:space="preserve">on-obese </w:t>
      </w:r>
      <w:r w:rsidR="0097035D">
        <w:rPr>
          <w:rFonts w:ascii="Arial" w:hAnsi="Arial" w:cs="Arial"/>
          <w:sz w:val="20"/>
          <w:szCs w:val="20"/>
          <w:lang w:val="en-US"/>
        </w:rPr>
        <w:t xml:space="preserve">rats </w:t>
      </w:r>
      <w:r w:rsidRPr="00CD2FAE">
        <w:rPr>
          <w:rFonts w:ascii="Arial" w:hAnsi="Arial" w:cs="Arial"/>
          <w:sz w:val="20"/>
          <w:szCs w:val="20"/>
          <w:lang w:val="en-US"/>
        </w:rPr>
        <w:t>with induced tooth movement (CTL+ITM); G</w:t>
      </w:r>
      <w:r w:rsidR="005C0A37">
        <w:rPr>
          <w:rFonts w:ascii="Arial" w:hAnsi="Arial" w:cs="Arial"/>
          <w:sz w:val="20"/>
          <w:szCs w:val="20"/>
          <w:lang w:val="en-US"/>
        </w:rPr>
        <w:t xml:space="preserve">roup </w:t>
      </w:r>
      <w:r w:rsidRPr="00CD2FAE">
        <w:rPr>
          <w:rFonts w:ascii="Arial" w:hAnsi="Arial" w:cs="Arial"/>
          <w:sz w:val="20"/>
          <w:szCs w:val="20"/>
          <w:lang w:val="en-US"/>
        </w:rPr>
        <w:t>3</w:t>
      </w:r>
      <w:r w:rsidR="0097035D">
        <w:rPr>
          <w:rFonts w:ascii="Arial" w:hAnsi="Arial" w:cs="Arial"/>
          <w:sz w:val="20"/>
          <w:szCs w:val="20"/>
          <w:lang w:val="en-US"/>
        </w:rPr>
        <w:t>: O</w:t>
      </w:r>
      <w:r w:rsidRPr="00CD2FAE">
        <w:rPr>
          <w:rFonts w:ascii="Arial" w:hAnsi="Arial" w:cs="Arial"/>
          <w:sz w:val="20"/>
          <w:szCs w:val="20"/>
          <w:lang w:val="en-US"/>
        </w:rPr>
        <w:t>bese</w:t>
      </w:r>
      <w:r w:rsidR="0097035D">
        <w:rPr>
          <w:rFonts w:ascii="Arial" w:hAnsi="Arial" w:cs="Arial"/>
          <w:sz w:val="20"/>
          <w:szCs w:val="20"/>
          <w:lang w:val="en-US"/>
        </w:rPr>
        <w:t xml:space="preserve"> rats</w:t>
      </w:r>
      <w:r w:rsidRPr="00CD2FAE">
        <w:rPr>
          <w:rFonts w:ascii="Arial" w:hAnsi="Arial" w:cs="Arial"/>
          <w:sz w:val="20"/>
          <w:szCs w:val="20"/>
          <w:lang w:val="en-US"/>
        </w:rPr>
        <w:t xml:space="preserve"> without ITM (MSG); G</w:t>
      </w:r>
      <w:r w:rsidR="005C0A37">
        <w:rPr>
          <w:rFonts w:ascii="Arial" w:hAnsi="Arial" w:cs="Arial"/>
          <w:sz w:val="20"/>
          <w:szCs w:val="20"/>
          <w:lang w:val="en-US"/>
        </w:rPr>
        <w:t xml:space="preserve">roup </w:t>
      </w:r>
      <w:r w:rsidRPr="00CD2FAE">
        <w:rPr>
          <w:rFonts w:ascii="Arial" w:hAnsi="Arial" w:cs="Arial"/>
          <w:sz w:val="20"/>
          <w:szCs w:val="20"/>
          <w:lang w:val="en-US"/>
        </w:rPr>
        <w:t>4</w:t>
      </w:r>
      <w:r w:rsidR="0097035D">
        <w:rPr>
          <w:rFonts w:ascii="Arial" w:hAnsi="Arial" w:cs="Arial"/>
          <w:sz w:val="20"/>
          <w:szCs w:val="20"/>
          <w:lang w:val="en-US"/>
        </w:rPr>
        <w:t>: O</w:t>
      </w:r>
      <w:r w:rsidRPr="00CD2FAE">
        <w:rPr>
          <w:rFonts w:ascii="Arial" w:hAnsi="Arial" w:cs="Arial"/>
          <w:sz w:val="20"/>
          <w:szCs w:val="20"/>
          <w:lang w:val="en-US"/>
        </w:rPr>
        <w:t>bese</w:t>
      </w:r>
      <w:r w:rsidR="0097035D">
        <w:rPr>
          <w:rFonts w:ascii="Arial" w:hAnsi="Arial" w:cs="Arial"/>
          <w:sz w:val="20"/>
          <w:szCs w:val="20"/>
          <w:lang w:val="en-US"/>
        </w:rPr>
        <w:t xml:space="preserve"> rats</w:t>
      </w:r>
      <w:r w:rsidRPr="00CD2FAE">
        <w:rPr>
          <w:rFonts w:ascii="Arial" w:hAnsi="Arial" w:cs="Arial"/>
          <w:sz w:val="20"/>
          <w:szCs w:val="20"/>
          <w:lang w:val="en-US"/>
        </w:rPr>
        <w:t xml:space="preserve"> with ITM (MSG + ITM). At day 90, the ITM device was installed. At day 97, animals were weighed, euthanized, and the right hemimaxillae were collected, fixed in 10% formalin, and histologically processed.</w:t>
      </w:r>
    </w:p>
    <w:p w14:paraId="2C3FDA1A" w14:textId="77777777" w:rsidR="002B4DD0" w:rsidRPr="00CD2FAE" w:rsidRDefault="00517DAC" w:rsidP="00CD2FAE">
      <w:pPr>
        <w:pStyle w:val="Body"/>
        <w:spacing w:line="480" w:lineRule="auto"/>
        <w:jc w:val="both"/>
        <w:rPr>
          <w:rFonts w:ascii="Arial" w:hAnsi="Arial" w:cs="Arial"/>
          <w:b/>
          <w:bCs/>
          <w:sz w:val="20"/>
          <w:szCs w:val="20"/>
          <w:lang w:val="en-US"/>
        </w:rPr>
      </w:pPr>
      <w:r w:rsidRPr="00CD2FAE">
        <w:rPr>
          <w:rFonts w:ascii="Arial" w:hAnsi="Arial" w:cs="Arial"/>
          <w:b/>
          <w:bCs/>
          <w:sz w:val="20"/>
          <w:szCs w:val="20"/>
          <w:lang w:val="en-US"/>
        </w:rPr>
        <w:t xml:space="preserve">Results: </w:t>
      </w:r>
      <w:r w:rsidRPr="00CD2FAE">
        <w:rPr>
          <w:rFonts w:ascii="Arial" w:hAnsi="Arial" w:cs="Arial"/>
          <w:sz w:val="20"/>
          <w:szCs w:val="20"/>
          <w:lang w:val="en-US"/>
        </w:rPr>
        <w:t>Obese animals showed a higher Lee index and more retroperitoneal and perigonadal fat than controls. The MSG + ITM group exhibited a reduced tooth movement rate compared to CTL + ITM. No acute or chronic inflammation was observed. MSG + ITM animals showed more external root resorption, multinucleated giant cells, and disorganized periodontal ligament. The highest incidence of hyalinization was found in ITM groups, while vascular alterations were more frequent in obese animals.</w:t>
      </w:r>
    </w:p>
    <w:p w14:paraId="289ED2F1" w14:textId="7671EF19" w:rsidR="002B4DD0" w:rsidRDefault="00517DAC" w:rsidP="00CD2FAE">
      <w:pPr>
        <w:pStyle w:val="Body"/>
        <w:spacing w:line="480" w:lineRule="auto"/>
        <w:jc w:val="both"/>
        <w:rPr>
          <w:rFonts w:ascii="Arial" w:hAnsi="Arial" w:cs="Arial"/>
          <w:sz w:val="20"/>
          <w:szCs w:val="20"/>
          <w:lang w:val="en-US"/>
        </w:rPr>
      </w:pPr>
      <w:r w:rsidRPr="00CD2FAE">
        <w:rPr>
          <w:rFonts w:ascii="Arial" w:hAnsi="Arial" w:cs="Arial"/>
          <w:b/>
          <w:bCs/>
          <w:sz w:val="20"/>
          <w:szCs w:val="20"/>
          <w:lang w:val="en-US"/>
        </w:rPr>
        <w:lastRenderedPageBreak/>
        <w:t xml:space="preserve">Conclusion: </w:t>
      </w:r>
      <w:r w:rsidR="00C62C1E" w:rsidRPr="00C62C1E">
        <w:rPr>
          <w:rFonts w:ascii="Arial" w:hAnsi="Arial" w:cs="Arial"/>
          <w:sz w:val="20"/>
          <w:szCs w:val="20"/>
          <w:lang w:val="en-US"/>
        </w:rPr>
        <w:t>Orthodontic tooth movement associated with hypothalamic obesity reduces rate of tooth movement and increased occurrence of periodontal alterations and external root resorption.</w:t>
      </w:r>
    </w:p>
    <w:p w14:paraId="1DA98D8B" w14:textId="77777777" w:rsidR="00910DE5" w:rsidRPr="00CD2FAE" w:rsidRDefault="00910DE5" w:rsidP="00CD2FAE">
      <w:pPr>
        <w:pStyle w:val="Body"/>
        <w:spacing w:line="480" w:lineRule="auto"/>
        <w:jc w:val="both"/>
        <w:rPr>
          <w:rFonts w:ascii="Arial" w:hAnsi="Arial" w:cs="Arial"/>
          <w:b/>
          <w:bCs/>
          <w:sz w:val="20"/>
          <w:szCs w:val="20"/>
          <w:lang w:val="en-US"/>
        </w:rPr>
      </w:pPr>
    </w:p>
    <w:p w14:paraId="700F2391" w14:textId="77777777" w:rsidR="002B4DD0" w:rsidRPr="00CD2FAE" w:rsidRDefault="00517DAC" w:rsidP="00CD2FAE">
      <w:pPr>
        <w:pStyle w:val="Body"/>
        <w:spacing w:line="480" w:lineRule="auto"/>
        <w:jc w:val="both"/>
        <w:rPr>
          <w:rFonts w:ascii="Arial" w:hAnsi="Arial" w:cs="Arial"/>
          <w:b/>
          <w:bCs/>
          <w:sz w:val="20"/>
          <w:szCs w:val="20"/>
          <w:lang w:val="en-US"/>
        </w:rPr>
      </w:pPr>
      <w:r w:rsidRPr="00CD2FAE">
        <w:rPr>
          <w:rFonts w:ascii="Arial" w:hAnsi="Arial" w:cs="Arial"/>
          <w:b/>
          <w:bCs/>
          <w:sz w:val="20"/>
          <w:szCs w:val="20"/>
          <w:lang w:val="en-US"/>
        </w:rPr>
        <w:t xml:space="preserve">Keywords: </w:t>
      </w:r>
      <w:r w:rsidRPr="00CD2FAE">
        <w:rPr>
          <w:rFonts w:ascii="Arial" w:hAnsi="Arial" w:cs="Arial"/>
          <w:sz w:val="20"/>
          <w:szCs w:val="20"/>
          <w:lang w:val="en-US"/>
        </w:rPr>
        <w:t>Obesity, Orthodontic Tooth Movement, Periodontal Tissue.</w:t>
      </w:r>
    </w:p>
    <w:p w14:paraId="7A868992" w14:textId="77777777" w:rsidR="00910DE5" w:rsidRDefault="00910DE5" w:rsidP="00CD2FAE">
      <w:pPr>
        <w:pStyle w:val="Body"/>
        <w:spacing w:line="480" w:lineRule="auto"/>
        <w:jc w:val="both"/>
        <w:rPr>
          <w:rFonts w:ascii="Arial" w:hAnsi="Arial" w:cs="Arial"/>
          <w:sz w:val="20"/>
          <w:szCs w:val="20"/>
          <w:lang w:val="en-US"/>
        </w:rPr>
      </w:pPr>
    </w:p>
    <w:p w14:paraId="167CE9D2" w14:textId="130BF0FB" w:rsidR="002B4DD0" w:rsidRPr="00CD2FAE" w:rsidRDefault="00910DE5" w:rsidP="00CD2FAE">
      <w:pPr>
        <w:pStyle w:val="Heading1"/>
        <w:spacing w:before="0" w:after="0" w:line="480" w:lineRule="auto"/>
        <w:rPr>
          <w:rFonts w:ascii="Arial" w:eastAsia="Times New Roman" w:hAnsi="Arial" w:cs="Arial"/>
          <w:sz w:val="20"/>
          <w:szCs w:val="20"/>
          <w:lang w:val="en-US"/>
        </w:rPr>
      </w:pPr>
      <w:r>
        <w:rPr>
          <w:rFonts w:ascii="Arial" w:hAnsi="Arial" w:cs="Arial"/>
          <w:sz w:val="20"/>
          <w:szCs w:val="20"/>
          <w:lang w:val="en-US"/>
        </w:rPr>
        <w:t xml:space="preserve">1. </w:t>
      </w:r>
      <w:r w:rsidRPr="00CD2FAE">
        <w:rPr>
          <w:rFonts w:ascii="Arial" w:hAnsi="Arial" w:cs="Arial"/>
          <w:sz w:val="20"/>
          <w:szCs w:val="20"/>
          <w:lang w:val="en-US"/>
        </w:rPr>
        <w:t>INTRODUCTION</w:t>
      </w:r>
    </w:p>
    <w:p w14:paraId="43FF8F37" w14:textId="77777777" w:rsidR="002B4DD0" w:rsidRPr="00D36883" w:rsidRDefault="00517DAC" w:rsidP="00CD2FAE">
      <w:pPr>
        <w:pStyle w:val="Body"/>
        <w:spacing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t>A global analysis published in The Lancet (2024) estimated that over 1 billion individuals worldwide are currently living with obesity, representing approximately one in eight people. Between 1990 and 2022, the prevalence of obesity more than doubled among adults and quadrupled among children and adolescents aged 5 to 19. Obesity is now recognized not only as a major public health concern but also as a chronic, multifactorial disease characterized by low-grade systemic inflammation. This condition is strongly associated with a variety of comorbidities, including cardiovascular disease, type 2 diabetes, certain cancers, hypertension, dyslipidemia, coronary artery disease and stroke. Notably, a higher prevalence of periodontitis has also been observed in obese individuals (Vera et al., 2023; Cullinan, Ford &amp; Seymour, 2009).</w:t>
      </w:r>
    </w:p>
    <w:p w14:paraId="3E2600C8" w14:textId="77777777" w:rsidR="002B4DD0" w:rsidRPr="00CD2FAE" w:rsidRDefault="00517DAC" w:rsidP="00CD2FAE">
      <w:pPr>
        <w:pStyle w:val="Body"/>
        <w:spacing w:line="480" w:lineRule="auto"/>
        <w:ind w:firstLine="720"/>
        <w:jc w:val="both"/>
        <w:rPr>
          <w:rFonts w:ascii="Arial" w:hAnsi="Arial" w:cs="Arial"/>
          <w:sz w:val="20"/>
          <w:szCs w:val="20"/>
          <w:lang w:val="en-US"/>
        </w:rPr>
      </w:pPr>
      <w:r w:rsidRPr="00CD2FAE">
        <w:rPr>
          <w:rFonts w:ascii="Arial" w:hAnsi="Arial" w:cs="Arial"/>
          <w:sz w:val="20"/>
          <w:szCs w:val="20"/>
          <w:lang w:val="en-US"/>
        </w:rPr>
        <w:t>Obesity induces a state of low-grade chronic inflammation, with adipose tissue playing a key role in releasing various inflammatory mediators, especially pro-inflammatory cytokines such as tumor necrosis factor-alpha (TNF-α) and interleukins IL-</w:t>
      </w:r>
      <w:r w:rsidRPr="00916011">
        <w:rPr>
          <w:rFonts w:ascii="Arial" w:hAnsi="Arial" w:cs="Arial"/>
          <w:sz w:val="20"/>
          <w:szCs w:val="20"/>
          <w:lang w:val="en-US"/>
        </w:rPr>
        <w:t>1 and IL-6 (</w:t>
      </w:r>
      <w:proofErr w:type="spellStart"/>
      <w:r w:rsidRPr="00916011">
        <w:rPr>
          <w:rFonts w:ascii="Arial" w:hAnsi="Arial" w:cs="Arial"/>
          <w:sz w:val="20"/>
          <w:szCs w:val="20"/>
          <w:lang w:val="en-US"/>
        </w:rPr>
        <w:t>Consolaro</w:t>
      </w:r>
      <w:proofErr w:type="spellEnd"/>
      <w:r w:rsidRPr="00916011">
        <w:rPr>
          <w:rFonts w:ascii="Arial" w:hAnsi="Arial" w:cs="Arial"/>
          <w:sz w:val="20"/>
          <w:szCs w:val="20"/>
          <w:lang w:val="en-US"/>
        </w:rPr>
        <w:t xml:space="preserve">, 2017; </w:t>
      </w:r>
      <w:proofErr w:type="spellStart"/>
      <w:r w:rsidRPr="00916011">
        <w:rPr>
          <w:rFonts w:ascii="Arial" w:hAnsi="Arial" w:cs="Arial"/>
          <w:sz w:val="20"/>
          <w:szCs w:val="20"/>
          <w:lang w:val="en-US"/>
        </w:rPr>
        <w:t>Suvan</w:t>
      </w:r>
      <w:proofErr w:type="spellEnd"/>
      <w:r w:rsidRPr="00916011">
        <w:rPr>
          <w:rFonts w:ascii="Arial" w:hAnsi="Arial" w:cs="Arial"/>
          <w:sz w:val="20"/>
          <w:szCs w:val="20"/>
          <w:lang w:val="en-US"/>
        </w:rPr>
        <w:t>,</w:t>
      </w:r>
      <w:r w:rsidRPr="00CD2FAE">
        <w:rPr>
          <w:rFonts w:ascii="Arial" w:hAnsi="Arial" w:cs="Arial"/>
          <w:sz w:val="20"/>
          <w:szCs w:val="20"/>
          <w:lang w:val="en-US"/>
        </w:rPr>
        <w:t xml:space="preserve"> Finer, &amp; D’Aiuto, 2018). Likewise, orthodontic tooth movement triggers both local and systemic inflammatory responses. The application of orthodontic forces promotes the release of pro-inflammatory cytokines, including IL-1β, IL-2, IL-6, IL-8, and TNF-α (Weisberg et al., 2003; </w:t>
      </w:r>
      <w:proofErr w:type="spellStart"/>
      <w:r w:rsidRPr="00CD2FAE">
        <w:rPr>
          <w:rFonts w:ascii="Arial" w:hAnsi="Arial" w:cs="Arial"/>
          <w:sz w:val="20"/>
          <w:szCs w:val="20"/>
          <w:lang w:val="en-US"/>
        </w:rPr>
        <w:t>Costacurta</w:t>
      </w:r>
      <w:proofErr w:type="spellEnd"/>
      <w:r w:rsidRPr="00CD2FAE">
        <w:rPr>
          <w:rFonts w:ascii="Arial" w:hAnsi="Arial" w:cs="Arial"/>
          <w:sz w:val="20"/>
          <w:szCs w:val="20"/>
          <w:lang w:val="en-US"/>
        </w:rPr>
        <w:t>, 2012; Zeng, 2015; Jayachandran, 2017).</w:t>
      </w:r>
    </w:p>
    <w:p w14:paraId="52F8BD4A" w14:textId="2FC37908" w:rsidR="002B4DD0" w:rsidRPr="00D36883" w:rsidRDefault="00517DAC" w:rsidP="00CD2FAE">
      <w:pPr>
        <w:pStyle w:val="Body"/>
        <w:spacing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t>Tooth movement occurs through controlled and appropriately applied pressure and/or tension, resulting in dynamic changes to bone structure. Initial compression leads to internal alveolar bone resorption, while stretching of the periodontal ligament induces bone deposition. This ligament transmits mechanical forces</w:t>
      </w:r>
      <w:r w:rsidR="0097035D">
        <w:rPr>
          <w:rFonts w:ascii="Arial" w:hAnsi="Arial" w:cs="Arial"/>
          <w:sz w:val="20"/>
          <w:szCs w:val="20"/>
          <w:lang w:val="en-US"/>
        </w:rPr>
        <w:t xml:space="preserve"> </w:t>
      </w:r>
      <w:r w:rsidRPr="00CD2FAE">
        <w:rPr>
          <w:rFonts w:ascii="Arial" w:hAnsi="Arial" w:cs="Arial"/>
          <w:sz w:val="20"/>
          <w:szCs w:val="20"/>
          <w:lang w:val="en-US"/>
        </w:rPr>
        <w:t>compressive or tensile</w:t>
      </w:r>
      <w:r w:rsidR="0097035D">
        <w:rPr>
          <w:rFonts w:ascii="Arial" w:hAnsi="Arial" w:cs="Arial"/>
          <w:sz w:val="20"/>
          <w:szCs w:val="20"/>
          <w:lang w:val="en-US"/>
        </w:rPr>
        <w:t xml:space="preserve"> </w:t>
      </w:r>
      <w:r w:rsidRPr="00CD2FAE">
        <w:rPr>
          <w:rFonts w:ascii="Arial" w:hAnsi="Arial" w:cs="Arial"/>
          <w:sz w:val="20"/>
          <w:szCs w:val="20"/>
          <w:lang w:val="en-US"/>
        </w:rPr>
        <w:t>and plays a crucial role in tooth displacement (Kubo et al., 2018). Two main cell types orchestrate this process: osteoblasts and osteoclasts, which are responsible for bone formation and resorption, respectively (Bumann &amp; Frazier-Bowers, 2017).</w:t>
      </w:r>
    </w:p>
    <w:p w14:paraId="2B82A869" w14:textId="1B42A06D" w:rsidR="002B4DD0" w:rsidRPr="00D36883" w:rsidRDefault="00517DAC" w:rsidP="00CD2FAE">
      <w:pPr>
        <w:pStyle w:val="Body"/>
        <w:spacing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lastRenderedPageBreak/>
        <w:t>Root resorption is a potential complication in various clinical contexts, including dental trauma (with or without fractures), tooth reimplantation, chronic periapical lesions, internal tooth bleaching, and most notably, orthodontically induced tooth movement</w:t>
      </w:r>
      <w:r w:rsidR="0097035D">
        <w:rPr>
          <w:rFonts w:ascii="Arial" w:hAnsi="Arial" w:cs="Arial"/>
          <w:sz w:val="20"/>
          <w:szCs w:val="20"/>
          <w:lang w:val="en-US"/>
        </w:rPr>
        <w:t xml:space="preserve"> </w:t>
      </w:r>
      <w:r w:rsidRPr="00CD2FAE">
        <w:rPr>
          <w:rFonts w:ascii="Arial" w:hAnsi="Arial" w:cs="Arial"/>
          <w:sz w:val="20"/>
          <w:szCs w:val="20"/>
          <w:lang w:val="en-US"/>
        </w:rPr>
        <w:t>considered its primary cause. This process, which involves the loss of mineralized tissue from cementum and dentin, can be either pathological or physiological. Although its precise etiology is not fully understood, it is widely accepted as multifactorial. Contributing factors may be mechanical (e.g., type of appliance, force magnitude and direction, treatment duration, and extent of movement) or biological (e.g., individual susceptibility), the latter being beyond the clinician’s control (</w:t>
      </w:r>
      <w:proofErr w:type="spellStart"/>
      <w:r w:rsidRPr="00CD2FAE">
        <w:rPr>
          <w:rFonts w:ascii="Arial" w:hAnsi="Arial" w:cs="Arial"/>
          <w:sz w:val="20"/>
          <w:szCs w:val="20"/>
          <w:lang w:val="en-US"/>
        </w:rPr>
        <w:t>Abuabara</w:t>
      </w:r>
      <w:proofErr w:type="spellEnd"/>
      <w:r w:rsidRPr="00CD2FAE">
        <w:rPr>
          <w:rFonts w:ascii="Arial" w:hAnsi="Arial" w:cs="Arial"/>
          <w:sz w:val="20"/>
          <w:szCs w:val="20"/>
          <w:lang w:val="en-US"/>
        </w:rPr>
        <w:t>, 2007).</w:t>
      </w:r>
    </w:p>
    <w:p w14:paraId="4E838688" w14:textId="3CC5FF8A" w:rsidR="002B4DD0" w:rsidRPr="00CD2FAE" w:rsidRDefault="00517DAC" w:rsidP="00CD2FAE">
      <w:pPr>
        <w:pStyle w:val="Body"/>
        <w:spacing w:line="480" w:lineRule="auto"/>
        <w:ind w:firstLine="720"/>
        <w:jc w:val="both"/>
        <w:rPr>
          <w:rFonts w:ascii="Arial" w:hAnsi="Arial" w:cs="Arial"/>
          <w:sz w:val="20"/>
          <w:szCs w:val="20"/>
          <w:lang w:val="en-US"/>
        </w:rPr>
      </w:pPr>
      <w:r w:rsidRPr="00CD2FAE">
        <w:rPr>
          <w:rFonts w:ascii="Arial" w:hAnsi="Arial" w:cs="Arial"/>
          <w:sz w:val="20"/>
          <w:szCs w:val="20"/>
          <w:lang w:val="en-US"/>
        </w:rPr>
        <w:t>Given this context, the number of obese patients seeking dental treatment has increased. It is therefore essential for dental professionals to be equipped with evidence</w:t>
      </w:r>
      <w:r w:rsidR="0097035D">
        <w:rPr>
          <w:rFonts w:ascii="Arial" w:hAnsi="Arial" w:cs="Arial"/>
          <w:sz w:val="20"/>
          <w:szCs w:val="20"/>
          <w:lang w:val="en-US"/>
        </w:rPr>
        <w:t xml:space="preserve"> </w:t>
      </w:r>
      <w:r w:rsidRPr="00CD2FAE">
        <w:rPr>
          <w:rFonts w:ascii="Arial" w:hAnsi="Arial" w:cs="Arial"/>
          <w:sz w:val="20"/>
          <w:szCs w:val="20"/>
          <w:lang w:val="en-US"/>
        </w:rPr>
        <w:t>based knowledge about the limitations and precautions required when initiating orthodontic treatment in this population. Accordingly, the present study aims to evaluate whether hypothalamic obesity, when associated with orthodontically induced tooth movement, can influence the histological structure of periodontal tissues in rats.</w:t>
      </w:r>
    </w:p>
    <w:p w14:paraId="26CCE6B3" w14:textId="77777777" w:rsidR="002B4DD0" w:rsidRPr="00D36883" w:rsidRDefault="002B4DD0" w:rsidP="00CD2FAE">
      <w:pPr>
        <w:pStyle w:val="Body"/>
        <w:spacing w:line="480" w:lineRule="auto"/>
        <w:ind w:firstLine="720"/>
        <w:jc w:val="both"/>
        <w:rPr>
          <w:rFonts w:ascii="Arial" w:hAnsi="Arial" w:cs="Arial"/>
          <w:sz w:val="20"/>
          <w:szCs w:val="20"/>
          <w:lang w:val="en-US"/>
        </w:rPr>
      </w:pPr>
    </w:p>
    <w:p w14:paraId="1DBB2BF5" w14:textId="06D438B0" w:rsidR="002B4DD0" w:rsidRPr="00CD2FAE" w:rsidRDefault="00910DE5" w:rsidP="00CD2FAE">
      <w:pPr>
        <w:pStyle w:val="Heading1"/>
        <w:spacing w:before="0" w:after="0" w:line="480" w:lineRule="auto"/>
        <w:rPr>
          <w:rFonts w:ascii="Arial" w:eastAsia="Times New Roman" w:hAnsi="Arial" w:cs="Arial"/>
          <w:sz w:val="20"/>
          <w:szCs w:val="20"/>
          <w:lang w:val="en-US"/>
        </w:rPr>
      </w:pPr>
      <w:r>
        <w:rPr>
          <w:rFonts w:ascii="Arial" w:hAnsi="Arial" w:cs="Arial"/>
          <w:sz w:val="20"/>
          <w:szCs w:val="20"/>
          <w:lang w:val="en-US"/>
        </w:rPr>
        <w:t>2. METHODOLOGY</w:t>
      </w:r>
    </w:p>
    <w:p w14:paraId="151BCA13" w14:textId="77777777" w:rsidR="00910DE5" w:rsidRDefault="00910DE5" w:rsidP="00CD2FAE">
      <w:pPr>
        <w:pStyle w:val="Body"/>
        <w:spacing w:line="480" w:lineRule="auto"/>
        <w:jc w:val="both"/>
        <w:rPr>
          <w:rFonts w:ascii="Arial" w:hAnsi="Arial" w:cs="Arial"/>
          <w:b/>
          <w:bCs/>
          <w:sz w:val="20"/>
          <w:szCs w:val="20"/>
          <w:lang w:val="en-US"/>
        </w:rPr>
      </w:pPr>
    </w:p>
    <w:p w14:paraId="3092220F" w14:textId="705BFBB2" w:rsidR="002B4DD0" w:rsidRPr="00D36883" w:rsidRDefault="00910DE5" w:rsidP="00CD2FAE">
      <w:pPr>
        <w:pStyle w:val="Body"/>
        <w:spacing w:line="480" w:lineRule="auto"/>
        <w:jc w:val="both"/>
        <w:rPr>
          <w:rFonts w:ascii="Arial" w:hAnsi="Arial" w:cs="Arial"/>
          <w:sz w:val="20"/>
          <w:szCs w:val="20"/>
          <w:lang w:val="en-US"/>
        </w:rPr>
      </w:pPr>
      <w:r>
        <w:rPr>
          <w:rFonts w:ascii="Arial" w:hAnsi="Arial" w:cs="Arial"/>
          <w:b/>
          <w:bCs/>
          <w:sz w:val="20"/>
          <w:szCs w:val="20"/>
          <w:lang w:val="en-US"/>
        </w:rPr>
        <w:t xml:space="preserve">2.1 </w:t>
      </w:r>
      <w:r w:rsidRPr="00CD2FAE">
        <w:rPr>
          <w:rFonts w:ascii="Arial" w:hAnsi="Arial" w:cs="Arial"/>
          <w:b/>
          <w:bCs/>
          <w:sz w:val="20"/>
          <w:szCs w:val="20"/>
          <w:lang w:val="en-US"/>
        </w:rPr>
        <w:t>Sample Size Calculation</w:t>
      </w:r>
      <w:r w:rsidRPr="00CD2FAE">
        <w:rPr>
          <w:rFonts w:ascii="Arial" w:hAnsi="Arial" w:cs="Arial"/>
          <w:sz w:val="20"/>
          <w:szCs w:val="20"/>
          <w:lang w:val="en-US"/>
        </w:rPr>
        <w:t xml:space="preserve"> </w:t>
      </w:r>
    </w:p>
    <w:p w14:paraId="71315AEF" w14:textId="12E91E3D" w:rsidR="002B4DD0" w:rsidRPr="00D36883" w:rsidRDefault="00517DAC" w:rsidP="00CD2FAE">
      <w:pPr>
        <w:pStyle w:val="Body"/>
        <w:spacing w:line="480" w:lineRule="auto"/>
        <w:ind w:firstLine="567"/>
        <w:jc w:val="both"/>
        <w:rPr>
          <w:rStyle w:val="fadein4f9by7"/>
          <w:rFonts w:ascii="Arial" w:hAnsi="Arial" w:cs="Arial"/>
          <w:sz w:val="20"/>
          <w:szCs w:val="20"/>
          <w:lang w:val="en-US"/>
        </w:rPr>
      </w:pPr>
      <w:r w:rsidRPr="00CD2FAE">
        <w:rPr>
          <w:rFonts w:ascii="Arial" w:hAnsi="Arial" w:cs="Arial"/>
          <w:sz w:val="20"/>
          <w:szCs w:val="20"/>
          <w:lang w:val="en-US"/>
        </w:rPr>
        <w:t xml:space="preserve">A sample of forty rats was calculated based on the variables of obesity and induced tooth movement, with a significance level (α) of 5% and a statistical power of 80%, using the </w:t>
      </w:r>
      <w:proofErr w:type="spellStart"/>
      <w:r w:rsidRPr="00CD2FAE">
        <w:rPr>
          <w:rFonts w:ascii="Arial" w:hAnsi="Arial" w:cs="Arial"/>
          <w:sz w:val="20"/>
          <w:szCs w:val="20"/>
          <w:lang w:val="en-US"/>
        </w:rPr>
        <w:t>GPower</w:t>
      </w:r>
      <w:proofErr w:type="spellEnd"/>
      <w:r w:rsidRPr="00CD2FAE">
        <w:rPr>
          <w:rFonts w:ascii="Arial" w:hAnsi="Arial" w:cs="Arial"/>
          <w:sz w:val="20"/>
          <w:szCs w:val="20"/>
          <w:lang w:val="en-US"/>
        </w:rPr>
        <w:t xml:space="preserve"> 3.1 software (</w:t>
      </w:r>
      <w:proofErr w:type="spellStart"/>
      <w:r w:rsidRPr="00CD2FAE">
        <w:rPr>
          <w:rFonts w:ascii="Arial" w:hAnsi="Arial" w:cs="Arial"/>
          <w:sz w:val="20"/>
          <w:szCs w:val="20"/>
          <w:lang w:val="en-US"/>
        </w:rPr>
        <w:t>Faul</w:t>
      </w:r>
      <w:proofErr w:type="spellEnd"/>
      <w:r w:rsidRPr="00CD2FAE">
        <w:rPr>
          <w:rFonts w:ascii="Arial" w:hAnsi="Arial" w:cs="Arial"/>
          <w:sz w:val="20"/>
          <w:szCs w:val="20"/>
          <w:lang w:val="en-US"/>
        </w:rPr>
        <w:t xml:space="preserve"> et al., 2009).</w:t>
      </w:r>
    </w:p>
    <w:p w14:paraId="0D7A7997" w14:textId="77777777" w:rsidR="002B4DD0" w:rsidRPr="00CD2FAE" w:rsidRDefault="002B4DD0" w:rsidP="00CD2FAE">
      <w:pPr>
        <w:pStyle w:val="Body"/>
        <w:spacing w:line="480" w:lineRule="auto"/>
        <w:ind w:firstLine="567"/>
        <w:jc w:val="both"/>
        <w:rPr>
          <w:rFonts w:ascii="Arial" w:hAnsi="Arial" w:cs="Arial"/>
          <w:sz w:val="20"/>
          <w:szCs w:val="20"/>
          <w:lang w:val="en-US"/>
        </w:rPr>
      </w:pPr>
    </w:p>
    <w:p w14:paraId="2E974596" w14:textId="56025749" w:rsidR="002B4DD0" w:rsidRPr="00CD2FAE" w:rsidRDefault="00910DE5" w:rsidP="00CD2FAE">
      <w:pPr>
        <w:pStyle w:val="Heading1"/>
        <w:spacing w:before="0" w:after="0" w:line="480" w:lineRule="auto"/>
        <w:rPr>
          <w:rFonts w:ascii="Arial" w:eastAsia="Times New Roman" w:hAnsi="Arial" w:cs="Arial"/>
          <w:sz w:val="20"/>
          <w:szCs w:val="20"/>
          <w:lang w:val="en-US"/>
        </w:rPr>
      </w:pPr>
      <w:bookmarkStart w:id="0" w:name="_Hlk188624932"/>
      <w:r>
        <w:rPr>
          <w:rFonts w:ascii="Arial" w:hAnsi="Arial" w:cs="Arial"/>
          <w:sz w:val="20"/>
          <w:szCs w:val="20"/>
          <w:lang w:val="en-US"/>
        </w:rPr>
        <w:t xml:space="preserve">2.2 </w:t>
      </w:r>
      <w:r w:rsidRPr="00CD2FAE">
        <w:rPr>
          <w:rFonts w:ascii="Arial" w:hAnsi="Arial" w:cs="Arial"/>
          <w:sz w:val="20"/>
          <w:szCs w:val="20"/>
          <w:lang w:val="en-US"/>
        </w:rPr>
        <w:t>Animals</w:t>
      </w:r>
    </w:p>
    <w:p w14:paraId="716B3314" w14:textId="32097E30" w:rsidR="002B4DD0" w:rsidRPr="00CD2FAE" w:rsidRDefault="00517DAC" w:rsidP="00441C0B">
      <w:pPr>
        <w:pStyle w:val="Body"/>
        <w:spacing w:line="480" w:lineRule="auto"/>
        <w:ind w:firstLine="708"/>
        <w:jc w:val="both"/>
        <w:rPr>
          <w:rFonts w:ascii="Arial" w:hAnsi="Arial" w:cs="Arial"/>
          <w:sz w:val="20"/>
          <w:szCs w:val="20"/>
          <w:lang w:val="en-US"/>
        </w:rPr>
      </w:pPr>
      <w:bookmarkStart w:id="1" w:name="_Hlk94256373"/>
      <w:r w:rsidRPr="00331993">
        <w:rPr>
          <w:rFonts w:ascii="Arial" w:hAnsi="Arial" w:cs="Arial"/>
          <w:sz w:val="20"/>
          <w:szCs w:val="20"/>
          <w:lang w:val="en-US"/>
        </w:rPr>
        <w:t xml:space="preserve">Forty </w:t>
      </w:r>
      <w:r w:rsidR="00331993" w:rsidRPr="00331993">
        <w:rPr>
          <w:rFonts w:ascii="Arial" w:hAnsi="Arial" w:cs="Arial"/>
          <w:sz w:val="20"/>
          <w:szCs w:val="20"/>
          <w:lang w:val="en-US"/>
        </w:rPr>
        <w:t>fe</w:t>
      </w:r>
      <w:r w:rsidRPr="00331993">
        <w:rPr>
          <w:rFonts w:ascii="Arial" w:hAnsi="Arial" w:cs="Arial"/>
          <w:sz w:val="20"/>
          <w:szCs w:val="20"/>
          <w:lang w:val="en-US"/>
        </w:rPr>
        <w:t xml:space="preserve">male </w:t>
      </w:r>
      <w:r w:rsidRPr="005C0A37">
        <w:rPr>
          <w:rFonts w:ascii="Arial" w:hAnsi="Arial" w:cs="Arial"/>
          <w:sz w:val="20"/>
          <w:szCs w:val="20"/>
          <w:lang w:val="en-US"/>
        </w:rPr>
        <w:t>Wistar rats were used</w:t>
      </w:r>
      <w:r w:rsidR="00331993" w:rsidRPr="005C0A37">
        <w:rPr>
          <w:rFonts w:ascii="Arial" w:hAnsi="Arial" w:cs="Arial"/>
          <w:sz w:val="20"/>
          <w:szCs w:val="20"/>
          <w:lang w:val="en-US"/>
        </w:rPr>
        <w:t xml:space="preserve"> in this experiment. The animals</w:t>
      </w:r>
      <w:r w:rsidRPr="005C0A37">
        <w:rPr>
          <w:rFonts w:ascii="Arial" w:hAnsi="Arial" w:cs="Arial"/>
          <w:sz w:val="20"/>
          <w:szCs w:val="20"/>
          <w:lang w:val="en-US"/>
        </w:rPr>
        <w:t xml:space="preserve"> </w:t>
      </w:r>
      <w:r w:rsidR="005C0A37" w:rsidRPr="005C0A37">
        <w:rPr>
          <w:rFonts w:ascii="Arial" w:hAnsi="Arial" w:cs="Arial"/>
          <w:sz w:val="20"/>
          <w:szCs w:val="20"/>
          <w:lang w:val="en-US"/>
        </w:rPr>
        <w:t xml:space="preserve">were obtained </w:t>
      </w:r>
      <w:r w:rsidRPr="005C0A37">
        <w:rPr>
          <w:rFonts w:ascii="Arial" w:hAnsi="Arial" w:cs="Arial"/>
          <w:sz w:val="20"/>
          <w:szCs w:val="20"/>
          <w:lang w:val="en-US"/>
        </w:rPr>
        <w:t xml:space="preserve"> from the Central </w:t>
      </w:r>
      <w:r w:rsidR="005C0A37" w:rsidRPr="005C0A37">
        <w:rPr>
          <w:rFonts w:ascii="Arial" w:hAnsi="Arial" w:cs="Arial"/>
          <w:sz w:val="20"/>
          <w:szCs w:val="20"/>
          <w:lang w:val="en-US"/>
        </w:rPr>
        <w:t>Bioterium</w:t>
      </w:r>
      <w:r w:rsidRPr="005C0A37">
        <w:rPr>
          <w:rFonts w:ascii="Arial" w:hAnsi="Arial" w:cs="Arial"/>
          <w:sz w:val="20"/>
          <w:szCs w:val="20"/>
          <w:lang w:val="en-US"/>
        </w:rPr>
        <w:t xml:space="preserve"> of Western Paraná State University (UNIOESTE).</w:t>
      </w:r>
      <w:r w:rsidRPr="00CD2FAE">
        <w:rPr>
          <w:rFonts w:ascii="Arial" w:hAnsi="Arial" w:cs="Arial"/>
          <w:sz w:val="20"/>
          <w:szCs w:val="20"/>
          <w:lang w:val="en-US"/>
        </w:rPr>
        <w:t xml:space="preserve"> Twenty </w:t>
      </w:r>
      <w:r w:rsidR="00AC594C">
        <w:rPr>
          <w:rFonts w:ascii="Arial" w:hAnsi="Arial" w:cs="Arial"/>
          <w:sz w:val="20"/>
          <w:szCs w:val="20"/>
          <w:lang w:val="en-US"/>
        </w:rPr>
        <w:t>rats</w:t>
      </w:r>
      <w:r w:rsidR="00331993">
        <w:rPr>
          <w:rFonts w:ascii="Arial" w:hAnsi="Arial" w:cs="Arial"/>
          <w:sz w:val="20"/>
          <w:szCs w:val="20"/>
          <w:lang w:val="en-US"/>
        </w:rPr>
        <w:t xml:space="preserve"> </w:t>
      </w:r>
      <w:r w:rsidRPr="00CD2FAE">
        <w:rPr>
          <w:rFonts w:ascii="Arial" w:hAnsi="Arial" w:cs="Arial"/>
          <w:sz w:val="20"/>
          <w:szCs w:val="20"/>
          <w:lang w:val="en-US"/>
        </w:rPr>
        <w:t>received subcutaneous injections of monosodium glutamate (4 g/kg/day) in the cervical region for the first five days of life to induce obesity (MSG group, n=20)</w:t>
      </w:r>
      <w:r w:rsidR="00AC594C">
        <w:rPr>
          <w:rFonts w:ascii="Arial" w:hAnsi="Arial" w:cs="Arial"/>
          <w:sz w:val="20"/>
          <w:szCs w:val="20"/>
          <w:lang w:val="en-US"/>
        </w:rPr>
        <w:t>, according to Olney (1969)</w:t>
      </w:r>
      <w:r w:rsidRPr="00CD2FAE">
        <w:rPr>
          <w:rFonts w:ascii="Arial" w:hAnsi="Arial" w:cs="Arial"/>
          <w:sz w:val="20"/>
          <w:szCs w:val="20"/>
          <w:lang w:val="en-US"/>
        </w:rPr>
        <w:t>. During the same period, another twenty animals received hyperosmotic saline solution injections (1.25 g/kg/day), forming the non-obese control group (CTL, n=20).</w:t>
      </w:r>
      <w:r w:rsidR="00441C0B">
        <w:rPr>
          <w:rFonts w:ascii="Arial" w:hAnsi="Arial" w:cs="Arial"/>
          <w:sz w:val="20"/>
          <w:szCs w:val="20"/>
          <w:lang w:val="en-US"/>
        </w:rPr>
        <w:t xml:space="preserve"> </w:t>
      </w:r>
      <w:r w:rsidRPr="00CD2FAE">
        <w:rPr>
          <w:rFonts w:ascii="Arial" w:hAnsi="Arial" w:cs="Arial"/>
          <w:sz w:val="20"/>
          <w:szCs w:val="20"/>
          <w:lang w:val="en-US"/>
        </w:rPr>
        <w:t xml:space="preserve">The experiment was conducted at the </w:t>
      </w:r>
      <w:r w:rsidRPr="00CD2FAE">
        <w:rPr>
          <w:rFonts w:ascii="Arial" w:hAnsi="Arial" w:cs="Arial"/>
          <w:sz w:val="20"/>
          <w:szCs w:val="20"/>
          <w:lang w:val="en-US"/>
        </w:rPr>
        <w:lastRenderedPageBreak/>
        <w:t>designated animal facility of the Center for Biological Sciences at UNIOESTE. Animals were housed in polyethylene boxes (43×30×15 cm), either individually or in pairs, under controlled temperature (22°C to 25°C), relative humidity (~55%), and a 12-hour light/dark cycle (7:00 a.m.</w:t>
      </w:r>
      <w:r w:rsidR="0050460E">
        <w:rPr>
          <w:rFonts w:ascii="Arial" w:hAnsi="Arial" w:cs="Arial"/>
          <w:sz w:val="20"/>
          <w:szCs w:val="20"/>
          <w:lang w:val="en-US"/>
        </w:rPr>
        <w:t xml:space="preserve"> - </w:t>
      </w:r>
      <w:r w:rsidRPr="00CD2FAE">
        <w:rPr>
          <w:rFonts w:ascii="Arial" w:hAnsi="Arial" w:cs="Arial"/>
          <w:sz w:val="20"/>
          <w:szCs w:val="20"/>
          <w:lang w:val="en-US"/>
        </w:rPr>
        <w:t>7:00 p.m.). They had free access to food and water.</w:t>
      </w:r>
    </w:p>
    <w:p w14:paraId="38936833" w14:textId="0ED6BB83" w:rsidR="002B4DD0" w:rsidRPr="00D36883" w:rsidRDefault="00517DAC" w:rsidP="00CD2FAE">
      <w:pPr>
        <w:pStyle w:val="Body"/>
        <w:spacing w:line="480" w:lineRule="auto"/>
        <w:ind w:firstLine="708"/>
        <w:jc w:val="both"/>
        <w:rPr>
          <w:rStyle w:val="fadein4f9by7"/>
          <w:rFonts w:ascii="Arial" w:hAnsi="Arial" w:cs="Arial"/>
          <w:sz w:val="20"/>
          <w:szCs w:val="20"/>
          <w:lang w:val="en-US"/>
        </w:rPr>
      </w:pPr>
      <w:r w:rsidRPr="00CD2FAE">
        <w:rPr>
          <w:rFonts w:ascii="Arial" w:hAnsi="Arial" w:cs="Arial"/>
          <w:sz w:val="20"/>
          <w:szCs w:val="20"/>
          <w:lang w:val="en-US"/>
        </w:rPr>
        <w:t xml:space="preserve">All experimental procedures followed the ethical principles established by the Brazilian College of Animal Experimentation (COBEA) and were approved by the Institutional Animal Care and Use Committee (CEUA) of UNIOESTE (Protocol No. 1022/2023). </w:t>
      </w:r>
    </w:p>
    <w:p w14:paraId="0A112F97" w14:textId="77777777" w:rsidR="002B4DD0" w:rsidRPr="00CD2FAE" w:rsidRDefault="002B4DD0" w:rsidP="00CD2FAE">
      <w:pPr>
        <w:pStyle w:val="Body"/>
        <w:spacing w:line="480" w:lineRule="auto"/>
        <w:ind w:firstLine="708"/>
        <w:jc w:val="both"/>
        <w:rPr>
          <w:rStyle w:val="fadein4f9by7"/>
          <w:rFonts w:ascii="Arial" w:hAnsi="Arial" w:cs="Arial"/>
          <w:sz w:val="20"/>
          <w:szCs w:val="20"/>
          <w:lang w:val="en-US"/>
        </w:rPr>
      </w:pPr>
    </w:p>
    <w:p w14:paraId="505B7D22" w14:textId="74134BE3" w:rsidR="002B4DD0" w:rsidRPr="00CD2FAE" w:rsidRDefault="00910DE5" w:rsidP="00CD2FAE">
      <w:pPr>
        <w:pStyle w:val="Heading1"/>
        <w:spacing w:before="0" w:after="0" w:line="480" w:lineRule="auto"/>
        <w:rPr>
          <w:rFonts w:ascii="Arial" w:eastAsia="Times New Roman" w:hAnsi="Arial" w:cs="Arial"/>
          <w:sz w:val="20"/>
          <w:szCs w:val="20"/>
          <w:lang w:val="en-US"/>
        </w:rPr>
      </w:pPr>
      <w:bookmarkStart w:id="2" w:name="_Hlk188624938"/>
      <w:r>
        <w:rPr>
          <w:rFonts w:ascii="Arial" w:hAnsi="Arial" w:cs="Arial"/>
          <w:sz w:val="20"/>
          <w:szCs w:val="20"/>
          <w:lang w:val="en-US"/>
        </w:rPr>
        <w:t xml:space="preserve">2.3 </w:t>
      </w:r>
      <w:r w:rsidRPr="00CD2FAE">
        <w:rPr>
          <w:rFonts w:ascii="Arial" w:hAnsi="Arial" w:cs="Arial"/>
          <w:sz w:val="20"/>
          <w:szCs w:val="20"/>
          <w:lang w:val="en-US"/>
        </w:rPr>
        <w:t xml:space="preserve">Experimental Groups </w:t>
      </w:r>
      <w:bookmarkEnd w:id="1"/>
      <w:bookmarkEnd w:id="2"/>
    </w:p>
    <w:bookmarkEnd w:id="0"/>
    <w:p w14:paraId="7EE11877" w14:textId="1DCE85A0" w:rsidR="002B4DD0" w:rsidRPr="00CD2FAE" w:rsidRDefault="00517DAC" w:rsidP="00B8361F">
      <w:pPr>
        <w:pStyle w:val="Body"/>
        <w:spacing w:line="480" w:lineRule="auto"/>
        <w:ind w:firstLine="708"/>
        <w:jc w:val="both"/>
        <w:rPr>
          <w:rFonts w:ascii="Arial" w:hAnsi="Arial" w:cs="Arial"/>
          <w:sz w:val="20"/>
          <w:szCs w:val="20"/>
          <w:lang w:val="en-US"/>
        </w:rPr>
      </w:pPr>
      <w:r w:rsidRPr="00CD2FAE">
        <w:rPr>
          <w:rFonts w:ascii="Arial" w:hAnsi="Arial" w:cs="Arial"/>
          <w:sz w:val="20"/>
          <w:szCs w:val="20"/>
          <w:lang w:val="en-US"/>
        </w:rPr>
        <w:t>The animals were divided into four experimental groups (n=10</w:t>
      </w:r>
      <w:r w:rsidR="00331993">
        <w:rPr>
          <w:rFonts w:ascii="Arial" w:hAnsi="Arial" w:cs="Arial"/>
          <w:sz w:val="20"/>
          <w:szCs w:val="20"/>
          <w:lang w:val="en-US"/>
        </w:rPr>
        <w:t>/</w:t>
      </w:r>
      <w:r w:rsidRPr="00CD2FAE">
        <w:rPr>
          <w:rFonts w:ascii="Arial" w:hAnsi="Arial" w:cs="Arial"/>
          <w:sz w:val="20"/>
          <w:szCs w:val="20"/>
          <w:lang w:val="en-US"/>
        </w:rPr>
        <w:t>group):</w:t>
      </w:r>
      <w:r w:rsidR="00B8361F">
        <w:rPr>
          <w:rFonts w:ascii="Arial" w:hAnsi="Arial" w:cs="Arial"/>
          <w:sz w:val="20"/>
          <w:szCs w:val="20"/>
          <w:lang w:val="en-US"/>
        </w:rPr>
        <w:t xml:space="preserve"> </w:t>
      </w:r>
      <w:r w:rsidRPr="00CD2FAE">
        <w:rPr>
          <w:rFonts w:ascii="Arial" w:hAnsi="Arial" w:cs="Arial"/>
          <w:sz w:val="20"/>
          <w:szCs w:val="20"/>
          <w:lang w:val="en-US"/>
        </w:rPr>
        <w:t>G</w:t>
      </w:r>
      <w:r w:rsidR="00B8361F">
        <w:rPr>
          <w:rFonts w:ascii="Arial" w:hAnsi="Arial" w:cs="Arial"/>
          <w:sz w:val="20"/>
          <w:szCs w:val="20"/>
          <w:lang w:val="en-US"/>
        </w:rPr>
        <w:t>roup</w:t>
      </w:r>
      <w:r w:rsidR="0050460E">
        <w:rPr>
          <w:rFonts w:ascii="Arial" w:hAnsi="Arial" w:cs="Arial"/>
          <w:sz w:val="20"/>
          <w:szCs w:val="20"/>
          <w:lang w:val="en-US"/>
        </w:rPr>
        <w:t xml:space="preserve"> 1:</w:t>
      </w:r>
      <w:r w:rsidRPr="00CD2FAE">
        <w:rPr>
          <w:rFonts w:ascii="Arial" w:hAnsi="Arial" w:cs="Arial"/>
          <w:sz w:val="20"/>
          <w:szCs w:val="20"/>
          <w:lang w:val="en-US"/>
        </w:rPr>
        <w:t xml:space="preserve"> non-obese rats not subjected to induced tooth movement (CTL);</w:t>
      </w:r>
      <w:r w:rsidR="00B8361F">
        <w:rPr>
          <w:rFonts w:ascii="Arial" w:hAnsi="Arial" w:cs="Arial"/>
          <w:sz w:val="20"/>
          <w:szCs w:val="20"/>
          <w:lang w:val="en-US"/>
        </w:rPr>
        <w:t xml:space="preserve"> </w:t>
      </w:r>
      <w:r w:rsidRPr="00CD2FAE">
        <w:rPr>
          <w:rFonts w:ascii="Arial" w:hAnsi="Arial" w:cs="Arial"/>
          <w:sz w:val="20"/>
          <w:szCs w:val="20"/>
          <w:lang w:val="en-US"/>
        </w:rPr>
        <w:t>G</w:t>
      </w:r>
      <w:r w:rsidR="00B8361F">
        <w:rPr>
          <w:rFonts w:ascii="Arial" w:hAnsi="Arial" w:cs="Arial"/>
          <w:sz w:val="20"/>
          <w:szCs w:val="20"/>
          <w:lang w:val="en-US"/>
        </w:rPr>
        <w:t>roup</w:t>
      </w:r>
      <w:r w:rsidR="0050460E">
        <w:rPr>
          <w:rFonts w:ascii="Arial" w:hAnsi="Arial" w:cs="Arial"/>
          <w:sz w:val="20"/>
          <w:szCs w:val="20"/>
          <w:lang w:val="en-US"/>
        </w:rPr>
        <w:t xml:space="preserve"> 2:</w:t>
      </w:r>
      <w:r w:rsidRPr="00CD2FAE">
        <w:rPr>
          <w:rFonts w:ascii="Arial" w:hAnsi="Arial" w:cs="Arial"/>
          <w:sz w:val="20"/>
          <w:szCs w:val="20"/>
          <w:lang w:val="en-US"/>
        </w:rPr>
        <w:t xml:space="preserve"> non-obese rats subjected to induced tooth movement (CTL + ITM);</w:t>
      </w:r>
      <w:r w:rsidR="00B8361F">
        <w:rPr>
          <w:rFonts w:ascii="Arial" w:hAnsi="Arial" w:cs="Arial"/>
          <w:sz w:val="20"/>
          <w:szCs w:val="20"/>
          <w:lang w:val="en-US"/>
        </w:rPr>
        <w:t xml:space="preserve"> </w:t>
      </w:r>
      <w:r w:rsidRPr="00CD2FAE">
        <w:rPr>
          <w:rFonts w:ascii="Arial" w:hAnsi="Arial" w:cs="Arial"/>
          <w:sz w:val="20"/>
          <w:szCs w:val="20"/>
          <w:lang w:val="en-US"/>
        </w:rPr>
        <w:t>G</w:t>
      </w:r>
      <w:r w:rsidR="00B8361F">
        <w:rPr>
          <w:rFonts w:ascii="Arial" w:hAnsi="Arial" w:cs="Arial"/>
          <w:sz w:val="20"/>
          <w:szCs w:val="20"/>
          <w:lang w:val="en-US"/>
        </w:rPr>
        <w:t>roup 3</w:t>
      </w:r>
      <w:r w:rsidR="0050460E">
        <w:rPr>
          <w:rFonts w:ascii="Arial" w:hAnsi="Arial" w:cs="Arial"/>
          <w:sz w:val="20"/>
          <w:szCs w:val="20"/>
          <w:lang w:val="en-US"/>
        </w:rPr>
        <w:t>:</w:t>
      </w:r>
      <w:r w:rsidRPr="00CD2FAE">
        <w:rPr>
          <w:rFonts w:ascii="Arial" w:hAnsi="Arial" w:cs="Arial"/>
          <w:sz w:val="20"/>
          <w:szCs w:val="20"/>
          <w:lang w:val="en-US"/>
        </w:rPr>
        <w:t xml:space="preserve"> obese rats without induced tooth movement (MSG);</w:t>
      </w:r>
      <w:r w:rsidR="00B8361F">
        <w:rPr>
          <w:rFonts w:ascii="Arial" w:hAnsi="Arial" w:cs="Arial"/>
          <w:sz w:val="20"/>
          <w:szCs w:val="20"/>
          <w:lang w:val="en-US"/>
        </w:rPr>
        <w:t xml:space="preserve"> </w:t>
      </w:r>
      <w:r w:rsidRPr="00CD2FAE">
        <w:rPr>
          <w:rFonts w:ascii="Arial" w:hAnsi="Arial" w:cs="Arial"/>
          <w:sz w:val="20"/>
          <w:szCs w:val="20"/>
          <w:lang w:val="en-US"/>
        </w:rPr>
        <w:t>G</w:t>
      </w:r>
      <w:r w:rsidR="00B8361F">
        <w:rPr>
          <w:rFonts w:ascii="Arial" w:hAnsi="Arial" w:cs="Arial"/>
          <w:sz w:val="20"/>
          <w:szCs w:val="20"/>
          <w:lang w:val="en-US"/>
        </w:rPr>
        <w:t>roup 4</w:t>
      </w:r>
      <w:r w:rsidR="0050460E">
        <w:rPr>
          <w:rFonts w:ascii="Arial" w:hAnsi="Arial" w:cs="Arial"/>
          <w:sz w:val="20"/>
          <w:szCs w:val="20"/>
          <w:lang w:val="en-US"/>
        </w:rPr>
        <w:t>:</w:t>
      </w:r>
      <w:r w:rsidRPr="00CD2FAE">
        <w:rPr>
          <w:rFonts w:ascii="Arial" w:hAnsi="Arial" w:cs="Arial"/>
          <w:sz w:val="20"/>
          <w:szCs w:val="20"/>
          <w:lang w:val="en-US"/>
        </w:rPr>
        <w:t xml:space="preserve"> obese rats subjected to induced tooth movement (MSG + ITM).</w:t>
      </w:r>
    </w:p>
    <w:p w14:paraId="1C749C7F" w14:textId="77777777" w:rsidR="002B4DD0" w:rsidRPr="00D36883" w:rsidRDefault="002B4DD0" w:rsidP="00CD2FAE">
      <w:pPr>
        <w:pStyle w:val="Body"/>
        <w:spacing w:line="480" w:lineRule="auto"/>
        <w:ind w:firstLine="708"/>
        <w:jc w:val="both"/>
        <w:rPr>
          <w:rFonts w:ascii="Arial" w:hAnsi="Arial" w:cs="Arial"/>
          <w:sz w:val="20"/>
          <w:szCs w:val="20"/>
          <w:lang w:val="en-US"/>
        </w:rPr>
      </w:pPr>
    </w:p>
    <w:p w14:paraId="40A47300" w14:textId="26FAE5B2" w:rsidR="002B4DD0" w:rsidRPr="00CD2FAE" w:rsidRDefault="00910DE5" w:rsidP="00CD2FAE">
      <w:pPr>
        <w:pStyle w:val="Heading1"/>
        <w:spacing w:before="0" w:after="0" w:line="480" w:lineRule="auto"/>
        <w:rPr>
          <w:rFonts w:ascii="Arial" w:eastAsia="Times New Roman" w:hAnsi="Arial" w:cs="Arial"/>
          <w:sz w:val="20"/>
          <w:szCs w:val="20"/>
          <w:lang w:val="en-US"/>
        </w:rPr>
      </w:pPr>
      <w:bookmarkStart w:id="3" w:name="_Hlk188624975"/>
      <w:r>
        <w:rPr>
          <w:rFonts w:ascii="Arial" w:hAnsi="Arial" w:cs="Arial"/>
          <w:sz w:val="20"/>
          <w:szCs w:val="20"/>
          <w:lang w:val="en-US"/>
        </w:rPr>
        <w:t xml:space="preserve">2.4 </w:t>
      </w:r>
      <w:r w:rsidRPr="00CD2FAE">
        <w:rPr>
          <w:rFonts w:ascii="Arial" w:hAnsi="Arial" w:cs="Arial"/>
          <w:sz w:val="20"/>
          <w:szCs w:val="20"/>
          <w:lang w:val="en-US"/>
        </w:rPr>
        <w:t>A</w:t>
      </w:r>
      <w:bookmarkStart w:id="4" w:name="_Hlk94256517"/>
      <w:bookmarkEnd w:id="3"/>
      <w:r w:rsidRPr="00CD2FAE">
        <w:rPr>
          <w:rFonts w:ascii="Arial" w:hAnsi="Arial" w:cs="Arial"/>
          <w:sz w:val="20"/>
          <w:szCs w:val="20"/>
          <w:lang w:val="en-US"/>
        </w:rPr>
        <w:t xml:space="preserve">nimal Sedation </w:t>
      </w:r>
    </w:p>
    <w:p w14:paraId="7FDCB00C" w14:textId="15C2B76F" w:rsidR="002B4DD0" w:rsidRPr="00D36883" w:rsidRDefault="00517DAC" w:rsidP="00CD2FAE">
      <w:pPr>
        <w:pStyle w:val="Body"/>
        <w:spacing w:line="480" w:lineRule="auto"/>
        <w:ind w:firstLine="567"/>
        <w:jc w:val="both"/>
        <w:rPr>
          <w:rStyle w:val="fadein4f9by7"/>
          <w:rFonts w:ascii="Arial" w:hAnsi="Arial" w:cs="Arial"/>
          <w:sz w:val="20"/>
          <w:szCs w:val="20"/>
          <w:lang w:val="en-US"/>
        </w:rPr>
      </w:pPr>
      <w:r w:rsidRPr="00CD2FAE">
        <w:rPr>
          <w:rFonts w:ascii="Arial" w:hAnsi="Arial" w:cs="Arial"/>
          <w:sz w:val="20"/>
          <w:szCs w:val="20"/>
          <w:lang w:val="en-US"/>
        </w:rPr>
        <w:t xml:space="preserve">Surgical and experimental procedures were carried out under general anesthesia </w:t>
      </w:r>
      <w:r w:rsidR="0050460E">
        <w:rPr>
          <w:rFonts w:ascii="Arial" w:hAnsi="Arial" w:cs="Arial"/>
          <w:sz w:val="20"/>
          <w:szCs w:val="20"/>
          <w:lang w:val="en-US"/>
        </w:rPr>
        <w:t xml:space="preserve">with </w:t>
      </w:r>
      <w:r w:rsidRPr="00CD2FAE">
        <w:rPr>
          <w:rFonts w:ascii="Arial" w:hAnsi="Arial" w:cs="Arial"/>
          <w:sz w:val="20"/>
          <w:szCs w:val="20"/>
          <w:lang w:val="en-US"/>
        </w:rPr>
        <w:t xml:space="preserve">intraperitoneal injection of  anesthetic solution containing Ketamine Hydrochloride (DOPALEN, </w:t>
      </w:r>
      <w:proofErr w:type="spellStart"/>
      <w:r w:rsidRPr="00CD2FAE">
        <w:rPr>
          <w:rFonts w:ascii="Arial" w:hAnsi="Arial" w:cs="Arial"/>
          <w:sz w:val="20"/>
          <w:szCs w:val="20"/>
          <w:lang w:val="en-US"/>
        </w:rPr>
        <w:t>Sespo</w:t>
      </w:r>
      <w:proofErr w:type="spellEnd"/>
      <w:r w:rsidRPr="00CD2FAE">
        <w:rPr>
          <w:rFonts w:ascii="Arial" w:hAnsi="Arial" w:cs="Arial"/>
          <w:sz w:val="20"/>
          <w:szCs w:val="20"/>
          <w:lang w:val="en-US"/>
        </w:rPr>
        <w:t xml:space="preserve"> </w:t>
      </w:r>
      <w:proofErr w:type="spellStart"/>
      <w:r w:rsidRPr="00CD2FAE">
        <w:rPr>
          <w:rFonts w:ascii="Arial" w:hAnsi="Arial" w:cs="Arial"/>
          <w:sz w:val="20"/>
          <w:szCs w:val="20"/>
          <w:lang w:val="en-US"/>
        </w:rPr>
        <w:t>Indústria</w:t>
      </w:r>
      <w:proofErr w:type="spellEnd"/>
      <w:r w:rsidRPr="00CD2FAE">
        <w:rPr>
          <w:rFonts w:ascii="Arial" w:hAnsi="Arial" w:cs="Arial"/>
          <w:sz w:val="20"/>
          <w:szCs w:val="20"/>
          <w:lang w:val="en-US"/>
        </w:rPr>
        <w:t xml:space="preserve"> e </w:t>
      </w:r>
      <w:proofErr w:type="spellStart"/>
      <w:r w:rsidRPr="00CD2FAE">
        <w:rPr>
          <w:rFonts w:ascii="Arial" w:hAnsi="Arial" w:cs="Arial"/>
          <w:sz w:val="20"/>
          <w:szCs w:val="20"/>
          <w:lang w:val="en-US"/>
        </w:rPr>
        <w:t>Comércio</w:t>
      </w:r>
      <w:proofErr w:type="spellEnd"/>
      <w:r w:rsidRPr="00CD2FAE">
        <w:rPr>
          <w:rFonts w:ascii="Arial" w:hAnsi="Arial" w:cs="Arial"/>
          <w:sz w:val="20"/>
          <w:szCs w:val="20"/>
          <w:lang w:val="en-US"/>
        </w:rPr>
        <w:t xml:space="preserve">, </w:t>
      </w:r>
      <w:proofErr w:type="spellStart"/>
      <w:r w:rsidRPr="00CD2FAE">
        <w:rPr>
          <w:rFonts w:ascii="Arial" w:hAnsi="Arial" w:cs="Arial"/>
          <w:sz w:val="20"/>
          <w:szCs w:val="20"/>
          <w:lang w:val="en-US"/>
        </w:rPr>
        <w:t>Paulínia</w:t>
      </w:r>
      <w:proofErr w:type="spellEnd"/>
      <w:r w:rsidRPr="00CD2FAE">
        <w:rPr>
          <w:rFonts w:ascii="Arial" w:hAnsi="Arial" w:cs="Arial"/>
          <w:sz w:val="20"/>
          <w:szCs w:val="20"/>
          <w:lang w:val="en-US"/>
        </w:rPr>
        <w:t xml:space="preserve">-SP) at a dose of 75 mg/kg, along with a muscle relaxant containing Xylazine Hydrochloride (ANASEDAN, </w:t>
      </w:r>
      <w:proofErr w:type="spellStart"/>
      <w:r w:rsidRPr="00CD2FAE">
        <w:rPr>
          <w:rFonts w:ascii="Arial" w:hAnsi="Arial" w:cs="Arial"/>
          <w:sz w:val="20"/>
          <w:szCs w:val="20"/>
          <w:lang w:val="en-US"/>
        </w:rPr>
        <w:t>Sespo</w:t>
      </w:r>
      <w:proofErr w:type="spellEnd"/>
      <w:r w:rsidRPr="00CD2FAE">
        <w:rPr>
          <w:rFonts w:ascii="Arial" w:hAnsi="Arial" w:cs="Arial"/>
          <w:sz w:val="20"/>
          <w:szCs w:val="20"/>
          <w:lang w:val="en-US"/>
        </w:rPr>
        <w:t xml:space="preserve"> </w:t>
      </w:r>
      <w:proofErr w:type="spellStart"/>
      <w:r w:rsidRPr="00CD2FAE">
        <w:rPr>
          <w:rFonts w:ascii="Arial" w:hAnsi="Arial" w:cs="Arial"/>
          <w:sz w:val="20"/>
          <w:szCs w:val="20"/>
          <w:lang w:val="en-US"/>
        </w:rPr>
        <w:t>Indústria</w:t>
      </w:r>
      <w:proofErr w:type="spellEnd"/>
      <w:r w:rsidRPr="00CD2FAE">
        <w:rPr>
          <w:rFonts w:ascii="Arial" w:hAnsi="Arial" w:cs="Arial"/>
          <w:sz w:val="20"/>
          <w:szCs w:val="20"/>
          <w:lang w:val="en-US"/>
        </w:rPr>
        <w:t xml:space="preserve"> e </w:t>
      </w:r>
      <w:proofErr w:type="spellStart"/>
      <w:r w:rsidRPr="00CD2FAE">
        <w:rPr>
          <w:rFonts w:ascii="Arial" w:hAnsi="Arial" w:cs="Arial"/>
          <w:sz w:val="20"/>
          <w:szCs w:val="20"/>
          <w:lang w:val="en-US"/>
        </w:rPr>
        <w:t>Comércio</w:t>
      </w:r>
      <w:proofErr w:type="spellEnd"/>
      <w:r w:rsidRPr="00CD2FAE">
        <w:rPr>
          <w:rFonts w:ascii="Arial" w:hAnsi="Arial" w:cs="Arial"/>
          <w:sz w:val="20"/>
          <w:szCs w:val="20"/>
          <w:lang w:val="en-US"/>
        </w:rPr>
        <w:t xml:space="preserve">, </w:t>
      </w:r>
      <w:proofErr w:type="spellStart"/>
      <w:r w:rsidRPr="00CD2FAE">
        <w:rPr>
          <w:rFonts w:ascii="Arial" w:hAnsi="Arial" w:cs="Arial"/>
          <w:sz w:val="20"/>
          <w:szCs w:val="20"/>
          <w:lang w:val="en-US"/>
        </w:rPr>
        <w:t>Paulínia</w:t>
      </w:r>
      <w:proofErr w:type="spellEnd"/>
      <w:r w:rsidRPr="00CD2FAE">
        <w:rPr>
          <w:rFonts w:ascii="Arial" w:hAnsi="Arial" w:cs="Arial"/>
          <w:sz w:val="20"/>
          <w:szCs w:val="20"/>
          <w:lang w:val="en-US"/>
        </w:rPr>
        <w:t>-SP) at a dose of 15 mg/kg (Pasa et al., 2024).</w:t>
      </w:r>
    </w:p>
    <w:bookmarkEnd w:id="4"/>
    <w:p w14:paraId="505AAF86" w14:textId="77777777" w:rsidR="002B4DD0" w:rsidRPr="00CD2FAE" w:rsidRDefault="002B4DD0" w:rsidP="00CD2FAE">
      <w:pPr>
        <w:pStyle w:val="Body"/>
        <w:spacing w:line="480" w:lineRule="auto"/>
        <w:ind w:firstLine="567"/>
        <w:jc w:val="both"/>
        <w:rPr>
          <w:rStyle w:val="fadein4f9by7"/>
          <w:rFonts w:ascii="Arial" w:hAnsi="Arial" w:cs="Arial"/>
          <w:sz w:val="20"/>
          <w:szCs w:val="20"/>
          <w:lang w:val="en-US"/>
        </w:rPr>
      </w:pPr>
    </w:p>
    <w:p w14:paraId="420C8890" w14:textId="7C2B906D" w:rsidR="002B4DD0" w:rsidRPr="00D36883" w:rsidRDefault="00910DE5" w:rsidP="00CD2FAE">
      <w:pPr>
        <w:pStyle w:val="Body"/>
        <w:spacing w:line="480" w:lineRule="auto"/>
        <w:rPr>
          <w:rStyle w:val="Strong"/>
          <w:rFonts w:ascii="Arial" w:eastAsia="Arial Unicode MS" w:hAnsi="Arial" w:cs="Arial"/>
          <w:sz w:val="20"/>
          <w:szCs w:val="20"/>
          <w:lang w:val="en-US"/>
        </w:rPr>
      </w:pPr>
      <w:bookmarkStart w:id="5" w:name="_Hlk188624981"/>
      <w:r>
        <w:rPr>
          <w:rFonts w:ascii="Arial" w:hAnsi="Arial" w:cs="Arial"/>
          <w:b/>
          <w:bCs/>
          <w:sz w:val="20"/>
          <w:szCs w:val="20"/>
          <w:lang w:val="en-US"/>
        </w:rPr>
        <w:t xml:space="preserve">2.5 </w:t>
      </w:r>
      <w:r w:rsidRPr="00CD2FAE">
        <w:rPr>
          <w:rFonts w:ascii="Arial" w:hAnsi="Arial" w:cs="Arial"/>
          <w:b/>
          <w:bCs/>
          <w:sz w:val="20"/>
          <w:szCs w:val="20"/>
          <w:lang w:val="en-US"/>
        </w:rPr>
        <w:t>Installation of the Induced Tooth Movement (ITM) Device</w:t>
      </w:r>
      <w:bookmarkEnd w:id="5"/>
    </w:p>
    <w:p w14:paraId="75DFD0D4" w14:textId="7439E433" w:rsidR="002B4DD0" w:rsidRPr="00CD2FAE" w:rsidRDefault="005C0A37" w:rsidP="00CD2FAE">
      <w:pPr>
        <w:pStyle w:val="Body"/>
        <w:spacing w:line="480" w:lineRule="auto"/>
        <w:ind w:firstLine="720"/>
        <w:jc w:val="both"/>
        <w:rPr>
          <w:rFonts w:ascii="Arial" w:hAnsi="Arial" w:cs="Arial"/>
          <w:sz w:val="20"/>
          <w:szCs w:val="20"/>
          <w:lang w:val="en-US"/>
        </w:rPr>
      </w:pPr>
      <w:r>
        <w:rPr>
          <w:rFonts w:ascii="Arial" w:hAnsi="Arial" w:cs="Arial"/>
          <w:sz w:val="20"/>
          <w:szCs w:val="20"/>
          <w:lang w:val="en-US"/>
        </w:rPr>
        <w:t xml:space="preserve">At 90 days </w:t>
      </w:r>
      <w:r w:rsidRPr="00CD2FAE">
        <w:rPr>
          <w:rFonts w:ascii="Arial" w:hAnsi="Arial" w:cs="Arial"/>
          <w:sz w:val="20"/>
          <w:szCs w:val="20"/>
          <w:lang w:val="en-US"/>
        </w:rPr>
        <w:t xml:space="preserve">, the ITM device was installed in the </w:t>
      </w:r>
      <w:r w:rsidRPr="001B6AC0">
        <w:rPr>
          <w:rFonts w:ascii="Arial" w:hAnsi="Arial" w:cs="Arial"/>
          <w:sz w:val="20"/>
          <w:szCs w:val="20"/>
          <w:lang w:val="en-US"/>
        </w:rPr>
        <w:t xml:space="preserve">CTL + ITM and MSG + ITM groups. The device used in this study was similar to the one proposed by </w:t>
      </w:r>
      <w:r w:rsidR="00B8361F" w:rsidRPr="001B6AC0">
        <w:rPr>
          <w:rFonts w:ascii="Arial" w:hAnsi="Arial" w:cs="Arial"/>
          <w:sz w:val="20"/>
          <w:szCs w:val="20"/>
          <w:lang w:val="en-US"/>
        </w:rPr>
        <w:t>Pasa et al. (2024)</w:t>
      </w:r>
      <w:r w:rsidR="001B6AC0" w:rsidRPr="001B6AC0">
        <w:rPr>
          <w:rFonts w:ascii="Arial" w:hAnsi="Arial" w:cs="Arial"/>
          <w:sz w:val="20"/>
          <w:szCs w:val="20"/>
          <w:lang w:val="en-US"/>
        </w:rPr>
        <w:t xml:space="preserve"> and </w:t>
      </w:r>
      <w:proofErr w:type="spellStart"/>
      <w:r w:rsidR="001B6AC0" w:rsidRPr="001B6AC0">
        <w:rPr>
          <w:rFonts w:ascii="Arial" w:hAnsi="Arial" w:cs="Arial"/>
          <w:sz w:val="20"/>
          <w:szCs w:val="20"/>
          <w:lang w:val="en-US"/>
        </w:rPr>
        <w:t>Lucietto</w:t>
      </w:r>
      <w:proofErr w:type="spellEnd"/>
      <w:r w:rsidR="001B6AC0" w:rsidRPr="001B6AC0">
        <w:rPr>
          <w:rFonts w:ascii="Arial" w:hAnsi="Arial" w:cs="Arial"/>
          <w:sz w:val="20"/>
          <w:szCs w:val="20"/>
          <w:lang w:val="en-US"/>
        </w:rPr>
        <w:t xml:space="preserve"> et al (2024)</w:t>
      </w:r>
      <w:r w:rsidRPr="001B6AC0">
        <w:rPr>
          <w:rFonts w:ascii="Arial" w:hAnsi="Arial" w:cs="Arial"/>
          <w:sz w:val="20"/>
          <w:szCs w:val="20"/>
          <w:lang w:val="en-US"/>
        </w:rPr>
        <w:t>, and the total duration of ITM was 7 days. The modified</w:t>
      </w:r>
      <w:r w:rsidRPr="00CD2FAE">
        <w:rPr>
          <w:rFonts w:ascii="Arial" w:hAnsi="Arial" w:cs="Arial"/>
          <w:sz w:val="20"/>
          <w:szCs w:val="20"/>
          <w:lang w:val="en-US"/>
        </w:rPr>
        <w:t xml:space="preserve"> apparatus consisted of a closed-coil nickel-titanium spring (Morelli®; Sorocaba, São Paulo, Brazil), calibrated to exert a constant force of 50 </w:t>
      </w:r>
      <w:proofErr w:type="spellStart"/>
      <w:r w:rsidRPr="00CD2FAE">
        <w:rPr>
          <w:rFonts w:ascii="Arial" w:hAnsi="Arial" w:cs="Arial"/>
          <w:sz w:val="20"/>
          <w:szCs w:val="20"/>
          <w:lang w:val="en-US"/>
        </w:rPr>
        <w:t>cN</w:t>
      </w:r>
      <w:proofErr w:type="spellEnd"/>
      <w:r w:rsidRPr="00CD2FAE">
        <w:rPr>
          <w:rFonts w:ascii="Arial" w:hAnsi="Arial" w:cs="Arial"/>
          <w:sz w:val="20"/>
          <w:szCs w:val="20"/>
          <w:lang w:val="en-US"/>
        </w:rPr>
        <w:t xml:space="preserve">. The force magnitude was verified in advance using a </w:t>
      </w:r>
      <w:proofErr w:type="spellStart"/>
      <w:r w:rsidRPr="00CD2FAE">
        <w:rPr>
          <w:rFonts w:ascii="Arial" w:hAnsi="Arial" w:cs="Arial"/>
          <w:sz w:val="20"/>
          <w:szCs w:val="20"/>
          <w:lang w:val="en-US"/>
        </w:rPr>
        <w:t>Zeusan</w:t>
      </w:r>
      <w:proofErr w:type="spellEnd"/>
      <w:r w:rsidRPr="00CD2FAE">
        <w:rPr>
          <w:rFonts w:ascii="Arial" w:hAnsi="Arial" w:cs="Arial"/>
          <w:sz w:val="20"/>
          <w:szCs w:val="20"/>
          <w:lang w:val="en-US"/>
        </w:rPr>
        <w:t xml:space="preserve"> tensiometer (</w:t>
      </w:r>
      <w:proofErr w:type="spellStart"/>
      <w:r w:rsidRPr="00CD2FAE">
        <w:rPr>
          <w:rFonts w:ascii="Arial" w:hAnsi="Arial" w:cs="Arial"/>
          <w:sz w:val="20"/>
          <w:szCs w:val="20"/>
          <w:lang w:val="en-US"/>
        </w:rPr>
        <w:t>Zeusan</w:t>
      </w:r>
      <w:proofErr w:type="spellEnd"/>
      <w:r w:rsidRPr="00CD2FAE">
        <w:rPr>
          <w:rFonts w:ascii="Arial" w:hAnsi="Arial" w:cs="Arial"/>
          <w:sz w:val="20"/>
          <w:szCs w:val="20"/>
          <w:lang w:val="en-US"/>
        </w:rPr>
        <w:t xml:space="preserve"> Exporting </w:t>
      </w:r>
      <w:proofErr w:type="spellStart"/>
      <w:r w:rsidRPr="00CD2FAE">
        <w:rPr>
          <w:rFonts w:ascii="Arial" w:hAnsi="Arial" w:cs="Arial"/>
          <w:sz w:val="20"/>
          <w:szCs w:val="20"/>
          <w:lang w:val="en-US"/>
        </w:rPr>
        <w:t>Ltda</w:t>
      </w:r>
      <w:proofErr w:type="spellEnd"/>
      <w:r w:rsidRPr="00CD2FAE">
        <w:rPr>
          <w:rFonts w:ascii="Arial" w:hAnsi="Arial" w:cs="Arial"/>
          <w:sz w:val="20"/>
          <w:szCs w:val="20"/>
          <w:lang w:val="en-US"/>
        </w:rPr>
        <w:t>, Campinas, São Paulo, Brazil).</w:t>
      </w:r>
    </w:p>
    <w:p w14:paraId="265B5106" w14:textId="464AA0A2" w:rsidR="002B4DD0" w:rsidRPr="00D36883" w:rsidRDefault="00517DAC" w:rsidP="00CD2FAE">
      <w:pPr>
        <w:pStyle w:val="Body"/>
        <w:spacing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t xml:space="preserve">As previously described, the animals were anesthetized </w:t>
      </w:r>
      <w:r w:rsidR="0050460E">
        <w:rPr>
          <w:rFonts w:ascii="Arial" w:hAnsi="Arial" w:cs="Arial"/>
          <w:sz w:val="20"/>
          <w:szCs w:val="20"/>
          <w:lang w:val="en-US"/>
        </w:rPr>
        <w:t>with</w:t>
      </w:r>
      <w:r w:rsidRPr="00CD2FAE">
        <w:rPr>
          <w:rFonts w:ascii="Arial" w:hAnsi="Arial" w:cs="Arial"/>
          <w:sz w:val="20"/>
          <w:szCs w:val="20"/>
          <w:lang w:val="en-US"/>
        </w:rPr>
        <w:t xml:space="preserve"> intraperitoneal injection of Ketamine Hydrochloride (75 mg/kg) and Xylazine Hydrochloride (15 mg/kg). Two ligature wire </w:t>
      </w:r>
      <w:r w:rsidRPr="00CD2FAE">
        <w:rPr>
          <w:rFonts w:ascii="Arial" w:hAnsi="Arial" w:cs="Arial"/>
          <w:sz w:val="20"/>
          <w:szCs w:val="20"/>
          <w:lang w:val="en-US"/>
        </w:rPr>
        <w:lastRenderedPageBreak/>
        <w:t>segments (0.25 mm thick; Morelli, Sorocaba, SP, Brazil) were attached to the ends of the spring: one encircling the upper right first molar and the other the upper right central incisor. To stabilize the ligature wire on the labial surface of the incisor, a cervical groove was prepared and filled with light-cured composite resin (</w:t>
      </w:r>
      <w:proofErr w:type="spellStart"/>
      <w:r w:rsidRPr="00CD2FAE">
        <w:rPr>
          <w:rFonts w:ascii="Arial" w:hAnsi="Arial" w:cs="Arial"/>
          <w:sz w:val="20"/>
          <w:szCs w:val="20"/>
          <w:lang w:val="en-US"/>
        </w:rPr>
        <w:t>Filtek</w:t>
      </w:r>
      <w:proofErr w:type="spellEnd"/>
      <w:r w:rsidRPr="00CD2FAE">
        <w:rPr>
          <w:rFonts w:ascii="Arial" w:hAnsi="Arial" w:cs="Arial"/>
          <w:sz w:val="20"/>
          <w:szCs w:val="20"/>
          <w:lang w:val="en-US"/>
        </w:rPr>
        <w:t>™ Z350XT, 3M Company, St. Paul, MN, USA) to prevent wire displacement (Figure 1).</w:t>
      </w:r>
      <w:bookmarkStart w:id="6" w:name="_Hlk94256694"/>
    </w:p>
    <w:p w14:paraId="70FDA1EF" w14:textId="3210CA8A" w:rsidR="00CD2FAE" w:rsidRPr="00D36883" w:rsidRDefault="00CD2FAE" w:rsidP="00CD2FAE">
      <w:pPr>
        <w:pStyle w:val="Body"/>
        <w:spacing w:line="360" w:lineRule="auto"/>
        <w:jc w:val="both"/>
        <w:rPr>
          <w:rFonts w:ascii="Arial" w:hAnsi="Arial" w:cs="Arial"/>
          <w:sz w:val="20"/>
          <w:szCs w:val="20"/>
          <w:highlight w:val="yellow"/>
          <w:lang w:val="en-US"/>
        </w:rPr>
      </w:pPr>
    </w:p>
    <w:p w14:paraId="51576537" w14:textId="2B146BF4" w:rsidR="00CD2FAE" w:rsidRDefault="00CD2FAE" w:rsidP="00CD2FAE">
      <w:pPr>
        <w:pStyle w:val="Body"/>
        <w:spacing w:line="360" w:lineRule="auto"/>
        <w:jc w:val="both"/>
        <w:rPr>
          <w:rStyle w:val="fadein4f9by7"/>
          <w:rFonts w:ascii="Arial" w:hAnsi="Arial" w:cs="Arial"/>
          <w:sz w:val="20"/>
          <w:szCs w:val="20"/>
          <w:highlight w:val="yellow"/>
          <w:lang w:val="en-US"/>
        </w:rPr>
      </w:pPr>
    </w:p>
    <w:p w14:paraId="4D070A27" w14:textId="52D9BFDA" w:rsidR="00B8361F" w:rsidRDefault="00B8361F" w:rsidP="00CD2FAE">
      <w:pPr>
        <w:pStyle w:val="Body"/>
        <w:spacing w:line="360" w:lineRule="auto"/>
        <w:jc w:val="both"/>
        <w:rPr>
          <w:rStyle w:val="fadein4f9by7"/>
          <w:rFonts w:ascii="Arial" w:hAnsi="Arial" w:cs="Arial"/>
          <w:sz w:val="20"/>
          <w:szCs w:val="20"/>
          <w:highlight w:val="yellow"/>
          <w:lang w:val="en-US"/>
        </w:rPr>
      </w:pPr>
    </w:p>
    <w:p w14:paraId="789EEF3F" w14:textId="000FDE23" w:rsidR="00B8361F" w:rsidRDefault="00B8361F" w:rsidP="00CD2FAE">
      <w:pPr>
        <w:pStyle w:val="Body"/>
        <w:spacing w:line="360" w:lineRule="auto"/>
        <w:jc w:val="both"/>
        <w:rPr>
          <w:rStyle w:val="fadein4f9by7"/>
          <w:rFonts w:ascii="Arial" w:hAnsi="Arial" w:cs="Arial"/>
          <w:sz w:val="20"/>
          <w:szCs w:val="20"/>
          <w:highlight w:val="yellow"/>
          <w:lang w:val="en-US"/>
        </w:rPr>
      </w:pPr>
    </w:p>
    <w:p w14:paraId="235F5659" w14:textId="69FDCF24" w:rsidR="00B8361F" w:rsidRDefault="00B8361F" w:rsidP="00CD2FAE">
      <w:pPr>
        <w:pStyle w:val="Body"/>
        <w:spacing w:line="360" w:lineRule="auto"/>
        <w:jc w:val="both"/>
        <w:rPr>
          <w:rStyle w:val="fadein4f9by7"/>
          <w:rFonts w:ascii="Arial" w:hAnsi="Arial" w:cs="Arial"/>
          <w:sz w:val="20"/>
          <w:szCs w:val="20"/>
          <w:highlight w:val="yellow"/>
          <w:lang w:val="en-US"/>
        </w:rPr>
      </w:pPr>
    </w:p>
    <w:p w14:paraId="26B69AB0"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62B84814" w14:textId="1F59D329" w:rsidR="00B8361F" w:rsidRDefault="00B8361F" w:rsidP="00CD2FAE">
      <w:pPr>
        <w:pStyle w:val="Body"/>
        <w:spacing w:line="360" w:lineRule="auto"/>
        <w:jc w:val="both"/>
        <w:rPr>
          <w:rStyle w:val="fadein4f9by7"/>
          <w:rFonts w:ascii="Arial" w:hAnsi="Arial" w:cs="Arial"/>
          <w:sz w:val="20"/>
          <w:szCs w:val="20"/>
          <w:highlight w:val="yellow"/>
          <w:lang w:val="en-US"/>
        </w:rPr>
      </w:pPr>
    </w:p>
    <w:p w14:paraId="1695A44C" w14:textId="445AEC22" w:rsidR="00B8361F" w:rsidRDefault="00B8361F" w:rsidP="00CD2FAE">
      <w:pPr>
        <w:pStyle w:val="Body"/>
        <w:spacing w:line="360" w:lineRule="auto"/>
        <w:jc w:val="both"/>
        <w:rPr>
          <w:rStyle w:val="fadein4f9by7"/>
          <w:rFonts w:ascii="Arial" w:hAnsi="Arial" w:cs="Arial"/>
          <w:sz w:val="20"/>
          <w:szCs w:val="20"/>
          <w:highlight w:val="yellow"/>
          <w:lang w:val="en-US"/>
        </w:rPr>
      </w:pPr>
    </w:p>
    <w:p w14:paraId="17AC9E17" w14:textId="06151308" w:rsidR="00B8361F" w:rsidRDefault="00813C5B" w:rsidP="00CD2FAE">
      <w:pPr>
        <w:pStyle w:val="Body"/>
        <w:spacing w:line="360" w:lineRule="auto"/>
        <w:jc w:val="both"/>
        <w:rPr>
          <w:rStyle w:val="fadein4f9by7"/>
          <w:rFonts w:ascii="Arial" w:hAnsi="Arial" w:cs="Arial"/>
          <w:sz w:val="20"/>
          <w:szCs w:val="20"/>
          <w:highlight w:val="yellow"/>
          <w:lang w:val="en-US"/>
        </w:rPr>
      </w:pPr>
      <w:r>
        <w:rPr>
          <w:noProof/>
        </w:rPr>
        <w:drawing>
          <wp:anchor distT="0" distB="0" distL="114300" distR="114300" simplePos="0" relativeHeight="251658240" behindDoc="1" locked="0" layoutInCell="1" allowOverlap="1" wp14:anchorId="6213510A" wp14:editId="558C161D">
            <wp:simplePos x="0" y="0"/>
            <wp:positionH relativeFrom="column">
              <wp:posOffset>691515</wp:posOffset>
            </wp:positionH>
            <wp:positionV relativeFrom="paragraph">
              <wp:posOffset>90805</wp:posOffset>
            </wp:positionV>
            <wp:extent cx="3714750" cy="4910455"/>
            <wp:effectExtent l="0" t="0" r="0" b="4445"/>
            <wp:wrapTight wrapText="bothSides">
              <wp:wrapPolygon edited="0">
                <wp:start x="0" y="0"/>
                <wp:lineTo x="0" y="21536"/>
                <wp:lineTo x="21489" y="21536"/>
                <wp:lineTo x="21489" y="0"/>
                <wp:lineTo x="0" y="0"/>
              </wp:wrapPolygon>
            </wp:wrapTight>
            <wp:docPr id="1610435692" name="Imagem 1" descr="Uma imagem contendo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35692" name="Imagem 1" descr="Uma imagem contendo comida&#10;&#10;O conteúdo gerado por IA pode estar incorre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944" t="12639" r="17628" b="22502"/>
                    <a:stretch>
                      <a:fillRect/>
                    </a:stretch>
                  </pic:blipFill>
                  <pic:spPr bwMode="auto">
                    <a:xfrm>
                      <a:off x="0" y="0"/>
                      <a:ext cx="3714750" cy="4910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050CD" w14:textId="73A7C3F2" w:rsidR="00B8361F" w:rsidRDefault="00B8361F" w:rsidP="00CD2FAE">
      <w:pPr>
        <w:pStyle w:val="Body"/>
        <w:spacing w:line="360" w:lineRule="auto"/>
        <w:jc w:val="both"/>
        <w:rPr>
          <w:rStyle w:val="fadein4f9by7"/>
          <w:rFonts w:ascii="Arial" w:hAnsi="Arial" w:cs="Arial"/>
          <w:sz w:val="20"/>
          <w:szCs w:val="20"/>
          <w:highlight w:val="yellow"/>
          <w:lang w:val="en-US"/>
        </w:rPr>
      </w:pPr>
    </w:p>
    <w:p w14:paraId="4A2188D5" w14:textId="6D33B2F9" w:rsidR="00B8361F" w:rsidRDefault="00B8361F" w:rsidP="00CD2FAE">
      <w:pPr>
        <w:pStyle w:val="Body"/>
        <w:spacing w:line="360" w:lineRule="auto"/>
        <w:jc w:val="both"/>
        <w:rPr>
          <w:rStyle w:val="fadein4f9by7"/>
          <w:rFonts w:ascii="Arial" w:hAnsi="Arial" w:cs="Arial"/>
          <w:sz w:val="20"/>
          <w:szCs w:val="20"/>
          <w:highlight w:val="yellow"/>
          <w:lang w:val="en-US"/>
        </w:rPr>
      </w:pPr>
    </w:p>
    <w:p w14:paraId="2E10E912" w14:textId="7E6F0EC8" w:rsidR="00B8361F" w:rsidRDefault="00B8361F" w:rsidP="00CD2FAE">
      <w:pPr>
        <w:pStyle w:val="Body"/>
        <w:spacing w:line="360" w:lineRule="auto"/>
        <w:jc w:val="both"/>
        <w:rPr>
          <w:rStyle w:val="fadein4f9by7"/>
          <w:rFonts w:ascii="Arial" w:hAnsi="Arial" w:cs="Arial"/>
          <w:sz w:val="20"/>
          <w:szCs w:val="20"/>
          <w:highlight w:val="yellow"/>
          <w:lang w:val="en-US"/>
        </w:rPr>
      </w:pPr>
    </w:p>
    <w:p w14:paraId="3D79008A" w14:textId="0EDE1DFA" w:rsidR="00B8361F" w:rsidRDefault="00B8361F" w:rsidP="00CD2FAE">
      <w:pPr>
        <w:pStyle w:val="Body"/>
        <w:spacing w:line="360" w:lineRule="auto"/>
        <w:jc w:val="both"/>
        <w:rPr>
          <w:rStyle w:val="fadein4f9by7"/>
          <w:rFonts w:ascii="Arial" w:hAnsi="Arial" w:cs="Arial"/>
          <w:sz w:val="20"/>
          <w:szCs w:val="20"/>
          <w:highlight w:val="yellow"/>
          <w:lang w:val="en-US"/>
        </w:rPr>
      </w:pPr>
    </w:p>
    <w:p w14:paraId="08A4D60E"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4981CD79"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0CC0A9FC"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50059023"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010F7475"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3DBE45F2"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36875E0F"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568C2533"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229C04B5"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3B26FF07"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792DC8CD"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1F0CD487"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61ED085D"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622C10D9"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480F54EB"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2DC519CF"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0FA28F70"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26DA081A"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12C7F57A"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1C477FE7" w14:textId="55C403CF" w:rsidR="00DD46DE" w:rsidRPr="00DD46DE" w:rsidRDefault="00B8361F" w:rsidP="00DD46DE">
      <w:pPr>
        <w:pStyle w:val="Body"/>
        <w:spacing w:line="360" w:lineRule="auto"/>
        <w:jc w:val="both"/>
        <w:rPr>
          <w:rStyle w:val="fadein4f9by7"/>
          <w:rFonts w:ascii="Arial" w:hAnsi="Arial" w:cs="Arial"/>
          <w:sz w:val="20"/>
          <w:szCs w:val="20"/>
          <w:lang w:val="en-US"/>
        </w:rPr>
      </w:pPr>
      <w:r w:rsidRPr="00DD46DE">
        <w:rPr>
          <w:rFonts w:ascii="Arial" w:hAnsi="Arial" w:cs="Arial"/>
          <w:sz w:val="20"/>
          <w:szCs w:val="20"/>
          <w:lang w:val="it-IT"/>
        </w:rPr>
        <w:t xml:space="preserve">Figure 1. </w:t>
      </w:r>
      <w:r w:rsidRPr="00DD46DE">
        <w:rPr>
          <w:rFonts w:ascii="Arial" w:hAnsi="Arial" w:cs="Arial"/>
          <w:sz w:val="20"/>
          <w:szCs w:val="20"/>
          <w:lang w:val="en-US"/>
        </w:rPr>
        <w:t xml:space="preserve">The photographs illustrate the sequence of the induced tooth movement (ITM) device installation procedure. </w:t>
      </w:r>
      <w:r w:rsidR="004A0EA5" w:rsidRPr="00DD46DE">
        <w:rPr>
          <w:rFonts w:ascii="Arial" w:hAnsi="Arial" w:cs="Arial"/>
          <w:sz w:val="20"/>
          <w:szCs w:val="20"/>
          <w:lang w:val="en-US"/>
        </w:rPr>
        <w:t>A. T</w:t>
      </w:r>
      <w:r w:rsidRPr="00DD46DE">
        <w:rPr>
          <w:rFonts w:ascii="Arial" w:hAnsi="Arial" w:cs="Arial"/>
          <w:sz w:val="20"/>
          <w:szCs w:val="20"/>
          <w:lang w:val="en-US"/>
        </w:rPr>
        <w:t xml:space="preserve">he oral cavity was opened (OC) and a ligature wire was placed </w:t>
      </w:r>
      <w:r w:rsidRPr="00DD46DE">
        <w:rPr>
          <w:rFonts w:ascii="Arial" w:hAnsi="Arial" w:cs="Arial"/>
          <w:sz w:val="20"/>
          <w:szCs w:val="20"/>
          <w:lang w:val="en-US"/>
        </w:rPr>
        <w:lastRenderedPageBreak/>
        <w:t>surrounding the right maxillary first molar (arrowhead)</w:t>
      </w:r>
      <w:r w:rsidR="00DD46DE">
        <w:rPr>
          <w:rFonts w:ascii="Arial" w:hAnsi="Arial" w:cs="Arial"/>
          <w:sz w:val="20"/>
          <w:szCs w:val="20"/>
          <w:lang w:val="en-US"/>
        </w:rPr>
        <w:t>;</w:t>
      </w:r>
      <w:r w:rsidRPr="00DD46DE">
        <w:rPr>
          <w:rFonts w:ascii="Arial" w:hAnsi="Arial" w:cs="Arial"/>
          <w:sz w:val="20"/>
          <w:szCs w:val="20"/>
          <w:lang w:val="en-US"/>
        </w:rPr>
        <w:t xml:space="preserve"> </w:t>
      </w:r>
      <w:r w:rsidR="00DD46DE" w:rsidRPr="00DD46DE">
        <w:rPr>
          <w:rFonts w:ascii="Arial" w:hAnsi="Arial" w:cs="Arial"/>
          <w:sz w:val="20"/>
          <w:szCs w:val="20"/>
          <w:lang w:val="en-US"/>
        </w:rPr>
        <w:t>B</w:t>
      </w:r>
      <w:r w:rsidRPr="00DD46DE">
        <w:rPr>
          <w:rFonts w:ascii="Arial" w:hAnsi="Arial" w:cs="Arial"/>
          <w:sz w:val="20"/>
          <w:szCs w:val="20"/>
          <w:lang w:val="en-US"/>
        </w:rPr>
        <w:t xml:space="preserve">. </w:t>
      </w:r>
      <w:r w:rsidR="00DD46DE" w:rsidRPr="00DD46DE">
        <w:rPr>
          <w:rFonts w:ascii="Arial" w:hAnsi="Arial" w:cs="Arial"/>
          <w:sz w:val="20"/>
          <w:szCs w:val="20"/>
          <w:lang w:val="en-US"/>
        </w:rPr>
        <w:t>N</w:t>
      </w:r>
      <w:r w:rsidRPr="00DD46DE">
        <w:rPr>
          <w:rFonts w:ascii="Arial" w:hAnsi="Arial" w:cs="Arial"/>
          <w:sz w:val="20"/>
          <w:szCs w:val="20"/>
          <w:lang w:val="en-US"/>
        </w:rPr>
        <w:t>ickel-titanium coil spring (arrow) was used, with its ends attached to two segments of ligature wire</w:t>
      </w:r>
      <w:r w:rsidR="00DD46DE" w:rsidRPr="00DD46DE">
        <w:rPr>
          <w:rFonts w:ascii="Arial" w:hAnsi="Arial" w:cs="Arial"/>
          <w:sz w:val="20"/>
          <w:szCs w:val="20"/>
          <w:lang w:val="en-US"/>
        </w:rPr>
        <w:t xml:space="preserve"> (arrowhead)</w:t>
      </w:r>
      <w:r w:rsidR="00DD46DE">
        <w:rPr>
          <w:rFonts w:ascii="Arial" w:hAnsi="Arial" w:cs="Arial"/>
          <w:sz w:val="20"/>
          <w:szCs w:val="20"/>
          <w:lang w:val="en-US"/>
        </w:rPr>
        <w:t>;</w:t>
      </w:r>
      <w:r w:rsidRPr="00DD46DE">
        <w:rPr>
          <w:rFonts w:ascii="Arial" w:hAnsi="Arial" w:cs="Arial"/>
          <w:sz w:val="20"/>
          <w:szCs w:val="20"/>
          <w:lang w:val="en-US"/>
        </w:rPr>
        <w:t xml:space="preserve"> </w:t>
      </w:r>
      <w:r w:rsidR="00DD46DE" w:rsidRPr="00DD46DE">
        <w:rPr>
          <w:rFonts w:ascii="Arial" w:hAnsi="Arial" w:cs="Arial"/>
          <w:sz w:val="20"/>
          <w:szCs w:val="20"/>
          <w:lang w:val="en-US"/>
        </w:rPr>
        <w:t xml:space="preserve">C. Nickel-titanium coil spring (arrow) and a </w:t>
      </w:r>
      <w:r w:rsidRPr="00DD46DE">
        <w:rPr>
          <w:rFonts w:ascii="Arial" w:hAnsi="Arial" w:cs="Arial"/>
          <w:sz w:val="20"/>
          <w:szCs w:val="20"/>
          <w:lang w:val="en-US"/>
        </w:rPr>
        <w:t>segment surrounded the right maxillary first molar (arrowhead) and the other segment surrounded the right maxillary incisor (*) of the animal</w:t>
      </w:r>
      <w:r w:rsidR="00DD46DE">
        <w:rPr>
          <w:rFonts w:ascii="Arial" w:hAnsi="Arial" w:cs="Arial"/>
          <w:sz w:val="20"/>
          <w:szCs w:val="20"/>
          <w:lang w:val="en-US"/>
        </w:rPr>
        <w:t>;</w:t>
      </w:r>
      <w:r w:rsidR="00DD46DE" w:rsidRPr="00DD46DE">
        <w:rPr>
          <w:rFonts w:ascii="Arial" w:hAnsi="Arial" w:cs="Arial"/>
          <w:sz w:val="20"/>
          <w:szCs w:val="20"/>
          <w:lang w:val="en-US"/>
        </w:rPr>
        <w:t xml:space="preserve"> D. Nickel-titanium coil spring (arrow) and </w:t>
      </w:r>
      <w:r w:rsidR="00DD46DE" w:rsidRPr="00DD46DE">
        <w:rPr>
          <w:rStyle w:val="fadein4f9by7"/>
          <w:rFonts w:ascii="Arial" w:hAnsi="Arial" w:cs="Arial"/>
          <w:sz w:val="20"/>
          <w:szCs w:val="20"/>
          <w:lang w:val="en-US"/>
        </w:rPr>
        <w:t xml:space="preserve">light-cured composite resin </w:t>
      </w:r>
      <w:r w:rsidR="00DD46DE" w:rsidRPr="00DD46DE">
        <w:rPr>
          <w:rFonts w:ascii="Arial" w:hAnsi="Arial" w:cs="Arial"/>
          <w:sz w:val="20"/>
          <w:szCs w:val="20"/>
          <w:lang w:val="en-US"/>
        </w:rPr>
        <w:t>(arrowhead).</w:t>
      </w:r>
    </w:p>
    <w:p w14:paraId="60963AEA" w14:textId="7E02718B" w:rsidR="00B8361F" w:rsidRPr="00D36883" w:rsidRDefault="00B8361F" w:rsidP="00B8361F">
      <w:pPr>
        <w:pStyle w:val="Body"/>
        <w:spacing w:line="360" w:lineRule="auto"/>
        <w:jc w:val="both"/>
        <w:rPr>
          <w:rFonts w:ascii="Arial" w:hAnsi="Arial" w:cs="Arial"/>
          <w:sz w:val="20"/>
          <w:szCs w:val="20"/>
          <w:lang w:val="en-US"/>
        </w:rPr>
      </w:pPr>
    </w:p>
    <w:p w14:paraId="0603A71A" w14:textId="77777777" w:rsidR="00910DE5" w:rsidRDefault="00910DE5" w:rsidP="00CD2FAE">
      <w:pPr>
        <w:pStyle w:val="Body"/>
        <w:spacing w:line="360" w:lineRule="auto"/>
        <w:jc w:val="both"/>
        <w:rPr>
          <w:rStyle w:val="fadein4f9by7"/>
          <w:rFonts w:ascii="Arial" w:hAnsi="Arial" w:cs="Arial"/>
          <w:sz w:val="20"/>
          <w:szCs w:val="20"/>
          <w:highlight w:val="yellow"/>
          <w:lang w:val="en-US"/>
        </w:rPr>
      </w:pPr>
    </w:p>
    <w:p w14:paraId="6ED883D5" w14:textId="1F481243" w:rsidR="002B4DD0" w:rsidRPr="00D36883" w:rsidRDefault="00910DE5" w:rsidP="00CD2FAE">
      <w:pPr>
        <w:pStyle w:val="Body"/>
        <w:spacing w:line="480" w:lineRule="auto"/>
        <w:rPr>
          <w:rStyle w:val="Strong"/>
          <w:rFonts w:ascii="Arial" w:eastAsia="Arial Unicode MS" w:hAnsi="Arial" w:cs="Arial"/>
          <w:sz w:val="20"/>
          <w:szCs w:val="20"/>
          <w:lang w:val="en-US"/>
        </w:rPr>
      </w:pPr>
      <w:r>
        <w:rPr>
          <w:rFonts w:ascii="Arial" w:hAnsi="Arial" w:cs="Arial"/>
          <w:b/>
          <w:bCs/>
          <w:sz w:val="20"/>
          <w:szCs w:val="20"/>
          <w:lang w:val="en-US"/>
        </w:rPr>
        <w:t xml:space="preserve">2.6 </w:t>
      </w:r>
      <w:r w:rsidRPr="00CD2FAE">
        <w:rPr>
          <w:rFonts w:ascii="Arial" w:hAnsi="Arial" w:cs="Arial"/>
          <w:b/>
          <w:bCs/>
          <w:sz w:val="20"/>
          <w:szCs w:val="20"/>
          <w:lang w:val="en-US"/>
        </w:rPr>
        <w:t>Euthanasia and Biological Material Collection</w:t>
      </w:r>
    </w:p>
    <w:bookmarkEnd w:id="6"/>
    <w:p w14:paraId="434B9D08" w14:textId="70E70DD9" w:rsidR="002B4DD0" w:rsidRPr="00CD2FAE" w:rsidRDefault="00517DAC" w:rsidP="00CD2FAE">
      <w:pPr>
        <w:pStyle w:val="Body"/>
        <w:spacing w:line="480" w:lineRule="auto"/>
        <w:ind w:firstLine="720"/>
        <w:jc w:val="both"/>
        <w:rPr>
          <w:rFonts w:ascii="Arial" w:hAnsi="Arial" w:cs="Arial"/>
          <w:sz w:val="20"/>
          <w:szCs w:val="20"/>
          <w:lang w:val="en-US"/>
        </w:rPr>
      </w:pPr>
      <w:r w:rsidRPr="00CD2FAE">
        <w:rPr>
          <w:rFonts w:ascii="Arial" w:hAnsi="Arial" w:cs="Arial"/>
          <w:sz w:val="20"/>
          <w:szCs w:val="20"/>
          <w:lang w:val="en-US"/>
        </w:rPr>
        <w:t>On day 97, all animals were weighed and euthanized in a CO</w:t>
      </w:r>
      <w:r w:rsidRPr="00CD2FAE">
        <w:rPr>
          <w:rFonts w:ascii="Cambria Math" w:hAnsi="Cambria Math" w:cs="Cambria Math"/>
          <w:sz w:val="20"/>
          <w:szCs w:val="20"/>
          <w:lang w:val="en-US"/>
        </w:rPr>
        <w:t>₂</w:t>
      </w:r>
      <w:r w:rsidRPr="00CD2FAE">
        <w:rPr>
          <w:rFonts w:ascii="Arial" w:hAnsi="Arial" w:cs="Arial"/>
          <w:sz w:val="20"/>
          <w:szCs w:val="20"/>
          <w:lang w:val="en-US"/>
        </w:rPr>
        <w:t xml:space="preserve"> chamber, followed by decapitation. Obesity induction was confirmed by calculating the Lee index [cube root of body weight (g) divided by </w:t>
      </w:r>
      <w:proofErr w:type="spellStart"/>
      <w:r w:rsidRPr="00CD2FAE">
        <w:rPr>
          <w:rFonts w:ascii="Arial" w:hAnsi="Arial" w:cs="Arial"/>
          <w:sz w:val="20"/>
          <w:szCs w:val="20"/>
          <w:lang w:val="en-US"/>
        </w:rPr>
        <w:t>naso</w:t>
      </w:r>
      <w:proofErr w:type="spellEnd"/>
      <w:r w:rsidRPr="00CD2FAE">
        <w:rPr>
          <w:rFonts w:ascii="Arial" w:hAnsi="Arial" w:cs="Arial"/>
          <w:sz w:val="20"/>
          <w:szCs w:val="20"/>
          <w:lang w:val="en-US"/>
        </w:rPr>
        <w:t>-anal length (cm)], as well as by measuring retroperitoneal and perigonadal fat deposits.</w:t>
      </w:r>
    </w:p>
    <w:p w14:paraId="46D40E54" w14:textId="6F355A91" w:rsidR="002B4DD0" w:rsidRPr="00CD2FAE" w:rsidRDefault="00517DAC" w:rsidP="00CD2FAE">
      <w:pPr>
        <w:pStyle w:val="Body"/>
        <w:spacing w:line="480" w:lineRule="auto"/>
        <w:ind w:firstLine="720"/>
        <w:jc w:val="both"/>
        <w:rPr>
          <w:rFonts w:ascii="Arial" w:hAnsi="Arial" w:cs="Arial"/>
          <w:sz w:val="20"/>
          <w:szCs w:val="20"/>
          <w:lang w:val="en-US"/>
        </w:rPr>
      </w:pPr>
      <w:r w:rsidRPr="00CD2FAE">
        <w:rPr>
          <w:rFonts w:ascii="Arial" w:hAnsi="Arial" w:cs="Arial"/>
          <w:sz w:val="20"/>
          <w:szCs w:val="20"/>
          <w:lang w:val="en-US"/>
        </w:rPr>
        <w:t>The right hemimaxillae were dissected, fixed in 10% buffered formalin for 24 hours, rinsed under running water for 48 hours and stored in 70% ethanol.</w:t>
      </w:r>
    </w:p>
    <w:p w14:paraId="592027F5" w14:textId="17B21612" w:rsidR="002B4DD0" w:rsidRPr="00D36883" w:rsidRDefault="00910DE5" w:rsidP="00CD2FAE">
      <w:pPr>
        <w:pStyle w:val="Body"/>
        <w:spacing w:line="480" w:lineRule="auto"/>
        <w:rPr>
          <w:rStyle w:val="Strong"/>
          <w:rFonts w:ascii="Arial" w:eastAsia="Arial Unicode MS" w:hAnsi="Arial" w:cs="Arial"/>
          <w:sz w:val="20"/>
          <w:szCs w:val="20"/>
          <w:lang w:val="en-US"/>
        </w:rPr>
      </w:pPr>
      <w:r>
        <w:rPr>
          <w:rFonts w:ascii="Arial" w:hAnsi="Arial" w:cs="Arial"/>
          <w:b/>
          <w:bCs/>
          <w:sz w:val="20"/>
          <w:szCs w:val="20"/>
          <w:lang w:val="en-US"/>
        </w:rPr>
        <w:t xml:space="preserve">2.7 </w:t>
      </w:r>
      <w:r w:rsidRPr="00CD2FAE">
        <w:rPr>
          <w:rFonts w:ascii="Arial" w:hAnsi="Arial" w:cs="Arial"/>
          <w:b/>
          <w:bCs/>
          <w:sz w:val="20"/>
          <w:szCs w:val="20"/>
          <w:lang w:val="en-US"/>
        </w:rPr>
        <w:t>Quantitative Analysis of Tooth Movement</w:t>
      </w:r>
    </w:p>
    <w:p w14:paraId="2BEACD5A" w14:textId="5C0983CA" w:rsidR="002B4DD0" w:rsidRDefault="00517DAC" w:rsidP="00CD2FAE">
      <w:pPr>
        <w:pStyle w:val="Body"/>
        <w:spacing w:line="480" w:lineRule="auto"/>
        <w:jc w:val="both"/>
        <w:rPr>
          <w:rFonts w:ascii="Arial" w:hAnsi="Arial" w:cs="Arial"/>
          <w:sz w:val="20"/>
          <w:szCs w:val="20"/>
          <w:lang w:val="en-US"/>
        </w:rPr>
      </w:pPr>
      <w:r w:rsidRPr="00D36883">
        <w:rPr>
          <w:rStyle w:val="fadein4f9by7"/>
          <w:rFonts w:ascii="Arial" w:hAnsi="Arial" w:cs="Arial"/>
          <w:sz w:val="20"/>
          <w:szCs w:val="20"/>
          <w:lang w:val="en-US"/>
        </w:rPr>
        <w:tab/>
      </w:r>
      <w:r w:rsidRPr="00CD2FAE">
        <w:rPr>
          <w:rFonts w:ascii="Arial" w:hAnsi="Arial" w:cs="Arial"/>
          <w:sz w:val="20"/>
          <w:szCs w:val="20"/>
          <w:lang w:val="en-US"/>
        </w:rPr>
        <w:t>Immediately after euthanasia, the amount of tooth movement was determined by measuring the distance from the mesial surface of the upper right first molar to the distal surface of the upper right third molar (moved side</w:t>
      </w:r>
      <w:r w:rsidR="00B8361F" w:rsidRPr="00CD2FAE">
        <w:rPr>
          <w:rFonts w:ascii="Arial" w:hAnsi="Arial" w:cs="Arial"/>
          <w:sz w:val="20"/>
          <w:szCs w:val="20"/>
          <w:lang w:val="en-US"/>
        </w:rPr>
        <w:t>) and</w:t>
      </w:r>
      <w:r w:rsidRPr="00CD2FAE">
        <w:rPr>
          <w:rFonts w:ascii="Arial" w:hAnsi="Arial" w:cs="Arial"/>
          <w:sz w:val="20"/>
          <w:szCs w:val="20"/>
          <w:lang w:val="en-US"/>
        </w:rPr>
        <w:t xml:space="preserve"> subtracting the corresponding measurement on the left (non-moved) side (Gameiro </w:t>
      </w:r>
      <w:r w:rsidRPr="001B6AC0">
        <w:rPr>
          <w:rFonts w:ascii="Arial" w:hAnsi="Arial" w:cs="Arial"/>
          <w:sz w:val="20"/>
          <w:szCs w:val="20"/>
          <w:lang w:val="en-US"/>
        </w:rPr>
        <w:t xml:space="preserve">et al., 2008; </w:t>
      </w:r>
      <w:r w:rsidR="00910DE5" w:rsidRPr="001B6AC0">
        <w:rPr>
          <w:rFonts w:ascii="Arial" w:hAnsi="Arial" w:cs="Arial"/>
          <w:sz w:val="20"/>
          <w:szCs w:val="20"/>
          <w:lang w:val="en-US"/>
        </w:rPr>
        <w:t>Pasa et al., 2024</w:t>
      </w:r>
      <w:r w:rsidRPr="001B6AC0">
        <w:rPr>
          <w:rFonts w:ascii="Arial" w:hAnsi="Arial" w:cs="Arial"/>
          <w:sz w:val="20"/>
          <w:szCs w:val="20"/>
          <w:lang w:val="en-US"/>
        </w:rPr>
        <w:t>). The values</w:t>
      </w:r>
      <w:r w:rsidRPr="00CD2FAE">
        <w:rPr>
          <w:rFonts w:ascii="Arial" w:hAnsi="Arial" w:cs="Arial"/>
          <w:sz w:val="20"/>
          <w:szCs w:val="20"/>
          <w:lang w:val="en-US"/>
        </w:rPr>
        <w:t xml:space="preserve"> were measured in millimeters (mm) using a digital caliper (Mitutoyo, São Paulo, Brazil) .</w:t>
      </w:r>
    </w:p>
    <w:p w14:paraId="55969A2B" w14:textId="77777777" w:rsidR="00CD2FAE" w:rsidRDefault="00CD2FAE" w:rsidP="00CD2FAE">
      <w:pPr>
        <w:pStyle w:val="Body"/>
        <w:spacing w:line="480" w:lineRule="auto"/>
        <w:jc w:val="both"/>
        <w:rPr>
          <w:rFonts w:ascii="Arial" w:hAnsi="Arial" w:cs="Arial"/>
          <w:sz w:val="20"/>
          <w:szCs w:val="20"/>
          <w:lang w:val="en-US"/>
        </w:rPr>
      </w:pPr>
    </w:p>
    <w:p w14:paraId="220B44E3" w14:textId="0419D14E" w:rsidR="002B4DD0" w:rsidRPr="00D36883" w:rsidRDefault="00910DE5" w:rsidP="00CD2FAE">
      <w:pPr>
        <w:pStyle w:val="Body"/>
        <w:spacing w:line="480" w:lineRule="auto"/>
        <w:rPr>
          <w:rStyle w:val="Strong"/>
          <w:rFonts w:ascii="Arial" w:eastAsia="Arial Unicode MS" w:hAnsi="Arial" w:cs="Arial"/>
          <w:sz w:val="20"/>
          <w:szCs w:val="20"/>
          <w:lang w:val="en-US"/>
        </w:rPr>
      </w:pPr>
      <w:r>
        <w:rPr>
          <w:rFonts w:ascii="Arial" w:hAnsi="Arial" w:cs="Arial"/>
          <w:b/>
          <w:bCs/>
          <w:sz w:val="20"/>
          <w:szCs w:val="20"/>
          <w:lang w:val="en-US"/>
        </w:rPr>
        <w:t xml:space="preserve">2.8 </w:t>
      </w:r>
      <w:r w:rsidRPr="00CD2FAE">
        <w:rPr>
          <w:rFonts w:ascii="Arial" w:hAnsi="Arial" w:cs="Arial"/>
          <w:b/>
          <w:bCs/>
          <w:sz w:val="20"/>
          <w:szCs w:val="20"/>
          <w:lang w:val="en-US"/>
        </w:rPr>
        <w:t>Laboratory Processing and Descriptive Analysis of Histological Slides</w:t>
      </w:r>
    </w:p>
    <w:p w14:paraId="340C1AF4" w14:textId="1D30267B" w:rsidR="002B4DD0" w:rsidRPr="00CD2FAE" w:rsidRDefault="00517DAC" w:rsidP="00CD2FAE">
      <w:pPr>
        <w:pStyle w:val="Body"/>
        <w:spacing w:line="480" w:lineRule="auto"/>
        <w:ind w:firstLine="567"/>
        <w:jc w:val="both"/>
        <w:rPr>
          <w:rFonts w:ascii="Arial" w:hAnsi="Arial" w:cs="Arial"/>
          <w:sz w:val="20"/>
          <w:szCs w:val="20"/>
          <w:lang w:val="en-US"/>
        </w:rPr>
      </w:pPr>
      <w:r w:rsidRPr="00CD2FAE">
        <w:rPr>
          <w:rFonts w:ascii="Arial" w:hAnsi="Arial" w:cs="Arial"/>
          <w:sz w:val="20"/>
          <w:szCs w:val="20"/>
          <w:lang w:val="en-US"/>
        </w:rPr>
        <w:t>After fixation, the right hemimaxillae were decalcified in a decalcifying acid solution (</w:t>
      </w:r>
      <w:proofErr w:type="spellStart"/>
      <w:r w:rsidRPr="00CD2FAE">
        <w:rPr>
          <w:rFonts w:ascii="Arial" w:hAnsi="Arial" w:cs="Arial"/>
          <w:sz w:val="20"/>
          <w:szCs w:val="20"/>
          <w:lang w:val="en-US"/>
        </w:rPr>
        <w:t>Allkimia</w:t>
      </w:r>
      <w:proofErr w:type="spellEnd"/>
      <w:r w:rsidRPr="00CD2FAE">
        <w:rPr>
          <w:rFonts w:ascii="Arial" w:hAnsi="Arial" w:cs="Arial"/>
          <w:sz w:val="20"/>
          <w:szCs w:val="20"/>
          <w:lang w:val="en-US"/>
        </w:rPr>
        <w:t xml:space="preserve">®) for 19 hours, rinsed under running water for 2 hours, dehydrated in a graded ethanol series, cleared in xylene, and </w:t>
      </w:r>
      <w:r w:rsidRPr="00343B61">
        <w:rPr>
          <w:rFonts w:ascii="Arial" w:hAnsi="Arial" w:cs="Arial"/>
          <w:sz w:val="20"/>
          <w:szCs w:val="20"/>
          <w:lang w:val="en-US"/>
        </w:rPr>
        <w:t xml:space="preserve">embedded in </w:t>
      </w:r>
      <w:proofErr w:type="spellStart"/>
      <w:r w:rsidRPr="00343B61">
        <w:rPr>
          <w:rFonts w:ascii="Arial" w:hAnsi="Arial" w:cs="Arial"/>
          <w:sz w:val="20"/>
          <w:szCs w:val="20"/>
          <w:lang w:val="en-US"/>
        </w:rPr>
        <w:t>Paraplast</w:t>
      </w:r>
      <w:proofErr w:type="spellEnd"/>
      <w:r w:rsidRPr="00343B61">
        <w:rPr>
          <w:rFonts w:ascii="Arial" w:hAnsi="Arial" w:cs="Arial"/>
          <w:sz w:val="20"/>
          <w:szCs w:val="20"/>
          <w:lang w:val="en-US"/>
        </w:rPr>
        <w:t xml:space="preserve"> Plus</w:t>
      </w:r>
      <w:r w:rsidR="00343B61" w:rsidRPr="00343B61">
        <w:rPr>
          <w:rFonts w:ascii="Arial" w:hAnsi="Arial" w:cs="Arial"/>
          <w:sz w:val="20"/>
          <w:szCs w:val="20"/>
          <w:lang w:val="en-US"/>
        </w:rPr>
        <w:t>® (Sigma Co, St Louis, MO)</w:t>
      </w:r>
      <w:r w:rsidRPr="00343B61">
        <w:rPr>
          <w:rFonts w:ascii="Arial" w:hAnsi="Arial" w:cs="Arial"/>
          <w:sz w:val="20"/>
          <w:szCs w:val="20"/>
          <w:lang w:val="en-US"/>
        </w:rPr>
        <w:t>.</w:t>
      </w:r>
    </w:p>
    <w:p w14:paraId="4F72DBCE" w14:textId="77777777" w:rsidR="002B4DD0" w:rsidRPr="00CD2FAE" w:rsidRDefault="00517DAC" w:rsidP="00CD2FAE">
      <w:pPr>
        <w:pStyle w:val="Body"/>
        <w:spacing w:line="480" w:lineRule="auto"/>
        <w:ind w:firstLine="567"/>
        <w:jc w:val="both"/>
        <w:rPr>
          <w:rFonts w:ascii="Arial" w:hAnsi="Arial" w:cs="Arial"/>
          <w:sz w:val="20"/>
          <w:szCs w:val="20"/>
          <w:lang w:val="en-US"/>
        </w:rPr>
      </w:pPr>
      <w:r w:rsidRPr="00CD2FAE">
        <w:rPr>
          <w:rFonts w:ascii="Arial" w:hAnsi="Arial" w:cs="Arial"/>
          <w:sz w:val="20"/>
          <w:szCs w:val="20"/>
          <w:lang w:val="en-US"/>
        </w:rPr>
        <w:t xml:space="preserve">For histological analysis, serial longitudinal sections of the </w:t>
      </w:r>
      <w:proofErr w:type="spellStart"/>
      <w:r w:rsidRPr="00CD2FAE">
        <w:rPr>
          <w:rFonts w:ascii="Arial" w:hAnsi="Arial" w:cs="Arial"/>
          <w:sz w:val="20"/>
          <w:szCs w:val="20"/>
          <w:lang w:val="en-US"/>
        </w:rPr>
        <w:t>mesiobuccal</w:t>
      </w:r>
      <w:proofErr w:type="spellEnd"/>
      <w:r w:rsidRPr="00CD2FAE">
        <w:rPr>
          <w:rFonts w:ascii="Arial" w:hAnsi="Arial" w:cs="Arial"/>
          <w:sz w:val="20"/>
          <w:szCs w:val="20"/>
          <w:lang w:val="en-US"/>
        </w:rPr>
        <w:t xml:space="preserve"> and distobuccal roots of the upper right first molar were prepared from mesial to distal using a manual rotary microtome (Olympus 4060) equipped with a steel blade. Each section had a thickness of 5 </w:t>
      </w:r>
      <w:proofErr w:type="spellStart"/>
      <w:r w:rsidRPr="00CD2FAE">
        <w:rPr>
          <w:rFonts w:ascii="Arial" w:hAnsi="Arial" w:cs="Arial"/>
          <w:sz w:val="20"/>
          <w:szCs w:val="20"/>
          <w:lang w:val="en-US"/>
        </w:rPr>
        <w:t>μm</w:t>
      </w:r>
      <w:proofErr w:type="spellEnd"/>
      <w:r w:rsidRPr="00CD2FAE">
        <w:rPr>
          <w:rFonts w:ascii="Arial" w:hAnsi="Arial" w:cs="Arial"/>
          <w:sz w:val="20"/>
          <w:szCs w:val="20"/>
          <w:lang w:val="en-US"/>
        </w:rPr>
        <w:t>.</w:t>
      </w:r>
    </w:p>
    <w:p w14:paraId="04674D86" w14:textId="77777777" w:rsidR="002B4DD0" w:rsidRPr="00D36883" w:rsidRDefault="00517DAC" w:rsidP="00CD2FAE">
      <w:pPr>
        <w:pStyle w:val="Body"/>
        <w:spacing w:line="480" w:lineRule="auto"/>
        <w:ind w:firstLine="567"/>
        <w:jc w:val="both"/>
        <w:rPr>
          <w:rFonts w:ascii="Arial" w:hAnsi="Arial" w:cs="Arial"/>
          <w:sz w:val="20"/>
          <w:szCs w:val="20"/>
          <w:lang w:val="en-US"/>
        </w:rPr>
      </w:pPr>
      <w:r w:rsidRPr="00CD2FAE">
        <w:rPr>
          <w:rFonts w:ascii="Arial" w:hAnsi="Arial" w:cs="Arial"/>
          <w:sz w:val="20"/>
          <w:szCs w:val="20"/>
          <w:lang w:val="en-US"/>
        </w:rPr>
        <w:t>The sections were deparaffinized in xylene, rehydrated in distilled water, and stained with hematoxylin and eosin (H&amp;E) on permanent slides for analysis. Histological evaluation was conducted under a light microscope (Olympus BX60), and photomicrographs were obtained using an Olympus DP71 digital camera and DP Controller software version 3.2.1.276.</w:t>
      </w:r>
    </w:p>
    <w:p w14:paraId="7F5DD02D" w14:textId="77777777" w:rsidR="002B4DD0" w:rsidRPr="00CD2FAE" w:rsidRDefault="002B4DD0" w:rsidP="00CD2FAE">
      <w:pPr>
        <w:pStyle w:val="Body"/>
        <w:spacing w:line="480" w:lineRule="auto"/>
        <w:rPr>
          <w:rStyle w:val="Strong"/>
          <w:rFonts w:ascii="Arial" w:eastAsia="Arial Unicode MS" w:hAnsi="Arial" w:cs="Arial"/>
          <w:sz w:val="20"/>
          <w:szCs w:val="20"/>
          <w:lang w:val="en-US"/>
        </w:rPr>
      </w:pPr>
    </w:p>
    <w:p w14:paraId="4D0839CB" w14:textId="20C1C4DD" w:rsidR="002B4DD0" w:rsidRPr="00D36883" w:rsidRDefault="00910DE5" w:rsidP="00CD2FAE">
      <w:pPr>
        <w:pStyle w:val="Body"/>
        <w:spacing w:line="480" w:lineRule="auto"/>
        <w:rPr>
          <w:rStyle w:val="Strong"/>
          <w:rFonts w:ascii="Arial" w:eastAsia="Arial Unicode MS" w:hAnsi="Arial" w:cs="Arial"/>
          <w:sz w:val="20"/>
          <w:szCs w:val="20"/>
          <w:lang w:val="en-US"/>
        </w:rPr>
      </w:pPr>
      <w:r>
        <w:rPr>
          <w:rFonts w:ascii="Arial" w:hAnsi="Arial" w:cs="Arial"/>
          <w:b/>
          <w:bCs/>
          <w:sz w:val="20"/>
          <w:szCs w:val="20"/>
          <w:lang w:val="en-US"/>
        </w:rPr>
        <w:t xml:space="preserve">2.9 </w:t>
      </w:r>
      <w:r w:rsidRPr="00CD2FAE">
        <w:rPr>
          <w:rFonts w:ascii="Arial" w:hAnsi="Arial" w:cs="Arial"/>
          <w:b/>
          <w:bCs/>
          <w:sz w:val="20"/>
          <w:szCs w:val="20"/>
          <w:lang w:val="en-US"/>
        </w:rPr>
        <w:t>Descriptive Analysis of Histological Slides</w:t>
      </w:r>
    </w:p>
    <w:p w14:paraId="7D607E9B" w14:textId="77777777" w:rsidR="002B4DD0" w:rsidRPr="00D36883" w:rsidRDefault="00517DAC" w:rsidP="00CD2FAE">
      <w:pPr>
        <w:pStyle w:val="Body"/>
        <w:spacing w:line="480" w:lineRule="auto"/>
        <w:ind w:firstLine="708"/>
        <w:jc w:val="both"/>
        <w:rPr>
          <w:rFonts w:ascii="Arial" w:hAnsi="Arial" w:cs="Arial"/>
          <w:sz w:val="20"/>
          <w:szCs w:val="20"/>
          <w:lang w:val="en-US"/>
        </w:rPr>
      </w:pPr>
      <w:r w:rsidRPr="00CD2FAE">
        <w:rPr>
          <w:rFonts w:ascii="Arial" w:hAnsi="Arial" w:cs="Arial"/>
          <w:sz w:val="20"/>
          <w:szCs w:val="20"/>
          <w:lang w:val="en-US"/>
        </w:rPr>
        <w:t>The following histopathological parameters were evaluated: external root resorption, hyalinized areas, acute and chronic inflammatory infiltrates, presence of multinucleated giant cells and vascular alterations, and the structural organization of the periodontal ligament. Each parameter was classified as either present or absent (Costa et al., 2018).</w:t>
      </w:r>
    </w:p>
    <w:p w14:paraId="55CDE9C2" w14:textId="77777777" w:rsidR="008F5119" w:rsidRDefault="008F5119" w:rsidP="00CD2FAE">
      <w:pPr>
        <w:pStyle w:val="Body"/>
        <w:spacing w:line="480" w:lineRule="auto"/>
        <w:ind w:firstLine="708"/>
        <w:jc w:val="both"/>
        <w:rPr>
          <w:rFonts w:ascii="Arial" w:hAnsi="Arial" w:cs="Arial"/>
          <w:sz w:val="20"/>
          <w:szCs w:val="20"/>
          <w:lang w:val="en-US"/>
        </w:rPr>
      </w:pPr>
    </w:p>
    <w:p w14:paraId="0666C215" w14:textId="02E6EA10" w:rsidR="002B4DD0" w:rsidRPr="00D36883" w:rsidRDefault="00910DE5" w:rsidP="00CD2FAE">
      <w:pPr>
        <w:pStyle w:val="Body"/>
        <w:spacing w:line="480" w:lineRule="auto"/>
        <w:rPr>
          <w:rStyle w:val="Strong"/>
          <w:rFonts w:ascii="Arial" w:eastAsia="Arial Unicode MS" w:hAnsi="Arial" w:cs="Arial"/>
          <w:sz w:val="20"/>
          <w:szCs w:val="20"/>
          <w:lang w:val="en-US"/>
        </w:rPr>
      </w:pPr>
      <w:r>
        <w:rPr>
          <w:rFonts w:ascii="Arial" w:hAnsi="Arial" w:cs="Arial"/>
          <w:b/>
          <w:bCs/>
          <w:sz w:val="20"/>
          <w:szCs w:val="20"/>
          <w:lang w:val="en-US"/>
        </w:rPr>
        <w:t xml:space="preserve">2.10 </w:t>
      </w:r>
      <w:r w:rsidRPr="00CD2FAE">
        <w:rPr>
          <w:rFonts w:ascii="Arial" w:hAnsi="Arial" w:cs="Arial"/>
          <w:b/>
          <w:bCs/>
          <w:sz w:val="20"/>
          <w:szCs w:val="20"/>
          <w:lang w:val="en-US"/>
        </w:rPr>
        <w:t>Statistical Analysis</w:t>
      </w:r>
    </w:p>
    <w:p w14:paraId="6E5828CD" w14:textId="4229F71F" w:rsidR="002B4DD0" w:rsidRPr="00331993" w:rsidRDefault="00517DAC" w:rsidP="00CD2FAE">
      <w:pPr>
        <w:pStyle w:val="Body"/>
        <w:spacing w:line="480" w:lineRule="auto"/>
        <w:ind w:firstLine="567"/>
        <w:jc w:val="both"/>
        <w:rPr>
          <w:rFonts w:ascii="Arial" w:hAnsi="Arial" w:cs="Arial"/>
          <w:sz w:val="20"/>
          <w:szCs w:val="20"/>
          <w:lang w:val="en-US"/>
        </w:rPr>
      </w:pPr>
      <w:r w:rsidRPr="00331993">
        <w:rPr>
          <w:rFonts w:ascii="Arial" w:hAnsi="Arial" w:cs="Arial"/>
          <w:sz w:val="20"/>
          <w:szCs w:val="20"/>
          <w:lang w:val="en-US"/>
        </w:rPr>
        <w:t>Data were analyzed using Student’s t-test and analysis of variance (ANOVA</w:t>
      </w:r>
      <w:r w:rsidR="00A65829" w:rsidRPr="00331993">
        <w:rPr>
          <w:rFonts w:ascii="Arial" w:hAnsi="Arial" w:cs="Arial"/>
          <w:sz w:val="20"/>
          <w:szCs w:val="20"/>
          <w:lang w:val="en-US"/>
        </w:rPr>
        <w:t xml:space="preserve"> - one-way</w:t>
      </w:r>
      <w:r w:rsidRPr="00331993">
        <w:rPr>
          <w:rFonts w:ascii="Arial" w:hAnsi="Arial" w:cs="Arial"/>
          <w:sz w:val="20"/>
          <w:szCs w:val="20"/>
          <w:lang w:val="en-US"/>
        </w:rPr>
        <w:t>)</w:t>
      </w:r>
      <w:r w:rsidR="00A65829" w:rsidRPr="00331993">
        <w:rPr>
          <w:rFonts w:ascii="Arial" w:hAnsi="Arial" w:cs="Arial"/>
          <w:sz w:val="20"/>
          <w:szCs w:val="20"/>
          <w:lang w:val="en-US"/>
        </w:rPr>
        <w:t xml:space="preserve"> with</w:t>
      </w:r>
      <w:r w:rsidRPr="00331993">
        <w:rPr>
          <w:rFonts w:ascii="Arial" w:hAnsi="Arial" w:cs="Arial"/>
          <w:sz w:val="20"/>
          <w:szCs w:val="20"/>
          <w:lang w:val="en-US"/>
        </w:rPr>
        <w:t xml:space="preserve"> Tukey’s </w:t>
      </w:r>
      <w:proofErr w:type="spellStart"/>
      <w:r w:rsidRPr="00331993">
        <w:rPr>
          <w:rFonts w:ascii="Arial" w:hAnsi="Arial" w:cs="Arial"/>
          <w:sz w:val="20"/>
          <w:szCs w:val="20"/>
          <w:lang w:val="en-US"/>
        </w:rPr>
        <w:t>post test</w:t>
      </w:r>
      <w:proofErr w:type="spellEnd"/>
      <w:r w:rsidRPr="00331993">
        <w:rPr>
          <w:rFonts w:ascii="Arial" w:hAnsi="Arial" w:cs="Arial"/>
          <w:sz w:val="20"/>
          <w:szCs w:val="20"/>
          <w:lang w:val="en-US"/>
        </w:rPr>
        <w:t xml:space="preserve">. </w:t>
      </w:r>
      <w:r w:rsidR="00331993" w:rsidRPr="00331993">
        <w:rPr>
          <w:rFonts w:ascii="Arial" w:hAnsi="Arial" w:cs="Arial"/>
          <w:sz w:val="20"/>
          <w:szCs w:val="20"/>
        </w:rPr>
        <w:t>Differences were considered statistically significant at P&lt;0.05</w:t>
      </w:r>
      <w:r w:rsidRPr="00331993">
        <w:rPr>
          <w:rFonts w:ascii="Arial" w:hAnsi="Arial" w:cs="Arial"/>
          <w:sz w:val="20"/>
          <w:szCs w:val="20"/>
          <w:lang w:val="en-US"/>
        </w:rPr>
        <w:t xml:space="preserve">. All analyses were conducted using </w:t>
      </w:r>
      <w:proofErr w:type="spellStart"/>
      <w:r w:rsidRPr="00331993">
        <w:rPr>
          <w:rFonts w:ascii="Arial" w:hAnsi="Arial" w:cs="Arial"/>
          <w:sz w:val="20"/>
          <w:szCs w:val="20"/>
          <w:lang w:val="en-US"/>
        </w:rPr>
        <w:t>SigmaPlot</w:t>
      </w:r>
      <w:proofErr w:type="spellEnd"/>
      <w:r w:rsidRPr="00331993">
        <w:rPr>
          <w:rFonts w:ascii="Arial" w:hAnsi="Arial" w:cs="Arial"/>
          <w:sz w:val="20"/>
          <w:szCs w:val="20"/>
          <w:lang w:val="en-US"/>
        </w:rPr>
        <w:t xml:space="preserve"> software, version 11.0 (</w:t>
      </w:r>
      <w:proofErr w:type="spellStart"/>
      <w:r w:rsidRPr="00331993">
        <w:rPr>
          <w:rFonts w:ascii="Arial" w:hAnsi="Arial" w:cs="Arial"/>
          <w:sz w:val="20"/>
          <w:szCs w:val="20"/>
          <w:lang w:val="en-US"/>
        </w:rPr>
        <w:t>Systat</w:t>
      </w:r>
      <w:proofErr w:type="spellEnd"/>
      <w:r w:rsidRPr="00331993">
        <w:rPr>
          <w:rFonts w:ascii="Arial" w:hAnsi="Arial" w:cs="Arial"/>
          <w:sz w:val="20"/>
          <w:szCs w:val="20"/>
          <w:lang w:val="en-US"/>
        </w:rPr>
        <w:t xml:space="preserve"> Software Inc., San Jose, CA, USA).</w:t>
      </w:r>
    </w:p>
    <w:p w14:paraId="4B962E6E" w14:textId="77777777" w:rsidR="0098591C" w:rsidRPr="00D36883" w:rsidRDefault="0098591C" w:rsidP="00CD2FAE">
      <w:pPr>
        <w:pStyle w:val="Body"/>
        <w:spacing w:line="480" w:lineRule="auto"/>
        <w:ind w:firstLine="567"/>
        <w:jc w:val="both"/>
        <w:rPr>
          <w:rStyle w:val="fadein4f9by7"/>
          <w:rFonts w:ascii="Arial" w:hAnsi="Arial" w:cs="Arial"/>
          <w:sz w:val="20"/>
          <w:szCs w:val="20"/>
          <w:lang w:val="en-US"/>
        </w:rPr>
      </w:pPr>
    </w:p>
    <w:p w14:paraId="0817FE99" w14:textId="4C2A1CDE" w:rsidR="002B4DD0" w:rsidRPr="00D36883" w:rsidRDefault="00910DE5" w:rsidP="00B8361F">
      <w:pPr>
        <w:pStyle w:val="Body"/>
        <w:spacing w:line="480" w:lineRule="auto"/>
        <w:outlineLvl w:val="0"/>
        <w:rPr>
          <w:rStyle w:val="Strong"/>
          <w:rFonts w:ascii="Arial" w:eastAsia="Arial Unicode MS" w:hAnsi="Arial" w:cs="Arial"/>
          <w:sz w:val="22"/>
          <w:szCs w:val="22"/>
          <w:lang w:val="en-US"/>
        </w:rPr>
      </w:pPr>
      <w:bookmarkStart w:id="7" w:name="_Hlk188625057"/>
      <w:r w:rsidRPr="00910DE5">
        <w:rPr>
          <w:rFonts w:ascii="Arial" w:hAnsi="Arial" w:cs="Arial"/>
          <w:b/>
          <w:bCs/>
          <w:sz w:val="22"/>
          <w:szCs w:val="22"/>
          <w:lang w:val="en-US"/>
        </w:rPr>
        <w:t xml:space="preserve">3. </w:t>
      </w:r>
      <w:r w:rsidR="00B8361F" w:rsidRPr="00910DE5">
        <w:rPr>
          <w:rFonts w:ascii="Arial" w:hAnsi="Arial" w:cs="Arial"/>
          <w:b/>
          <w:bCs/>
          <w:sz w:val="22"/>
          <w:szCs w:val="22"/>
          <w:lang w:val="en-US"/>
        </w:rPr>
        <w:t>RESULTS</w:t>
      </w:r>
    </w:p>
    <w:bookmarkEnd w:id="7"/>
    <w:p w14:paraId="553D10DE" w14:textId="42B52998" w:rsidR="002B4DD0" w:rsidRPr="00D36883" w:rsidRDefault="00910DE5" w:rsidP="00CD2FAE">
      <w:pPr>
        <w:pStyle w:val="Body"/>
        <w:spacing w:line="480" w:lineRule="auto"/>
        <w:rPr>
          <w:rStyle w:val="Strong"/>
          <w:rFonts w:ascii="Arial" w:eastAsia="Arial Unicode MS" w:hAnsi="Arial" w:cs="Arial"/>
          <w:sz w:val="20"/>
          <w:szCs w:val="20"/>
          <w:lang w:val="en-US"/>
        </w:rPr>
      </w:pPr>
      <w:r>
        <w:rPr>
          <w:rFonts w:ascii="Arial" w:hAnsi="Arial" w:cs="Arial"/>
          <w:b/>
          <w:bCs/>
          <w:sz w:val="20"/>
          <w:szCs w:val="20"/>
          <w:lang w:val="en-US"/>
        </w:rPr>
        <w:t xml:space="preserve">3.1 </w:t>
      </w:r>
      <w:r w:rsidRPr="00CD2FAE">
        <w:rPr>
          <w:rFonts w:ascii="Arial" w:hAnsi="Arial" w:cs="Arial"/>
          <w:b/>
          <w:bCs/>
          <w:sz w:val="20"/>
          <w:szCs w:val="20"/>
          <w:lang w:val="en-US"/>
        </w:rPr>
        <w:t>Body Parameters and Evaluation of Obesity Induction</w:t>
      </w:r>
    </w:p>
    <w:p w14:paraId="48C7B889" w14:textId="77777777" w:rsidR="002B4DD0" w:rsidRPr="00CD2FAE" w:rsidRDefault="00517DAC" w:rsidP="00CD2FAE">
      <w:pPr>
        <w:pStyle w:val="Body"/>
        <w:spacing w:line="480" w:lineRule="auto"/>
        <w:ind w:firstLine="720"/>
        <w:jc w:val="both"/>
        <w:rPr>
          <w:rFonts w:ascii="Arial" w:hAnsi="Arial" w:cs="Arial"/>
          <w:sz w:val="20"/>
          <w:szCs w:val="20"/>
          <w:lang w:val="en-US"/>
        </w:rPr>
      </w:pPr>
      <w:r w:rsidRPr="00CD2FAE">
        <w:rPr>
          <w:rFonts w:ascii="Arial" w:hAnsi="Arial" w:cs="Arial"/>
          <w:sz w:val="20"/>
          <w:szCs w:val="20"/>
          <w:lang w:val="en-US"/>
        </w:rPr>
        <w:t xml:space="preserve">Analysis of body parameters revealed that body weight and </w:t>
      </w:r>
      <w:proofErr w:type="spellStart"/>
      <w:r w:rsidRPr="00CD2FAE">
        <w:rPr>
          <w:rFonts w:ascii="Arial" w:hAnsi="Arial" w:cs="Arial"/>
          <w:sz w:val="20"/>
          <w:szCs w:val="20"/>
          <w:lang w:val="en-US"/>
        </w:rPr>
        <w:t>naso</w:t>
      </w:r>
      <w:proofErr w:type="spellEnd"/>
      <w:r w:rsidRPr="00CD2FAE">
        <w:rPr>
          <w:rFonts w:ascii="Arial" w:hAnsi="Arial" w:cs="Arial"/>
          <w:sz w:val="20"/>
          <w:szCs w:val="20"/>
          <w:lang w:val="en-US"/>
        </w:rPr>
        <w:t>-anal length (NAL) were significantly reduced in obese animals (MSG and MSG+ITM) compared to non-obese controls (CTL and CTL+ITM) (p &lt; 0.05). However, the MSG groups exhibited a significantly higher Lee index, as well as increased retroperitoneal and perigonadal fat deposits compared to the CTL groups (p &lt; 0.05) (Table 1).</w:t>
      </w:r>
    </w:p>
    <w:p w14:paraId="30FF2C0C" w14:textId="77777777" w:rsidR="002B4DD0" w:rsidRPr="00D36883" w:rsidRDefault="002B4DD0">
      <w:pPr>
        <w:pStyle w:val="Body"/>
        <w:spacing w:line="360" w:lineRule="auto"/>
        <w:ind w:firstLine="720"/>
        <w:jc w:val="both"/>
        <w:rPr>
          <w:rFonts w:ascii="Arial" w:hAnsi="Arial" w:cs="Arial"/>
          <w:sz w:val="20"/>
          <w:szCs w:val="20"/>
          <w:lang w:val="en-US"/>
        </w:rPr>
      </w:pPr>
    </w:p>
    <w:p w14:paraId="48499EC0" w14:textId="77777777" w:rsidR="002B4DD0" w:rsidRPr="00D36883" w:rsidRDefault="00517DAC">
      <w:pPr>
        <w:pStyle w:val="Body"/>
        <w:jc w:val="both"/>
        <w:rPr>
          <w:rStyle w:val="fadein4f9by7"/>
          <w:rFonts w:ascii="Arial" w:hAnsi="Arial" w:cs="Arial"/>
          <w:sz w:val="20"/>
          <w:szCs w:val="20"/>
          <w:lang w:val="en-US"/>
        </w:rPr>
      </w:pPr>
      <w:r w:rsidRPr="00CD2FAE">
        <w:rPr>
          <w:rFonts w:ascii="Arial" w:hAnsi="Arial" w:cs="Arial"/>
          <w:sz w:val="20"/>
          <w:szCs w:val="20"/>
          <w:lang w:val="en-US"/>
        </w:rPr>
        <w:t xml:space="preserve">Table 1. Body parameters and obesity assessment of the different experimental groups. </w:t>
      </w:r>
    </w:p>
    <w:tbl>
      <w:tblPr>
        <w:tblStyle w:val="TableNormal1"/>
        <w:tblW w:w="91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31"/>
        <w:gridCol w:w="1380"/>
        <w:gridCol w:w="1381"/>
        <w:gridCol w:w="1747"/>
        <w:gridCol w:w="1906"/>
      </w:tblGrid>
      <w:tr w:rsidR="002B4DD0" w:rsidRPr="00CD2FAE" w14:paraId="38ABC121" w14:textId="77777777">
        <w:trPr>
          <w:trHeight w:val="442"/>
        </w:trPr>
        <w:tc>
          <w:tcPr>
            <w:tcW w:w="27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B5C1626" w14:textId="77777777" w:rsidR="002B4DD0" w:rsidRPr="00CD2FAE" w:rsidRDefault="002B4DD0">
            <w:pPr>
              <w:pStyle w:val="Body"/>
              <w:suppressAutoHyphens/>
              <w:jc w:val="both"/>
              <w:rPr>
                <w:rFonts w:ascii="Arial" w:hAnsi="Arial" w:cs="Arial"/>
                <w:b/>
                <w:bCs/>
                <w:sz w:val="20"/>
                <w:szCs w:val="20"/>
                <w:lang w:val="en-US"/>
              </w:rPr>
            </w:pPr>
          </w:p>
          <w:p w14:paraId="26CA86F3" w14:textId="77777777" w:rsidR="002B4DD0" w:rsidRPr="00CD2FAE" w:rsidRDefault="00517DAC">
            <w:pPr>
              <w:pStyle w:val="Body"/>
              <w:suppressAutoHyphens/>
              <w:jc w:val="both"/>
              <w:rPr>
                <w:rFonts w:ascii="Arial" w:hAnsi="Arial" w:cs="Arial"/>
                <w:sz w:val="20"/>
                <w:szCs w:val="20"/>
              </w:rPr>
            </w:pPr>
            <w:r w:rsidRPr="00CD2FAE">
              <w:rPr>
                <w:rFonts w:ascii="Arial" w:hAnsi="Arial" w:cs="Arial"/>
                <w:b/>
                <w:bCs/>
                <w:sz w:val="20"/>
                <w:szCs w:val="20"/>
                <w:lang w:val="pt-PT"/>
              </w:rPr>
              <w:t>PARÂMETROS</w:t>
            </w:r>
          </w:p>
        </w:tc>
        <w:tc>
          <w:tcPr>
            <w:tcW w:w="13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2A7D545" w14:textId="77777777" w:rsidR="002B4DD0" w:rsidRPr="00CD2FAE" w:rsidRDefault="002B4DD0">
            <w:pPr>
              <w:pStyle w:val="Body"/>
              <w:suppressAutoHyphens/>
              <w:jc w:val="center"/>
              <w:rPr>
                <w:rFonts w:ascii="Arial" w:hAnsi="Arial" w:cs="Arial"/>
                <w:b/>
                <w:bCs/>
                <w:sz w:val="20"/>
                <w:szCs w:val="20"/>
                <w:lang w:val="pt-PT"/>
              </w:rPr>
            </w:pPr>
          </w:p>
          <w:p w14:paraId="3BAD8C5C" w14:textId="77777777" w:rsidR="002B4DD0" w:rsidRPr="00CD2FAE" w:rsidRDefault="00517DAC">
            <w:pPr>
              <w:pStyle w:val="Body"/>
              <w:suppressAutoHyphens/>
              <w:jc w:val="center"/>
              <w:rPr>
                <w:rFonts w:ascii="Arial" w:hAnsi="Arial" w:cs="Arial"/>
                <w:sz w:val="20"/>
                <w:szCs w:val="20"/>
              </w:rPr>
            </w:pPr>
            <w:r w:rsidRPr="00CD2FAE">
              <w:rPr>
                <w:rFonts w:ascii="Arial" w:hAnsi="Arial" w:cs="Arial"/>
                <w:b/>
                <w:bCs/>
                <w:sz w:val="20"/>
                <w:szCs w:val="20"/>
                <w:lang w:val="pt-PT"/>
              </w:rPr>
              <w:t>CTL</w:t>
            </w:r>
          </w:p>
        </w:tc>
        <w:tc>
          <w:tcPr>
            <w:tcW w:w="13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BEE8C87" w14:textId="77777777" w:rsidR="002B4DD0" w:rsidRPr="00CD2FAE" w:rsidRDefault="002B4DD0">
            <w:pPr>
              <w:pStyle w:val="Body"/>
              <w:suppressAutoHyphens/>
              <w:jc w:val="center"/>
              <w:rPr>
                <w:rFonts w:ascii="Arial" w:hAnsi="Arial" w:cs="Arial"/>
                <w:b/>
                <w:bCs/>
                <w:sz w:val="20"/>
                <w:szCs w:val="20"/>
                <w:lang w:val="pt-PT"/>
              </w:rPr>
            </w:pPr>
          </w:p>
          <w:p w14:paraId="5991C81F" w14:textId="77777777" w:rsidR="002B4DD0" w:rsidRPr="00CD2FAE" w:rsidRDefault="00517DAC">
            <w:pPr>
              <w:pStyle w:val="Body"/>
              <w:suppressAutoHyphens/>
              <w:jc w:val="center"/>
              <w:rPr>
                <w:rFonts w:ascii="Arial" w:hAnsi="Arial" w:cs="Arial"/>
                <w:sz w:val="20"/>
                <w:szCs w:val="20"/>
              </w:rPr>
            </w:pPr>
            <w:r w:rsidRPr="00CD2FAE">
              <w:rPr>
                <w:rFonts w:ascii="Arial" w:hAnsi="Arial" w:cs="Arial"/>
                <w:b/>
                <w:bCs/>
                <w:sz w:val="20"/>
                <w:szCs w:val="20"/>
                <w:lang w:val="pt-PT"/>
              </w:rPr>
              <w:t>MSG</w:t>
            </w:r>
          </w:p>
        </w:tc>
        <w:tc>
          <w:tcPr>
            <w:tcW w:w="174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8B72620" w14:textId="77777777" w:rsidR="002B4DD0" w:rsidRPr="00CD2FAE" w:rsidRDefault="002B4DD0">
            <w:pPr>
              <w:pStyle w:val="Body"/>
              <w:suppressAutoHyphens/>
              <w:jc w:val="center"/>
              <w:rPr>
                <w:rFonts w:ascii="Arial" w:hAnsi="Arial" w:cs="Arial"/>
                <w:b/>
                <w:bCs/>
                <w:sz w:val="20"/>
                <w:szCs w:val="20"/>
                <w:lang w:val="pt-PT"/>
              </w:rPr>
            </w:pPr>
          </w:p>
          <w:p w14:paraId="353E83CD" w14:textId="77777777" w:rsidR="002B4DD0" w:rsidRPr="00CD2FAE" w:rsidRDefault="00517DAC">
            <w:pPr>
              <w:pStyle w:val="Body"/>
              <w:suppressAutoHyphens/>
              <w:jc w:val="center"/>
              <w:rPr>
                <w:rFonts w:ascii="Arial" w:hAnsi="Arial" w:cs="Arial"/>
                <w:sz w:val="20"/>
                <w:szCs w:val="20"/>
              </w:rPr>
            </w:pPr>
            <w:r w:rsidRPr="00CD2FAE">
              <w:rPr>
                <w:rFonts w:ascii="Arial" w:hAnsi="Arial" w:cs="Arial"/>
                <w:b/>
                <w:bCs/>
                <w:sz w:val="20"/>
                <w:szCs w:val="20"/>
                <w:lang w:val="pt-PT"/>
              </w:rPr>
              <w:t>CTL+ITM</w:t>
            </w:r>
          </w:p>
        </w:tc>
        <w:tc>
          <w:tcPr>
            <w:tcW w:w="19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5311B6" w14:textId="77777777" w:rsidR="002B4DD0" w:rsidRPr="00CD2FAE" w:rsidRDefault="002B4DD0">
            <w:pPr>
              <w:pStyle w:val="Body"/>
              <w:suppressAutoHyphens/>
              <w:jc w:val="center"/>
              <w:rPr>
                <w:rFonts w:ascii="Arial" w:hAnsi="Arial" w:cs="Arial"/>
                <w:b/>
                <w:bCs/>
                <w:sz w:val="20"/>
                <w:szCs w:val="20"/>
                <w:lang w:val="pt-PT"/>
              </w:rPr>
            </w:pPr>
          </w:p>
          <w:p w14:paraId="1FDB3C79" w14:textId="77777777" w:rsidR="002B4DD0" w:rsidRPr="00CD2FAE" w:rsidRDefault="00517DAC">
            <w:pPr>
              <w:pStyle w:val="Body"/>
              <w:suppressAutoHyphens/>
              <w:jc w:val="center"/>
              <w:rPr>
                <w:rFonts w:ascii="Arial" w:hAnsi="Arial" w:cs="Arial"/>
                <w:sz w:val="20"/>
                <w:szCs w:val="20"/>
              </w:rPr>
            </w:pPr>
            <w:r w:rsidRPr="00CD2FAE">
              <w:rPr>
                <w:rFonts w:ascii="Arial" w:hAnsi="Arial" w:cs="Arial"/>
                <w:b/>
                <w:bCs/>
                <w:sz w:val="20"/>
                <w:szCs w:val="20"/>
                <w:lang w:val="pt-PT"/>
              </w:rPr>
              <w:t>MSG+ITM</w:t>
            </w:r>
          </w:p>
        </w:tc>
      </w:tr>
      <w:tr w:rsidR="002B4DD0" w:rsidRPr="00CD2FAE" w14:paraId="59B47D6B" w14:textId="77777777">
        <w:trPr>
          <w:trHeight w:val="227"/>
        </w:trPr>
        <w:tc>
          <w:tcPr>
            <w:tcW w:w="2730" w:type="dxa"/>
            <w:tcBorders>
              <w:top w:val="single" w:sz="4" w:space="0" w:color="000000"/>
              <w:left w:val="nil"/>
              <w:bottom w:val="nil"/>
              <w:right w:val="nil"/>
            </w:tcBorders>
            <w:shd w:val="clear" w:color="auto" w:fill="auto"/>
            <w:tcMar>
              <w:top w:w="80" w:type="dxa"/>
              <w:left w:w="80" w:type="dxa"/>
              <w:bottom w:w="80" w:type="dxa"/>
              <w:right w:w="80" w:type="dxa"/>
            </w:tcMar>
          </w:tcPr>
          <w:p w14:paraId="301CDA4B" w14:textId="77777777" w:rsidR="002B4DD0" w:rsidRPr="0097035D" w:rsidRDefault="00517DAC" w:rsidP="00020762">
            <w:pPr>
              <w:pStyle w:val="Body"/>
              <w:suppressAutoHyphens/>
              <w:jc w:val="both"/>
              <w:rPr>
                <w:rFonts w:ascii="Arial" w:hAnsi="Arial" w:cs="Arial"/>
                <w:sz w:val="20"/>
                <w:szCs w:val="20"/>
                <w:highlight w:val="yellow"/>
              </w:rPr>
            </w:pPr>
            <w:r w:rsidRPr="005F0749">
              <w:rPr>
                <w:rFonts w:ascii="Arial" w:hAnsi="Arial" w:cs="Arial"/>
                <w:sz w:val="20"/>
                <w:szCs w:val="20"/>
                <w:lang w:val="pt-PT"/>
              </w:rPr>
              <w:t>Weight (g)</w:t>
            </w:r>
          </w:p>
        </w:tc>
        <w:tc>
          <w:tcPr>
            <w:tcW w:w="1380" w:type="dxa"/>
            <w:tcBorders>
              <w:top w:val="single" w:sz="4" w:space="0" w:color="000000"/>
              <w:left w:val="nil"/>
              <w:bottom w:val="nil"/>
              <w:right w:val="nil"/>
            </w:tcBorders>
            <w:shd w:val="clear" w:color="auto" w:fill="auto"/>
            <w:tcMar>
              <w:top w:w="80" w:type="dxa"/>
              <w:left w:w="80" w:type="dxa"/>
              <w:bottom w:w="80" w:type="dxa"/>
              <w:right w:w="80" w:type="dxa"/>
            </w:tcMar>
          </w:tcPr>
          <w:p w14:paraId="5DEF37C6" w14:textId="438358FF" w:rsidR="002B4DD0" w:rsidRPr="0097035D" w:rsidRDefault="00517DAC" w:rsidP="00020762">
            <w:pPr>
              <w:pStyle w:val="Body"/>
              <w:suppressAutoHyphens/>
              <w:jc w:val="center"/>
              <w:rPr>
                <w:rFonts w:ascii="Arial" w:hAnsi="Arial" w:cs="Arial"/>
                <w:sz w:val="20"/>
                <w:szCs w:val="20"/>
                <w:highlight w:val="yellow"/>
              </w:rPr>
            </w:pPr>
            <w:r w:rsidRPr="00FD5EA5">
              <w:rPr>
                <w:rFonts w:ascii="Arial" w:hAnsi="Arial" w:cs="Arial"/>
                <w:sz w:val="20"/>
                <w:szCs w:val="20"/>
                <w:lang w:val="pt-PT"/>
              </w:rPr>
              <w:t>29</w:t>
            </w:r>
            <w:r w:rsidR="00FD5EA5" w:rsidRPr="00FD5EA5">
              <w:rPr>
                <w:rFonts w:ascii="Arial" w:hAnsi="Arial" w:cs="Arial"/>
                <w:sz w:val="20"/>
                <w:szCs w:val="20"/>
                <w:lang w:val="pt-PT"/>
              </w:rPr>
              <w:t>2</w:t>
            </w:r>
            <w:r w:rsidR="001D6464" w:rsidRPr="00FD5EA5">
              <w:rPr>
                <w:rFonts w:ascii="Arial" w:hAnsi="Arial" w:cs="Arial"/>
                <w:sz w:val="20"/>
                <w:szCs w:val="20"/>
                <w:lang w:val="pt-PT"/>
              </w:rPr>
              <w:t>.</w:t>
            </w:r>
            <w:r w:rsidR="00FD5EA5" w:rsidRPr="00FD5EA5">
              <w:rPr>
                <w:rFonts w:ascii="Arial" w:hAnsi="Arial" w:cs="Arial"/>
                <w:sz w:val="20"/>
                <w:szCs w:val="20"/>
                <w:lang w:val="pt-PT"/>
              </w:rPr>
              <w:t>8</w:t>
            </w:r>
            <w:r w:rsidRPr="00FD5EA5">
              <w:rPr>
                <w:rFonts w:ascii="Arial" w:hAnsi="Arial" w:cs="Arial"/>
                <w:sz w:val="20"/>
                <w:szCs w:val="20"/>
                <w:lang w:val="pt-PT"/>
              </w:rPr>
              <w:t>1±1</w:t>
            </w:r>
            <w:r w:rsidR="0097035D" w:rsidRPr="00FD5EA5">
              <w:rPr>
                <w:rFonts w:ascii="Arial" w:hAnsi="Arial" w:cs="Arial"/>
                <w:sz w:val="20"/>
                <w:szCs w:val="20"/>
                <w:lang w:val="pt-PT"/>
              </w:rPr>
              <w:t>.</w:t>
            </w:r>
            <w:r w:rsidR="00FD5EA5" w:rsidRPr="00FD5EA5">
              <w:rPr>
                <w:rFonts w:ascii="Arial" w:hAnsi="Arial" w:cs="Arial"/>
                <w:sz w:val="20"/>
                <w:szCs w:val="20"/>
                <w:lang w:val="pt-PT"/>
              </w:rPr>
              <w:t>41</w:t>
            </w:r>
            <w:r w:rsidRPr="00FD5EA5">
              <w:rPr>
                <w:rFonts w:ascii="Arial" w:hAnsi="Arial" w:cs="Arial"/>
                <w:sz w:val="20"/>
                <w:szCs w:val="20"/>
                <w:vertAlign w:val="superscript"/>
                <w:lang w:val="pt-PT"/>
              </w:rPr>
              <w:t>a</w:t>
            </w:r>
          </w:p>
        </w:tc>
        <w:tc>
          <w:tcPr>
            <w:tcW w:w="1381" w:type="dxa"/>
            <w:tcBorders>
              <w:top w:val="single" w:sz="4" w:space="0" w:color="000000"/>
              <w:left w:val="nil"/>
              <w:bottom w:val="nil"/>
              <w:right w:val="nil"/>
            </w:tcBorders>
            <w:shd w:val="clear" w:color="auto" w:fill="auto"/>
            <w:tcMar>
              <w:top w:w="80" w:type="dxa"/>
              <w:left w:w="80" w:type="dxa"/>
              <w:bottom w:w="80" w:type="dxa"/>
              <w:right w:w="80" w:type="dxa"/>
            </w:tcMar>
          </w:tcPr>
          <w:p w14:paraId="3D3BA08A" w14:textId="6E3A7442" w:rsidR="002B4DD0" w:rsidRPr="0097035D" w:rsidRDefault="00517DAC" w:rsidP="00020762">
            <w:pPr>
              <w:pStyle w:val="Body"/>
              <w:suppressAutoHyphens/>
              <w:jc w:val="center"/>
              <w:rPr>
                <w:rFonts w:ascii="Arial" w:hAnsi="Arial" w:cs="Arial"/>
                <w:sz w:val="20"/>
                <w:szCs w:val="20"/>
                <w:highlight w:val="yellow"/>
              </w:rPr>
            </w:pPr>
            <w:r w:rsidRPr="00FD5EA5">
              <w:rPr>
                <w:rFonts w:ascii="Arial" w:hAnsi="Arial" w:cs="Arial"/>
                <w:sz w:val="20"/>
                <w:szCs w:val="20"/>
                <w:lang w:val="pt-PT"/>
              </w:rPr>
              <w:t>25</w:t>
            </w:r>
            <w:r w:rsidR="00FD5EA5" w:rsidRPr="00FD5EA5">
              <w:rPr>
                <w:rFonts w:ascii="Arial" w:hAnsi="Arial" w:cs="Arial"/>
                <w:sz w:val="20"/>
                <w:szCs w:val="20"/>
                <w:lang w:val="pt-PT"/>
              </w:rPr>
              <w:t>6</w:t>
            </w:r>
            <w:r w:rsidR="0097035D" w:rsidRPr="00FD5EA5">
              <w:rPr>
                <w:rFonts w:ascii="Arial" w:hAnsi="Arial" w:cs="Arial"/>
                <w:sz w:val="20"/>
                <w:szCs w:val="20"/>
                <w:lang w:val="pt-PT"/>
              </w:rPr>
              <w:t>.</w:t>
            </w:r>
            <w:r w:rsidR="00FD5EA5" w:rsidRPr="00FD5EA5">
              <w:rPr>
                <w:rFonts w:ascii="Arial" w:hAnsi="Arial" w:cs="Arial"/>
                <w:sz w:val="20"/>
                <w:szCs w:val="20"/>
                <w:lang w:val="pt-PT"/>
              </w:rPr>
              <w:t>48</w:t>
            </w:r>
            <w:r w:rsidRPr="00FD5EA5">
              <w:rPr>
                <w:rFonts w:ascii="Arial" w:hAnsi="Arial" w:cs="Arial"/>
                <w:sz w:val="20"/>
                <w:szCs w:val="20"/>
                <w:lang w:val="pt-PT"/>
              </w:rPr>
              <w:t>±5</w:t>
            </w:r>
            <w:r w:rsidR="0097035D" w:rsidRPr="00FD5EA5">
              <w:rPr>
                <w:rFonts w:ascii="Arial" w:hAnsi="Arial" w:cs="Arial"/>
                <w:sz w:val="20"/>
                <w:szCs w:val="20"/>
                <w:lang w:val="pt-PT"/>
              </w:rPr>
              <w:t>.</w:t>
            </w:r>
            <w:r w:rsidR="00FD5EA5" w:rsidRPr="00FD5EA5">
              <w:rPr>
                <w:rFonts w:ascii="Arial" w:hAnsi="Arial" w:cs="Arial"/>
                <w:sz w:val="20"/>
                <w:szCs w:val="20"/>
                <w:lang w:val="pt-PT"/>
              </w:rPr>
              <w:t>36</w:t>
            </w:r>
            <w:r w:rsidRPr="00FD5EA5">
              <w:rPr>
                <w:rFonts w:ascii="Arial" w:hAnsi="Arial" w:cs="Arial"/>
                <w:sz w:val="20"/>
                <w:szCs w:val="20"/>
                <w:vertAlign w:val="superscript"/>
                <w:lang w:val="pt-PT"/>
              </w:rPr>
              <w:t>b</w:t>
            </w:r>
          </w:p>
        </w:tc>
        <w:tc>
          <w:tcPr>
            <w:tcW w:w="1747" w:type="dxa"/>
            <w:tcBorders>
              <w:top w:val="single" w:sz="4" w:space="0" w:color="000000"/>
              <w:left w:val="nil"/>
              <w:bottom w:val="nil"/>
              <w:right w:val="nil"/>
            </w:tcBorders>
            <w:shd w:val="clear" w:color="auto" w:fill="auto"/>
            <w:tcMar>
              <w:top w:w="80" w:type="dxa"/>
              <w:left w:w="80" w:type="dxa"/>
              <w:bottom w:w="80" w:type="dxa"/>
              <w:right w:w="80" w:type="dxa"/>
            </w:tcMar>
          </w:tcPr>
          <w:p w14:paraId="338AA068" w14:textId="42CB7581" w:rsidR="002B4DD0" w:rsidRPr="0097035D" w:rsidRDefault="00517DAC" w:rsidP="00020762">
            <w:pPr>
              <w:pStyle w:val="Body"/>
              <w:suppressAutoHyphens/>
              <w:jc w:val="center"/>
              <w:rPr>
                <w:rFonts w:ascii="Arial" w:hAnsi="Arial" w:cs="Arial"/>
                <w:sz w:val="20"/>
                <w:szCs w:val="20"/>
                <w:highlight w:val="yellow"/>
              </w:rPr>
            </w:pPr>
            <w:r w:rsidRPr="00FD5EA5">
              <w:rPr>
                <w:rFonts w:ascii="Arial" w:hAnsi="Arial" w:cs="Arial"/>
                <w:sz w:val="20"/>
                <w:szCs w:val="20"/>
                <w:lang w:val="pt-PT"/>
              </w:rPr>
              <w:t>30</w:t>
            </w:r>
            <w:r w:rsidR="00FD5EA5" w:rsidRPr="00FD5EA5">
              <w:rPr>
                <w:rFonts w:ascii="Arial" w:hAnsi="Arial" w:cs="Arial"/>
                <w:sz w:val="20"/>
                <w:szCs w:val="20"/>
                <w:lang w:val="pt-PT"/>
              </w:rPr>
              <w:t>4</w:t>
            </w:r>
            <w:r w:rsidR="0097035D" w:rsidRPr="00FD5EA5">
              <w:rPr>
                <w:rFonts w:ascii="Arial" w:hAnsi="Arial" w:cs="Arial"/>
                <w:sz w:val="20"/>
                <w:szCs w:val="20"/>
                <w:lang w:val="pt-PT"/>
              </w:rPr>
              <w:t>.</w:t>
            </w:r>
            <w:r w:rsidR="00FD5EA5" w:rsidRPr="00FD5EA5">
              <w:rPr>
                <w:rFonts w:ascii="Arial" w:hAnsi="Arial" w:cs="Arial"/>
                <w:sz w:val="20"/>
                <w:szCs w:val="20"/>
                <w:lang w:val="pt-PT"/>
              </w:rPr>
              <w:t>78</w:t>
            </w:r>
            <w:r w:rsidRPr="00FD5EA5">
              <w:rPr>
                <w:rFonts w:ascii="Arial" w:hAnsi="Arial" w:cs="Arial"/>
                <w:sz w:val="20"/>
                <w:szCs w:val="20"/>
                <w:lang w:val="pt-PT"/>
              </w:rPr>
              <w:t>±2</w:t>
            </w:r>
            <w:r w:rsidR="0097035D" w:rsidRPr="00FD5EA5">
              <w:rPr>
                <w:rFonts w:ascii="Arial" w:hAnsi="Arial" w:cs="Arial"/>
                <w:sz w:val="20"/>
                <w:szCs w:val="20"/>
                <w:lang w:val="pt-PT"/>
              </w:rPr>
              <w:t>.</w:t>
            </w:r>
            <w:r w:rsidR="00FD5EA5" w:rsidRPr="00FD5EA5">
              <w:rPr>
                <w:rFonts w:ascii="Arial" w:hAnsi="Arial" w:cs="Arial"/>
                <w:sz w:val="20"/>
                <w:szCs w:val="20"/>
                <w:lang w:val="pt-PT"/>
              </w:rPr>
              <w:t>25</w:t>
            </w:r>
            <w:r w:rsidRPr="00FD5EA5">
              <w:rPr>
                <w:rFonts w:ascii="Arial" w:hAnsi="Arial" w:cs="Arial"/>
                <w:sz w:val="20"/>
                <w:szCs w:val="20"/>
                <w:vertAlign w:val="superscript"/>
                <w:lang w:val="pt-PT"/>
              </w:rPr>
              <w:t>a</w:t>
            </w:r>
          </w:p>
        </w:tc>
        <w:tc>
          <w:tcPr>
            <w:tcW w:w="1906" w:type="dxa"/>
            <w:tcBorders>
              <w:top w:val="single" w:sz="4" w:space="0" w:color="000000"/>
              <w:left w:val="nil"/>
              <w:bottom w:val="nil"/>
              <w:right w:val="nil"/>
            </w:tcBorders>
            <w:shd w:val="clear" w:color="auto" w:fill="auto"/>
            <w:tcMar>
              <w:top w:w="80" w:type="dxa"/>
              <w:left w:w="80" w:type="dxa"/>
              <w:bottom w:w="80" w:type="dxa"/>
              <w:right w:w="80" w:type="dxa"/>
            </w:tcMar>
          </w:tcPr>
          <w:p w14:paraId="68387A30" w14:textId="2941B32D" w:rsidR="002B4DD0" w:rsidRPr="0097035D" w:rsidRDefault="00517DAC" w:rsidP="00020762">
            <w:pPr>
              <w:pStyle w:val="Body"/>
              <w:suppressAutoHyphens/>
              <w:jc w:val="center"/>
              <w:rPr>
                <w:rFonts w:ascii="Arial" w:hAnsi="Arial" w:cs="Arial"/>
                <w:sz w:val="20"/>
                <w:szCs w:val="20"/>
                <w:highlight w:val="yellow"/>
              </w:rPr>
            </w:pPr>
            <w:r w:rsidRPr="00FD5EA5">
              <w:rPr>
                <w:rFonts w:ascii="Arial" w:hAnsi="Arial" w:cs="Arial"/>
                <w:sz w:val="20"/>
                <w:szCs w:val="20"/>
                <w:lang w:val="pt-PT"/>
              </w:rPr>
              <w:t>24</w:t>
            </w:r>
            <w:r w:rsidR="00FD5EA5" w:rsidRPr="00FD5EA5">
              <w:rPr>
                <w:rFonts w:ascii="Arial" w:hAnsi="Arial" w:cs="Arial"/>
                <w:sz w:val="20"/>
                <w:szCs w:val="20"/>
                <w:lang w:val="pt-PT"/>
              </w:rPr>
              <w:t>9</w:t>
            </w:r>
            <w:r w:rsidR="0097035D" w:rsidRPr="00FD5EA5">
              <w:rPr>
                <w:rFonts w:ascii="Arial" w:hAnsi="Arial" w:cs="Arial"/>
                <w:sz w:val="20"/>
                <w:szCs w:val="20"/>
                <w:lang w:val="pt-PT"/>
              </w:rPr>
              <w:t>.</w:t>
            </w:r>
            <w:r w:rsidR="00FD5EA5" w:rsidRPr="00FD5EA5">
              <w:rPr>
                <w:rFonts w:ascii="Arial" w:hAnsi="Arial" w:cs="Arial"/>
                <w:sz w:val="20"/>
                <w:szCs w:val="20"/>
                <w:lang w:val="pt-PT"/>
              </w:rPr>
              <w:t>65</w:t>
            </w:r>
            <w:r w:rsidRPr="00FD5EA5">
              <w:rPr>
                <w:rFonts w:ascii="Arial" w:hAnsi="Arial" w:cs="Arial"/>
                <w:sz w:val="20"/>
                <w:szCs w:val="20"/>
                <w:lang w:val="pt-PT"/>
              </w:rPr>
              <w:t>±1</w:t>
            </w:r>
            <w:r w:rsidR="0097035D" w:rsidRPr="00FD5EA5">
              <w:rPr>
                <w:rFonts w:ascii="Arial" w:hAnsi="Arial" w:cs="Arial"/>
                <w:sz w:val="20"/>
                <w:szCs w:val="20"/>
                <w:lang w:val="pt-PT"/>
              </w:rPr>
              <w:t>.</w:t>
            </w:r>
            <w:r w:rsidR="00FD5EA5" w:rsidRPr="00FD5EA5">
              <w:rPr>
                <w:rFonts w:ascii="Arial" w:hAnsi="Arial" w:cs="Arial"/>
                <w:sz w:val="20"/>
                <w:szCs w:val="20"/>
                <w:lang w:val="pt-PT"/>
              </w:rPr>
              <w:t>52</w:t>
            </w:r>
            <w:r w:rsidRPr="00FD5EA5">
              <w:rPr>
                <w:rFonts w:ascii="Arial" w:hAnsi="Arial" w:cs="Arial"/>
                <w:sz w:val="20"/>
                <w:szCs w:val="20"/>
                <w:vertAlign w:val="superscript"/>
                <w:lang w:val="pt-PT"/>
              </w:rPr>
              <w:t>b</w:t>
            </w:r>
          </w:p>
        </w:tc>
      </w:tr>
      <w:tr w:rsidR="002B4DD0" w:rsidRPr="00CD2FAE" w14:paraId="4C7B76EC" w14:textId="77777777">
        <w:trPr>
          <w:trHeight w:val="232"/>
        </w:trPr>
        <w:tc>
          <w:tcPr>
            <w:tcW w:w="2730" w:type="dxa"/>
            <w:tcBorders>
              <w:top w:val="nil"/>
              <w:left w:val="nil"/>
              <w:bottom w:val="nil"/>
              <w:right w:val="nil"/>
            </w:tcBorders>
            <w:shd w:val="clear" w:color="auto" w:fill="auto"/>
            <w:tcMar>
              <w:top w:w="80" w:type="dxa"/>
              <w:left w:w="80" w:type="dxa"/>
              <w:bottom w:w="80" w:type="dxa"/>
              <w:right w:w="80" w:type="dxa"/>
            </w:tcMar>
          </w:tcPr>
          <w:p w14:paraId="7C3C66FB" w14:textId="08FE7A55" w:rsidR="002B4DD0" w:rsidRPr="00007FC9" w:rsidRDefault="00020762" w:rsidP="00020762">
            <w:pPr>
              <w:pStyle w:val="Body"/>
              <w:suppressAutoHyphens/>
              <w:jc w:val="both"/>
              <w:rPr>
                <w:rFonts w:ascii="Arial" w:hAnsi="Arial" w:cs="Arial"/>
                <w:sz w:val="20"/>
                <w:szCs w:val="20"/>
              </w:rPr>
            </w:pPr>
            <w:r w:rsidRPr="00007FC9">
              <w:rPr>
                <w:rFonts w:ascii="Arial" w:hAnsi="Arial" w:cs="Arial"/>
                <w:sz w:val="20"/>
                <w:szCs w:val="20"/>
                <w:lang w:val="pt-PT"/>
              </w:rPr>
              <w:t>NAL (cm)</w:t>
            </w:r>
          </w:p>
        </w:tc>
        <w:tc>
          <w:tcPr>
            <w:tcW w:w="1380" w:type="dxa"/>
            <w:tcBorders>
              <w:top w:val="nil"/>
              <w:left w:val="nil"/>
              <w:bottom w:val="nil"/>
              <w:right w:val="nil"/>
            </w:tcBorders>
            <w:shd w:val="clear" w:color="auto" w:fill="auto"/>
            <w:tcMar>
              <w:top w:w="80" w:type="dxa"/>
              <w:left w:w="80" w:type="dxa"/>
              <w:bottom w:w="80" w:type="dxa"/>
              <w:right w:w="80" w:type="dxa"/>
            </w:tcMar>
          </w:tcPr>
          <w:p w14:paraId="3447A7B7" w14:textId="3C47F5C8" w:rsidR="002B4DD0" w:rsidRPr="0097035D" w:rsidRDefault="00517DAC" w:rsidP="00020762">
            <w:pPr>
              <w:pStyle w:val="Body"/>
              <w:suppressAutoHyphens/>
              <w:jc w:val="center"/>
              <w:rPr>
                <w:rFonts w:ascii="Arial" w:hAnsi="Arial" w:cs="Arial"/>
                <w:sz w:val="20"/>
                <w:szCs w:val="20"/>
                <w:highlight w:val="yellow"/>
              </w:rPr>
            </w:pPr>
            <w:r w:rsidRPr="00DC5C4B">
              <w:rPr>
                <w:rFonts w:ascii="Arial" w:hAnsi="Arial" w:cs="Arial"/>
                <w:sz w:val="20"/>
                <w:szCs w:val="20"/>
                <w:lang w:val="pt-PT"/>
              </w:rPr>
              <w:t>21</w:t>
            </w:r>
            <w:r w:rsidR="0097035D" w:rsidRPr="00DC5C4B">
              <w:rPr>
                <w:rFonts w:ascii="Arial" w:hAnsi="Arial" w:cs="Arial"/>
                <w:sz w:val="20"/>
                <w:szCs w:val="20"/>
                <w:lang w:val="pt-PT"/>
              </w:rPr>
              <w:t>.</w:t>
            </w:r>
            <w:r w:rsidR="00DC5C4B" w:rsidRPr="00DC5C4B">
              <w:rPr>
                <w:rFonts w:ascii="Arial" w:hAnsi="Arial" w:cs="Arial"/>
                <w:sz w:val="20"/>
                <w:szCs w:val="20"/>
                <w:lang w:val="pt-PT"/>
              </w:rPr>
              <w:t>35</w:t>
            </w:r>
            <w:r w:rsidRPr="00DC5C4B">
              <w:rPr>
                <w:rFonts w:ascii="Arial" w:hAnsi="Arial" w:cs="Arial"/>
                <w:sz w:val="20"/>
                <w:szCs w:val="20"/>
                <w:lang w:val="pt-PT"/>
              </w:rPr>
              <w:t>±0</w:t>
            </w:r>
            <w:r w:rsidR="0097035D" w:rsidRPr="00DC5C4B">
              <w:rPr>
                <w:rFonts w:ascii="Arial" w:hAnsi="Arial" w:cs="Arial"/>
                <w:sz w:val="20"/>
                <w:szCs w:val="20"/>
                <w:lang w:val="pt-PT"/>
              </w:rPr>
              <w:t>.</w:t>
            </w:r>
            <w:r w:rsidRPr="00DC5C4B">
              <w:rPr>
                <w:rFonts w:ascii="Arial" w:hAnsi="Arial" w:cs="Arial"/>
                <w:sz w:val="20"/>
                <w:szCs w:val="20"/>
                <w:lang w:val="pt-PT"/>
              </w:rPr>
              <w:t>0</w:t>
            </w:r>
            <w:r w:rsidR="00DC5C4B" w:rsidRPr="00DC5C4B">
              <w:rPr>
                <w:rFonts w:ascii="Arial" w:hAnsi="Arial" w:cs="Arial"/>
                <w:sz w:val="20"/>
                <w:szCs w:val="20"/>
                <w:lang w:val="pt-PT"/>
              </w:rPr>
              <w:t>9</w:t>
            </w:r>
            <w:r w:rsidRPr="00DC5C4B">
              <w:rPr>
                <w:rFonts w:ascii="Arial" w:hAnsi="Arial" w:cs="Arial"/>
                <w:sz w:val="20"/>
                <w:szCs w:val="20"/>
                <w:vertAlign w:val="superscript"/>
                <w:lang w:val="pt-PT"/>
              </w:rPr>
              <w:t>a</w:t>
            </w:r>
          </w:p>
        </w:tc>
        <w:tc>
          <w:tcPr>
            <w:tcW w:w="1381" w:type="dxa"/>
            <w:tcBorders>
              <w:top w:val="nil"/>
              <w:left w:val="nil"/>
              <w:bottom w:val="nil"/>
              <w:right w:val="nil"/>
            </w:tcBorders>
            <w:shd w:val="clear" w:color="auto" w:fill="auto"/>
            <w:tcMar>
              <w:top w:w="80" w:type="dxa"/>
              <w:left w:w="80" w:type="dxa"/>
              <w:bottom w:w="80" w:type="dxa"/>
              <w:right w:w="80" w:type="dxa"/>
            </w:tcMar>
          </w:tcPr>
          <w:p w14:paraId="3BF9ED20" w14:textId="33F6B527" w:rsidR="002B4DD0" w:rsidRPr="0097035D" w:rsidRDefault="00517DAC" w:rsidP="00020762">
            <w:pPr>
              <w:pStyle w:val="Body"/>
              <w:suppressAutoHyphens/>
              <w:jc w:val="center"/>
              <w:rPr>
                <w:rFonts w:ascii="Arial" w:hAnsi="Arial" w:cs="Arial"/>
                <w:sz w:val="20"/>
                <w:szCs w:val="20"/>
                <w:highlight w:val="yellow"/>
              </w:rPr>
            </w:pPr>
            <w:r w:rsidRPr="00DC5C4B">
              <w:rPr>
                <w:rFonts w:ascii="Arial" w:hAnsi="Arial" w:cs="Arial"/>
                <w:sz w:val="20"/>
                <w:szCs w:val="20"/>
                <w:lang w:val="pt-PT"/>
              </w:rPr>
              <w:t>19</w:t>
            </w:r>
            <w:r w:rsidR="0097035D" w:rsidRPr="00DC5C4B">
              <w:rPr>
                <w:rFonts w:ascii="Arial" w:hAnsi="Arial" w:cs="Arial"/>
                <w:sz w:val="20"/>
                <w:szCs w:val="20"/>
                <w:lang w:val="pt-PT"/>
              </w:rPr>
              <w:t>.</w:t>
            </w:r>
            <w:r w:rsidRPr="00DC5C4B">
              <w:rPr>
                <w:rFonts w:ascii="Arial" w:hAnsi="Arial" w:cs="Arial"/>
                <w:sz w:val="20"/>
                <w:szCs w:val="20"/>
                <w:lang w:val="pt-PT"/>
              </w:rPr>
              <w:t>3</w:t>
            </w:r>
            <w:r w:rsidR="00DC5C4B" w:rsidRPr="00DC5C4B">
              <w:rPr>
                <w:rFonts w:ascii="Arial" w:hAnsi="Arial" w:cs="Arial"/>
                <w:sz w:val="20"/>
                <w:szCs w:val="20"/>
                <w:lang w:val="pt-PT"/>
              </w:rPr>
              <w:t>8</w:t>
            </w:r>
            <w:r w:rsidRPr="00DC5C4B">
              <w:rPr>
                <w:rFonts w:ascii="Arial" w:hAnsi="Arial" w:cs="Arial"/>
                <w:sz w:val="20"/>
                <w:szCs w:val="20"/>
                <w:lang w:val="pt-PT"/>
              </w:rPr>
              <w:t>±0</w:t>
            </w:r>
            <w:r w:rsidR="0097035D" w:rsidRPr="00DC5C4B">
              <w:rPr>
                <w:rFonts w:ascii="Arial" w:hAnsi="Arial" w:cs="Arial"/>
                <w:sz w:val="20"/>
                <w:szCs w:val="20"/>
                <w:lang w:val="pt-PT"/>
              </w:rPr>
              <w:t>.</w:t>
            </w:r>
            <w:r w:rsidR="00DC5C4B" w:rsidRPr="00DC5C4B">
              <w:rPr>
                <w:rFonts w:ascii="Arial" w:hAnsi="Arial" w:cs="Arial"/>
                <w:sz w:val="20"/>
                <w:szCs w:val="20"/>
                <w:lang w:val="pt-PT"/>
              </w:rPr>
              <w:t>10</w:t>
            </w:r>
            <w:r w:rsidRPr="00DC5C4B">
              <w:rPr>
                <w:rFonts w:ascii="Arial" w:hAnsi="Arial" w:cs="Arial"/>
                <w:sz w:val="20"/>
                <w:szCs w:val="20"/>
                <w:vertAlign w:val="superscript"/>
                <w:lang w:val="pt-PT"/>
              </w:rPr>
              <w:t>b</w:t>
            </w:r>
          </w:p>
        </w:tc>
        <w:tc>
          <w:tcPr>
            <w:tcW w:w="1747" w:type="dxa"/>
            <w:tcBorders>
              <w:top w:val="nil"/>
              <w:left w:val="nil"/>
              <w:bottom w:val="nil"/>
              <w:right w:val="nil"/>
            </w:tcBorders>
            <w:shd w:val="clear" w:color="auto" w:fill="auto"/>
            <w:tcMar>
              <w:top w:w="80" w:type="dxa"/>
              <w:left w:w="80" w:type="dxa"/>
              <w:bottom w:w="80" w:type="dxa"/>
              <w:right w:w="80" w:type="dxa"/>
            </w:tcMar>
          </w:tcPr>
          <w:p w14:paraId="7E0AAFB3" w14:textId="537221E3" w:rsidR="002B4DD0" w:rsidRPr="0097035D" w:rsidRDefault="00517DAC" w:rsidP="00020762">
            <w:pPr>
              <w:pStyle w:val="Body"/>
              <w:suppressAutoHyphens/>
              <w:jc w:val="center"/>
              <w:rPr>
                <w:rFonts w:ascii="Arial" w:hAnsi="Arial" w:cs="Arial"/>
                <w:sz w:val="20"/>
                <w:szCs w:val="20"/>
                <w:highlight w:val="yellow"/>
              </w:rPr>
            </w:pPr>
            <w:r w:rsidRPr="00DC5C4B">
              <w:rPr>
                <w:rFonts w:ascii="Arial" w:hAnsi="Arial" w:cs="Arial"/>
                <w:sz w:val="20"/>
                <w:szCs w:val="20"/>
                <w:lang w:val="pt-PT"/>
              </w:rPr>
              <w:t>21</w:t>
            </w:r>
            <w:r w:rsidR="0097035D" w:rsidRPr="00DC5C4B">
              <w:rPr>
                <w:rFonts w:ascii="Arial" w:hAnsi="Arial" w:cs="Arial"/>
                <w:sz w:val="20"/>
                <w:szCs w:val="20"/>
                <w:lang w:val="pt-PT"/>
              </w:rPr>
              <w:t>.</w:t>
            </w:r>
            <w:r w:rsidR="00DC5C4B" w:rsidRPr="00DC5C4B">
              <w:rPr>
                <w:rFonts w:ascii="Arial" w:hAnsi="Arial" w:cs="Arial"/>
                <w:sz w:val="20"/>
                <w:szCs w:val="20"/>
                <w:lang w:val="pt-PT"/>
              </w:rPr>
              <w:t>25</w:t>
            </w:r>
            <w:r w:rsidRPr="00DC5C4B">
              <w:rPr>
                <w:rFonts w:ascii="Arial" w:hAnsi="Arial" w:cs="Arial"/>
                <w:sz w:val="20"/>
                <w:szCs w:val="20"/>
                <w:lang w:val="pt-PT"/>
              </w:rPr>
              <w:t>±0</w:t>
            </w:r>
            <w:r w:rsidR="0097035D" w:rsidRPr="00DC5C4B">
              <w:rPr>
                <w:rFonts w:ascii="Arial" w:hAnsi="Arial" w:cs="Arial"/>
                <w:sz w:val="20"/>
                <w:szCs w:val="20"/>
                <w:lang w:val="pt-PT"/>
              </w:rPr>
              <w:t>.</w:t>
            </w:r>
            <w:r w:rsidRPr="00DC5C4B">
              <w:rPr>
                <w:rFonts w:ascii="Arial" w:hAnsi="Arial" w:cs="Arial"/>
                <w:sz w:val="20"/>
                <w:szCs w:val="20"/>
                <w:lang w:val="pt-PT"/>
              </w:rPr>
              <w:t>0</w:t>
            </w:r>
            <w:r w:rsidR="00DC5C4B" w:rsidRPr="00DC5C4B">
              <w:rPr>
                <w:rFonts w:ascii="Arial" w:hAnsi="Arial" w:cs="Arial"/>
                <w:sz w:val="20"/>
                <w:szCs w:val="20"/>
                <w:lang w:val="pt-PT"/>
              </w:rPr>
              <w:t>9</w:t>
            </w:r>
            <w:r w:rsidRPr="00DC5C4B">
              <w:rPr>
                <w:rFonts w:ascii="Arial" w:hAnsi="Arial" w:cs="Arial"/>
                <w:sz w:val="20"/>
                <w:szCs w:val="20"/>
                <w:vertAlign w:val="superscript"/>
                <w:lang w:val="pt-PT"/>
              </w:rPr>
              <w:t>a</w:t>
            </w:r>
          </w:p>
        </w:tc>
        <w:tc>
          <w:tcPr>
            <w:tcW w:w="1906" w:type="dxa"/>
            <w:tcBorders>
              <w:top w:val="nil"/>
              <w:left w:val="nil"/>
              <w:bottom w:val="nil"/>
              <w:right w:val="nil"/>
            </w:tcBorders>
            <w:shd w:val="clear" w:color="auto" w:fill="auto"/>
            <w:tcMar>
              <w:top w:w="80" w:type="dxa"/>
              <w:left w:w="80" w:type="dxa"/>
              <w:bottom w:w="80" w:type="dxa"/>
              <w:right w:w="80" w:type="dxa"/>
            </w:tcMar>
          </w:tcPr>
          <w:p w14:paraId="7B036660" w14:textId="1A45DB10" w:rsidR="002B4DD0" w:rsidRPr="0097035D" w:rsidRDefault="00517DAC" w:rsidP="00020762">
            <w:pPr>
              <w:pStyle w:val="Body"/>
              <w:suppressAutoHyphens/>
              <w:jc w:val="center"/>
              <w:rPr>
                <w:rFonts w:ascii="Arial" w:hAnsi="Arial" w:cs="Arial"/>
                <w:sz w:val="20"/>
                <w:szCs w:val="20"/>
                <w:highlight w:val="yellow"/>
              </w:rPr>
            </w:pPr>
            <w:r w:rsidRPr="005F0749">
              <w:rPr>
                <w:rFonts w:ascii="Arial" w:hAnsi="Arial" w:cs="Arial"/>
                <w:sz w:val="20"/>
                <w:szCs w:val="20"/>
                <w:lang w:val="pt-PT"/>
              </w:rPr>
              <w:t>19</w:t>
            </w:r>
            <w:r w:rsidR="0097035D" w:rsidRPr="005F0749">
              <w:rPr>
                <w:rFonts w:ascii="Arial" w:hAnsi="Arial" w:cs="Arial"/>
                <w:sz w:val="20"/>
                <w:szCs w:val="20"/>
                <w:lang w:val="pt-PT"/>
              </w:rPr>
              <w:t>.</w:t>
            </w:r>
            <w:r w:rsidR="00E76E6B" w:rsidRPr="005F0749">
              <w:rPr>
                <w:rFonts w:ascii="Arial" w:hAnsi="Arial" w:cs="Arial"/>
                <w:sz w:val="20"/>
                <w:szCs w:val="20"/>
                <w:lang w:val="pt-PT"/>
              </w:rPr>
              <w:t>36</w:t>
            </w:r>
            <w:r w:rsidRPr="005F0749">
              <w:rPr>
                <w:rFonts w:ascii="Arial" w:hAnsi="Arial" w:cs="Arial"/>
                <w:sz w:val="20"/>
                <w:szCs w:val="20"/>
                <w:lang w:val="pt-PT"/>
              </w:rPr>
              <w:t>±0</w:t>
            </w:r>
            <w:r w:rsidR="0097035D" w:rsidRPr="005F0749">
              <w:rPr>
                <w:rFonts w:ascii="Arial" w:hAnsi="Arial" w:cs="Arial"/>
                <w:sz w:val="20"/>
                <w:szCs w:val="20"/>
                <w:lang w:val="pt-PT"/>
              </w:rPr>
              <w:t>.</w:t>
            </w:r>
            <w:r w:rsidRPr="005F0749">
              <w:rPr>
                <w:rFonts w:ascii="Arial" w:hAnsi="Arial" w:cs="Arial"/>
                <w:sz w:val="20"/>
                <w:szCs w:val="20"/>
                <w:lang w:val="pt-PT"/>
              </w:rPr>
              <w:t>0</w:t>
            </w:r>
            <w:r w:rsidR="005F0749" w:rsidRPr="005F0749">
              <w:rPr>
                <w:rFonts w:ascii="Arial" w:hAnsi="Arial" w:cs="Arial"/>
                <w:sz w:val="20"/>
                <w:szCs w:val="20"/>
                <w:lang w:val="pt-PT"/>
              </w:rPr>
              <w:t>8</w:t>
            </w:r>
            <w:r w:rsidRPr="005F0749">
              <w:rPr>
                <w:rFonts w:ascii="Arial" w:hAnsi="Arial" w:cs="Arial"/>
                <w:sz w:val="20"/>
                <w:szCs w:val="20"/>
                <w:vertAlign w:val="superscript"/>
                <w:lang w:val="pt-PT"/>
              </w:rPr>
              <w:t>b</w:t>
            </w:r>
          </w:p>
        </w:tc>
      </w:tr>
      <w:tr w:rsidR="002B4DD0" w:rsidRPr="00CD2FAE" w14:paraId="67DE2227" w14:textId="77777777">
        <w:trPr>
          <w:trHeight w:val="232"/>
        </w:trPr>
        <w:tc>
          <w:tcPr>
            <w:tcW w:w="2730" w:type="dxa"/>
            <w:tcBorders>
              <w:top w:val="nil"/>
              <w:left w:val="nil"/>
              <w:bottom w:val="nil"/>
              <w:right w:val="nil"/>
            </w:tcBorders>
            <w:shd w:val="clear" w:color="auto" w:fill="auto"/>
            <w:tcMar>
              <w:top w:w="80" w:type="dxa"/>
              <w:left w:w="80" w:type="dxa"/>
              <w:bottom w:w="80" w:type="dxa"/>
              <w:right w:w="80" w:type="dxa"/>
            </w:tcMar>
          </w:tcPr>
          <w:p w14:paraId="378E13ED" w14:textId="77777777" w:rsidR="002B4DD0" w:rsidRPr="00007FC9" w:rsidRDefault="00517DAC" w:rsidP="00020762">
            <w:pPr>
              <w:pStyle w:val="Body"/>
              <w:suppressAutoHyphens/>
              <w:jc w:val="both"/>
              <w:rPr>
                <w:rFonts w:ascii="Arial" w:hAnsi="Arial" w:cs="Arial"/>
                <w:sz w:val="20"/>
                <w:szCs w:val="20"/>
              </w:rPr>
            </w:pPr>
            <w:r w:rsidRPr="00007FC9">
              <w:rPr>
                <w:rFonts w:ascii="Arial" w:hAnsi="Arial" w:cs="Arial"/>
                <w:sz w:val="20"/>
                <w:szCs w:val="20"/>
                <w:lang w:val="pt-PT"/>
              </w:rPr>
              <w:t xml:space="preserve">Lee’s Index </w:t>
            </w:r>
          </w:p>
        </w:tc>
        <w:tc>
          <w:tcPr>
            <w:tcW w:w="1380" w:type="dxa"/>
            <w:tcBorders>
              <w:top w:val="nil"/>
              <w:left w:val="nil"/>
              <w:bottom w:val="nil"/>
              <w:right w:val="nil"/>
            </w:tcBorders>
            <w:shd w:val="clear" w:color="auto" w:fill="auto"/>
            <w:tcMar>
              <w:top w:w="80" w:type="dxa"/>
              <w:left w:w="80" w:type="dxa"/>
              <w:bottom w:w="80" w:type="dxa"/>
              <w:right w:w="80" w:type="dxa"/>
            </w:tcMar>
          </w:tcPr>
          <w:p w14:paraId="609F3CEB" w14:textId="794214F3"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31</w:t>
            </w:r>
            <w:r w:rsidR="00007FC9" w:rsidRPr="00007FC9">
              <w:rPr>
                <w:rFonts w:ascii="Arial" w:hAnsi="Arial" w:cs="Arial"/>
                <w:sz w:val="20"/>
                <w:szCs w:val="20"/>
                <w:lang w:val="pt-PT"/>
              </w:rPr>
              <w:t>5</w:t>
            </w:r>
            <w:r w:rsidR="0097035D" w:rsidRPr="00007FC9">
              <w:rPr>
                <w:rFonts w:ascii="Arial" w:hAnsi="Arial" w:cs="Arial"/>
                <w:sz w:val="20"/>
                <w:szCs w:val="20"/>
                <w:lang w:val="pt-PT"/>
              </w:rPr>
              <w:t>.</w:t>
            </w:r>
            <w:r w:rsidRPr="00007FC9">
              <w:rPr>
                <w:rFonts w:ascii="Arial" w:hAnsi="Arial" w:cs="Arial"/>
                <w:sz w:val="20"/>
                <w:szCs w:val="20"/>
                <w:lang w:val="pt-PT"/>
              </w:rPr>
              <w:t>1</w:t>
            </w:r>
            <w:r w:rsidR="00007FC9" w:rsidRPr="00007FC9">
              <w:rPr>
                <w:rFonts w:ascii="Arial" w:hAnsi="Arial" w:cs="Arial"/>
                <w:sz w:val="20"/>
                <w:szCs w:val="20"/>
                <w:lang w:val="pt-PT"/>
              </w:rPr>
              <w:t>7</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81</w:t>
            </w:r>
          </w:p>
        </w:tc>
        <w:tc>
          <w:tcPr>
            <w:tcW w:w="1381" w:type="dxa"/>
            <w:tcBorders>
              <w:top w:val="nil"/>
              <w:left w:val="nil"/>
              <w:bottom w:val="nil"/>
              <w:right w:val="nil"/>
            </w:tcBorders>
            <w:shd w:val="clear" w:color="auto" w:fill="auto"/>
            <w:tcMar>
              <w:top w:w="80" w:type="dxa"/>
              <w:left w:w="80" w:type="dxa"/>
              <w:bottom w:w="80" w:type="dxa"/>
              <w:right w:w="80" w:type="dxa"/>
            </w:tcMar>
          </w:tcPr>
          <w:p w14:paraId="57F0EAB2" w14:textId="2644570F"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3</w:t>
            </w:r>
            <w:r w:rsidR="00007FC9" w:rsidRPr="00007FC9">
              <w:rPr>
                <w:rFonts w:ascii="Arial" w:hAnsi="Arial" w:cs="Arial"/>
                <w:sz w:val="20"/>
                <w:szCs w:val="20"/>
                <w:lang w:val="pt-PT"/>
              </w:rPr>
              <w:t>31</w:t>
            </w:r>
            <w:r w:rsidR="0097035D" w:rsidRPr="00007FC9">
              <w:rPr>
                <w:rFonts w:ascii="Arial" w:hAnsi="Arial" w:cs="Arial"/>
                <w:sz w:val="20"/>
                <w:szCs w:val="20"/>
                <w:lang w:val="pt-PT"/>
              </w:rPr>
              <w:t>.</w:t>
            </w:r>
            <w:r w:rsidR="00007FC9" w:rsidRPr="00007FC9">
              <w:rPr>
                <w:rFonts w:ascii="Arial" w:hAnsi="Arial" w:cs="Arial"/>
                <w:sz w:val="20"/>
                <w:szCs w:val="20"/>
                <w:lang w:val="pt-PT"/>
              </w:rPr>
              <w:t>6</w:t>
            </w:r>
            <w:r w:rsidRPr="00007FC9">
              <w:rPr>
                <w:rFonts w:ascii="Arial" w:hAnsi="Arial" w:cs="Arial"/>
                <w:sz w:val="20"/>
                <w:szCs w:val="20"/>
                <w:lang w:val="pt-PT"/>
              </w:rPr>
              <w:t>3±1</w:t>
            </w:r>
            <w:r w:rsidR="0097035D" w:rsidRPr="00007FC9">
              <w:rPr>
                <w:rFonts w:ascii="Arial" w:hAnsi="Arial" w:cs="Arial"/>
                <w:sz w:val="20"/>
                <w:szCs w:val="20"/>
                <w:lang w:val="pt-PT"/>
              </w:rPr>
              <w:t>.</w:t>
            </w:r>
            <w:r w:rsidR="00007FC9" w:rsidRPr="00007FC9">
              <w:rPr>
                <w:rFonts w:ascii="Arial" w:hAnsi="Arial" w:cs="Arial"/>
                <w:sz w:val="20"/>
                <w:szCs w:val="20"/>
                <w:lang w:val="pt-PT"/>
              </w:rPr>
              <w:t>27</w:t>
            </w:r>
            <w:r w:rsidRPr="00007FC9">
              <w:rPr>
                <w:rFonts w:ascii="Arial" w:hAnsi="Arial" w:cs="Arial"/>
                <w:sz w:val="20"/>
                <w:szCs w:val="20"/>
                <w:vertAlign w:val="superscript"/>
                <w:lang w:val="pt-PT"/>
              </w:rPr>
              <w:t>b</w:t>
            </w:r>
          </w:p>
        </w:tc>
        <w:tc>
          <w:tcPr>
            <w:tcW w:w="1747" w:type="dxa"/>
            <w:tcBorders>
              <w:top w:val="nil"/>
              <w:left w:val="nil"/>
              <w:bottom w:val="nil"/>
              <w:right w:val="nil"/>
            </w:tcBorders>
            <w:shd w:val="clear" w:color="auto" w:fill="auto"/>
            <w:tcMar>
              <w:top w:w="80" w:type="dxa"/>
              <w:left w:w="80" w:type="dxa"/>
              <w:bottom w:w="80" w:type="dxa"/>
              <w:right w:w="80" w:type="dxa"/>
            </w:tcMar>
          </w:tcPr>
          <w:p w14:paraId="50689B02" w14:textId="085D33EE" w:rsidR="002B4DD0" w:rsidRPr="0097035D" w:rsidRDefault="00517DAC" w:rsidP="00020762">
            <w:pPr>
              <w:pStyle w:val="Body"/>
              <w:suppressAutoHyphens/>
              <w:jc w:val="center"/>
              <w:rPr>
                <w:rFonts w:ascii="Arial" w:hAnsi="Arial" w:cs="Arial"/>
                <w:sz w:val="20"/>
                <w:szCs w:val="20"/>
                <w:highlight w:val="yellow"/>
              </w:rPr>
            </w:pPr>
            <w:r w:rsidRPr="00007FC9">
              <w:rPr>
                <w:rFonts w:ascii="Arial" w:hAnsi="Arial" w:cs="Arial"/>
                <w:sz w:val="20"/>
                <w:szCs w:val="20"/>
                <w:lang w:val="pt-PT"/>
              </w:rPr>
              <w:t>3</w:t>
            </w:r>
            <w:r w:rsidR="00007FC9" w:rsidRPr="00007FC9">
              <w:rPr>
                <w:rFonts w:ascii="Arial" w:hAnsi="Arial" w:cs="Arial"/>
                <w:sz w:val="20"/>
                <w:szCs w:val="20"/>
                <w:lang w:val="pt-PT"/>
              </w:rPr>
              <w:t>22</w:t>
            </w:r>
            <w:r w:rsidR="0097035D" w:rsidRPr="00007FC9">
              <w:rPr>
                <w:rFonts w:ascii="Arial" w:hAnsi="Arial" w:cs="Arial"/>
                <w:sz w:val="20"/>
                <w:szCs w:val="20"/>
                <w:lang w:val="pt-PT"/>
              </w:rPr>
              <w:t>.</w:t>
            </w:r>
            <w:r w:rsidR="00007FC9" w:rsidRPr="00007FC9">
              <w:rPr>
                <w:rFonts w:ascii="Arial" w:hAnsi="Arial" w:cs="Arial"/>
                <w:sz w:val="20"/>
                <w:szCs w:val="20"/>
                <w:lang w:val="pt-PT"/>
              </w:rPr>
              <w:t>10</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71</w:t>
            </w:r>
            <w:r w:rsidRPr="00007FC9">
              <w:rPr>
                <w:rFonts w:ascii="Arial" w:hAnsi="Arial" w:cs="Arial"/>
                <w:sz w:val="20"/>
                <w:szCs w:val="20"/>
                <w:vertAlign w:val="superscript"/>
                <w:lang w:val="pt-PT"/>
              </w:rPr>
              <w:t>a</w:t>
            </w:r>
          </w:p>
        </w:tc>
        <w:tc>
          <w:tcPr>
            <w:tcW w:w="1906" w:type="dxa"/>
            <w:tcBorders>
              <w:top w:val="nil"/>
              <w:left w:val="nil"/>
              <w:bottom w:val="nil"/>
              <w:right w:val="nil"/>
            </w:tcBorders>
            <w:shd w:val="clear" w:color="auto" w:fill="auto"/>
            <w:tcMar>
              <w:top w:w="80" w:type="dxa"/>
              <w:left w:w="80" w:type="dxa"/>
              <w:bottom w:w="80" w:type="dxa"/>
              <w:right w:w="80" w:type="dxa"/>
            </w:tcMar>
          </w:tcPr>
          <w:p w14:paraId="580F8E97" w14:textId="4A2A1628" w:rsidR="002B4DD0" w:rsidRPr="0097035D" w:rsidRDefault="00517DAC" w:rsidP="00020762">
            <w:pPr>
              <w:pStyle w:val="Body"/>
              <w:suppressAutoHyphens/>
              <w:jc w:val="center"/>
              <w:rPr>
                <w:rFonts w:ascii="Arial" w:hAnsi="Arial" w:cs="Arial"/>
                <w:sz w:val="20"/>
                <w:szCs w:val="20"/>
                <w:highlight w:val="yellow"/>
              </w:rPr>
            </w:pPr>
            <w:r w:rsidRPr="00007FC9">
              <w:rPr>
                <w:rFonts w:ascii="Arial" w:hAnsi="Arial" w:cs="Arial"/>
                <w:sz w:val="20"/>
                <w:szCs w:val="20"/>
                <w:lang w:val="pt-PT"/>
              </w:rPr>
              <w:t>3</w:t>
            </w:r>
            <w:r w:rsidR="00007FC9" w:rsidRPr="00007FC9">
              <w:rPr>
                <w:rFonts w:ascii="Arial" w:hAnsi="Arial" w:cs="Arial"/>
                <w:sz w:val="20"/>
                <w:szCs w:val="20"/>
                <w:lang w:val="pt-PT"/>
              </w:rPr>
              <w:t>29</w:t>
            </w:r>
            <w:r w:rsidR="0097035D" w:rsidRPr="00007FC9">
              <w:rPr>
                <w:rFonts w:ascii="Arial" w:hAnsi="Arial" w:cs="Arial"/>
                <w:sz w:val="20"/>
                <w:szCs w:val="20"/>
                <w:lang w:val="pt-PT"/>
              </w:rPr>
              <w:t>.</w:t>
            </w:r>
            <w:r w:rsidRPr="00007FC9">
              <w:rPr>
                <w:rFonts w:ascii="Arial" w:hAnsi="Arial" w:cs="Arial"/>
                <w:sz w:val="20"/>
                <w:szCs w:val="20"/>
                <w:lang w:val="pt-PT"/>
              </w:rPr>
              <w:t>5</w:t>
            </w:r>
            <w:r w:rsidR="00007FC9" w:rsidRPr="00007FC9">
              <w:rPr>
                <w:rFonts w:ascii="Arial" w:hAnsi="Arial" w:cs="Arial"/>
                <w:sz w:val="20"/>
                <w:szCs w:val="20"/>
                <w:lang w:val="pt-PT"/>
              </w:rPr>
              <w:t>8</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45</w:t>
            </w:r>
            <w:r w:rsidRPr="00007FC9">
              <w:rPr>
                <w:rFonts w:ascii="Arial" w:hAnsi="Arial" w:cs="Arial"/>
                <w:sz w:val="20"/>
                <w:szCs w:val="20"/>
                <w:vertAlign w:val="superscript"/>
                <w:lang w:val="pt-PT"/>
              </w:rPr>
              <w:t>b</w:t>
            </w:r>
          </w:p>
        </w:tc>
      </w:tr>
      <w:tr w:rsidR="002B4DD0" w:rsidRPr="00CD2FAE" w14:paraId="48702DB1" w14:textId="77777777">
        <w:trPr>
          <w:trHeight w:val="232"/>
        </w:trPr>
        <w:tc>
          <w:tcPr>
            <w:tcW w:w="2730" w:type="dxa"/>
            <w:tcBorders>
              <w:top w:val="nil"/>
              <w:left w:val="nil"/>
              <w:bottom w:val="nil"/>
              <w:right w:val="nil"/>
            </w:tcBorders>
            <w:shd w:val="clear" w:color="auto" w:fill="auto"/>
            <w:tcMar>
              <w:top w:w="80" w:type="dxa"/>
              <w:left w:w="80" w:type="dxa"/>
              <w:bottom w:w="80" w:type="dxa"/>
              <w:right w:w="80" w:type="dxa"/>
            </w:tcMar>
          </w:tcPr>
          <w:p w14:paraId="4FD11034" w14:textId="77777777" w:rsidR="002B4DD0" w:rsidRPr="00007FC9" w:rsidRDefault="00517DAC" w:rsidP="00020762">
            <w:pPr>
              <w:pStyle w:val="Body"/>
              <w:suppressAutoHyphens/>
              <w:rPr>
                <w:rFonts w:ascii="Arial" w:hAnsi="Arial" w:cs="Arial"/>
                <w:sz w:val="20"/>
                <w:szCs w:val="20"/>
              </w:rPr>
            </w:pPr>
            <w:r w:rsidRPr="00007FC9">
              <w:rPr>
                <w:rFonts w:ascii="Arial" w:hAnsi="Arial" w:cs="Arial"/>
                <w:sz w:val="20"/>
                <w:szCs w:val="20"/>
                <w:lang w:val="pt-PT"/>
              </w:rPr>
              <w:t>Retroperitoneal fat (g/100g)</w:t>
            </w:r>
          </w:p>
        </w:tc>
        <w:tc>
          <w:tcPr>
            <w:tcW w:w="1380" w:type="dxa"/>
            <w:tcBorders>
              <w:top w:val="nil"/>
              <w:left w:val="nil"/>
              <w:bottom w:val="nil"/>
              <w:right w:val="nil"/>
            </w:tcBorders>
            <w:shd w:val="clear" w:color="auto" w:fill="auto"/>
            <w:tcMar>
              <w:top w:w="80" w:type="dxa"/>
              <w:left w:w="80" w:type="dxa"/>
              <w:bottom w:w="80" w:type="dxa"/>
              <w:right w:w="80" w:type="dxa"/>
            </w:tcMar>
          </w:tcPr>
          <w:p w14:paraId="22677329" w14:textId="19415293"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6</w:t>
            </w:r>
            <w:r w:rsidR="00007FC9" w:rsidRPr="00007FC9">
              <w:rPr>
                <w:rFonts w:ascii="Arial" w:hAnsi="Arial" w:cs="Arial"/>
                <w:sz w:val="20"/>
                <w:szCs w:val="20"/>
                <w:lang w:val="pt-PT"/>
              </w:rPr>
              <w:t>5</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0</w:t>
            </w:r>
            <w:r w:rsidR="00007FC9" w:rsidRPr="00007FC9">
              <w:rPr>
                <w:rFonts w:ascii="Arial" w:hAnsi="Arial" w:cs="Arial"/>
                <w:sz w:val="20"/>
                <w:szCs w:val="20"/>
                <w:lang w:val="pt-PT"/>
              </w:rPr>
              <w:t>5</w:t>
            </w:r>
            <w:r w:rsidRPr="00007FC9">
              <w:rPr>
                <w:rFonts w:ascii="Arial" w:hAnsi="Arial" w:cs="Arial"/>
                <w:sz w:val="20"/>
                <w:szCs w:val="20"/>
                <w:vertAlign w:val="superscript"/>
                <w:lang w:val="pt-PT"/>
              </w:rPr>
              <w:t>a</w:t>
            </w:r>
          </w:p>
        </w:tc>
        <w:tc>
          <w:tcPr>
            <w:tcW w:w="1381" w:type="dxa"/>
            <w:tcBorders>
              <w:top w:val="nil"/>
              <w:left w:val="nil"/>
              <w:bottom w:val="nil"/>
              <w:right w:val="nil"/>
            </w:tcBorders>
            <w:shd w:val="clear" w:color="auto" w:fill="auto"/>
            <w:tcMar>
              <w:top w:w="80" w:type="dxa"/>
              <w:left w:w="80" w:type="dxa"/>
              <w:bottom w:w="80" w:type="dxa"/>
              <w:right w:w="80" w:type="dxa"/>
            </w:tcMar>
          </w:tcPr>
          <w:p w14:paraId="75B99E51" w14:textId="5CC8668C"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1</w:t>
            </w:r>
            <w:r w:rsidR="0097035D" w:rsidRPr="00007FC9">
              <w:rPr>
                <w:rFonts w:ascii="Arial" w:hAnsi="Arial" w:cs="Arial"/>
                <w:sz w:val="20"/>
                <w:szCs w:val="20"/>
                <w:lang w:val="pt-PT"/>
              </w:rPr>
              <w:t>.</w:t>
            </w:r>
            <w:r w:rsidR="00007FC9" w:rsidRPr="00007FC9">
              <w:rPr>
                <w:rFonts w:ascii="Arial" w:hAnsi="Arial" w:cs="Arial"/>
                <w:sz w:val="20"/>
                <w:szCs w:val="20"/>
                <w:lang w:val="pt-PT"/>
              </w:rPr>
              <w:t>63</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1</w:t>
            </w:r>
            <w:r w:rsidR="00007FC9" w:rsidRPr="00007FC9">
              <w:rPr>
                <w:rFonts w:ascii="Arial" w:hAnsi="Arial" w:cs="Arial"/>
                <w:sz w:val="20"/>
                <w:szCs w:val="20"/>
                <w:lang w:val="pt-PT"/>
              </w:rPr>
              <w:t>7</w:t>
            </w:r>
            <w:r w:rsidRPr="00007FC9">
              <w:rPr>
                <w:rFonts w:ascii="Arial" w:hAnsi="Arial" w:cs="Arial"/>
                <w:sz w:val="20"/>
                <w:szCs w:val="20"/>
                <w:vertAlign w:val="superscript"/>
                <w:lang w:val="pt-PT"/>
              </w:rPr>
              <w:t>b</w:t>
            </w:r>
          </w:p>
        </w:tc>
        <w:tc>
          <w:tcPr>
            <w:tcW w:w="1747" w:type="dxa"/>
            <w:tcBorders>
              <w:top w:val="nil"/>
              <w:left w:val="nil"/>
              <w:bottom w:val="nil"/>
              <w:right w:val="nil"/>
            </w:tcBorders>
            <w:shd w:val="clear" w:color="auto" w:fill="auto"/>
            <w:tcMar>
              <w:top w:w="80" w:type="dxa"/>
              <w:left w:w="80" w:type="dxa"/>
              <w:bottom w:w="80" w:type="dxa"/>
              <w:right w:w="80" w:type="dxa"/>
            </w:tcMar>
          </w:tcPr>
          <w:p w14:paraId="6CFB92FE" w14:textId="23A1819A"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7</w:t>
            </w:r>
            <w:r w:rsidR="00007FC9" w:rsidRPr="00007FC9">
              <w:rPr>
                <w:rFonts w:ascii="Arial" w:hAnsi="Arial" w:cs="Arial"/>
                <w:sz w:val="20"/>
                <w:szCs w:val="20"/>
                <w:lang w:val="pt-PT"/>
              </w:rPr>
              <w:t>2</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1</w:t>
            </w:r>
            <w:r w:rsidR="00007FC9" w:rsidRPr="00007FC9">
              <w:rPr>
                <w:rFonts w:ascii="Arial" w:hAnsi="Arial" w:cs="Arial"/>
                <w:sz w:val="20"/>
                <w:szCs w:val="20"/>
                <w:lang w:val="pt-PT"/>
              </w:rPr>
              <w:t>1</w:t>
            </w:r>
            <w:r w:rsidRPr="00007FC9">
              <w:rPr>
                <w:rFonts w:ascii="Arial" w:hAnsi="Arial" w:cs="Arial"/>
                <w:sz w:val="20"/>
                <w:szCs w:val="20"/>
                <w:vertAlign w:val="superscript"/>
                <w:lang w:val="pt-PT"/>
              </w:rPr>
              <w:t>a</w:t>
            </w:r>
          </w:p>
        </w:tc>
        <w:tc>
          <w:tcPr>
            <w:tcW w:w="1906" w:type="dxa"/>
            <w:tcBorders>
              <w:top w:val="nil"/>
              <w:left w:val="nil"/>
              <w:bottom w:val="nil"/>
              <w:right w:val="nil"/>
            </w:tcBorders>
            <w:shd w:val="clear" w:color="auto" w:fill="auto"/>
            <w:tcMar>
              <w:top w:w="80" w:type="dxa"/>
              <w:left w:w="80" w:type="dxa"/>
              <w:bottom w:w="80" w:type="dxa"/>
              <w:right w:w="80" w:type="dxa"/>
            </w:tcMar>
          </w:tcPr>
          <w:p w14:paraId="0A4306FF" w14:textId="62D1DBB9"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1</w:t>
            </w:r>
            <w:r w:rsidR="0097035D" w:rsidRPr="00007FC9">
              <w:rPr>
                <w:rFonts w:ascii="Arial" w:hAnsi="Arial" w:cs="Arial"/>
                <w:sz w:val="20"/>
                <w:szCs w:val="20"/>
                <w:lang w:val="pt-PT"/>
              </w:rPr>
              <w:t>.</w:t>
            </w:r>
            <w:r w:rsidRPr="00007FC9">
              <w:rPr>
                <w:rFonts w:ascii="Arial" w:hAnsi="Arial" w:cs="Arial"/>
                <w:sz w:val="20"/>
                <w:szCs w:val="20"/>
                <w:lang w:val="pt-PT"/>
              </w:rPr>
              <w:t>6</w:t>
            </w:r>
            <w:r w:rsidR="00007FC9" w:rsidRPr="00007FC9">
              <w:rPr>
                <w:rFonts w:ascii="Arial" w:hAnsi="Arial" w:cs="Arial"/>
                <w:sz w:val="20"/>
                <w:szCs w:val="20"/>
                <w:lang w:val="pt-PT"/>
              </w:rPr>
              <w:t>4</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1</w:t>
            </w:r>
            <w:r w:rsidR="00007FC9" w:rsidRPr="00007FC9">
              <w:rPr>
                <w:rFonts w:ascii="Arial" w:hAnsi="Arial" w:cs="Arial"/>
                <w:sz w:val="20"/>
                <w:szCs w:val="20"/>
                <w:lang w:val="pt-PT"/>
              </w:rPr>
              <w:t>6</w:t>
            </w:r>
            <w:r w:rsidRPr="00007FC9">
              <w:rPr>
                <w:rFonts w:ascii="Arial" w:hAnsi="Arial" w:cs="Arial"/>
                <w:sz w:val="20"/>
                <w:szCs w:val="20"/>
                <w:vertAlign w:val="superscript"/>
                <w:lang w:val="pt-PT"/>
              </w:rPr>
              <w:t>b</w:t>
            </w:r>
          </w:p>
        </w:tc>
      </w:tr>
      <w:tr w:rsidR="002B4DD0" w:rsidRPr="00CD2FAE" w14:paraId="6CC61F8F" w14:textId="77777777">
        <w:trPr>
          <w:trHeight w:val="552"/>
        </w:trPr>
        <w:tc>
          <w:tcPr>
            <w:tcW w:w="2730" w:type="dxa"/>
            <w:tcBorders>
              <w:top w:val="nil"/>
              <w:left w:val="nil"/>
              <w:bottom w:val="single" w:sz="4" w:space="0" w:color="000000"/>
              <w:right w:val="nil"/>
            </w:tcBorders>
            <w:shd w:val="clear" w:color="auto" w:fill="auto"/>
            <w:tcMar>
              <w:top w:w="80" w:type="dxa"/>
              <w:left w:w="80" w:type="dxa"/>
              <w:bottom w:w="80" w:type="dxa"/>
              <w:right w:w="80" w:type="dxa"/>
            </w:tcMar>
          </w:tcPr>
          <w:p w14:paraId="1295BCF7" w14:textId="77777777" w:rsidR="002B4DD0" w:rsidRPr="0097035D" w:rsidRDefault="00517DAC" w:rsidP="00020762">
            <w:pPr>
              <w:pStyle w:val="Body"/>
              <w:suppressAutoHyphens/>
              <w:jc w:val="both"/>
              <w:rPr>
                <w:rFonts w:ascii="Arial" w:hAnsi="Arial" w:cs="Arial"/>
                <w:sz w:val="20"/>
                <w:szCs w:val="20"/>
                <w:highlight w:val="yellow"/>
              </w:rPr>
            </w:pPr>
            <w:r w:rsidRPr="00007FC9">
              <w:rPr>
                <w:rFonts w:ascii="Arial" w:hAnsi="Arial" w:cs="Arial"/>
                <w:sz w:val="20"/>
                <w:szCs w:val="20"/>
                <w:lang w:val="pt-PT"/>
              </w:rPr>
              <w:t>Perigonadal fat (g/100g)</w:t>
            </w:r>
          </w:p>
        </w:tc>
        <w:tc>
          <w:tcPr>
            <w:tcW w:w="1380" w:type="dxa"/>
            <w:tcBorders>
              <w:top w:val="nil"/>
              <w:left w:val="nil"/>
              <w:bottom w:val="single" w:sz="4" w:space="0" w:color="000000"/>
              <w:right w:val="nil"/>
            </w:tcBorders>
            <w:shd w:val="clear" w:color="auto" w:fill="auto"/>
            <w:tcMar>
              <w:top w:w="80" w:type="dxa"/>
              <w:left w:w="80" w:type="dxa"/>
              <w:bottom w:w="80" w:type="dxa"/>
              <w:right w:w="80" w:type="dxa"/>
            </w:tcMar>
          </w:tcPr>
          <w:p w14:paraId="157F0528" w14:textId="0C5EA4D5" w:rsidR="002B4DD0" w:rsidRPr="0097035D" w:rsidRDefault="00517DAC" w:rsidP="00020762">
            <w:pPr>
              <w:pStyle w:val="Body"/>
              <w:suppressAutoHyphens/>
              <w:jc w:val="center"/>
              <w:rPr>
                <w:rFonts w:ascii="Arial" w:hAnsi="Arial" w:cs="Arial"/>
                <w:sz w:val="20"/>
                <w:szCs w:val="20"/>
                <w:highlight w:val="yellow"/>
              </w:rPr>
            </w:pP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70</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0</w:t>
            </w:r>
            <w:r w:rsidR="00007FC9" w:rsidRPr="00007FC9">
              <w:rPr>
                <w:rFonts w:ascii="Arial" w:hAnsi="Arial" w:cs="Arial"/>
                <w:sz w:val="20"/>
                <w:szCs w:val="20"/>
                <w:lang w:val="pt-PT"/>
              </w:rPr>
              <w:t>8</w:t>
            </w:r>
            <w:r w:rsidRPr="00007FC9">
              <w:rPr>
                <w:rFonts w:ascii="Arial" w:hAnsi="Arial" w:cs="Arial"/>
                <w:sz w:val="20"/>
                <w:szCs w:val="20"/>
                <w:vertAlign w:val="superscript"/>
                <w:lang w:val="pt-PT"/>
              </w:rPr>
              <w:t>a</w:t>
            </w:r>
          </w:p>
        </w:tc>
        <w:tc>
          <w:tcPr>
            <w:tcW w:w="1381" w:type="dxa"/>
            <w:tcBorders>
              <w:top w:val="nil"/>
              <w:left w:val="nil"/>
              <w:bottom w:val="single" w:sz="4" w:space="0" w:color="000000"/>
              <w:right w:val="nil"/>
            </w:tcBorders>
            <w:shd w:val="clear" w:color="auto" w:fill="auto"/>
            <w:tcMar>
              <w:top w:w="80" w:type="dxa"/>
              <w:left w:w="80" w:type="dxa"/>
              <w:bottom w:w="80" w:type="dxa"/>
              <w:right w:w="80" w:type="dxa"/>
            </w:tcMar>
          </w:tcPr>
          <w:p w14:paraId="44F59690" w14:textId="54518E80"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1</w:t>
            </w:r>
            <w:r w:rsidR="0097035D" w:rsidRPr="00007FC9">
              <w:rPr>
                <w:rFonts w:ascii="Arial" w:hAnsi="Arial" w:cs="Arial"/>
                <w:sz w:val="20"/>
                <w:szCs w:val="20"/>
                <w:lang w:val="pt-PT"/>
              </w:rPr>
              <w:t>.</w:t>
            </w:r>
            <w:r w:rsidR="00007FC9" w:rsidRPr="00007FC9">
              <w:rPr>
                <w:rFonts w:ascii="Arial" w:hAnsi="Arial" w:cs="Arial"/>
                <w:sz w:val="20"/>
                <w:szCs w:val="20"/>
                <w:lang w:val="pt-PT"/>
              </w:rPr>
              <w:t>61</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10</w:t>
            </w:r>
            <w:r w:rsidRPr="00007FC9">
              <w:rPr>
                <w:rFonts w:ascii="Arial" w:hAnsi="Arial" w:cs="Arial"/>
                <w:sz w:val="20"/>
                <w:szCs w:val="20"/>
                <w:vertAlign w:val="superscript"/>
                <w:lang w:val="pt-PT"/>
              </w:rPr>
              <w:t>b</w:t>
            </w:r>
          </w:p>
        </w:tc>
        <w:tc>
          <w:tcPr>
            <w:tcW w:w="1747" w:type="dxa"/>
            <w:tcBorders>
              <w:top w:val="nil"/>
              <w:left w:val="nil"/>
              <w:bottom w:val="single" w:sz="4" w:space="0" w:color="000000"/>
              <w:right w:val="nil"/>
            </w:tcBorders>
            <w:shd w:val="clear" w:color="auto" w:fill="auto"/>
            <w:tcMar>
              <w:top w:w="80" w:type="dxa"/>
              <w:left w:w="80" w:type="dxa"/>
              <w:bottom w:w="80" w:type="dxa"/>
              <w:right w:w="80" w:type="dxa"/>
            </w:tcMar>
          </w:tcPr>
          <w:p w14:paraId="1C9DF3A6" w14:textId="29B18F08"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7</w:t>
            </w:r>
            <w:r w:rsidR="00007FC9" w:rsidRPr="00007FC9">
              <w:rPr>
                <w:rFonts w:ascii="Arial" w:hAnsi="Arial" w:cs="Arial"/>
                <w:sz w:val="20"/>
                <w:szCs w:val="20"/>
                <w:lang w:val="pt-PT"/>
              </w:rPr>
              <w:t>6</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10</w:t>
            </w:r>
            <w:r w:rsidRPr="00007FC9">
              <w:rPr>
                <w:rFonts w:ascii="Arial" w:hAnsi="Arial" w:cs="Arial"/>
                <w:sz w:val="20"/>
                <w:szCs w:val="20"/>
                <w:vertAlign w:val="superscript"/>
                <w:lang w:val="pt-PT"/>
              </w:rPr>
              <w:t>a</w:t>
            </w:r>
          </w:p>
        </w:tc>
        <w:tc>
          <w:tcPr>
            <w:tcW w:w="1906" w:type="dxa"/>
            <w:tcBorders>
              <w:top w:val="nil"/>
              <w:left w:val="nil"/>
              <w:bottom w:val="single" w:sz="4" w:space="0" w:color="000000"/>
              <w:right w:val="nil"/>
            </w:tcBorders>
            <w:shd w:val="clear" w:color="auto" w:fill="auto"/>
            <w:tcMar>
              <w:top w:w="80" w:type="dxa"/>
              <w:left w:w="80" w:type="dxa"/>
              <w:bottom w:w="80" w:type="dxa"/>
              <w:right w:w="80" w:type="dxa"/>
            </w:tcMar>
          </w:tcPr>
          <w:p w14:paraId="7298D8E8" w14:textId="0C5C7B05"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1</w:t>
            </w:r>
            <w:r w:rsidR="0097035D" w:rsidRPr="00007FC9">
              <w:rPr>
                <w:rFonts w:ascii="Arial" w:hAnsi="Arial" w:cs="Arial"/>
                <w:sz w:val="20"/>
                <w:szCs w:val="20"/>
                <w:lang w:val="pt-PT"/>
              </w:rPr>
              <w:t>.</w:t>
            </w:r>
            <w:r w:rsidR="00007FC9" w:rsidRPr="00007FC9">
              <w:rPr>
                <w:rFonts w:ascii="Arial" w:hAnsi="Arial" w:cs="Arial"/>
                <w:sz w:val="20"/>
                <w:szCs w:val="20"/>
                <w:lang w:val="pt-PT"/>
              </w:rPr>
              <w:t>75</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11</w:t>
            </w:r>
            <w:r w:rsidRPr="00007FC9">
              <w:rPr>
                <w:rFonts w:ascii="Arial" w:hAnsi="Arial" w:cs="Arial"/>
                <w:sz w:val="20"/>
                <w:szCs w:val="20"/>
                <w:vertAlign w:val="superscript"/>
                <w:lang w:val="pt-PT"/>
              </w:rPr>
              <w:t>b</w:t>
            </w:r>
          </w:p>
        </w:tc>
      </w:tr>
    </w:tbl>
    <w:p w14:paraId="07B5A4B8" w14:textId="77777777" w:rsidR="002B4DD0" w:rsidRPr="00CD2FAE" w:rsidRDefault="002B4DD0">
      <w:pPr>
        <w:pStyle w:val="Body"/>
        <w:widowControl w:val="0"/>
        <w:jc w:val="both"/>
        <w:rPr>
          <w:rStyle w:val="fadein4f9by7"/>
          <w:rFonts w:ascii="Arial" w:hAnsi="Arial" w:cs="Arial"/>
          <w:sz w:val="20"/>
          <w:szCs w:val="20"/>
        </w:rPr>
      </w:pPr>
    </w:p>
    <w:p w14:paraId="5E7CCC62" w14:textId="0632BECB" w:rsidR="002B4DD0" w:rsidRPr="00D36883" w:rsidRDefault="00517DAC">
      <w:pPr>
        <w:pStyle w:val="Body"/>
        <w:jc w:val="both"/>
        <w:rPr>
          <w:rFonts w:ascii="Arial" w:hAnsi="Arial" w:cs="Arial"/>
          <w:b/>
          <w:bCs/>
          <w:sz w:val="20"/>
          <w:szCs w:val="20"/>
          <w:lang w:val="en-US"/>
        </w:rPr>
      </w:pPr>
      <w:r w:rsidRPr="00CD2FAE">
        <w:rPr>
          <w:rFonts w:ascii="Arial" w:hAnsi="Arial" w:cs="Arial"/>
          <w:sz w:val="20"/>
          <w:szCs w:val="20"/>
          <w:lang w:val="en-US"/>
        </w:rPr>
        <w:t xml:space="preserve">Values are expressed as mean ± standard error. N = 10 animals/group. Analysis of variance (ANOVA) followed by Tukey’s </w:t>
      </w:r>
      <w:proofErr w:type="spellStart"/>
      <w:r w:rsidRPr="00CD2FAE">
        <w:rPr>
          <w:rFonts w:ascii="Arial" w:hAnsi="Arial" w:cs="Arial"/>
          <w:sz w:val="20"/>
          <w:szCs w:val="20"/>
          <w:lang w:val="en-US"/>
        </w:rPr>
        <w:t>post test</w:t>
      </w:r>
      <w:proofErr w:type="spellEnd"/>
      <w:r w:rsidRPr="00CD2FAE">
        <w:rPr>
          <w:rFonts w:ascii="Arial" w:hAnsi="Arial" w:cs="Arial"/>
          <w:sz w:val="20"/>
          <w:szCs w:val="20"/>
          <w:lang w:val="en-US"/>
        </w:rPr>
        <w:t>. In the same row, values followed by different letters (a, b) indicate statistically significant differences between groups (P &lt; 0.05).</w:t>
      </w:r>
    </w:p>
    <w:p w14:paraId="74B9A583" w14:textId="77777777" w:rsidR="002B4DD0" w:rsidRDefault="002B4DD0">
      <w:pPr>
        <w:pStyle w:val="Body"/>
        <w:rPr>
          <w:rFonts w:ascii="Arial" w:hAnsi="Arial" w:cs="Arial"/>
          <w:b/>
          <w:bCs/>
          <w:sz w:val="20"/>
          <w:szCs w:val="20"/>
          <w:lang w:val="en-US"/>
        </w:rPr>
      </w:pPr>
    </w:p>
    <w:p w14:paraId="03B6F516" w14:textId="77777777" w:rsidR="00910DE5" w:rsidRDefault="00910DE5">
      <w:pPr>
        <w:pStyle w:val="Body"/>
        <w:rPr>
          <w:rFonts w:ascii="Arial" w:hAnsi="Arial" w:cs="Arial"/>
          <w:b/>
          <w:bCs/>
          <w:sz w:val="20"/>
          <w:szCs w:val="20"/>
          <w:lang w:val="en-US"/>
        </w:rPr>
      </w:pPr>
    </w:p>
    <w:p w14:paraId="6E00F71A" w14:textId="77777777" w:rsidR="008F5119" w:rsidRDefault="008F5119">
      <w:pPr>
        <w:pStyle w:val="Body"/>
        <w:rPr>
          <w:rFonts w:ascii="Arial" w:hAnsi="Arial" w:cs="Arial"/>
          <w:b/>
          <w:bCs/>
          <w:sz w:val="20"/>
          <w:szCs w:val="20"/>
          <w:lang w:val="en-US"/>
        </w:rPr>
      </w:pPr>
    </w:p>
    <w:p w14:paraId="3D9D71C3" w14:textId="77777777" w:rsidR="0097035D" w:rsidRDefault="00910DE5" w:rsidP="0097035D">
      <w:pPr>
        <w:pStyle w:val="Body"/>
        <w:spacing w:line="480" w:lineRule="auto"/>
        <w:jc w:val="both"/>
        <w:rPr>
          <w:rFonts w:ascii="Arial" w:hAnsi="Arial" w:cs="Arial"/>
          <w:b/>
          <w:bCs/>
          <w:sz w:val="20"/>
          <w:szCs w:val="20"/>
          <w:lang w:val="en-US"/>
        </w:rPr>
      </w:pPr>
      <w:bookmarkStart w:id="8" w:name="_Hlk180398298"/>
      <w:r>
        <w:rPr>
          <w:rFonts w:ascii="Arial" w:hAnsi="Arial" w:cs="Arial"/>
          <w:b/>
          <w:bCs/>
          <w:sz w:val="20"/>
          <w:szCs w:val="20"/>
          <w:lang w:val="en-US"/>
        </w:rPr>
        <w:t xml:space="preserve">3.2 </w:t>
      </w:r>
      <w:r w:rsidRPr="00CD2FAE">
        <w:rPr>
          <w:rFonts w:ascii="Arial" w:hAnsi="Arial" w:cs="Arial"/>
          <w:b/>
          <w:bCs/>
          <w:sz w:val="20"/>
          <w:szCs w:val="20"/>
          <w:lang w:val="en-US"/>
        </w:rPr>
        <w:t xml:space="preserve">Analysis of Tooth Movement </w:t>
      </w:r>
    </w:p>
    <w:p w14:paraId="1D514991" w14:textId="66A75CBB" w:rsidR="002B4DD0" w:rsidRPr="00D36883" w:rsidRDefault="00517DAC" w:rsidP="0097035D">
      <w:pPr>
        <w:pStyle w:val="Body"/>
        <w:spacing w:line="480" w:lineRule="auto"/>
        <w:ind w:firstLine="720"/>
        <w:jc w:val="both"/>
        <w:rPr>
          <w:rFonts w:ascii="Arial" w:hAnsi="Arial" w:cs="Arial"/>
          <w:b/>
          <w:bCs/>
          <w:sz w:val="20"/>
          <w:szCs w:val="20"/>
          <w:lang w:val="en-US"/>
        </w:rPr>
      </w:pPr>
      <w:r w:rsidRPr="00CD2FAE">
        <w:rPr>
          <w:rFonts w:ascii="Arial" w:hAnsi="Arial" w:cs="Arial"/>
          <w:sz w:val="20"/>
          <w:szCs w:val="20"/>
          <w:lang w:val="en-US"/>
        </w:rPr>
        <w:t>Obese animals in the MSG+ITM group exhibited a significantly reduced rate of induced tooth movement compared to non-obese animals in the CTL+ITM group (p &lt; 0.05) (Table 2).</w:t>
      </w:r>
    </w:p>
    <w:p w14:paraId="527FEEE1" w14:textId="77777777" w:rsidR="002B4DD0" w:rsidRPr="00CD2FAE" w:rsidRDefault="002B4DD0">
      <w:pPr>
        <w:pStyle w:val="Body"/>
        <w:tabs>
          <w:tab w:val="left" w:pos="3692"/>
        </w:tabs>
        <w:spacing w:line="360" w:lineRule="auto"/>
        <w:jc w:val="both"/>
        <w:rPr>
          <w:rFonts w:ascii="Arial" w:hAnsi="Arial" w:cs="Arial"/>
          <w:b/>
          <w:bCs/>
          <w:sz w:val="20"/>
          <w:szCs w:val="20"/>
          <w:lang w:val="en-US"/>
        </w:rPr>
      </w:pPr>
    </w:p>
    <w:p w14:paraId="10FC1837" w14:textId="77777777" w:rsidR="002B4DD0" w:rsidRPr="00D36883" w:rsidRDefault="00517DAC">
      <w:pPr>
        <w:pStyle w:val="Body"/>
        <w:tabs>
          <w:tab w:val="left" w:pos="3692"/>
        </w:tabs>
        <w:spacing w:line="360" w:lineRule="auto"/>
        <w:jc w:val="both"/>
        <w:rPr>
          <w:rFonts w:ascii="Arial" w:hAnsi="Arial" w:cs="Arial"/>
          <w:sz w:val="20"/>
          <w:szCs w:val="20"/>
          <w:lang w:val="en-US"/>
        </w:rPr>
      </w:pPr>
      <w:r w:rsidRPr="00CD2FAE">
        <w:rPr>
          <w:rFonts w:ascii="Arial" w:hAnsi="Arial" w:cs="Arial"/>
          <w:b/>
          <w:bCs/>
          <w:sz w:val="20"/>
          <w:szCs w:val="20"/>
          <w:lang w:val="en-US"/>
        </w:rPr>
        <w:t xml:space="preserve">Table 2. </w:t>
      </w:r>
      <w:r w:rsidRPr="00CD2FAE">
        <w:rPr>
          <w:rFonts w:ascii="Arial" w:hAnsi="Arial" w:cs="Arial"/>
          <w:sz w:val="20"/>
          <w:szCs w:val="20"/>
          <w:lang w:val="en-US"/>
        </w:rPr>
        <w:t xml:space="preserve">Tooth movement rate of the different experimental groups </w:t>
      </w:r>
    </w:p>
    <w:tbl>
      <w:tblPr>
        <w:tblStyle w:val="TableNormal1"/>
        <w:tblW w:w="84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29"/>
        <w:gridCol w:w="6469"/>
      </w:tblGrid>
      <w:tr w:rsidR="002B4DD0" w:rsidRPr="00CD2FAE" w14:paraId="1C2E8E82" w14:textId="77777777">
        <w:trPr>
          <w:trHeight w:val="222"/>
        </w:trPr>
        <w:tc>
          <w:tcPr>
            <w:tcW w:w="2029" w:type="dxa"/>
            <w:tcBorders>
              <w:top w:val="single" w:sz="4" w:space="0" w:color="000000"/>
              <w:left w:val="nil"/>
              <w:bottom w:val="single" w:sz="4" w:space="0" w:color="000000"/>
              <w:right w:val="nil"/>
            </w:tcBorders>
            <w:shd w:val="clear" w:color="auto" w:fill="auto"/>
            <w:tcMar>
              <w:top w:w="80" w:type="dxa"/>
              <w:left w:w="312" w:type="dxa"/>
              <w:bottom w:w="80" w:type="dxa"/>
              <w:right w:w="80" w:type="dxa"/>
            </w:tcMar>
          </w:tcPr>
          <w:p w14:paraId="3239ADBA" w14:textId="77777777" w:rsidR="002B4DD0" w:rsidRPr="00CD2FAE" w:rsidRDefault="00517DAC">
            <w:pPr>
              <w:pStyle w:val="Body"/>
              <w:spacing w:line="360" w:lineRule="auto"/>
              <w:ind w:left="232" w:hanging="11"/>
              <w:jc w:val="center"/>
              <w:rPr>
                <w:rFonts w:ascii="Arial" w:hAnsi="Arial" w:cs="Arial"/>
                <w:sz w:val="20"/>
                <w:szCs w:val="20"/>
              </w:rPr>
            </w:pPr>
            <w:r w:rsidRPr="00CD2FAE">
              <w:rPr>
                <w:rFonts w:ascii="Arial" w:hAnsi="Arial" w:cs="Arial"/>
                <w:b/>
                <w:bCs/>
                <w:sz w:val="20"/>
                <w:szCs w:val="20"/>
                <w:lang w:val="pt-PT"/>
              </w:rPr>
              <w:t>GROUP</w:t>
            </w:r>
          </w:p>
        </w:tc>
        <w:tc>
          <w:tcPr>
            <w:tcW w:w="6468" w:type="dxa"/>
            <w:tcBorders>
              <w:top w:val="single" w:sz="4" w:space="0" w:color="000000"/>
              <w:left w:val="nil"/>
              <w:bottom w:val="single" w:sz="4" w:space="0" w:color="000000"/>
              <w:right w:val="nil"/>
            </w:tcBorders>
            <w:shd w:val="clear" w:color="auto" w:fill="auto"/>
            <w:tcMar>
              <w:top w:w="80" w:type="dxa"/>
              <w:left w:w="312" w:type="dxa"/>
              <w:bottom w:w="80" w:type="dxa"/>
              <w:right w:w="80" w:type="dxa"/>
            </w:tcMar>
          </w:tcPr>
          <w:p w14:paraId="69CA97CD" w14:textId="77777777" w:rsidR="002B4DD0" w:rsidRPr="00CD2FAE" w:rsidRDefault="00517DAC">
            <w:pPr>
              <w:pStyle w:val="Body"/>
              <w:spacing w:line="360" w:lineRule="auto"/>
              <w:ind w:left="232" w:hanging="11"/>
              <w:jc w:val="center"/>
              <w:rPr>
                <w:rFonts w:ascii="Arial" w:hAnsi="Arial" w:cs="Arial"/>
                <w:sz w:val="20"/>
                <w:szCs w:val="20"/>
              </w:rPr>
            </w:pPr>
            <w:r w:rsidRPr="00CD2FAE">
              <w:rPr>
                <w:rFonts w:ascii="Arial" w:hAnsi="Arial" w:cs="Arial"/>
                <w:b/>
                <w:bCs/>
                <w:sz w:val="20"/>
                <w:szCs w:val="20"/>
                <w:lang w:val="pt-PT"/>
              </w:rPr>
              <w:t>TOOTH MOVEMNENT RATE (mm)</w:t>
            </w:r>
          </w:p>
        </w:tc>
      </w:tr>
      <w:tr w:rsidR="002B4DD0" w:rsidRPr="00CD2FAE" w14:paraId="367AA7FD" w14:textId="77777777">
        <w:trPr>
          <w:trHeight w:val="227"/>
        </w:trPr>
        <w:tc>
          <w:tcPr>
            <w:tcW w:w="2029" w:type="dxa"/>
            <w:tcBorders>
              <w:top w:val="single" w:sz="4" w:space="0" w:color="000000"/>
              <w:left w:val="nil"/>
              <w:bottom w:val="nil"/>
              <w:right w:val="nil"/>
            </w:tcBorders>
            <w:shd w:val="clear" w:color="auto" w:fill="auto"/>
            <w:tcMar>
              <w:top w:w="80" w:type="dxa"/>
              <w:left w:w="312" w:type="dxa"/>
              <w:bottom w:w="80" w:type="dxa"/>
              <w:right w:w="80" w:type="dxa"/>
            </w:tcMar>
          </w:tcPr>
          <w:p w14:paraId="411DCE71" w14:textId="77777777" w:rsidR="002B4DD0" w:rsidRPr="00FD5EA5" w:rsidRDefault="00517DAC" w:rsidP="008F5119">
            <w:pPr>
              <w:pStyle w:val="Body"/>
              <w:ind w:left="232" w:hanging="11"/>
              <w:jc w:val="center"/>
              <w:rPr>
                <w:rFonts w:ascii="Arial" w:hAnsi="Arial" w:cs="Arial"/>
                <w:sz w:val="20"/>
                <w:szCs w:val="20"/>
              </w:rPr>
            </w:pPr>
            <w:r w:rsidRPr="00FD5EA5">
              <w:rPr>
                <w:rFonts w:ascii="Arial" w:hAnsi="Arial" w:cs="Arial"/>
                <w:sz w:val="20"/>
                <w:szCs w:val="20"/>
                <w:lang w:val="pt-PT"/>
              </w:rPr>
              <w:t xml:space="preserve">CTL+ITM </w:t>
            </w:r>
          </w:p>
        </w:tc>
        <w:tc>
          <w:tcPr>
            <w:tcW w:w="6468" w:type="dxa"/>
            <w:tcBorders>
              <w:top w:val="single" w:sz="4" w:space="0" w:color="000000"/>
              <w:left w:val="nil"/>
              <w:bottom w:val="nil"/>
              <w:right w:val="nil"/>
            </w:tcBorders>
            <w:shd w:val="clear" w:color="auto" w:fill="auto"/>
            <w:tcMar>
              <w:top w:w="80" w:type="dxa"/>
              <w:left w:w="312" w:type="dxa"/>
              <w:bottom w:w="80" w:type="dxa"/>
              <w:right w:w="80" w:type="dxa"/>
            </w:tcMar>
          </w:tcPr>
          <w:p w14:paraId="2F85AE40" w14:textId="118A6A13" w:rsidR="002B4DD0" w:rsidRPr="00FD5EA5" w:rsidRDefault="00517DAC" w:rsidP="008F5119">
            <w:pPr>
              <w:pStyle w:val="Body"/>
              <w:ind w:left="232" w:hanging="11"/>
              <w:jc w:val="center"/>
              <w:rPr>
                <w:rFonts w:ascii="Arial" w:hAnsi="Arial" w:cs="Arial"/>
                <w:sz w:val="20"/>
                <w:szCs w:val="20"/>
              </w:rPr>
            </w:pPr>
            <w:r w:rsidRPr="00FD5EA5">
              <w:rPr>
                <w:rFonts w:ascii="Arial" w:hAnsi="Arial" w:cs="Arial"/>
                <w:sz w:val="20"/>
                <w:szCs w:val="20"/>
                <w:lang w:val="pt-PT"/>
              </w:rPr>
              <w:t>0</w:t>
            </w:r>
            <w:r w:rsidR="0097035D" w:rsidRPr="00FD5EA5">
              <w:rPr>
                <w:rFonts w:ascii="Arial" w:hAnsi="Arial" w:cs="Arial"/>
                <w:sz w:val="20"/>
                <w:szCs w:val="20"/>
                <w:lang w:val="pt-PT"/>
              </w:rPr>
              <w:t>.</w:t>
            </w:r>
            <w:r w:rsidRPr="00FD5EA5">
              <w:rPr>
                <w:rFonts w:ascii="Arial" w:hAnsi="Arial" w:cs="Arial"/>
                <w:sz w:val="20"/>
                <w:szCs w:val="20"/>
                <w:lang w:val="pt-PT"/>
              </w:rPr>
              <w:t>1</w:t>
            </w:r>
            <w:r w:rsidR="00FD5EA5" w:rsidRPr="00FD5EA5">
              <w:rPr>
                <w:rFonts w:ascii="Arial" w:hAnsi="Arial" w:cs="Arial"/>
                <w:sz w:val="20"/>
                <w:szCs w:val="20"/>
                <w:lang w:val="pt-PT"/>
              </w:rPr>
              <w:t>9</w:t>
            </w:r>
            <w:r w:rsidRPr="00FD5EA5">
              <w:rPr>
                <w:rFonts w:ascii="Arial" w:hAnsi="Arial" w:cs="Arial"/>
                <w:sz w:val="20"/>
                <w:szCs w:val="20"/>
                <w:lang w:val="pt-PT"/>
              </w:rPr>
              <w:t>±</w:t>
            </w:r>
            <w:r w:rsidR="00FD5EA5" w:rsidRPr="00FD5EA5">
              <w:rPr>
                <w:rFonts w:ascii="Arial" w:hAnsi="Arial" w:cs="Arial"/>
                <w:sz w:val="20"/>
                <w:szCs w:val="20"/>
                <w:lang w:val="pt-PT"/>
              </w:rPr>
              <w:t>0</w:t>
            </w:r>
            <w:r w:rsidR="0097035D" w:rsidRPr="00FD5EA5">
              <w:rPr>
                <w:rFonts w:ascii="Arial" w:hAnsi="Arial" w:cs="Arial"/>
                <w:sz w:val="20"/>
                <w:szCs w:val="20"/>
                <w:lang w:val="pt-PT"/>
              </w:rPr>
              <w:t>.</w:t>
            </w:r>
            <w:r w:rsidRPr="00FD5EA5">
              <w:rPr>
                <w:rFonts w:ascii="Arial" w:hAnsi="Arial" w:cs="Arial"/>
                <w:sz w:val="20"/>
                <w:szCs w:val="20"/>
                <w:lang w:val="pt-PT"/>
              </w:rPr>
              <w:t>0</w:t>
            </w:r>
            <w:r w:rsidR="00FD5EA5" w:rsidRPr="00FD5EA5">
              <w:rPr>
                <w:rFonts w:ascii="Arial" w:hAnsi="Arial" w:cs="Arial"/>
                <w:sz w:val="20"/>
                <w:szCs w:val="20"/>
                <w:lang w:val="pt-PT"/>
              </w:rPr>
              <w:t>6</w:t>
            </w:r>
            <w:r w:rsidRPr="00FD5EA5">
              <w:rPr>
                <w:rFonts w:ascii="Arial" w:hAnsi="Arial" w:cs="Arial"/>
                <w:sz w:val="20"/>
                <w:szCs w:val="20"/>
                <w:vertAlign w:val="superscript"/>
                <w:lang w:val="pt-PT"/>
              </w:rPr>
              <w:t>a</w:t>
            </w:r>
          </w:p>
        </w:tc>
      </w:tr>
      <w:tr w:rsidR="002B4DD0" w:rsidRPr="00CD2FAE" w14:paraId="2CA5397C" w14:textId="77777777">
        <w:trPr>
          <w:trHeight w:val="227"/>
        </w:trPr>
        <w:tc>
          <w:tcPr>
            <w:tcW w:w="2029" w:type="dxa"/>
            <w:tcBorders>
              <w:top w:val="nil"/>
              <w:left w:val="nil"/>
              <w:bottom w:val="single" w:sz="4" w:space="0" w:color="000000"/>
              <w:right w:val="nil"/>
            </w:tcBorders>
            <w:shd w:val="clear" w:color="auto" w:fill="auto"/>
            <w:tcMar>
              <w:top w:w="80" w:type="dxa"/>
              <w:left w:w="312" w:type="dxa"/>
              <w:bottom w:w="80" w:type="dxa"/>
              <w:right w:w="80" w:type="dxa"/>
            </w:tcMar>
          </w:tcPr>
          <w:p w14:paraId="1A8B6D7A" w14:textId="77777777" w:rsidR="002B4DD0" w:rsidRPr="00FD5EA5" w:rsidRDefault="00517DAC" w:rsidP="008F5119">
            <w:pPr>
              <w:pStyle w:val="Body"/>
              <w:ind w:left="232" w:hanging="11"/>
              <w:jc w:val="center"/>
              <w:rPr>
                <w:rFonts w:ascii="Arial" w:hAnsi="Arial" w:cs="Arial"/>
                <w:sz w:val="20"/>
                <w:szCs w:val="20"/>
              </w:rPr>
            </w:pPr>
            <w:r w:rsidRPr="00FD5EA5">
              <w:rPr>
                <w:rFonts w:ascii="Arial" w:hAnsi="Arial" w:cs="Arial"/>
                <w:sz w:val="20"/>
                <w:szCs w:val="20"/>
                <w:lang w:val="pt-PT"/>
              </w:rPr>
              <w:t>MSG+ITM</w:t>
            </w:r>
          </w:p>
        </w:tc>
        <w:tc>
          <w:tcPr>
            <w:tcW w:w="6468" w:type="dxa"/>
            <w:tcBorders>
              <w:top w:val="nil"/>
              <w:left w:val="nil"/>
              <w:bottom w:val="single" w:sz="4" w:space="0" w:color="000000"/>
              <w:right w:val="nil"/>
            </w:tcBorders>
            <w:shd w:val="clear" w:color="auto" w:fill="auto"/>
            <w:tcMar>
              <w:top w:w="80" w:type="dxa"/>
              <w:left w:w="312" w:type="dxa"/>
              <w:bottom w:w="80" w:type="dxa"/>
              <w:right w:w="80" w:type="dxa"/>
            </w:tcMar>
          </w:tcPr>
          <w:p w14:paraId="71F3AF9E" w14:textId="56B9E492" w:rsidR="002B4DD0" w:rsidRPr="00FD5EA5" w:rsidRDefault="00517DAC" w:rsidP="008F5119">
            <w:pPr>
              <w:pStyle w:val="Body"/>
              <w:ind w:left="232" w:hanging="11"/>
              <w:jc w:val="center"/>
              <w:rPr>
                <w:rFonts w:ascii="Arial" w:hAnsi="Arial" w:cs="Arial"/>
                <w:sz w:val="20"/>
                <w:szCs w:val="20"/>
              </w:rPr>
            </w:pPr>
            <w:r w:rsidRPr="00FD5EA5">
              <w:rPr>
                <w:rFonts w:ascii="Arial" w:hAnsi="Arial" w:cs="Arial"/>
                <w:sz w:val="20"/>
                <w:szCs w:val="20"/>
                <w:lang w:val="pt-PT"/>
              </w:rPr>
              <w:t>0</w:t>
            </w:r>
            <w:r w:rsidR="0097035D" w:rsidRPr="00FD5EA5">
              <w:rPr>
                <w:rFonts w:ascii="Arial" w:hAnsi="Arial" w:cs="Arial"/>
                <w:sz w:val="20"/>
                <w:szCs w:val="20"/>
                <w:lang w:val="pt-PT"/>
              </w:rPr>
              <w:t>.</w:t>
            </w:r>
            <w:r w:rsidRPr="00FD5EA5">
              <w:rPr>
                <w:rFonts w:ascii="Arial" w:hAnsi="Arial" w:cs="Arial"/>
                <w:sz w:val="20"/>
                <w:szCs w:val="20"/>
                <w:lang w:val="pt-PT"/>
              </w:rPr>
              <w:t>1</w:t>
            </w:r>
            <w:r w:rsidR="00FD5EA5" w:rsidRPr="00FD5EA5">
              <w:rPr>
                <w:rFonts w:ascii="Arial" w:hAnsi="Arial" w:cs="Arial"/>
                <w:sz w:val="20"/>
                <w:szCs w:val="20"/>
                <w:lang w:val="pt-PT"/>
              </w:rPr>
              <w:t>6</w:t>
            </w:r>
            <w:r w:rsidRPr="00FD5EA5">
              <w:rPr>
                <w:rFonts w:ascii="Arial" w:hAnsi="Arial" w:cs="Arial"/>
                <w:sz w:val="20"/>
                <w:szCs w:val="20"/>
                <w:lang w:val="pt-PT"/>
              </w:rPr>
              <w:t>±0</w:t>
            </w:r>
            <w:r w:rsidR="0097035D" w:rsidRPr="00FD5EA5">
              <w:rPr>
                <w:rFonts w:ascii="Arial" w:hAnsi="Arial" w:cs="Arial"/>
                <w:sz w:val="20"/>
                <w:szCs w:val="20"/>
                <w:lang w:val="pt-PT"/>
              </w:rPr>
              <w:t>.</w:t>
            </w:r>
            <w:r w:rsidR="00FD5EA5" w:rsidRPr="00FD5EA5">
              <w:rPr>
                <w:rFonts w:ascii="Arial" w:hAnsi="Arial" w:cs="Arial"/>
                <w:sz w:val="20"/>
                <w:szCs w:val="20"/>
                <w:lang w:val="pt-PT"/>
              </w:rPr>
              <w:t>05</w:t>
            </w:r>
            <w:r w:rsidRPr="00FD5EA5">
              <w:rPr>
                <w:rFonts w:ascii="Arial" w:hAnsi="Arial" w:cs="Arial"/>
                <w:sz w:val="20"/>
                <w:szCs w:val="20"/>
                <w:vertAlign w:val="superscript"/>
                <w:lang w:val="pt-PT"/>
              </w:rPr>
              <w:t>b</w:t>
            </w:r>
          </w:p>
        </w:tc>
      </w:tr>
    </w:tbl>
    <w:p w14:paraId="599B11E7" w14:textId="77777777" w:rsidR="002B4DD0" w:rsidRPr="00CD2FAE" w:rsidRDefault="002B4DD0">
      <w:pPr>
        <w:pStyle w:val="Body"/>
        <w:widowControl w:val="0"/>
        <w:tabs>
          <w:tab w:val="left" w:pos="3692"/>
        </w:tabs>
        <w:jc w:val="both"/>
        <w:rPr>
          <w:rFonts w:ascii="Arial" w:hAnsi="Arial" w:cs="Arial"/>
          <w:sz w:val="20"/>
          <w:szCs w:val="20"/>
        </w:rPr>
      </w:pPr>
    </w:p>
    <w:p w14:paraId="57F42C8A" w14:textId="56B9EA9C" w:rsidR="004D0FDC" w:rsidRPr="00D36883" w:rsidRDefault="004D0FDC" w:rsidP="004D0FDC">
      <w:pPr>
        <w:pStyle w:val="Body"/>
        <w:jc w:val="both"/>
        <w:rPr>
          <w:rFonts w:ascii="Arial" w:hAnsi="Arial" w:cs="Arial"/>
          <w:b/>
          <w:bCs/>
          <w:sz w:val="20"/>
          <w:szCs w:val="20"/>
          <w:lang w:val="en-US"/>
        </w:rPr>
      </w:pPr>
      <w:r w:rsidRPr="00CD2FAE">
        <w:rPr>
          <w:rFonts w:ascii="Arial" w:hAnsi="Arial" w:cs="Arial"/>
          <w:sz w:val="20"/>
          <w:szCs w:val="20"/>
          <w:lang w:val="en-US"/>
        </w:rPr>
        <w:t xml:space="preserve">Values are expressed as mean ± </w:t>
      </w:r>
      <w:r w:rsidRPr="004D0FDC">
        <w:rPr>
          <w:rFonts w:ascii="Arial" w:hAnsi="Arial" w:cs="Arial"/>
          <w:sz w:val="20"/>
          <w:szCs w:val="20"/>
          <w:lang w:val="en-US"/>
        </w:rPr>
        <w:t>standard error</w:t>
      </w:r>
      <w:r w:rsidRPr="004D0FDC">
        <w:rPr>
          <w:rFonts w:ascii="Arial" w:hAnsi="Arial" w:cs="Arial"/>
          <w:sz w:val="20"/>
          <w:szCs w:val="20"/>
          <w:lang w:val="pt-PT"/>
        </w:rPr>
        <w:t>. N= 10 animais</w:t>
      </w:r>
      <w:r w:rsidRPr="00CD2FAE">
        <w:rPr>
          <w:rFonts w:ascii="Arial" w:hAnsi="Arial" w:cs="Arial"/>
          <w:sz w:val="20"/>
          <w:szCs w:val="20"/>
          <w:lang w:val="pt-PT"/>
        </w:rPr>
        <w:t xml:space="preserve">/grupo. </w:t>
      </w:r>
      <w:r w:rsidR="00BF2DBF" w:rsidRPr="00CD2FAE">
        <w:rPr>
          <w:rFonts w:ascii="Arial" w:hAnsi="Arial" w:cs="Arial"/>
          <w:sz w:val="20"/>
          <w:szCs w:val="20"/>
          <w:lang w:val="en-US"/>
        </w:rPr>
        <w:t>Student’s T</w:t>
      </w:r>
      <w:r w:rsidR="007259C7" w:rsidRPr="00CD2FAE">
        <w:rPr>
          <w:rFonts w:ascii="Arial" w:hAnsi="Arial" w:cs="Arial"/>
          <w:sz w:val="20"/>
          <w:szCs w:val="20"/>
          <w:lang w:val="en-US"/>
        </w:rPr>
        <w:t>-test</w:t>
      </w:r>
      <w:r w:rsidRPr="00D36883">
        <w:rPr>
          <w:rFonts w:ascii="Arial" w:hAnsi="Arial" w:cs="Arial"/>
          <w:sz w:val="20"/>
          <w:szCs w:val="20"/>
        </w:rPr>
        <w:t xml:space="preserve">.  </w:t>
      </w:r>
      <w:r w:rsidRPr="00CD2FAE">
        <w:rPr>
          <w:rFonts w:ascii="Arial" w:hAnsi="Arial" w:cs="Arial"/>
          <w:sz w:val="20"/>
          <w:szCs w:val="20"/>
          <w:lang w:val="en-US"/>
        </w:rPr>
        <w:t>In the same row, values followed by different letters (a, b) indicate statistically significant differences between groups (P &lt; 0.05).</w:t>
      </w:r>
    </w:p>
    <w:p w14:paraId="2D0AAC2D" w14:textId="4D5D9265" w:rsidR="002B4DD0" w:rsidRPr="00CD2FAE" w:rsidRDefault="002B4DD0" w:rsidP="008F5119">
      <w:pPr>
        <w:pStyle w:val="Body"/>
        <w:jc w:val="both"/>
        <w:rPr>
          <w:rFonts w:ascii="Arial" w:hAnsi="Arial" w:cs="Arial"/>
          <w:sz w:val="20"/>
          <w:szCs w:val="20"/>
        </w:rPr>
      </w:pPr>
    </w:p>
    <w:p w14:paraId="0D7C0B59" w14:textId="77777777" w:rsidR="002B4DD0" w:rsidRDefault="002B4DD0">
      <w:pPr>
        <w:pStyle w:val="Body"/>
        <w:ind w:right="425"/>
        <w:jc w:val="both"/>
        <w:rPr>
          <w:rStyle w:val="fadein4f9by7"/>
          <w:rFonts w:ascii="Arial" w:hAnsi="Arial" w:cs="Arial"/>
          <w:sz w:val="20"/>
          <w:szCs w:val="20"/>
        </w:rPr>
      </w:pPr>
    </w:p>
    <w:p w14:paraId="4FD57904" w14:textId="77777777" w:rsidR="0098591C" w:rsidRPr="00CD2FAE" w:rsidRDefault="0098591C">
      <w:pPr>
        <w:pStyle w:val="Body"/>
        <w:ind w:right="425"/>
        <w:jc w:val="both"/>
        <w:rPr>
          <w:rStyle w:val="fadein4f9by7"/>
          <w:rFonts w:ascii="Arial" w:hAnsi="Arial" w:cs="Arial"/>
          <w:sz w:val="20"/>
          <w:szCs w:val="20"/>
        </w:rPr>
      </w:pPr>
    </w:p>
    <w:p w14:paraId="6ACC165E" w14:textId="77777777" w:rsidR="002B4DD0" w:rsidRPr="00CD2FAE" w:rsidRDefault="002B4DD0">
      <w:pPr>
        <w:pStyle w:val="Body"/>
        <w:ind w:right="425"/>
        <w:jc w:val="both"/>
        <w:rPr>
          <w:rStyle w:val="fadein4f9by7"/>
          <w:rFonts w:ascii="Arial" w:hAnsi="Arial" w:cs="Arial"/>
          <w:sz w:val="20"/>
          <w:szCs w:val="20"/>
        </w:rPr>
      </w:pPr>
    </w:p>
    <w:p w14:paraId="32830777" w14:textId="2207C02A" w:rsidR="002B4DD0" w:rsidRPr="00CD2FAE" w:rsidRDefault="00910DE5" w:rsidP="00CD2FAE">
      <w:pPr>
        <w:pStyle w:val="Heading1"/>
        <w:spacing w:before="0" w:after="0" w:line="480" w:lineRule="auto"/>
        <w:rPr>
          <w:rFonts w:ascii="Arial" w:eastAsia="Times New Roman" w:hAnsi="Arial" w:cs="Arial"/>
          <w:sz w:val="20"/>
          <w:szCs w:val="20"/>
          <w:lang w:val="en-US"/>
        </w:rPr>
      </w:pPr>
      <w:bookmarkStart w:id="9" w:name="_Hlk188625078"/>
      <w:r>
        <w:rPr>
          <w:rFonts w:ascii="Arial" w:hAnsi="Arial" w:cs="Arial"/>
          <w:sz w:val="20"/>
          <w:szCs w:val="20"/>
          <w:lang w:val="en-US"/>
        </w:rPr>
        <w:t xml:space="preserve">3.3 </w:t>
      </w:r>
      <w:r w:rsidRPr="00CD2FAE">
        <w:rPr>
          <w:rFonts w:ascii="Arial" w:hAnsi="Arial" w:cs="Arial"/>
          <w:sz w:val="20"/>
          <w:szCs w:val="20"/>
          <w:lang w:val="en-US"/>
        </w:rPr>
        <w:t xml:space="preserve">Morphological description of the periodontium </w:t>
      </w:r>
    </w:p>
    <w:p w14:paraId="67C228AF" w14:textId="4D5A4D90" w:rsidR="002B4DD0" w:rsidRPr="00CD2FAE" w:rsidRDefault="00517DAC" w:rsidP="00CD2FAE">
      <w:pPr>
        <w:pStyle w:val="Body"/>
        <w:spacing w:line="480" w:lineRule="auto"/>
        <w:ind w:firstLine="708"/>
        <w:jc w:val="both"/>
        <w:rPr>
          <w:rFonts w:ascii="Arial" w:hAnsi="Arial" w:cs="Arial"/>
          <w:sz w:val="20"/>
          <w:szCs w:val="20"/>
          <w:lang w:val="en-US"/>
        </w:rPr>
      </w:pPr>
      <w:bookmarkStart w:id="10" w:name="_Hlk193977879"/>
      <w:r w:rsidRPr="00CD2FAE">
        <w:rPr>
          <w:rFonts w:ascii="Arial" w:hAnsi="Arial" w:cs="Arial"/>
          <w:sz w:val="20"/>
          <w:szCs w:val="20"/>
          <w:lang w:val="en-US"/>
        </w:rPr>
        <w:t xml:space="preserve">Animals in the control group (CTL) exhibited a periodontal ligament (PL) with normal characteristics, including abundant fibroblasts and well-organized collagen fibers. The root surfaces were mostly continuous, with root resorption observed only occasionally. Both the interradicular septum and the mesial alveolar crest appeared normal (Table 3 and Figure </w:t>
      </w:r>
      <w:r w:rsidR="00910DE5">
        <w:rPr>
          <w:rFonts w:ascii="Arial" w:hAnsi="Arial" w:cs="Arial"/>
          <w:sz w:val="20"/>
          <w:szCs w:val="20"/>
          <w:lang w:val="en-US"/>
        </w:rPr>
        <w:t>2</w:t>
      </w:r>
      <w:r w:rsidRPr="00CD2FAE">
        <w:rPr>
          <w:rFonts w:ascii="Arial" w:hAnsi="Arial" w:cs="Arial"/>
          <w:sz w:val="20"/>
          <w:szCs w:val="20"/>
          <w:lang w:val="en-US"/>
        </w:rPr>
        <w:t>A). None of the analyzed groups showed signs of acute or chronic inflammation.</w:t>
      </w:r>
    </w:p>
    <w:p w14:paraId="1E9FB438" w14:textId="61C9C7AA" w:rsidR="002B4DD0" w:rsidRDefault="00517DAC" w:rsidP="00CD2FAE">
      <w:pPr>
        <w:pStyle w:val="Body"/>
        <w:spacing w:line="480" w:lineRule="auto"/>
        <w:ind w:firstLine="708"/>
        <w:jc w:val="both"/>
        <w:rPr>
          <w:rFonts w:ascii="Arial" w:hAnsi="Arial" w:cs="Arial"/>
          <w:sz w:val="20"/>
          <w:szCs w:val="20"/>
          <w:lang w:val="en-US"/>
        </w:rPr>
      </w:pPr>
      <w:r w:rsidRPr="00CD2FAE">
        <w:rPr>
          <w:rFonts w:ascii="Arial" w:hAnsi="Arial" w:cs="Arial"/>
          <w:sz w:val="20"/>
          <w:szCs w:val="20"/>
          <w:lang w:val="en-US"/>
        </w:rPr>
        <w:t xml:space="preserve">Animals in the MSG+ITM group exhibited larger areas of external root resorption, multinucleated giant cells, and disorganization of the periodontal ligament compared to the other groups (Table 3 and Figures </w:t>
      </w:r>
      <w:r w:rsidR="00910DE5">
        <w:rPr>
          <w:rFonts w:ascii="Arial" w:hAnsi="Arial" w:cs="Arial"/>
          <w:sz w:val="20"/>
          <w:szCs w:val="20"/>
          <w:lang w:val="en-US"/>
        </w:rPr>
        <w:t>2</w:t>
      </w:r>
      <w:r w:rsidRPr="00CD2FAE">
        <w:rPr>
          <w:rFonts w:ascii="Arial" w:hAnsi="Arial" w:cs="Arial"/>
          <w:sz w:val="20"/>
          <w:szCs w:val="20"/>
          <w:lang w:val="en-US"/>
        </w:rPr>
        <w:t>B–E). The CTL+ITM and MSG+ITM groups</w:t>
      </w:r>
      <w:r w:rsidR="0097035D">
        <w:rPr>
          <w:rFonts w:ascii="Arial" w:hAnsi="Arial" w:cs="Arial"/>
          <w:sz w:val="20"/>
          <w:szCs w:val="20"/>
          <w:lang w:val="en-US"/>
        </w:rPr>
        <w:t xml:space="preserve"> </w:t>
      </w:r>
      <w:r w:rsidRPr="00CD2FAE">
        <w:rPr>
          <w:rFonts w:ascii="Arial" w:hAnsi="Arial" w:cs="Arial"/>
          <w:sz w:val="20"/>
          <w:szCs w:val="20"/>
          <w:lang w:val="en-US"/>
        </w:rPr>
        <w:t>those subjected to tooth movement</w:t>
      </w:r>
      <w:r w:rsidR="0097035D">
        <w:rPr>
          <w:rFonts w:ascii="Arial" w:hAnsi="Arial" w:cs="Arial"/>
          <w:sz w:val="20"/>
          <w:szCs w:val="20"/>
          <w:lang w:val="en-US"/>
        </w:rPr>
        <w:t xml:space="preserve"> </w:t>
      </w:r>
      <w:r w:rsidRPr="00CD2FAE">
        <w:rPr>
          <w:rFonts w:ascii="Arial" w:hAnsi="Arial" w:cs="Arial"/>
          <w:sz w:val="20"/>
          <w:szCs w:val="20"/>
          <w:lang w:val="en-US"/>
        </w:rPr>
        <w:t xml:space="preserve">showed the highest incidence of hyalinization (Figure </w:t>
      </w:r>
      <w:r w:rsidR="00910DE5">
        <w:rPr>
          <w:rFonts w:ascii="Arial" w:hAnsi="Arial" w:cs="Arial"/>
          <w:sz w:val="20"/>
          <w:szCs w:val="20"/>
          <w:lang w:val="en-US"/>
        </w:rPr>
        <w:t>2</w:t>
      </w:r>
      <w:r w:rsidRPr="00CD2FAE">
        <w:rPr>
          <w:rFonts w:ascii="Arial" w:hAnsi="Arial" w:cs="Arial"/>
          <w:sz w:val="20"/>
          <w:szCs w:val="20"/>
          <w:lang w:val="en-US"/>
        </w:rPr>
        <w:t xml:space="preserve">B), whereas the obese groups (MSG and MSG+ITM) exhibited the highest frequency of vascular alterations (Table 3 and Figures </w:t>
      </w:r>
      <w:r w:rsidR="00910DE5">
        <w:rPr>
          <w:rFonts w:ascii="Arial" w:hAnsi="Arial" w:cs="Arial"/>
          <w:sz w:val="20"/>
          <w:szCs w:val="20"/>
          <w:lang w:val="en-US"/>
        </w:rPr>
        <w:t>2</w:t>
      </w:r>
      <w:r w:rsidRPr="00CD2FAE">
        <w:rPr>
          <w:rFonts w:ascii="Arial" w:hAnsi="Arial" w:cs="Arial"/>
          <w:sz w:val="20"/>
          <w:szCs w:val="20"/>
          <w:lang w:val="en-US"/>
        </w:rPr>
        <w:t>D</w:t>
      </w:r>
      <w:r w:rsidR="00910DE5">
        <w:rPr>
          <w:rFonts w:ascii="Arial" w:hAnsi="Arial" w:cs="Arial"/>
          <w:sz w:val="20"/>
          <w:szCs w:val="20"/>
          <w:lang w:val="en-US"/>
        </w:rPr>
        <w:t>-</w:t>
      </w:r>
      <w:r w:rsidRPr="00CD2FAE">
        <w:rPr>
          <w:rFonts w:ascii="Arial" w:hAnsi="Arial" w:cs="Arial"/>
          <w:sz w:val="20"/>
          <w:szCs w:val="20"/>
          <w:lang w:val="en-US"/>
        </w:rPr>
        <w:t>E).</w:t>
      </w:r>
    </w:p>
    <w:p w14:paraId="3ECC642E" w14:textId="77777777" w:rsidR="0098591C" w:rsidRPr="00D36883" w:rsidRDefault="0098591C" w:rsidP="00CD2FAE">
      <w:pPr>
        <w:pStyle w:val="Body"/>
        <w:spacing w:line="480" w:lineRule="auto"/>
        <w:ind w:firstLine="708"/>
        <w:jc w:val="both"/>
        <w:rPr>
          <w:rFonts w:ascii="Arial" w:hAnsi="Arial" w:cs="Arial"/>
          <w:sz w:val="20"/>
          <w:szCs w:val="20"/>
          <w:lang w:val="en-US"/>
        </w:rPr>
      </w:pPr>
    </w:p>
    <w:bookmarkEnd w:id="10"/>
    <w:p w14:paraId="28E31968" w14:textId="77777777" w:rsidR="0098591C" w:rsidRPr="00CD2FAE" w:rsidRDefault="0098591C" w:rsidP="0098591C">
      <w:pPr>
        <w:pStyle w:val="Body"/>
        <w:spacing w:line="360" w:lineRule="auto"/>
        <w:jc w:val="both"/>
        <w:rPr>
          <w:rStyle w:val="Strong"/>
          <w:rFonts w:ascii="Arial" w:eastAsia="Arial Unicode MS" w:hAnsi="Arial" w:cs="Arial"/>
          <w:sz w:val="20"/>
          <w:szCs w:val="20"/>
        </w:rPr>
      </w:pPr>
      <w:r w:rsidRPr="00CD2FAE">
        <w:rPr>
          <w:rFonts w:ascii="Arial" w:hAnsi="Arial" w:cs="Arial"/>
          <w:b/>
          <w:bCs/>
          <w:sz w:val="20"/>
          <w:szCs w:val="20"/>
          <w:lang w:val="en-US"/>
        </w:rPr>
        <w:t xml:space="preserve">Table 3. Frequency of periodontal ligament alterations observed in the different experimental groups. </w:t>
      </w:r>
      <w:r w:rsidRPr="00CD2FAE">
        <w:rPr>
          <w:rStyle w:val="Strong"/>
          <w:rFonts w:ascii="Arial" w:eastAsia="Arial Unicode MS" w:hAnsi="Arial" w:cs="Arial"/>
          <w:sz w:val="20"/>
          <w:szCs w:val="20"/>
          <w:lang w:val="en-US"/>
        </w:rPr>
        <w:t>N = 6/group.</w:t>
      </w:r>
    </w:p>
    <w:tbl>
      <w:tblPr>
        <w:tblStyle w:val="TableNormal1"/>
        <w:tblW w:w="91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6"/>
        <w:gridCol w:w="1697"/>
        <w:gridCol w:w="1697"/>
        <w:gridCol w:w="1697"/>
        <w:gridCol w:w="1675"/>
      </w:tblGrid>
      <w:tr w:rsidR="0098591C" w:rsidRPr="00CD2FAE" w14:paraId="58DDB7B7" w14:textId="77777777" w:rsidTr="0097035D">
        <w:trPr>
          <w:trHeight w:val="232"/>
          <w:jc w:val="center"/>
        </w:trPr>
        <w:tc>
          <w:tcPr>
            <w:tcW w:w="2336" w:type="dxa"/>
            <w:tcBorders>
              <w:top w:val="single" w:sz="8" w:space="0" w:color="808080"/>
              <w:left w:val="single" w:sz="8" w:space="0" w:color="808080"/>
              <w:bottom w:val="single" w:sz="8" w:space="0" w:color="76716C"/>
              <w:right w:val="single" w:sz="8" w:space="0" w:color="FFFFFF"/>
            </w:tcBorders>
            <w:shd w:val="clear" w:color="auto" w:fill="auto"/>
            <w:tcMar>
              <w:top w:w="80" w:type="dxa"/>
              <w:left w:w="80" w:type="dxa"/>
              <w:bottom w:w="80" w:type="dxa"/>
              <w:right w:w="80" w:type="dxa"/>
            </w:tcMar>
            <w:vAlign w:val="center"/>
          </w:tcPr>
          <w:p w14:paraId="2B527DCE" w14:textId="148D9C45"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lang w:val="pt-PT"/>
              </w:rPr>
              <w:t>PARAMETERS</w:t>
            </w:r>
          </w:p>
        </w:tc>
        <w:tc>
          <w:tcPr>
            <w:tcW w:w="1697" w:type="dxa"/>
            <w:tcBorders>
              <w:top w:val="single" w:sz="8" w:space="0" w:color="808080"/>
              <w:left w:val="single" w:sz="8" w:space="0" w:color="FFFFFF"/>
              <w:bottom w:val="single" w:sz="8" w:space="0" w:color="76716C"/>
              <w:right w:val="single" w:sz="8" w:space="0" w:color="FFFFFF"/>
            </w:tcBorders>
            <w:shd w:val="clear" w:color="auto" w:fill="auto"/>
            <w:tcMar>
              <w:top w:w="80" w:type="dxa"/>
              <w:left w:w="80" w:type="dxa"/>
              <w:bottom w:w="80" w:type="dxa"/>
              <w:right w:w="80" w:type="dxa"/>
            </w:tcMar>
            <w:vAlign w:val="center"/>
          </w:tcPr>
          <w:p w14:paraId="16B10534" w14:textId="73CD47D8"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u w:color="FFFFFF"/>
                <w:lang w:val="pt-PT"/>
              </w:rPr>
              <w:t>CTL</w:t>
            </w:r>
          </w:p>
        </w:tc>
        <w:tc>
          <w:tcPr>
            <w:tcW w:w="1697" w:type="dxa"/>
            <w:tcBorders>
              <w:top w:val="single" w:sz="8" w:space="0" w:color="808080"/>
              <w:left w:val="single" w:sz="8" w:space="0" w:color="FFFFFF"/>
              <w:bottom w:val="single" w:sz="8" w:space="0" w:color="76716C"/>
              <w:right w:val="single" w:sz="8" w:space="0" w:color="FFFFFF"/>
            </w:tcBorders>
            <w:shd w:val="clear" w:color="auto" w:fill="auto"/>
            <w:tcMar>
              <w:top w:w="80" w:type="dxa"/>
              <w:left w:w="80" w:type="dxa"/>
              <w:bottom w:w="80" w:type="dxa"/>
              <w:right w:w="80" w:type="dxa"/>
            </w:tcMar>
            <w:vAlign w:val="center"/>
          </w:tcPr>
          <w:p w14:paraId="20216CAA" w14:textId="261700B9"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u w:color="FFFFFF"/>
                <w:lang w:val="pt-PT"/>
              </w:rPr>
              <w:t>CTL + ITM</w:t>
            </w:r>
          </w:p>
        </w:tc>
        <w:tc>
          <w:tcPr>
            <w:tcW w:w="1697" w:type="dxa"/>
            <w:tcBorders>
              <w:top w:val="single" w:sz="8" w:space="0" w:color="808080"/>
              <w:left w:val="single" w:sz="8" w:space="0" w:color="FFFFFF"/>
              <w:bottom w:val="single" w:sz="8" w:space="0" w:color="76716C"/>
              <w:right w:val="single" w:sz="8" w:space="0" w:color="FFFFFF"/>
            </w:tcBorders>
            <w:shd w:val="clear" w:color="auto" w:fill="auto"/>
            <w:tcMar>
              <w:top w:w="80" w:type="dxa"/>
              <w:left w:w="80" w:type="dxa"/>
              <w:bottom w:w="80" w:type="dxa"/>
              <w:right w:w="80" w:type="dxa"/>
            </w:tcMar>
            <w:vAlign w:val="center"/>
          </w:tcPr>
          <w:p w14:paraId="3D528841" w14:textId="5EF84432"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u w:color="FFFFFF"/>
                <w:lang w:val="pt-PT"/>
              </w:rPr>
              <w:t>MSG</w:t>
            </w:r>
          </w:p>
        </w:tc>
        <w:tc>
          <w:tcPr>
            <w:tcW w:w="1675" w:type="dxa"/>
            <w:tcBorders>
              <w:top w:val="single" w:sz="8" w:space="0" w:color="808080"/>
              <w:left w:val="single" w:sz="8" w:space="0" w:color="FFFFFF"/>
              <w:bottom w:val="single" w:sz="8" w:space="0" w:color="76716C"/>
              <w:right w:val="single" w:sz="8" w:space="0" w:color="808080"/>
            </w:tcBorders>
            <w:shd w:val="clear" w:color="auto" w:fill="auto"/>
            <w:tcMar>
              <w:top w:w="80" w:type="dxa"/>
              <w:left w:w="80" w:type="dxa"/>
              <w:bottom w:w="80" w:type="dxa"/>
              <w:right w:w="80" w:type="dxa"/>
            </w:tcMar>
            <w:vAlign w:val="center"/>
          </w:tcPr>
          <w:p w14:paraId="2241FEEE" w14:textId="12ACF9F9"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u w:color="FFFFFF"/>
                <w:lang w:val="pt-PT"/>
              </w:rPr>
              <w:t xml:space="preserve">MSG + ITM </w:t>
            </w:r>
          </w:p>
        </w:tc>
      </w:tr>
      <w:tr w:rsidR="0098591C" w:rsidRPr="00CD2FAE" w14:paraId="47C14119" w14:textId="77777777" w:rsidTr="00124E62">
        <w:trPr>
          <w:trHeight w:val="452"/>
          <w:jc w:val="center"/>
        </w:trPr>
        <w:tc>
          <w:tcPr>
            <w:tcW w:w="2336" w:type="dxa"/>
            <w:tcBorders>
              <w:top w:val="single" w:sz="8" w:space="0" w:color="76716C"/>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4CDDDDB8"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pt-PT"/>
              </w:rPr>
              <w:t xml:space="preserve">External Root Resorption </w:t>
            </w:r>
          </w:p>
        </w:tc>
        <w:tc>
          <w:tcPr>
            <w:tcW w:w="1697" w:type="dxa"/>
            <w:tcBorders>
              <w:top w:val="single" w:sz="8" w:space="0" w:color="76716C"/>
              <w:left w:val="single" w:sz="8" w:space="0" w:color="76716C"/>
              <w:bottom w:val="single" w:sz="8" w:space="0" w:color="808080"/>
              <w:right w:val="single" w:sz="8" w:space="0" w:color="808080"/>
            </w:tcBorders>
            <w:shd w:val="clear" w:color="auto" w:fill="auto"/>
            <w:tcMar>
              <w:top w:w="80" w:type="dxa"/>
              <w:left w:w="80" w:type="dxa"/>
              <w:bottom w:w="80" w:type="dxa"/>
              <w:right w:w="80" w:type="dxa"/>
            </w:tcMar>
            <w:vAlign w:val="center"/>
          </w:tcPr>
          <w:p w14:paraId="768FA772"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76716C"/>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0017A4D2"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c>
          <w:tcPr>
            <w:tcW w:w="1697" w:type="dxa"/>
            <w:tcBorders>
              <w:top w:val="single" w:sz="8" w:space="0" w:color="76716C"/>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261ACF0D"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76716C"/>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6D85F97E"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6/6</w:t>
            </w:r>
          </w:p>
        </w:tc>
      </w:tr>
      <w:tr w:rsidR="0098591C" w:rsidRPr="00CD2FAE" w14:paraId="10FCBC78" w14:textId="77777777" w:rsidTr="00124E62">
        <w:trPr>
          <w:trHeight w:val="291"/>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5BEB2C54"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pt-PT"/>
              </w:rPr>
              <w:t>Hyalinized Areas</w:t>
            </w:r>
          </w:p>
        </w:tc>
        <w:tc>
          <w:tcPr>
            <w:tcW w:w="1697" w:type="dxa"/>
            <w:tcBorders>
              <w:top w:val="single" w:sz="8" w:space="0" w:color="808080"/>
              <w:left w:val="single" w:sz="8" w:space="0" w:color="76716C"/>
              <w:bottom w:val="single" w:sz="8" w:space="0" w:color="808080"/>
              <w:right w:val="single" w:sz="8" w:space="0" w:color="808080"/>
            </w:tcBorders>
            <w:shd w:val="clear" w:color="auto" w:fill="F5F5F4"/>
            <w:tcMar>
              <w:top w:w="80" w:type="dxa"/>
              <w:left w:w="80" w:type="dxa"/>
              <w:bottom w:w="80" w:type="dxa"/>
              <w:right w:w="80" w:type="dxa"/>
            </w:tcMar>
            <w:vAlign w:val="center"/>
          </w:tcPr>
          <w:p w14:paraId="681080F5"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5C302D2A"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3F418F41"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51219923"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r>
      <w:tr w:rsidR="0098591C" w:rsidRPr="00CD2FAE" w14:paraId="216AB9DA" w14:textId="77777777" w:rsidTr="00124E62">
        <w:trPr>
          <w:trHeight w:val="452"/>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4AD6F886"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en-US"/>
              </w:rPr>
              <w:lastRenderedPageBreak/>
              <w:t>Acute Inflammatory Infiltrate</w:t>
            </w:r>
          </w:p>
        </w:tc>
        <w:tc>
          <w:tcPr>
            <w:tcW w:w="1697" w:type="dxa"/>
            <w:tcBorders>
              <w:top w:val="single" w:sz="8" w:space="0" w:color="808080"/>
              <w:left w:val="single" w:sz="8" w:space="0" w:color="76716C"/>
              <w:bottom w:val="single" w:sz="8" w:space="0" w:color="808080"/>
              <w:right w:val="single" w:sz="8" w:space="0" w:color="808080"/>
            </w:tcBorders>
            <w:shd w:val="clear" w:color="auto" w:fill="auto"/>
            <w:tcMar>
              <w:top w:w="80" w:type="dxa"/>
              <w:left w:w="80" w:type="dxa"/>
              <w:bottom w:w="80" w:type="dxa"/>
              <w:right w:w="80" w:type="dxa"/>
            </w:tcMar>
            <w:vAlign w:val="center"/>
          </w:tcPr>
          <w:p w14:paraId="3408F79C"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570FE7B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18398C0F"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72BEEBD8"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r>
      <w:tr w:rsidR="0098591C" w:rsidRPr="00CD2FAE" w14:paraId="3E95062A" w14:textId="77777777" w:rsidTr="00124E62">
        <w:trPr>
          <w:trHeight w:val="452"/>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1668A7C1"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en-US"/>
              </w:rPr>
              <w:t>Chronic Inflammatory Infiltrate</w:t>
            </w:r>
          </w:p>
        </w:tc>
        <w:tc>
          <w:tcPr>
            <w:tcW w:w="1697" w:type="dxa"/>
            <w:tcBorders>
              <w:top w:val="single" w:sz="8" w:space="0" w:color="808080"/>
              <w:left w:val="single" w:sz="8" w:space="0" w:color="76716C"/>
              <w:bottom w:val="single" w:sz="8" w:space="0" w:color="808080"/>
              <w:right w:val="single" w:sz="8" w:space="0" w:color="808080"/>
            </w:tcBorders>
            <w:shd w:val="clear" w:color="auto" w:fill="F5F5F4"/>
            <w:tcMar>
              <w:top w:w="80" w:type="dxa"/>
              <w:left w:w="80" w:type="dxa"/>
              <w:bottom w:w="80" w:type="dxa"/>
              <w:right w:w="80" w:type="dxa"/>
            </w:tcMar>
            <w:vAlign w:val="center"/>
          </w:tcPr>
          <w:p w14:paraId="47F85C7F"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1E01559F"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343E744D"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5B008902"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r>
      <w:tr w:rsidR="0098591C" w:rsidRPr="00CD2FAE" w14:paraId="52289A00" w14:textId="77777777" w:rsidTr="00124E62">
        <w:trPr>
          <w:trHeight w:val="452"/>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761A5D6F"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pt-PT"/>
              </w:rPr>
              <w:t>Multinucleated Giant Cells</w:t>
            </w:r>
          </w:p>
        </w:tc>
        <w:tc>
          <w:tcPr>
            <w:tcW w:w="1697" w:type="dxa"/>
            <w:tcBorders>
              <w:top w:val="single" w:sz="8" w:space="0" w:color="808080"/>
              <w:left w:val="single" w:sz="8" w:space="0" w:color="76716C"/>
              <w:bottom w:val="single" w:sz="8" w:space="0" w:color="808080"/>
              <w:right w:val="single" w:sz="8" w:space="0" w:color="808080"/>
            </w:tcBorders>
            <w:shd w:val="clear" w:color="auto" w:fill="auto"/>
            <w:tcMar>
              <w:top w:w="80" w:type="dxa"/>
              <w:left w:w="80" w:type="dxa"/>
              <w:bottom w:w="80" w:type="dxa"/>
              <w:right w:w="80" w:type="dxa"/>
            </w:tcMar>
            <w:vAlign w:val="center"/>
          </w:tcPr>
          <w:p w14:paraId="6C7F65E8"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6E75556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265A9F26"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7D982DF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r>
      <w:tr w:rsidR="0098591C" w:rsidRPr="00CD2FAE" w14:paraId="27E62FB0" w14:textId="77777777" w:rsidTr="00124E62">
        <w:trPr>
          <w:trHeight w:val="344"/>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7AA8C53E"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pt-PT"/>
              </w:rPr>
              <w:t>Vascular Alterations</w:t>
            </w:r>
          </w:p>
        </w:tc>
        <w:tc>
          <w:tcPr>
            <w:tcW w:w="1697" w:type="dxa"/>
            <w:tcBorders>
              <w:top w:val="single" w:sz="8" w:space="0" w:color="808080"/>
              <w:left w:val="single" w:sz="8" w:space="0" w:color="76716C"/>
              <w:bottom w:val="single" w:sz="8" w:space="0" w:color="808080"/>
              <w:right w:val="single" w:sz="8" w:space="0" w:color="808080"/>
            </w:tcBorders>
            <w:shd w:val="clear" w:color="auto" w:fill="F5F5F4"/>
            <w:tcMar>
              <w:top w:w="80" w:type="dxa"/>
              <w:left w:w="80" w:type="dxa"/>
              <w:bottom w:w="80" w:type="dxa"/>
              <w:right w:w="80" w:type="dxa"/>
            </w:tcMar>
            <w:vAlign w:val="center"/>
          </w:tcPr>
          <w:p w14:paraId="37A3D42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230EED75"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2/6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0EB85CB3"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4/6</w:t>
            </w:r>
          </w:p>
        </w:tc>
        <w:tc>
          <w:tcPr>
            <w:tcW w:w="1675"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51C9058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4/6</w:t>
            </w:r>
          </w:p>
        </w:tc>
      </w:tr>
      <w:tr w:rsidR="0098591C" w:rsidRPr="00CD2FAE" w14:paraId="754F7374" w14:textId="77777777" w:rsidTr="00124E62">
        <w:trPr>
          <w:trHeight w:val="452"/>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44C04163"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en-US"/>
              </w:rPr>
              <w:t>Disorganization of Periodontal Ligament</w:t>
            </w:r>
          </w:p>
        </w:tc>
        <w:tc>
          <w:tcPr>
            <w:tcW w:w="1697" w:type="dxa"/>
            <w:tcBorders>
              <w:top w:val="single" w:sz="8" w:space="0" w:color="808080"/>
              <w:left w:val="single" w:sz="8" w:space="0" w:color="76716C"/>
              <w:bottom w:val="single" w:sz="8" w:space="0" w:color="808080"/>
              <w:right w:val="single" w:sz="8" w:space="0" w:color="808080"/>
            </w:tcBorders>
            <w:shd w:val="clear" w:color="auto" w:fill="auto"/>
            <w:tcMar>
              <w:top w:w="80" w:type="dxa"/>
              <w:left w:w="80" w:type="dxa"/>
              <w:bottom w:w="80" w:type="dxa"/>
              <w:right w:w="80" w:type="dxa"/>
            </w:tcMar>
            <w:vAlign w:val="center"/>
          </w:tcPr>
          <w:p w14:paraId="1E9953A0"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7B29E0BC"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1/6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109F94AB"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2/6</w:t>
            </w:r>
          </w:p>
        </w:tc>
        <w:tc>
          <w:tcPr>
            <w:tcW w:w="1675"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55172E13"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r>
    </w:tbl>
    <w:p w14:paraId="040D2035" w14:textId="77777777" w:rsidR="0098591C" w:rsidRDefault="0098591C" w:rsidP="0098591C">
      <w:pPr>
        <w:pStyle w:val="Body"/>
        <w:jc w:val="center"/>
        <w:rPr>
          <w:rFonts w:ascii="Arial" w:hAnsi="Arial" w:cs="Arial"/>
          <w:sz w:val="20"/>
          <w:szCs w:val="20"/>
        </w:rPr>
      </w:pPr>
      <w:r w:rsidRPr="00CD2FAE">
        <w:rPr>
          <w:rStyle w:val="fadein4f9by7"/>
          <w:rFonts w:ascii="Arial" w:hAnsi="Arial" w:cs="Arial"/>
          <w:sz w:val="20"/>
          <w:szCs w:val="20"/>
        </w:rPr>
        <w:br/>
      </w:r>
    </w:p>
    <w:p w14:paraId="1C1D2AB5" w14:textId="77777777" w:rsidR="00CD2FAE" w:rsidRDefault="00CD2FAE" w:rsidP="00CD2FAE">
      <w:pPr>
        <w:pStyle w:val="Body"/>
        <w:spacing w:line="360" w:lineRule="auto"/>
        <w:jc w:val="both"/>
        <w:rPr>
          <w:rFonts w:ascii="Arial" w:hAnsi="Arial" w:cs="Arial"/>
          <w:sz w:val="20"/>
          <w:szCs w:val="20"/>
          <w:lang w:val="en-US"/>
        </w:rPr>
      </w:pPr>
    </w:p>
    <w:p w14:paraId="7EF22BEC" w14:textId="77777777" w:rsidR="0098591C" w:rsidRDefault="0098591C" w:rsidP="00CD2FAE">
      <w:pPr>
        <w:pStyle w:val="Body"/>
        <w:spacing w:line="360" w:lineRule="auto"/>
        <w:jc w:val="both"/>
        <w:rPr>
          <w:rFonts w:ascii="Arial" w:hAnsi="Arial" w:cs="Arial"/>
          <w:sz w:val="20"/>
          <w:szCs w:val="20"/>
          <w:lang w:val="en-US"/>
        </w:rPr>
      </w:pPr>
    </w:p>
    <w:p w14:paraId="4545D3E7" w14:textId="63002C3E" w:rsidR="004A0EA5" w:rsidRDefault="00813C5B" w:rsidP="00CD2FAE">
      <w:pPr>
        <w:pStyle w:val="Body"/>
        <w:spacing w:line="360" w:lineRule="auto"/>
        <w:jc w:val="both"/>
        <w:rPr>
          <w:rFonts w:ascii="Arial" w:hAnsi="Arial" w:cs="Arial"/>
          <w:sz w:val="20"/>
          <w:szCs w:val="20"/>
          <w:lang w:val="en-US"/>
        </w:rPr>
      </w:pPr>
      <w:r w:rsidRPr="004A0EA5">
        <w:rPr>
          <w:rFonts w:ascii="Arial" w:hAnsi="Arial" w:cs="Arial"/>
          <w:noProof/>
          <w:sz w:val="20"/>
          <w:szCs w:val="20"/>
          <w:lang w:val="en-US"/>
        </w:rPr>
        <w:drawing>
          <wp:anchor distT="0" distB="0" distL="114300" distR="114300" simplePos="0" relativeHeight="251659264" behindDoc="1" locked="0" layoutInCell="1" allowOverlap="1" wp14:anchorId="2F27919A" wp14:editId="03EDD189">
            <wp:simplePos x="0" y="0"/>
            <wp:positionH relativeFrom="column">
              <wp:posOffset>120015</wp:posOffset>
            </wp:positionH>
            <wp:positionV relativeFrom="paragraph">
              <wp:posOffset>266700</wp:posOffset>
            </wp:positionV>
            <wp:extent cx="5207000" cy="5817235"/>
            <wp:effectExtent l="0" t="0" r="0" b="0"/>
            <wp:wrapTight wrapText="bothSides">
              <wp:wrapPolygon edited="0">
                <wp:start x="0" y="0"/>
                <wp:lineTo x="0" y="21503"/>
                <wp:lineTo x="21495" y="21503"/>
                <wp:lineTo x="21495" y="0"/>
                <wp:lineTo x="0" y="0"/>
              </wp:wrapPolygon>
            </wp:wrapTight>
            <wp:docPr id="1849040698" name="Imagem 2" descr="Padrão do plano de fu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40698" name="Imagem 2" descr="Padrão do plano de fundo&#10;&#10;O conteúdo gerado por IA pode estar incorre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79" t="7983" r="12685" b="33477"/>
                    <a:stretch>
                      <a:fillRect/>
                    </a:stretch>
                  </pic:blipFill>
                  <pic:spPr bwMode="auto">
                    <a:xfrm>
                      <a:off x="0" y="0"/>
                      <a:ext cx="5207000" cy="581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F883E" w14:textId="60AF109C" w:rsidR="004A0EA5" w:rsidRDefault="004A0EA5" w:rsidP="00CD2FAE">
      <w:pPr>
        <w:pStyle w:val="Body"/>
        <w:spacing w:line="360" w:lineRule="auto"/>
        <w:jc w:val="both"/>
        <w:rPr>
          <w:rFonts w:ascii="Arial" w:hAnsi="Arial" w:cs="Arial"/>
          <w:sz w:val="20"/>
          <w:szCs w:val="20"/>
          <w:lang w:val="en-US"/>
        </w:rPr>
      </w:pPr>
    </w:p>
    <w:p w14:paraId="733CA43E" w14:textId="18FA162D" w:rsidR="00CD2FAE" w:rsidRPr="00D36883" w:rsidRDefault="00CD2FAE" w:rsidP="00CD2FAE">
      <w:pPr>
        <w:pStyle w:val="Body"/>
        <w:spacing w:line="360" w:lineRule="auto"/>
        <w:jc w:val="both"/>
        <w:rPr>
          <w:rFonts w:ascii="Arial" w:hAnsi="Arial" w:cs="Arial"/>
          <w:sz w:val="20"/>
          <w:szCs w:val="20"/>
          <w:lang w:val="en-US"/>
        </w:rPr>
      </w:pPr>
      <w:r w:rsidRPr="00813C5B">
        <w:rPr>
          <w:rFonts w:ascii="Arial" w:hAnsi="Arial" w:cs="Arial"/>
          <w:sz w:val="20"/>
          <w:szCs w:val="20"/>
          <w:lang w:val="en-US"/>
        </w:rPr>
        <w:t xml:space="preserve">Figure </w:t>
      </w:r>
      <w:r w:rsidR="00910DE5" w:rsidRPr="00813C5B">
        <w:rPr>
          <w:rFonts w:ascii="Arial" w:hAnsi="Arial" w:cs="Arial"/>
          <w:sz w:val="20"/>
          <w:szCs w:val="20"/>
          <w:lang w:val="en-US"/>
        </w:rPr>
        <w:t>2</w:t>
      </w:r>
      <w:r w:rsidRPr="00813C5B">
        <w:rPr>
          <w:rFonts w:ascii="Arial" w:hAnsi="Arial" w:cs="Arial"/>
          <w:sz w:val="20"/>
          <w:szCs w:val="20"/>
          <w:lang w:val="en-US"/>
        </w:rPr>
        <w:t xml:space="preserve">. </w:t>
      </w:r>
      <w:r w:rsidR="00DD46DE" w:rsidRPr="00813C5B">
        <w:rPr>
          <w:rFonts w:ascii="Arial" w:hAnsi="Arial" w:cs="Arial"/>
          <w:sz w:val="20"/>
          <w:szCs w:val="20"/>
          <w:lang w:val="en-US"/>
        </w:rPr>
        <w:t xml:space="preserve">Photomicrographs </w:t>
      </w:r>
      <w:r w:rsidRPr="00813C5B">
        <w:rPr>
          <w:rFonts w:ascii="Arial" w:hAnsi="Arial" w:cs="Arial"/>
          <w:sz w:val="20"/>
          <w:szCs w:val="20"/>
          <w:lang w:val="en-US"/>
        </w:rPr>
        <w:t>of dental and periodontal structure of animals from different experimental groups. A. Periodontal tissues and dental structure with normal appearance. Periodontal ligament (</w:t>
      </w:r>
      <w:r w:rsidR="00910DE5" w:rsidRPr="00813C5B">
        <w:rPr>
          <w:rFonts w:ascii="Arial" w:hAnsi="Arial" w:cs="Arial"/>
          <w:sz w:val="20"/>
          <w:szCs w:val="20"/>
          <w:lang w:val="en-US"/>
        </w:rPr>
        <w:t>PL</w:t>
      </w:r>
      <w:r w:rsidRPr="00813C5B">
        <w:rPr>
          <w:rFonts w:ascii="Arial" w:hAnsi="Arial" w:cs="Arial"/>
          <w:sz w:val="20"/>
          <w:szCs w:val="20"/>
          <w:lang w:val="en-US"/>
        </w:rPr>
        <w:t>), cementum (arrow), dentin (D), alveolar bone (AB); B. Disorganized periodontal ligament (DPL), alveolar bone (AB), hyaline area (asterisk), blood vessels (arrowhead); C. Disorganized periodontal ligament (DPL), dentin (D), areas of external root resorption (</w:t>
      </w:r>
      <w:r w:rsidR="00813C5B" w:rsidRPr="00813C5B">
        <w:rPr>
          <w:rFonts w:ascii="Arial" w:hAnsi="Arial" w:cs="Arial"/>
          <w:sz w:val="20"/>
          <w:szCs w:val="20"/>
          <w:lang w:val="en-US"/>
        </w:rPr>
        <w:t>arrow</w:t>
      </w:r>
      <w:r w:rsidRPr="00813C5B">
        <w:rPr>
          <w:rFonts w:ascii="Arial" w:hAnsi="Arial" w:cs="Arial"/>
          <w:sz w:val="20"/>
          <w:szCs w:val="20"/>
          <w:lang w:val="en-US"/>
        </w:rPr>
        <w:t>); D. Periodontal ligament (P</w:t>
      </w:r>
      <w:r w:rsidR="00813C5B" w:rsidRPr="00813C5B">
        <w:rPr>
          <w:rFonts w:ascii="Arial" w:hAnsi="Arial" w:cs="Arial"/>
          <w:sz w:val="20"/>
          <w:szCs w:val="20"/>
          <w:lang w:val="en-US"/>
        </w:rPr>
        <w:t>L</w:t>
      </w:r>
      <w:r w:rsidRPr="00813C5B">
        <w:rPr>
          <w:rFonts w:ascii="Arial" w:hAnsi="Arial" w:cs="Arial"/>
          <w:sz w:val="20"/>
          <w:szCs w:val="20"/>
          <w:lang w:val="en-US"/>
        </w:rPr>
        <w:t>)</w:t>
      </w:r>
      <w:r w:rsidR="00813C5B" w:rsidRPr="00813C5B">
        <w:rPr>
          <w:rFonts w:ascii="Arial" w:hAnsi="Arial" w:cs="Arial"/>
          <w:sz w:val="20"/>
          <w:szCs w:val="20"/>
          <w:lang w:val="en-US"/>
        </w:rPr>
        <w:t>, hyperemia (arrowhead)</w:t>
      </w:r>
      <w:r w:rsidRPr="00813C5B">
        <w:rPr>
          <w:rFonts w:ascii="Arial" w:hAnsi="Arial" w:cs="Arial"/>
          <w:sz w:val="20"/>
          <w:szCs w:val="20"/>
          <w:lang w:val="en-US"/>
        </w:rPr>
        <w:t>; E. Hyperemia (*), disorganized periodontal ligament (D</w:t>
      </w:r>
      <w:r w:rsidR="00813C5B" w:rsidRPr="00813C5B">
        <w:rPr>
          <w:rFonts w:ascii="Arial" w:hAnsi="Arial" w:cs="Arial"/>
          <w:sz w:val="20"/>
          <w:szCs w:val="20"/>
          <w:lang w:val="en-US"/>
        </w:rPr>
        <w:t>PL</w:t>
      </w:r>
      <w:r w:rsidRPr="00813C5B">
        <w:rPr>
          <w:rFonts w:ascii="Arial" w:hAnsi="Arial" w:cs="Arial"/>
          <w:sz w:val="20"/>
          <w:szCs w:val="20"/>
          <w:lang w:val="en-US"/>
        </w:rPr>
        <w:t>); F. Periodontal ligament (</w:t>
      </w:r>
      <w:r w:rsidR="00910DE5" w:rsidRPr="00813C5B">
        <w:rPr>
          <w:rFonts w:ascii="Arial" w:hAnsi="Arial" w:cs="Arial"/>
          <w:sz w:val="20"/>
          <w:szCs w:val="20"/>
          <w:lang w:val="en-US"/>
        </w:rPr>
        <w:t>PL</w:t>
      </w:r>
      <w:r w:rsidRPr="00813C5B">
        <w:rPr>
          <w:rFonts w:ascii="Arial" w:hAnsi="Arial" w:cs="Arial"/>
          <w:sz w:val="20"/>
          <w:szCs w:val="20"/>
          <w:lang w:val="en-US"/>
        </w:rPr>
        <w:t>), dentin (D), alveolar bone (A</w:t>
      </w:r>
      <w:r w:rsidR="00813C5B" w:rsidRPr="00813C5B">
        <w:rPr>
          <w:rFonts w:ascii="Arial" w:hAnsi="Arial" w:cs="Arial"/>
          <w:sz w:val="20"/>
          <w:szCs w:val="20"/>
          <w:lang w:val="en-US"/>
        </w:rPr>
        <w:t>B</w:t>
      </w:r>
      <w:r w:rsidRPr="00813C5B">
        <w:rPr>
          <w:rFonts w:ascii="Arial" w:hAnsi="Arial" w:cs="Arial"/>
          <w:sz w:val="20"/>
          <w:szCs w:val="20"/>
          <w:lang w:val="en-US"/>
        </w:rPr>
        <w:t>), multinucleated giant cells - osteoclasts (arrows). Staining = Hematoxylin and Eosin.</w:t>
      </w:r>
    </w:p>
    <w:p w14:paraId="47DC8DE7" w14:textId="77777777" w:rsidR="00CD2FAE" w:rsidRDefault="00CD2FAE" w:rsidP="00CD2FAE">
      <w:pPr>
        <w:pStyle w:val="Body"/>
        <w:spacing w:line="360" w:lineRule="auto"/>
        <w:jc w:val="both"/>
        <w:rPr>
          <w:rFonts w:ascii="Arial" w:hAnsi="Arial" w:cs="Arial"/>
          <w:sz w:val="20"/>
          <w:szCs w:val="20"/>
          <w:lang w:val="en-US"/>
        </w:rPr>
      </w:pPr>
    </w:p>
    <w:p w14:paraId="63512D41" w14:textId="77777777" w:rsidR="00CD2FAE" w:rsidRDefault="00CD2FAE">
      <w:pPr>
        <w:pStyle w:val="Body"/>
        <w:spacing w:line="360" w:lineRule="auto"/>
        <w:ind w:firstLine="708"/>
        <w:jc w:val="both"/>
        <w:rPr>
          <w:rFonts w:ascii="Arial" w:hAnsi="Arial" w:cs="Arial"/>
          <w:sz w:val="20"/>
          <w:szCs w:val="20"/>
          <w:lang w:val="en-US"/>
        </w:rPr>
      </w:pPr>
    </w:p>
    <w:p w14:paraId="4BC255DC" w14:textId="77777777" w:rsidR="00CD2FAE" w:rsidRPr="00CD2FAE" w:rsidRDefault="00CD2FAE">
      <w:pPr>
        <w:pStyle w:val="Body"/>
        <w:spacing w:line="360" w:lineRule="auto"/>
        <w:ind w:firstLine="708"/>
        <w:jc w:val="both"/>
        <w:rPr>
          <w:rFonts w:ascii="Arial" w:hAnsi="Arial" w:cs="Arial"/>
          <w:sz w:val="20"/>
          <w:szCs w:val="20"/>
          <w:lang w:val="en-US"/>
        </w:rPr>
      </w:pPr>
    </w:p>
    <w:bookmarkEnd w:id="8"/>
    <w:bookmarkEnd w:id="9"/>
    <w:p w14:paraId="2FAA4B56" w14:textId="77777777" w:rsidR="00B8361F" w:rsidRPr="00D36883" w:rsidRDefault="00B8361F">
      <w:pPr>
        <w:pStyle w:val="Body"/>
        <w:jc w:val="center"/>
        <w:rPr>
          <w:rFonts w:ascii="Arial" w:hAnsi="Arial" w:cs="Arial"/>
          <w:sz w:val="20"/>
          <w:szCs w:val="20"/>
          <w:lang w:val="en-US"/>
        </w:rPr>
      </w:pPr>
    </w:p>
    <w:p w14:paraId="46E3F33A" w14:textId="57D84769" w:rsidR="002B4DD0" w:rsidRPr="00D36883" w:rsidRDefault="00DB3882" w:rsidP="00CD2FAE">
      <w:pPr>
        <w:pStyle w:val="Body"/>
        <w:spacing w:line="480" w:lineRule="auto"/>
        <w:outlineLvl w:val="0"/>
        <w:rPr>
          <w:rStyle w:val="Strong"/>
          <w:rFonts w:ascii="Arial" w:eastAsia="Arial Unicode MS" w:hAnsi="Arial" w:cs="Arial"/>
          <w:sz w:val="20"/>
          <w:szCs w:val="20"/>
          <w:lang w:val="en-US"/>
        </w:rPr>
      </w:pPr>
      <w:r>
        <w:rPr>
          <w:rStyle w:val="Strong"/>
          <w:rFonts w:ascii="Arial" w:eastAsia="Arial Unicode MS" w:hAnsi="Arial" w:cs="Arial"/>
          <w:sz w:val="20"/>
          <w:szCs w:val="20"/>
          <w:lang w:val="de-DE"/>
        </w:rPr>
        <w:t xml:space="preserve">4. </w:t>
      </w:r>
      <w:r w:rsidRPr="00CD2FAE">
        <w:rPr>
          <w:rStyle w:val="Strong"/>
          <w:rFonts w:ascii="Arial" w:eastAsia="Arial Unicode MS" w:hAnsi="Arial" w:cs="Arial"/>
          <w:sz w:val="20"/>
          <w:szCs w:val="20"/>
          <w:lang w:val="de-DE"/>
        </w:rPr>
        <w:t xml:space="preserve">DISCUSSION </w:t>
      </w:r>
    </w:p>
    <w:p w14:paraId="66441947" w14:textId="5E683065" w:rsidR="002B4DD0"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The present study investigated how hypothalamic obesity, when associated with induced tooth movement (ITM), affects the histological structure of periodontal tissues in rats. The effectiveness of the MSG</w:t>
      </w:r>
      <w:r w:rsidR="004D0FDC">
        <w:rPr>
          <w:rFonts w:ascii="Arial" w:hAnsi="Arial" w:cs="Arial"/>
          <w:sz w:val="20"/>
          <w:szCs w:val="20"/>
          <w:lang w:val="en-US"/>
        </w:rPr>
        <w:t xml:space="preserve"> </w:t>
      </w:r>
      <w:r w:rsidRPr="00CD2FAE">
        <w:rPr>
          <w:rFonts w:ascii="Arial" w:hAnsi="Arial" w:cs="Arial"/>
          <w:sz w:val="20"/>
          <w:szCs w:val="20"/>
          <w:lang w:val="en-US"/>
        </w:rPr>
        <w:t>induced hypothalamic obesity model was confirmed by body parameter analysis, as the MSG and MSG+ITM groups exhibited a significant increase in Lee index and fat accumulation in retroperitoneal and perigonadal regions compared to controls. These findings align with previous studies associating neonatal administration of monosodium glutamate with hypothalamic dysfunction and obesity development. This occurs because MSG damages neurons in the arcuate nucleus of the hypothalamus, leading to impaired energy homeostasis, defective satiety regulation, hyperphagia, and resistance to insulin and leptin (Von Diemen et al., 2006; Balbo et al., 2007; Sagae et al., 2011; Jais &amp; Brüning, 2017).</w:t>
      </w:r>
    </w:p>
    <w:p w14:paraId="5D8AAC42" w14:textId="4F6027AF" w:rsidR="002B4DD0"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Analysis of orthodontic tooth movement revealed that obese animals (MSG+ITM) showed a significantly reduced rate of movement compared to non-obese animals (CTL+ITM). Obesity is often associated with increased bone density and dysregulation of key molecules involved in bone remodeling, such as leptin, RANKL (</w:t>
      </w:r>
      <w:r w:rsidRPr="005C0A37">
        <w:rPr>
          <w:rFonts w:ascii="Arial" w:hAnsi="Arial" w:cs="Arial"/>
          <w:sz w:val="20"/>
          <w:szCs w:val="20"/>
          <w:lang w:val="en-US"/>
        </w:rPr>
        <w:t xml:space="preserve">receptor activator of nuclear factor kappa-B ligand), </w:t>
      </w:r>
      <w:proofErr w:type="spellStart"/>
      <w:r w:rsidRPr="005C0A37">
        <w:rPr>
          <w:rFonts w:ascii="Arial" w:hAnsi="Arial" w:cs="Arial"/>
          <w:sz w:val="20"/>
          <w:szCs w:val="20"/>
          <w:lang w:val="en-US"/>
        </w:rPr>
        <w:t>osteoprotegerin</w:t>
      </w:r>
      <w:proofErr w:type="spellEnd"/>
      <w:r w:rsidRPr="005C0A37">
        <w:rPr>
          <w:rFonts w:ascii="Arial" w:hAnsi="Arial" w:cs="Arial"/>
          <w:sz w:val="20"/>
          <w:szCs w:val="20"/>
          <w:lang w:val="en-US"/>
        </w:rPr>
        <w:t xml:space="preserve"> (OPG), and interleukin-6 (IL-6) (Nishimura et al., 2009). Another contributing factor is the reduction in bone microcirculation observed in obese individuals, which limits the delivery of essential nutrients and growth factors, thereby impairing bone remodeling and slowing tooth movement (</w:t>
      </w:r>
      <w:r w:rsidR="00A65829" w:rsidRPr="005C0A37">
        <w:rPr>
          <w:rFonts w:ascii="Arial" w:hAnsi="Arial" w:cs="Arial"/>
          <w:sz w:val="20"/>
          <w:szCs w:val="20"/>
          <w:lang w:val="en-US"/>
        </w:rPr>
        <w:t>Ye et al., 2007</w:t>
      </w:r>
      <w:r w:rsidRPr="005C0A37">
        <w:rPr>
          <w:rFonts w:ascii="Arial" w:hAnsi="Arial" w:cs="Arial"/>
          <w:sz w:val="20"/>
          <w:szCs w:val="20"/>
          <w:lang w:val="en-US"/>
        </w:rPr>
        <w:t>).</w:t>
      </w:r>
      <w:r w:rsidR="0090355A">
        <w:rPr>
          <w:rFonts w:ascii="Arial" w:hAnsi="Arial" w:cs="Arial"/>
          <w:sz w:val="20"/>
          <w:szCs w:val="20"/>
          <w:lang w:val="en-US"/>
        </w:rPr>
        <w:t xml:space="preserve"> </w:t>
      </w:r>
    </w:p>
    <w:p w14:paraId="2BFF364C" w14:textId="77777777" w:rsidR="002B4DD0" w:rsidRPr="00CD2FAE" w:rsidRDefault="00517DAC" w:rsidP="00CD2FAE">
      <w:pPr>
        <w:pStyle w:val="NormalWeb"/>
        <w:spacing w:before="0" w:after="0"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t xml:space="preserve">This vascular impairment was evident in the present study: one-third of the CTL+ITM animals and all animals in the MSG and MSG+ITM groups showed signs of compromised </w:t>
      </w:r>
      <w:r w:rsidRPr="00CD2FAE">
        <w:rPr>
          <w:rFonts w:ascii="Arial" w:hAnsi="Arial" w:cs="Arial"/>
          <w:sz w:val="20"/>
          <w:szCs w:val="20"/>
          <w:lang w:val="en-US"/>
        </w:rPr>
        <w:lastRenderedPageBreak/>
        <w:t>periodontal vascular response (Ferrante, 2007; Heredia et al., 2012). Additionally, obesity has been linked to the exacerbated activation of the alternative and lectin pathways of the complement system, leading to endothelial dysfunction, increased vascular permeability, and reduced bone microcirculation (Shim et al., 2020). The activation of anaphylatoxins C3a and C5a promotes M1-type pro-inflammatory macrophages, which intensify bone resorption and periodontal inflammation (</w:t>
      </w:r>
      <w:proofErr w:type="spellStart"/>
      <w:r w:rsidRPr="00CD2FAE">
        <w:rPr>
          <w:rFonts w:ascii="Arial" w:hAnsi="Arial" w:cs="Arial"/>
          <w:sz w:val="20"/>
          <w:szCs w:val="20"/>
          <w:lang w:val="en-US"/>
        </w:rPr>
        <w:t>Hajishengallis</w:t>
      </w:r>
      <w:proofErr w:type="spellEnd"/>
      <w:r w:rsidRPr="00CD2FAE">
        <w:rPr>
          <w:rFonts w:ascii="Arial" w:hAnsi="Arial" w:cs="Arial"/>
          <w:sz w:val="20"/>
          <w:szCs w:val="20"/>
          <w:lang w:val="en-US"/>
        </w:rPr>
        <w:t xml:space="preserve"> &amp; </w:t>
      </w:r>
      <w:proofErr w:type="spellStart"/>
      <w:r w:rsidRPr="00CD2FAE">
        <w:rPr>
          <w:rFonts w:ascii="Arial" w:hAnsi="Arial" w:cs="Arial"/>
          <w:sz w:val="20"/>
          <w:szCs w:val="20"/>
          <w:lang w:val="en-US"/>
        </w:rPr>
        <w:t>Lambris</w:t>
      </w:r>
      <w:proofErr w:type="spellEnd"/>
      <w:r w:rsidRPr="00CD2FAE">
        <w:rPr>
          <w:rFonts w:ascii="Arial" w:hAnsi="Arial" w:cs="Arial"/>
          <w:sz w:val="20"/>
          <w:szCs w:val="20"/>
          <w:lang w:val="en-US"/>
        </w:rPr>
        <w:t>, 2010). These processes disrupt the remodeling of the periodontal ligament, contributing to the development of hyalinized areas and multinucleated giant cells that may further hinder orthodontic movement (</w:t>
      </w:r>
      <w:proofErr w:type="spellStart"/>
      <w:r w:rsidRPr="00CD2FAE">
        <w:rPr>
          <w:rFonts w:ascii="Arial" w:hAnsi="Arial" w:cs="Arial"/>
          <w:sz w:val="20"/>
          <w:szCs w:val="20"/>
          <w:lang w:val="en-US"/>
        </w:rPr>
        <w:t>Hajishengallis</w:t>
      </w:r>
      <w:proofErr w:type="spellEnd"/>
      <w:r w:rsidRPr="00CD2FAE">
        <w:rPr>
          <w:rFonts w:ascii="Arial" w:hAnsi="Arial" w:cs="Arial"/>
          <w:sz w:val="20"/>
          <w:szCs w:val="20"/>
          <w:lang w:val="en-US"/>
        </w:rPr>
        <w:t xml:space="preserve"> et al., 2019).</w:t>
      </w:r>
    </w:p>
    <w:p w14:paraId="78D2BEAC" w14:textId="77777777" w:rsidR="002B4DD0"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In the analysis of acute and chronic inflammatory processes, none of the experimental groups showed evidence of inflammatory cell infiltration. This condition may be related to the interval between the application of induced tooth movement (ITM) and the euthanasia of the animals. According to Bosio and Liu (2010), orthodontic tooth movement occurs in three phases. First, during the pressure phase, initial compression of the periodontal ligament occurs within seconds. This is followed by the lag phase, characterized by a temporary cessation of movement due to ligament hyalinization, which may last from 7 to 14 days. Finally, in the movement phase, bone remodeling intensifies, allowing for effective tooth displacement. This sequence reflects the biological adaptation of the periodontium to orthodontic stimuli. As tissue remodeling progresses, inflammation subsides and tissue repair processes become predominant, with increased osteogenesis and reduced inflammatory response (Melsen, 2001). Therefore, if histological analysis is performed after this initial phase, inflammatory infiltrates may no longer be detectable, as the repair and remodeling processes are already underway (Huang &amp; Saito, 2007; Teixeira &amp; Kuo, 2016).</w:t>
      </w:r>
    </w:p>
    <w:p w14:paraId="2CE3E868" w14:textId="4A0511B4" w:rsidR="00BB3DF3"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 xml:space="preserve">In the present study, animals in the MSG+ITM group showed more hyalinized areas than those in the CTL+ITM group, indicating that the experimental tooth movement was effective in exerting force on the periodontal tissues. These areas represent an important experimental and biological finding. During ITM, a biological response occurs in the periodontal ligament and alveolar bone, characterized as an aseptic inflammatory process (Krishnan &amp; Davidovitch, 2006). The application of orthodontic force compresses blood vessels in the ligament, leading to local hypoxia and metabolic stress on the resident cells, which may trigger their migration or death </w:t>
      </w:r>
      <w:r w:rsidRPr="00CD2FAE">
        <w:rPr>
          <w:rFonts w:ascii="Arial" w:hAnsi="Arial" w:cs="Arial"/>
          <w:sz w:val="20"/>
          <w:szCs w:val="20"/>
          <w:lang w:val="en-US"/>
        </w:rPr>
        <w:lastRenderedPageBreak/>
        <w:t xml:space="preserve">(Meikle, 2007). </w:t>
      </w:r>
      <w:r w:rsidR="00BB3DF3" w:rsidRPr="00BB3DF3">
        <w:rPr>
          <w:rFonts w:ascii="Arial" w:hAnsi="Arial" w:cs="Arial"/>
          <w:sz w:val="20"/>
          <w:szCs w:val="20"/>
          <w:lang w:val="en-US"/>
        </w:rPr>
        <w:t>Hyalinization can be defined as deposition of homogeneous, eosinophilic, glassy material, associated with vascular changes (Cuoghi et al., 2018).</w:t>
      </w:r>
    </w:p>
    <w:p w14:paraId="6F94EB4D" w14:textId="77777777" w:rsidR="002B4DD0"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External root resorption was observed in one-third of the CTL+ITM animals and in all MSG+ITM animals. It is well established that teeth subjected to orthodontic forces are more prone to root resorption than those not subjected to such forces, which supports the presence of this condition in the ITM groups (</w:t>
      </w:r>
      <w:proofErr w:type="spellStart"/>
      <w:r w:rsidRPr="00CD2FAE">
        <w:rPr>
          <w:rFonts w:ascii="Arial" w:hAnsi="Arial" w:cs="Arial"/>
          <w:sz w:val="20"/>
          <w:szCs w:val="20"/>
          <w:lang w:val="en-US"/>
        </w:rPr>
        <w:t>Topkara</w:t>
      </w:r>
      <w:proofErr w:type="spellEnd"/>
      <w:r w:rsidRPr="00CD2FAE">
        <w:rPr>
          <w:rFonts w:ascii="Arial" w:hAnsi="Arial" w:cs="Arial"/>
          <w:sz w:val="20"/>
          <w:szCs w:val="20"/>
          <w:lang w:val="en-US"/>
        </w:rPr>
        <w:t>, 2011). Notably, resorption was more frequent in the obese group undergoing tooth movement (MSG+ITM). Obesity impairs bone homeostasis by decreasing osteoblastic activity and increasing osteoclastic activity, resulting in an imbalance in bone remodeling (Jais &amp; Brüning, 2017; Ferrante, 2007). This imbalance may explain the greater severity of resorption observed in the obese group. Moreover, chronically inflamed tissues may respond more aggressively to mechanical stimuli such as ITM, further intensifying resorptive processes (Huang &amp; Saito, 2007; Teixeira &amp; Kuo, 2016).</w:t>
      </w:r>
    </w:p>
    <w:p w14:paraId="3F13CEBA" w14:textId="77777777" w:rsidR="002B4DD0" w:rsidRPr="00D36883" w:rsidRDefault="00517DAC" w:rsidP="00CD2FAE">
      <w:pPr>
        <w:pStyle w:val="Body"/>
        <w:spacing w:line="480" w:lineRule="auto"/>
        <w:ind w:firstLine="567"/>
        <w:jc w:val="both"/>
        <w:rPr>
          <w:rStyle w:val="fadein4f9by7"/>
          <w:rFonts w:ascii="Arial" w:hAnsi="Arial" w:cs="Arial"/>
          <w:sz w:val="20"/>
          <w:szCs w:val="20"/>
          <w:lang w:val="en-US"/>
        </w:rPr>
      </w:pPr>
      <w:r w:rsidRPr="00CD2FAE">
        <w:rPr>
          <w:rFonts w:ascii="Arial" w:hAnsi="Arial" w:cs="Arial"/>
          <w:sz w:val="20"/>
          <w:szCs w:val="20"/>
          <w:lang w:val="en-US"/>
        </w:rPr>
        <w:t>Multinucleated giant cells were observed on the root surface in half of the MSG+ITM animals, but were absent in all other groups. These cells correspond to osteoclasts and odontoclasts, which mediate the resorption of bone and dental tissues, respectively. Their activity depends on the M-CSF/RANKL/RANK signaling system, which is critical for differentiation and resorptive function (</w:t>
      </w:r>
      <w:proofErr w:type="spellStart"/>
      <w:r w:rsidRPr="00CD2FAE">
        <w:rPr>
          <w:rFonts w:ascii="Arial" w:hAnsi="Arial" w:cs="Arial"/>
          <w:sz w:val="20"/>
          <w:szCs w:val="20"/>
          <w:lang w:val="en-US"/>
        </w:rPr>
        <w:t>Graunaite</w:t>
      </w:r>
      <w:proofErr w:type="spellEnd"/>
      <w:r w:rsidRPr="00CD2FAE">
        <w:rPr>
          <w:rFonts w:ascii="Arial" w:hAnsi="Arial" w:cs="Arial"/>
          <w:sz w:val="20"/>
          <w:szCs w:val="20"/>
          <w:lang w:val="en-US"/>
        </w:rPr>
        <w:t xml:space="preserve"> et al., 2012; Taubman et al., 2005). As previously noted, obesity is associated with a chronic inflammatory state marked by elevated levels of pro-resorptive cytokines—TNF-α, IL-1β, IL-6, and RANKL—which enhance osteoclast and odontoclast activation (Feghali &amp; Wright, 1997; Furman et al., 2019). This pro-inflammatory environment likely accounts for the greater presence of multinucleated giant cells observed in the obese group, as it promotes both bone and dental tissue resorption.</w:t>
      </w:r>
    </w:p>
    <w:p w14:paraId="75EE82D2" w14:textId="77777777" w:rsidR="002B4DD0" w:rsidRPr="00D36883" w:rsidRDefault="00517DAC" w:rsidP="00CD2FAE">
      <w:pPr>
        <w:pStyle w:val="Body"/>
        <w:spacing w:line="480" w:lineRule="auto"/>
        <w:ind w:firstLine="567"/>
        <w:jc w:val="both"/>
        <w:rPr>
          <w:rStyle w:val="fadein4f9by7"/>
          <w:rFonts w:ascii="Arial" w:hAnsi="Arial" w:cs="Arial"/>
          <w:sz w:val="20"/>
          <w:szCs w:val="20"/>
          <w:lang w:val="en-US"/>
        </w:rPr>
      </w:pPr>
      <w:r w:rsidRPr="00CD2FAE">
        <w:rPr>
          <w:rFonts w:ascii="Arial" w:hAnsi="Arial" w:cs="Arial"/>
          <w:sz w:val="20"/>
          <w:szCs w:val="20"/>
          <w:lang w:val="en-US"/>
        </w:rPr>
        <w:t xml:space="preserve">Therefore, within the limitations of the present study, it is observed that hypothalamic obesity associated with induced tooth movement exacerbates periodontal alterations, as evidenced by the increased hyalinized areas, external root resorption, and presence of multinucleated giant cells, indicating an imbalance in bone remodeling and impairment of microcirculation. Although further studies are necessary to clarify the need for specific clinical approaches in orthodontic planning for obese patients, the findings of this study provide relevant insights by highlighting the systemic impact of obesity on periodontal tissues. These results may </w:t>
      </w:r>
      <w:r w:rsidRPr="00CD2FAE">
        <w:rPr>
          <w:rFonts w:ascii="Arial" w:hAnsi="Arial" w:cs="Arial"/>
          <w:sz w:val="20"/>
          <w:szCs w:val="20"/>
          <w:lang w:val="en-US"/>
        </w:rPr>
        <w:lastRenderedPageBreak/>
        <w:t>contribute to the development of more individualized therapeutic strategies, aiming for greater safety and efficacy in orthodontic treatments for patients with metabolic dysfunctions.</w:t>
      </w:r>
    </w:p>
    <w:p w14:paraId="5A1D968B" w14:textId="77777777" w:rsidR="002B4DD0" w:rsidRPr="00CD2FAE" w:rsidRDefault="002B4DD0" w:rsidP="00CD2FAE">
      <w:pPr>
        <w:pStyle w:val="Body"/>
        <w:spacing w:line="480" w:lineRule="auto"/>
        <w:ind w:firstLine="567"/>
        <w:jc w:val="both"/>
        <w:rPr>
          <w:rFonts w:ascii="Arial" w:hAnsi="Arial" w:cs="Arial"/>
          <w:sz w:val="20"/>
          <w:szCs w:val="20"/>
          <w:lang w:val="en-US"/>
        </w:rPr>
      </w:pPr>
    </w:p>
    <w:p w14:paraId="3C252DD6" w14:textId="1F0B5979" w:rsidR="002B4DD0" w:rsidRPr="00C62C1E" w:rsidRDefault="00DB3882" w:rsidP="00CD2FAE">
      <w:pPr>
        <w:pStyle w:val="Heading1"/>
        <w:spacing w:before="0" w:after="0" w:line="480" w:lineRule="auto"/>
        <w:rPr>
          <w:rFonts w:ascii="Arial" w:eastAsia="Times New Roman" w:hAnsi="Arial" w:cs="Arial"/>
          <w:sz w:val="20"/>
          <w:szCs w:val="20"/>
          <w:lang w:val="en-US"/>
        </w:rPr>
      </w:pPr>
      <w:r>
        <w:rPr>
          <w:rFonts w:ascii="Arial" w:hAnsi="Arial" w:cs="Arial"/>
          <w:sz w:val="20"/>
          <w:szCs w:val="20"/>
          <w:lang w:val="en-US"/>
        </w:rPr>
        <w:t xml:space="preserve">5. </w:t>
      </w:r>
      <w:r w:rsidRPr="00C62C1E">
        <w:rPr>
          <w:rFonts w:ascii="Arial" w:hAnsi="Arial" w:cs="Arial"/>
          <w:sz w:val="20"/>
          <w:szCs w:val="20"/>
          <w:lang w:val="en-US"/>
        </w:rPr>
        <w:t xml:space="preserve">CONCLUSION </w:t>
      </w:r>
    </w:p>
    <w:p w14:paraId="795C2E53" w14:textId="7C6ED39A" w:rsidR="002B4DD0" w:rsidRPr="00DB3882" w:rsidRDefault="00517DAC" w:rsidP="00CD2FAE">
      <w:pPr>
        <w:pStyle w:val="Body"/>
        <w:spacing w:line="480" w:lineRule="auto"/>
        <w:rPr>
          <w:rFonts w:ascii="Arial" w:hAnsi="Arial" w:cs="Arial"/>
          <w:sz w:val="20"/>
          <w:szCs w:val="20"/>
          <w:lang w:val="en-US"/>
        </w:rPr>
      </w:pPr>
      <w:r w:rsidRPr="00C62C1E">
        <w:rPr>
          <w:rFonts w:ascii="Arial" w:hAnsi="Arial" w:cs="Arial"/>
          <w:sz w:val="20"/>
          <w:szCs w:val="20"/>
          <w:lang w:val="en-US"/>
        </w:rPr>
        <w:tab/>
      </w:r>
      <w:r w:rsidR="00DB3905" w:rsidRPr="00DB3905">
        <w:rPr>
          <w:rFonts w:ascii="Arial" w:hAnsi="Arial" w:cs="Arial"/>
          <w:sz w:val="20"/>
          <w:szCs w:val="20"/>
          <w:lang w:val="en-US"/>
        </w:rPr>
        <w:t xml:space="preserve">Tooth movement occurs through controlled and appropriately applied pressure and/or tension, resulting in dynamic changes to bone structure. Initial compression leads to internal alveolar bone resorption, while stretching of the periodontal ligament induces bone deposition. </w:t>
      </w:r>
      <w:r w:rsidR="00C62C1E" w:rsidRPr="00C62C1E">
        <w:rPr>
          <w:rFonts w:ascii="Arial" w:hAnsi="Arial" w:cs="Arial"/>
          <w:sz w:val="20"/>
          <w:szCs w:val="20"/>
          <w:lang w:val="en-US"/>
        </w:rPr>
        <w:t>Orthodontic</w:t>
      </w:r>
      <w:r w:rsidRPr="00C62C1E">
        <w:rPr>
          <w:rFonts w:ascii="Arial" w:hAnsi="Arial" w:cs="Arial"/>
          <w:sz w:val="20"/>
          <w:szCs w:val="20"/>
          <w:lang w:val="en-US"/>
        </w:rPr>
        <w:t xml:space="preserve"> tooth movement </w:t>
      </w:r>
      <w:r w:rsidR="00C62C1E" w:rsidRPr="00C62C1E">
        <w:rPr>
          <w:rFonts w:ascii="Arial" w:hAnsi="Arial" w:cs="Arial"/>
          <w:sz w:val="20"/>
          <w:szCs w:val="20"/>
          <w:lang w:val="en-US"/>
        </w:rPr>
        <w:t>associated with</w:t>
      </w:r>
      <w:r w:rsidRPr="00C62C1E">
        <w:rPr>
          <w:rFonts w:ascii="Arial" w:hAnsi="Arial" w:cs="Arial"/>
          <w:sz w:val="20"/>
          <w:szCs w:val="20"/>
          <w:lang w:val="en-US"/>
        </w:rPr>
        <w:t xml:space="preserve"> hypothalamic obesity </w:t>
      </w:r>
      <w:r w:rsidR="00C62C1E" w:rsidRPr="00C62C1E">
        <w:rPr>
          <w:rFonts w:ascii="Arial" w:hAnsi="Arial" w:cs="Arial"/>
          <w:sz w:val="20"/>
          <w:szCs w:val="20"/>
          <w:lang w:val="en-US"/>
        </w:rPr>
        <w:t>reduces</w:t>
      </w:r>
      <w:r w:rsidRPr="00C62C1E">
        <w:rPr>
          <w:rFonts w:ascii="Arial" w:hAnsi="Arial" w:cs="Arial"/>
          <w:sz w:val="20"/>
          <w:szCs w:val="20"/>
          <w:lang w:val="en-US"/>
        </w:rPr>
        <w:t xml:space="preserve"> rate of tooth </w:t>
      </w:r>
      <w:r w:rsidR="00C62C1E" w:rsidRPr="00C62C1E">
        <w:rPr>
          <w:rFonts w:ascii="Arial" w:hAnsi="Arial" w:cs="Arial"/>
          <w:sz w:val="20"/>
          <w:szCs w:val="20"/>
          <w:lang w:val="en-US"/>
        </w:rPr>
        <w:t>movement</w:t>
      </w:r>
      <w:r w:rsidRPr="00C62C1E">
        <w:rPr>
          <w:rFonts w:ascii="Arial" w:hAnsi="Arial" w:cs="Arial"/>
          <w:sz w:val="20"/>
          <w:szCs w:val="20"/>
          <w:lang w:val="en-US"/>
        </w:rPr>
        <w:t xml:space="preserve"> and </w:t>
      </w:r>
      <w:r w:rsidR="00C62C1E" w:rsidRPr="00C62C1E">
        <w:rPr>
          <w:rFonts w:ascii="Arial" w:hAnsi="Arial" w:cs="Arial"/>
          <w:sz w:val="20"/>
          <w:szCs w:val="20"/>
          <w:lang w:val="en-US"/>
        </w:rPr>
        <w:t>increased</w:t>
      </w:r>
      <w:r w:rsidRPr="00C62C1E">
        <w:rPr>
          <w:rFonts w:ascii="Arial" w:hAnsi="Arial" w:cs="Arial"/>
          <w:sz w:val="20"/>
          <w:szCs w:val="20"/>
          <w:lang w:val="en-US"/>
        </w:rPr>
        <w:t xml:space="preserve"> occurrence of periodontal alterations</w:t>
      </w:r>
      <w:r w:rsidR="00C62C1E" w:rsidRPr="00C62C1E">
        <w:rPr>
          <w:rFonts w:ascii="Arial" w:hAnsi="Arial" w:cs="Arial"/>
          <w:sz w:val="20"/>
          <w:szCs w:val="20"/>
          <w:lang w:val="en-US"/>
        </w:rPr>
        <w:t xml:space="preserve"> and</w:t>
      </w:r>
      <w:r w:rsidRPr="00C62C1E">
        <w:rPr>
          <w:rFonts w:ascii="Arial" w:hAnsi="Arial" w:cs="Arial"/>
          <w:sz w:val="20"/>
          <w:szCs w:val="20"/>
          <w:lang w:val="en-US"/>
        </w:rPr>
        <w:t xml:space="preserve"> external root resorption.</w:t>
      </w:r>
    </w:p>
    <w:p w14:paraId="50870826" w14:textId="77777777" w:rsidR="00DB3882" w:rsidRDefault="00DB3882" w:rsidP="00CD2FAE">
      <w:pPr>
        <w:pStyle w:val="Body"/>
        <w:spacing w:line="480" w:lineRule="auto"/>
        <w:rPr>
          <w:rFonts w:ascii="Arial" w:hAnsi="Arial" w:cs="Arial"/>
          <w:sz w:val="20"/>
          <w:szCs w:val="20"/>
          <w:lang w:val="en-US"/>
        </w:rPr>
      </w:pPr>
    </w:p>
    <w:p w14:paraId="70B07A08" w14:textId="77777777" w:rsidR="00DB3882" w:rsidRPr="00DB3882" w:rsidRDefault="00DB3882" w:rsidP="00DB3882">
      <w:pPr>
        <w:spacing w:line="480" w:lineRule="auto"/>
        <w:jc w:val="both"/>
        <w:rPr>
          <w:rFonts w:ascii="Arial" w:hAnsi="Arial" w:cs="Arial"/>
          <w:b/>
          <w:sz w:val="20"/>
          <w:szCs w:val="20"/>
        </w:rPr>
      </w:pPr>
      <w:r w:rsidRPr="00DB3882">
        <w:rPr>
          <w:rFonts w:ascii="Arial" w:hAnsi="Arial" w:cs="Arial"/>
          <w:b/>
          <w:sz w:val="20"/>
          <w:szCs w:val="20"/>
        </w:rPr>
        <w:t xml:space="preserve">CONSENT </w:t>
      </w:r>
    </w:p>
    <w:p w14:paraId="3D4670F4" w14:textId="77777777" w:rsidR="00DB3882" w:rsidRPr="00DB3882" w:rsidRDefault="00DB3882" w:rsidP="00DB3882">
      <w:pPr>
        <w:autoSpaceDE w:val="0"/>
        <w:autoSpaceDN w:val="0"/>
        <w:adjustRightInd w:val="0"/>
        <w:spacing w:line="480" w:lineRule="auto"/>
        <w:ind w:right="28"/>
        <w:jc w:val="both"/>
        <w:rPr>
          <w:rFonts w:ascii="Arial" w:eastAsia="Calibri" w:hAnsi="Arial" w:cs="Arial"/>
          <w:sz w:val="20"/>
          <w:szCs w:val="20"/>
        </w:rPr>
      </w:pPr>
      <w:r w:rsidRPr="00DB3882">
        <w:rPr>
          <w:rFonts w:ascii="Arial" w:eastAsia="Calibri" w:hAnsi="Arial" w:cs="Arial"/>
          <w:sz w:val="20"/>
          <w:szCs w:val="20"/>
        </w:rPr>
        <w:t>It is not applicable.</w:t>
      </w:r>
    </w:p>
    <w:p w14:paraId="526817C8" w14:textId="77777777" w:rsidR="00DB3882" w:rsidRPr="00DB3882" w:rsidRDefault="00DB3882" w:rsidP="00DB3882">
      <w:pPr>
        <w:spacing w:line="480" w:lineRule="auto"/>
        <w:jc w:val="both"/>
        <w:rPr>
          <w:rFonts w:ascii="Arial" w:hAnsi="Arial" w:cs="Arial"/>
          <w:b/>
          <w:sz w:val="20"/>
          <w:szCs w:val="20"/>
        </w:rPr>
      </w:pPr>
    </w:p>
    <w:p w14:paraId="7E653702" w14:textId="77777777" w:rsidR="00DB3882" w:rsidRPr="00DB3882" w:rsidRDefault="00DB3882" w:rsidP="00DB3882">
      <w:pPr>
        <w:spacing w:line="480" w:lineRule="auto"/>
        <w:jc w:val="both"/>
        <w:rPr>
          <w:rFonts w:ascii="Arial" w:hAnsi="Arial" w:cs="Arial"/>
          <w:b/>
          <w:sz w:val="20"/>
          <w:szCs w:val="20"/>
        </w:rPr>
      </w:pPr>
      <w:r w:rsidRPr="00DB3882">
        <w:rPr>
          <w:rFonts w:ascii="Arial" w:hAnsi="Arial" w:cs="Arial"/>
          <w:b/>
          <w:sz w:val="20"/>
          <w:szCs w:val="20"/>
        </w:rPr>
        <w:t xml:space="preserve">ETHICAL APPROVAL </w:t>
      </w:r>
    </w:p>
    <w:p w14:paraId="0BFC4263" w14:textId="77777777" w:rsidR="00DB3882" w:rsidRPr="00DB3882" w:rsidRDefault="00DB3882" w:rsidP="00DB3882">
      <w:pPr>
        <w:spacing w:line="480" w:lineRule="auto"/>
        <w:ind w:firstLine="709"/>
        <w:jc w:val="both"/>
        <w:rPr>
          <w:rFonts w:ascii="Arial" w:hAnsi="Arial" w:cs="Arial"/>
          <w:sz w:val="20"/>
          <w:szCs w:val="20"/>
        </w:rPr>
      </w:pPr>
      <w:r w:rsidRPr="00DB3882">
        <w:rPr>
          <w:rFonts w:ascii="Arial" w:hAnsi="Arial" w:cs="Arial"/>
          <w:sz w:val="20"/>
          <w:szCs w:val="20"/>
        </w:rPr>
        <w:t>This study was in accordance with the Ethical Principles in Animal Experimentation adopted by the Brazilian College of Animal Experimentation (COBEA) and were approved by the Committee on Ethics in the Use of Animals (CEUA) of UNIOESTE (Protocol No. 1022/2023).</w:t>
      </w:r>
    </w:p>
    <w:p w14:paraId="678B90C7" w14:textId="77777777" w:rsidR="00DB3882" w:rsidRPr="00DB3882" w:rsidRDefault="00DB3882" w:rsidP="00DB3882">
      <w:pPr>
        <w:spacing w:line="480" w:lineRule="auto"/>
        <w:ind w:firstLine="709"/>
        <w:jc w:val="both"/>
        <w:rPr>
          <w:rFonts w:ascii="Arial" w:hAnsi="Arial" w:cs="Arial"/>
          <w:sz w:val="20"/>
          <w:szCs w:val="20"/>
        </w:rPr>
      </w:pPr>
    </w:p>
    <w:p w14:paraId="703E00B3" w14:textId="77777777" w:rsidR="00DB3882" w:rsidRPr="00DB3882" w:rsidRDefault="00DB3882" w:rsidP="00DB3882">
      <w:pPr>
        <w:spacing w:line="480" w:lineRule="auto"/>
        <w:jc w:val="both"/>
        <w:rPr>
          <w:rFonts w:ascii="Arial" w:eastAsia="Calibri" w:hAnsi="Arial" w:cs="Arial"/>
          <w:b/>
          <w:bCs/>
          <w:kern w:val="2"/>
          <w:sz w:val="20"/>
          <w:szCs w:val="20"/>
          <w14:ligatures w14:val="standardContextual"/>
        </w:rPr>
      </w:pPr>
      <w:r w:rsidRPr="00DB3882">
        <w:rPr>
          <w:rFonts w:ascii="Arial" w:eastAsia="Calibri" w:hAnsi="Arial" w:cs="Arial"/>
          <w:b/>
          <w:bCs/>
          <w:kern w:val="2"/>
          <w:sz w:val="20"/>
          <w:szCs w:val="20"/>
          <w14:ligatures w14:val="standardContextual"/>
        </w:rPr>
        <w:t>Disclaimer (Artificial intelligence)</w:t>
      </w:r>
    </w:p>
    <w:p w14:paraId="15ADCE23" w14:textId="77777777" w:rsidR="00DB3882" w:rsidRPr="00DB3882" w:rsidRDefault="00DB3882" w:rsidP="00DB3882">
      <w:pPr>
        <w:spacing w:line="480" w:lineRule="auto"/>
        <w:ind w:firstLine="720"/>
        <w:jc w:val="both"/>
        <w:rPr>
          <w:rFonts w:ascii="Arial" w:eastAsia="Calibri" w:hAnsi="Arial" w:cs="Arial"/>
          <w:kern w:val="2"/>
          <w:sz w:val="20"/>
          <w:szCs w:val="20"/>
          <w14:ligatures w14:val="standardContextual"/>
        </w:rPr>
      </w:pPr>
      <w:r w:rsidRPr="00DB3882">
        <w:rPr>
          <w:rFonts w:ascii="Arial" w:eastAsia="Calibri" w:hAnsi="Arial" w:cs="Arial"/>
          <w:kern w:val="2"/>
          <w:sz w:val="20"/>
          <w:szCs w:val="20"/>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606A2035" w14:textId="77777777" w:rsidR="002B4DD0" w:rsidRPr="00DB3882" w:rsidRDefault="002B4DD0" w:rsidP="00CD2FAE">
      <w:pPr>
        <w:pStyle w:val="Body"/>
        <w:spacing w:line="480" w:lineRule="auto"/>
        <w:rPr>
          <w:rFonts w:ascii="Arial" w:hAnsi="Arial" w:cs="Arial"/>
          <w:b/>
          <w:bCs/>
          <w:sz w:val="20"/>
          <w:szCs w:val="20"/>
          <w:lang w:val="en-US"/>
        </w:rPr>
      </w:pPr>
    </w:p>
    <w:p w14:paraId="7889F040" w14:textId="77777777" w:rsidR="00727EBE" w:rsidRPr="00A65829" w:rsidRDefault="00727EBE" w:rsidP="00A65829">
      <w:pPr>
        <w:pStyle w:val="Body"/>
        <w:spacing w:line="480" w:lineRule="auto"/>
        <w:jc w:val="both"/>
        <w:rPr>
          <w:rFonts w:ascii="Arial" w:hAnsi="Arial" w:cs="Arial"/>
          <w:b/>
          <w:bCs/>
          <w:sz w:val="20"/>
          <w:szCs w:val="20"/>
          <w:lang w:val="en-US"/>
        </w:rPr>
      </w:pPr>
      <w:bookmarkStart w:id="11" w:name="_Hlk200979985"/>
      <w:bookmarkStart w:id="12" w:name="_Hlk200979797"/>
      <w:bookmarkStart w:id="13" w:name="_GoBack"/>
      <w:bookmarkEnd w:id="13"/>
      <w:r w:rsidRPr="00A65829">
        <w:rPr>
          <w:rFonts w:ascii="Arial" w:hAnsi="Arial" w:cs="Arial"/>
          <w:b/>
          <w:bCs/>
          <w:sz w:val="20"/>
          <w:szCs w:val="20"/>
          <w:lang w:val="en-US"/>
        </w:rPr>
        <w:t>REFERENCES</w:t>
      </w:r>
    </w:p>
    <w:p w14:paraId="1CDB23DC" w14:textId="77777777" w:rsidR="00216643" w:rsidRPr="00A65829" w:rsidRDefault="00216643" w:rsidP="00A65829">
      <w:pPr>
        <w:pStyle w:val="NoSpacing"/>
        <w:spacing w:before="240"/>
        <w:jc w:val="both"/>
        <w:rPr>
          <w:rFonts w:ascii="Arial" w:hAnsi="Arial" w:cs="Arial"/>
          <w:sz w:val="20"/>
          <w:szCs w:val="20"/>
        </w:rPr>
      </w:pPr>
      <w:proofErr w:type="spellStart"/>
      <w:r w:rsidRPr="00A65829">
        <w:rPr>
          <w:rFonts w:ascii="Arial" w:hAnsi="Arial" w:cs="Arial"/>
          <w:sz w:val="20"/>
          <w:szCs w:val="20"/>
        </w:rPr>
        <w:t>Abuabara</w:t>
      </w:r>
      <w:proofErr w:type="spellEnd"/>
      <w:r w:rsidRPr="00A65829">
        <w:rPr>
          <w:rFonts w:ascii="Arial" w:hAnsi="Arial" w:cs="Arial"/>
          <w:sz w:val="20"/>
          <w:szCs w:val="20"/>
        </w:rPr>
        <w:t xml:space="preserve">, A. (2007). Biomechanical aspects of external root resorption in orthodontic therapy. </w:t>
      </w:r>
      <w:proofErr w:type="spellStart"/>
      <w:r w:rsidRPr="00A65829">
        <w:rPr>
          <w:rStyle w:val="Emphasis"/>
          <w:rFonts w:ascii="Arial" w:hAnsi="Arial" w:cs="Arial"/>
          <w:sz w:val="20"/>
          <w:szCs w:val="20"/>
        </w:rPr>
        <w:t>Medicina</w:t>
      </w:r>
      <w:proofErr w:type="spellEnd"/>
      <w:r w:rsidRPr="00A65829">
        <w:rPr>
          <w:rStyle w:val="Emphasis"/>
          <w:rFonts w:ascii="Arial" w:hAnsi="Arial" w:cs="Arial"/>
          <w:sz w:val="20"/>
          <w:szCs w:val="20"/>
        </w:rPr>
        <w:t xml:space="preserve"> Oral, </w:t>
      </w:r>
      <w:proofErr w:type="spellStart"/>
      <w:r w:rsidRPr="00A65829">
        <w:rPr>
          <w:rStyle w:val="Emphasis"/>
          <w:rFonts w:ascii="Arial" w:hAnsi="Arial" w:cs="Arial"/>
          <w:sz w:val="20"/>
          <w:szCs w:val="20"/>
        </w:rPr>
        <w:t>Patología</w:t>
      </w:r>
      <w:proofErr w:type="spellEnd"/>
      <w:r w:rsidRPr="00A65829">
        <w:rPr>
          <w:rStyle w:val="Emphasis"/>
          <w:rFonts w:ascii="Arial" w:hAnsi="Arial" w:cs="Arial"/>
          <w:sz w:val="20"/>
          <w:szCs w:val="20"/>
        </w:rPr>
        <w:t xml:space="preserve"> Oral y </w:t>
      </w:r>
      <w:proofErr w:type="spellStart"/>
      <w:r w:rsidRPr="00A65829">
        <w:rPr>
          <w:rStyle w:val="Emphasis"/>
          <w:rFonts w:ascii="Arial" w:hAnsi="Arial" w:cs="Arial"/>
          <w:sz w:val="20"/>
          <w:szCs w:val="20"/>
        </w:rPr>
        <w:t>Cirugía</w:t>
      </w:r>
      <w:proofErr w:type="spellEnd"/>
      <w:r w:rsidRPr="00A65829">
        <w:rPr>
          <w:rStyle w:val="Emphasis"/>
          <w:rFonts w:ascii="Arial" w:hAnsi="Arial" w:cs="Arial"/>
          <w:sz w:val="20"/>
          <w:szCs w:val="20"/>
        </w:rPr>
        <w:t xml:space="preserve"> </w:t>
      </w:r>
      <w:proofErr w:type="spellStart"/>
      <w:r w:rsidRPr="00A65829">
        <w:rPr>
          <w:rStyle w:val="Emphasis"/>
          <w:rFonts w:ascii="Arial" w:hAnsi="Arial" w:cs="Arial"/>
          <w:sz w:val="20"/>
          <w:szCs w:val="20"/>
        </w:rPr>
        <w:t>Bucal</w:t>
      </w:r>
      <w:proofErr w:type="spellEnd"/>
      <w:r w:rsidRPr="00A65829">
        <w:rPr>
          <w:rStyle w:val="Emphasis"/>
          <w:rFonts w:ascii="Arial" w:hAnsi="Arial" w:cs="Arial"/>
          <w:sz w:val="20"/>
          <w:szCs w:val="20"/>
        </w:rPr>
        <w:t>, 12</w:t>
      </w:r>
      <w:r w:rsidRPr="00A65829">
        <w:rPr>
          <w:rFonts w:ascii="Arial" w:hAnsi="Arial" w:cs="Arial"/>
          <w:sz w:val="20"/>
          <w:szCs w:val="20"/>
        </w:rPr>
        <w:t>(8), 610–613.</w:t>
      </w:r>
    </w:p>
    <w:p w14:paraId="6CB07165" w14:textId="77777777" w:rsidR="00727EBE" w:rsidRPr="00A65829" w:rsidRDefault="00727EBE" w:rsidP="00A65829">
      <w:pPr>
        <w:pStyle w:val="NoSpacing"/>
        <w:spacing w:before="240"/>
        <w:jc w:val="both"/>
        <w:rPr>
          <w:rFonts w:ascii="Arial" w:hAnsi="Arial" w:cs="Arial"/>
          <w:sz w:val="20"/>
          <w:szCs w:val="20"/>
          <w:lang w:val="pt-BR"/>
        </w:rPr>
      </w:pPr>
      <w:r w:rsidRPr="00BE3D89">
        <w:rPr>
          <w:rFonts w:ascii="Arial" w:hAnsi="Arial" w:cs="Arial"/>
          <w:sz w:val="20"/>
          <w:szCs w:val="20"/>
          <w:lang w:val="pt-BR"/>
        </w:rPr>
        <w:t xml:space="preserve">Balbo, S.L., Grassi-Kassis, C.M., Higa, E.M.S., Morais, R.N. (2007). </w:t>
      </w:r>
      <w:r w:rsidRPr="00BE3D89">
        <w:rPr>
          <w:rFonts w:ascii="Arial" w:hAnsi="Arial" w:cs="Arial"/>
          <w:sz w:val="20"/>
          <w:szCs w:val="20"/>
        </w:rPr>
        <w:t xml:space="preserve">Neonatal treatment with monosodium glutamate increases blood pressure and induces cardiovascular autonomic imbalance in adult rats. </w:t>
      </w:r>
      <w:r w:rsidRPr="00BE3D89">
        <w:rPr>
          <w:rFonts w:ascii="Arial" w:hAnsi="Arial" w:cs="Arial"/>
          <w:i/>
          <w:iCs/>
          <w:sz w:val="20"/>
          <w:szCs w:val="20"/>
          <w:lang w:val="pt-BR"/>
        </w:rPr>
        <w:t>Autonomic Neuroscience</w:t>
      </w:r>
      <w:r w:rsidRPr="00BE3D89">
        <w:rPr>
          <w:rFonts w:ascii="Arial" w:hAnsi="Arial" w:cs="Arial"/>
          <w:sz w:val="20"/>
          <w:szCs w:val="20"/>
          <w:lang w:val="pt-BR"/>
        </w:rPr>
        <w:t>, 131, 1-7.</w:t>
      </w:r>
    </w:p>
    <w:p w14:paraId="42703973" w14:textId="6097D757" w:rsidR="00EF44E2" w:rsidRPr="00A65829" w:rsidRDefault="004D2C2D" w:rsidP="00A65829">
      <w:pPr>
        <w:pStyle w:val="NoSpacing"/>
        <w:spacing w:before="240"/>
        <w:jc w:val="both"/>
        <w:rPr>
          <w:rFonts w:ascii="Arial" w:hAnsi="Arial" w:cs="Arial"/>
          <w:color w:val="000000" w:themeColor="text1"/>
          <w:sz w:val="20"/>
          <w:szCs w:val="20"/>
        </w:rPr>
      </w:pPr>
      <w:r w:rsidRPr="00A65829">
        <w:rPr>
          <w:rFonts w:ascii="Arial" w:hAnsi="Arial" w:cs="Arial"/>
          <w:color w:val="000000" w:themeColor="text1"/>
          <w:sz w:val="20"/>
          <w:szCs w:val="20"/>
          <w:lang w:val="pt-BR"/>
        </w:rPr>
        <w:t xml:space="preserve">Bosio, J. A., &amp; Liu, D. (2010). </w:t>
      </w:r>
      <w:r w:rsidR="00217EE5" w:rsidRPr="00A65829">
        <w:rPr>
          <w:rFonts w:ascii="Arial" w:hAnsi="Arial" w:cs="Arial"/>
          <w:color w:val="000000" w:themeColor="text1"/>
          <w:sz w:val="20"/>
          <w:szCs w:val="20"/>
        </w:rPr>
        <w:t>Moving teeth faster, better and painless. Is it possible?</w:t>
      </w:r>
      <w:r w:rsidRPr="00A65829">
        <w:rPr>
          <w:rFonts w:ascii="Arial" w:hAnsi="Arial" w:cs="Arial"/>
          <w:color w:val="000000" w:themeColor="text1"/>
          <w:sz w:val="20"/>
          <w:szCs w:val="20"/>
          <w:lang w:val="pt-BR"/>
        </w:rPr>
        <w:t xml:space="preserve"> </w:t>
      </w:r>
      <w:r w:rsidRPr="00A65829">
        <w:rPr>
          <w:rFonts w:ascii="Arial" w:hAnsi="Arial" w:cs="Arial"/>
          <w:color w:val="000000" w:themeColor="text1"/>
          <w:sz w:val="20"/>
          <w:szCs w:val="20"/>
        </w:rPr>
        <w:t>Dental Press Journal of Orthodontics, 15(6), 20–32.</w:t>
      </w:r>
    </w:p>
    <w:p w14:paraId="0C156A65" w14:textId="3B86759B" w:rsidR="004D2C2D" w:rsidRPr="00A65829" w:rsidRDefault="004D2C2D" w:rsidP="00A65829">
      <w:pPr>
        <w:pStyle w:val="NoSpacing"/>
        <w:spacing w:before="240"/>
        <w:jc w:val="both"/>
        <w:rPr>
          <w:rFonts w:ascii="Arial" w:hAnsi="Arial" w:cs="Arial"/>
          <w:b/>
          <w:bCs/>
          <w:sz w:val="20"/>
          <w:szCs w:val="20"/>
          <w14:textOutline w14:w="0" w14:cap="flat" w14:cmpd="sng" w14:algn="ctr">
            <w14:noFill/>
            <w14:prstDash w14:val="solid"/>
            <w14:bevel/>
          </w14:textOutline>
        </w:rPr>
      </w:pPr>
      <w:bookmarkStart w:id="14" w:name="_Hlk200980037"/>
      <w:bookmarkEnd w:id="11"/>
      <w:r w:rsidRPr="00A65829">
        <w:rPr>
          <w:rFonts w:ascii="Arial" w:hAnsi="Arial" w:cs="Arial"/>
          <w:color w:val="000000" w:themeColor="text1"/>
          <w:sz w:val="20"/>
          <w:szCs w:val="20"/>
          <w14:textOutline w14:w="0" w14:cap="flat" w14:cmpd="sng" w14:algn="ctr">
            <w14:noFill/>
            <w14:prstDash w14:val="solid"/>
            <w14:bevel/>
          </w14:textOutline>
        </w:rPr>
        <w:lastRenderedPageBreak/>
        <w:t xml:space="preserve">Bruun, J. M., Verdich, C., Toubro, S., Astrup, </w:t>
      </w:r>
      <w:r w:rsidRPr="00A65829">
        <w:rPr>
          <w:rFonts w:ascii="Arial" w:hAnsi="Arial" w:cs="Arial"/>
          <w:sz w:val="20"/>
          <w:szCs w:val="20"/>
          <w14:textOutline w14:w="0" w14:cap="flat" w14:cmpd="sng" w14:algn="ctr">
            <w14:noFill/>
            <w14:prstDash w14:val="solid"/>
            <w14:bevel/>
          </w14:textOutline>
        </w:rPr>
        <w:t>A., &amp; Richelsen, B. (2003). Association between measures of insulin sensitivity and circulating levels of interleukin-8, interleukin-6 and tumor</w:t>
      </w:r>
      <w:r w:rsidR="001C3F7C" w:rsidRPr="00A65829">
        <w:rPr>
          <w:rFonts w:ascii="Arial" w:hAnsi="Arial" w:cs="Arial"/>
          <w:b/>
          <w:bCs/>
          <w:sz w:val="20"/>
          <w:szCs w:val="20"/>
          <w14:textOutline w14:w="0" w14:cap="flat" w14:cmpd="sng" w14:algn="ctr">
            <w14:noFill/>
            <w14:prstDash w14:val="solid"/>
            <w14:bevel/>
          </w14:textOutline>
        </w:rPr>
        <w:t xml:space="preserve"> </w:t>
      </w:r>
      <w:r w:rsidRPr="00A65829">
        <w:rPr>
          <w:rFonts w:ascii="Arial" w:hAnsi="Arial" w:cs="Arial"/>
          <w:sz w:val="20"/>
          <w:szCs w:val="20"/>
          <w14:textOutline w14:w="0" w14:cap="flat" w14:cmpd="sng" w14:algn="ctr">
            <w14:noFill/>
            <w14:prstDash w14:val="solid"/>
            <w14:bevel/>
          </w14:textOutline>
        </w:rPr>
        <w:t xml:space="preserve">necrosis factor-alpha: Effect of weight loss in obese men. </w:t>
      </w:r>
      <w:r w:rsidRPr="00A65829">
        <w:rPr>
          <w:rFonts w:ascii="Arial" w:hAnsi="Arial" w:cs="Arial"/>
          <w:i/>
          <w:iCs/>
          <w:sz w:val="20"/>
          <w:szCs w:val="20"/>
          <w14:textOutline w14:w="0" w14:cap="flat" w14:cmpd="sng" w14:algn="ctr">
            <w14:noFill/>
            <w14:prstDash w14:val="solid"/>
            <w14:bevel/>
          </w14:textOutline>
        </w:rPr>
        <w:t>European Journal of Endocrinology, 148</w:t>
      </w:r>
      <w:r w:rsidRPr="00A65829">
        <w:rPr>
          <w:rFonts w:ascii="Arial" w:hAnsi="Arial" w:cs="Arial"/>
          <w:sz w:val="20"/>
          <w:szCs w:val="20"/>
          <w14:textOutline w14:w="0" w14:cap="flat" w14:cmpd="sng" w14:algn="ctr">
            <w14:noFill/>
            <w14:prstDash w14:val="solid"/>
            <w14:bevel/>
          </w14:textOutline>
        </w:rPr>
        <w:t>(5), 535–542.</w:t>
      </w:r>
    </w:p>
    <w:p w14:paraId="2C9F6C79" w14:textId="77777777" w:rsidR="004D2C2D" w:rsidRPr="00A65829" w:rsidRDefault="004D2C2D" w:rsidP="00A65829">
      <w:pPr>
        <w:pStyle w:val="NoSpacing"/>
        <w:spacing w:before="240"/>
        <w:jc w:val="both"/>
        <w:rPr>
          <w:rFonts w:ascii="Arial" w:hAnsi="Arial" w:cs="Arial"/>
          <w:b/>
          <w:bCs/>
          <w:sz w:val="20"/>
          <w:szCs w:val="20"/>
          <w:lang w:val="pt-BR"/>
          <w14:textOutline w14:w="0" w14:cap="flat" w14:cmpd="sng" w14:algn="ctr">
            <w14:noFill/>
            <w14:prstDash w14:val="solid"/>
            <w14:bevel/>
          </w14:textOutline>
        </w:rPr>
      </w:pPr>
      <w:r w:rsidRPr="00A65829">
        <w:rPr>
          <w:rFonts w:ascii="Arial" w:hAnsi="Arial" w:cs="Arial"/>
          <w:sz w:val="20"/>
          <w:szCs w:val="20"/>
          <w14:textOutline w14:w="0" w14:cap="flat" w14:cmpd="sng" w14:algn="ctr">
            <w14:noFill/>
            <w14:prstDash w14:val="solid"/>
            <w14:bevel/>
          </w14:textOutline>
        </w:rPr>
        <w:t xml:space="preserve">Bumann, E. E., &amp; Frazier-Bowers, S. A. (2017). A new </w:t>
      </w:r>
      <w:proofErr w:type="spellStart"/>
      <w:r w:rsidRPr="00A65829">
        <w:rPr>
          <w:rFonts w:ascii="Arial" w:hAnsi="Arial" w:cs="Arial"/>
          <w:sz w:val="20"/>
          <w:szCs w:val="20"/>
          <w14:textOutline w14:w="0" w14:cap="flat" w14:cmpd="sng" w14:algn="ctr">
            <w14:noFill/>
            <w14:prstDash w14:val="solid"/>
            <w14:bevel/>
          </w14:textOutline>
        </w:rPr>
        <w:t>cyte</w:t>
      </w:r>
      <w:proofErr w:type="spellEnd"/>
      <w:r w:rsidRPr="00A65829">
        <w:rPr>
          <w:rFonts w:ascii="Arial" w:hAnsi="Arial" w:cs="Arial"/>
          <w:sz w:val="20"/>
          <w:szCs w:val="20"/>
          <w14:textOutline w14:w="0" w14:cap="flat" w14:cmpd="sng" w14:algn="ctr">
            <w14:noFill/>
            <w14:prstDash w14:val="solid"/>
            <w14:bevel/>
          </w14:textOutline>
        </w:rPr>
        <w:t xml:space="preserve"> in orthodontics: Osteocytes in tooth movement. </w:t>
      </w:r>
      <w:r w:rsidRPr="00A65829">
        <w:rPr>
          <w:rFonts w:ascii="Arial" w:hAnsi="Arial" w:cs="Arial"/>
          <w:i/>
          <w:iCs/>
          <w:sz w:val="20"/>
          <w:szCs w:val="20"/>
          <w:lang w:val="pt-BR"/>
          <w14:textOutline w14:w="0" w14:cap="flat" w14:cmpd="sng" w14:algn="ctr">
            <w14:noFill/>
            <w14:prstDash w14:val="solid"/>
            <w14:bevel/>
          </w14:textOutline>
        </w:rPr>
        <w:t>Orthodontics &amp; Craniofacial Research, 20</w:t>
      </w:r>
      <w:r w:rsidRPr="00A65829">
        <w:rPr>
          <w:rFonts w:ascii="Arial" w:hAnsi="Arial" w:cs="Arial"/>
          <w:sz w:val="20"/>
          <w:szCs w:val="20"/>
          <w:lang w:val="pt-BR"/>
          <w14:textOutline w14:w="0" w14:cap="flat" w14:cmpd="sng" w14:algn="ctr">
            <w14:noFill/>
            <w14:prstDash w14:val="solid"/>
            <w14:bevel/>
          </w14:textOutline>
        </w:rPr>
        <w:t>(Suppl 1), 125–128.</w:t>
      </w:r>
    </w:p>
    <w:p w14:paraId="7B11383E" w14:textId="77777777" w:rsidR="004D2C2D" w:rsidRPr="00A65829" w:rsidRDefault="004D2C2D" w:rsidP="00A65829">
      <w:pPr>
        <w:pStyle w:val="NoSpacing"/>
        <w:spacing w:before="240"/>
        <w:jc w:val="both"/>
        <w:rPr>
          <w:rFonts w:ascii="Arial" w:hAnsi="Arial" w:cs="Arial"/>
          <w:b/>
          <w:bCs/>
          <w:sz w:val="20"/>
          <w:szCs w:val="20"/>
          <w:lang w:val="pt-BR"/>
          <w14:textOutline w14:w="0" w14:cap="flat" w14:cmpd="sng" w14:algn="ctr">
            <w14:noFill/>
            <w14:prstDash w14:val="solid"/>
            <w14:bevel/>
          </w14:textOutline>
        </w:rPr>
      </w:pPr>
      <w:r w:rsidRPr="00A65829">
        <w:rPr>
          <w:rFonts w:ascii="Arial" w:hAnsi="Arial" w:cs="Arial"/>
          <w:sz w:val="20"/>
          <w:szCs w:val="20"/>
          <w:lang w:val="pt-BR"/>
          <w14:textOutline w14:w="0" w14:cap="flat" w14:cmpd="sng" w14:algn="ctr">
            <w14:noFill/>
            <w14:prstDash w14:val="solid"/>
            <w14:bevel/>
          </w14:textOutline>
        </w:rPr>
        <w:t xml:space="preserve">Busato, M. C. A., Pereira, A. L. P., Sonoda, C. K., Cuoghi, O. A., &amp; De Mendonça, M. R. (2014). </w:t>
      </w:r>
      <w:r w:rsidRPr="00A65829">
        <w:rPr>
          <w:rFonts w:ascii="Arial" w:hAnsi="Arial" w:cs="Arial"/>
          <w:sz w:val="20"/>
          <w:szCs w:val="20"/>
          <w14:textOutline w14:w="0" w14:cap="flat" w14:cmpd="sng" w14:algn="ctr">
            <w14:noFill/>
            <w14:prstDash w14:val="solid"/>
            <w14:bevel/>
          </w14:textOutline>
        </w:rPr>
        <w:t xml:space="preserve">Microscopic evaluation of induced tooth movement after subluxation trauma: An experimental study in rats. </w:t>
      </w:r>
      <w:r w:rsidRPr="00A65829">
        <w:rPr>
          <w:rFonts w:ascii="Arial" w:hAnsi="Arial" w:cs="Arial"/>
          <w:i/>
          <w:iCs/>
          <w:sz w:val="20"/>
          <w:szCs w:val="20"/>
          <w:lang w:val="pt-BR"/>
          <w14:textOutline w14:w="0" w14:cap="flat" w14:cmpd="sng" w14:algn="ctr">
            <w14:noFill/>
            <w14:prstDash w14:val="solid"/>
            <w14:bevel/>
          </w14:textOutline>
        </w:rPr>
        <w:t>Dental Press Journal of Orthodontics, 19</w:t>
      </w:r>
      <w:r w:rsidRPr="00A65829">
        <w:rPr>
          <w:rFonts w:ascii="Arial" w:hAnsi="Arial" w:cs="Arial"/>
          <w:sz w:val="20"/>
          <w:szCs w:val="20"/>
          <w:lang w:val="pt-BR"/>
          <w14:textOutline w14:w="0" w14:cap="flat" w14:cmpd="sng" w14:algn="ctr">
            <w14:noFill/>
            <w14:prstDash w14:val="solid"/>
            <w14:bevel/>
          </w14:textOutline>
        </w:rPr>
        <w:t>(1), 92–99.</w:t>
      </w:r>
    </w:p>
    <w:p w14:paraId="520893CD" w14:textId="77777777" w:rsidR="004D2C2D" w:rsidRPr="00A65829" w:rsidRDefault="004D2C2D" w:rsidP="00A65829">
      <w:pPr>
        <w:pStyle w:val="NoSpacing"/>
        <w:spacing w:before="240"/>
        <w:jc w:val="both"/>
        <w:rPr>
          <w:rFonts w:ascii="Arial" w:hAnsi="Arial" w:cs="Arial"/>
          <w:b/>
          <w:bCs/>
          <w:sz w:val="20"/>
          <w:szCs w:val="20"/>
          <w:lang w:val="pt-BR"/>
          <w14:textOutline w14:w="0" w14:cap="flat" w14:cmpd="sng" w14:algn="ctr">
            <w14:noFill/>
            <w14:prstDash w14:val="solid"/>
            <w14:bevel/>
          </w14:textOutline>
        </w:rPr>
      </w:pPr>
      <w:proofErr w:type="spellStart"/>
      <w:r w:rsidRPr="00A65829">
        <w:rPr>
          <w:rFonts w:ascii="Arial" w:hAnsi="Arial" w:cs="Arial"/>
          <w:sz w:val="20"/>
          <w:szCs w:val="20"/>
          <w14:textOutline w14:w="0" w14:cap="flat" w14:cmpd="sng" w14:algn="ctr">
            <w14:noFill/>
            <w14:prstDash w14:val="solid"/>
            <w14:bevel/>
          </w14:textOutline>
        </w:rPr>
        <w:t>Consolaro</w:t>
      </w:r>
      <w:proofErr w:type="spellEnd"/>
      <w:r w:rsidRPr="00A65829">
        <w:rPr>
          <w:rFonts w:ascii="Arial" w:hAnsi="Arial" w:cs="Arial"/>
          <w:sz w:val="20"/>
          <w:szCs w:val="20"/>
          <w14:textOutline w14:w="0" w14:cap="flat" w14:cmpd="sng" w14:algn="ctr">
            <w14:noFill/>
            <w14:prstDash w14:val="solid"/>
            <w14:bevel/>
          </w14:textOutline>
        </w:rPr>
        <w:t xml:space="preserve">, A. (2017). Obesity and orthodontic treatment: Is there any direct relationship? </w:t>
      </w:r>
      <w:r w:rsidRPr="00A65829">
        <w:rPr>
          <w:rFonts w:ascii="Arial" w:hAnsi="Arial" w:cs="Arial"/>
          <w:i/>
          <w:iCs/>
          <w:sz w:val="20"/>
          <w:szCs w:val="20"/>
          <w:lang w:val="pt-BR"/>
          <w14:textOutline w14:w="0" w14:cap="flat" w14:cmpd="sng" w14:algn="ctr">
            <w14:noFill/>
            <w14:prstDash w14:val="solid"/>
            <w14:bevel/>
          </w14:textOutline>
        </w:rPr>
        <w:t>Dental Press Journal of Orthodontics, 22</w:t>
      </w:r>
      <w:r w:rsidRPr="00A65829">
        <w:rPr>
          <w:rFonts w:ascii="Arial" w:hAnsi="Arial" w:cs="Arial"/>
          <w:sz w:val="20"/>
          <w:szCs w:val="20"/>
          <w:lang w:val="pt-BR"/>
          <w14:textOutline w14:w="0" w14:cap="flat" w14:cmpd="sng" w14:algn="ctr">
            <w14:noFill/>
            <w14:prstDash w14:val="solid"/>
            <w14:bevel/>
          </w14:textOutline>
        </w:rPr>
        <w:t>(3), 21–25.</w:t>
      </w:r>
    </w:p>
    <w:p w14:paraId="5C53FE4D" w14:textId="77777777" w:rsidR="004D2C2D" w:rsidRPr="00A65829" w:rsidRDefault="004D2C2D" w:rsidP="00A65829">
      <w:pPr>
        <w:pStyle w:val="NoSpacing"/>
        <w:spacing w:before="240"/>
        <w:jc w:val="both"/>
        <w:rPr>
          <w:rFonts w:ascii="Arial" w:hAnsi="Arial" w:cs="Arial"/>
          <w:b/>
          <w:bCs/>
          <w:sz w:val="20"/>
          <w:szCs w:val="20"/>
          <w:lang w:val="pt-BR"/>
          <w14:textOutline w14:w="0" w14:cap="flat" w14:cmpd="sng" w14:algn="ctr">
            <w14:noFill/>
            <w14:prstDash w14:val="solid"/>
            <w14:bevel/>
          </w14:textOutline>
        </w:rPr>
      </w:pPr>
      <w:r w:rsidRPr="00A65829">
        <w:rPr>
          <w:rFonts w:ascii="Arial" w:hAnsi="Arial" w:cs="Arial"/>
          <w:sz w:val="20"/>
          <w:szCs w:val="20"/>
          <w:lang w:val="pt-BR"/>
          <w14:textOutline w14:w="0" w14:cap="flat" w14:cmpd="sng" w14:algn="ctr">
            <w14:noFill/>
            <w14:prstDash w14:val="solid"/>
            <w14:bevel/>
          </w14:textOutline>
        </w:rPr>
        <w:t xml:space="preserve">Costa, L. A., Pereira, A. L. P., Sonoda, C. K., Araújo, T. S., Silva, R. A. B., Santos, C. P., et al. </w:t>
      </w:r>
      <w:r w:rsidRPr="00A65829">
        <w:rPr>
          <w:rFonts w:ascii="Arial" w:hAnsi="Arial" w:cs="Arial"/>
          <w:sz w:val="20"/>
          <w:szCs w:val="20"/>
          <w14:textOutline w14:w="0" w14:cap="flat" w14:cmpd="sng" w14:algn="ctr">
            <w14:noFill/>
            <w14:prstDash w14:val="solid"/>
            <w14:bevel/>
          </w14:textOutline>
        </w:rPr>
        <w:t xml:space="preserve">(2018). Validation of a new experimental model of extrusive luxation on maxillary molars of rats: A histological study. </w:t>
      </w:r>
      <w:r w:rsidRPr="00A65829">
        <w:rPr>
          <w:rFonts w:ascii="Arial" w:hAnsi="Arial" w:cs="Arial"/>
          <w:i/>
          <w:iCs/>
          <w:sz w:val="20"/>
          <w:szCs w:val="20"/>
          <w:lang w:val="pt-BR"/>
          <w14:textOutline w14:w="0" w14:cap="flat" w14:cmpd="sng" w14:algn="ctr">
            <w14:noFill/>
            <w14:prstDash w14:val="solid"/>
            <w14:bevel/>
          </w14:textOutline>
        </w:rPr>
        <w:t>Clinical Oral Investigations, 22</w:t>
      </w:r>
      <w:r w:rsidRPr="00A65829">
        <w:rPr>
          <w:rFonts w:ascii="Arial" w:hAnsi="Arial" w:cs="Arial"/>
          <w:sz w:val="20"/>
          <w:szCs w:val="20"/>
          <w:lang w:val="pt-BR"/>
          <w14:textOutline w14:w="0" w14:cap="flat" w14:cmpd="sng" w14:algn="ctr">
            <w14:noFill/>
            <w14:prstDash w14:val="solid"/>
            <w14:bevel/>
          </w14:textOutline>
        </w:rPr>
        <w:t>(5), 1985–1994.</w:t>
      </w:r>
    </w:p>
    <w:p w14:paraId="1D4FBC19" w14:textId="77777777" w:rsidR="004D2C2D" w:rsidRPr="00A65829" w:rsidRDefault="004D2C2D" w:rsidP="00A65829">
      <w:pPr>
        <w:pStyle w:val="NoSpacing"/>
        <w:spacing w:before="240"/>
        <w:jc w:val="both"/>
        <w:rPr>
          <w:rFonts w:ascii="Arial" w:hAnsi="Arial" w:cs="Arial"/>
          <w:b/>
          <w:bCs/>
          <w:sz w:val="20"/>
          <w:szCs w:val="20"/>
          <w14:textOutline w14:w="0" w14:cap="flat" w14:cmpd="sng" w14:algn="ctr">
            <w14:noFill/>
            <w14:prstDash w14:val="solid"/>
            <w14:bevel/>
          </w14:textOutline>
        </w:rPr>
      </w:pPr>
      <w:r w:rsidRPr="00A65829">
        <w:rPr>
          <w:rFonts w:ascii="Arial" w:hAnsi="Arial" w:cs="Arial"/>
          <w:sz w:val="20"/>
          <w:szCs w:val="20"/>
          <w:lang w:val="pt-BR"/>
          <w14:textOutline w14:w="0" w14:cap="flat" w14:cmpd="sng" w14:algn="ctr">
            <w14:noFill/>
            <w14:prstDash w14:val="solid"/>
            <w14:bevel/>
          </w14:textOutline>
        </w:rPr>
        <w:t xml:space="preserve">Costacurta, M., Di Renzo, L., De Lorenzo, A., &amp; Docimo, R. (2012). </w:t>
      </w:r>
      <w:r w:rsidRPr="00A65829">
        <w:rPr>
          <w:rFonts w:ascii="Arial" w:hAnsi="Arial" w:cs="Arial"/>
          <w:sz w:val="20"/>
          <w:szCs w:val="20"/>
          <w14:textOutline w14:w="0" w14:cap="flat" w14:cmpd="sng" w14:algn="ctr">
            <w14:noFill/>
            <w14:prstDash w14:val="solid"/>
            <w14:bevel/>
          </w14:textOutline>
        </w:rPr>
        <w:t xml:space="preserve">Childhood obesity and skeletal-dental maturity. </w:t>
      </w:r>
      <w:r w:rsidRPr="00A65829">
        <w:rPr>
          <w:rFonts w:ascii="Arial" w:hAnsi="Arial" w:cs="Arial"/>
          <w:i/>
          <w:iCs/>
          <w:sz w:val="20"/>
          <w:szCs w:val="20"/>
          <w14:textOutline w14:w="0" w14:cap="flat" w14:cmpd="sng" w14:algn="ctr">
            <w14:noFill/>
            <w14:prstDash w14:val="solid"/>
            <w14:bevel/>
          </w14:textOutline>
        </w:rPr>
        <w:t xml:space="preserve">European Journal of </w:t>
      </w:r>
      <w:proofErr w:type="spellStart"/>
      <w:r w:rsidRPr="00A65829">
        <w:rPr>
          <w:rFonts w:ascii="Arial" w:hAnsi="Arial" w:cs="Arial"/>
          <w:i/>
          <w:iCs/>
          <w:sz w:val="20"/>
          <w:szCs w:val="20"/>
          <w14:textOutline w14:w="0" w14:cap="flat" w14:cmpd="sng" w14:algn="ctr">
            <w14:noFill/>
            <w14:prstDash w14:val="solid"/>
            <w14:bevel/>
          </w14:textOutline>
        </w:rPr>
        <w:t>Paediatric</w:t>
      </w:r>
      <w:proofErr w:type="spellEnd"/>
      <w:r w:rsidRPr="00A65829">
        <w:rPr>
          <w:rFonts w:ascii="Arial" w:hAnsi="Arial" w:cs="Arial"/>
          <w:i/>
          <w:iCs/>
          <w:sz w:val="20"/>
          <w:szCs w:val="20"/>
          <w14:textOutline w14:w="0" w14:cap="flat" w14:cmpd="sng" w14:algn="ctr">
            <w14:noFill/>
            <w14:prstDash w14:val="solid"/>
            <w14:bevel/>
          </w14:textOutline>
        </w:rPr>
        <w:t xml:space="preserve"> Dentistry, 13</w:t>
      </w:r>
      <w:r w:rsidRPr="00A65829">
        <w:rPr>
          <w:rFonts w:ascii="Arial" w:hAnsi="Arial" w:cs="Arial"/>
          <w:sz w:val="20"/>
          <w:szCs w:val="20"/>
          <w14:textOutline w14:w="0" w14:cap="flat" w14:cmpd="sng" w14:algn="ctr">
            <w14:noFill/>
            <w14:prstDash w14:val="solid"/>
            <w14:bevel/>
          </w14:textOutline>
        </w:rPr>
        <w:t>(2), 128–132.</w:t>
      </w:r>
    </w:p>
    <w:p w14:paraId="16EFC2AF" w14:textId="77777777" w:rsidR="004D2C2D" w:rsidRPr="00A65829" w:rsidRDefault="004D2C2D" w:rsidP="00A65829">
      <w:pPr>
        <w:pStyle w:val="NoSpacing"/>
        <w:spacing w:before="240"/>
        <w:jc w:val="both"/>
        <w:rPr>
          <w:rFonts w:ascii="Arial" w:hAnsi="Arial" w:cs="Arial"/>
          <w:b/>
          <w:bCs/>
          <w:sz w:val="20"/>
          <w:szCs w:val="20"/>
          <w14:textOutline w14:w="0" w14:cap="flat" w14:cmpd="sng" w14:algn="ctr">
            <w14:noFill/>
            <w14:prstDash w14:val="solid"/>
            <w14:bevel/>
          </w14:textOutline>
        </w:rPr>
      </w:pPr>
      <w:r w:rsidRPr="00A65829">
        <w:rPr>
          <w:rFonts w:ascii="Arial" w:hAnsi="Arial" w:cs="Arial"/>
          <w:sz w:val="20"/>
          <w:szCs w:val="20"/>
          <w14:textOutline w14:w="0" w14:cap="flat" w14:cmpd="sng" w14:algn="ctr">
            <w14:noFill/>
            <w14:prstDash w14:val="solid"/>
            <w14:bevel/>
          </w14:textOutline>
        </w:rPr>
        <w:t xml:space="preserve">Cullinan, M. P., Ford, P. J., &amp; Seymour, G. J. (2009). Periodontal disease and systemic health: Current status. </w:t>
      </w:r>
      <w:r w:rsidRPr="00A65829">
        <w:rPr>
          <w:rFonts w:ascii="Arial" w:hAnsi="Arial" w:cs="Arial"/>
          <w:i/>
          <w:iCs/>
          <w:sz w:val="20"/>
          <w:szCs w:val="20"/>
          <w14:textOutline w14:w="0" w14:cap="flat" w14:cmpd="sng" w14:algn="ctr">
            <w14:noFill/>
            <w14:prstDash w14:val="solid"/>
            <w14:bevel/>
          </w14:textOutline>
        </w:rPr>
        <w:t>Australian Dental Journal, 54</w:t>
      </w:r>
      <w:r w:rsidRPr="00A65829">
        <w:rPr>
          <w:rFonts w:ascii="Arial" w:hAnsi="Arial" w:cs="Arial"/>
          <w:sz w:val="20"/>
          <w:szCs w:val="20"/>
          <w14:textOutline w14:w="0" w14:cap="flat" w14:cmpd="sng" w14:algn="ctr">
            <w14:noFill/>
            <w14:prstDash w14:val="solid"/>
            <w14:bevel/>
          </w14:textOutline>
        </w:rPr>
        <w:t>(1), 62–69.</w:t>
      </w:r>
    </w:p>
    <w:p w14:paraId="19B9006A" w14:textId="53BE4CC7" w:rsidR="00EA34A6" w:rsidRDefault="00EA34A6" w:rsidP="00A65829">
      <w:pPr>
        <w:pStyle w:val="NoSpacing"/>
        <w:spacing w:before="240"/>
        <w:jc w:val="both"/>
        <w:rPr>
          <w:rFonts w:ascii="Arial" w:hAnsi="Arial" w:cs="Arial"/>
          <w:sz w:val="20"/>
          <w:szCs w:val="20"/>
          <w14:textOutline w14:w="0" w14:cap="flat" w14:cmpd="sng" w14:algn="ctr">
            <w14:noFill/>
            <w14:prstDash w14:val="solid"/>
            <w14:bevel/>
          </w14:textOutline>
        </w:rPr>
      </w:pPr>
      <w:r w:rsidRPr="00EA34A6">
        <w:rPr>
          <w:rFonts w:ascii="Arial" w:hAnsi="Arial" w:cs="Arial"/>
          <w:sz w:val="20"/>
          <w:szCs w:val="20"/>
          <w:lang w:val="pt-BR"/>
          <w14:textOutline w14:w="0" w14:cap="flat" w14:cmpd="sng" w14:algn="ctr">
            <w14:noFill/>
            <w14:prstDash w14:val="solid"/>
            <w14:bevel/>
          </w14:textOutline>
        </w:rPr>
        <w:t xml:space="preserve">Cuoghi, O. A., Faria, L. P., Ervolino, E., Barioni, S. R. P., Topolski, F., Arana-Chavez, V. E., &amp; Mendonça, M. R. (2018). Pulp analysis of teeth submitted to different types of forces: a histological study in rats. </w:t>
      </w:r>
      <w:r w:rsidRPr="00EA34A6">
        <w:rPr>
          <w:rFonts w:ascii="Arial" w:hAnsi="Arial" w:cs="Arial"/>
          <w:i/>
          <w:iCs/>
          <w:sz w:val="20"/>
          <w:szCs w:val="20"/>
          <w:lang w:val="pt-BR"/>
          <w14:textOutline w14:w="0" w14:cap="flat" w14:cmpd="sng" w14:algn="ctr">
            <w14:noFill/>
            <w14:prstDash w14:val="solid"/>
            <w14:bevel/>
          </w14:textOutline>
        </w:rPr>
        <w:t>Journal of Applied Oral Science, 26</w:t>
      </w:r>
      <w:r w:rsidRPr="00EA34A6">
        <w:rPr>
          <w:rFonts w:ascii="Arial" w:hAnsi="Arial" w:cs="Arial"/>
          <w:sz w:val="20"/>
          <w:szCs w:val="20"/>
          <w:lang w:val="pt-BR"/>
          <w14:textOutline w14:w="0" w14:cap="flat" w14:cmpd="sng" w14:algn="ctr">
            <w14:noFill/>
            <w14:prstDash w14:val="solid"/>
            <w14:bevel/>
          </w14:textOutline>
        </w:rPr>
        <w:t>, e20170626.</w:t>
      </w:r>
    </w:p>
    <w:p w14:paraId="070C5E83" w14:textId="14303DA1" w:rsidR="004D2C2D" w:rsidRPr="00A65829" w:rsidRDefault="004D2C2D" w:rsidP="00A65829">
      <w:pPr>
        <w:pStyle w:val="NoSpacing"/>
        <w:spacing w:before="240"/>
        <w:jc w:val="both"/>
        <w:rPr>
          <w:rFonts w:ascii="Arial" w:hAnsi="Arial" w:cs="Arial"/>
          <w:b/>
          <w:bCs/>
          <w:sz w:val="20"/>
          <w:szCs w:val="20"/>
          <w14:textOutline w14:w="0" w14:cap="flat" w14:cmpd="sng" w14:algn="ctr">
            <w14:noFill/>
            <w14:prstDash w14:val="solid"/>
            <w14:bevel/>
          </w14:textOutline>
        </w:rPr>
      </w:pPr>
      <w:r w:rsidRPr="00A65829">
        <w:rPr>
          <w:rFonts w:ascii="Arial" w:hAnsi="Arial" w:cs="Arial"/>
          <w:sz w:val="20"/>
          <w:szCs w:val="20"/>
          <w14:textOutline w14:w="0" w14:cap="flat" w14:cmpd="sng" w14:algn="ctr">
            <w14:noFill/>
            <w14:prstDash w14:val="solid"/>
            <w14:bevel/>
          </w14:textOutline>
        </w:rPr>
        <w:t xml:space="preserve">Faul, F., </w:t>
      </w:r>
      <w:proofErr w:type="spellStart"/>
      <w:r w:rsidRPr="00A65829">
        <w:rPr>
          <w:rFonts w:ascii="Arial" w:hAnsi="Arial" w:cs="Arial"/>
          <w:sz w:val="20"/>
          <w:szCs w:val="20"/>
          <w14:textOutline w14:w="0" w14:cap="flat" w14:cmpd="sng" w14:algn="ctr">
            <w14:noFill/>
            <w14:prstDash w14:val="solid"/>
            <w14:bevel/>
          </w14:textOutline>
        </w:rPr>
        <w:t>Erdfelder</w:t>
      </w:r>
      <w:proofErr w:type="spellEnd"/>
      <w:r w:rsidRPr="00A65829">
        <w:rPr>
          <w:rFonts w:ascii="Arial" w:hAnsi="Arial" w:cs="Arial"/>
          <w:sz w:val="20"/>
          <w:szCs w:val="20"/>
          <w14:textOutline w14:w="0" w14:cap="flat" w14:cmpd="sng" w14:algn="ctr">
            <w14:noFill/>
            <w14:prstDash w14:val="solid"/>
            <w14:bevel/>
          </w14:textOutline>
        </w:rPr>
        <w:t xml:space="preserve">, E., Buchner, A., &amp; Lang, A. G. (2009). Statistical power analyses using G*Power 3.1: Tests for correlation and regression analyses. </w:t>
      </w:r>
      <w:r w:rsidRPr="00A65829">
        <w:rPr>
          <w:rFonts w:ascii="Arial" w:hAnsi="Arial" w:cs="Arial"/>
          <w:i/>
          <w:iCs/>
          <w:sz w:val="20"/>
          <w:szCs w:val="20"/>
          <w14:textOutline w14:w="0" w14:cap="flat" w14:cmpd="sng" w14:algn="ctr">
            <w14:noFill/>
            <w14:prstDash w14:val="solid"/>
            <w14:bevel/>
          </w14:textOutline>
        </w:rPr>
        <w:t>Behavior Research Methods, 41</w:t>
      </w:r>
      <w:r w:rsidRPr="00A65829">
        <w:rPr>
          <w:rFonts w:ascii="Arial" w:hAnsi="Arial" w:cs="Arial"/>
          <w:sz w:val="20"/>
          <w:szCs w:val="20"/>
          <w14:textOutline w14:w="0" w14:cap="flat" w14:cmpd="sng" w14:algn="ctr">
            <w14:noFill/>
            <w14:prstDash w14:val="solid"/>
            <w14:bevel/>
          </w14:textOutline>
        </w:rPr>
        <w:t>(4), 1149–1160.</w:t>
      </w:r>
    </w:p>
    <w:p w14:paraId="0EFDE78C" w14:textId="77777777" w:rsidR="004D2C2D" w:rsidRPr="00A65829" w:rsidRDefault="004D2C2D" w:rsidP="00A65829">
      <w:pPr>
        <w:pStyle w:val="NoSpacing"/>
        <w:spacing w:before="240"/>
        <w:jc w:val="both"/>
        <w:rPr>
          <w:rFonts w:ascii="Arial" w:hAnsi="Arial" w:cs="Arial"/>
          <w:b/>
          <w:bCs/>
          <w:sz w:val="20"/>
          <w:szCs w:val="20"/>
          <w14:textOutline w14:w="0" w14:cap="flat" w14:cmpd="sng" w14:algn="ctr">
            <w14:noFill/>
            <w14:prstDash w14:val="solid"/>
            <w14:bevel/>
          </w14:textOutline>
        </w:rPr>
      </w:pPr>
      <w:r w:rsidRPr="00A65829">
        <w:rPr>
          <w:rFonts w:ascii="Arial" w:hAnsi="Arial" w:cs="Arial"/>
          <w:sz w:val="20"/>
          <w:szCs w:val="20"/>
          <w14:textOutline w14:w="0" w14:cap="flat" w14:cmpd="sng" w14:algn="ctr">
            <w14:noFill/>
            <w14:prstDash w14:val="solid"/>
            <w14:bevel/>
          </w14:textOutline>
        </w:rPr>
        <w:t xml:space="preserve">Feghali, C. A., &amp; Wright, T. M. (1997). Cytokines in acute and chronic inflammation. </w:t>
      </w:r>
      <w:r w:rsidRPr="00A65829">
        <w:rPr>
          <w:rFonts w:ascii="Arial" w:hAnsi="Arial" w:cs="Arial"/>
          <w:i/>
          <w:iCs/>
          <w:sz w:val="20"/>
          <w:szCs w:val="20"/>
          <w14:textOutline w14:w="0" w14:cap="flat" w14:cmpd="sng" w14:algn="ctr">
            <w14:noFill/>
            <w14:prstDash w14:val="solid"/>
            <w14:bevel/>
          </w14:textOutline>
        </w:rPr>
        <w:t>Frontiers in Bioscience, 2</w:t>
      </w:r>
      <w:r w:rsidRPr="00A65829">
        <w:rPr>
          <w:rFonts w:ascii="Arial" w:hAnsi="Arial" w:cs="Arial"/>
          <w:sz w:val="20"/>
          <w:szCs w:val="20"/>
          <w14:textOutline w14:w="0" w14:cap="flat" w14:cmpd="sng" w14:algn="ctr">
            <w14:noFill/>
            <w14:prstDash w14:val="solid"/>
            <w14:bevel/>
          </w14:textOutline>
        </w:rPr>
        <w:t>(1), 12–26.</w:t>
      </w:r>
    </w:p>
    <w:p w14:paraId="3FBD2C78"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Ferrante, A. W. (2007). Obesity-induced inflammation: A metabolic dialogue in the language of inflammation. </w:t>
      </w:r>
      <w:r w:rsidRPr="00A65829">
        <w:rPr>
          <w:rFonts w:ascii="Arial" w:hAnsi="Arial" w:cs="Arial"/>
          <w:i/>
          <w:iCs/>
          <w:sz w:val="20"/>
          <w:szCs w:val="20"/>
        </w:rPr>
        <w:t>Journal of Internal Medicine, 262</w:t>
      </w:r>
      <w:r w:rsidRPr="00A65829">
        <w:rPr>
          <w:rFonts w:ascii="Arial" w:hAnsi="Arial" w:cs="Arial"/>
          <w:sz w:val="20"/>
          <w:szCs w:val="20"/>
        </w:rPr>
        <w:t>(4), 408–415.</w:t>
      </w:r>
    </w:p>
    <w:p w14:paraId="575FC2D2" w14:textId="77777777" w:rsidR="00D80AA6" w:rsidRPr="00A65829" w:rsidRDefault="00D80AA6" w:rsidP="00A65829">
      <w:pPr>
        <w:pStyle w:val="NoSpacing"/>
        <w:spacing w:before="240"/>
        <w:jc w:val="both"/>
        <w:rPr>
          <w:rFonts w:ascii="Arial" w:hAnsi="Arial" w:cs="Arial"/>
          <w:b/>
          <w:bCs/>
          <w:sz w:val="20"/>
          <w:szCs w:val="20"/>
          <w:lang w:val="pt-BR"/>
        </w:rPr>
      </w:pPr>
      <w:r w:rsidRPr="00A65829">
        <w:rPr>
          <w:rFonts w:ascii="Arial" w:hAnsi="Arial" w:cs="Arial"/>
          <w:sz w:val="20"/>
          <w:szCs w:val="20"/>
        </w:rPr>
        <w:t xml:space="preserve">Furman, D., Campisi, J., Verdin, E., Carrera-Bastos, P., </w:t>
      </w:r>
      <w:proofErr w:type="spellStart"/>
      <w:r w:rsidRPr="00A65829">
        <w:rPr>
          <w:rFonts w:ascii="Arial" w:hAnsi="Arial" w:cs="Arial"/>
          <w:sz w:val="20"/>
          <w:szCs w:val="20"/>
        </w:rPr>
        <w:t>Targ</w:t>
      </w:r>
      <w:proofErr w:type="spellEnd"/>
      <w:r w:rsidRPr="00A65829">
        <w:rPr>
          <w:rFonts w:ascii="Arial" w:hAnsi="Arial" w:cs="Arial"/>
          <w:sz w:val="20"/>
          <w:szCs w:val="20"/>
        </w:rPr>
        <w:t xml:space="preserve">, S., Franceschi, C., et al. (2019). Chronic inflammation in the etiology of disease across the life span. </w:t>
      </w:r>
      <w:r w:rsidRPr="00A65829">
        <w:rPr>
          <w:rFonts w:ascii="Arial" w:hAnsi="Arial" w:cs="Arial"/>
          <w:i/>
          <w:iCs/>
          <w:sz w:val="20"/>
          <w:szCs w:val="20"/>
          <w:lang w:val="pt-BR"/>
        </w:rPr>
        <w:t>Nature Medicine, 25</w:t>
      </w:r>
      <w:r w:rsidRPr="00A65829">
        <w:rPr>
          <w:rFonts w:ascii="Arial" w:hAnsi="Arial" w:cs="Arial"/>
          <w:sz w:val="20"/>
          <w:szCs w:val="20"/>
          <w:lang w:val="pt-BR"/>
        </w:rPr>
        <w:t>(12), 1822–1830.</w:t>
      </w:r>
    </w:p>
    <w:p w14:paraId="0FC1DA38"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lang w:val="pt-BR"/>
        </w:rPr>
        <w:t xml:space="preserve">Gameiro, G. H., Nouer, D. F., Matsumoto, M. A., Dominguez, G. C., &amp; de Oliveira, D. D. (2008). </w:t>
      </w:r>
      <w:r w:rsidRPr="00A65829">
        <w:rPr>
          <w:rFonts w:ascii="Arial" w:hAnsi="Arial" w:cs="Arial"/>
          <w:sz w:val="20"/>
          <w:szCs w:val="20"/>
        </w:rPr>
        <w:t xml:space="preserve">Effects of short- and long-term celecoxib on orthodontic tooth movement. </w:t>
      </w:r>
      <w:r w:rsidRPr="00A65829">
        <w:rPr>
          <w:rFonts w:ascii="Arial" w:hAnsi="Arial" w:cs="Arial"/>
          <w:i/>
          <w:iCs/>
          <w:sz w:val="20"/>
          <w:szCs w:val="20"/>
        </w:rPr>
        <w:t>The Angle Orthodontist, 78</w:t>
      </w:r>
      <w:r w:rsidRPr="00A65829">
        <w:rPr>
          <w:rFonts w:ascii="Arial" w:hAnsi="Arial" w:cs="Arial"/>
          <w:sz w:val="20"/>
          <w:szCs w:val="20"/>
        </w:rPr>
        <w:t>(5), 860–865.</w:t>
      </w:r>
    </w:p>
    <w:p w14:paraId="1ADD4759" w14:textId="77777777" w:rsidR="00D80AA6" w:rsidRPr="00A65829" w:rsidRDefault="00D80AA6" w:rsidP="00A65829">
      <w:pPr>
        <w:pStyle w:val="NoSpacing"/>
        <w:spacing w:before="240"/>
        <w:jc w:val="both"/>
        <w:rPr>
          <w:rFonts w:ascii="Arial" w:hAnsi="Arial" w:cs="Arial"/>
          <w:b/>
          <w:bCs/>
          <w:sz w:val="20"/>
          <w:szCs w:val="20"/>
        </w:rPr>
      </w:pPr>
      <w:proofErr w:type="spellStart"/>
      <w:r w:rsidRPr="00A65829">
        <w:rPr>
          <w:rFonts w:ascii="Arial" w:hAnsi="Arial" w:cs="Arial"/>
          <w:sz w:val="20"/>
          <w:szCs w:val="20"/>
        </w:rPr>
        <w:t>Graunaite</w:t>
      </w:r>
      <w:proofErr w:type="spellEnd"/>
      <w:r w:rsidRPr="00A65829">
        <w:rPr>
          <w:rFonts w:ascii="Arial" w:hAnsi="Arial" w:cs="Arial"/>
          <w:sz w:val="20"/>
          <w:szCs w:val="20"/>
        </w:rPr>
        <w:t xml:space="preserve">, I., </w:t>
      </w:r>
      <w:proofErr w:type="spellStart"/>
      <w:r w:rsidRPr="00A65829">
        <w:rPr>
          <w:rFonts w:ascii="Arial" w:hAnsi="Arial" w:cs="Arial"/>
          <w:sz w:val="20"/>
          <w:szCs w:val="20"/>
        </w:rPr>
        <w:t>Vaitkeviciene</w:t>
      </w:r>
      <w:proofErr w:type="spellEnd"/>
      <w:r w:rsidRPr="00A65829">
        <w:rPr>
          <w:rFonts w:ascii="Arial" w:hAnsi="Arial" w:cs="Arial"/>
          <w:sz w:val="20"/>
          <w:szCs w:val="20"/>
        </w:rPr>
        <w:t xml:space="preserve">, G., &amp; </w:t>
      </w:r>
      <w:proofErr w:type="spellStart"/>
      <w:r w:rsidRPr="00A65829">
        <w:rPr>
          <w:rFonts w:ascii="Arial" w:hAnsi="Arial" w:cs="Arial"/>
          <w:sz w:val="20"/>
          <w:szCs w:val="20"/>
        </w:rPr>
        <w:t>Mickeviciene</w:t>
      </w:r>
      <w:proofErr w:type="spellEnd"/>
      <w:r w:rsidRPr="00A65829">
        <w:rPr>
          <w:rFonts w:ascii="Arial" w:hAnsi="Arial" w:cs="Arial"/>
          <w:sz w:val="20"/>
          <w:szCs w:val="20"/>
        </w:rPr>
        <w:t xml:space="preserve">, L. (2012). Pathogenesis of apical periodontitis: The role of RANK/RANKL/OPG system. </w:t>
      </w:r>
      <w:proofErr w:type="spellStart"/>
      <w:r w:rsidRPr="00A65829">
        <w:rPr>
          <w:rFonts w:ascii="Arial" w:hAnsi="Arial" w:cs="Arial"/>
          <w:i/>
          <w:iCs/>
          <w:sz w:val="20"/>
          <w:szCs w:val="20"/>
        </w:rPr>
        <w:t>Stomatologija</w:t>
      </w:r>
      <w:proofErr w:type="spellEnd"/>
      <w:r w:rsidRPr="00A65829">
        <w:rPr>
          <w:rFonts w:ascii="Arial" w:hAnsi="Arial" w:cs="Arial"/>
          <w:i/>
          <w:iCs/>
          <w:sz w:val="20"/>
          <w:szCs w:val="20"/>
        </w:rPr>
        <w:t>, 14</w:t>
      </w:r>
      <w:r w:rsidRPr="00A65829">
        <w:rPr>
          <w:rFonts w:ascii="Arial" w:hAnsi="Arial" w:cs="Arial"/>
          <w:sz w:val="20"/>
          <w:szCs w:val="20"/>
        </w:rPr>
        <w:t>(1), 7–15.</w:t>
      </w:r>
    </w:p>
    <w:p w14:paraId="3606F33B" w14:textId="77777777" w:rsidR="00D80AA6" w:rsidRPr="00A65829" w:rsidRDefault="00D80AA6" w:rsidP="00A65829">
      <w:pPr>
        <w:pStyle w:val="NoSpacing"/>
        <w:spacing w:before="240"/>
        <w:jc w:val="both"/>
        <w:rPr>
          <w:rFonts w:ascii="Arial" w:hAnsi="Arial" w:cs="Arial"/>
          <w:b/>
          <w:bCs/>
          <w:sz w:val="20"/>
          <w:szCs w:val="20"/>
        </w:rPr>
      </w:pPr>
      <w:proofErr w:type="spellStart"/>
      <w:r w:rsidRPr="00A65829">
        <w:rPr>
          <w:rFonts w:ascii="Arial" w:hAnsi="Arial" w:cs="Arial"/>
          <w:sz w:val="20"/>
          <w:szCs w:val="20"/>
        </w:rPr>
        <w:t>Hajishengallis</w:t>
      </w:r>
      <w:proofErr w:type="spellEnd"/>
      <w:r w:rsidRPr="00A65829">
        <w:rPr>
          <w:rFonts w:ascii="Arial" w:hAnsi="Arial" w:cs="Arial"/>
          <w:sz w:val="20"/>
          <w:szCs w:val="20"/>
        </w:rPr>
        <w:t xml:space="preserve">, G., Kajikawa, T., </w:t>
      </w:r>
      <w:proofErr w:type="spellStart"/>
      <w:r w:rsidRPr="00A65829">
        <w:rPr>
          <w:rFonts w:ascii="Arial" w:hAnsi="Arial" w:cs="Arial"/>
          <w:sz w:val="20"/>
          <w:szCs w:val="20"/>
        </w:rPr>
        <w:t>Pavlopoulou</w:t>
      </w:r>
      <w:proofErr w:type="spellEnd"/>
      <w:r w:rsidRPr="00A65829">
        <w:rPr>
          <w:rFonts w:ascii="Arial" w:hAnsi="Arial" w:cs="Arial"/>
          <w:sz w:val="20"/>
          <w:szCs w:val="20"/>
        </w:rPr>
        <w:t xml:space="preserve">, A., et al. (2019). Complement-dependent mechanisms in periodontal disease and potential therapeutic approaches. </w:t>
      </w:r>
      <w:r w:rsidRPr="00A65829">
        <w:rPr>
          <w:rFonts w:ascii="Arial" w:hAnsi="Arial" w:cs="Arial"/>
          <w:i/>
          <w:iCs/>
          <w:sz w:val="20"/>
          <w:szCs w:val="20"/>
        </w:rPr>
        <w:t>Frontiers in Immunology, 10</w:t>
      </w:r>
      <w:r w:rsidRPr="00A65829">
        <w:rPr>
          <w:rFonts w:ascii="Arial" w:hAnsi="Arial" w:cs="Arial"/>
          <w:sz w:val="20"/>
          <w:szCs w:val="20"/>
        </w:rPr>
        <w:t>, 1–12.</w:t>
      </w:r>
    </w:p>
    <w:p w14:paraId="43ADE65D" w14:textId="77777777" w:rsidR="00D80AA6" w:rsidRPr="00A65829" w:rsidRDefault="00D80AA6" w:rsidP="00A65829">
      <w:pPr>
        <w:pStyle w:val="NoSpacing"/>
        <w:spacing w:before="240"/>
        <w:jc w:val="both"/>
        <w:rPr>
          <w:rFonts w:ascii="Arial" w:hAnsi="Arial" w:cs="Arial"/>
          <w:b/>
          <w:bCs/>
          <w:sz w:val="20"/>
          <w:szCs w:val="20"/>
        </w:rPr>
      </w:pPr>
      <w:proofErr w:type="spellStart"/>
      <w:r w:rsidRPr="00A65829">
        <w:rPr>
          <w:rFonts w:ascii="Arial" w:hAnsi="Arial" w:cs="Arial"/>
          <w:sz w:val="20"/>
          <w:szCs w:val="20"/>
        </w:rPr>
        <w:t>Hajishengallis</w:t>
      </w:r>
      <w:proofErr w:type="spellEnd"/>
      <w:r w:rsidRPr="00A65829">
        <w:rPr>
          <w:rFonts w:ascii="Arial" w:hAnsi="Arial" w:cs="Arial"/>
          <w:sz w:val="20"/>
          <w:szCs w:val="20"/>
        </w:rPr>
        <w:t xml:space="preserve">, G., &amp; </w:t>
      </w:r>
      <w:proofErr w:type="spellStart"/>
      <w:r w:rsidRPr="00A65829">
        <w:rPr>
          <w:rFonts w:ascii="Arial" w:hAnsi="Arial" w:cs="Arial"/>
          <w:sz w:val="20"/>
          <w:szCs w:val="20"/>
        </w:rPr>
        <w:t>Lambris</w:t>
      </w:r>
      <w:proofErr w:type="spellEnd"/>
      <w:r w:rsidRPr="00A65829">
        <w:rPr>
          <w:rFonts w:ascii="Arial" w:hAnsi="Arial" w:cs="Arial"/>
          <w:sz w:val="20"/>
          <w:szCs w:val="20"/>
        </w:rPr>
        <w:t xml:space="preserve">, J. D. (2010). Complement and dysbiosis in periodontal disease. </w:t>
      </w:r>
      <w:r w:rsidRPr="00A65829">
        <w:rPr>
          <w:rFonts w:ascii="Arial" w:hAnsi="Arial" w:cs="Arial"/>
          <w:i/>
          <w:iCs/>
          <w:sz w:val="20"/>
          <w:szCs w:val="20"/>
        </w:rPr>
        <w:t>Immunobiology, 215</w:t>
      </w:r>
      <w:r w:rsidRPr="00A65829">
        <w:rPr>
          <w:rFonts w:ascii="Arial" w:hAnsi="Arial" w:cs="Arial"/>
          <w:sz w:val="20"/>
          <w:szCs w:val="20"/>
        </w:rPr>
        <w:t>(8), 3171–3176.</w:t>
      </w:r>
    </w:p>
    <w:p w14:paraId="016B6604"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Hartsfield, J. K., Jr., Everett, E. T., &amp; Al-Qawasmi, R. A. (2004). Genetic factors in external apical root resorption and orthodontic treatment. </w:t>
      </w:r>
      <w:r w:rsidRPr="00A65829">
        <w:rPr>
          <w:rFonts w:ascii="Arial" w:hAnsi="Arial" w:cs="Arial"/>
          <w:i/>
          <w:iCs/>
          <w:sz w:val="20"/>
          <w:szCs w:val="20"/>
        </w:rPr>
        <w:t>Critical Reviews in Oral Biology &amp; Medicine, 15</w:t>
      </w:r>
      <w:r w:rsidRPr="00A65829">
        <w:rPr>
          <w:rFonts w:ascii="Arial" w:hAnsi="Arial" w:cs="Arial"/>
          <w:sz w:val="20"/>
          <w:szCs w:val="20"/>
        </w:rPr>
        <w:t>(2), 115–122.</w:t>
      </w:r>
    </w:p>
    <w:p w14:paraId="10354DF8"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lastRenderedPageBreak/>
        <w:t xml:space="preserve">Heller, I. J., &amp; Nanda, R. (1979). The effect of metabolic alteration of periodontal fibers on orthodontic tooth movement. </w:t>
      </w:r>
      <w:r w:rsidRPr="00A65829">
        <w:rPr>
          <w:rFonts w:ascii="Arial" w:hAnsi="Arial" w:cs="Arial"/>
          <w:i/>
          <w:iCs/>
          <w:sz w:val="20"/>
          <w:szCs w:val="20"/>
        </w:rPr>
        <w:t>American Journal of Orthodontics, 75</w:t>
      </w:r>
      <w:r w:rsidRPr="00A65829">
        <w:rPr>
          <w:rFonts w:ascii="Arial" w:hAnsi="Arial" w:cs="Arial"/>
          <w:sz w:val="20"/>
          <w:szCs w:val="20"/>
        </w:rPr>
        <w:t>(3), 239–257.</w:t>
      </w:r>
    </w:p>
    <w:p w14:paraId="67FCE481"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Heredia, J. E., Mukundan, L., Chen, F. M., Mueller, A. A., Deo, R. C., Corvera, S., et al. (2012). Obesity-induced changes in T cell function. </w:t>
      </w:r>
      <w:r w:rsidRPr="00A65829">
        <w:rPr>
          <w:rFonts w:ascii="Arial" w:hAnsi="Arial" w:cs="Arial"/>
          <w:i/>
          <w:iCs/>
          <w:sz w:val="20"/>
          <w:szCs w:val="20"/>
        </w:rPr>
        <w:t>Journal of Leukocyte Biology, 91</w:t>
      </w:r>
      <w:r w:rsidRPr="00A65829">
        <w:rPr>
          <w:rFonts w:ascii="Arial" w:hAnsi="Arial" w:cs="Arial"/>
          <w:sz w:val="20"/>
          <w:szCs w:val="20"/>
        </w:rPr>
        <w:t>(2), 275–282.</w:t>
      </w:r>
    </w:p>
    <w:p w14:paraId="6BD72428"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Heredia, J. E., Mukund, K., Rose, N. R., et al. (2013). Type 2 innate signals stimulate fibro/</w:t>
      </w:r>
      <w:proofErr w:type="spellStart"/>
      <w:r w:rsidRPr="00A65829">
        <w:rPr>
          <w:rFonts w:ascii="Arial" w:hAnsi="Arial" w:cs="Arial"/>
          <w:sz w:val="20"/>
          <w:szCs w:val="20"/>
        </w:rPr>
        <w:t>adipogenic</w:t>
      </w:r>
      <w:proofErr w:type="spellEnd"/>
      <w:r w:rsidRPr="00A65829">
        <w:rPr>
          <w:rFonts w:ascii="Arial" w:hAnsi="Arial" w:cs="Arial"/>
          <w:sz w:val="20"/>
          <w:szCs w:val="20"/>
        </w:rPr>
        <w:t xml:space="preserve"> progenitors to facilitate muscle regeneration. </w:t>
      </w:r>
      <w:r w:rsidRPr="00A65829">
        <w:rPr>
          <w:rFonts w:ascii="Arial" w:hAnsi="Arial" w:cs="Arial"/>
          <w:i/>
          <w:iCs/>
          <w:sz w:val="20"/>
          <w:szCs w:val="20"/>
        </w:rPr>
        <w:t>Cell, 153</w:t>
      </w:r>
      <w:r w:rsidRPr="00A65829">
        <w:rPr>
          <w:rFonts w:ascii="Arial" w:hAnsi="Arial" w:cs="Arial"/>
          <w:sz w:val="20"/>
          <w:szCs w:val="20"/>
        </w:rPr>
        <w:t>(2), 376–388.</w:t>
      </w:r>
    </w:p>
    <w:p w14:paraId="3792FB48"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Hong, R. K., Kang, M. K., &amp; Park, Y. C. (1992). The effect of orthodontic retention on the mechanical properties of the periodontal ligament in the rat maxillary first molar. </w:t>
      </w:r>
      <w:r w:rsidRPr="00A65829">
        <w:rPr>
          <w:rFonts w:ascii="Arial" w:hAnsi="Arial" w:cs="Arial"/>
          <w:i/>
          <w:iCs/>
          <w:sz w:val="20"/>
          <w:szCs w:val="20"/>
        </w:rPr>
        <w:t>Journal of Dental Research, 71</w:t>
      </w:r>
      <w:r w:rsidRPr="00A65829">
        <w:rPr>
          <w:rFonts w:ascii="Arial" w:hAnsi="Arial" w:cs="Arial"/>
          <w:sz w:val="20"/>
          <w:szCs w:val="20"/>
        </w:rPr>
        <w:t>(7), 1350–1354.</w:t>
      </w:r>
    </w:p>
    <w:p w14:paraId="1CBED09A"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Huang, H., &amp; Saito, S. (2007). Bone resorption in orthodontic tooth movement. </w:t>
      </w:r>
      <w:r w:rsidRPr="00A65829">
        <w:rPr>
          <w:rFonts w:ascii="Arial" w:hAnsi="Arial" w:cs="Arial"/>
          <w:i/>
          <w:iCs/>
          <w:sz w:val="20"/>
          <w:szCs w:val="20"/>
        </w:rPr>
        <w:t>Oral Diseases, 13</w:t>
      </w:r>
      <w:r w:rsidRPr="00A65829">
        <w:rPr>
          <w:rFonts w:ascii="Arial" w:hAnsi="Arial" w:cs="Arial"/>
          <w:sz w:val="20"/>
          <w:szCs w:val="20"/>
        </w:rPr>
        <w:t>(2), 127–137.</w:t>
      </w:r>
    </w:p>
    <w:p w14:paraId="5F555672"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Jais, A., &amp; Brüning, J. C. (2017). Hypothalamic control of systemic glucose homeostasis. </w:t>
      </w:r>
      <w:r w:rsidRPr="00A65829">
        <w:rPr>
          <w:rFonts w:ascii="Arial" w:hAnsi="Arial" w:cs="Arial"/>
          <w:i/>
          <w:iCs/>
          <w:sz w:val="20"/>
          <w:szCs w:val="20"/>
        </w:rPr>
        <w:t>Nature Neuroscience, 20</w:t>
      </w:r>
      <w:r w:rsidRPr="00A65829">
        <w:rPr>
          <w:rFonts w:ascii="Arial" w:hAnsi="Arial" w:cs="Arial"/>
          <w:sz w:val="20"/>
          <w:szCs w:val="20"/>
        </w:rPr>
        <w:t>(1), 7–19.</w:t>
      </w:r>
    </w:p>
    <w:p w14:paraId="67E23D96"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Jayachandran, T., Srinivasan, B., &amp; Padmanabhan, S. (2017). Salivary leptin levels in normal weight and overweight individuals and their correlation with orthodontic tooth movement. </w:t>
      </w:r>
      <w:r w:rsidRPr="00A65829">
        <w:rPr>
          <w:rFonts w:ascii="Arial" w:hAnsi="Arial" w:cs="Arial"/>
          <w:i/>
          <w:iCs/>
          <w:sz w:val="20"/>
          <w:szCs w:val="20"/>
        </w:rPr>
        <w:t>The Angle Orthodontist, 87</w:t>
      </w:r>
      <w:r w:rsidRPr="00A65829">
        <w:rPr>
          <w:rFonts w:ascii="Arial" w:hAnsi="Arial" w:cs="Arial"/>
          <w:sz w:val="20"/>
          <w:szCs w:val="20"/>
        </w:rPr>
        <w:t>(5), 739–744.</w:t>
      </w:r>
    </w:p>
    <w:p w14:paraId="6D618C17"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Jepsen, S., Marshall, R. I., &amp; Antoniades, H. (2020). Obesity and periodontitis: A complex relationship. </w:t>
      </w:r>
      <w:r w:rsidRPr="00A65829">
        <w:rPr>
          <w:rFonts w:ascii="Arial" w:hAnsi="Arial" w:cs="Arial"/>
          <w:i/>
          <w:iCs/>
          <w:sz w:val="20"/>
          <w:szCs w:val="20"/>
        </w:rPr>
        <w:t>Periodontology 2000, 83</w:t>
      </w:r>
      <w:r w:rsidRPr="00A65829">
        <w:rPr>
          <w:rFonts w:ascii="Arial" w:hAnsi="Arial" w:cs="Arial"/>
          <w:sz w:val="20"/>
          <w:szCs w:val="20"/>
        </w:rPr>
        <w:t>(1), 124–133.</w:t>
      </w:r>
    </w:p>
    <w:p w14:paraId="52483E13" w14:textId="77777777" w:rsidR="00D80AA6" w:rsidRDefault="00D80AA6" w:rsidP="00A65829">
      <w:pPr>
        <w:pStyle w:val="NoSpacing"/>
        <w:spacing w:before="240"/>
        <w:jc w:val="both"/>
        <w:rPr>
          <w:rFonts w:ascii="Arial" w:hAnsi="Arial" w:cs="Arial"/>
          <w:sz w:val="20"/>
          <w:szCs w:val="20"/>
        </w:rPr>
      </w:pPr>
      <w:r w:rsidRPr="00A65829">
        <w:rPr>
          <w:rFonts w:ascii="Arial" w:hAnsi="Arial" w:cs="Arial"/>
          <w:sz w:val="20"/>
          <w:szCs w:val="20"/>
        </w:rPr>
        <w:t xml:space="preserve">Krishnan, V., &amp; Davidovitch, Z. (2006). Cellular, molecular, and tissue-level reactions to orthodontic force. </w:t>
      </w:r>
      <w:r w:rsidRPr="00A65829">
        <w:rPr>
          <w:rFonts w:ascii="Arial" w:hAnsi="Arial" w:cs="Arial"/>
          <w:i/>
          <w:iCs/>
          <w:sz w:val="20"/>
          <w:szCs w:val="20"/>
        </w:rPr>
        <w:t>American Journal of Orthodontics and Dentofacial Orthopedics, 129</w:t>
      </w:r>
      <w:r w:rsidRPr="00A65829">
        <w:rPr>
          <w:rFonts w:ascii="Arial" w:hAnsi="Arial" w:cs="Arial"/>
          <w:sz w:val="20"/>
          <w:szCs w:val="20"/>
        </w:rPr>
        <w:t>(4), 469.e1–469.e32.</w:t>
      </w:r>
    </w:p>
    <w:p w14:paraId="0E6969C3" w14:textId="77777777" w:rsidR="00A65829" w:rsidRPr="00A65829" w:rsidRDefault="00A65829" w:rsidP="00A65829">
      <w:pPr>
        <w:pStyle w:val="NoSpacing"/>
        <w:spacing w:before="240"/>
        <w:jc w:val="both"/>
        <w:rPr>
          <w:rFonts w:ascii="Arial" w:hAnsi="Arial" w:cs="Arial"/>
          <w:b/>
          <w:bCs/>
          <w:sz w:val="20"/>
          <w:szCs w:val="20"/>
        </w:rPr>
      </w:pPr>
    </w:p>
    <w:p w14:paraId="38823226" w14:textId="2BDFD1B8" w:rsidR="00D80AA6" w:rsidRDefault="00D80AA6" w:rsidP="00A65829">
      <w:pPr>
        <w:pStyle w:val="NoSpacing"/>
        <w:jc w:val="both"/>
        <w:rPr>
          <w:rFonts w:ascii="Arial" w:hAnsi="Arial" w:cs="Arial"/>
          <w:sz w:val="20"/>
          <w:szCs w:val="20"/>
        </w:rPr>
      </w:pPr>
      <w:r w:rsidRPr="00A65829">
        <w:rPr>
          <w:rFonts w:ascii="Arial" w:hAnsi="Arial" w:cs="Arial"/>
          <w:sz w:val="20"/>
          <w:szCs w:val="20"/>
        </w:rPr>
        <w:t>Kubo, H</w:t>
      </w:r>
      <w:r w:rsidR="00A961C9" w:rsidRPr="00A65829">
        <w:rPr>
          <w:rFonts w:ascii="Arial" w:hAnsi="Arial" w:cs="Arial"/>
          <w:sz w:val="20"/>
          <w:szCs w:val="20"/>
        </w:rPr>
        <w:t>, L TP, Bruder C, Bertolo CA, Ortolani CLF, Takei VLF.</w:t>
      </w:r>
      <w:r w:rsidRPr="00A65829">
        <w:rPr>
          <w:rFonts w:ascii="Arial" w:hAnsi="Arial" w:cs="Arial"/>
          <w:sz w:val="20"/>
          <w:szCs w:val="20"/>
        </w:rPr>
        <w:t xml:space="preserve"> </w:t>
      </w:r>
      <w:r w:rsidRPr="00A65829">
        <w:rPr>
          <w:rFonts w:ascii="Arial" w:hAnsi="Arial" w:cs="Arial"/>
          <w:sz w:val="20"/>
          <w:szCs w:val="20"/>
          <w:lang w:val="pt-BR"/>
        </w:rPr>
        <w:t xml:space="preserve">(2018). </w:t>
      </w:r>
      <w:r w:rsidR="00A961C9" w:rsidRPr="00A65829">
        <w:rPr>
          <w:rFonts w:ascii="Arial" w:hAnsi="Arial" w:cs="Arial"/>
          <w:sz w:val="20"/>
          <w:szCs w:val="20"/>
        </w:rPr>
        <w:t>Thyroid gland dysfunction and the orthodontic treatment: integrative review of literature</w:t>
      </w:r>
      <w:r w:rsidRPr="00A65829">
        <w:rPr>
          <w:rFonts w:ascii="Arial" w:hAnsi="Arial" w:cs="Arial"/>
          <w:sz w:val="20"/>
          <w:szCs w:val="20"/>
          <w:lang w:val="pt-BR"/>
        </w:rPr>
        <w:t xml:space="preserve">. </w:t>
      </w:r>
      <w:proofErr w:type="spellStart"/>
      <w:r w:rsidRPr="00A65829">
        <w:rPr>
          <w:rFonts w:ascii="Arial" w:hAnsi="Arial" w:cs="Arial"/>
          <w:i/>
          <w:iCs/>
          <w:sz w:val="20"/>
          <w:szCs w:val="20"/>
        </w:rPr>
        <w:t>Revista</w:t>
      </w:r>
      <w:proofErr w:type="spellEnd"/>
      <w:r w:rsidRPr="00A65829">
        <w:rPr>
          <w:rFonts w:ascii="Arial" w:hAnsi="Arial" w:cs="Arial"/>
          <w:i/>
          <w:iCs/>
          <w:sz w:val="20"/>
          <w:szCs w:val="20"/>
        </w:rPr>
        <w:t xml:space="preserve"> UNINGÁ, 55</w:t>
      </w:r>
      <w:r w:rsidRPr="00A65829">
        <w:rPr>
          <w:rFonts w:ascii="Arial" w:hAnsi="Arial" w:cs="Arial"/>
          <w:sz w:val="20"/>
          <w:szCs w:val="20"/>
        </w:rPr>
        <w:t>(3), 100–110.</w:t>
      </w:r>
    </w:p>
    <w:p w14:paraId="2D451ADB" w14:textId="77777777" w:rsidR="00A65829" w:rsidRPr="00A65829" w:rsidRDefault="00A65829" w:rsidP="00A65829">
      <w:pPr>
        <w:pStyle w:val="NoSpacing"/>
        <w:jc w:val="both"/>
        <w:rPr>
          <w:rFonts w:ascii="Arial" w:hAnsi="Arial" w:cs="Arial"/>
          <w:b/>
          <w:bCs/>
          <w:sz w:val="20"/>
          <w:szCs w:val="20"/>
        </w:rPr>
      </w:pPr>
    </w:p>
    <w:p w14:paraId="75CAAE13" w14:textId="77777777" w:rsidR="00D80AA6" w:rsidRDefault="00D80AA6" w:rsidP="00A65829">
      <w:pPr>
        <w:pStyle w:val="NoSpacing"/>
        <w:jc w:val="both"/>
        <w:rPr>
          <w:rFonts w:ascii="Arial" w:hAnsi="Arial" w:cs="Arial"/>
          <w:sz w:val="20"/>
          <w:szCs w:val="20"/>
          <w:lang w:val="pt-BR"/>
        </w:rPr>
      </w:pPr>
      <w:r w:rsidRPr="00A65829">
        <w:rPr>
          <w:rFonts w:ascii="Arial" w:hAnsi="Arial" w:cs="Arial"/>
          <w:sz w:val="20"/>
          <w:szCs w:val="20"/>
        </w:rPr>
        <w:t xml:space="preserve">Lam, R. (2016). Epidemiology and outcomes of traumatic dental injuries: A review of the literature. </w:t>
      </w:r>
      <w:r w:rsidRPr="00A65829">
        <w:rPr>
          <w:rFonts w:ascii="Arial" w:hAnsi="Arial" w:cs="Arial"/>
          <w:i/>
          <w:iCs/>
          <w:sz w:val="20"/>
          <w:szCs w:val="20"/>
          <w:lang w:val="pt-BR"/>
        </w:rPr>
        <w:t>Australian Dental Journal, 61</w:t>
      </w:r>
      <w:r w:rsidRPr="00A65829">
        <w:rPr>
          <w:rFonts w:ascii="Arial" w:hAnsi="Arial" w:cs="Arial"/>
          <w:sz w:val="20"/>
          <w:szCs w:val="20"/>
          <w:lang w:val="pt-BR"/>
        </w:rPr>
        <w:t>, 4–20.</w:t>
      </w:r>
    </w:p>
    <w:p w14:paraId="747D2486" w14:textId="77777777" w:rsidR="001B6AC0" w:rsidRDefault="001B6AC0" w:rsidP="00A65829">
      <w:pPr>
        <w:pStyle w:val="NoSpacing"/>
        <w:jc w:val="both"/>
        <w:rPr>
          <w:rFonts w:ascii="Arial" w:hAnsi="Arial" w:cs="Arial"/>
          <w:sz w:val="20"/>
          <w:szCs w:val="20"/>
          <w:lang w:val="pt-BR"/>
        </w:rPr>
      </w:pPr>
    </w:p>
    <w:p w14:paraId="13316CBF" w14:textId="5A8D8CC2" w:rsidR="001B6AC0" w:rsidRPr="00A65829" w:rsidRDefault="001B6AC0" w:rsidP="00A65829">
      <w:pPr>
        <w:pStyle w:val="NoSpacing"/>
        <w:jc w:val="both"/>
        <w:rPr>
          <w:rFonts w:ascii="Arial" w:hAnsi="Arial" w:cs="Arial"/>
          <w:sz w:val="20"/>
          <w:szCs w:val="20"/>
          <w:lang w:val="pt-BR"/>
        </w:rPr>
      </w:pPr>
      <w:proofErr w:type="spellStart"/>
      <w:r w:rsidRPr="001B6AC0">
        <w:rPr>
          <w:rFonts w:ascii="Arial" w:hAnsi="Arial" w:cs="Arial"/>
          <w:sz w:val="20"/>
          <w:szCs w:val="20"/>
        </w:rPr>
        <w:t>Lucietto</w:t>
      </w:r>
      <w:proofErr w:type="spellEnd"/>
      <w:r w:rsidRPr="001B6AC0">
        <w:rPr>
          <w:rFonts w:ascii="Arial" w:hAnsi="Arial" w:cs="Arial"/>
          <w:sz w:val="20"/>
          <w:szCs w:val="20"/>
        </w:rPr>
        <w:t>, G., Pasa, A. P. B. C., Brandão, H. C.B., Busato,  M.  C.  A.,  Porto,  E.  M.,  &amp;  Amorim, J. P. A. (2024). The impact of ovariectomy and  dental  trauma  on  dental  pulp,  tooth movement,   and   internal   root   resorption: Findings   from   a   rat   model. Journal   of Advances    in    Medicine    and    Medical Research, 36, 42–53.</w:t>
      </w:r>
    </w:p>
    <w:p w14:paraId="6397D14C" w14:textId="77777777" w:rsidR="00A961C9" w:rsidRPr="00A65829" w:rsidRDefault="00A961C9" w:rsidP="00A65829">
      <w:pPr>
        <w:pStyle w:val="NoSpacing"/>
        <w:jc w:val="both"/>
        <w:rPr>
          <w:rFonts w:ascii="Arial" w:hAnsi="Arial" w:cs="Arial"/>
          <w:b/>
          <w:bCs/>
          <w:sz w:val="20"/>
          <w:szCs w:val="20"/>
          <w:lang w:val="pt-BR"/>
        </w:rPr>
      </w:pPr>
    </w:p>
    <w:p w14:paraId="17157AD3" w14:textId="77777777" w:rsidR="00A961C9" w:rsidRPr="00A65829" w:rsidRDefault="00D80AA6" w:rsidP="00A65829">
      <w:pPr>
        <w:pStyle w:val="NoSpacing"/>
        <w:jc w:val="both"/>
        <w:rPr>
          <w:rFonts w:ascii="Arial" w:hAnsi="Arial" w:cs="Arial"/>
          <w:sz w:val="20"/>
          <w:szCs w:val="20"/>
          <w:lang w:val="pt-BR"/>
        </w:rPr>
      </w:pPr>
      <w:r w:rsidRPr="00A65829">
        <w:rPr>
          <w:rFonts w:ascii="Arial" w:hAnsi="Arial" w:cs="Arial"/>
          <w:sz w:val="20"/>
          <w:szCs w:val="20"/>
          <w:lang w:val="pt-BR"/>
        </w:rPr>
        <w:t xml:space="preserve">Maló, L., Cabrita, A., &amp; Rafael, A. (2014). </w:t>
      </w:r>
      <w:r w:rsidR="00A961C9" w:rsidRPr="00A65829">
        <w:rPr>
          <w:rFonts w:ascii="Arial" w:hAnsi="Arial" w:cs="Arial"/>
          <w:sz w:val="20"/>
          <w:szCs w:val="20"/>
        </w:rPr>
        <w:t xml:space="preserve">Orthodontic movement; evaluation of periodontal ligament in </w:t>
      </w:r>
      <w:proofErr w:type="spellStart"/>
      <w:proofErr w:type="gramStart"/>
      <w:r w:rsidR="00A961C9" w:rsidRPr="00A65829">
        <w:rPr>
          <w:rFonts w:ascii="Arial" w:hAnsi="Arial" w:cs="Arial"/>
          <w:sz w:val="20"/>
          <w:szCs w:val="20"/>
        </w:rPr>
        <w:t>a</w:t>
      </w:r>
      <w:proofErr w:type="spellEnd"/>
      <w:proofErr w:type="gramEnd"/>
      <w:r w:rsidR="00A961C9" w:rsidRPr="00A65829">
        <w:rPr>
          <w:rFonts w:ascii="Arial" w:hAnsi="Arial" w:cs="Arial"/>
          <w:sz w:val="20"/>
          <w:szCs w:val="20"/>
        </w:rPr>
        <w:t xml:space="preserve"> experimental study on adult </w:t>
      </w:r>
      <w:r w:rsidR="00A961C9" w:rsidRPr="00A65829">
        <w:rPr>
          <w:rFonts w:ascii="Arial" w:hAnsi="Arial" w:cs="Arial"/>
          <w:i/>
          <w:iCs/>
          <w:sz w:val="20"/>
          <w:szCs w:val="20"/>
        </w:rPr>
        <w:t>Wistar</w:t>
      </w:r>
      <w:r w:rsidR="00A961C9" w:rsidRPr="00A65829">
        <w:rPr>
          <w:rFonts w:ascii="Arial" w:hAnsi="Arial" w:cs="Arial"/>
          <w:sz w:val="20"/>
          <w:szCs w:val="20"/>
        </w:rPr>
        <w:t> rats</w:t>
      </w:r>
      <w:r w:rsidRPr="00A65829">
        <w:rPr>
          <w:rFonts w:ascii="Arial" w:hAnsi="Arial" w:cs="Arial"/>
          <w:sz w:val="20"/>
          <w:szCs w:val="20"/>
          <w:lang w:val="pt-BR"/>
        </w:rPr>
        <w:t>.</w:t>
      </w:r>
      <w:r w:rsidR="00A961C9" w:rsidRPr="00A65829">
        <w:rPr>
          <w:rFonts w:ascii="Arial" w:hAnsi="Arial" w:cs="Arial"/>
          <w:sz w:val="20"/>
          <w:szCs w:val="20"/>
          <w:lang w:val="pt-BR"/>
        </w:rPr>
        <w:t xml:space="preserve"> Revista Portuguesa de Estomatologia,</w:t>
      </w:r>
    </w:p>
    <w:p w14:paraId="7B84F9AC" w14:textId="64DD0560" w:rsidR="00D80AA6" w:rsidRPr="00A65829" w:rsidRDefault="00A961C9" w:rsidP="00A65829">
      <w:pPr>
        <w:pStyle w:val="NoSpacing"/>
        <w:jc w:val="both"/>
        <w:rPr>
          <w:rFonts w:ascii="Arial" w:hAnsi="Arial" w:cs="Arial"/>
          <w:sz w:val="20"/>
          <w:szCs w:val="20"/>
          <w:lang w:val="pt-BR"/>
        </w:rPr>
      </w:pPr>
      <w:r w:rsidRPr="00A65829">
        <w:rPr>
          <w:rFonts w:ascii="Arial" w:hAnsi="Arial" w:cs="Arial"/>
          <w:sz w:val="20"/>
          <w:szCs w:val="20"/>
          <w:lang w:val="pt-BR"/>
        </w:rPr>
        <w:t xml:space="preserve">Medicina Dentária e Cirurgia Maxilofacial. </w:t>
      </w:r>
      <w:r w:rsidR="00C32ADC" w:rsidRPr="00A65829">
        <w:rPr>
          <w:rFonts w:ascii="Arial" w:hAnsi="Arial" w:cs="Arial"/>
          <w:sz w:val="20"/>
          <w:szCs w:val="20"/>
          <w:lang w:val="pt-BR"/>
        </w:rPr>
        <w:t>2014;55(3):152–158</w:t>
      </w:r>
    </w:p>
    <w:p w14:paraId="64388EA3" w14:textId="77777777" w:rsidR="00A961C9" w:rsidRPr="00A65829" w:rsidRDefault="00A961C9" w:rsidP="00A65829">
      <w:pPr>
        <w:pStyle w:val="NoSpacing"/>
        <w:jc w:val="both"/>
        <w:rPr>
          <w:rFonts w:ascii="Arial" w:hAnsi="Arial" w:cs="Arial"/>
          <w:b/>
          <w:bCs/>
          <w:sz w:val="20"/>
          <w:szCs w:val="20"/>
          <w:lang w:val="pt-BR"/>
        </w:rPr>
      </w:pPr>
    </w:p>
    <w:p w14:paraId="376B358B" w14:textId="77777777" w:rsidR="00D80AA6" w:rsidRPr="00A65829" w:rsidRDefault="00D80AA6" w:rsidP="00A65829">
      <w:pPr>
        <w:pStyle w:val="NoSpacing"/>
        <w:jc w:val="both"/>
        <w:rPr>
          <w:rFonts w:ascii="Arial" w:hAnsi="Arial" w:cs="Arial"/>
          <w:b/>
          <w:bCs/>
          <w:sz w:val="20"/>
          <w:szCs w:val="20"/>
        </w:rPr>
      </w:pPr>
      <w:r w:rsidRPr="00A65829">
        <w:rPr>
          <w:rFonts w:ascii="Arial" w:hAnsi="Arial" w:cs="Arial"/>
          <w:sz w:val="20"/>
          <w:szCs w:val="20"/>
        </w:rPr>
        <w:t xml:space="preserve">Meikle, M. C. (2007). Remodeling the dentofacial skeleton: The biological basis of orthodontics and dentofacial orthopedics. </w:t>
      </w:r>
      <w:r w:rsidRPr="00A65829">
        <w:rPr>
          <w:rFonts w:ascii="Arial" w:hAnsi="Arial" w:cs="Arial"/>
          <w:i/>
          <w:iCs/>
          <w:sz w:val="20"/>
          <w:szCs w:val="20"/>
        </w:rPr>
        <w:t>Journal of Dental Research, 86</w:t>
      </w:r>
      <w:r w:rsidRPr="00A65829">
        <w:rPr>
          <w:rFonts w:ascii="Arial" w:hAnsi="Arial" w:cs="Arial"/>
          <w:sz w:val="20"/>
          <w:szCs w:val="20"/>
        </w:rPr>
        <w:t>(1), 12–24.</w:t>
      </w:r>
    </w:p>
    <w:p w14:paraId="26F1EB4A"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Melsen, B. (2001). Tissue reaction to orthodontic tooth movement: A new paradigm. </w:t>
      </w:r>
      <w:r w:rsidRPr="00A65829">
        <w:rPr>
          <w:rFonts w:ascii="Arial" w:hAnsi="Arial" w:cs="Arial"/>
          <w:i/>
          <w:iCs/>
          <w:sz w:val="20"/>
          <w:szCs w:val="20"/>
        </w:rPr>
        <w:t>European Journal of Orthodontics, 23</w:t>
      </w:r>
      <w:r w:rsidRPr="00A65829">
        <w:rPr>
          <w:rFonts w:ascii="Arial" w:hAnsi="Arial" w:cs="Arial"/>
          <w:sz w:val="20"/>
          <w:szCs w:val="20"/>
        </w:rPr>
        <w:t>(6), 671–681.</w:t>
      </w:r>
    </w:p>
    <w:p w14:paraId="03CB9F4E" w14:textId="59C5FEC9"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lang w:val="pt-BR"/>
        </w:rPr>
        <w:t xml:space="preserve">Nishimura, F., Ibaraki, K., Satoh, M., Takashiba, S., &amp; Murayama, Y. (2009). </w:t>
      </w:r>
      <w:r w:rsidRPr="00A65829">
        <w:rPr>
          <w:rFonts w:ascii="Arial" w:hAnsi="Arial" w:cs="Arial"/>
          <w:sz w:val="20"/>
          <w:szCs w:val="20"/>
        </w:rPr>
        <w:t xml:space="preserve">Periodontal disease as a component of the insulin resistance syndrome. </w:t>
      </w:r>
      <w:r w:rsidRPr="00A65829">
        <w:rPr>
          <w:rFonts w:ascii="Arial" w:hAnsi="Arial" w:cs="Arial"/>
          <w:i/>
          <w:iCs/>
          <w:sz w:val="20"/>
          <w:szCs w:val="20"/>
        </w:rPr>
        <w:t>Periodontology 2000, 43</w:t>
      </w:r>
      <w:r w:rsidRPr="00A65829">
        <w:rPr>
          <w:rFonts w:ascii="Arial" w:hAnsi="Arial" w:cs="Arial"/>
          <w:sz w:val="20"/>
          <w:szCs w:val="20"/>
        </w:rPr>
        <w:t>(1), 245–258.</w:t>
      </w:r>
    </w:p>
    <w:p w14:paraId="35AB2D55"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Nishimura, S., et al. (2009). Obesity-induced inflammation and its effects on bone metabolism. </w:t>
      </w:r>
      <w:r w:rsidRPr="00A65829">
        <w:rPr>
          <w:rFonts w:ascii="Arial" w:hAnsi="Arial" w:cs="Arial"/>
          <w:i/>
          <w:iCs/>
          <w:sz w:val="20"/>
          <w:szCs w:val="20"/>
        </w:rPr>
        <w:t>Journal of Bone and Mineral Research, 24</w:t>
      </w:r>
      <w:r w:rsidRPr="00A65829">
        <w:rPr>
          <w:rFonts w:ascii="Arial" w:hAnsi="Arial" w:cs="Arial"/>
          <w:sz w:val="20"/>
          <w:szCs w:val="20"/>
        </w:rPr>
        <w:t>(9), 1533–1541.</w:t>
      </w:r>
    </w:p>
    <w:bookmarkEnd w:id="12"/>
    <w:bookmarkEnd w:id="14"/>
    <w:p w14:paraId="02849B94" w14:textId="77777777" w:rsidR="00D80AA6" w:rsidRPr="00A65829" w:rsidRDefault="00D80AA6" w:rsidP="00A65829">
      <w:pPr>
        <w:pStyle w:val="NoSpacing"/>
        <w:spacing w:before="240"/>
        <w:jc w:val="both"/>
        <w:rPr>
          <w:rFonts w:ascii="Arial" w:hAnsi="Arial" w:cs="Arial"/>
          <w:b/>
          <w:bCs/>
          <w:sz w:val="20"/>
          <w:szCs w:val="20"/>
          <w:lang w:val="pt-BR"/>
        </w:rPr>
      </w:pPr>
      <w:r w:rsidRPr="00A65829">
        <w:rPr>
          <w:rFonts w:ascii="Arial" w:hAnsi="Arial" w:cs="Arial"/>
          <w:sz w:val="20"/>
          <w:szCs w:val="20"/>
        </w:rPr>
        <w:t xml:space="preserve">Olney, J. W. (1969). Brain lesions, obesity and other disturbances in mice treated with monosodium glutamate. </w:t>
      </w:r>
      <w:r w:rsidRPr="00A65829">
        <w:rPr>
          <w:rFonts w:ascii="Arial" w:hAnsi="Arial" w:cs="Arial"/>
          <w:i/>
          <w:iCs/>
          <w:sz w:val="20"/>
          <w:szCs w:val="20"/>
          <w:lang w:val="pt-BR"/>
        </w:rPr>
        <w:t>Science, 164</w:t>
      </w:r>
      <w:r w:rsidRPr="00A65829">
        <w:rPr>
          <w:rFonts w:ascii="Arial" w:hAnsi="Arial" w:cs="Arial"/>
          <w:sz w:val="20"/>
          <w:szCs w:val="20"/>
          <w:lang w:val="pt-BR"/>
        </w:rPr>
        <w:t>(3880), 719–721.</w:t>
      </w:r>
    </w:p>
    <w:p w14:paraId="3451345D"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lang w:val="pt-BR"/>
        </w:rPr>
        <w:lastRenderedPageBreak/>
        <w:t xml:space="preserve">Pasa, A. P. B. C., Brandão, H. C. B., Busato, M. C. A., Porto, E. M., &amp; Amorim, J. P. A. (2024). </w:t>
      </w:r>
      <w:r w:rsidRPr="00A65829">
        <w:rPr>
          <w:rFonts w:ascii="Arial" w:hAnsi="Arial" w:cs="Arial"/>
          <w:sz w:val="20"/>
          <w:szCs w:val="20"/>
        </w:rPr>
        <w:t xml:space="preserve">Effects of ovariectomy on the structure of the periodontium and root resorption during orthodontic tooth movement in rats. </w:t>
      </w:r>
      <w:r w:rsidRPr="00A65829">
        <w:rPr>
          <w:rFonts w:ascii="Arial" w:hAnsi="Arial" w:cs="Arial"/>
          <w:i/>
          <w:iCs/>
          <w:sz w:val="20"/>
          <w:szCs w:val="20"/>
        </w:rPr>
        <w:t>Journal of Advances in Medicine and Medical Research, 36</w:t>
      </w:r>
      <w:r w:rsidRPr="00A65829">
        <w:rPr>
          <w:rFonts w:ascii="Arial" w:hAnsi="Arial" w:cs="Arial"/>
          <w:sz w:val="20"/>
          <w:szCs w:val="20"/>
        </w:rPr>
        <w:t>, 215–224.</w:t>
      </w:r>
    </w:p>
    <w:p w14:paraId="2A52A516"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Sagae, S. C., </w:t>
      </w:r>
      <w:proofErr w:type="spellStart"/>
      <w:r w:rsidRPr="00A65829">
        <w:rPr>
          <w:rFonts w:ascii="Arial" w:hAnsi="Arial" w:cs="Arial"/>
          <w:sz w:val="20"/>
          <w:szCs w:val="20"/>
        </w:rPr>
        <w:t>Montaldi</w:t>
      </w:r>
      <w:proofErr w:type="spellEnd"/>
      <w:r w:rsidRPr="00A65829">
        <w:rPr>
          <w:rFonts w:ascii="Arial" w:hAnsi="Arial" w:cs="Arial"/>
          <w:sz w:val="20"/>
          <w:szCs w:val="20"/>
        </w:rPr>
        <w:t xml:space="preserve">, A. P., &amp; Campos, R. R. (2011). Neonatal treatment with monosodium glutamate increases arterial pressure and induces baroreflex impairment in rats. </w:t>
      </w:r>
      <w:r w:rsidRPr="00A65829">
        <w:rPr>
          <w:rFonts w:ascii="Arial" w:hAnsi="Arial" w:cs="Arial"/>
          <w:i/>
          <w:iCs/>
          <w:sz w:val="20"/>
          <w:szCs w:val="20"/>
        </w:rPr>
        <w:t>Autonomic Neuroscience, 164</w:t>
      </w:r>
      <w:r w:rsidRPr="00A65829">
        <w:rPr>
          <w:rFonts w:ascii="Arial" w:hAnsi="Arial" w:cs="Arial"/>
          <w:sz w:val="20"/>
          <w:szCs w:val="20"/>
        </w:rPr>
        <w:t>(1–2), 30–34.</w:t>
      </w:r>
    </w:p>
    <w:p w14:paraId="3F940A8B"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Saloom, H. F., Papageorgiou, S. N., Carpenter, G. H., &amp; </w:t>
      </w:r>
      <w:proofErr w:type="spellStart"/>
      <w:r w:rsidRPr="00A65829">
        <w:rPr>
          <w:rFonts w:ascii="Arial" w:hAnsi="Arial" w:cs="Arial"/>
          <w:sz w:val="20"/>
          <w:szCs w:val="20"/>
        </w:rPr>
        <w:t>Cobourne</w:t>
      </w:r>
      <w:proofErr w:type="spellEnd"/>
      <w:r w:rsidRPr="00A65829">
        <w:rPr>
          <w:rFonts w:ascii="Arial" w:hAnsi="Arial" w:cs="Arial"/>
          <w:sz w:val="20"/>
          <w:szCs w:val="20"/>
        </w:rPr>
        <w:t xml:space="preserve">, M. T. (2017). Impact of obesity on orthodontic tooth movement in adolescents: A prospective clinical cohort study. </w:t>
      </w:r>
      <w:r w:rsidRPr="00A65829">
        <w:rPr>
          <w:rFonts w:ascii="Arial" w:hAnsi="Arial" w:cs="Arial"/>
          <w:i/>
          <w:iCs/>
          <w:sz w:val="20"/>
          <w:szCs w:val="20"/>
        </w:rPr>
        <w:t>Journal of Dental Research, 96</w:t>
      </w:r>
      <w:r w:rsidRPr="00A65829">
        <w:rPr>
          <w:rFonts w:ascii="Arial" w:hAnsi="Arial" w:cs="Arial"/>
          <w:sz w:val="20"/>
          <w:szCs w:val="20"/>
        </w:rPr>
        <w:t>(5), 547–554.</w:t>
      </w:r>
    </w:p>
    <w:p w14:paraId="2D655043"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Shim, K., Blake, N., Douglas, A., et al. (2020). The relationship between complement components and metabolic disorders. </w:t>
      </w:r>
      <w:r w:rsidRPr="00A65829">
        <w:rPr>
          <w:rFonts w:ascii="Arial" w:hAnsi="Arial" w:cs="Arial"/>
          <w:i/>
          <w:iCs/>
          <w:sz w:val="20"/>
          <w:szCs w:val="20"/>
        </w:rPr>
        <w:t>International Journal of Molecular Sciences, 21</w:t>
      </w:r>
      <w:r w:rsidRPr="00A65829">
        <w:rPr>
          <w:rFonts w:ascii="Arial" w:hAnsi="Arial" w:cs="Arial"/>
          <w:sz w:val="20"/>
          <w:szCs w:val="20"/>
        </w:rPr>
        <w:t>(9), 1–18.</w:t>
      </w:r>
    </w:p>
    <w:p w14:paraId="22C4E50C"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Suvan, J. E., Finer, N., &amp; D'Aiuto, F. (2018). Periodontal complications with obesity. </w:t>
      </w:r>
      <w:r w:rsidRPr="00A65829">
        <w:rPr>
          <w:rFonts w:ascii="Arial" w:hAnsi="Arial" w:cs="Arial"/>
          <w:i/>
          <w:iCs/>
          <w:sz w:val="20"/>
          <w:szCs w:val="20"/>
        </w:rPr>
        <w:t>Periodontology 2000, 78</w:t>
      </w:r>
      <w:r w:rsidRPr="00A65829">
        <w:rPr>
          <w:rFonts w:ascii="Arial" w:hAnsi="Arial" w:cs="Arial"/>
          <w:sz w:val="20"/>
          <w:szCs w:val="20"/>
        </w:rPr>
        <w:t>(1), 98–128.</w:t>
      </w:r>
    </w:p>
    <w:p w14:paraId="7693B481" w14:textId="77777777" w:rsidR="00D80AA6" w:rsidRPr="00A65829" w:rsidRDefault="00D80AA6" w:rsidP="00A65829">
      <w:pPr>
        <w:pStyle w:val="NoSpacing"/>
        <w:spacing w:before="240"/>
        <w:jc w:val="both"/>
        <w:rPr>
          <w:rFonts w:ascii="Arial" w:hAnsi="Arial" w:cs="Arial"/>
          <w:b/>
          <w:bCs/>
          <w:sz w:val="20"/>
          <w:szCs w:val="20"/>
        </w:rPr>
      </w:pPr>
      <w:proofErr w:type="spellStart"/>
      <w:r w:rsidRPr="00A65829">
        <w:rPr>
          <w:rFonts w:ascii="Arial" w:hAnsi="Arial" w:cs="Arial"/>
          <w:sz w:val="20"/>
          <w:szCs w:val="20"/>
          <w:lang w:val="es-ES_tradnl"/>
        </w:rPr>
        <w:t>Taubman</w:t>
      </w:r>
      <w:proofErr w:type="spellEnd"/>
      <w:r w:rsidRPr="00A65829">
        <w:rPr>
          <w:rFonts w:ascii="Arial" w:hAnsi="Arial" w:cs="Arial"/>
          <w:sz w:val="20"/>
          <w:szCs w:val="20"/>
          <w:lang w:val="es-ES_tradnl"/>
        </w:rPr>
        <w:t xml:space="preserve">, M. A., Valencia, X., &amp; Holt, S. C. (2005). </w:t>
      </w:r>
      <w:r w:rsidRPr="00A65829">
        <w:rPr>
          <w:rFonts w:ascii="Arial" w:hAnsi="Arial" w:cs="Arial"/>
          <w:sz w:val="20"/>
          <w:szCs w:val="20"/>
        </w:rPr>
        <w:t xml:space="preserve">The role of RANKL in bone resorption and periodontal disease. </w:t>
      </w:r>
      <w:r w:rsidRPr="00A65829">
        <w:rPr>
          <w:rFonts w:ascii="Arial" w:hAnsi="Arial" w:cs="Arial"/>
          <w:i/>
          <w:iCs/>
          <w:sz w:val="20"/>
          <w:szCs w:val="20"/>
        </w:rPr>
        <w:t>Journal of Clinical Periodontology, 32</w:t>
      </w:r>
      <w:r w:rsidRPr="00A65829">
        <w:rPr>
          <w:rFonts w:ascii="Arial" w:hAnsi="Arial" w:cs="Arial"/>
          <w:sz w:val="20"/>
          <w:szCs w:val="20"/>
        </w:rPr>
        <w:t>(2), 117–123.</w:t>
      </w:r>
    </w:p>
    <w:p w14:paraId="1B80AD14"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Teixeira, C. C., &amp; Kuo, C. L. (2016). The role of inflammation in orthodontic tooth movement. </w:t>
      </w:r>
      <w:r w:rsidRPr="00A65829">
        <w:rPr>
          <w:rFonts w:ascii="Arial" w:hAnsi="Arial" w:cs="Arial"/>
          <w:i/>
          <w:iCs/>
          <w:sz w:val="20"/>
          <w:szCs w:val="20"/>
        </w:rPr>
        <w:t>Orthodontics &amp; Craniofacial Research, 19</w:t>
      </w:r>
      <w:r w:rsidRPr="00A65829">
        <w:rPr>
          <w:rFonts w:ascii="Arial" w:hAnsi="Arial" w:cs="Arial"/>
          <w:sz w:val="20"/>
          <w:szCs w:val="20"/>
        </w:rPr>
        <w:t>(2), 65–73.</w:t>
      </w:r>
    </w:p>
    <w:p w14:paraId="327CA79E"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The Lancet. (2024). Global Obesity Report 2024: Epidemiological trends and implications. </w:t>
      </w:r>
      <w:r w:rsidRPr="00A65829">
        <w:rPr>
          <w:rFonts w:ascii="Arial" w:hAnsi="Arial" w:cs="Arial"/>
          <w:i/>
          <w:iCs/>
          <w:sz w:val="20"/>
          <w:szCs w:val="20"/>
        </w:rPr>
        <w:t>The Lancet, 403</w:t>
      </w:r>
      <w:r w:rsidRPr="00A65829">
        <w:rPr>
          <w:rFonts w:ascii="Arial" w:hAnsi="Arial" w:cs="Arial"/>
          <w:sz w:val="20"/>
          <w:szCs w:val="20"/>
        </w:rPr>
        <w:t>(10378), 567–578.</w:t>
      </w:r>
    </w:p>
    <w:p w14:paraId="73371995" w14:textId="77777777" w:rsidR="00D80AA6" w:rsidRPr="00A65829" w:rsidRDefault="00D80AA6" w:rsidP="00A65829">
      <w:pPr>
        <w:pStyle w:val="NoSpacing"/>
        <w:spacing w:before="240"/>
        <w:jc w:val="both"/>
        <w:rPr>
          <w:rFonts w:ascii="Arial" w:hAnsi="Arial" w:cs="Arial"/>
          <w:b/>
          <w:bCs/>
          <w:sz w:val="20"/>
          <w:szCs w:val="20"/>
        </w:rPr>
      </w:pPr>
      <w:proofErr w:type="spellStart"/>
      <w:r w:rsidRPr="00A65829">
        <w:rPr>
          <w:rFonts w:ascii="Arial" w:hAnsi="Arial" w:cs="Arial"/>
          <w:sz w:val="20"/>
          <w:szCs w:val="20"/>
        </w:rPr>
        <w:t>Topkara</w:t>
      </w:r>
      <w:proofErr w:type="spellEnd"/>
      <w:r w:rsidRPr="00A65829">
        <w:rPr>
          <w:rFonts w:ascii="Arial" w:hAnsi="Arial" w:cs="Arial"/>
          <w:sz w:val="20"/>
          <w:szCs w:val="20"/>
        </w:rPr>
        <w:t xml:space="preserve">, A. (2011). Apical root resorption caused by orthodontic treatment: A systematic review. </w:t>
      </w:r>
      <w:r w:rsidRPr="00A65829">
        <w:rPr>
          <w:rFonts w:ascii="Arial" w:hAnsi="Arial" w:cs="Arial"/>
          <w:i/>
          <w:iCs/>
          <w:sz w:val="20"/>
          <w:szCs w:val="20"/>
        </w:rPr>
        <w:t>European Journal of Orthodontics, 33</w:t>
      </w:r>
      <w:r w:rsidRPr="00A65829">
        <w:rPr>
          <w:rFonts w:ascii="Arial" w:hAnsi="Arial" w:cs="Arial"/>
          <w:sz w:val="20"/>
          <w:szCs w:val="20"/>
        </w:rPr>
        <w:t>(5), 491–508.</w:t>
      </w:r>
    </w:p>
    <w:p w14:paraId="23DD6A62"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Vera, M. J., Guajardo, F., Urra, F. A., Tobar, N., &amp; Martinez, J. (2023). TNF-alpha promotes an inflammatory mammary microenvironment that favors macrophage and epithelial migration in a CCL2- and mitochondrial-ROS-dependent manner. </w:t>
      </w:r>
      <w:r w:rsidRPr="00A65829">
        <w:rPr>
          <w:rFonts w:ascii="Arial" w:hAnsi="Arial" w:cs="Arial"/>
          <w:i/>
          <w:iCs/>
          <w:sz w:val="20"/>
          <w:szCs w:val="20"/>
        </w:rPr>
        <w:t>Antioxidants (Basel), 12</w:t>
      </w:r>
      <w:r w:rsidRPr="00A65829">
        <w:rPr>
          <w:rFonts w:ascii="Arial" w:hAnsi="Arial" w:cs="Arial"/>
          <w:sz w:val="20"/>
          <w:szCs w:val="20"/>
        </w:rPr>
        <w:t>(4), 813.</w:t>
      </w:r>
    </w:p>
    <w:p w14:paraId="0046F1D2" w14:textId="77777777" w:rsidR="00D80AA6" w:rsidRPr="00A65829" w:rsidRDefault="00D80AA6" w:rsidP="00A65829">
      <w:pPr>
        <w:pStyle w:val="NoSpacing"/>
        <w:spacing w:before="240"/>
        <w:jc w:val="both"/>
        <w:rPr>
          <w:rFonts w:ascii="Arial" w:hAnsi="Arial" w:cs="Arial"/>
          <w:sz w:val="20"/>
          <w:szCs w:val="20"/>
        </w:rPr>
      </w:pPr>
      <w:r w:rsidRPr="00A65829">
        <w:rPr>
          <w:rFonts w:ascii="Arial" w:hAnsi="Arial" w:cs="Arial"/>
          <w:sz w:val="20"/>
          <w:szCs w:val="20"/>
        </w:rPr>
        <w:t xml:space="preserve">Von Diemen, V., Trindade, E., &amp; Silveira, P. (2006). Neonatal treatment with monosodium glutamate increases adiposity and leads to hyperleptinemia despite leptin resistance. </w:t>
      </w:r>
      <w:r w:rsidRPr="00A65829">
        <w:rPr>
          <w:rFonts w:ascii="Arial" w:hAnsi="Arial" w:cs="Arial"/>
          <w:i/>
          <w:iCs/>
          <w:sz w:val="20"/>
          <w:szCs w:val="20"/>
        </w:rPr>
        <w:t>Obesity (Silver Spring), 14</w:t>
      </w:r>
      <w:r w:rsidRPr="00A65829">
        <w:rPr>
          <w:rFonts w:ascii="Arial" w:hAnsi="Arial" w:cs="Arial"/>
          <w:sz w:val="20"/>
          <w:szCs w:val="20"/>
        </w:rPr>
        <w:t>(4), 624–632.</w:t>
      </w:r>
    </w:p>
    <w:p w14:paraId="6B578623" w14:textId="251ECFA8" w:rsidR="00A65829" w:rsidRPr="00A65829" w:rsidRDefault="00A65829" w:rsidP="00A65829">
      <w:pPr>
        <w:pStyle w:val="NoSpacing"/>
        <w:spacing w:before="240"/>
        <w:jc w:val="both"/>
        <w:rPr>
          <w:rFonts w:ascii="Arial" w:hAnsi="Arial" w:cs="Arial"/>
          <w:sz w:val="20"/>
          <w:szCs w:val="20"/>
        </w:rPr>
      </w:pPr>
      <w:r w:rsidRPr="00A65829">
        <w:rPr>
          <w:rFonts w:ascii="Arial" w:hAnsi="Arial" w:cs="Arial"/>
          <w:sz w:val="20"/>
          <w:szCs w:val="20"/>
          <w:lang w:val="pt-BR"/>
        </w:rPr>
        <w:t xml:space="preserve">Ye J, Gao Z, Yin J, He Q. (2007). Hypoxia is a potential risk factor for chronic inflammation and adiponectin reduction in adipose tissue of ob/ob and dietary obese mice. </w:t>
      </w:r>
      <w:r w:rsidRPr="00A65829">
        <w:rPr>
          <w:rFonts w:ascii="Arial" w:hAnsi="Arial" w:cs="Arial"/>
          <w:sz w:val="20"/>
          <w:szCs w:val="20"/>
        </w:rPr>
        <w:t>American Journal of Physiology-Endocrinology and Metabolism</w:t>
      </w:r>
      <w:r w:rsidRPr="00A65829">
        <w:rPr>
          <w:rFonts w:ascii="Arial" w:hAnsi="Arial" w:cs="Arial"/>
          <w:sz w:val="20"/>
          <w:szCs w:val="20"/>
          <w:lang w:val="pt-BR"/>
        </w:rPr>
        <w:t>, 293, E1118-28.</w:t>
      </w:r>
    </w:p>
    <w:p w14:paraId="3CB7ABF4" w14:textId="77777777" w:rsidR="00D80AA6" w:rsidRPr="00A65829" w:rsidRDefault="00D80AA6" w:rsidP="00A65829">
      <w:pPr>
        <w:pStyle w:val="NoSpacing"/>
        <w:spacing w:before="240"/>
        <w:jc w:val="both"/>
        <w:rPr>
          <w:rFonts w:ascii="Arial" w:hAnsi="Arial" w:cs="Arial"/>
          <w:b/>
          <w:bCs/>
          <w:sz w:val="20"/>
          <w:szCs w:val="20"/>
        </w:rPr>
      </w:pPr>
      <w:r w:rsidRPr="00A65829">
        <w:rPr>
          <w:rFonts w:ascii="Arial" w:hAnsi="Arial" w:cs="Arial"/>
          <w:sz w:val="20"/>
          <w:szCs w:val="20"/>
        </w:rPr>
        <w:t xml:space="preserve">Weisberg, S. P., McCann, D., Desai, M., Rosenbaum, M., Leibel, R. L., &amp; Ferrante, A. W. (2003). Obesity is associated with macrophage accumulation in adipose tissue. </w:t>
      </w:r>
      <w:r w:rsidRPr="00A65829">
        <w:rPr>
          <w:rFonts w:ascii="Arial" w:hAnsi="Arial" w:cs="Arial"/>
          <w:i/>
          <w:iCs/>
          <w:sz w:val="20"/>
          <w:szCs w:val="20"/>
        </w:rPr>
        <w:t>Journal of Clinical Investigation, 112</w:t>
      </w:r>
      <w:r w:rsidRPr="00A65829">
        <w:rPr>
          <w:rFonts w:ascii="Arial" w:hAnsi="Arial" w:cs="Arial"/>
          <w:sz w:val="20"/>
          <w:szCs w:val="20"/>
        </w:rPr>
        <w:t>(12), 1796–1806.</w:t>
      </w:r>
    </w:p>
    <w:p w14:paraId="6D4C7EFD" w14:textId="77777777" w:rsidR="00D80AA6" w:rsidRPr="00A65829" w:rsidRDefault="00D80AA6" w:rsidP="00A65829">
      <w:pPr>
        <w:pStyle w:val="NoSpacing"/>
        <w:spacing w:before="240"/>
        <w:jc w:val="both"/>
        <w:rPr>
          <w:rFonts w:ascii="Arial" w:hAnsi="Arial" w:cs="Arial"/>
          <w:b/>
          <w:bCs/>
          <w:sz w:val="20"/>
          <w:szCs w:val="20"/>
          <w:lang w:val="pt-BR"/>
        </w:rPr>
      </w:pPr>
      <w:r w:rsidRPr="00A65829">
        <w:rPr>
          <w:rFonts w:ascii="Arial" w:hAnsi="Arial" w:cs="Arial"/>
          <w:sz w:val="20"/>
          <w:szCs w:val="20"/>
        </w:rPr>
        <w:t xml:space="preserve">Zeng, X., Zhang, Y., Kwong, J. S. W., Zhang, C., Li, S., Sun, F., et al. (2015). The methodological quality assessment tools for preclinical and clinical studies, systematic review and meta-analysis, and clinical practice guideline: A systematic review. </w:t>
      </w:r>
      <w:r w:rsidRPr="00A65829">
        <w:rPr>
          <w:rFonts w:ascii="Arial" w:hAnsi="Arial" w:cs="Arial"/>
          <w:i/>
          <w:iCs/>
          <w:sz w:val="20"/>
          <w:szCs w:val="20"/>
          <w:lang w:val="pt-BR"/>
        </w:rPr>
        <w:t>Journal of Evidence-Based Medicine, 8</w:t>
      </w:r>
      <w:r w:rsidRPr="00A65829">
        <w:rPr>
          <w:rFonts w:ascii="Arial" w:hAnsi="Arial" w:cs="Arial"/>
          <w:sz w:val="20"/>
          <w:szCs w:val="20"/>
          <w:lang w:val="pt-BR"/>
        </w:rPr>
        <w:t>(1), 2–10.</w:t>
      </w:r>
    </w:p>
    <w:p w14:paraId="79D7CE28" w14:textId="77777777" w:rsidR="002B4DD0" w:rsidRPr="00A65829" w:rsidRDefault="002B4DD0" w:rsidP="001C3F7C">
      <w:pPr>
        <w:pStyle w:val="NoSpacing"/>
        <w:spacing w:before="240"/>
        <w:rPr>
          <w:rStyle w:val="fadein4f9by7"/>
          <w:rFonts w:ascii="Arial" w:hAnsi="Arial" w:cs="Arial"/>
          <w:sz w:val="20"/>
          <w:szCs w:val="20"/>
          <w:lang w:val="en-US"/>
        </w:rPr>
      </w:pPr>
    </w:p>
    <w:sectPr w:rsidR="002B4DD0" w:rsidRPr="00A65829">
      <w:headerReference w:type="even" r:id="rId10"/>
      <w:headerReference w:type="default" r:id="rId11"/>
      <w:footerReference w:type="even" r:id="rId12"/>
      <w:footerReference w:type="default" r:id="rId13"/>
      <w:headerReference w:type="first" r:id="rId14"/>
      <w:footerReference w:type="first" r:id="rId15"/>
      <w:pgSz w:w="11900" w:h="16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FD22B" w14:textId="77777777" w:rsidR="00F8486E" w:rsidRDefault="00F8486E">
      <w:r>
        <w:separator/>
      </w:r>
    </w:p>
  </w:endnote>
  <w:endnote w:type="continuationSeparator" w:id="0">
    <w:p w14:paraId="7685CDF8" w14:textId="77777777" w:rsidR="00F8486E" w:rsidRDefault="00F84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10002FF" w:usb1="4000ACFF" w:usb2="00000009" w:usb3="00000000" w:csb0="0000019F" w:csb1="00000000"/>
  </w:font>
  <w:font w:name="Helvetica Neue">
    <w:altName w:val="SimSun"/>
    <w:charset w:val="00"/>
    <w:family w:val="roman"/>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1847" w14:textId="77777777" w:rsidR="00875FA3" w:rsidRDefault="00875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09BBD" w14:textId="77777777" w:rsidR="00875FA3" w:rsidRDefault="00875F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0C3E2" w14:textId="77777777" w:rsidR="00875FA3" w:rsidRDefault="00875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D8FA6" w14:textId="77777777" w:rsidR="00F8486E" w:rsidRDefault="00F8486E">
      <w:r>
        <w:separator/>
      </w:r>
    </w:p>
  </w:footnote>
  <w:footnote w:type="continuationSeparator" w:id="0">
    <w:p w14:paraId="5265F714" w14:textId="77777777" w:rsidR="00F8486E" w:rsidRDefault="00F84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2278" w14:textId="783BF711" w:rsidR="00875FA3" w:rsidRDefault="00875FA3">
    <w:pPr>
      <w:pStyle w:val="Header"/>
    </w:pPr>
    <w:r>
      <w:rPr>
        <w:noProof/>
      </w:rPr>
      <w:pict w14:anchorId="7C5C3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4438" o:spid="_x0000_s2050" type="#_x0000_t136" style="position:absolute;margin-left:0;margin-top:0;width:539.15pt;height:59.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B026C" w14:textId="51601021" w:rsidR="002B4DD0" w:rsidRDefault="00875FA3">
    <w:pPr>
      <w:pStyle w:val="Body"/>
      <w:tabs>
        <w:tab w:val="center" w:pos="4419"/>
        <w:tab w:val="right" w:pos="8478"/>
      </w:tabs>
      <w:jc w:val="right"/>
    </w:pPr>
    <w:r>
      <w:rPr>
        <w:noProof/>
      </w:rPr>
      <w:pict w14:anchorId="7A420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4439" o:spid="_x0000_s2051" type="#_x0000_t136" style="position:absolute;left:0;text-align:left;margin-left:0;margin-top:0;width:539.15pt;height:59.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517DAC">
      <w:rPr>
        <w:sz w:val="20"/>
        <w:szCs w:val="20"/>
      </w:rPr>
      <w:fldChar w:fldCharType="begin"/>
    </w:r>
    <w:r w:rsidR="00517DAC">
      <w:rPr>
        <w:sz w:val="20"/>
        <w:szCs w:val="20"/>
      </w:rPr>
      <w:instrText xml:space="preserve"> PAGE </w:instrText>
    </w:r>
    <w:r w:rsidR="00517DAC">
      <w:rPr>
        <w:sz w:val="20"/>
        <w:szCs w:val="20"/>
      </w:rPr>
      <w:fldChar w:fldCharType="separate"/>
    </w:r>
    <w:r w:rsidR="00431E69">
      <w:rPr>
        <w:noProof/>
        <w:sz w:val="20"/>
        <w:szCs w:val="20"/>
      </w:rPr>
      <w:t>1</w:t>
    </w:r>
    <w:r w:rsidR="00517DAC">
      <w:rPr>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46FF3" w14:textId="77C32ED6" w:rsidR="00875FA3" w:rsidRDefault="00875FA3">
    <w:pPr>
      <w:pStyle w:val="Header"/>
    </w:pPr>
    <w:r>
      <w:rPr>
        <w:noProof/>
      </w:rPr>
      <w:pict w14:anchorId="435A3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4437" o:spid="_x0000_s2049" type="#_x0000_t136" style="position:absolute;margin-left:0;margin-top:0;width:539.15pt;height:59.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0550E"/>
    <w:multiLevelType w:val="hybridMultilevel"/>
    <w:tmpl w:val="6A7EF998"/>
    <w:styleLink w:val="Bullets"/>
    <w:lvl w:ilvl="0" w:tplc="DDF4600E">
      <w:start w:val="1"/>
      <w:numFmt w:val="bullet"/>
      <w:lvlText w:val="•"/>
      <w:lvlJc w:val="left"/>
      <w:pPr>
        <w:tabs>
          <w:tab w:val="num" w:pos="897"/>
        </w:tabs>
        <w:ind w:left="189" w:firstLine="519"/>
      </w:pPr>
      <w:rPr>
        <w:rFonts w:hAnsi="Arial Unicode MS"/>
        <w:caps w:val="0"/>
        <w:smallCaps w:val="0"/>
        <w:strike w:val="0"/>
        <w:dstrike w:val="0"/>
        <w:outline w:val="0"/>
        <w:emboss w:val="0"/>
        <w:imprint w:val="0"/>
        <w:spacing w:val="0"/>
        <w:w w:val="100"/>
        <w:kern w:val="0"/>
        <w:position w:val="0"/>
        <w:highlight w:val="none"/>
        <w:vertAlign w:val="baseline"/>
      </w:rPr>
    </w:lvl>
    <w:lvl w:ilvl="1" w:tplc="86EC8776">
      <w:start w:val="1"/>
      <w:numFmt w:val="bullet"/>
      <w:lvlText w:val="•"/>
      <w:lvlJc w:val="left"/>
      <w:pPr>
        <w:tabs>
          <w:tab w:val="num" w:pos="1497"/>
        </w:tabs>
        <w:ind w:left="789" w:firstLine="519"/>
      </w:pPr>
      <w:rPr>
        <w:rFonts w:hAnsi="Arial Unicode MS"/>
        <w:caps w:val="0"/>
        <w:smallCaps w:val="0"/>
        <w:strike w:val="0"/>
        <w:dstrike w:val="0"/>
        <w:outline w:val="0"/>
        <w:emboss w:val="0"/>
        <w:imprint w:val="0"/>
        <w:spacing w:val="0"/>
        <w:w w:val="100"/>
        <w:kern w:val="0"/>
        <w:position w:val="0"/>
        <w:highlight w:val="none"/>
        <w:vertAlign w:val="baseline"/>
      </w:rPr>
    </w:lvl>
    <w:lvl w:ilvl="2" w:tplc="45D21E3C">
      <w:start w:val="1"/>
      <w:numFmt w:val="bullet"/>
      <w:lvlText w:val="•"/>
      <w:lvlJc w:val="left"/>
      <w:pPr>
        <w:tabs>
          <w:tab w:val="num" w:pos="2097"/>
        </w:tabs>
        <w:ind w:left="1389" w:firstLine="519"/>
      </w:pPr>
      <w:rPr>
        <w:rFonts w:hAnsi="Arial Unicode MS"/>
        <w:caps w:val="0"/>
        <w:smallCaps w:val="0"/>
        <w:strike w:val="0"/>
        <w:dstrike w:val="0"/>
        <w:outline w:val="0"/>
        <w:emboss w:val="0"/>
        <w:imprint w:val="0"/>
        <w:spacing w:val="0"/>
        <w:w w:val="100"/>
        <w:kern w:val="0"/>
        <w:position w:val="0"/>
        <w:highlight w:val="none"/>
        <w:vertAlign w:val="baseline"/>
      </w:rPr>
    </w:lvl>
    <w:lvl w:ilvl="3" w:tplc="2E5CFDF8">
      <w:start w:val="1"/>
      <w:numFmt w:val="bullet"/>
      <w:lvlText w:val="•"/>
      <w:lvlJc w:val="left"/>
      <w:pPr>
        <w:tabs>
          <w:tab w:val="num" w:pos="2697"/>
        </w:tabs>
        <w:ind w:left="1989" w:firstLine="519"/>
      </w:pPr>
      <w:rPr>
        <w:rFonts w:hAnsi="Arial Unicode MS"/>
        <w:caps w:val="0"/>
        <w:smallCaps w:val="0"/>
        <w:strike w:val="0"/>
        <w:dstrike w:val="0"/>
        <w:outline w:val="0"/>
        <w:emboss w:val="0"/>
        <w:imprint w:val="0"/>
        <w:spacing w:val="0"/>
        <w:w w:val="100"/>
        <w:kern w:val="0"/>
        <w:position w:val="0"/>
        <w:highlight w:val="none"/>
        <w:vertAlign w:val="baseline"/>
      </w:rPr>
    </w:lvl>
    <w:lvl w:ilvl="4" w:tplc="9DB0D366">
      <w:start w:val="1"/>
      <w:numFmt w:val="bullet"/>
      <w:lvlText w:val="•"/>
      <w:lvlJc w:val="left"/>
      <w:pPr>
        <w:tabs>
          <w:tab w:val="num" w:pos="3297"/>
        </w:tabs>
        <w:ind w:left="2589" w:firstLine="519"/>
      </w:pPr>
      <w:rPr>
        <w:rFonts w:hAnsi="Arial Unicode MS"/>
        <w:caps w:val="0"/>
        <w:smallCaps w:val="0"/>
        <w:strike w:val="0"/>
        <w:dstrike w:val="0"/>
        <w:outline w:val="0"/>
        <w:emboss w:val="0"/>
        <w:imprint w:val="0"/>
        <w:spacing w:val="0"/>
        <w:w w:val="100"/>
        <w:kern w:val="0"/>
        <w:position w:val="0"/>
        <w:highlight w:val="none"/>
        <w:vertAlign w:val="baseline"/>
      </w:rPr>
    </w:lvl>
    <w:lvl w:ilvl="5" w:tplc="76645856">
      <w:start w:val="1"/>
      <w:numFmt w:val="bullet"/>
      <w:lvlText w:val="•"/>
      <w:lvlJc w:val="left"/>
      <w:pPr>
        <w:tabs>
          <w:tab w:val="num" w:pos="3897"/>
        </w:tabs>
        <w:ind w:left="3189" w:firstLine="519"/>
      </w:pPr>
      <w:rPr>
        <w:rFonts w:hAnsi="Arial Unicode MS"/>
        <w:caps w:val="0"/>
        <w:smallCaps w:val="0"/>
        <w:strike w:val="0"/>
        <w:dstrike w:val="0"/>
        <w:outline w:val="0"/>
        <w:emboss w:val="0"/>
        <w:imprint w:val="0"/>
        <w:spacing w:val="0"/>
        <w:w w:val="100"/>
        <w:kern w:val="0"/>
        <w:position w:val="0"/>
        <w:highlight w:val="none"/>
        <w:vertAlign w:val="baseline"/>
      </w:rPr>
    </w:lvl>
    <w:lvl w:ilvl="6" w:tplc="2FE82956">
      <w:start w:val="1"/>
      <w:numFmt w:val="bullet"/>
      <w:lvlText w:val="•"/>
      <w:lvlJc w:val="left"/>
      <w:pPr>
        <w:tabs>
          <w:tab w:val="num" w:pos="4497"/>
        </w:tabs>
        <w:ind w:left="3789" w:firstLine="519"/>
      </w:pPr>
      <w:rPr>
        <w:rFonts w:hAnsi="Arial Unicode MS"/>
        <w:caps w:val="0"/>
        <w:smallCaps w:val="0"/>
        <w:strike w:val="0"/>
        <w:dstrike w:val="0"/>
        <w:outline w:val="0"/>
        <w:emboss w:val="0"/>
        <w:imprint w:val="0"/>
        <w:spacing w:val="0"/>
        <w:w w:val="100"/>
        <w:kern w:val="0"/>
        <w:position w:val="0"/>
        <w:highlight w:val="none"/>
        <w:vertAlign w:val="baseline"/>
      </w:rPr>
    </w:lvl>
    <w:lvl w:ilvl="7" w:tplc="4C3CF634">
      <w:start w:val="1"/>
      <w:numFmt w:val="bullet"/>
      <w:lvlText w:val="•"/>
      <w:lvlJc w:val="left"/>
      <w:pPr>
        <w:tabs>
          <w:tab w:val="num" w:pos="5097"/>
        </w:tabs>
        <w:ind w:left="4389" w:firstLine="519"/>
      </w:pPr>
      <w:rPr>
        <w:rFonts w:hAnsi="Arial Unicode MS"/>
        <w:caps w:val="0"/>
        <w:smallCaps w:val="0"/>
        <w:strike w:val="0"/>
        <w:dstrike w:val="0"/>
        <w:outline w:val="0"/>
        <w:emboss w:val="0"/>
        <w:imprint w:val="0"/>
        <w:spacing w:val="0"/>
        <w:w w:val="100"/>
        <w:kern w:val="0"/>
        <w:position w:val="0"/>
        <w:highlight w:val="none"/>
        <w:vertAlign w:val="baseline"/>
      </w:rPr>
    </w:lvl>
    <w:lvl w:ilvl="8" w:tplc="CE704BC0">
      <w:start w:val="1"/>
      <w:numFmt w:val="bullet"/>
      <w:lvlText w:val="•"/>
      <w:lvlJc w:val="left"/>
      <w:pPr>
        <w:tabs>
          <w:tab w:val="num" w:pos="5697"/>
        </w:tabs>
        <w:ind w:left="4989" w:firstLine="5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B175200"/>
    <w:multiLevelType w:val="hybridMultilevel"/>
    <w:tmpl w:val="6A7EF998"/>
    <w:numStyleLink w:val="Bullets"/>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DD0"/>
    <w:rsid w:val="00007FC9"/>
    <w:rsid w:val="00020762"/>
    <w:rsid w:val="00057E0A"/>
    <w:rsid w:val="00071BA0"/>
    <w:rsid w:val="000A155E"/>
    <w:rsid w:val="000D3A91"/>
    <w:rsid w:val="000E3AD6"/>
    <w:rsid w:val="001053C5"/>
    <w:rsid w:val="001147DD"/>
    <w:rsid w:val="001B2614"/>
    <w:rsid w:val="001B6AC0"/>
    <w:rsid w:val="001C3F7C"/>
    <w:rsid w:val="001D6464"/>
    <w:rsid w:val="00216643"/>
    <w:rsid w:val="00217834"/>
    <w:rsid w:val="00217EE5"/>
    <w:rsid w:val="00231901"/>
    <w:rsid w:val="002B4DD0"/>
    <w:rsid w:val="00325403"/>
    <w:rsid w:val="00331993"/>
    <w:rsid w:val="00343B61"/>
    <w:rsid w:val="00357545"/>
    <w:rsid w:val="00365396"/>
    <w:rsid w:val="00365FDB"/>
    <w:rsid w:val="0036705D"/>
    <w:rsid w:val="003877C3"/>
    <w:rsid w:val="00394843"/>
    <w:rsid w:val="003C07C0"/>
    <w:rsid w:val="003C3750"/>
    <w:rsid w:val="003E2161"/>
    <w:rsid w:val="0042798D"/>
    <w:rsid w:val="00431E69"/>
    <w:rsid w:val="00441C0B"/>
    <w:rsid w:val="004660F6"/>
    <w:rsid w:val="004730E1"/>
    <w:rsid w:val="004A0EA5"/>
    <w:rsid w:val="004A26BE"/>
    <w:rsid w:val="004D0FDC"/>
    <w:rsid w:val="004D2C2D"/>
    <w:rsid w:val="0050460E"/>
    <w:rsid w:val="00512379"/>
    <w:rsid w:val="00517DAC"/>
    <w:rsid w:val="005C0A37"/>
    <w:rsid w:val="005D2A12"/>
    <w:rsid w:val="005F0749"/>
    <w:rsid w:val="00620D4E"/>
    <w:rsid w:val="00637C27"/>
    <w:rsid w:val="0065308C"/>
    <w:rsid w:val="00664683"/>
    <w:rsid w:val="006C4055"/>
    <w:rsid w:val="007259C7"/>
    <w:rsid w:val="00727EBE"/>
    <w:rsid w:val="00735DB9"/>
    <w:rsid w:val="007532FE"/>
    <w:rsid w:val="007A754B"/>
    <w:rsid w:val="00813C5B"/>
    <w:rsid w:val="0087107A"/>
    <w:rsid w:val="00875FA3"/>
    <w:rsid w:val="008854E2"/>
    <w:rsid w:val="008957FC"/>
    <w:rsid w:val="008B0A1C"/>
    <w:rsid w:val="008C289E"/>
    <w:rsid w:val="008C4333"/>
    <w:rsid w:val="008D2463"/>
    <w:rsid w:val="008F5119"/>
    <w:rsid w:val="0090355A"/>
    <w:rsid w:val="00910DE5"/>
    <w:rsid w:val="00916011"/>
    <w:rsid w:val="0097035D"/>
    <w:rsid w:val="0098591C"/>
    <w:rsid w:val="00987965"/>
    <w:rsid w:val="0099292D"/>
    <w:rsid w:val="009A0810"/>
    <w:rsid w:val="009F163D"/>
    <w:rsid w:val="00A06756"/>
    <w:rsid w:val="00A254E1"/>
    <w:rsid w:val="00A2579A"/>
    <w:rsid w:val="00A65829"/>
    <w:rsid w:val="00A961C9"/>
    <w:rsid w:val="00AC594C"/>
    <w:rsid w:val="00AC60BB"/>
    <w:rsid w:val="00B0627D"/>
    <w:rsid w:val="00B8361F"/>
    <w:rsid w:val="00BB3DF3"/>
    <w:rsid w:val="00BE3D89"/>
    <w:rsid w:val="00BF2DBF"/>
    <w:rsid w:val="00C32ADC"/>
    <w:rsid w:val="00C3481B"/>
    <w:rsid w:val="00C62C1E"/>
    <w:rsid w:val="00C63CE2"/>
    <w:rsid w:val="00C77E42"/>
    <w:rsid w:val="00C96E6D"/>
    <w:rsid w:val="00CB67D1"/>
    <w:rsid w:val="00CD2FAE"/>
    <w:rsid w:val="00CE0D3F"/>
    <w:rsid w:val="00CF5F13"/>
    <w:rsid w:val="00D1288D"/>
    <w:rsid w:val="00D22FC5"/>
    <w:rsid w:val="00D252E9"/>
    <w:rsid w:val="00D27897"/>
    <w:rsid w:val="00D36883"/>
    <w:rsid w:val="00D80AA6"/>
    <w:rsid w:val="00DB3882"/>
    <w:rsid w:val="00DB3905"/>
    <w:rsid w:val="00DB64F3"/>
    <w:rsid w:val="00DC5C4B"/>
    <w:rsid w:val="00DD46DE"/>
    <w:rsid w:val="00E455DB"/>
    <w:rsid w:val="00E76E6B"/>
    <w:rsid w:val="00E84518"/>
    <w:rsid w:val="00EA34A6"/>
    <w:rsid w:val="00EC1C26"/>
    <w:rsid w:val="00EF44E2"/>
    <w:rsid w:val="00F00E8A"/>
    <w:rsid w:val="00F37528"/>
    <w:rsid w:val="00F8486E"/>
    <w:rsid w:val="00FD5EA5"/>
    <w:rsid w:val="00FF08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45A207"/>
  <w15:docId w15:val="{F4263515-E08D-48DA-8472-F9F0B11A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Heading1">
    <w:name w:val="heading 1"/>
    <w:next w:val="Body"/>
    <w:uiPriority w:val="9"/>
    <w:qFormat/>
    <w:pPr>
      <w:keepNext/>
      <w:spacing w:before="240" w:after="60"/>
      <w:outlineLvl w:val="0"/>
    </w:pPr>
    <w:rPr>
      <w:rFonts w:ascii="Calibri" w:hAnsi="Calibri" w:cs="Arial Unicode MS"/>
      <w:b/>
      <w:bCs/>
      <w:color w:val="000000"/>
      <w:sz w:val="32"/>
      <w:szCs w:val="32"/>
      <w:u w:color="000000"/>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fadein4f9by7">
    <w:name w:val="_fadein_4f9by_7"/>
    <w:rPr>
      <w:lang w:val="pt-PT"/>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single" w:color="0000FF"/>
      <w:lang w:val="en-US"/>
    </w:rPr>
  </w:style>
  <w:style w:type="character" w:styleId="Strong">
    <w:name w:val="Strong"/>
    <w:uiPriority w:val="22"/>
    <w:qFormat/>
    <w:rPr>
      <w:rFonts w:ascii="Times New Roman" w:eastAsia="Times New Roman" w:hAnsi="Times New Roman" w:cs="Times New Roman"/>
      <w:b/>
      <w:bCs/>
    </w:rPr>
  </w:style>
  <w:style w:type="numbering" w:customStyle="1" w:styleId="Bullets">
    <w:name w:val="Bullets"/>
    <w:pPr>
      <w:numPr>
        <w:numId w:val="1"/>
      </w:numPr>
    </w:pPr>
  </w:style>
  <w:style w:type="paragraph" w:styleId="NormalWeb">
    <w:name w:val="Normal (Web)"/>
    <w:uiPriority w:val="99"/>
    <w:pPr>
      <w:spacing w:before="100" w:after="100"/>
    </w:pPr>
    <w:rPr>
      <w:rFonts w:cs="Arial Unicode MS"/>
      <w:color w:val="000000"/>
      <w:sz w:val="24"/>
      <w:szCs w:val="24"/>
      <w:u w:color="000000"/>
      <w:lang w:val="pt-PT"/>
    </w:rPr>
  </w:style>
  <w:style w:type="character" w:styleId="Emphasis">
    <w:name w:val="Emphasis"/>
    <w:basedOn w:val="DefaultParagraphFont"/>
    <w:uiPriority w:val="20"/>
    <w:qFormat/>
    <w:rsid w:val="00CD2FAE"/>
    <w:rPr>
      <w:i/>
      <w:iCs/>
    </w:rPr>
  </w:style>
  <w:style w:type="paragraph" w:styleId="NoSpacing">
    <w:name w:val="No Spacing"/>
    <w:uiPriority w:val="1"/>
    <w:qFormat/>
    <w:rsid w:val="001C3F7C"/>
    <w:rPr>
      <w:sz w:val="24"/>
      <w:szCs w:val="24"/>
      <w:lang w:val="en-US" w:eastAsia="en-US"/>
    </w:rPr>
  </w:style>
  <w:style w:type="character" w:styleId="CommentReference">
    <w:name w:val="annotation reference"/>
    <w:basedOn w:val="DefaultParagraphFont"/>
    <w:uiPriority w:val="99"/>
    <w:semiHidden/>
    <w:unhideWhenUsed/>
    <w:rsid w:val="0097035D"/>
    <w:rPr>
      <w:sz w:val="16"/>
      <w:szCs w:val="16"/>
    </w:rPr>
  </w:style>
  <w:style w:type="paragraph" w:styleId="CommentText">
    <w:name w:val="annotation text"/>
    <w:basedOn w:val="Normal"/>
    <w:link w:val="CommentTextChar"/>
    <w:uiPriority w:val="99"/>
    <w:unhideWhenUsed/>
    <w:rsid w:val="0097035D"/>
    <w:rPr>
      <w:sz w:val="20"/>
      <w:szCs w:val="20"/>
    </w:rPr>
  </w:style>
  <w:style w:type="character" w:customStyle="1" w:styleId="CommentTextChar">
    <w:name w:val="Comment Text Char"/>
    <w:basedOn w:val="DefaultParagraphFont"/>
    <w:link w:val="CommentText"/>
    <w:uiPriority w:val="99"/>
    <w:rsid w:val="0097035D"/>
    <w:rPr>
      <w:lang w:val="en-US" w:eastAsia="en-US"/>
    </w:rPr>
  </w:style>
  <w:style w:type="paragraph" w:styleId="CommentSubject">
    <w:name w:val="annotation subject"/>
    <w:basedOn w:val="CommentText"/>
    <w:next w:val="CommentText"/>
    <w:link w:val="CommentSubjectChar"/>
    <w:uiPriority w:val="99"/>
    <w:semiHidden/>
    <w:unhideWhenUsed/>
    <w:rsid w:val="0097035D"/>
    <w:rPr>
      <w:b/>
      <w:bCs/>
    </w:rPr>
  </w:style>
  <w:style w:type="character" w:customStyle="1" w:styleId="CommentSubjectChar">
    <w:name w:val="Comment Subject Char"/>
    <w:basedOn w:val="CommentTextChar"/>
    <w:link w:val="CommentSubject"/>
    <w:uiPriority w:val="99"/>
    <w:semiHidden/>
    <w:rsid w:val="0097035D"/>
    <w:rPr>
      <w:b/>
      <w:bCs/>
      <w:lang w:val="en-US" w:eastAsia="en-US"/>
    </w:rPr>
  </w:style>
  <w:style w:type="paragraph" w:styleId="Header">
    <w:name w:val="header"/>
    <w:basedOn w:val="Normal"/>
    <w:link w:val="HeaderChar"/>
    <w:uiPriority w:val="99"/>
    <w:unhideWhenUsed/>
    <w:rsid w:val="00A06756"/>
    <w:pPr>
      <w:tabs>
        <w:tab w:val="center" w:pos="4252"/>
        <w:tab w:val="right" w:pos="8504"/>
      </w:tabs>
    </w:pPr>
  </w:style>
  <w:style w:type="character" w:customStyle="1" w:styleId="HeaderChar">
    <w:name w:val="Header Char"/>
    <w:basedOn w:val="DefaultParagraphFont"/>
    <w:link w:val="Header"/>
    <w:uiPriority w:val="99"/>
    <w:rsid w:val="00A06756"/>
    <w:rPr>
      <w:sz w:val="24"/>
      <w:szCs w:val="24"/>
      <w:lang w:val="en-US" w:eastAsia="en-US"/>
    </w:rPr>
  </w:style>
  <w:style w:type="paragraph" w:styleId="Footer">
    <w:name w:val="footer"/>
    <w:basedOn w:val="Normal"/>
    <w:link w:val="FooterChar"/>
    <w:uiPriority w:val="99"/>
    <w:unhideWhenUsed/>
    <w:rsid w:val="00A06756"/>
    <w:pPr>
      <w:tabs>
        <w:tab w:val="center" w:pos="4252"/>
        <w:tab w:val="right" w:pos="8504"/>
      </w:tabs>
    </w:pPr>
  </w:style>
  <w:style w:type="character" w:customStyle="1" w:styleId="FooterChar">
    <w:name w:val="Footer Char"/>
    <w:basedOn w:val="DefaultParagraphFont"/>
    <w:link w:val="Footer"/>
    <w:uiPriority w:val="99"/>
    <w:rsid w:val="00A06756"/>
    <w:rPr>
      <w:sz w:val="24"/>
      <w:szCs w:val="24"/>
      <w:lang w:val="en-US" w:eastAsia="en-US"/>
    </w:rPr>
  </w:style>
  <w:style w:type="character" w:styleId="UnresolvedMention">
    <w:name w:val="Unresolved Mention"/>
    <w:basedOn w:val="DefaultParagraphFont"/>
    <w:uiPriority w:val="99"/>
    <w:semiHidden/>
    <w:unhideWhenUsed/>
    <w:rsid w:val="00987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8188">
      <w:bodyDiv w:val="1"/>
      <w:marLeft w:val="0"/>
      <w:marRight w:val="0"/>
      <w:marTop w:val="0"/>
      <w:marBottom w:val="0"/>
      <w:divBdr>
        <w:top w:val="none" w:sz="0" w:space="0" w:color="auto"/>
        <w:left w:val="none" w:sz="0" w:space="0" w:color="auto"/>
        <w:bottom w:val="none" w:sz="0" w:space="0" w:color="auto"/>
        <w:right w:val="none" w:sz="0" w:space="0" w:color="auto"/>
      </w:divBdr>
    </w:div>
    <w:div w:id="114494714">
      <w:bodyDiv w:val="1"/>
      <w:marLeft w:val="0"/>
      <w:marRight w:val="0"/>
      <w:marTop w:val="0"/>
      <w:marBottom w:val="0"/>
      <w:divBdr>
        <w:top w:val="none" w:sz="0" w:space="0" w:color="auto"/>
        <w:left w:val="none" w:sz="0" w:space="0" w:color="auto"/>
        <w:bottom w:val="none" w:sz="0" w:space="0" w:color="auto"/>
        <w:right w:val="none" w:sz="0" w:space="0" w:color="auto"/>
      </w:divBdr>
    </w:div>
    <w:div w:id="155340100">
      <w:bodyDiv w:val="1"/>
      <w:marLeft w:val="0"/>
      <w:marRight w:val="0"/>
      <w:marTop w:val="0"/>
      <w:marBottom w:val="0"/>
      <w:divBdr>
        <w:top w:val="none" w:sz="0" w:space="0" w:color="auto"/>
        <w:left w:val="none" w:sz="0" w:space="0" w:color="auto"/>
        <w:bottom w:val="none" w:sz="0" w:space="0" w:color="auto"/>
        <w:right w:val="none" w:sz="0" w:space="0" w:color="auto"/>
      </w:divBdr>
    </w:div>
    <w:div w:id="195503858">
      <w:bodyDiv w:val="1"/>
      <w:marLeft w:val="0"/>
      <w:marRight w:val="0"/>
      <w:marTop w:val="0"/>
      <w:marBottom w:val="0"/>
      <w:divBdr>
        <w:top w:val="none" w:sz="0" w:space="0" w:color="auto"/>
        <w:left w:val="none" w:sz="0" w:space="0" w:color="auto"/>
        <w:bottom w:val="none" w:sz="0" w:space="0" w:color="auto"/>
        <w:right w:val="none" w:sz="0" w:space="0" w:color="auto"/>
      </w:divBdr>
    </w:div>
    <w:div w:id="403839998">
      <w:bodyDiv w:val="1"/>
      <w:marLeft w:val="0"/>
      <w:marRight w:val="0"/>
      <w:marTop w:val="0"/>
      <w:marBottom w:val="0"/>
      <w:divBdr>
        <w:top w:val="none" w:sz="0" w:space="0" w:color="auto"/>
        <w:left w:val="none" w:sz="0" w:space="0" w:color="auto"/>
        <w:bottom w:val="none" w:sz="0" w:space="0" w:color="auto"/>
        <w:right w:val="none" w:sz="0" w:space="0" w:color="auto"/>
      </w:divBdr>
    </w:div>
    <w:div w:id="735399958">
      <w:bodyDiv w:val="1"/>
      <w:marLeft w:val="0"/>
      <w:marRight w:val="0"/>
      <w:marTop w:val="0"/>
      <w:marBottom w:val="0"/>
      <w:divBdr>
        <w:top w:val="none" w:sz="0" w:space="0" w:color="auto"/>
        <w:left w:val="none" w:sz="0" w:space="0" w:color="auto"/>
        <w:bottom w:val="none" w:sz="0" w:space="0" w:color="auto"/>
        <w:right w:val="none" w:sz="0" w:space="0" w:color="auto"/>
      </w:divBdr>
    </w:div>
    <w:div w:id="1167358424">
      <w:bodyDiv w:val="1"/>
      <w:marLeft w:val="0"/>
      <w:marRight w:val="0"/>
      <w:marTop w:val="0"/>
      <w:marBottom w:val="0"/>
      <w:divBdr>
        <w:top w:val="none" w:sz="0" w:space="0" w:color="auto"/>
        <w:left w:val="none" w:sz="0" w:space="0" w:color="auto"/>
        <w:bottom w:val="none" w:sz="0" w:space="0" w:color="auto"/>
        <w:right w:val="none" w:sz="0" w:space="0" w:color="auto"/>
      </w:divBdr>
    </w:div>
    <w:div w:id="1170021170">
      <w:bodyDiv w:val="1"/>
      <w:marLeft w:val="0"/>
      <w:marRight w:val="0"/>
      <w:marTop w:val="0"/>
      <w:marBottom w:val="0"/>
      <w:divBdr>
        <w:top w:val="none" w:sz="0" w:space="0" w:color="auto"/>
        <w:left w:val="none" w:sz="0" w:space="0" w:color="auto"/>
        <w:bottom w:val="none" w:sz="0" w:space="0" w:color="auto"/>
        <w:right w:val="none" w:sz="0" w:space="0" w:color="auto"/>
      </w:divBdr>
    </w:div>
    <w:div w:id="1171600516">
      <w:bodyDiv w:val="1"/>
      <w:marLeft w:val="0"/>
      <w:marRight w:val="0"/>
      <w:marTop w:val="0"/>
      <w:marBottom w:val="0"/>
      <w:divBdr>
        <w:top w:val="none" w:sz="0" w:space="0" w:color="auto"/>
        <w:left w:val="none" w:sz="0" w:space="0" w:color="auto"/>
        <w:bottom w:val="none" w:sz="0" w:space="0" w:color="auto"/>
        <w:right w:val="none" w:sz="0" w:space="0" w:color="auto"/>
      </w:divBdr>
    </w:div>
    <w:div w:id="1274240740">
      <w:bodyDiv w:val="1"/>
      <w:marLeft w:val="0"/>
      <w:marRight w:val="0"/>
      <w:marTop w:val="0"/>
      <w:marBottom w:val="0"/>
      <w:divBdr>
        <w:top w:val="none" w:sz="0" w:space="0" w:color="auto"/>
        <w:left w:val="none" w:sz="0" w:space="0" w:color="auto"/>
        <w:bottom w:val="none" w:sz="0" w:space="0" w:color="auto"/>
        <w:right w:val="none" w:sz="0" w:space="0" w:color="auto"/>
      </w:divBdr>
    </w:div>
    <w:div w:id="1284654255">
      <w:bodyDiv w:val="1"/>
      <w:marLeft w:val="0"/>
      <w:marRight w:val="0"/>
      <w:marTop w:val="0"/>
      <w:marBottom w:val="0"/>
      <w:divBdr>
        <w:top w:val="none" w:sz="0" w:space="0" w:color="auto"/>
        <w:left w:val="none" w:sz="0" w:space="0" w:color="auto"/>
        <w:bottom w:val="none" w:sz="0" w:space="0" w:color="auto"/>
        <w:right w:val="none" w:sz="0" w:space="0" w:color="auto"/>
      </w:divBdr>
    </w:div>
    <w:div w:id="1348211370">
      <w:bodyDiv w:val="1"/>
      <w:marLeft w:val="0"/>
      <w:marRight w:val="0"/>
      <w:marTop w:val="0"/>
      <w:marBottom w:val="0"/>
      <w:divBdr>
        <w:top w:val="none" w:sz="0" w:space="0" w:color="auto"/>
        <w:left w:val="none" w:sz="0" w:space="0" w:color="auto"/>
        <w:bottom w:val="none" w:sz="0" w:space="0" w:color="auto"/>
        <w:right w:val="none" w:sz="0" w:space="0" w:color="auto"/>
      </w:divBdr>
    </w:div>
    <w:div w:id="1711028032">
      <w:bodyDiv w:val="1"/>
      <w:marLeft w:val="0"/>
      <w:marRight w:val="0"/>
      <w:marTop w:val="0"/>
      <w:marBottom w:val="0"/>
      <w:divBdr>
        <w:top w:val="none" w:sz="0" w:space="0" w:color="auto"/>
        <w:left w:val="none" w:sz="0" w:space="0" w:color="auto"/>
        <w:bottom w:val="none" w:sz="0" w:space="0" w:color="auto"/>
        <w:right w:val="none" w:sz="0" w:space="0" w:color="auto"/>
      </w:divBdr>
    </w:div>
    <w:div w:id="1755055559">
      <w:bodyDiv w:val="1"/>
      <w:marLeft w:val="0"/>
      <w:marRight w:val="0"/>
      <w:marTop w:val="0"/>
      <w:marBottom w:val="0"/>
      <w:divBdr>
        <w:top w:val="none" w:sz="0" w:space="0" w:color="auto"/>
        <w:left w:val="none" w:sz="0" w:space="0" w:color="auto"/>
        <w:bottom w:val="none" w:sz="0" w:space="0" w:color="auto"/>
        <w:right w:val="none" w:sz="0" w:space="0" w:color="auto"/>
      </w:divBdr>
    </w:div>
    <w:div w:id="1862087578">
      <w:bodyDiv w:val="1"/>
      <w:marLeft w:val="0"/>
      <w:marRight w:val="0"/>
      <w:marTop w:val="0"/>
      <w:marBottom w:val="0"/>
      <w:divBdr>
        <w:top w:val="none" w:sz="0" w:space="0" w:color="auto"/>
        <w:left w:val="none" w:sz="0" w:space="0" w:color="auto"/>
        <w:bottom w:val="none" w:sz="0" w:space="0" w:color="auto"/>
        <w:right w:val="none" w:sz="0" w:space="0" w:color="auto"/>
      </w:divBdr>
    </w:div>
    <w:div w:id="2036925876">
      <w:bodyDiv w:val="1"/>
      <w:marLeft w:val="0"/>
      <w:marRight w:val="0"/>
      <w:marTop w:val="0"/>
      <w:marBottom w:val="0"/>
      <w:divBdr>
        <w:top w:val="none" w:sz="0" w:space="0" w:color="auto"/>
        <w:left w:val="none" w:sz="0" w:space="0" w:color="auto"/>
        <w:bottom w:val="none" w:sz="0" w:space="0" w:color="auto"/>
        <w:right w:val="none" w:sz="0" w:space="0" w:color="auto"/>
      </w:divBdr>
    </w:div>
    <w:div w:id="2066030330">
      <w:bodyDiv w:val="1"/>
      <w:marLeft w:val="0"/>
      <w:marRight w:val="0"/>
      <w:marTop w:val="0"/>
      <w:marBottom w:val="0"/>
      <w:divBdr>
        <w:top w:val="none" w:sz="0" w:space="0" w:color="auto"/>
        <w:left w:val="none" w:sz="0" w:space="0" w:color="auto"/>
        <w:bottom w:val="none" w:sz="0" w:space="0" w:color="auto"/>
        <w:right w:val="none" w:sz="0" w:space="0" w:color="auto"/>
      </w:divBdr>
    </w:div>
    <w:div w:id="2140225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B3FC-1D2D-4113-8CFA-C27BE0400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16</Pages>
  <Words>5086</Words>
  <Characters>28993</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SDI 1180</cp:lastModifiedBy>
  <cp:revision>41</cp:revision>
  <dcterms:created xsi:type="dcterms:W3CDTF">2025-06-17T00:04:00Z</dcterms:created>
  <dcterms:modified xsi:type="dcterms:W3CDTF">2025-07-17T13:01:00Z</dcterms:modified>
</cp:coreProperties>
</file>