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9731F" w14:textId="77777777" w:rsidR="00501884" w:rsidRPr="00226F62" w:rsidRDefault="00501884" w:rsidP="001A58BB">
      <w:pPr>
        <w:spacing w:after="0"/>
        <w:jc w:val="both"/>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Probiotic Potential of Mulberry (</w:t>
      </w:r>
      <w:r w:rsidRPr="004B3C75">
        <w:rPr>
          <w:rFonts w:ascii="Times New Roman" w:eastAsia="Times New Roman" w:hAnsi="Times New Roman" w:cs="Times New Roman"/>
          <w:b/>
          <w:bCs/>
          <w:i/>
          <w:sz w:val="24"/>
          <w:szCs w:val="24"/>
          <w:lang w:eastAsia="en-IN"/>
        </w:rPr>
        <w:t>Morus</w:t>
      </w:r>
      <w:r w:rsidRPr="00226F62">
        <w:rPr>
          <w:rFonts w:ascii="Times New Roman" w:eastAsia="Times New Roman" w:hAnsi="Times New Roman" w:cs="Times New Roman"/>
          <w:b/>
          <w:bCs/>
          <w:sz w:val="24"/>
          <w:szCs w:val="24"/>
          <w:lang w:eastAsia="en-IN"/>
        </w:rPr>
        <w:t xml:space="preserve"> spp.) Fruit Juice: A Functional Beverage Perspective</w:t>
      </w:r>
    </w:p>
    <w:p w14:paraId="5330F2A4" w14:textId="2720F83A" w:rsidR="00EB260A" w:rsidRDefault="00EB260A" w:rsidP="001A58BB">
      <w:pPr>
        <w:spacing w:after="0"/>
        <w:rPr>
          <w:rFonts w:ascii="Times New Roman" w:hAnsi="Times New Roman" w:cs="Times New Roman"/>
          <w:sz w:val="24"/>
          <w:szCs w:val="24"/>
        </w:rPr>
      </w:pPr>
    </w:p>
    <w:p w14:paraId="36DF87A3" w14:textId="77777777" w:rsidR="008A4081" w:rsidRPr="00226F62" w:rsidRDefault="008A4081" w:rsidP="001A58BB">
      <w:pPr>
        <w:spacing w:after="0"/>
        <w:rPr>
          <w:rFonts w:ascii="Times New Roman" w:hAnsi="Times New Roman" w:cs="Times New Roman"/>
          <w:sz w:val="24"/>
          <w:szCs w:val="24"/>
        </w:rPr>
      </w:pPr>
      <w:bookmarkStart w:id="0" w:name="_GoBack"/>
      <w:bookmarkEnd w:id="0"/>
    </w:p>
    <w:p w14:paraId="17D95EC3" w14:textId="77777777" w:rsidR="00A7068E" w:rsidRPr="00226F62" w:rsidRDefault="00A7068E" w:rsidP="001A58BB">
      <w:pPr>
        <w:spacing w:after="0"/>
        <w:jc w:val="both"/>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Abstract:</w:t>
      </w:r>
    </w:p>
    <w:p w14:paraId="091528DF" w14:textId="77777777" w:rsidR="00A7068E" w:rsidRPr="00226F62" w:rsidRDefault="00A7068E"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Mulberry (</w:t>
      </w:r>
      <w:r w:rsidRPr="00226F62">
        <w:rPr>
          <w:rFonts w:ascii="Times New Roman" w:eastAsia="Times New Roman" w:hAnsi="Times New Roman" w:cs="Times New Roman"/>
          <w:i/>
          <w:iCs/>
          <w:sz w:val="24"/>
          <w:szCs w:val="24"/>
          <w:lang w:eastAsia="en-IN"/>
        </w:rPr>
        <w:t>Morus</w:t>
      </w:r>
      <w:r w:rsidRPr="00226F62">
        <w:rPr>
          <w:rFonts w:ascii="Times New Roman" w:eastAsia="Times New Roman" w:hAnsi="Times New Roman" w:cs="Times New Roman"/>
          <w:sz w:val="24"/>
          <w:szCs w:val="24"/>
          <w:lang w:eastAsia="en-IN"/>
        </w:rPr>
        <w:t xml:space="preserve"> spp.) fruit juice, known for its rich phytochemical profile and health-promoting properties, has emerged as a promising substrate for probiotic fermentation. This review explores the potential of mulberry juice as a non-dairy matrix for the development of functional probiotic beverages. With high levels of fermentable sugars, anthocyanins, polyphenols, vitamin C, and essential minerals, mulberry juice offers an optimal environment for the growth and metabolic activity of lactic acid bacteria (LAB). Probiotic fermentation not only enhances the nutritional and bioactive composition of the juice but also imparts health benefits such as antioxidant protection, immunomodulation, antidiabetic effects, and improved gut health. The review highlights key LAB strains including </w:t>
      </w:r>
      <w:r w:rsidRPr="00226F62">
        <w:rPr>
          <w:rFonts w:ascii="Times New Roman" w:eastAsia="Times New Roman" w:hAnsi="Times New Roman" w:cs="Times New Roman"/>
          <w:i/>
          <w:iCs/>
          <w:sz w:val="24"/>
          <w:szCs w:val="24"/>
          <w:lang w:eastAsia="en-IN"/>
        </w:rPr>
        <w:t>Lactobacillus plantarum</w:t>
      </w:r>
      <w:r w:rsidRPr="00226F62">
        <w:rPr>
          <w:rFonts w:ascii="Times New Roman" w:eastAsia="Times New Roman" w:hAnsi="Times New Roman" w:cs="Times New Roman"/>
          <w:sz w:val="24"/>
          <w:szCs w:val="24"/>
          <w:lang w:eastAsia="en-IN"/>
        </w:rPr>
        <w:t xml:space="preserve">, </w:t>
      </w:r>
      <w:r w:rsidRPr="00226F62">
        <w:rPr>
          <w:rFonts w:ascii="Times New Roman" w:eastAsia="Times New Roman" w:hAnsi="Times New Roman" w:cs="Times New Roman"/>
          <w:i/>
          <w:iCs/>
          <w:sz w:val="24"/>
          <w:szCs w:val="24"/>
          <w:lang w:eastAsia="en-IN"/>
        </w:rPr>
        <w:t xml:space="preserve">L. </w:t>
      </w:r>
      <w:proofErr w:type="spellStart"/>
      <w:r w:rsidRPr="00226F62">
        <w:rPr>
          <w:rFonts w:ascii="Times New Roman" w:eastAsia="Times New Roman" w:hAnsi="Times New Roman" w:cs="Times New Roman"/>
          <w:i/>
          <w:iCs/>
          <w:sz w:val="24"/>
          <w:szCs w:val="24"/>
          <w:lang w:eastAsia="en-IN"/>
        </w:rPr>
        <w:t>rhamnosus</w:t>
      </w:r>
      <w:proofErr w:type="spellEnd"/>
      <w:r w:rsidRPr="00226F62">
        <w:rPr>
          <w:rFonts w:ascii="Times New Roman" w:eastAsia="Times New Roman" w:hAnsi="Times New Roman" w:cs="Times New Roman"/>
          <w:sz w:val="24"/>
          <w:szCs w:val="24"/>
          <w:lang w:eastAsia="en-IN"/>
        </w:rPr>
        <w:t xml:space="preserve">, and </w:t>
      </w:r>
      <w:proofErr w:type="spellStart"/>
      <w:r w:rsidRPr="00226F62">
        <w:rPr>
          <w:rFonts w:ascii="Times New Roman" w:eastAsia="Times New Roman" w:hAnsi="Times New Roman" w:cs="Times New Roman"/>
          <w:i/>
          <w:iCs/>
          <w:sz w:val="24"/>
          <w:szCs w:val="24"/>
          <w:lang w:eastAsia="en-IN"/>
        </w:rPr>
        <w:t>Leuconostoc</w:t>
      </w:r>
      <w:proofErr w:type="spellEnd"/>
      <w:r w:rsidRPr="00226F62">
        <w:rPr>
          <w:rFonts w:ascii="Times New Roman" w:eastAsia="Times New Roman" w:hAnsi="Times New Roman" w:cs="Times New Roman"/>
          <w:i/>
          <w:iCs/>
          <w:sz w:val="24"/>
          <w:szCs w:val="24"/>
          <w:lang w:eastAsia="en-IN"/>
        </w:rPr>
        <w:t xml:space="preserve"> </w:t>
      </w:r>
      <w:proofErr w:type="spellStart"/>
      <w:r w:rsidRPr="00226F62">
        <w:rPr>
          <w:rFonts w:ascii="Times New Roman" w:eastAsia="Times New Roman" w:hAnsi="Times New Roman" w:cs="Times New Roman"/>
          <w:i/>
          <w:iCs/>
          <w:sz w:val="24"/>
          <w:szCs w:val="24"/>
          <w:lang w:eastAsia="en-IN"/>
        </w:rPr>
        <w:t>mesenteroides</w:t>
      </w:r>
      <w:proofErr w:type="spellEnd"/>
      <w:r w:rsidRPr="00226F62">
        <w:rPr>
          <w:rFonts w:ascii="Times New Roman" w:eastAsia="Times New Roman" w:hAnsi="Times New Roman" w:cs="Times New Roman"/>
          <w:sz w:val="24"/>
          <w:szCs w:val="24"/>
          <w:lang w:eastAsia="en-IN"/>
        </w:rPr>
        <w:t xml:space="preserve"> used in mulberry juice fermentation and discusses their functional roles, fermentation dynamics, and impact on shelf stability. Recent studies demonstrate that fermented mulberry juice retains probiotic viability (&gt;10</w:t>
      </w:r>
      <w:r w:rsidRPr="00226F62">
        <w:rPr>
          <w:rFonts w:ascii="Cambria Math" w:eastAsia="Times New Roman" w:hAnsi="Cambria Math" w:cs="Times New Roman"/>
          <w:sz w:val="24"/>
          <w:szCs w:val="24"/>
          <w:lang w:eastAsia="en-IN"/>
        </w:rPr>
        <w:t>⁶</w:t>
      </w:r>
      <w:r w:rsidRPr="00226F62">
        <w:rPr>
          <w:rFonts w:ascii="Times New Roman" w:eastAsia="Times New Roman" w:hAnsi="Times New Roman" w:cs="Times New Roman"/>
          <w:sz w:val="24"/>
          <w:szCs w:val="24"/>
          <w:lang w:eastAsia="en-IN"/>
        </w:rPr>
        <w:t xml:space="preserve"> CFU/mL), preserves anthocyanins, and achieves high consumer acceptability. The synergistic interaction between mulberry </w:t>
      </w:r>
      <w:proofErr w:type="spellStart"/>
      <w:r w:rsidRPr="00226F62">
        <w:rPr>
          <w:rFonts w:ascii="Times New Roman" w:eastAsia="Times New Roman" w:hAnsi="Times New Roman" w:cs="Times New Roman"/>
          <w:sz w:val="24"/>
          <w:szCs w:val="24"/>
          <w:lang w:eastAsia="en-IN"/>
        </w:rPr>
        <w:t>bioactives</w:t>
      </w:r>
      <w:proofErr w:type="spellEnd"/>
      <w:r w:rsidRPr="00226F62">
        <w:rPr>
          <w:rFonts w:ascii="Times New Roman" w:eastAsia="Times New Roman" w:hAnsi="Times New Roman" w:cs="Times New Roman"/>
          <w:sz w:val="24"/>
          <w:szCs w:val="24"/>
          <w:lang w:eastAsia="en-IN"/>
        </w:rPr>
        <w:t xml:space="preserve"> and probiotics positions this beverage as a valuable addition to the functional food industry. Further clinical studies and technological advancements are essential for scaling up production and evaluating long-term health impacts.</w:t>
      </w:r>
    </w:p>
    <w:p w14:paraId="0BCDB82D" w14:textId="77777777" w:rsidR="001A58BB" w:rsidRDefault="001A58BB" w:rsidP="001A58BB">
      <w:pPr>
        <w:pStyle w:val="NormalWeb"/>
        <w:spacing w:before="0" w:beforeAutospacing="0" w:after="0" w:afterAutospacing="0" w:line="276" w:lineRule="auto"/>
        <w:jc w:val="both"/>
        <w:rPr>
          <w:b/>
        </w:rPr>
      </w:pPr>
    </w:p>
    <w:p w14:paraId="6E1F3C8F" w14:textId="77777777" w:rsidR="00A7068E" w:rsidRPr="00226F62" w:rsidRDefault="00A7068E" w:rsidP="001A58BB">
      <w:pPr>
        <w:pStyle w:val="NormalWeb"/>
        <w:spacing w:before="0" w:beforeAutospacing="0" w:after="0" w:afterAutospacing="0" w:line="276" w:lineRule="auto"/>
        <w:jc w:val="both"/>
        <w:rPr>
          <w:b/>
        </w:rPr>
      </w:pPr>
      <w:r w:rsidRPr="00226F62">
        <w:rPr>
          <w:b/>
        </w:rPr>
        <w:t>Key word:</w:t>
      </w:r>
      <w:r w:rsidRPr="00226F62">
        <w:t xml:space="preserve"> </w:t>
      </w:r>
      <w:r w:rsidRPr="00226F62">
        <w:rPr>
          <w:rStyle w:val="Strong"/>
          <w:b w:val="0"/>
        </w:rPr>
        <w:t>Mulberry juice</w:t>
      </w:r>
      <w:r w:rsidRPr="00226F62">
        <w:rPr>
          <w:b/>
        </w:rPr>
        <w:t xml:space="preserve">, </w:t>
      </w:r>
      <w:r w:rsidRPr="00226F62">
        <w:rPr>
          <w:rStyle w:val="Strong"/>
          <w:b w:val="0"/>
        </w:rPr>
        <w:t>Probiotic beverages</w:t>
      </w:r>
      <w:r w:rsidRPr="00226F62">
        <w:rPr>
          <w:b/>
        </w:rPr>
        <w:t xml:space="preserve">, </w:t>
      </w:r>
      <w:r w:rsidRPr="00226F62">
        <w:rPr>
          <w:rStyle w:val="Strong"/>
          <w:b w:val="0"/>
        </w:rPr>
        <w:t>Lactic acid bacteria (LAB)</w:t>
      </w:r>
      <w:r w:rsidRPr="00226F62">
        <w:rPr>
          <w:b/>
        </w:rPr>
        <w:t xml:space="preserve">, </w:t>
      </w:r>
      <w:r w:rsidRPr="00226F62">
        <w:rPr>
          <w:rStyle w:val="Strong"/>
          <w:b w:val="0"/>
        </w:rPr>
        <w:t>Functional foods</w:t>
      </w:r>
      <w:r w:rsidRPr="00226F62">
        <w:rPr>
          <w:b/>
        </w:rPr>
        <w:t xml:space="preserve">, </w:t>
      </w:r>
      <w:r w:rsidRPr="00226F62">
        <w:rPr>
          <w:rStyle w:val="Strong"/>
          <w:b w:val="0"/>
        </w:rPr>
        <w:t>Fermentation</w:t>
      </w:r>
      <w:r w:rsidRPr="00226F62">
        <w:rPr>
          <w:b/>
        </w:rPr>
        <w:t xml:space="preserve">, </w:t>
      </w:r>
      <w:r w:rsidRPr="00226F62">
        <w:rPr>
          <w:rStyle w:val="Strong"/>
          <w:b w:val="0"/>
        </w:rPr>
        <w:t>Anthocyanins</w:t>
      </w:r>
    </w:p>
    <w:p w14:paraId="3F632C37" w14:textId="77777777" w:rsidR="001A58BB" w:rsidRDefault="001A58BB" w:rsidP="001A58BB">
      <w:pPr>
        <w:pStyle w:val="NormalWeb"/>
        <w:spacing w:before="0" w:beforeAutospacing="0" w:after="0" w:afterAutospacing="0" w:line="276" w:lineRule="auto"/>
        <w:jc w:val="both"/>
        <w:rPr>
          <w:b/>
        </w:rPr>
      </w:pPr>
    </w:p>
    <w:p w14:paraId="5AA413F8" w14:textId="77777777" w:rsidR="00C52C72" w:rsidRPr="00226F62" w:rsidRDefault="00C52C72" w:rsidP="001A58BB">
      <w:pPr>
        <w:pStyle w:val="NormalWeb"/>
        <w:spacing w:before="0" w:beforeAutospacing="0" w:after="0" w:afterAutospacing="0" w:line="276" w:lineRule="auto"/>
        <w:jc w:val="both"/>
        <w:rPr>
          <w:b/>
        </w:rPr>
      </w:pPr>
      <w:r w:rsidRPr="00226F62">
        <w:rPr>
          <w:b/>
        </w:rPr>
        <w:t xml:space="preserve">1. Introduction </w:t>
      </w:r>
    </w:p>
    <w:p w14:paraId="639EF0B3" w14:textId="77777777" w:rsidR="00E773EF" w:rsidRPr="00226F62" w:rsidRDefault="00E773EF" w:rsidP="001A58BB">
      <w:pPr>
        <w:pStyle w:val="NormalWeb"/>
        <w:spacing w:before="0" w:beforeAutospacing="0" w:after="0" w:afterAutospacing="0" w:line="276" w:lineRule="auto"/>
        <w:jc w:val="both"/>
      </w:pPr>
      <w:r w:rsidRPr="00226F62">
        <w:t>Mulberry (</w:t>
      </w:r>
      <w:r w:rsidRPr="00226F62">
        <w:rPr>
          <w:rStyle w:val="Emphasis"/>
        </w:rPr>
        <w:t>Morus</w:t>
      </w:r>
      <w:r w:rsidRPr="00226F62">
        <w:t xml:space="preserve"> spp.), a member of the </w:t>
      </w:r>
      <w:proofErr w:type="spellStart"/>
      <w:r w:rsidRPr="00226F62">
        <w:t>Moraceae</w:t>
      </w:r>
      <w:proofErr w:type="spellEnd"/>
      <w:r w:rsidRPr="00226F62">
        <w:t xml:space="preserve"> family, is a fast-growing, deciduous plant cultivated widely in tropical, subtropical, and temperate regions (Koyuncu et al., 2004). Traditionally, the mulberry tree has been valued for its leaves in sericulture and for its fruits and bark in medicinal systems such as Ayurveda, Chinese traditional medicine, and Unani. The fruit has been used in managing conditions like fever, diabetes, inflammation, and cardiovascular diseases (</w:t>
      </w:r>
      <w:proofErr w:type="spellStart"/>
      <w:r w:rsidRPr="00226F62">
        <w:t>Ercisli</w:t>
      </w:r>
      <w:proofErr w:type="spellEnd"/>
      <w:r w:rsidRPr="00226F62">
        <w:t xml:space="preserve"> &amp; </w:t>
      </w:r>
      <w:proofErr w:type="spellStart"/>
      <w:r w:rsidRPr="00226F62">
        <w:t>Orhan</w:t>
      </w:r>
      <w:proofErr w:type="spellEnd"/>
      <w:r w:rsidRPr="00226F62">
        <w:t>, 2007; Butt et al., 2008).</w:t>
      </w:r>
      <w:r w:rsidR="00091FCB">
        <w:t xml:space="preserve"> </w:t>
      </w:r>
      <w:r w:rsidRPr="00226F62">
        <w:t xml:space="preserve">Mulberries are nutritionally dense, containing significant amounts of natural sugars (glucose and fructose), dietary </w:t>
      </w:r>
      <w:proofErr w:type="spellStart"/>
      <w:r w:rsidRPr="00226F62">
        <w:t>fibers</w:t>
      </w:r>
      <w:proofErr w:type="spellEnd"/>
      <w:r w:rsidRPr="00226F62">
        <w:t>, vitamin C, iron, calcium, and bioactive compounds such as flavonoids, anthocyanins, and polyphenols (Hussain et al., 2009; Dugo et al., 2001). Among these, anthocy</w:t>
      </w:r>
      <w:r w:rsidR="00E63D41" w:rsidRPr="00226F62">
        <w:t xml:space="preserve">anins </w:t>
      </w:r>
      <w:r w:rsidRPr="00226F62">
        <w:t>particularly cyanidin-3-O-gluc</w:t>
      </w:r>
      <w:r w:rsidR="00E63D41" w:rsidRPr="00226F62">
        <w:t xml:space="preserve">oside and cyanidin-3-rutinoside </w:t>
      </w:r>
      <w:r w:rsidRPr="00226F62">
        <w:t xml:space="preserve">are responsible for the fruit’s deep </w:t>
      </w:r>
      <w:proofErr w:type="spellStart"/>
      <w:r w:rsidRPr="00226F62">
        <w:t>color</w:t>
      </w:r>
      <w:proofErr w:type="spellEnd"/>
      <w:r w:rsidRPr="00226F62">
        <w:t xml:space="preserve"> and contribute to its high antioxidant potential (Qin et al., 2010; Liu et al., 2004). Black and red mulberries are especially rich in these anthocyanins.</w:t>
      </w:r>
    </w:p>
    <w:p w14:paraId="6384FA89" w14:textId="787B0C78" w:rsidR="00E773EF" w:rsidRPr="00226F62" w:rsidRDefault="00E773EF" w:rsidP="001A58BB">
      <w:pPr>
        <w:pStyle w:val="NormalWeb"/>
        <w:spacing w:before="0" w:beforeAutospacing="0" w:after="0" w:afterAutospacing="0" w:line="276" w:lineRule="auto"/>
        <w:jc w:val="both"/>
      </w:pPr>
      <w:r w:rsidRPr="00226F62">
        <w:t xml:space="preserve">In recent years, there has been a growing shift toward the development of </w:t>
      </w:r>
      <w:r w:rsidRPr="00226F62">
        <w:rPr>
          <w:rStyle w:val="Strong"/>
          <w:b w:val="0"/>
        </w:rPr>
        <w:t>plant-based probiotic beverages</w:t>
      </w:r>
      <w:r w:rsidRPr="00226F62">
        <w:t xml:space="preserve">, mainly due to rising lactose intolerance, veganism, and concerns over milk protein allergies. Fruit juices offer an attractive alternative due to their inherent nutritional value and consumer appeal (Luckow &amp; Delahunty, 2004). Among them, </w:t>
      </w:r>
      <w:r w:rsidRPr="00226F62">
        <w:rPr>
          <w:rStyle w:val="Strong"/>
          <w:b w:val="0"/>
        </w:rPr>
        <w:t>mulberry fruit juice</w:t>
      </w:r>
      <w:r w:rsidRPr="00226F62">
        <w:t xml:space="preserve"> is considered an excellent candidate for probiotic fermentation because of its </w:t>
      </w:r>
      <w:r w:rsidRPr="00226F62">
        <w:lastRenderedPageBreak/>
        <w:t>moderate acidity (pH 3.6–5.8), high sugar content, and abundant phenolic compounds (Kostic et al., 2013).</w:t>
      </w:r>
      <w:r w:rsidR="00091FCB">
        <w:t xml:space="preserve"> </w:t>
      </w:r>
      <w:r w:rsidRPr="00226F62">
        <w:t xml:space="preserve">Lactic acid bacteria (LAB), such as </w:t>
      </w:r>
      <w:r w:rsidRPr="00226F62">
        <w:rPr>
          <w:rStyle w:val="Emphasis"/>
        </w:rPr>
        <w:t>Lactobacillus plantarum</w:t>
      </w:r>
      <w:r w:rsidRPr="00226F62">
        <w:t xml:space="preserve">, </w:t>
      </w:r>
      <w:r w:rsidRPr="00226F62">
        <w:rPr>
          <w:rStyle w:val="Emphasis"/>
        </w:rPr>
        <w:t xml:space="preserve">L. </w:t>
      </w:r>
      <w:proofErr w:type="spellStart"/>
      <w:r w:rsidRPr="00226F62">
        <w:rPr>
          <w:rStyle w:val="Emphasis"/>
        </w:rPr>
        <w:t>rhamnosus</w:t>
      </w:r>
      <w:proofErr w:type="spellEnd"/>
      <w:r w:rsidRPr="00226F62">
        <w:t xml:space="preserve">, and </w:t>
      </w:r>
      <w:proofErr w:type="spellStart"/>
      <w:r w:rsidRPr="00226F62">
        <w:rPr>
          <w:rStyle w:val="Emphasis"/>
        </w:rPr>
        <w:t>Leuconostoc</w:t>
      </w:r>
      <w:proofErr w:type="spellEnd"/>
      <w:r w:rsidRPr="00226F62">
        <w:rPr>
          <w:rStyle w:val="Emphasis"/>
        </w:rPr>
        <w:t xml:space="preserve"> </w:t>
      </w:r>
      <w:proofErr w:type="spellStart"/>
      <w:r w:rsidRPr="00226F62">
        <w:rPr>
          <w:rStyle w:val="Emphasis"/>
        </w:rPr>
        <w:t>mesenteroides</w:t>
      </w:r>
      <w:proofErr w:type="spellEnd"/>
      <w:r w:rsidRPr="00226F62">
        <w:t>, can efficiently ferment mulberry juice. These bacteria metabolize sugars, lower pH, and improve microbial safety and shelf-life of the product (Zubaidah et al., 2008; Lee et al., 2016). Moreover, LAB fermentation enhances the bioavailability of antioxidants, increases the production of exopolysaccharides (EPS), and enriches the sensory properties of the beverage (Zheng et al., 2014; Kim et al., 2003).</w:t>
      </w:r>
      <w:r w:rsidR="00091FCB">
        <w:t xml:space="preserve"> </w:t>
      </w:r>
      <w:r w:rsidRPr="00226F62">
        <w:t xml:space="preserve">Fermentation also contributes to the formation of bioactive compounds </w:t>
      </w:r>
      <w:r w:rsidR="00E63D41" w:rsidRPr="00226F62">
        <w:t xml:space="preserve">with additional health benefits </w:t>
      </w:r>
      <w:r w:rsidRPr="00226F62">
        <w:t xml:space="preserve">such as </w:t>
      </w:r>
      <w:r w:rsidRPr="00226F62">
        <w:rPr>
          <w:rStyle w:val="Strong"/>
          <w:b w:val="0"/>
        </w:rPr>
        <w:t>anti-diabetic</w:t>
      </w:r>
      <w:r w:rsidRPr="00226F62">
        <w:t xml:space="preserve"> (via inhibition of α-glucosidase), </w:t>
      </w:r>
      <w:r w:rsidRPr="00226F62">
        <w:rPr>
          <w:rStyle w:val="Strong"/>
          <w:b w:val="0"/>
        </w:rPr>
        <w:t>anti-cancer</w:t>
      </w:r>
      <w:r w:rsidRPr="00226F62">
        <w:rPr>
          <w:b/>
        </w:rPr>
        <w:t xml:space="preserve">, </w:t>
      </w:r>
      <w:r w:rsidRPr="00226F62">
        <w:rPr>
          <w:rStyle w:val="Strong"/>
          <w:b w:val="0"/>
        </w:rPr>
        <w:t>immunomodulatory</w:t>
      </w:r>
      <w:r w:rsidRPr="00226F62">
        <w:t xml:space="preserve">, and </w:t>
      </w:r>
      <w:r w:rsidRPr="00226F62">
        <w:rPr>
          <w:rStyle w:val="Strong"/>
          <w:b w:val="0"/>
        </w:rPr>
        <w:t>cholesterol-lowering</w:t>
      </w:r>
      <w:r w:rsidRPr="00226F62">
        <w:t xml:space="preserve"> activities (Liu et al., 2023; Zhang et al., 2024). As such, LAB-fermented mulberry juice represents a potent </w:t>
      </w:r>
      <w:r w:rsidRPr="00226F62">
        <w:rPr>
          <w:rStyle w:val="Strong"/>
          <w:b w:val="0"/>
        </w:rPr>
        <w:t>functional beverage</w:t>
      </w:r>
      <w:r w:rsidRPr="00226F62">
        <w:t>, fulfilling both nutritional and therapeutic needs while aligning with current consumer trends for natural and plant-based products</w:t>
      </w:r>
      <w:r w:rsidR="00B559D0">
        <w:t xml:space="preserve"> (</w:t>
      </w:r>
      <w:r w:rsidR="00B559D0" w:rsidRPr="00B559D0">
        <w:t>Chaudhary</w:t>
      </w:r>
      <w:r w:rsidR="00B559D0">
        <w:t xml:space="preserve"> et al., 2019)</w:t>
      </w:r>
      <w:r w:rsidRPr="00226F62">
        <w:t>.</w:t>
      </w:r>
    </w:p>
    <w:p w14:paraId="7F8C4F1B" w14:textId="77777777" w:rsidR="00E773EF" w:rsidRPr="00226F62" w:rsidRDefault="00E773EF" w:rsidP="001A58BB">
      <w:pPr>
        <w:pStyle w:val="NormalWeb"/>
        <w:spacing w:before="0" w:beforeAutospacing="0" w:after="0" w:afterAutospacing="0" w:line="276" w:lineRule="auto"/>
        <w:jc w:val="both"/>
      </w:pPr>
      <w:r w:rsidRPr="00226F62">
        <w:t xml:space="preserve">This review explores the microbial ecology, fermentation </w:t>
      </w:r>
      <w:proofErr w:type="spellStart"/>
      <w:r w:rsidRPr="00226F62">
        <w:t>behavior</w:t>
      </w:r>
      <w:proofErr w:type="spellEnd"/>
      <w:r w:rsidRPr="00226F62">
        <w:t xml:space="preserve">, storage stability, and documented health benefits of </w:t>
      </w:r>
      <w:r w:rsidRPr="00226F62">
        <w:rPr>
          <w:rStyle w:val="Strong"/>
          <w:b w:val="0"/>
        </w:rPr>
        <w:t>probiotic mulberry fruit juice</w:t>
      </w:r>
      <w:r w:rsidRPr="00226F62">
        <w:t>, supported by both classical findings and recent scientific investigations.</w:t>
      </w:r>
    </w:p>
    <w:p w14:paraId="44C3A9E2" w14:textId="77777777" w:rsidR="001A58BB" w:rsidRDefault="001A58BB" w:rsidP="001A58BB">
      <w:pPr>
        <w:pStyle w:val="Heading3"/>
        <w:spacing w:before="0" w:beforeAutospacing="0" w:after="0" w:afterAutospacing="0" w:line="276" w:lineRule="auto"/>
        <w:jc w:val="both"/>
        <w:rPr>
          <w:rStyle w:val="Strong"/>
          <w:b/>
          <w:bCs/>
          <w:sz w:val="24"/>
          <w:szCs w:val="24"/>
        </w:rPr>
      </w:pPr>
    </w:p>
    <w:p w14:paraId="21590C4F" w14:textId="77777777" w:rsidR="00E773EF" w:rsidRPr="00226F62" w:rsidRDefault="00E773EF" w:rsidP="001A58BB">
      <w:pPr>
        <w:pStyle w:val="Heading3"/>
        <w:spacing w:before="0" w:beforeAutospacing="0" w:after="0" w:afterAutospacing="0" w:line="276" w:lineRule="auto"/>
        <w:jc w:val="both"/>
        <w:rPr>
          <w:sz w:val="24"/>
          <w:szCs w:val="24"/>
        </w:rPr>
      </w:pPr>
      <w:r w:rsidRPr="00226F62">
        <w:rPr>
          <w:rStyle w:val="Strong"/>
          <w:b/>
          <w:bCs/>
          <w:sz w:val="24"/>
          <w:szCs w:val="24"/>
        </w:rPr>
        <w:t>2. Nutritional and Bioactive Composition of Mulberry Fruit Juice</w:t>
      </w:r>
    </w:p>
    <w:p w14:paraId="7039F7EE" w14:textId="77777777" w:rsidR="00E773EF" w:rsidRPr="00226F62" w:rsidRDefault="00E773EF" w:rsidP="001A58BB">
      <w:pPr>
        <w:pStyle w:val="NormalWeb"/>
        <w:spacing w:before="0" w:beforeAutospacing="0" w:after="0" w:afterAutospacing="0" w:line="276" w:lineRule="auto"/>
        <w:jc w:val="both"/>
      </w:pPr>
      <w:r w:rsidRPr="00226F62">
        <w:t>Mulberry (</w:t>
      </w:r>
      <w:r w:rsidRPr="00226F62">
        <w:rPr>
          <w:rStyle w:val="Emphasis"/>
        </w:rPr>
        <w:t>Morus</w:t>
      </w:r>
      <w:r w:rsidRPr="00226F62">
        <w:t xml:space="preserve"> spp.) fruit juice is recognized for its rich nutritional profile and functional properties, making it a promising substrate for the development of non-dairy probiotic beverages. Its high moisture content, balanced acidity, and abundance of sugars, antioxidants, and micronutrients support the survival and activity of lactic acid bacteria (LAB) during fermentation, while also providing considerable health benefits to consumers.</w:t>
      </w:r>
    </w:p>
    <w:p w14:paraId="7AE95F5E" w14:textId="77777777" w:rsidR="008616B4" w:rsidRPr="00226F62" w:rsidRDefault="00A96F07" w:rsidP="001A58BB">
      <w:pPr>
        <w:pStyle w:val="Heading1"/>
        <w:spacing w:before="0"/>
        <w:rPr>
          <w:rFonts w:ascii="Times New Roman" w:hAnsi="Times New Roman" w:cs="Times New Roman"/>
          <w:color w:val="auto"/>
          <w:sz w:val="24"/>
          <w:szCs w:val="24"/>
        </w:rPr>
      </w:pPr>
      <w:r w:rsidRPr="00226F62">
        <w:rPr>
          <w:rFonts w:ascii="Times New Roman" w:hAnsi="Times New Roman" w:cs="Times New Roman"/>
          <w:color w:val="auto"/>
          <w:sz w:val="24"/>
          <w:szCs w:val="24"/>
        </w:rPr>
        <w:t xml:space="preserve">Table 1. </w:t>
      </w:r>
      <w:r w:rsidR="00CB65A6" w:rsidRPr="00226F62">
        <w:rPr>
          <w:rFonts w:ascii="Times New Roman" w:hAnsi="Times New Roman" w:cs="Times New Roman"/>
          <w:color w:val="auto"/>
          <w:sz w:val="24"/>
          <w:szCs w:val="24"/>
        </w:rPr>
        <w:t>Nutritional and Bioactive Composition of Mulberry (Morus spp.) Fruit Juice</w:t>
      </w:r>
    </w:p>
    <w:tbl>
      <w:tblPr>
        <w:tblStyle w:val="TableGrid"/>
        <w:tblW w:w="0" w:type="auto"/>
        <w:jc w:val="center"/>
        <w:tblLook w:val="04A0" w:firstRow="1" w:lastRow="0" w:firstColumn="1" w:lastColumn="0" w:noHBand="0" w:noVBand="1"/>
      </w:tblPr>
      <w:tblGrid>
        <w:gridCol w:w="2880"/>
        <w:gridCol w:w="2880"/>
        <w:gridCol w:w="3279"/>
      </w:tblGrid>
      <w:tr w:rsidR="00CB65A6" w:rsidRPr="00226F62" w14:paraId="1FD3C396" w14:textId="77777777" w:rsidTr="00226F62">
        <w:trPr>
          <w:jc w:val="center"/>
        </w:trPr>
        <w:tc>
          <w:tcPr>
            <w:tcW w:w="2880" w:type="dxa"/>
          </w:tcPr>
          <w:p w14:paraId="65FC875E" w14:textId="77777777" w:rsidR="00CB65A6" w:rsidRPr="00226F62" w:rsidRDefault="00CB65A6" w:rsidP="001A58BB">
            <w:pPr>
              <w:spacing w:line="276" w:lineRule="auto"/>
              <w:rPr>
                <w:rFonts w:ascii="Times New Roman" w:hAnsi="Times New Roman" w:cs="Times New Roman"/>
                <w:b/>
                <w:sz w:val="24"/>
                <w:szCs w:val="24"/>
              </w:rPr>
            </w:pPr>
            <w:r w:rsidRPr="00226F62">
              <w:rPr>
                <w:rFonts w:ascii="Times New Roman" w:hAnsi="Times New Roman" w:cs="Times New Roman"/>
                <w:b/>
                <w:sz w:val="24"/>
                <w:szCs w:val="24"/>
              </w:rPr>
              <w:t>Component</w:t>
            </w:r>
          </w:p>
        </w:tc>
        <w:tc>
          <w:tcPr>
            <w:tcW w:w="2880" w:type="dxa"/>
          </w:tcPr>
          <w:p w14:paraId="23E2027B" w14:textId="77777777" w:rsidR="00CB65A6" w:rsidRPr="00226F62" w:rsidRDefault="00CB65A6" w:rsidP="001A58BB">
            <w:pPr>
              <w:spacing w:line="276" w:lineRule="auto"/>
              <w:rPr>
                <w:rFonts w:ascii="Times New Roman" w:hAnsi="Times New Roman" w:cs="Times New Roman"/>
                <w:b/>
                <w:sz w:val="24"/>
                <w:szCs w:val="24"/>
              </w:rPr>
            </w:pPr>
            <w:r w:rsidRPr="00226F62">
              <w:rPr>
                <w:rFonts w:ascii="Times New Roman" w:hAnsi="Times New Roman" w:cs="Times New Roman"/>
                <w:b/>
                <w:sz w:val="24"/>
                <w:szCs w:val="24"/>
              </w:rPr>
              <w:t>Range / Description</w:t>
            </w:r>
          </w:p>
        </w:tc>
        <w:tc>
          <w:tcPr>
            <w:tcW w:w="3279" w:type="dxa"/>
          </w:tcPr>
          <w:p w14:paraId="308600A7" w14:textId="77777777" w:rsidR="00CB65A6" w:rsidRPr="00226F62" w:rsidRDefault="00CB65A6" w:rsidP="001A58BB">
            <w:pPr>
              <w:spacing w:line="276" w:lineRule="auto"/>
              <w:rPr>
                <w:rFonts w:ascii="Times New Roman" w:hAnsi="Times New Roman" w:cs="Times New Roman"/>
                <w:b/>
                <w:sz w:val="24"/>
                <w:szCs w:val="24"/>
              </w:rPr>
            </w:pPr>
            <w:r w:rsidRPr="00226F62">
              <w:rPr>
                <w:rFonts w:ascii="Times New Roman" w:hAnsi="Times New Roman" w:cs="Times New Roman"/>
                <w:b/>
                <w:sz w:val="24"/>
                <w:szCs w:val="24"/>
              </w:rPr>
              <w:t>Reference(s)</w:t>
            </w:r>
          </w:p>
        </w:tc>
      </w:tr>
      <w:tr w:rsidR="00CB65A6" w:rsidRPr="00226F62" w14:paraId="5E5E2A66" w14:textId="77777777" w:rsidTr="00226F62">
        <w:trPr>
          <w:jc w:val="center"/>
        </w:trPr>
        <w:tc>
          <w:tcPr>
            <w:tcW w:w="2880" w:type="dxa"/>
          </w:tcPr>
          <w:p w14:paraId="1A031ED2"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Moisture Content</w:t>
            </w:r>
          </w:p>
        </w:tc>
        <w:tc>
          <w:tcPr>
            <w:tcW w:w="2880" w:type="dxa"/>
          </w:tcPr>
          <w:p w14:paraId="04C22327"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80–85%</w:t>
            </w:r>
          </w:p>
        </w:tc>
        <w:tc>
          <w:tcPr>
            <w:tcW w:w="3279" w:type="dxa"/>
          </w:tcPr>
          <w:p w14:paraId="26CB3FE0"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Hussain, 1985; Qin et al., 2010</w:t>
            </w:r>
          </w:p>
        </w:tc>
      </w:tr>
      <w:tr w:rsidR="00CB65A6" w:rsidRPr="00226F62" w14:paraId="46D82838" w14:textId="77777777" w:rsidTr="00226F62">
        <w:trPr>
          <w:jc w:val="center"/>
        </w:trPr>
        <w:tc>
          <w:tcPr>
            <w:tcW w:w="2880" w:type="dxa"/>
          </w:tcPr>
          <w:p w14:paraId="5D8D6378"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pH Range</w:t>
            </w:r>
          </w:p>
        </w:tc>
        <w:tc>
          <w:tcPr>
            <w:tcW w:w="2880" w:type="dxa"/>
          </w:tcPr>
          <w:p w14:paraId="142DD953"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3.60–5.86</w:t>
            </w:r>
          </w:p>
        </w:tc>
        <w:tc>
          <w:tcPr>
            <w:tcW w:w="3279" w:type="dxa"/>
          </w:tcPr>
          <w:p w14:paraId="3DF6F9C1"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Hussain, 1985; Qin et al., 2010</w:t>
            </w:r>
          </w:p>
        </w:tc>
      </w:tr>
      <w:tr w:rsidR="00CB65A6" w:rsidRPr="00226F62" w14:paraId="36052986" w14:textId="77777777" w:rsidTr="00226F62">
        <w:trPr>
          <w:jc w:val="center"/>
        </w:trPr>
        <w:tc>
          <w:tcPr>
            <w:tcW w:w="2880" w:type="dxa"/>
          </w:tcPr>
          <w:p w14:paraId="6D8BD4A4"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Total Soluble Solids (TSS)</w:t>
            </w:r>
          </w:p>
        </w:tc>
        <w:tc>
          <w:tcPr>
            <w:tcW w:w="2880" w:type="dxa"/>
          </w:tcPr>
          <w:p w14:paraId="286991CA"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7.2–30.6%</w:t>
            </w:r>
          </w:p>
        </w:tc>
        <w:tc>
          <w:tcPr>
            <w:tcW w:w="3279" w:type="dxa"/>
          </w:tcPr>
          <w:p w14:paraId="750AAFBF"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Koyuncu et al., 2004; Iqbal et al., 2010</w:t>
            </w:r>
          </w:p>
        </w:tc>
      </w:tr>
      <w:tr w:rsidR="00CB65A6" w:rsidRPr="00226F62" w14:paraId="7CE5F178" w14:textId="77777777" w:rsidTr="00226F62">
        <w:trPr>
          <w:jc w:val="center"/>
        </w:trPr>
        <w:tc>
          <w:tcPr>
            <w:tcW w:w="2880" w:type="dxa"/>
          </w:tcPr>
          <w:p w14:paraId="7F16CC52"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Total Sugars</w:t>
            </w:r>
          </w:p>
        </w:tc>
        <w:tc>
          <w:tcPr>
            <w:tcW w:w="2880" w:type="dxa"/>
          </w:tcPr>
          <w:p w14:paraId="28A97368"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12–34% (glucose, fructose, sucrose)</w:t>
            </w:r>
          </w:p>
        </w:tc>
        <w:tc>
          <w:tcPr>
            <w:tcW w:w="3279" w:type="dxa"/>
          </w:tcPr>
          <w:p w14:paraId="07BD1BF3"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Koyuncu et al., 2004; Iqbal et al., 2010</w:t>
            </w:r>
          </w:p>
        </w:tc>
      </w:tr>
      <w:tr w:rsidR="00CB65A6" w:rsidRPr="00226F62" w14:paraId="3AC7A967" w14:textId="77777777" w:rsidTr="00226F62">
        <w:trPr>
          <w:jc w:val="center"/>
        </w:trPr>
        <w:tc>
          <w:tcPr>
            <w:tcW w:w="2880" w:type="dxa"/>
          </w:tcPr>
          <w:p w14:paraId="1C6D91A4"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Organic Acids</w:t>
            </w:r>
          </w:p>
        </w:tc>
        <w:tc>
          <w:tcPr>
            <w:tcW w:w="2880" w:type="dxa"/>
          </w:tcPr>
          <w:p w14:paraId="3278FC99"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0.06–1.86% (citric, malic, tartaric)</w:t>
            </w:r>
          </w:p>
        </w:tc>
        <w:tc>
          <w:tcPr>
            <w:tcW w:w="3279" w:type="dxa"/>
          </w:tcPr>
          <w:p w14:paraId="667F4003"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 xml:space="preserve">Yilmaz et al., 2012; </w:t>
            </w:r>
            <w:proofErr w:type="spellStart"/>
            <w:r w:rsidRPr="00226F62">
              <w:rPr>
                <w:rFonts w:ascii="Times New Roman" w:hAnsi="Times New Roman" w:cs="Times New Roman"/>
                <w:sz w:val="24"/>
                <w:szCs w:val="24"/>
              </w:rPr>
              <w:t>Elmacı</w:t>
            </w:r>
            <w:proofErr w:type="spellEnd"/>
            <w:r w:rsidRPr="00226F62">
              <w:rPr>
                <w:rFonts w:ascii="Times New Roman" w:hAnsi="Times New Roman" w:cs="Times New Roman"/>
                <w:sz w:val="24"/>
                <w:szCs w:val="24"/>
              </w:rPr>
              <w:t xml:space="preserve"> &amp; </w:t>
            </w:r>
            <w:proofErr w:type="spellStart"/>
            <w:r w:rsidRPr="00226F62">
              <w:rPr>
                <w:rFonts w:ascii="Times New Roman" w:hAnsi="Times New Roman" w:cs="Times New Roman"/>
                <w:sz w:val="24"/>
                <w:szCs w:val="24"/>
              </w:rPr>
              <w:t>Altuğ</w:t>
            </w:r>
            <w:proofErr w:type="spellEnd"/>
            <w:r w:rsidRPr="00226F62">
              <w:rPr>
                <w:rFonts w:ascii="Times New Roman" w:hAnsi="Times New Roman" w:cs="Times New Roman"/>
                <w:sz w:val="24"/>
                <w:szCs w:val="24"/>
              </w:rPr>
              <w:t>, 2002</w:t>
            </w:r>
          </w:p>
        </w:tc>
      </w:tr>
      <w:tr w:rsidR="00CB65A6" w:rsidRPr="00226F62" w14:paraId="2271CF39" w14:textId="77777777" w:rsidTr="00226F62">
        <w:trPr>
          <w:jc w:val="center"/>
        </w:trPr>
        <w:tc>
          <w:tcPr>
            <w:tcW w:w="2880" w:type="dxa"/>
          </w:tcPr>
          <w:p w14:paraId="18BAA6FE"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Ascorbic Acid (Vitamin C)</w:t>
            </w:r>
          </w:p>
        </w:tc>
        <w:tc>
          <w:tcPr>
            <w:tcW w:w="2880" w:type="dxa"/>
          </w:tcPr>
          <w:p w14:paraId="4BA51831"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18.4–35 mg/100 g</w:t>
            </w:r>
          </w:p>
        </w:tc>
        <w:tc>
          <w:tcPr>
            <w:tcW w:w="3279" w:type="dxa"/>
          </w:tcPr>
          <w:p w14:paraId="179DF94D" w14:textId="77777777" w:rsidR="00CB65A6" w:rsidRPr="00226F62" w:rsidRDefault="00CB65A6" w:rsidP="001A58BB">
            <w:pPr>
              <w:spacing w:line="276" w:lineRule="auto"/>
              <w:rPr>
                <w:rFonts w:ascii="Times New Roman" w:hAnsi="Times New Roman" w:cs="Times New Roman"/>
                <w:sz w:val="24"/>
                <w:szCs w:val="24"/>
              </w:rPr>
            </w:pPr>
            <w:proofErr w:type="spellStart"/>
            <w:r w:rsidRPr="00226F62">
              <w:rPr>
                <w:rFonts w:ascii="Times New Roman" w:hAnsi="Times New Roman" w:cs="Times New Roman"/>
                <w:sz w:val="24"/>
                <w:szCs w:val="24"/>
              </w:rPr>
              <w:t>Okatan</w:t>
            </w:r>
            <w:proofErr w:type="spellEnd"/>
            <w:r w:rsidRPr="00226F62">
              <w:rPr>
                <w:rFonts w:ascii="Times New Roman" w:hAnsi="Times New Roman" w:cs="Times New Roman"/>
                <w:sz w:val="24"/>
                <w:szCs w:val="24"/>
              </w:rPr>
              <w:t xml:space="preserve"> et al., 2016</w:t>
            </w:r>
          </w:p>
        </w:tc>
      </w:tr>
      <w:tr w:rsidR="00CB65A6" w:rsidRPr="00226F62" w14:paraId="3F166848" w14:textId="77777777" w:rsidTr="00226F62">
        <w:trPr>
          <w:jc w:val="center"/>
        </w:trPr>
        <w:tc>
          <w:tcPr>
            <w:tcW w:w="2880" w:type="dxa"/>
          </w:tcPr>
          <w:p w14:paraId="032785CB"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Anthocyanins</w:t>
            </w:r>
          </w:p>
        </w:tc>
        <w:tc>
          <w:tcPr>
            <w:tcW w:w="2880" w:type="dxa"/>
          </w:tcPr>
          <w:p w14:paraId="1E44662F"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Rich in cyanidin-3-O-glucoside, cyanidin-3-rutinoside</w:t>
            </w:r>
          </w:p>
        </w:tc>
        <w:tc>
          <w:tcPr>
            <w:tcW w:w="3279" w:type="dxa"/>
          </w:tcPr>
          <w:p w14:paraId="4110DDB6"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Liu et al., 2004; Kostic et al., 2013</w:t>
            </w:r>
          </w:p>
        </w:tc>
      </w:tr>
      <w:tr w:rsidR="00CB65A6" w:rsidRPr="00226F62" w14:paraId="7B52FF65" w14:textId="77777777" w:rsidTr="00226F62">
        <w:trPr>
          <w:jc w:val="center"/>
        </w:trPr>
        <w:tc>
          <w:tcPr>
            <w:tcW w:w="2880" w:type="dxa"/>
          </w:tcPr>
          <w:p w14:paraId="59AB71D7"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Polyphenols</w:t>
            </w:r>
          </w:p>
        </w:tc>
        <w:tc>
          <w:tcPr>
            <w:tcW w:w="2880" w:type="dxa"/>
          </w:tcPr>
          <w:p w14:paraId="213B1D39"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Flavonoids, phenolic acids, tannins</w:t>
            </w:r>
          </w:p>
        </w:tc>
        <w:tc>
          <w:tcPr>
            <w:tcW w:w="3279" w:type="dxa"/>
          </w:tcPr>
          <w:p w14:paraId="73DCDE8F"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Liu et al., 2004; Kostic et al., 2013</w:t>
            </w:r>
          </w:p>
        </w:tc>
      </w:tr>
      <w:tr w:rsidR="00CB65A6" w:rsidRPr="00226F62" w14:paraId="457974C6" w14:textId="77777777" w:rsidTr="00226F62">
        <w:trPr>
          <w:jc w:val="center"/>
        </w:trPr>
        <w:tc>
          <w:tcPr>
            <w:tcW w:w="2880" w:type="dxa"/>
          </w:tcPr>
          <w:p w14:paraId="3A1CB1D0"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Minerals</w:t>
            </w:r>
          </w:p>
        </w:tc>
        <w:tc>
          <w:tcPr>
            <w:tcW w:w="2880" w:type="dxa"/>
          </w:tcPr>
          <w:p w14:paraId="79DE5698"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Iron, Calcium, Potassium, Magnesium, Zinc</w:t>
            </w:r>
          </w:p>
        </w:tc>
        <w:tc>
          <w:tcPr>
            <w:tcW w:w="3279" w:type="dxa"/>
          </w:tcPr>
          <w:p w14:paraId="61AD03D9" w14:textId="77777777" w:rsidR="00CB65A6" w:rsidRPr="00226F62" w:rsidRDefault="00CB65A6" w:rsidP="001A58BB">
            <w:pPr>
              <w:spacing w:line="276" w:lineRule="auto"/>
              <w:rPr>
                <w:rFonts w:ascii="Times New Roman" w:hAnsi="Times New Roman" w:cs="Times New Roman"/>
                <w:sz w:val="24"/>
                <w:szCs w:val="24"/>
              </w:rPr>
            </w:pPr>
            <w:proofErr w:type="spellStart"/>
            <w:r w:rsidRPr="00226F62">
              <w:rPr>
                <w:rFonts w:ascii="Times New Roman" w:hAnsi="Times New Roman" w:cs="Times New Roman"/>
                <w:sz w:val="24"/>
                <w:szCs w:val="24"/>
              </w:rPr>
              <w:t>Okatan</w:t>
            </w:r>
            <w:proofErr w:type="spellEnd"/>
            <w:r w:rsidRPr="00226F62">
              <w:rPr>
                <w:rFonts w:ascii="Times New Roman" w:hAnsi="Times New Roman" w:cs="Times New Roman"/>
                <w:sz w:val="24"/>
                <w:szCs w:val="24"/>
              </w:rPr>
              <w:t xml:space="preserve"> et al., 2016</w:t>
            </w:r>
          </w:p>
        </w:tc>
      </w:tr>
    </w:tbl>
    <w:p w14:paraId="5F819AB5" w14:textId="77777777" w:rsidR="00091FCB" w:rsidRDefault="00091FCB" w:rsidP="001A58BB">
      <w:pPr>
        <w:pStyle w:val="NormalWeb"/>
        <w:spacing w:before="0" w:beforeAutospacing="0" w:after="0" w:afterAutospacing="0" w:line="276" w:lineRule="auto"/>
        <w:rPr>
          <w:rStyle w:val="Strong"/>
        </w:rPr>
      </w:pPr>
    </w:p>
    <w:p w14:paraId="0A18F63D" w14:textId="77777777" w:rsidR="00E773EF" w:rsidRPr="00226F62" w:rsidRDefault="00E773EF" w:rsidP="001A58BB">
      <w:pPr>
        <w:pStyle w:val="NormalWeb"/>
        <w:spacing w:before="0" w:beforeAutospacing="0" w:after="0" w:afterAutospacing="0" w:line="276" w:lineRule="auto"/>
      </w:pPr>
      <w:r w:rsidRPr="00226F62">
        <w:rPr>
          <w:rStyle w:val="Strong"/>
        </w:rPr>
        <w:t>3. Lactic Acid Bacteria in Probiotic Fermentation</w:t>
      </w:r>
    </w:p>
    <w:p w14:paraId="7AAB2586" w14:textId="77777777" w:rsidR="00E773EF" w:rsidRPr="00226F62" w:rsidRDefault="00E773EF" w:rsidP="001A58BB">
      <w:pPr>
        <w:pStyle w:val="NormalWeb"/>
        <w:spacing w:before="0" w:beforeAutospacing="0" w:after="0" w:afterAutospacing="0" w:line="276" w:lineRule="auto"/>
        <w:jc w:val="both"/>
      </w:pPr>
      <w:r w:rsidRPr="00226F62">
        <w:lastRenderedPageBreak/>
        <w:t xml:space="preserve">Lactic acid bacteria (LAB) are a diverse group of Gram-positive, non-spore-forming, acid-tolerant, and generally non-pathogenic microorganisms known for their ability to ferment carbohydrates into lactic acid. They have long been used in the fermentation of both dairy and non-dairy products, offering probiotic and preservative functions. In the context of </w:t>
      </w:r>
      <w:r w:rsidR="00A44750" w:rsidRPr="00226F62">
        <w:t xml:space="preserve">fruit-based probiotic beverages </w:t>
      </w:r>
      <w:r w:rsidRPr="00226F62">
        <w:t>particularly</w:t>
      </w:r>
      <w:r w:rsidR="00A44750" w:rsidRPr="00226F62">
        <w:t xml:space="preserve"> using mulberry juice </w:t>
      </w:r>
      <w:r w:rsidRPr="00226F62">
        <w:t xml:space="preserve">LAB play a central role in biotransformation, safety enhancement, and functional enrichment (Saarela et al., 2000; </w:t>
      </w:r>
      <w:proofErr w:type="spellStart"/>
      <w:r w:rsidRPr="00226F62">
        <w:t>Ranadheera</w:t>
      </w:r>
      <w:proofErr w:type="spellEnd"/>
      <w:r w:rsidRPr="00226F62">
        <w:t xml:space="preserve"> et al., 2010).</w:t>
      </w:r>
    </w:p>
    <w:p w14:paraId="12CB7BB2" w14:textId="77777777" w:rsidR="00E773EF" w:rsidRPr="00226F62" w:rsidRDefault="00E773EF" w:rsidP="001A58BB">
      <w:pPr>
        <w:pStyle w:val="Heading3"/>
        <w:spacing w:before="0" w:beforeAutospacing="0" w:after="0" w:afterAutospacing="0" w:line="276" w:lineRule="auto"/>
        <w:rPr>
          <w:sz w:val="24"/>
          <w:szCs w:val="24"/>
        </w:rPr>
      </w:pPr>
      <w:r w:rsidRPr="00226F62">
        <w:rPr>
          <w:sz w:val="24"/>
          <w:szCs w:val="24"/>
        </w:rPr>
        <w:t>3.1 Commonly Used LAB Strains</w:t>
      </w:r>
    </w:p>
    <w:p w14:paraId="23551270" w14:textId="77777777" w:rsidR="00E773EF" w:rsidRPr="00226F62" w:rsidRDefault="00E773EF" w:rsidP="001A58BB">
      <w:pPr>
        <w:pStyle w:val="NormalWeb"/>
        <w:spacing w:before="0" w:beforeAutospacing="0" w:after="0" w:afterAutospacing="0" w:line="276" w:lineRule="auto"/>
        <w:jc w:val="both"/>
      </w:pPr>
      <w:r w:rsidRPr="00226F62">
        <w:t>Several LAB strains have been successfully applied in the fermentation of fruit juices:</w:t>
      </w:r>
    </w:p>
    <w:p w14:paraId="11B12410" w14:textId="77777777" w:rsidR="00E773EF" w:rsidRPr="00226F62" w:rsidRDefault="00E773EF" w:rsidP="001A58BB">
      <w:pPr>
        <w:pStyle w:val="NormalWeb"/>
        <w:numPr>
          <w:ilvl w:val="0"/>
          <w:numId w:val="21"/>
        </w:numPr>
        <w:spacing w:before="0" w:beforeAutospacing="0" w:after="0" w:afterAutospacing="0" w:line="276" w:lineRule="auto"/>
        <w:jc w:val="both"/>
      </w:pPr>
      <w:r w:rsidRPr="00226F62">
        <w:rPr>
          <w:rStyle w:val="Strong"/>
          <w:i/>
        </w:rPr>
        <w:t>Lactobacillus plantarum</w:t>
      </w:r>
      <w:r w:rsidRPr="00226F62">
        <w:rPr>
          <w:i/>
        </w:rPr>
        <w:t>:</w:t>
      </w:r>
      <w:r w:rsidRPr="00226F62">
        <w:t xml:space="preserve"> Known for its high acid and bile salt tolerance, this strain effectively ferments a variety of plant substrates. It contributes to antioxidant enhancement, exopolysaccharide (EPS) production, and shelf-life extension (Zubaidah et al., 2008; Zheng et al., 2014).</w:t>
      </w:r>
    </w:p>
    <w:p w14:paraId="53C13754" w14:textId="77777777" w:rsidR="00E773EF" w:rsidRPr="00226F62" w:rsidRDefault="00E773EF" w:rsidP="001A58BB">
      <w:pPr>
        <w:pStyle w:val="NormalWeb"/>
        <w:numPr>
          <w:ilvl w:val="0"/>
          <w:numId w:val="21"/>
        </w:numPr>
        <w:spacing w:before="0" w:beforeAutospacing="0" w:after="0" w:afterAutospacing="0" w:line="276" w:lineRule="auto"/>
        <w:jc w:val="both"/>
      </w:pPr>
      <w:r w:rsidRPr="00226F62">
        <w:rPr>
          <w:rStyle w:val="Strong"/>
          <w:i/>
        </w:rPr>
        <w:t xml:space="preserve">Lactobacillus </w:t>
      </w:r>
      <w:proofErr w:type="spellStart"/>
      <w:r w:rsidRPr="00226F62">
        <w:rPr>
          <w:rStyle w:val="Strong"/>
          <w:i/>
        </w:rPr>
        <w:t>rhamnosus</w:t>
      </w:r>
      <w:proofErr w:type="spellEnd"/>
      <w:r w:rsidRPr="00226F62">
        <w:t>: A widely studied probiotic with proven benefits in gut health, immune modulation, and survival under gastrointestinal conditions. It improves the palatability and texture of fermented products (Lee et al., 2016).</w:t>
      </w:r>
    </w:p>
    <w:p w14:paraId="3674703A" w14:textId="77777777" w:rsidR="00E773EF" w:rsidRPr="00226F62" w:rsidRDefault="00E773EF" w:rsidP="001A58BB">
      <w:pPr>
        <w:pStyle w:val="NormalWeb"/>
        <w:numPr>
          <w:ilvl w:val="0"/>
          <w:numId w:val="21"/>
        </w:numPr>
        <w:spacing w:before="0" w:beforeAutospacing="0" w:after="0" w:afterAutospacing="0" w:line="276" w:lineRule="auto"/>
        <w:jc w:val="both"/>
      </w:pPr>
      <w:r w:rsidRPr="00226F62">
        <w:rPr>
          <w:rStyle w:val="Strong"/>
          <w:i/>
        </w:rPr>
        <w:t>Lactobacillus acidophilus</w:t>
      </w:r>
      <w:r w:rsidRPr="00226F62">
        <w:t>: Commonly used for its antimicrobial properties and ability to survive harsh environments. It helps reduce lactose intolerance symptoms and supports immune function (Naidu et al., 1999).</w:t>
      </w:r>
    </w:p>
    <w:p w14:paraId="2C022B53" w14:textId="77777777" w:rsidR="00E773EF" w:rsidRPr="00226F62" w:rsidRDefault="00E773EF" w:rsidP="001A58BB">
      <w:pPr>
        <w:pStyle w:val="NormalWeb"/>
        <w:numPr>
          <w:ilvl w:val="0"/>
          <w:numId w:val="21"/>
        </w:numPr>
        <w:spacing w:before="0" w:beforeAutospacing="0" w:after="0" w:afterAutospacing="0" w:line="276" w:lineRule="auto"/>
        <w:jc w:val="both"/>
      </w:pPr>
      <w:proofErr w:type="spellStart"/>
      <w:r w:rsidRPr="00226F62">
        <w:rPr>
          <w:rStyle w:val="Strong"/>
          <w:i/>
        </w:rPr>
        <w:t>Leuconostoc</w:t>
      </w:r>
      <w:proofErr w:type="spellEnd"/>
      <w:r w:rsidRPr="00226F62">
        <w:rPr>
          <w:rStyle w:val="Strong"/>
          <w:i/>
        </w:rPr>
        <w:t xml:space="preserve"> </w:t>
      </w:r>
      <w:proofErr w:type="spellStart"/>
      <w:r w:rsidRPr="00226F62">
        <w:rPr>
          <w:rStyle w:val="Strong"/>
          <w:i/>
        </w:rPr>
        <w:t>mesenteroides</w:t>
      </w:r>
      <w:proofErr w:type="spellEnd"/>
      <w:r w:rsidRPr="00226F62">
        <w:t xml:space="preserve">: This heterofermentative LAB species enhances </w:t>
      </w:r>
      <w:proofErr w:type="spellStart"/>
      <w:r w:rsidRPr="00226F62">
        <w:t>flavor</w:t>
      </w:r>
      <w:proofErr w:type="spellEnd"/>
      <w:r w:rsidRPr="00226F62">
        <w:t xml:space="preserve"> and produces carbon dioxide, ethanol, and </w:t>
      </w:r>
      <w:proofErr w:type="spellStart"/>
      <w:r w:rsidRPr="00226F62">
        <w:t>dextrans</w:t>
      </w:r>
      <w:proofErr w:type="spellEnd"/>
      <w:r w:rsidRPr="00226F62">
        <w:t xml:space="preserve"> during fermentation. It contributes to the unique sensory profile and texture of fruit-based fermented beverages (Zheng et al., 2014).</w:t>
      </w:r>
    </w:p>
    <w:p w14:paraId="6A44E937" w14:textId="77777777" w:rsidR="00E773EF" w:rsidRPr="00226F62" w:rsidRDefault="00E773EF" w:rsidP="001A58BB">
      <w:pPr>
        <w:pStyle w:val="Heading3"/>
        <w:spacing w:before="0" w:beforeAutospacing="0" w:after="0" w:afterAutospacing="0" w:line="276" w:lineRule="auto"/>
        <w:jc w:val="both"/>
        <w:rPr>
          <w:sz w:val="24"/>
          <w:szCs w:val="24"/>
        </w:rPr>
      </w:pPr>
      <w:r w:rsidRPr="00226F62">
        <w:rPr>
          <w:sz w:val="24"/>
          <w:szCs w:val="24"/>
        </w:rPr>
        <w:t>3.2 Functional Roles of LAB in Fermentation</w:t>
      </w:r>
    </w:p>
    <w:p w14:paraId="70B3C98E" w14:textId="77777777" w:rsidR="00E773EF" w:rsidRPr="00226F62" w:rsidRDefault="00A44750" w:rsidP="001A58BB">
      <w:pPr>
        <w:pStyle w:val="NormalWeb"/>
        <w:spacing w:before="0" w:beforeAutospacing="0" w:after="0" w:afterAutospacing="0" w:line="276" w:lineRule="auto"/>
        <w:jc w:val="both"/>
      </w:pPr>
      <w:r w:rsidRPr="00226F62">
        <w:t>LAB contributes</w:t>
      </w:r>
      <w:r w:rsidR="00E773EF" w:rsidRPr="00226F62">
        <w:t xml:space="preserve"> to probiotic juice development through the following mechanisms:</w:t>
      </w:r>
    </w:p>
    <w:p w14:paraId="3C483FFA" w14:textId="77777777" w:rsidR="00E773EF" w:rsidRPr="00226F62" w:rsidRDefault="00E773EF" w:rsidP="001A58BB">
      <w:pPr>
        <w:pStyle w:val="NormalWeb"/>
        <w:numPr>
          <w:ilvl w:val="0"/>
          <w:numId w:val="22"/>
        </w:numPr>
        <w:spacing w:before="0" w:beforeAutospacing="0" w:after="0" w:afterAutospacing="0" w:line="276" w:lineRule="auto"/>
        <w:jc w:val="both"/>
      </w:pPr>
      <w:r w:rsidRPr="00226F62">
        <w:rPr>
          <w:rStyle w:val="Strong"/>
        </w:rPr>
        <w:t>Sugar Metabolism and Acidification</w:t>
      </w:r>
      <w:r w:rsidRPr="00226F62">
        <w:t>: LAB ferment glucose and fructose, the primary sugars in mulberry juice, to lactic acid and other organic acids. This acidification lowers the pH (typically below 4.0), inhibiting spoilage and pathogenic microbes and naturally preserving the beverage without synthetic additives (Luckow &amp; Delahunty, 2004).</w:t>
      </w:r>
    </w:p>
    <w:p w14:paraId="3ACB292C" w14:textId="77777777" w:rsidR="00E773EF" w:rsidRPr="00226F62" w:rsidRDefault="00E773EF" w:rsidP="001A58BB">
      <w:pPr>
        <w:pStyle w:val="NormalWeb"/>
        <w:numPr>
          <w:ilvl w:val="0"/>
          <w:numId w:val="22"/>
        </w:numPr>
        <w:spacing w:before="0" w:beforeAutospacing="0" w:after="0" w:afterAutospacing="0" w:line="276" w:lineRule="auto"/>
        <w:jc w:val="both"/>
      </w:pPr>
      <w:r w:rsidRPr="00226F62">
        <w:rPr>
          <w:rStyle w:val="Strong"/>
        </w:rPr>
        <w:t>Production of Health-Promoting Metabolites</w:t>
      </w:r>
      <w:r w:rsidRPr="00226F62">
        <w:t>: LAB synthesize bacteriocins, bioactive peptides, vitamins (e.g., B-group), and EPS, enhancing both health value and product stability (Liu et al., 2023).</w:t>
      </w:r>
    </w:p>
    <w:p w14:paraId="1EF73E2D" w14:textId="77777777" w:rsidR="00E773EF" w:rsidRPr="00226F62" w:rsidRDefault="00E773EF" w:rsidP="001A58BB">
      <w:pPr>
        <w:pStyle w:val="NormalWeb"/>
        <w:numPr>
          <w:ilvl w:val="0"/>
          <w:numId w:val="22"/>
        </w:numPr>
        <w:spacing w:before="0" w:beforeAutospacing="0" w:after="0" w:afterAutospacing="0" w:line="276" w:lineRule="auto"/>
        <w:jc w:val="both"/>
      </w:pPr>
      <w:proofErr w:type="spellStart"/>
      <w:r w:rsidRPr="00226F62">
        <w:rPr>
          <w:rStyle w:val="Strong"/>
        </w:rPr>
        <w:t>Flavor</w:t>
      </w:r>
      <w:proofErr w:type="spellEnd"/>
      <w:r w:rsidRPr="00226F62">
        <w:rPr>
          <w:rStyle w:val="Strong"/>
        </w:rPr>
        <w:t xml:space="preserve"> and Sensory Enhancement</w:t>
      </w:r>
      <w:r w:rsidRPr="00226F62">
        <w:t>: LAB metabolism results in volatile aroma compounds, contributing to characteristic sourness and refreshing taste (Lee &amp; Hong, 2010).</w:t>
      </w:r>
    </w:p>
    <w:p w14:paraId="0E18F8E0" w14:textId="77777777" w:rsidR="00E773EF" w:rsidRPr="00226F62" w:rsidRDefault="00E773EF" w:rsidP="001A58BB">
      <w:pPr>
        <w:pStyle w:val="NormalWeb"/>
        <w:numPr>
          <w:ilvl w:val="0"/>
          <w:numId w:val="22"/>
        </w:numPr>
        <w:spacing w:before="0" w:beforeAutospacing="0" w:after="0" w:afterAutospacing="0" w:line="276" w:lineRule="auto"/>
        <w:jc w:val="both"/>
      </w:pPr>
      <w:r w:rsidRPr="00226F62">
        <w:rPr>
          <w:rStyle w:val="Strong"/>
        </w:rPr>
        <w:t>Antioxidant and Anti-inflammatory Potential</w:t>
      </w:r>
      <w:r w:rsidRPr="00226F62">
        <w:t>: LAB fermentation can increase the bioavailability of polyphenols and anthocyanins, thereby improving antioxidant capacity (Lee et al., 2016; Zhang et al., 2024).</w:t>
      </w:r>
    </w:p>
    <w:p w14:paraId="6F106983" w14:textId="77777777" w:rsidR="00E773EF" w:rsidRPr="00226F62" w:rsidRDefault="00E773EF" w:rsidP="001A58BB">
      <w:pPr>
        <w:pStyle w:val="NormalWeb"/>
        <w:numPr>
          <w:ilvl w:val="0"/>
          <w:numId w:val="22"/>
        </w:numPr>
        <w:spacing w:before="0" w:beforeAutospacing="0" w:after="0" w:afterAutospacing="0" w:line="276" w:lineRule="auto"/>
        <w:jc w:val="both"/>
      </w:pPr>
      <w:r w:rsidRPr="00226F62">
        <w:rPr>
          <w:rStyle w:val="Strong"/>
        </w:rPr>
        <w:t>Probiotic Viability and Gut Health</w:t>
      </w:r>
      <w:r w:rsidRPr="00226F62">
        <w:t>: These LAB strains survive gastrointestinal transit, colonize the gut, and influence microbiota balance, immune response, and nutrient uptake (</w:t>
      </w:r>
      <w:proofErr w:type="spellStart"/>
      <w:r w:rsidRPr="00226F62">
        <w:t>Ranadheera</w:t>
      </w:r>
      <w:proofErr w:type="spellEnd"/>
      <w:r w:rsidRPr="00226F62">
        <w:t xml:space="preserve"> et al., 2010).</w:t>
      </w:r>
    </w:p>
    <w:p w14:paraId="63ACB302" w14:textId="77777777" w:rsidR="00E773EF" w:rsidRPr="00226F62" w:rsidRDefault="00E773EF" w:rsidP="001A58BB">
      <w:pPr>
        <w:pStyle w:val="Heading3"/>
        <w:spacing w:before="0" w:beforeAutospacing="0" w:after="0" w:afterAutospacing="0" w:line="276" w:lineRule="auto"/>
        <w:jc w:val="both"/>
        <w:rPr>
          <w:sz w:val="24"/>
          <w:szCs w:val="24"/>
        </w:rPr>
      </w:pPr>
      <w:r w:rsidRPr="00226F62">
        <w:rPr>
          <w:sz w:val="24"/>
          <w:szCs w:val="24"/>
        </w:rPr>
        <w:t>3.3 Adaptability in Fruit Juice Matrices</w:t>
      </w:r>
    </w:p>
    <w:p w14:paraId="735C4DA2" w14:textId="77777777" w:rsidR="00501884" w:rsidRPr="00226F62" w:rsidRDefault="00E773EF" w:rsidP="001A58BB">
      <w:pPr>
        <w:pStyle w:val="NormalWeb"/>
        <w:spacing w:before="0" w:beforeAutospacing="0" w:after="0" w:afterAutospacing="0" w:line="276" w:lineRule="auto"/>
        <w:jc w:val="both"/>
      </w:pPr>
      <w:r w:rsidRPr="00226F62">
        <w:lastRenderedPageBreak/>
        <w:t>Fruit juices pose challenges such as low pH, absence of proteins and fats, and the presence of antimicrobial phytochemicals. However, plant-origin LAB strains have shown excellent adaptability. Strategies such as co-culturing and pre-adaptation are applied to enhance survival and functionality (Saarela et al., 2000; Mousavi et al., 2010).</w:t>
      </w:r>
    </w:p>
    <w:p w14:paraId="371B2DFF" w14:textId="77777777" w:rsidR="00E773EF" w:rsidRPr="00226F62" w:rsidRDefault="00E773EF" w:rsidP="001A58BB">
      <w:pPr>
        <w:spacing w:after="0"/>
        <w:jc w:val="both"/>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4. Fermentation Dynamics of Mulberry Juice</w:t>
      </w:r>
    </w:p>
    <w:p w14:paraId="28C06A14" w14:textId="77777777" w:rsidR="00E773EF"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The fermentation of mulberry juice using lactic acid bacteria (LAB) is a metabolically intensive process involving microbial growth, acid production, sugar conversion, and transformation of bioactive compounds. This process not only preserves the juice but also transforms it into a functional probiotic beverage with enhanced health-promoting properties.</w:t>
      </w:r>
    </w:p>
    <w:p w14:paraId="78B23DF4" w14:textId="77777777" w:rsidR="00E773EF" w:rsidRPr="00226F62" w:rsidRDefault="00E773EF" w:rsidP="001A58BB">
      <w:pPr>
        <w:spacing w:after="0"/>
        <w:jc w:val="both"/>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4.1 Optimal Fermentation Conditions</w:t>
      </w:r>
    </w:p>
    <w:p w14:paraId="68FFBEC9" w14:textId="77777777" w:rsidR="00E773EF"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Fermentation is typically conducted under aerobic or microaerophilic conditions at temperatures ranging from 30 to 37°C for 24 to 72 hours, depending on the strain of LAB used and the desired end-product characteristics (Zubaidah et al., 2008; </w:t>
      </w:r>
      <w:proofErr w:type="spellStart"/>
      <w:r w:rsidRPr="00226F62">
        <w:rPr>
          <w:rFonts w:ascii="Times New Roman" w:eastAsia="Times New Roman" w:hAnsi="Times New Roman" w:cs="Times New Roman"/>
          <w:sz w:val="24"/>
          <w:szCs w:val="24"/>
          <w:lang w:eastAsia="en-IN"/>
        </w:rPr>
        <w:t>Ranadheera</w:t>
      </w:r>
      <w:proofErr w:type="spellEnd"/>
      <w:r w:rsidRPr="00226F62">
        <w:rPr>
          <w:rFonts w:ascii="Times New Roman" w:eastAsia="Times New Roman" w:hAnsi="Times New Roman" w:cs="Times New Roman"/>
          <w:sz w:val="24"/>
          <w:szCs w:val="24"/>
          <w:lang w:eastAsia="en-IN"/>
        </w:rPr>
        <w:t xml:space="preserve"> et al., 2010; Zheng et al., 2014).</w:t>
      </w:r>
    </w:p>
    <w:p w14:paraId="36471CAE" w14:textId="77777777" w:rsidR="00E773EF"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b/>
          <w:bCs/>
          <w:sz w:val="24"/>
          <w:szCs w:val="24"/>
          <w:lang w:eastAsia="en-IN"/>
        </w:rPr>
        <w:t>Key physicochemical changes observed during fermentation include:</w:t>
      </w:r>
    </w:p>
    <w:p w14:paraId="61241C1F" w14:textId="77777777" w:rsidR="00E773EF" w:rsidRPr="00226F62" w:rsidRDefault="00E773EF" w:rsidP="001A58BB">
      <w:pPr>
        <w:numPr>
          <w:ilvl w:val="0"/>
          <w:numId w:val="23"/>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b/>
          <w:bCs/>
          <w:sz w:val="24"/>
          <w:szCs w:val="24"/>
          <w:lang w:eastAsia="en-IN"/>
        </w:rPr>
        <w:t>pH Reduction:</w:t>
      </w:r>
      <w:r w:rsidRPr="00226F62">
        <w:rPr>
          <w:rFonts w:ascii="Times New Roman" w:eastAsia="Times New Roman" w:hAnsi="Times New Roman" w:cs="Times New Roman"/>
          <w:sz w:val="24"/>
          <w:szCs w:val="24"/>
          <w:lang w:eastAsia="en-IN"/>
        </w:rPr>
        <w:t xml:space="preserve"> The initial pH of mulberry juice (~5.0–5.5) declines to ~3.5–4.0 due to the production of lactic acid and other organic acids (Lee and Hong, 2010). This acidification contributes to microbial safety, shelf stability, and a desirable tangy </w:t>
      </w:r>
      <w:proofErr w:type="spellStart"/>
      <w:r w:rsidRPr="00226F62">
        <w:rPr>
          <w:rFonts w:ascii="Times New Roman" w:eastAsia="Times New Roman" w:hAnsi="Times New Roman" w:cs="Times New Roman"/>
          <w:sz w:val="24"/>
          <w:szCs w:val="24"/>
          <w:lang w:eastAsia="en-IN"/>
        </w:rPr>
        <w:t>flavor</w:t>
      </w:r>
      <w:proofErr w:type="spellEnd"/>
      <w:r w:rsidRPr="00226F62">
        <w:rPr>
          <w:rFonts w:ascii="Times New Roman" w:eastAsia="Times New Roman" w:hAnsi="Times New Roman" w:cs="Times New Roman"/>
          <w:sz w:val="24"/>
          <w:szCs w:val="24"/>
          <w:lang w:eastAsia="en-IN"/>
        </w:rPr>
        <w:t xml:space="preserve"> profile.</w:t>
      </w:r>
    </w:p>
    <w:p w14:paraId="4157B418" w14:textId="77777777" w:rsidR="00E773EF" w:rsidRPr="00226F62" w:rsidRDefault="00E773EF" w:rsidP="001A58BB">
      <w:pPr>
        <w:numPr>
          <w:ilvl w:val="0"/>
          <w:numId w:val="23"/>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b/>
          <w:bCs/>
          <w:sz w:val="24"/>
          <w:szCs w:val="24"/>
          <w:lang w:eastAsia="en-IN"/>
        </w:rPr>
        <w:t>Microbial Growth:</w:t>
      </w:r>
      <w:r w:rsidRPr="00226F62">
        <w:rPr>
          <w:rFonts w:ascii="Times New Roman" w:eastAsia="Times New Roman" w:hAnsi="Times New Roman" w:cs="Times New Roman"/>
          <w:sz w:val="24"/>
          <w:szCs w:val="24"/>
          <w:lang w:eastAsia="en-IN"/>
        </w:rPr>
        <w:t xml:space="preserve"> LAB populations rapidly proliferate, reaching viable counts of 10</w:t>
      </w:r>
      <w:r w:rsidRPr="00226F62">
        <w:rPr>
          <w:rFonts w:ascii="Cambria Math" w:eastAsia="Times New Roman" w:hAnsi="Cambria Math" w:cs="Times New Roman"/>
          <w:sz w:val="24"/>
          <w:szCs w:val="24"/>
          <w:lang w:eastAsia="en-IN"/>
        </w:rPr>
        <w:t>⁸</w:t>
      </w:r>
      <w:r w:rsidRPr="00226F62">
        <w:rPr>
          <w:rFonts w:ascii="Times New Roman" w:eastAsia="Times New Roman" w:hAnsi="Times New Roman" w:cs="Times New Roman"/>
          <w:sz w:val="24"/>
          <w:szCs w:val="24"/>
          <w:lang w:eastAsia="en-IN"/>
        </w:rPr>
        <w:t>–10</w:t>
      </w:r>
      <w:r w:rsidRPr="00226F62">
        <w:rPr>
          <w:rFonts w:ascii="Cambria Math" w:eastAsia="Times New Roman" w:hAnsi="Cambria Math" w:cs="Times New Roman"/>
          <w:sz w:val="24"/>
          <w:szCs w:val="24"/>
          <w:lang w:eastAsia="en-IN"/>
        </w:rPr>
        <w:t>⁹</w:t>
      </w:r>
      <w:r w:rsidRPr="00226F62">
        <w:rPr>
          <w:rFonts w:ascii="Times New Roman" w:eastAsia="Times New Roman" w:hAnsi="Times New Roman" w:cs="Times New Roman"/>
          <w:sz w:val="24"/>
          <w:szCs w:val="24"/>
          <w:lang w:eastAsia="en-IN"/>
        </w:rPr>
        <w:t xml:space="preserve"> CFU/mL within 24 to 48 hours. This level ensures probiotic functionality, as recommended by FAO/WHO guidelines (Yoon et al., 2005; Mousavi et al., 2010).</w:t>
      </w:r>
    </w:p>
    <w:p w14:paraId="5CA4C699" w14:textId="77777777" w:rsidR="00E773EF" w:rsidRPr="00226F62" w:rsidRDefault="00E773EF" w:rsidP="001A58BB">
      <w:pPr>
        <w:numPr>
          <w:ilvl w:val="0"/>
          <w:numId w:val="23"/>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b/>
          <w:bCs/>
          <w:sz w:val="24"/>
          <w:szCs w:val="24"/>
          <w:lang w:eastAsia="en-IN"/>
        </w:rPr>
        <w:t>Sugar Utilization:</w:t>
      </w:r>
      <w:r w:rsidRPr="00226F62">
        <w:rPr>
          <w:rFonts w:ascii="Times New Roman" w:eastAsia="Times New Roman" w:hAnsi="Times New Roman" w:cs="Times New Roman"/>
          <w:sz w:val="24"/>
          <w:szCs w:val="24"/>
          <w:lang w:eastAsia="en-IN"/>
        </w:rPr>
        <w:t xml:space="preserve"> LAB ferment glucose, fructose, and sucrose, reducing residual sugars significantly. This supports diabetic-friendly, low-calorie product development (Zheng et al., 2014; Liu et al., 2023).</w:t>
      </w:r>
    </w:p>
    <w:p w14:paraId="3863B92B" w14:textId="77777777" w:rsidR="00E773EF" w:rsidRPr="00226F62" w:rsidRDefault="00E773EF" w:rsidP="001A58BB">
      <w:pPr>
        <w:spacing w:after="0"/>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4.2 Impact on Bioactive Compounds</w:t>
      </w:r>
    </w:p>
    <w:p w14:paraId="64C37B70" w14:textId="77777777" w:rsidR="00E773EF" w:rsidRPr="00226F62" w:rsidRDefault="00E773EF" w:rsidP="001A58BB">
      <w:pPr>
        <w:spacing w:after="0"/>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Fermentation induces several biochemical transformations:</w:t>
      </w:r>
    </w:p>
    <w:p w14:paraId="3A636934" w14:textId="77777777" w:rsidR="00E773EF" w:rsidRPr="00226F62" w:rsidRDefault="00E773EF" w:rsidP="001A58BB">
      <w:pPr>
        <w:numPr>
          <w:ilvl w:val="0"/>
          <w:numId w:val="24"/>
        </w:numPr>
        <w:spacing w:after="0"/>
        <w:rPr>
          <w:rFonts w:ascii="Times New Roman" w:eastAsia="Times New Roman" w:hAnsi="Times New Roman" w:cs="Times New Roman"/>
          <w:sz w:val="24"/>
          <w:szCs w:val="24"/>
          <w:lang w:eastAsia="en-IN"/>
        </w:rPr>
      </w:pPr>
      <w:r w:rsidRPr="00226F62">
        <w:rPr>
          <w:rFonts w:ascii="Times New Roman" w:eastAsia="Times New Roman" w:hAnsi="Times New Roman" w:cs="Times New Roman"/>
          <w:b/>
          <w:bCs/>
          <w:sz w:val="24"/>
          <w:szCs w:val="24"/>
          <w:lang w:eastAsia="en-IN"/>
        </w:rPr>
        <w:t>Anthocyanins:</w:t>
      </w:r>
      <w:r w:rsidRPr="00226F62">
        <w:rPr>
          <w:rFonts w:ascii="Times New Roman" w:eastAsia="Times New Roman" w:hAnsi="Times New Roman" w:cs="Times New Roman"/>
          <w:sz w:val="24"/>
          <w:szCs w:val="24"/>
          <w:lang w:eastAsia="en-IN"/>
        </w:rPr>
        <w:t xml:space="preserve"> While acidic conditions may degrade some anthocyanins, LAB can enhance their bioavailability by releasing bound forms (Lee et al., 2016; Zhang et al., 2024). Certain LAB strains help preserve or even increase antioxidant capacity post-fermentation.</w:t>
      </w:r>
    </w:p>
    <w:p w14:paraId="12C7D0DA" w14:textId="77777777" w:rsidR="00E773EF" w:rsidRPr="00226F62" w:rsidRDefault="00E773EF" w:rsidP="001A58BB">
      <w:pPr>
        <w:numPr>
          <w:ilvl w:val="0"/>
          <w:numId w:val="24"/>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b/>
          <w:bCs/>
          <w:sz w:val="24"/>
          <w:szCs w:val="24"/>
          <w:lang w:eastAsia="en-IN"/>
        </w:rPr>
        <w:t>Phenolic Enrichment:</w:t>
      </w:r>
      <w:r w:rsidRPr="00226F62">
        <w:rPr>
          <w:rFonts w:ascii="Times New Roman" w:eastAsia="Times New Roman" w:hAnsi="Times New Roman" w:cs="Times New Roman"/>
          <w:sz w:val="24"/>
          <w:szCs w:val="24"/>
          <w:lang w:eastAsia="en-IN"/>
        </w:rPr>
        <w:t xml:space="preserve"> LAB </w:t>
      </w:r>
      <w:proofErr w:type="spellStart"/>
      <w:r w:rsidRPr="00226F62">
        <w:rPr>
          <w:rFonts w:ascii="Times New Roman" w:eastAsia="Times New Roman" w:hAnsi="Times New Roman" w:cs="Times New Roman"/>
          <w:sz w:val="24"/>
          <w:szCs w:val="24"/>
          <w:lang w:eastAsia="en-IN"/>
        </w:rPr>
        <w:t>hydrolyze</w:t>
      </w:r>
      <w:proofErr w:type="spellEnd"/>
      <w:r w:rsidRPr="00226F62">
        <w:rPr>
          <w:rFonts w:ascii="Times New Roman" w:eastAsia="Times New Roman" w:hAnsi="Times New Roman" w:cs="Times New Roman"/>
          <w:sz w:val="24"/>
          <w:szCs w:val="24"/>
          <w:lang w:eastAsia="en-IN"/>
        </w:rPr>
        <w:t xml:space="preserve"> complex phenolics into bioavailable forms such as gallic acid and quercetin, boosting antioxidant, anti-inflammatory, and antimicrobial potential (Mousavi et al., 2010; Sharma et al., 2022).</w:t>
      </w:r>
    </w:p>
    <w:p w14:paraId="16A3F053" w14:textId="77777777" w:rsidR="00E773EF" w:rsidRPr="00226F62" w:rsidRDefault="00E773EF" w:rsidP="001A58BB">
      <w:pPr>
        <w:numPr>
          <w:ilvl w:val="0"/>
          <w:numId w:val="24"/>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b/>
          <w:bCs/>
          <w:sz w:val="24"/>
          <w:szCs w:val="24"/>
          <w:lang w:eastAsia="en-IN"/>
        </w:rPr>
        <w:t>Bioactive Peptides:</w:t>
      </w:r>
      <w:r w:rsidRPr="00226F62">
        <w:rPr>
          <w:rFonts w:ascii="Times New Roman" w:eastAsia="Times New Roman" w:hAnsi="Times New Roman" w:cs="Times New Roman"/>
          <w:sz w:val="24"/>
          <w:szCs w:val="24"/>
          <w:lang w:eastAsia="en-IN"/>
        </w:rPr>
        <w:t xml:space="preserve"> LAB enzymatic activity may release peptides with antihypertensive and immunomodulatory effects (Naidu et al., 1999; </w:t>
      </w:r>
      <w:proofErr w:type="spellStart"/>
      <w:r w:rsidRPr="00226F62">
        <w:rPr>
          <w:rFonts w:ascii="Times New Roman" w:eastAsia="Times New Roman" w:hAnsi="Times New Roman" w:cs="Times New Roman"/>
          <w:sz w:val="24"/>
          <w:szCs w:val="24"/>
          <w:lang w:eastAsia="en-IN"/>
        </w:rPr>
        <w:t>Ranadheera</w:t>
      </w:r>
      <w:proofErr w:type="spellEnd"/>
      <w:r w:rsidRPr="00226F62">
        <w:rPr>
          <w:rFonts w:ascii="Times New Roman" w:eastAsia="Times New Roman" w:hAnsi="Times New Roman" w:cs="Times New Roman"/>
          <w:sz w:val="24"/>
          <w:szCs w:val="24"/>
          <w:lang w:eastAsia="en-IN"/>
        </w:rPr>
        <w:t xml:space="preserve"> et al., 2010).</w:t>
      </w:r>
    </w:p>
    <w:p w14:paraId="2A474B50" w14:textId="77777777" w:rsidR="00E773EF" w:rsidRPr="00226F62" w:rsidRDefault="00E773EF" w:rsidP="001A58BB">
      <w:pPr>
        <w:spacing w:after="0"/>
        <w:jc w:val="both"/>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4.3 Sensory Improvements</w:t>
      </w:r>
    </w:p>
    <w:p w14:paraId="0C210785" w14:textId="77777777" w:rsidR="00E773EF" w:rsidRPr="00226F62" w:rsidRDefault="00E773EF" w:rsidP="001A58BB">
      <w:pPr>
        <w:numPr>
          <w:ilvl w:val="0"/>
          <w:numId w:val="25"/>
        </w:numPr>
        <w:spacing w:after="0"/>
        <w:jc w:val="both"/>
        <w:rPr>
          <w:rFonts w:ascii="Times New Roman" w:eastAsia="Times New Roman" w:hAnsi="Times New Roman" w:cs="Times New Roman"/>
          <w:sz w:val="24"/>
          <w:szCs w:val="24"/>
          <w:lang w:eastAsia="en-IN"/>
        </w:rPr>
      </w:pPr>
      <w:proofErr w:type="spellStart"/>
      <w:r w:rsidRPr="00226F62">
        <w:rPr>
          <w:rFonts w:ascii="Times New Roman" w:eastAsia="Times New Roman" w:hAnsi="Times New Roman" w:cs="Times New Roman"/>
          <w:b/>
          <w:bCs/>
          <w:sz w:val="24"/>
          <w:szCs w:val="24"/>
          <w:lang w:eastAsia="en-IN"/>
        </w:rPr>
        <w:t>Flavor</w:t>
      </w:r>
      <w:proofErr w:type="spellEnd"/>
      <w:r w:rsidRPr="00226F62">
        <w:rPr>
          <w:rFonts w:ascii="Times New Roman" w:eastAsia="Times New Roman" w:hAnsi="Times New Roman" w:cs="Times New Roman"/>
          <w:b/>
          <w:bCs/>
          <w:sz w:val="24"/>
          <w:szCs w:val="24"/>
          <w:lang w:eastAsia="en-IN"/>
        </w:rPr>
        <w:t xml:space="preserve"> and Aroma:</w:t>
      </w:r>
      <w:r w:rsidRPr="00226F62">
        <w:rPr>
          <w:rFonts w:ascii="Times New Roman" w:eastAsia="Times New Roman" w:hAnsi="Times New Roman" w:cs="Times New Roman"/>
          <w:sz w:val="24"/>
          <w:szCs w:val="24"/>
          <w:lang w:eastAsia="en-IN"/>
        </w:rPr>
        <w:t xml:space="preserve"> LAB fermentation produces organic acids, esters, and diacetyl, leading to a fresh, tangy, and slightly creamy </w:t>
      </w:r>
      <w:proofErr w:type="spellStart"/>
      <w:r w:rsidRPr="00226F62">
        <w:rPr>
          <w:rFonts w:ascii="Times New Roman" w:eastAsia="Times New Roman" w:hAnsi="Times New Roman" w:cs="Times New Roman"/>
          <w:sz w:val="24"/>
          <w:szCs w:val="24"/>
          <w:lang w:eastAsia="en-IN"/>
        </w:rPr>
        <w:t>flavor</w:t>
      </w:r>
      <w:proofErr w:type="spellEnd"/>
      <w:r w:rsidRPr="00226F62">
        <w:rPr>
          <w:rFonts w:ascii="Times New Roman" w:eastAsia="Times New Roman" w:hAnsi="Times New Roman" w:cs="Times New Roman"/>
          <w:sz w:val="24"/>
          <w:szCs w:val="24"/>
          <w:lang w:eastAsia="en-IN"/>
        </w:rPr>
        <w:t xml:space="preserve"> profile (Lee and Hong, 2010).</w:t>
      </w:r>
    </w:p>
    <w:p w14:paraId="6A2A296B" w14:textId="77777777" w:rsidR="00E773EF" w:rsidRPr="00226F62" w:rsidRDefault="00E773EF" w:rsidP="001A58BB">
      <w:pPr>
        <w:numPr>
          <w:ilvl w:val="0"/>
          <w:numId w:val="25"/>
        </w:numPr>
        <w:spacing w:after="0"/>
        <w:jc w:val="both"/>
        <w:rPr>
          <w:rFonts w:ascii="Times New Roman" w:eastAsia="Times New Roman" w:hAnsi="Times New Roman" w:cs="Times New Roman"/>
          <w:sz w:val="24"/>
          <w:szCs w:val="24"/>
          <w:lang w:eastAsia="en-IN"/>
        </w:rPr>
      </w:pPr>
      <w:proofErr w:type="spellStart"/>
      <w:r w:rsidRPr="00226F62">
        <w:rPr>
          <w:rFonts w:ascii="Times New Roman" w:eastAsia="Times New Roman" w:hAnsi="Times New Roman" w:cs="Times New Roman"/>
          <w:b/>
          <w:bCs/>
          <w:sz w:val="24"/>
          <w:szCs w:val="24"/>
          <w:lang w:eastAsia="en-IN"/>
        </w:rPr>
        <w:t>Color</w:t>
      </w:r>
      <w:proofErr w:type="spellEnd"/>
      <w:r w:rsidRPr="00226F62">
        <w:rPr>
          <w:rFonts w:ascii="Times New Roman" w:eastAsia="Times New Roman" w:hAnsi="Times New Roman" w:cs="Times New Roman"/>
          <w:b/>
          <w:bCs/>
          <w:sz w:val="24"/>
          <w:szCs w:val="24"/>
          <w:lang w:eastAsia="en-IN"/>
        </w:rPr>
        <w:t xml:space="preserve"> Stability:</w:t>
      </w:r>
      <w:r w:rsidRPr="00226F62">
        <w:rPr>
          <w:rFonts w:ascii="Times New Roman" w:eastAsia="Times New Roman" w:hAnsi="Times New Roman" w:cs="Times New Roman"/>
          <w:sz w:val="24"/>
          <w:szCs w:val="24"/>
          <w:lang w:eastAsia="en-IN"/>
        </w:rPr>
        <w:t xml:space="preserve"> Despite acidic pH, fermented juice retains its rich purple/black </w:t>
      </w:r>
      <w:proofErr w:type="spellStart"/>
      <w:r w:rsidRPr="00226F62">
        <w:rPr>
          <w:rFonts w:ascii="Times New Roman" w:eastAsia="Times New Roman" w:hAnsi="Times New Roman" w:cs="Times New Roman"/>
          <w:sz w:val="24"/>
          <w:szCs w:val="24"/>
          <w:lang w:eastAsia="en-IN"/>
        </w:rPr>
        <w:t>color</w:t>
      </w:r>
      <w:proofErr w:type="spellEnd"/>
      <w:r w:rsidRPr="00226F62">
        <w:rPr>
          <w:rFonts w:ascii="Times New Roman" w:eastAsia="Times New Roman" w:hAnsi="Times New Roman" w:cs="Times New Roman"/>
          <w:sz w:val="24"/>
          <w:szCs w:val="24"/>
          <w:lang w:eastAsia="en-IN"/>
        </w:rPr>
        <w:t xml:space="preserve"> due to stabilized anthocyanin structure, enhancing market appeal (Kim et al., 2003; Lee et al., 2016).</w:t>
      </w:r>
    </w:p>
    <w:p w14:paraId="6E83DF3C" w14:textId="77777777" w:rsidR="00E773EF" w:rsidRPr="00226F62" w:rsidRDefault="00E773EF" w:rsidP="001A58BB">
      <w:pPr>
        <w:numPr>
          <w:ilvl w:val="0"/>
          <w:numId w:val="25"/>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b/>
          <w:bCs/>
          <w:sz w:val="24"/>
          <w:szCs w:val="24"/>
          <w:lang w:eastAsia="en-IN"/>
        </w:rPr>
        <w:lastRenderedPageBreak/>
        <w:t>Texture and Mouthfeel:</w:t>
      </w:r>
      <w:r w:rsidRPr="00226F62">
        <w:rPr>
          <w:rFonts w:ascii="Times New Roman" w:eastAsia="Times New Roman" w:hAnsi="Times New Roman" w:cs="Times New Roman"/>
          <w:sz w:val="24"/>
          <w:szCs w:val="24"/>
          <w:lang w:eastAsia="en-IN"/>
        </w:rPr>
        <w:t xml:space="preserve"> EPS production by LAB can increase viscosity and improve drinkability, resulting in smoother mouthfeel and better consumer acceptance (Zubaidah et al., 2008).</w:t>
      </w:r>
    </w:p>
    <w:p w14:paraId="5417FA2E" w14:textId="77777777" w:rsidR="00E773EF" w:rsidRPr="00226F62" w:rsidRDefault="00E773EF" w:rsidP="001A58BB">
      <w:pPr>
        <w:spacing w:after="0"/>
        <w:jc w:val="both"/>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4.4 Shelf Stability</w:t>
      </w:r>
    </w:p>
    <w:p w14:paraId="36E59A71" w14:textId="77777777" w:rsidR="00E773EF" w:rsidRPr="00226F62" w:rsidRDefault="00E773EF" w:rsidP="001A58BB">
      <w:pPr>
        <w:numPr>
          <w:ilvl w:val="0"/>
          <w:numId w:val="26"/>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LAB fermentation naturally prolongs shelf-life by lowering pH and generating antimicrobial compounds such as bacteriocins and hydrogen peroxide (Sheehan et al., 2007).</w:t>
      </w:r>
    </w:p>
    <w:p w14:paraId="2162B1D3" w14:textId="77777777" w:rsidR="00501884" w:rsidRDefault="00E773EF" w:rsidP="001A58BB">
      <w:pPr>
        <w:numPr>
          <w:ilvl w:val="0"/>
          <w:numId w:val="26"/>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Viable LAB counts remain above 10</w:t>
      </w:r>
      <w:r w:rsidRPr="00226F62">
        <w:rPr>
          <w:rFonts w:ascii="Cambria Math" w:eastAsia="Times New Roman" w:hAnsi="Cambria Math" w:cs="Times New Roman"/>
          <w:sz w:val="24"/>
          <w:szCs w:val="24"/>
          <w:lang w:eastAsia="en-IN"/>
        </w:rPr>
        <w:t>⁶</w:t>
      </w:r>
      <w:r w:rsidRPr="00226F62">
        <w:rPr>
          <w:rFonts w:ascii="Times New Roman" w:eastAsia="Times New Roman" w:hAnsi="Times New Roman" w:cs="Times New Roman"/>
          <w:sz w:val="24"/>
          <w:szCs w:val="24"/>
          <w:lang w:eastAsia="en-IN"/>
        </w:rPr>
        <w:t xml:space="preserve"> CFU/mL for 4–6 weeks under refrigeration (4°C), ensuring probiotic effectiveness (Yoon et al., 2005; </w:t>
      </w:r>
      <w:proofErr w:type="spellStart"/>
      <w:r w:rsidRPr="00226F62">
        <w:rPr>
          <w:rFonts w:ascii="Times New Roman" w:eastAsia="Times New Roman" w:hAnsi="Times New Roman" w:cs="Times New Roman"/>
          <w:sz w:val="24"/>
          <w:szCs w:val="24"/>
          <w:lang w:eastAsia="en-IN"/>
        </w:rPr>
        <w:t>Sivudu</w:t>
      </w:r>
      <w:proofErr w:type="spellEnd"/>
      <w:r w:rsidRPr="00226F62">
        <w:rPr>
          <w:rFonts w:ascii="Times New Roman" w:eastAsia="Times New Roman" w:hAnsi="Times New Roman" w:cs="Times New Roman"/>
          <w:sz w:val="24"/>
          <w:szCs w:val="24"/>
          <w:lang w:eastAsia="en-IN"/>
        </w:rPr>
        <w:t xml:space="preserve"> et al., 2014).</w:t>
      </w:r>
    </w:p>
    <w:p w14:paraId="624CBE26" w14:textId="77777777" w:rsidR="00B946B1" w:rsidRPr="00226F62" w:rsidRDefault="00B946B1" w:rsidP="00B946B1">
      <w:pPr>
        <w:spacing w:after="0"/>
        <w:ind w:left="720"/>
        <w:jc w:val="both"/>
        <w:rPr>
          <w:rFonts w:ascii="Times New Roman" w:eastAsia="Times New Roman" w:hAnsi="Times New Roman" w:cs="Times New Roman"/>
          <w:sz w:val="24"/>
          <w:szCs w:val="24"/>
          <w:lang w:eastAsia="en-IN"/>
        </w:rPr>
      </w:pPr>
    </w:p>
    <w:p w14:paraId="3527911F" w14:textId="77777777" w:rsidR="00E773EF" w:rsidRPr="00226F62" w:rsidRDefault="00E773EF" w:rsidP="001A58BB">
      <w:pPr>
        <w:spacing w:after="0"/>
        <w:jc w:val="both"/>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5. Health Benefits of Probiotic Mulberry Juice</w:t>
      </w:r>
    </w:p>
    <w:p w14:paraId="49F71985" w14:textId="77777777" w:rsidR="00E773EF"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The combination of mulberry fruit </w:t>
      </w:r>
      <w:proofErr w:type="spellStart"/>
      <w:r w:rsidRPr="00226F62">
        <w:rPr>
          <w:rFonts w:ascii="Times New Roman" w:eastAsia="Times New Roman" w:hAnsi="Times New Roman" w:cs="Times New Roman"/>
          <w:sz w:val="24"/>
          <w:szCs w:val="24"/>
          <w:lang w:eastAsia="en-IN"/>
        </w:rPr>
        <w:t>bioactives</w:t>
      </w:r>
      <w:proofErr w:type="spellEnd"/>
      <w:r w:rsidRPr="00226F62">
        <w:rPr>
          <w:rFonts w:ascii="Times New Roman" w:eastAsia="Times New Roman" w:hAnsi="Times New Roman" w:cs="Times New Roman"/>
          <w:sz w:val="24"/>
          <w:szCs w:val="24"/>
          <w:lang w:eastAsia="en-IN"/>
        </w:rPr>
        <w:t xml:space="preserve"> and probiotic lactic acid bacteria (LAB) results in a potent functional beverage with diverse health-promoting effects. The synergistic action of anthocyanins, polyphenols, organic acids, and live probiotic cultures contributes to multifaceted therapeutic potential, as validated by several in vitro, animal, and human studies.</w:t>
      </w:r>
    </w:p>
    <w:p w14:paraId="279AD331" w14:textId="77777777" w:rsidR="00E773EF" w:rsidRPr="00226F62" w:rsidRDefault="00E773EF" w:rsidP="001A58BB">
      <w:pPr>
        <w:spacing w:after="0"/>
        <w:jc w:val="both"/>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5.1 Gastrointestinal Health</w:t>
      </w:r>
    </w:p>
    <w:p w14:paraId="79A4CA66" w14:textId="77777777" w:rsidR="00E773EF"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Probiotic mulberry juice enhances gut microbial balance by promoting the growth of beneficial bacteria such as </w:t>
      </w:r>
      <w:r w:rsidRPr="00226F62">
        <w:rPr>
          <w:rFonts w:ascii="Times New Roman" w:eastAsia="Times New Roman" w:hAnsi="Times New Roman" w:cs="Times New Roman"/>
          <w:i/>
          <w:iCs/>
          <w:sz w:val="24"/>
          <w:szCs w:val="24"/>
          <w:lang w:eastAsia="en-IN"/>
        </w:rPr>
        <w:t>Lactobacillus</w:t>
      </w:r>
      <w:r w:rsidRPr="00226F62">
        <w:rPr>
          <w:rFonts w:ascii="Times New Roman" w:eastAsia="Times New Roman" w:hAnsi="Times New Roman" w:cs="Times New Roman"/>
          <w:sz w:val="24"/>
          <w:szCs w:val="24"/>
          <w:lang w:eastAsia="en-IN"/>
        </w:rPr>
        <w:t xml:space="preserve"> and </w:t>
      </w:r>
      <w:r w:rsidRPr="00226F62">
        <w:rPr>
          <w:rFonts w:ascii="Times New Roman" w:eastAsia="Times New Roman" w:hAnsi="Times New Roman" w:cs="Times New Roman"/>
          <w:i/>
          <w:iCs/>
          <w:sz w:val="24"/>
          <w:szCs w:val="24"/>
          <w:lang w:eastAsia="en-IN"/>
        </w:rPr>
        <w:t>Bifidobacterium</w:t>
      </w:r>
      <w:r w:rsidRPr="00226F62">
        <w:rPr>
          <w:rFonts w:ascii="Times New Roman" w:eastAsia="Times New Roman" w:hAnsi="Times New Roman" w:cs="Times New Roman"/>
          <w:sz w:val="24"/>
          <w:szCs w:val="24"/>
          <w:lang w:eastAsia="en-IN"/>
        </w:rPr>
        <w:t xml:space="preserve">, while suppressing harmful pathogens like </w:t>
      </w:r>
      <w:r w:rsidRPr="00226F62">
        <w:rPr>
          <w:rFonts w:ascii="Times New Roman" w:eastAsia="Times New Roman" w:hAnsi="Times New Roman" w:cs="Times New Roman"/>
          <w:i/>
          <w:iCs/>
          <w:sz w:val="24"/>
          <w:szCs w:val="24"/>
          <w:lang w:eastAsia="en-IN"/>
        </w:rPr>
        <w:t>E. coli</w:t>
      </w:r>
      <w:r w:rsidRPr="00226F62">
        <w:rPr>
          <w:rFonts w:ascii="Times New Roman" w:eastAsia="Times New Roman" w:hAnsi="Times New Roman" w:cs="Times New Roman"/>
          <w:sz w:val="24"/>
          <w:szCs w:val="24"/>
          <w:lang w:eastAsia="en-IN"/>
        </w:rPr>
        <w:t xml:space="preserve">, </w:t>
      </w:r>
      <w:r w:rsidRPr="00226F62">
        <w:rPr>
          <w:rFonts w:ascii="Times New Roman" w:eastAsia="Times New Roman" w:hAnsi="Times New Roman" w:cs="Times New Roman"/>
          <w:i/>
          <w:iCs/>
          <w:sz w:val="24"/>
          <w:szCs w:val="24"/>
          <w:lang w:eastAsia="en-IN"/>
        </w:rPr>
        <w:t>Clostridium</w:t>
      </w:r>
      <w:r w:rsidRPr="00226F62">
        <w:rPr>
          <w:rFonts w:ascii="Times New Roman" w:eastAsia="Times New Roman" w:hAnsi="Times New Roman" w:cs="Times New Roman"/>
          <w:sz w:val="24"/>
          <w:szCs w:val="24"/>
          <w:lang w:eastAsia="en-IN"/>
        </w:rPr>
        <w:t xml:space="preserve"> spp., and </w:t>
      </w:r>
      <w:r w:rsidRPr="00226F62">
        <w:rPr>
          <w:rFonts w:ascii="Times New Roman" w:eastAsia="Times New Roman" w:hAnsi="Times New Roman" w:cs="Times New Roman"/>
          <w:i/>
          <w:iCs/>
          <w:sz w:val="24"/>
          <w:szCs w:val="24"/>
          <w:lang w:eastAsia="en-IN"/>
        </w:rPr>
        <w:t>Salmonella</w:t>
      </w:r>
      <w:r w:rsidRPr="00226F62">
        <w:rPr>
          <w:rFonts w:ascii="Times New Roman" w:eastAsia="Times New Roman" w:hAnsi="Times New Roman" w:cs="Times New Roman"/>
          <w:sz w:val="24"/>
          <w:szCs w:val="24"/>
          <w:lang w:eastAsia="en-IN"/>
        </w:rPr>
        <w:t>.</w:t>
      </w:r>
    </w:p>
    <w:p w14:paraId="41F5B5D2" w14:textId="77777777" w:rsidR="00E773EF"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b/>
          <w:bCs/>
          <w:sz w:val="24"/>
          <w:szCs w:val="24"/>
          <w:lang w:eastAsia="en-IN"/>
        </w:rPr>
        <w:t>Benefits include:</w:t>
      </w:r>
    </w:p>
    <w:p w14:paraId="0A4D226B" w14:textId="77777777" w:rsidR="00E773EF" w:rsidRPr="00226F62" w:rsidRDefault="00E773EF" w:rsidP="001A58BB">
      <w:pPr>
        <w:numPr>
          <w:ilvl w:val="0"/>
          <w:numId w:val="27"/>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Improved intestinal barrier integrity (Ouwehand et al., 2002)</w:t>
      </w:r>
    </w:p>
    <w:p w14:paraId="4C2E1047" w14:textId="77777777" w:rsidR="00E773EF" w:rsidRPr="00226F62" w:rsidRDefault="00E773EF" w:rsidP="001A58BB">
      <w:pPr>
        <w:numPr>
          <w:ilvl w:val="0"/>
          <w:numId w:val="27"/>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Enhanced digestion and nutrient absorption (Saulnier et al., 2009)</w:t>
      </w:r>
    </w:p>
    <w:p w14:paraId="1E33507B" w14:textId="77777777" w:rsidR="00E773EF" w:rsidRPr="00226F62" w:rsidRDefault="00E773EF" w:rsidP="001A58BB">
      <w:pPr>
        <w:numPr>
          <w:ilvl w:val="0"/>
          <w:numId w:val="27"/>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Relief from gastrointestinal disorders (Boyle et al., 2006)</w:t>
      </w:r>
    </w:p>
    <w:p w14:paraId="31A34C9C" w14:textId="77777777" w:rsidR="009E5244" w:rsidRPr="00091FCB" w:rsidRDefault="00E773EF" w:rsidP="001A58BB">
      <w:pPr>
        <w:spacing w:after="0"/>
        <w:rPr>
          <w:rFonts w:ascii="Times New Roman" w:eastAsia="Times New Roman" w:hAnsi="Times New Roman" w:cs="Times New Roman"/>
          <w:sz w:val="24"/>
          <w:szCs w:val="24"/>
          <w:lang w:eastAsia="en-IN"/>
        </w:rPr>
      </w:pPr>
      <w:r w:rsidRPr="00226F62">
        <w:rPr>
          <w:rFonts w:ascii="Times New Roman" w:eastAsia="Times New Roman" w:hAnsi="Times New Roman" w:cs="Times New Roman"/>
          <w:b/>
          <w:bCs/>
          <w:sz w:val="24"/>
          <w:szCs w:val="24"/>
          <w:lang w:eastAsia="en-IN"/>
        </w:rPr>
        <w:t>Post-antibiotic Recovery:</w:t>
      </w:r>
      <w:r w:rsidRPr="00226F62">
        <w:rPr>
          <w:rFonts w:ascii="Times New Roman" w:eastAsia="Times New Roman" w:hAnsi="Times New Roman" w:cs="Times New Roman"/>
          <w:sz w:val="24"/>
          <w:szCs w:val="24"/>
          <w:lang w:eastAsia="en-IN"/>
        </w:rPr>
        <w:br/>
        <w:t>Fermented mulberry juice may restore gut flora post-antibiotic use (Mousavi et al., 2010), aiding in recovery from dysbiosis.</w:t>
      </w:r>
    </w:p>
    <w:p w14:paraId="60BED2EA" w14:textId="77777777" w:rsidR="00E773EF"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b/>
          <w:bCs/>
          <w:sz w:val="24"/>
          <w:szCs w:val="24"/>
          <w:lang w:eastAsia="en-IN"/>
        </w:rPr>
        <w:t>5.2 Immunomodulatory Effects</w:t>
      </w:r>
    </w:p>
    <w:p w14:paraId="13AE3779" w14:textId="77777777" w:rsidR="00E773EF"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LAB strains modulate both innate and adaptive immunity:</w:t>
      </w:r>
    </w:p>
    <w:p w14:paraId="1D92D5FB" w14:textId="77777777" w:rsidR="00E773EF" w:rsidRPr="00226F62" w:rsidRDefault="00E773EF" w:rsidP="001A58BB">
      <w:pPr>
        <w:numPr>
          <w:ilvl w:val="0"/>
          <w:numId w:val="28"/>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i/>
          <w:iCs/>
          <w:sz w:val="24"/>
          <w:szCs w:val="24"/>
          <w:lang w:eastAsia="en-IN"/>
        </w:rPr>
        <w:t>L. plantarum</w:t>
      </w:r>
      <w:r w:rsidRPr="00226F62">
        <w:rPr>
          <w:rFonts w:ascii="Times New Roman" w:eastAsia="Times New Roman" w:hAnsi="Times New Roman" w:cs="Times New Roman"/>
          <w:sz w:val="24"/>
          <w:szCs w:val="24"/>
          <w:lang w:eastAsia="en-IN"/>
        </w:rPr>
        <w:t xml:space="preserve"> activates macrophages and dendritic cells (Naidu et al., 1999)</w:t>
      </w:r>
    </w:p>
    <w:p w14:paraId="2527BA6E" w14:textId="77777777" w:rsidR="00E773EF" w:rsidRPr="00226F62" w:rsidRDefault="00E773EF" w:rsidP="001A58BB">
      <w:pPr>
        <w:numPr>
          <w:ilvl w:val="0"/>
          <w:numId w:val="28"/>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Enhances IgA, IL-10, and IL-6 production (Solis et al., 2002)</w:t>
      </w:r>
    </w:p>
    <w:p w14:paraId="0027C2F1" w14:textId="77777777" w:rsidR="00E773EF" w:rsidRPr="00226F62" w:rsidRDefault="00E773EF" w:rsidP="001A58BB">
      <w:pPr>
        <w:numPr>
          <w:ilvl w:val="0"/>
          <w:numId w:val="28"/>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Improves mucosal immunity (</w:t>
      </w:r>
      <w:proofErr w:type="spellStart"/>
      <w:r w:rsidRPr="00226F62">
        <w:rPr>
          <w:rFonts w:ascii="Times New Roman" w:eastAsia="Times New Roman" w:hAnsi="Times New Roman" w:cs="Times New Roman"/>
          <w:sz w:val="24"/>
          <w:szCs w:val="24"/>
          <w:lang w:eastAsia="en-IN"/>
        </w:rPr>
        <w:t>Naruszewicz</w:t>
      </w:r>
      <w:proofErr w:type="spellEnd"/>
      <w:r w:rsidRPr="00226F62">
        <w:rPr>
          <w:rFonts w:ascii="Times New Roman" w:eastAsia="Times New Roman" w:hAnsi="Times New Roman" w:cs="Times New Roman"/>
          <w:sz w:val="24"/>
          <w:szCs w:val="24"/>
          <w:lang w:eastAsia="en-IN"/>
        </w:rPr>
        <w:t xml:space="preserve"> et al., 2002)</w:t>
      </w:r>
    </w:p>
    <w:p w14:paraId="106E34C7" w14:textId="77777777" w:rsidR="00E773EF"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Polyphenols from mulberries work synergistically with LAB to regulate immune </w:t>
      </w:r>
      <w:proofErr w:type="spellStart"/>
      <w:r w:rsidRPr="00226F62">
        <w:rPr>
          <w:rFonts w:ascii="Times New Roman" w:eastAsia="Times New Roman" w:hAnsi="Times New Roman" w:cs="Times New Roman"/>
          <w:sz w:val="24"/>
          <w:szCs w:val="24"/>
          <w:lang w:eastAsia="en-IN"/>
        </w:rPr>
        <w:t>signaling</w:t>
      </w:r>
      <w:proofErr w:type="spellEnd"/>
      <w:r w:rsidRPr="00226F62">
        <w:rPr>
          <w:rFonts w:ascii="Times New Roman" w:eastAsia="Times New Roman" w:hAnsi="Times New Roman" w:cs="Times New Roman"/>
          <w:sz w:val="24"/>
          <w:szCs w:val="24"/>
          <w:lang w:eastAsia="en-IN"/>
        </w:rPr>
        <w:t xml:space="preserve"> (Sofia et al., 2010; Liu et al., 2023).</w:t>
      </w:r>
    </w:p>
    <w:p w14:paraId="6EEB63A0" w14:textId="77777777" w:rsidR="00E773EF" w:rsidRPr="00226F62" w:rsidRDefault="00E773EF" w:rsidP="001A58BB">
      <w:pPr>
        <w:spacing w:after="0"/>
        <w:jc w:val="both"/>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5.3 Antioxidant Protection</w:t>
      </w:r>
    </w:p>
    <w:p w14:paraId="5759D536" w14:textId="77777777" w:rsidR="00E773EF"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Mulberries are naturally high in anthocyanins and flavonoids, which act as antioxidants.</w:t>
      </w:r>
    </w:p>
    <w:p w14:paraId="2C554DD0" w14:textId="77777777" w:rsidR="00E773EF"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b/>
          <w:bCs/>
          <w:sz w:val="24"/>
          <w:szCs w:val="24"/>
          <w:lang w:eastAsia="en-IN"/>
        </w:rPr>
        <w:t>During fermentation:</w:t>
      </w:r>
    </w:p>
    <w:p w14:paraId="5F96EC31" w14:textId="77777777" w:rsidR="00E773EF" w:rsidRPr="00226F62" w:rsidRDefault="00E773EF" w:rsidP="001A58BB">
      <w:pPr>
        <w:numPr>
          <w:ilvl w:val="0"/>
          <w:numId w:val="29"/>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LAB enhances phenolic bioavailability (Zheng et al., 2014)</w:t>
      </w:r>
    </w:p>
    <w:p w14:paraId="3BF00684" w14:textId="77777777" w:rsidR="00E773EF" w:rsidRPr="00226F62" w:rsidRDefault="00E773EF" w:rsidP="001A58BB">
      <w:pPr>
        <w:numPr>
          <w:ilvl w:val="0"/>
          <w:numId w:val="29"/>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Produces antioxidant metabolites and peptides (Lee et al., 2016)</w:t>
      </w:r>
    </w:p>
    <w:p w14:paraId="0236D351" w14:textId="77777777" w:rsidR="00E773EF" w:rsidRPr="00226F62" w:rsidRDefault="00E773EF" w:rsidP="001A58BB">
      <w:pPr>
        <w:numPr>
          <w:ilvl w:val="0"/>
          <w:numId w:val="29"/>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Reduces oxidative stress biomarkers (Zhang et al., 2024)</w:t>
      </w:r>
    </w:p>
    <w:p w14:paraId="0C558A58" w14:textId="77777777" w:rsidR="00E773EF"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b/>
          <w:bCs/>
          <w:sz w:val="24"/>
          <w:szCs w:val="24"/>
          <w:lang w:eastAsia="en-IN"/>
        </w:rPr>
        <w:t>Clinical Relevance:</w:t>
      </w:r>
      <w:r w:rsidRPr="00226F62">
        <w:rPr>
          <w:rFonts w:ascii="Times New Roman" w:eastAsia="Times New Roman" w:hAnsi="Times New Roman" w:cs="Times New Roman"/>
          <w:sz w:val="24"/>
          <w:szCs w:val="24"/>
          <w:lang w:eastAsia="en-IN"/>
        </w:rPr>
        <w:t xml:space="preserve"> Antioxidant-rich fermented juice may lower risks of cancer, cognitive decline, and cardiovascular disease (Wrolstad, 2001).</w:t>
      </w:r>
    </w:p>
    <w:p w14:paraId="48A90320" w14:textId="77777777" w:rsidR="00E773EF" w:rsidRPr="00226F62" w:rsidRDefault="00E773EF" w:rsidP="001A58BB">
      <w:pPr>
        <w:spacing w:after="0"/>
        <w:jc w:val="both"/>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5.4 Antidiabetic Properties</w:t>
      </w:r>
    </w:p>
    <w:p w14:paraId="16E9B317" w14:textId="77777777" w:rsidR="00E773EF"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Mulberry contains 1-deoxynojirimycin (DNJ), an α-glucosidase inhibitor:</w:t>
      </w:r>
    </w:p>
    <w:p w14:paraId="1E88470F" w14:textId="77777777" w:rsidR="00E773EF" w:rsidRPr="00226F62" w:rsidRDefault="00E773EF" w:rsidP="001A58BB">
      <w:pPr>
        <w:numPr>
          <w:ilvl w:val="0"/>
          <w:numId w:val="30"/>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Inhibits postprandial glucose spikes (Kim et al., 2003)</w:t>
      </w:r>
    </w:p>
    <w:p w14:paraId="6D1ACBC9" w14:textId="77777777" w:rsidR="00E773EF" w:rsidRPr="00226F62" w:rsidRDefault="00E773EF" w:rsidP="001A58BB">
      <w:pPr>
        <w:numPr>
          <w:ilvl w:val="0"/>
          <w:numId w:val="30"/>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lastRenderedPageBreak/>
        <w:t>LAB reduce sugar load and produce SCFAs beneficial for insulin response (Sharma et al., 2022)</w:t>
      </w:r>
    </w:p>
    <w:p w14:paraId="3808C6D8" w14:textId="77777777" w:rsidR="00E773EF" w:rsidRPr="00226F62" w:rsidRDefault="00E773EF" w:rsidP="001A58BB">
      <w:pPr>
        <w:numPr>
          <w:ilvl w:val="0"/>
          <w:numId w:val="30"/>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Fermentation modulates gut microbiota to support </w:t>
      </w:r>
      <w:proofErr w:type="spellStart"/>
      <w:r w:rsidRPr="00226F62">
        <w:rPr>
          <w:rFonts w:ascii="Times New Roman" w:eastAsia="Times New Roman" w:hAnsi="Times New Roman" w:cs="Times New Roman"/>
          <w:sz w:val="24"/>
          <w:szCs w:val="24"/>
          <w:lang w:eastAsia="en-IN"/>
        </w:rPr>
        <w:t>glycemic</w:t>
      </w:r>
      <w:proofErr w:type="spellEnd"/>
      <w:r w:rsidRPr="00226F62">
        <w:rPr>
          <w:rFonts w:ascii="Times New Roman" w:eastAsia="Times New Roman" w:hAnsi="Times New Roman" w:cs="Times New Roman"/>
          <w:sz w:val="24"/>
          <w:szCs w:val="24"/>
          <w:lang w:eastAsia="en-IN"/>
        </w:rPr>
        <w:t xml:space="preserve"> control (Liu et al., 2023)</w:t>
      </w:r>
    </w:p>
    <w:p w14:paraId="43C12ACE" w14:textId="77777777" w:rsidR="00E773EF"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Useful in managing type 2 diabetes and metabolic syndrome.</w:t>
      </w:r>
    </w:p>
    <w:p w14:paraId="6493EE9C" w14:textId="77777777" w:rsidR="00E773EF" w:rsidRPr="00226F62" w:rsidRDefault="00E773EF" w:rsidP="001A58BB">
      <w:pPr>
        <w:spacing w:after="0"/>
        <w:jc w:val="both"/>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5.5 Anti-Inflammatory Action</w:t>
      </w:r>
    </w:p>
    <w:p w14:paraId="1A35C558" w14:textId="77777777" w:rsidR="00E773EF"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Probiotic fermentation suppresses inflammation via:</w:t>
      </w:r>
    </w:p>
    <w:p w14:paraId="1BE07F50" w14:textId="77777777" w:rsidR="00E773EF" w:rsidRPr="00226F62" w:rsidRDefault="00E773EF" w:rsidP="001A58BB">
      <w:pPr>
        <w:numPr>
          <w:ilvl w:val="0"/>
          <w:numId w:val="31"/>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Downregulation of TNF-α, IL-1β (</w:t>
      </w:r>
      <w:proofErr w:type="spellStart"/>
      <w:r w:rsidRPr="00226F62">
        <w:rPr>
          <w:rFonts w:ascii="Times New Roman" w:eastAsia="Times New Roman" w:hAnsi="Times New Roman" w:cs="Times New Roman"/>
          <w:sz w:val="24"/>
          <w:szCs w:val="24"/>
          <w:lang w:eastAsia="en-IN"/>
        </w:rPr>
        <w:t>Sivudu</w:t>
      </w:r>
      <w:proofErr w:type="spellEnd"/>
      <w:r w:rsidRPr="00226F62">
        <w:rPr>
          <w:rFonts w:ascii="Times New Roman" w:eastAsia="Times New Roman" w:hAnsi="Times New Roman" w:cs="Times New Roman"/>
          <w:sz w:val="24"/>
          <w:szCs w:val="24"/>
          <w:lang w:eastAsia="en-IN"/>
        </w:rPr>
        <w:t xml:space="preserve"> et al., 2014)</w:t>
      </w:r>
    </w:p>
    <w:p w14:paraId="0E80D856" w14:textId="77777777" w:rsidR="00E773EF" w:rsidRPr="00226F62" w:rsidRDefault="00E773EF" w:rsidP="001A58BB">
      <w:pPr>
        <w:numPr>
          <w:ilvl w:val="0"/>
          <w:numId w:val="31"/>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Upregulation of IL-10 and anti-inflammatory cytokines (</w:t>
      </w:r>
      <w:proofErr w:type="spellStart"/>
      <w:r w:rsidRPr="00226F62">
        <w:rPr>
          <w:rFonts w:ascii="Times New Roman" w:eastAsia="Times New Roman" w:hAnsi="Times New Roman" w:cs="Times New Roman"/>
          <w:sz w:val="24"/>
          <w:szCs w:val="24"/>
          <w:lang w:eastAsia="en-IN"/>
        </w:rPr>
        <w:t>Ranadheera</w:t>
      </w:r>
      <w:proofErr w:type="spellEnd"/>
      <w:r w:rsidRPr="00226F62">
        <w:rPr>
          <w:rFonts w:ascii="Times New Roman" w:eastAsia="Times New Roman" w:hAnsi="Times New Roman" w:cs="Times New Roman"/>
          <w:sz w:val="24"/>
          <w:szCs w:val="24"/>
          <w:lang w:eastAsia="en-IN"/>
        </w:rPr>
        <w:t xml:space="preserve"> et al., 2010)</w:t>
      </w:r>
    </w:p>
    <w:p w14:paraId="7FF81E86" w14:textId="77777777" w:rsidR="00E773EF" w:rsidRPr="00226F62" w:rsidRDefault="00E773EF" w:rsidP="001A58BB">
      <w:pPr>
        <w:numPr>
          <w:ilvl w:val="0"/>
          <w:numId w:val="31"/>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Lowering serum CRP and nitric oxide levels (Zhang et al., 2024)</w:t>
      </w:r>
    </w:p>
    <w:p w14:paraId="6CB7FF3A" w14:textId="77777777" w:rsidR="00D573A3"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b/>
          <w:bCs/>
          <w:sz w:val="24"/>
          <w:szCs w:val="24"/>
          <w:lang w:eastAsia="en-IN"/>
        </w:rPr>
        <w:t>Implications:</w:t>
      </w:r>
      <w:r w:rsidRPr="00226F62">
        <w:rPr>
          <w:rFonts w:ascii="Times New Roman" w:eastAsia="Times New Roman" w:hAnsi="Times New Roman" w:cs="Times New Roman"/>
          <w:sz w:val="24"/>
          <w:szCs w:val="24"/>
          <w:lang w:eastAsia="en-IN"/>
        </w:rPr>
        <w:t xml:space="preserve"> Helpful in IBD, arthritis, and other chronic inflammatory conditions.</w:t>
      </w:r>
    </w:p>
    <w:p w14:paraId="69C73A58" w14:textId="77777777" w:rsidR="00E773EF" w:rsidRPr="00226F62" w:rsidRDefault="00E773EF" w:rsidP="001A58BB">
      <w:pPr>
        <w:spacing w:after="0"/>
        <w:jc w:val="both"/>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5.6 Cardiovascular Protection</w:t>
      </w:r>
    </w:p>
    <w:p w14:paraId="1B163FED" w14:textId="77777777" w:rsidR="00E773EF"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Probiotic mulberry juice consumption may:</w:t>
      </w:r>
    </w:p>
    <w:p w14:paraId="3F9F2789" w14:textId="77777777" w:rsidR="00E773EF" w:rsidRPr="00226F62" w:rsidRDefault="00E773EF" w:rsidP="001A58BB">
      <w:pPr>
        <w:numPr>
          <w:ilvl w:val="0"/>
          <w:numId w:val="32"/>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Improve lipid profiles by lowering LDL and triglycerides (</w:t>
      </w:r>
      <w:proofErr w:type="spellStart"/>
      <w:r w:rsidRPr="00226F62">
        <w:rPr>
          <w:rFonts w:ascii="Times New Roman" w:eastAsia="Times New Roman" w:hAnsi="Times New Roman" w:cs="Times New Roman"/>
          <w:sz w:val="24"/>
          <w:szCs w:val="24"/>
          <w:lang w:eastAsia="en-IN"/>
        </w:rPr>
        <w:t>Nikhiles</w:t>
      </w:r>
      <w:proofErr w:type="spellEnd"/>
      <w:r w:rsidRPr="00226F62">
        <w:rPr>
          <w:rFonts w:ascii="Times New Roman" w:eastAsia="Times New Roman" w:hAnsi="Times New Roman" w:cs="Times New Roman"/>
          <w:sz w:val="24"/>
          <w:szCs w:val="24"/>
          <w:lang w:eastAsia="en-IN"/>
        </w:rPr>
        <w:t xml:space="preserve"> et al., 2007)</w:t>
      </w:r>
    </w:p>
    <w:p w14:paraId="57BC94B3" w14:textId="77777777" w:rsidR="00E773EF" w:rsidRPr="00226F62" w:rsidRDefault="00E773EF" w:rsidP="001A58BB">
      <w:pPr>
        <w:numPr>
          <w:ilvl w:val="0"/>
          <w:numId w:val="32"/>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Support endothelial function and vascular flexibility (Alakbarov and Aliyev, 2000)</w:t>
      </w:r>
    </w:p>
    <w:p w14:paraId="78A18060" w14:textId="77777777" w:rsidR="00E773EF" w:rsidRPr="00226F62" w:rsidRDefault="00E773EF" w:rsidP="001A58BB">
      <w:pPr>
        <w:numPr>
          <w:ilvl w:val="0"/>
          <w:numId w:val="32"/>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LAB-derived peptides inhibit ACE activity, lowering blood pressure (Naidu et al., 1999)</w:t>
      </w:r>
    </w:p>
    <w:p w14:paraId="66C6CB8C" w14:textId="77777777" w:rsidR="00D573A3"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These effects are crucial for reducing cardiovascular risk.</w:t>
      </w:r>
    </w:p>
    <w:p w14:paraId="737BB09E" w14:textId="77777777" w:rsidR="00001FBB" w:rsidRPr="00226F62" w:rsidRDefault="00001FBB"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b/>
          <w:bCs/>
          <w:sz w:val="24"/>
          <w:szCs w:val="24"/>
          <w:lang w:eastAsia="en-IN"/>
        </w:rPr>
        <w:t>6. Storage Stability</w:t>
      </w:r>
    </w:p>
    <w:p w14:paraId="6B3399C7" w14:textId="77777777" w:rsidR="00001FBB" w:rsidRPr="00226F62" w:rsidRDefault="00001FBB"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The storage stability of probiotic beverages is a critical factor determining their commercial viability, consumer acceptance, and health functionality. Fermented mulberry juice has demonstrated </w:t>
      </w:r>
      <w:proofErr w:type="spellStart"/>
      <w:r w:rsidRPr="00226F62">
        <w:rPr>
          <w:rFonts w:ascii="Times New Roman" w:eastAsia="Times New Roman" w:hAnsi="Times New Roman" w:cs="Times New Roman"/>
          <w:sz w:val="24"/>
          <w:szCs w:val="24"/>
          <w:lang w:eastAsia="en-IN"/>
        </w:rPr>
        <w:t>favorable</w:t>
      </w:r>
      <w:proofErr w:type="spellEnd"/>
      <w:r w:rsidRPr="00226F62">
        <w:rPr>
          <w:rFonts w:ascii="Times New Roman" w:eastAsia="Times New Roman" w:hAnsi="Times New Roman" w:cs="Times New Roman"/>
          <w:sz w:val="24"/>
          <w:szCs w:val="24"/>
          <w:lang w:eastAsia="en-IN"/>
        </w:rPr>
        <w:t xml:space="preserve"> stability under refrigerated conditions due to the combined resilience of lactic acid bacteria (LAB) and the protective effects of natural antioxidants in the juice.</w:t>
      </w:r>
    </w:p>
    <w:p w14:paraId="359F5537" w14:textId="77777777" w:rsidR="00001FBB" w:rsidRPr="00226F62" w:rsidRDefault="00001FBB" w:rsidP="001A58BB">
      <w:pPr>
        <w:spacing w:after="0"/>
        <w:jc w:val="both"/>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6.1 Viability of Probiotics</w:t>
      </w:r>
    </w:p>
    <w:p w14:paraId="3C94E471" w14:textId="77777777" w:rsidR="00001FBB" w:rsidRPr="00226F62" w:rsidRDefault="00001FBB"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One of the defining characteristics for a product to be considered “probiotic” is the maintenance of viable cell counts above </w:t>
      </w:r>
      <w:r w:rsidRPr="009E5244">
        <w:rPr>
          <w:rFonts w:ascii="Times New Roman" w:eastAsia="Times New Roman" w:hAnsi="Times New Roman" w:cs="Times New Roman"/>
          <w:bCs/>
          <w:sz w:val="24"/>
          <w:szCs w:val="24"/>
          <w:lang w:eastAsia="en-IN"/>
        </w:rPr>
        <w:t>10</w:t>
      </w:r>
      <w:r w:rsidRPr="009E5244">
        <w:rPr>
          <w:rFonts w:ascii="Cambria Math" w:eastAsia="Times New Roman" w:hAnsi="Cambria Math" w:cs="Times New Roman"/>
          <w:bCs/>
          <w:sz w:val="24"/>
          <w:szCs w:val="24"/>
          <w:lang w:eastAsia="en-IN"/>
        </w:rPr>
        <w:t>⁶</w:t>
      </w:r>
      <w:r w:rsidRPr="009E5244">
        <w:rPr>
          <w:rFonts w:ascii="Times New Roman" w:eastAsia="Times New Roman" w:hAnsi="Times New Roman" w:cs="Times New Roman"/>
          <w:bCs/>
          <w:sz w:val="24"/>
          <w:szCs w:val="24"/>
          <w:lang w:eastAsia="en-IN"/>
        </w:rPr>
        <w:t xml:space="preserve"> CFU/mL</w:t>
      </w:r>
      <w:r w:rsidRPr="00226F62">
        <w:rPr>
          <w:rFonts w:ascii="Times New Roman" w:eastAsia="Times New Roman" w:hAnsi="Times New Roman" w:cs="Times New Roman"/>
          <w:sz w:val="24"/>
          <w:szCs w:val="24"/>
          <w:lang w:eastAsia="en-IN"/>
        </w:rPr>
        <w:t xml:space="preserve"> throughout its shelf life (FAO/WHO, 2002). In the context of fermented mulberry juice:</w:t>
      </w:r>
    </w:p>
    <w:p w14:paraId="370C8523" w14:textId="77777777" w:rsidR="00001FBB" w:rsidRPr="00226F62" w:rsidRDefault="00001FBB" w:rsidP="001A58BB">
      <w:pPr>
        <w:numPr>
          <w:ilvl w:val="0"/>
          <w:numId w:val="33"/>
        </w:numPr>
        <w:spacing w:after="0"/>
        <w:jc w:val="both"/>
        <w:rPr>
          <w:rFonts w:ascii="Times New Roman" w:eastAsia="Times New Roman" w:hAnsi="Times New Roman" w:cs="Times New Roman"/>
          <w:sz w:val="24"/>
          <w:szCs w:val="24"/>
          <w:lang w:eastAsia="en-IN"/>
        </w:rPr>
      </w:pPr>
      <w:r w:rsidRPr="009E5244">
        <w:rPr>
          <w:rFonts w:ascii="Times New Roman" w:eastAsia="Times New Roman" w:hAnsi="Times New Roman" w:cs="Times New Roman"/>
          <w:bCs/>
          <w:sz w:val="24"/>
          <w:szCs w:val="24"/>
          <w:lang w:eastAsia="en-IN"/>
        </w:rPr>
        <w:t>LAB strains</w:t>
      </w:r>
      <w:r w:rsidRPr="00226F62">
        <w:rPr>
          <w:rFonts w:ascii="Times New Roman" w:eastAsia="Times New Roman" w:hAnsi="Times New Roman" w:cs="Times New Roman"/>
          <w:sz w:val="24"/>
          <w:szCs w:val="24"/>
          <w:lang w:eastAsia="en-IN"/>
        </w:rPr>
        <w:t xml:space="preserve"> such as </w:t>
      </w:r>
      <w:r w:rsidRPr="00226F62">
        <w:rPr>
          <w:rFonts w:ascii="Times New Roman" w:eastAsia="Times New Roman" w:hAnsi="Times New Roman" w:cs="Times New Roman"/>
          <w:i/>
          <w:iCs/>
          <w:sz w:val="24"/>
          <w:szCs w:val="24"/>
          <w:lang w:eastAsia="en-IN"/>
        </w:rPr>
        <w:t>Lactobacillus plantarum</w:t>
      </w:r>
      <w:r w:rsidRPr="00226F62">
        <w:rPr>
          <w:rFonts w:ascii="Times New Roman" w:eastAsia="Times New Roman" w:hAnsi="Times New Roman" w:cs="Times New Roman"/>
          <w:sz w:val="24"/>
          <w:szCs w:val="24"/>
          <w:lang w:eastAsia="en-IN"/>
        </w:rPr>
        <w:t xml:space="preserve">, </w:t>
      </w:r>
      <w:r w:rsidRPr="00226F62">
        <w:rPr>
          <w:rFonts w:ascii="Times New Roman" w:eastAsia="Times New Roman" w:hAnsi="Times New Roman" w:cs="Times New Roman"/>
          <w:i/>
          <w:iCs/>
          <w:sz w:val="24"/>
          <w:szCs w:val="24"/>
          <w:lang w:eastAsia="en-IN"/>
        </w:rPr>
        <w:t xml:space="preserve">L. </w:t>
      </w:r>
      <w:proofErr w:type="spellStart"/>
      <w:r w:rsidRPr="00226F62">
        <w:rPr>
          <w:rFonts w:ascii="Times New Roman" w:eastAsia="Times New Roman" w:hAnsi="Times New Roman" w:cs="Times New Roman"/>
          <w:i/>
          <w:iCs/>
          <w:sz w:val="24"/>
          <w:szCs w:val="24"/>
          <w:lang w:eastAsia="en-IN"/>
        </w:rPr>
        <w:t>rhamnosus</w:t>
      </w:r>
      <w:proofErr w:type="spellEnd"/>
      <w:r w:rsidRPr="00226F62">
        <w:rPr>
          <w:rFonts w:ascii="Times New Roman" w:eastAsia="Times New Roman" w:hAnsi="Times New Roman" w:cs="Times New Roman"/>
          <w:sz w:val="24"/>
          <w:szCs w:val="24"/>
          <w:lang w:eastAsia="en-IN"/>
        </w:rPr>
        <w:t xml:space="preserve">, and </w:t>
      </w:r>
      <w:r w:rsidRPr="00226F62">
        <w:rPr>
          <w:rFonts w:ascii="Times New Roman" w:eastAsia="Times New Roman" w:hAnsi="Times New Roman" w:cs="Times New Roman"/>
          <w:i/>
          <w:iCs/>
          <w:sz w:val="24"/>
          <w:szCs w:val="24"/>
          <w:lang w:eastAsia="en-IN"/>
        </w:rPr>
        <w:t>L. acidophilus</w:t>
      </w:r>
      <w:r w:rsidRPr="00226F62">
        <w:rPr>
          <w:rFonts w:ascii="Times New Roman" w:eastAsia="Times New Roman" w:hAnsi="Times New Roman" w:cs="Times New Roman"/>
          <w:sz w:val="24"/>
          <w:szCs w:val="24"/>
          <w:lang w:eastAsia="en-IN"/>
        </w:rPr>
        <w:t xml:space="preserve"> exhibit strong acid tolerance and can remain viable for </w:t>
      </w:r>
      <w:r w:rsidRPr="009E5244">
        <w:rPr>
          <w:rFonts w:ascii="Times New Roman" w:eastAsia="Times New Roman" w:hAnsi="Times New Roman" w:cs="Times New Roman"/>
          <w:bCs/>
          <w:sz w:val="24"/>
          <w:szCs w:val="24"/>
          <w:lang w:eastAsia="en-IN"/>
        </w:rPr>
        <w:t>3 to 4 weeks at 4°C</w:t>
      </w:r>
      <w:r w:rsidRPr="009E5244">
        <w:rPr>
          <w:rFonts w:ascii="Times New Roman" w:eastAsia="Times New Roman" w:hAnsi="Times New Roman" w:cs="Times New Roman"/>
          <w:sz w:val="24"/>
          <w:szCs w:val="24"/>
          <w:lang w:eastAsia="en-IN"/>
        </w:rPr>
        <w:t xml:space="preserve"> </w:t>
      </w:r>
      <w:r w:rsidRPr="00226F62">
        <w:rPr>
          <w:rFonts w:ascii="Times New Roman" w:eastAsia="Times New Roman" w:hAnsi="Times New Roman" w:cs="Times New Roman"/>
          <w:sz w:val="24"/>
          <w:szCs w:val="24"/>
          <w:lang w:eastAsia="en-IN"/>
        </w:rPr>
        <w:t>(Lee et al., 2016; Liu et al., 2023).</w:t>
      </w:r>
    </w:p>
    <w:p w14:paraId="765C717E" w14:textId="77777777" w:rsidR="00001FBB" w:rsidRPr="00226F62" w:rsidRDefault="00001FBB" w:rsidP="001A58BB">
      <w:pPr>
        <w:numPr>
          <w:ilvl w:val="0"/>
          <w:numId w:val="33"/>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The acidic pH (~3.5–4.0) and moderate sugar content create a </w:t>
      </w:r>
      <w:r w:rsidRPr="009E5244">
        <w:rPr>
          <w:rFonts w:ascii="Times New Roman" w:eastAsia="Times New Roman" w:hAnsi="Times New Roman" w:cs="Times New Roman"/>
          <w:bCs/>
          <w:sz w:val="24"/>
          <w:szCs w:val="24"/>
          <w:lang w:eastAsia="en-IN"/>
        </w:rPr>
        <w:t>protective environment</w:t>
      </w:r>
      <w:r w:rsidRPr="009E5244">
        <w:rPr>
          <w:rFonts w:ascii="Times New Roman" w:eastAsia="Times New Roman" w:hAnsi="Times New Roman" w:cs="Times New Roman"/>
          <w:sz w:val="24"/>
          <w:szCs w:val="24"/>
          <w:lang w:eastAsia="en-IN"/>
        </w:rPr>
        <w:t>,</w:t>
      </w:r>
      <w:r w:rsidRPr="00226F62">
        <w:rPr>
          <w:rFonts w:ascii="Times New Roman" w:eastAsia="Times New Roman" w:hAnsi="Times New Roman" w:cs="Times New Roman"/>
          <w:sz w:val="24"/>
          <w:szCs w:val="24"/>
          <w:lang w:eastAsia="en-IN"/>
        </w:rPr>
        <w:t xml:space="preserve"> reducing competition from spoilage organisms and oxidative stress.</w:t>
      </w:r>
    </w:p>
    <w:p w14:paraId="537AF08C" w14:textId="77777777" w:rsidR="00001FBB" w:rsidRPr="00226F62" w:rsidRDefault="00001FBB" w:rsidP="001A58BB">
      <w:pPr>
        <w:numPr>
          <w:ilvl w:val="0"/>
          <w:numId w:val="33"/>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Use of </w:t>
      </w:r>
      <w:r w:rsidRPr="009E5244">
        <w:rPr>
          <w:rFonts w:ascii="Times New Roman" w:eastAsia="Times New Roman" w:hAnsi="Times New Roman" w:cs="Times New Roman"/>
          <w:bCs/>
          <w:sz w:val="24"/>
          <w:szCs w:val="24"/>
          <w:lang w:eastAsia="en-IN"/>
        </w:rPr>
        <w:t>microencapsulation technologies</w:t>
      </w:r>
      <w:r w:rsidRPr="009E5244">
        <w:rPr>
          <w:rFonts w:ascii="Times New Roman" w:eastAsia="Times New Roman" w:hAnsi="Times New Roman" w:cs="Times New Roman"/>
          <w:sz w:val="24"/>
          <w:szCs w:val="24"/>
          <w:lang w:eastAsia="en-IN"/>
        </w:rPr>
        <w:t xml:space="preserve"> </w:t>
      </w:r>
      <w:r w:rsidRPr="00226F62">
        <w:rPr>
          <w:rFonts w:ascii="Times New Roman" w:eastAsia="Times New Roman" w:hAnsi="Times New Roman" w:cs="Times New Roman"/>
          <w:sz w:val="24"/>
          <w:szCs w:val="24"/>
          <w:lang w:eastAsia="en-IN"/>
        </w:rPr>
        <w:t xml:space="preserve">(e.g., alginate beads, whey protein coating) or incorporation of </w:t>
      </w:r>
      <w:r w:rsidRPr="009E5244">
        <w:rPr>
          <w:rFonts w:ascii="Times New Roman" w:eastAsia="Times New Roman" w:hAnsi="Times New Roman" w:cs="Times New Roman"/>
          <w:bCs/>
          <w:sz w:val="24"/>
          <w:szCs w:val="24"/>
          <w:lang w:eastAsia="en-IN"/>
        </w:rPr>
        <w:t>prebiotics</w:t>
      </w:r>
      <w:r w:rsidRPr="009E5244">
        <w:rPr>
          <w:rFonts w:ascii="Times New Roman" w:eastAsia="Times New Roman" w:hAnsi="Times New Roman" w:cs="Times New Roman"/>
          <w:sz w:val="24"/>
          <w:szCs w:val="24"/>
          <w:lang w:eastAsia="en-IN"/>
        </w:rPr>
        <w:t xml:space="preserve"> </w:t>
      </w:r>
      <w:r w:rsidRPr="00226F62">
        <w:rPr>
          <w:rFonts w:ascii="Times New Roman" w:eastAsia="Times New Roman" w:hAnsi="Times New Roman" w:cs="Times New Roman"/>
          <w:sz w:val="24"/>
          <w:szCs w:val="24"/>
          <w:lang w:eastAsia="en-IN"/>
        </w:rPr>
        <w:t>such as inulin and FOS (</w:t>
      </w:r>
      <w:proofErr w:type="spellStart"/>
      <w:r w:rsidRPr="00226F62">
        <w:rPr>
          <w:rFonts w:ascii="Times New Roman" w:eastAsia="Times New Roman" w:hAnsi="Times New Roman" w:cs="Times New Roman"/>
          <w:sz w:val="24"/>
          <w:szCs w:val="24"/>
          <w:lang w:eastAsia="en-IN"/>
        </w:rPr>
        <w:t>fructooligosaccharides</w:t>
      </w:r>
      <w:proofErr w:type="spellEnd"/>
      <w:r w:rsidRPr="00226F62">
        <w:rPr>
          <w:rFonts w:ascii="Times New Roman" w:eastAsia="Times New Roman" w:hAnsi="Times New Roman" w:cs="Times New Roman"/>
          <w:sz w:val="24"/>
          <w:szCs w:val="24"/>
          <w:lang w:eastAsia="en-IN"/>
        </w:rPr>
        <w:t>) significantly improves LAB survival during storage (Zhang et al., 2024).</w:t>
      </w:r>
    </w:p>
    <w:p w14:paraId="2E6B1BC7" w14:textId="77777777" w:rsidR="00001FBB" w:rsidRPr="00226F62" w:rsidRDefault="00001FBB" w:rsidP="001A58BB">
      <w:pPr>
        <w:numPr>
          <w:ilvl w:val="0"/>
          <w:numId w:val="33"/>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Multiple studies report </w:t>
      </w:r>
      <w:r w:rsidRPr="009E5244">
        <w:rPr>
          <w:rFonts w:ascii="Times New Roman" w:eastAsia="Times New Roman" w:hAnsi="Times New Roman" w:cs="Times New Roman"/>
          <w:bCs/>
          <w:sz w:val="24"/>
          <w:szCs w:val="24"/>
          <w:lang w:eastAsia="en-IN"/>
        </w:rPr>
        <w:t>minimal declines</w:t>
      </w:r>
      <w:r w:rsidRPr="00226F62">
        <w:rPr>
          <w:rFonts w:ascii="Times New Roman" w:eastAsia="Times New Roman" w:hAnsi="Times New Roman" w:cs="Times New Roman"/>
          <w:sz w:val="24"/>
          <w:szCs w:val="24"/>
          <w:lang w:eastAsia="en-IN"/>
        </w:rPr>
        <w:t xml:space="preserve"> (1–2 log units) in viable LAB counts over 28 days, which is considered sufficient to retain health-promoting efficacy (Mousavi et al., 2010).</w:t>
      </w:r>
    </w:p>
    <w:p w14:paraId="5E1570DE" w14:textId="77777777" w:rsidR="00001FBB" w:rsidRPr="00226F62" w:rsidRDefault="00001FBB" w:rsidP="001A58BB">
      <w:pPr>
        <w:spacing w:after="0"/>
        <w:jc w:val="both"/>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6.2 Preservation of Bioactive Compounds</w:t>
      </w:r>
    </w:p>
    <w:p w14:paraId="7797CABD" w14:textId="77777777" w:rsidR="00001FBB" w:rsidRPr="00226F62" w:rsidRDefault="00001FBB"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Mulberry juice is rich in </w:t>
      </w:r>
      <w:r w:rsidRPr="009E5244">
        <w:rPr>
          <w:rFonts w:ascii="Times New Roman" w:eastAsia="Times New Roman" w:hAnsi="Times New Roman" w:cs="Times New Roman"/>
          <w:bCs/>
          <w:sz w:val="24"/>
          <w:szCs w:val="24"/>
          <w:lang w:eastAsia="en-IN"/>
        </w:rPr>
        <w:t>anthocyanins</w:t>
      </w:r>
      <w:r w:rsidRPr="009E5244">
        <w:rPr>
          <w:rFonts w:ascii="Times New Roman" w:eastAsia="Times New Roman" w:hAnsi="Times New Roman" w:cs="Times New Roman"/>
          <w:sz w:val="24"/>
          <w:szCs w:val="24"/>
          <w:lang w:eastAsia="en-IN"/>
        </w:rPr>
        <w:t xml:space="preserve">, </w:t>
      </w:r>
      <w:r w:rsidRPr="009E5244">
        <w:rPr>
          <w:rFonts w:ascii="Times New Roman" w:eastAsia="Times New Roman" w:hAnsi="Times New Roman" w:cs="Times New Roman"/>
          <w:bCs/>
          <w:sz w:val="24"/>
          <w:szCs w:val="24"/>
          <w:lang w:eastAsia="en-IN"/>
        </w:rPr>
        <w:t>flavonoids</w:t>
      </w:r>
      <w:r w:rsidRPr="00226F62">
        <w:rPr>
          <w:rFonts w:ascii="Times New Roman" w:eastAsia="Times New Roman" w:hAnsi="Times New Roman" w:cs="Times New Roman"/>
          <w:sz w:val="24"/>
          <w:szCs w:val="24"/>
          <w:lang w:eastAsia="en-IN"/>
        </w:rPr>
        <w:t xml:space="preserve">, and </w:t>
      </w:r>
      <w:r w:rsidRPr="009E5244">
        <w:rPr>
          <w:rFonts w:ascii="Times New Roman" w:eastAsia="Times New Roman" w:hAnsi="Times New Roman" w:cs="Times New Roman"/>
          <w:bCs/>
          <w:sz w:val="24"/>
          <w:szCs w:val="24"/>
          <w:lang w:eastAsia="en-IN"/>
        </w:rPr>
        <w:t>ascorbic acid</w:t>
      </w:r>
      <w:r w:rsidRPr="00226F62">
        <w:rPr>
          <w:rFonts w:ascii="Times New Roman" w:eastAsia="Times New Roman" w:hAnsi="Times New Roman" w:cs="Times New Roman"/>
          <w:sz w:val="24"/>
          <w:szCs w:val="24"/>
          <w:lang w:eastAsia="en-IN"/>
        </w:rPr>
        <w:t xml:space="preserve">, which contribute both to its functional benefits and natural </w:t>
      </w:r>
      <w:proofErr w:type="spellStart"/>
      <w:r w:rsidRPr="00226F62">
        <w:rPr>
          <w:rFonts w:ascii="Times New Roman" w:eastAsia="Times New Roman" w:hAnsi="Times New Roman" w:cs="Times New Roman"/>
          <w:sz w:val="24"/>
          <w:szCs w:val="24"/>
          <w:lang w:eastAsia="en-IN"/>
        </w:rPr>
        <w:t>coloring</w:t>
      </w:r>
      <w:proofErr w:type="spellEnd"/>
      <w:r w:rsidRPr="00226F62">
        <w:rPr>
          <w:rFonts w:ascii="Times New Roman" w:eastAsia="Times New Roman" w:hAnsi="Times New Roman" w:cs="Times New Roman"/>
          <w:sz w:val="24"/>
          <w:szCs w:val="24"/>
          <w:lang w:eastAsia="en-IN"/>
        </w:rPr>
        <w:t>.</w:t>
      </w:r>
    </w:p>
    <w:p w14:paraId="1549A98D" w14:textId="77777777" w:rsidR="00001FBB" w:rsidRPr="00226F62" w:rsidRDefault="00001FBB" w:rsidP="001A58BB">
      <w:pPr>
        <w:numPr>
          <w:ilvl w:val="0"/>
          <w:numId w:val="34"/>
        </w:numPr>
        <w:spacing w:after="0"/>
        <w:jc w:val="both"/>
        <w:rPr>
          <w:rFonts w:ascii="Times New Roman" w:eastAsia="Times New Roman" w:hAnsi="Times New Roman" w:cs="Times New Roman"/>
          <w:sz w:val="24"/>
          <w:szCs w:val="24"/>
          <w:lang w:eastAsia="en-IN"/>
        </w:rPr>
      </w:pPr>
      <w:r w:rsidRPr="009E5244">
        <w:rPr>
          <w:rFonts w:ascii="Times New Roman" w:eastAsia="Times New Roman" w:hAnsi="Times New Roman" w:cs="Times New Roman"/>
          <w:bCs/>
          <w:sz w:val="24"/>
          <w:szCs w:val="24"/>
          <w:lang w:eastAsia="en-IN"/>
        </w:rPr>
        <w:t>Anthocyanins</w:t>
      </w:r>
      <w:r w:rsidRPr="00226F62">
        <w:rPr>
          <w:rFonts w:ascii="Times New Roman" w:eastAsia="Times New Roman" w:hAnsi="Times New Roman" w:cs="Times New Roman"/>
          <w:sz w:val="24"/>
          <w:szCs w:val="24"/>
          <w:lang w:eastAsia="en-IN"/>
        </w:rPr>
        <w:t xml:space="preserve">, particularly </w:t>
      </w:r>
      <w:r w:rsidRPr="009E5244">
        <w:rPr>
          <w:rFonts w:ascii="Times New Roman" w:eastAsia="Times New Roman" w:hAnsi="Times New Roman" w:cs="Times New Roman"/>
          <w:bCs/>
          <w:sz w:val="24"/>
          <w:szCs w:val="24"/>
          <w:lang w:eastAsia="en-IN"/>
        </w:rPr>
        <w:t>cyanidin-3-O-glucoside</w:t>
      </w:r>
      <w:r w:rsidRPr="00226F62">
        <w:rPr>
          <w:rFonts w:ascii="Times New Roman" w:eastAsia="Times New Roman" w:hAnsi="Times New Roman" w:cs="Times New Roman"/>
          <w:sz w:val="24"/>
          <w:szCs w:val="24"/>
          <w:lang w:eastAsia="en-IN"/>
        </w:rPr>
        <w:t xml:space="preserve">, maintain over </w:t>
      </w:r>
      <w:r w:rsidRPr="009E5244">
        <w:rPr>
          <w:rFonts w:ascii="Times New Roman" w:eastAsia="Times New Roman" w:hAnsi="Times New Roman" w:cs="Times New Roman"/>
          <w:bCs/>
          <w:sz w:val="24"/>
          <w:szCs w:val="24"/>
          <w:lang w:eastAsia="en-IN"/>
        </w:rPr>
        <w:t>80% stability</w:t>
      </w:r>
      <w:r w:rsidRPr="00226F62">
        <w:rPr>
          <w:rFonts w:ascii="Times New Roman" w:eastAsia="Times New Roman" w:hAnsi="Times New Roman" w:cs="Times New Roman"/>
          <w:sz w:val="24"/>
          <w:szCs w:val="24"/>
          <w:lang w:eastAsia="en-IN"/>
        </w:rPr>
        <w:t xml:space="preserve"> under cold storage (Wrolstad, 2001; Zheng et al., 2014).</w:t>
      </w:r>
    </w:p>
    <w:p w14:paraId="45FA477C" w14:textId="77777777" w:rsidR="00001FBB" w:rsidRPr="00226F62" w:rsidRDefault="00001FBB" w:rsidP="001A58BB">
      <w:pPr>
        <w:numPr>
          <w:ilvl w:val="0"/>
          <w:numId w:val="34"/>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Total </w:t>
      </w:r>
      <w:r w:rsidRPr="009E5244">
        <w:rPr>
          <w:rFonts w:ascii="Times New Roman" w:eastAsia="Times New Roman" w:hAnsi="Times New Roman" w:cs="Times New Roman"/>
          <w:bCs/>
          <w:sz w:val="24"/>
          <w:szCs w:val="24"/>
          <w:lang w:eastAsia="en-IN"/>
        </w:rPr>
        <w:t>phenolic content</w:t>
      </w:r>
      <w:r w:rsidRPr="009E5244">
        <w:rPr>
          <w:rFonts w:ascii="Times New Roman" w:eastAsia="Times New Roman" w:hAnsi="Times New Roman" w:cs="Times New Roman"/>
          <w:sz w:val="24"/>
          <w:szCs w:val="24"/>
          <w:lang w:eastAsia="en-IN"/>
        </w:rPr>
        <w:t xml:space="preserve"> and </w:t>
      </w:r>
      <w:r w:rsidRPr="009E5244">
        <w:rPr>
          <w:rFonts w:ascii="Times New Roman" w:eastAsia="Times New Roman" w:hAnsi="Times New Roman" w:cs="Times New Roman"/>
          <w:bCs/>
          <w:sz w:val="24"/>
          <w:szCs w:val="24"/>
          <w:lang w:eastAsia="en-IN"/>
        </w:rPr>
        <w:t>antioxidant capacity</w:t>
      </w:r>
      <w:r w:rsidRPr="00226F62">
        <w:rPr>
          <w:rFonts w:ascii="Times New Roman" w:eastAsia="Times New Roman" w:hAnsi="Times New Roman" w:cs="Times New Roman"/>
          <w:sz w:val="24"/>
          <w:szCs w:val="24"/>
          <w:lang w:eastAsia="en-IN"/>
        </w:rPr>
        <w:t xml:space="preserve"> remain relatively unchanged for up to </w:t>
      </w:r>
      <w:r w:rsidRPr="009E5244">
        <w:rPr>
          <w:rFonts w:ascii="Times New Roman" w:eastAsia="Times New Roman" w:hAnsi="Times New Roman" w:cs="Times New Roman"/>
          <w:bCs/>
          <w:sz w:val="24"/>
          <w:szCs w:val="24"/>
          <w:lang w:eastAsia="en-IN"/>
        </w:rPr>
        <w:t>3 weeks</w:t>
      </w:r>
      <w:r w:rsidRPr="00226F62">
        <w:rPr>
          <w:rFonts w:ascii="Times New Roman" w:eastAsia="Times New Roman" w:hAnsi="Times New Roman" w:cs="Times New Roman"/>
          <w:sz w:val="24"/>
          <w:szCs w:val="24"/>
          <w:lang w:eastAsia="en-IN"/>
        </w:rPr>
        <w:t>, provided oxygen exposure is minimized.</w:t>
      </w:r>
    </w:p>
    <w:p w14:paraId="2D9541E8" w14:textId="77777777" w:rsidR="00001FBB" w:rsidRPr="00226F62" w:rsidRDefault="00001FBB" w:rsidP="001A58BB">
      <w:pPr>
        <w:numPr>
          <w:ilvl w:val="0"/>
          <w:numId w:val="34"/>
        </w:numPr>
        <w:spacing w:after="0"/>
        <w:jc w:val="both"/>
        <w:rPr>
          <w:rFonts w:ascii="Times New Roman" w:eastAsia="Times New Roman" w:hAnsi="Times New Roman" w:cs="Times New Roman"/>
          <w:sz w:val="24"/>
          <w:szCs w:val="24"/>
          <w:lang w:eastAsia="en-IN"/>
        </w:rPr>
      </w:pPr>
      <w:r w:rsidRPr="009E5244">
        <w:rPr>
          <w:rFonts w:ascii="Times New Roman" w:eastAsia="Times New Roman" w:hAnsi="Times New Roman" w:cs="Times New Roman"/>
          <w:bCs/>
          <w:sz w:val="24"/>
          <w:szCs w:val="24"/>
          <w:lang w:eastAsia="en-IN"/>
        </w:rPr>
        <w:lastRenderedPageBreak/>
        <w:t>Low pH</w:t>
      </w:r>
      <w:r w:rsidRPr="00226F62">
        <w:rPr>
          <w:rFonts w:ascii="Times New Roman" w:eastAsia="Times New Roman" w:hAnsi="Times New Roman" w:cs="Times New Roman"/>
          <w:sz w:val="24"/>
          <w:szCs w:val="24"/>
          <w:lang w:eastAsia="en-IN"/>
        </w:rPr>
        <w:t xml:space="preserve"> conditions (~3.6–4.0) and antioxidant presence further </w:t>
      </w:r>
      <w:r w:rsidRPr="009E5244">
        <w:rPr>
          <w:rFonts w:ascii="Times New Roman" w:eastAsia="Times New Roman" w:hAnsi="Times New Roman" w:cs="Times New Roman"/>
          <w:bCs/>
          <w:sz w:val="24"/>
          <w:szCs w:val="24"/>
          <w:lang w:eastAsia="en-IN"/>
        </w:rPr>
        <w:t>retard enzymatic oxidation</w:t>
      </w:r>
      <w:r w:rsidRPr="00226F62">
        <w:rPr>
          <w:rFonts w:ascii="Times New Roman" w:eastAsia="Times New Roman" w:hAnsi="Times New Roman" w:cs="Times New Roman"/>
          <w:sz w:val="24"/>
          <w:szCs w:val="24"/>
          <w:lang w:eastAsia="en-IN"/>
        </w:rPr>
        <w:t xml:space="preserve"> and microbial spoilage.</w:t>
      </w:r>
    </w:p>
    <w:p w14:paraId="520E1D4C" w14:textId="77777777" w:rsidR="00001FBB" w:rsidRPr="00226F62" w:rsidRDefault="00001FBB" w:rsidP="001A58BB">
      <w:pPr>
        <w:numPr>
          <w:ilvl w:val="0"/>
          <w:numId w:val="34"/>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Compared to other fruit juices, mulberry’s natural matrix enhances </w:t>
      </w:r>
      <w:r w:rsidRPr="009E5244">
        <w:rPr>
          <w:rFonts w:ascii="Times New Roman" w:eastAsia="Times New Roman" w:hAnsi="Times New Roman" w:cs="Times New Roman"/>
          <w:bCs/>
          <w:sz w:val="24"/>
          <w:szCs w:val="24"/>
          <w:lang w:eastAsia="en-IN"/>
        </w:rPr>
        <w:t>polyphenol retention</w:t>
      </w:r>
      <w:r w:rsidRPr="009E5244">
        <w:rPr>
          <w:rFonts w:ascii="Times New Roman" w:eastAsia="Times New Roman" w:hAnsi="Times New Roman" w:cs="Times New Roman"/>
          <w:sz w:val="24"/>
          <w:szCs w:val="24"/>
          <w:lang w:eastAsia="en-IN"/>
        </w:rPr>
        <w:t xml:space="preserve"> </w:t>
      </w:r>
      <w:r w:rsidRPr="00226F62">
        <w:rPr>
          <w:rFonts w:ascii="Times New Roman" w:eastAsia="Times New Roman" w:hAnsi="Times New Roman" w:cs="Times New Roman"/>
          <w:sz w:val="24"/>
          <w:szCs w:val="24"/>
          <w:lang w:eastAsia="en-IN"/>
        </w:rPr>
        <w:t>during both fermentation and storage (Kim et al., 2003).</w:t>
      </w:r>
    </w:p>
    <w:p w14:paraId="0286D969" w14:textId="77777777" w:rsidR="00001FBB" w:rsidRPr="00226F62" w:rsidRDefault="00001FBB" w:rsidP="001A58BB">
      <w:pPr>
        <w:spacing w:after="0"/>
        <w:jc w:val="both"/>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6.3 Sensory Characteristics</w:t>
      </w:r>
    </w:p>
    <w:p w14:paraId="0A4F3ABC" w14:textId="77777777" w:rsidR="00001FBB" w:rsidRPr="00226F62" w:rsidRDefault="00001FBB"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Maintaining consistent sensory appeal is essential for consumer retention and product success.</w:t>
      </w:r>
    </w:p>
    <w:p w14:paraId="1C8CEA82" w14:textId="77777777" w:rsidR="00001FBB" w:rsidRPr="00226F62" w:rsidRDefault="00001FBB" w:rsidP="001A58BB">
      <w:pPr>
        <w:numPr>
          <w:ilvl w:val="0"/>
          <w:numId w:val="35"/>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Sensory evaluations indicate that </w:t>
      </w:r>
      <w:r w:rsidRPr="009E5244">
        <w:rPr>
          <w:rFonts w:ascii="Times New Roman" w:eastAsia="Times New Roman" w:hAnsi="Times New Roman" w:cs="Times New Roman"/>
          <w:bCs/>
          <w:sz w:val="24"/>
          <w:szCs w:val="24"/>
          <w:lang w:eastAsia="en-IN"/>
        </w:rPr>
        <w:t>taste, aroma, and mouthfeel</w:t>
      </w:r>
      <w:r w:rsidRPr="00226F62">
        <w:rPr>
          <w:rFonts w:ascii="Times New Roman" w:eastAsia="Times New Roman" w:hAnsi="Times New Roman" w:cs="Times New Roman"/>
          <w:sz w:val="24"/>
          <w:szCs w:val="24"/>
          <w:lang w:eastAsia="en-IN"/>
        </w:rPr>
        <w:t xml:space="preserve"> remain highly acceptable for up to </w:t>
      </w:r>
      <w:r w:rsidRPr="009E5244">
        <w:rPr>
          <w:rFonts w:ascii="Times New Roman" w:eastAsia="Times New Roman" w:hAnsi="Times New Roman" w:cs="Times New Roman"/>
          <w:bCs/>
          <w:sz w:val="24"/>
          <w:szCs w:val="24"/>
          <w:lang w:eastAsia="en-IN"/>
        </w:rPr>
        <w:t>28 days</w:t>
      </w:r>
      <w:r w:rsidRPr="00226F62">
        <w:rPr>
          <w:rFonts w:ascii="Times New Roman" w:eastAsia="Times New Roman" w:hAnsi="Times New Roman" w:cs="Times New Roman"/>
          <w:sz w:val="24"/>
          <w:szCs w:val="24"/>
          <w:lang w:eastAsia="en-IN"/>
        </w:rPr>
        <w:t xml:space="preserve"> post-fermentation (Lee and Hong, 2010).</w:t>
      </w:r>
    </w:p>
    <w:p w14:paraId="650D4E23" w14:textId="77777777" w:rsidR="00001FBB" w:rsidRPr="00226F62" w:rsidRDefault="00001FBB" w:rsidP="001A58BB">
      <w:pPr>
        <w:numPr>
          <w:ilvl w:val="0"/>
          <w:numId w:val="35"/>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A slight </w:t>
      </w:r>
      <w:r w:rsidRPr="009E5244">
        <w:rPr>
          <w:rFonts w:ascii="Times New Roman" w:eastAsia="Times New Roman" w:hAnsi="Times New Roman" w:cs="Times New Roman"/>
          <w:bCs/>
          <w:sz w:val="24"/>
          <w:szCs w:val="24"/>
          <w:lang w:eastAsia="en-IN"/>
        </w:rPr>
        <w:t>mellowing of acidity</w:t>
      </w:r>
      <w:r w:rsidRPr="00226F62">
        <w:rPr>
          <w:rFonts w:ascii="Times New Roman" w:eastAsia="Times New Roman" w:hAnsi="Times New Roman" w:cs="Times New Roman"/>
          <w:sz w:val="24"/>
          <w:szCs w:val="24"/>
          <w:lang w:eastAsia="en-IN"/>
        </w:rPr>
        <w:t xml:space="preserve"> and integration of </w:t>
      </w:r>
      <w:proofErr w:type="spellStart"/>
      <w:r w:rsidRPr="00226F62">
        <w:rPr>
          <w:rFonts w:ascii="Times New Roman" w:eastAsia="Times New Roman" w:hAnsi="Times New Roman" w:cs="Times New Roman"/>
          <w:sz w:val="24"/>
          <w:szCs w:val="24"/>
          <w:lang w:eastAsia="en-IN"/>
        </w:rPr>
        <w:t>flavor</w:t>
      </w:r>
      <w:proofErr w:type="spellEnd"/>
      <w:r w:rsidRPr="00226F62">
        <w:rPr>
          <w:rFonts w:ascii="Times New Roman" w:eastAsia="Times New Roman" w:hAnsi="Times New Roman" w:cs="Times New Roman"/>
          <w:sz w:val="24"/>
          <w:szCs w:val="24"/>
          <w:lang w:eastAsia="en-IN"/>
        </w:rPr>
        <w:t xml:space="preserve"> compounds occurs over time, enhancing drinkability.</w:t>
      </w:r>
    </w:p>
    <w:p w14:paraId="4A7B8C43" w14:textId="77777777" w:rsidR="00001FBB" w:rsidRPr="00226F62" w:rsidRDefault="00001FBB" w:rsidP="001A58BB">
      <w:pPr>
        <w:numPr>
          <w:ilvl w:val="0"/>
          <w:numId w:val="35"/>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Minor </w:t>
      </w:r>
      <w:r w:rsidRPr="009E5244">
        <w:rPr>
          <w:rFonts w:ascii="Times New Roman" w:eastAsia="Times New Roman" w:hAnsi="Times New Roman" w:cs="Times New Roman"/>
          <w:bCs/>
          <w:sz w:val="24"/>
          <w:szCs w:val="24"/>
          <w:lang w:eastAsia="en-IN"/>
        </w:rPr>
        <w:t>sedimentation or turbidity</w:t>
      </w:r>
      <w:r w:rsidRPr="00226F62">
        <w:rPr>
          <w:rFonts w:ascii="Times New Roman" w:eastAsia="Times New Roman" w:hAnsi="Times New Roman" w:cs="Times New Roman"/>
          <w:sz w:val="24"/>
          <w:szCs w:val="24"/>
          <w:lang w:eastAsia="en-IN"/>
        </w:rPr>
        <w:t xml:space="preserve"> may be observed, which is often perceived as a sign of natural formulation rather than a defect.</w:t>
      </w:r>
    </w:p>
    <w:p w14:paraId="00C0CBF2" w14:textId="77777777" w:rsidR="00001FBB" w:rsidRPr="00226F62" w:rsidRDefault="00001FBB" w:rsidP="001A58BB">
      <w:pPr>
        <w:spacing w:after="0"/>
        <w:jc w:val="both"/>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6.4 Packaging and Storage Recommendations</w:t>
      </w:r>
    </w:p>
    <w:p w14:paraId="7F5CC213" w14:textId="77777777" w:rsidR="00001FBB" w:rsidRPr="00226F62" w:rsidRDefault="00001FBB"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Proper packaging and storage practices are vital for extending shelf life and ensuring product safety and efficacy.</w:t>
      </w:r>
    </w:p>
    <w:p w14:paraId="248E57D4" w14:textId="77777777" w:rsidR="00001FBB" w:rsidRPr="00226F62" w:rsidRDefault="00001FBB" w:rsidP="001A58BB">
      <w:pPr>
        <w:numPr>
          <w:ilvl w:val="0"/>
          <w:numId w:val="36"/>
        </w:numPr>
        <w:spacing w:after="0"/>
        <w:jc w:val="both"/>
        <w:rPr>
          <w:rFonts w:ascii="Times New Roman" w:eastAsia="Times New Roman" w:hAnsi="Times New Roman" w:cs="Times New Roman"/>
          <w:sz w:val="24"/>
          <w:szCs w:val="24"/>
          <w:lang w:eastAsia="en-IN"/>
        </w:rPr>
      </w:pPr>
      <w:r w:rsidRPr="009E5244">
        <w:rPr>
          <w:rFonts w:ascii="Times New Roman" w:eastAsia="Times New Roman" w:hAnsi="Times New Roman" w:cs="Times New Roman"/>
          <w:bCs/>
          <w:sz w:val="24"/>
          <w:szCs w:val="24"/>
          <w:lang w:eastAsia="en-IN"/>
        </w:rPr>
        <w:t>Opaque or amber-</w:t>
      </w:r>
      <w:proofErr w:type="spellStart"/>
      <w:r w:rsidRPr="009E5244">
        <w:rPr>
          <w:rFonts w:ascii="Times New Roman" w:eastAsia="Times New Roman" w:hAnsi="Times New Roman" w:cs="Times New Roman"/>
          <w:bCs/>
          <w:sz w:val="24"/>
          <w:szCs w:val="24"/>
          <w:lang w:eastAsia="en-IN"/>
        </w:rPr>
        <w:t>colored</w:t>
      </w:r>
      <w:proofErr w:type="spellEnd"/>
      <w:r w:rsidRPr="009E5244">
        <w:rPr>
          <w:rFonts w:ascii="Times New Roman" w:eastAsia="Times New Roman" w:hAnsi="Times New Roman" w:cs="Times New Roman"/>
          <w:bCs/>
          <w:sz w:val="24"/>
          <w:szCs w:val="24"/>
          <w:lang w:eastAsia="en-IN"/>
        </w:rPr>
        <w:t xml:space="preserve"> containers</w:t>
      </w:r>
      <w:r w:rsidRPr="00226F62">
        <w:rPr>
          <w:rFonts w:ascii="Times New Roman" w:eastAsia="Times New Roman" w:hAnsi="Times New Roman" w:cs="Times New Roman"/>
          <w:sz w:val="24"/>
          <w:szCs w:val="24"/>
          <w:lang w:eastAsia="en-IN"/>
        </w:rPr>
        <w:t xml:space="preserve"> reduce anthocyanin degradation due to light exposure.</w:t>
      </w:r>
    </w:p>
    <w:p w14:paraId="03CC27E0" w14:textId="77777777" w:rsidR="00001FBB" w:rsidRPr="00226F62" w:rsidRDefault="00001FBB" w:rsidP="001A58BB">
      <w:pPr>
        <w:numPr>
          <w:ilvl w:val="0"/>
          <w:numId w:val="36"/>
        </w:numPr>
        <w:spacing w:after="0"/>
        <w:jc w:val="both"/>
        <w:rPr>
          <w:rFonts w:ascii="Times New Roman" w:eastAsia="Times New Roman" w:hAnsi="Times New Roman" w:cs="Times New Roman"/>
          <w:sz w:val="24"/>
          <w:szCs w:val="24"/>
          <w:lang w:eastAsia="en-IN"/>
        </w:rPr>
      </w:pPr>
      <w:r w:rsidRPr="009E5244">
        <w:rPr>
          <w:rFonts w:ascii="Times New Roman" w:eastAsia="Times New Roman" w:hAnsi="Times New Roman" w:cs="Times New Roman"/>
          <w:bCs/>
          <w:sz w:val="24"/>
          <w:szCs w:val="24"/>
          <w:lang w:eastAsia="en-IN"/>
        </w:rPr>
        <w:t>Airtight seals</w:t>
      </w:r>
      <w:r w:rsidRPr="009E5244">
        <w:rPr>
          <w:rFonts w:ascii="Times New Roman" w:eastAsia="Times New Roman" w:hAnsi="Times New Roman" w:cs="Times New Roman"/>
          <w:sz w:val="24"/>
          <w:szCs w:val="24"/>
          <w:lang w:eastAsia="en-IN"/>
        </w:rPr>
        <w:t xml:space="preserve"> and </w:t>
      </w:r>
      <w:r w:rsidRPr="009E5244">
        <w:rPr>
          <w:rFonts w:ascii="Times New Roman" w:eastAsia="Times New Roman" w:hAnsi="Times New Roman" w:cs="Times New Roman"/>
          <w:bCs/>
          <w:sz w:val="24"/>
          <w:szCs w:val="24"/>
          <w:lang w:eastAsia="en-IN"/>
        </w:rPr>
        <w:t>oxygen-barrier films</w:t>
      </w:r>
      <w:r w:rsidRPr="00226F62">
        <w:rPr>
          <w:rFonts w:ascii="Times New Roman" w:eastAsia="Times New Roman" w:hAnsi="Times New Roman" w:cs="Times New Roman"/>
          <w:sz w:val="24"/>
          <w:szCs w:val="24"/>
          <w:lang w:eastAsia="en-IN"/>
        </w:rPr>
        <w:t xml:space="preserve"> minimize oxidation of both LAB and phenolic compounds.</w:t>
      </w:r>
    </w:p>
    <w:p w14:paraId="4A227745" w14:textId="77777777" w:rsidR="00001FBB" w:rsidRPr="00226F62" w:rsidRDefault="00001FBB" w:rsidP="001A58BB">
      <w:pPr>
        <w:numPr>
          <w:ilvl w:val="0"/>
          <w:numId w:val="36"/>
        </w:numPr>
        <w:spacing w:after="0"/>
        <w:jc w:val="both"/>
        <w:rPr>
          <w:rFonts w:ascii="Times New Roman" w:eastAsia="Times New Roman" w:hAnsi="Times New Roman" w:cs="Times New Roman"/>
          <w:sz w:val="24"/>
          <w:szCs w:val="24"/>
          <w:lang w:eastAsia="en-IN"/>
        </w:rPr>
      </w:pPr>
      <w:r w:rsidRPr="009E5244">
        <w:rPr>
          <w:rFonts w:ascii="Times New Roman" w:eastAsia="Times New Roman" w:hAnsi="Times New Roman" w:cs="Times New Roman"/>
          <w:bCs/>
          <w:sz w:val="24"/>
          <w:szCs w:val="24"/>
          <w:lang w:eastAsia="en-IN"/>
        </w:rPr>
        <w:t>Refrigeration at 4°C</w:t>
      </w:r>
      <w:r w:rsidRPr="00226F62">
        <w:rPr>
          <w:rFonts w:ascii="Times New Roman" w:eastAsia="Times New Roman" w:hAnsi="Times New Roman" w:cs="Times New Roman"/>
          <w:sz w:val="24"/>
          <w:szCs w:val="24"/>
          <w:lang w:eastAsia="en-IN"/>
        </w:rPr>
        <w:t xml:space="preserve"> should be maintained across the production, distribution, and retail chain to preserve microbial viability and sensory properties.</w:t>
      </w:r>
    </w:p>
    <w:p w14:paraId="27466311" w14:textId="77777777" w:rsidR="00001FBB" w:rsidRPr="00226F62" w:rsidRDefault="00001FBB" w:rsidP="001A58BB">
      <w:pPr>
        <w:numPr>
          <w:ilvl w:val="0"/>
          <w:numId w:val="36"/>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Using </w:t>
      </w:r>
      <w:r w:rsidRPr="009E5244">
        <w:rPr>
          <w:rFonts w:ascii="Times New Roman" w:eastAsia="Times New Roman" w:hAnsi="Times New Roman" w:cs="Times New Roman"/>
          <w:bCs/>
          <w:sz w:val="24"/>
          <w:szCs w:val="24"/>
          <w:lang w:eastAsia="en-IN"/>
        </w:rPr>
        <w:t>low headspace packaging</w:t>
      </w:r>
      <w:r w:rsidRPr="00226F62">
        <w:rPr>
          <w:rFonts w:ascii="Times New Roman" w:eastAsia="Times New Roman" w:hAnsi="Times New Roman" w:cs="Times New Roman"/>
          <w:sz w:val="24"/>
          <w:szCs w:val="24"/>
          <w:lang w:eastAsia="en-IN"/>
        </w:rPr>
        <w:t xml:space="preserve"> or inert gases (e.g., nitrogen flushing) helps stabilize antioxidant components.</w:t>
      </w:r>
    </w:p>
    <w:p w14:paraId="52534436" w14:textId="77777777" w:rsidR="002D4C8F" w:rsidRPr="00226F62" w:rsidRDefault="00D573A3" w:rsidP="001A58BB">
      <w:pPr>
        <w:pStyle w:val="Heading1"/>
        <w:spacing w:before="0"/>
        <w:jc w:val="both"/>
        <w:rPr>
          <w:rFonts w:ascii="Times New Roman" w:hAnsi="Times New Roman" w:cs="Times New Roman"/>
          <w:color w:val="auto"/>
          <w:sz w:val="24"/>
          <w:szCs w:val="24"/>
        </w:rPr>
      </w:pPr>
      <w:r w:rsidRPr="00226F62">
        <w:rPr>
          <w:rFonts w:ascii="Times New Roman" w:hAnsi="Times New Roman" w:cs="Times New Roman"/>
          <w:color w:val="auto"/>
          <w:sz w:val="24"/>
          <w:szCs w:val="24"/>
        </w:rPr>
        <w:t xml:space="preserve">Table 2. </w:t>
      </w:r>
      <w:r w:rsidR="002D4C8F" w:rsidRPr="00226F62">
        <w:rPr>
          <w:rFonts w:ascii="Times New Roman" w:hAnsi="Times New Roman" w:cs="Times New Roman"/>
          <w:color w:val="auto"/>
          <w:sz w:val="24"/>
          <w:szCs w:val="24"/>
        </w:rPr>
        <w:t>Fermentation Studies of Mulberry Fruit Juice with LAB (2003–2025)</w:t>
      </w:r>
    </w:p>
    <w:tbl>
      <w:tblPr>
        <w:tblStyle w:val="TableGrid"/>
        <w:tblW w:w="0" w:type="auto"/>
        <w:tblLook w:val="04A0" w:firstRow="1" w:lastRow="0" w:firstColumn="1" w:lastColumn="0" w:noHBand="0" w:noVBand="1"/>
      </w:tblPr>
      <w:tblGrid>
        <w:gridCol w:w="2518"/>
        <w:gridCol w:w="3242"/>
        <w:gridCol w:w="3420"/>
      </w:tblGrid>
      <w:tr w:rsidR="002D4C8F" w:rsidRPr="00226F62" w14:paraId="515963D3" w14:textId="77777777" w:rsidTr="00CF25DE">
        <w:tc>
          <w:tcPr>
            <w:tcW w:w="2518" w:type="dxa"/>
          </w:tcPr>
          <w:p w14:paraId="5F6CBEEE"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Study (Year)</w:t>
            </w:r>
          </w:p>
        </w:tc>
        <w:tc>
          <w:tcPr>
            <w:tcW w:w="3242" w:type="dxa"/>
          </w:tcPr>
          <w:p w14:paraId="69E59F34"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LAB Used &amp; Fermentation Details</w:t>
            </w:r>
          </w:p>
        </w:tc>
        <w:tc>
          <w:tcPr>
            <w:tcW w:w="3420" w:type="dxa"/>
          </w:tcPr>
          <w:p w14:paraId="29197990"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Key Outcomes</w:t>
            </w:r>
          </w:p>
        </w:tc>
      </w:tr>
      <w:tr w:rsidR="002D4C8F" w:rsidRPr="00226F62" w14:paraId="5D404499" w14:textId="77777777" w:rsidTr="00CF25DE">
        <w:tc>
          <w:tcPr>
            <w:tcW w:w="2518" w:type="dxa"/>
          </w:tcPr>
          <w:p w14:paraId="6D577FAC"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Kim et al. (2003)</w:t>
            </w:r>
          </w:p>
        </w:tc>
        <w:tc>
          <w:tcPr>
            <w:tcW w:w="3242" w:type="dxa"/>
          </w:tcPr>
          <w:p w14:paraId="50C9EA83"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 xml:space="preserve">Yogurt fermented with fresh, freeze-dried, and heated mulberry using </w:t>
            </w:r>
            <w:r w:rsidRPr="00226F62">
              <w:rPr>
                <w:rFonts w:ascii="Times New Roman" w:hAnsi="Times New Roman" w:cs="Times New Roman"/>
                <w:i/>
                <w:sz w:val="24"/>
                <w:szCs w:val="24"/>
              </w:rPr>
              <w:t>Streptococcus thermophilus</w:t>
            </w:r>
            <w:r w:rsidRPr="00226F62">
              <w:rPr>
                <w:rFonts w:ascii="Times New Roman" w:hAnsi="Times New Roman" w:cs="Times New Roman"/>
                <w:sz w:val="24"/>
                <w:szCs w:val="24"/>
              </w:rPr>
              <w:t xml:space="preserve"> and </w:t>
            </w:r>
            <w:r w:rsidRPr="00226F62">
              <w:rPr>
                <w:rFonts w:ascii="Times New Roman" w:hAnsi="Times New Roman" w:cs="Times New Roman"/>
                <w:i/>
                <w:sz w:val="24"/>
                <w:szCs w:val="24"/>
              </w:rPr>
              <w:t xml:space="preserve">L. </w:t>
            </w:r>
            <w:proofErr w:type="spellStart"/>
            <w:r w:rsidRPr="00226F62">
              <w:rPr>
                <w:rFonts w:ascii="Times New Roman" w:hAnsi="Times New Roman" w:cs="Times New Roman"/>
                <w:i/>
                <w:sz w:val="24"/>
                <w:szCs w:val="24"/>
              </w:rPr>
              <w:t>delbrueckii</w:t>
            </w:r>
            <w:proofErr w:type="spellEnd"/>
            <w:r w:rsidRPr="00226F62">
              <w:rPr>
                <w:rFonts w:ascii="Times New Roman" w:hAnsi="Times New Roman" w:cs="Times New Roman"/>
                <w:i/>
                <w:sz w:val="24"/>
                <w:szCs w:val="24"/>
              </w:rPr>
              <w:t>.</w:t>
            </w:r>
          </w:p>
        </w:tc>
        <w:tc>
          <w:tcPr>
            <w:tcW w:w="3420" w:type="dxa"/>
          </w:tcPr>
          <w:p w14:paraId="6D367556"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Enhanced acidity and taste; best sensory score at 0.9% mulberry addition.</w:t>
            </w:r>
          </w:p>
        </w:tc>
      </w:tr>
      <w:tr w:rsidR="002D4C8F" w:rsidRPr="00226F62" w14:paraId="2723425A" w14:textId="77777777" w:rsidTr="00CF25DE">
        <w:tc>
          <w:tcPr>
            <w:tcW w:w="2518" w:type="dxa"/>
          </w:tcPr>
          <w:p w14:paraId="05949234"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Zubaidah et al. (2008)</w:t>
            </w:r>
          </w:p>
        </w:tc>
        <w:tc>
          <w:tcPr>
            <w:tcW w:w="3242" w:type="dxa"/>
          </w:tcPr>
          <w:p w14:paraId="2FB98898"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i/>
                <w:sz w:val="24"/>
                <w:szCs w:val="24"/>
              </w:rPr>
              <w:t>L. plantarum</w:t>
            </w:r>
            <w:r w:rsidRPr="00226F62">
              <w:rPr>
                <w:rFonts w:ascii="Times New Roman" w:hAnsi="Times New Roman" w:cs="Times New Roman"/>
                <w:sz w:val="24"/>
                <w:szCs w:val="24"/>
              </w:rPr>
              <w:t xml:space="preserve"> B2 in mulberry extract with sugar and (NH4)2HPO4 variations.</w:t>
            </w:r>
          </w:p>
        </w:tc>
        <w:tc>
          <w:tcPr>
            <w:tcW w:w="3420" w:type="dxa"/>
          </w:tcPr>
          <w:p w14:paraId="7BB9EF6E"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High EPS yield (2105 mg/L), viability 7.3×10</w:t>
            </w:r>
            <w:r w:rsidRPr="00226F62">
              <w:rPr>
                <w:rFonts w:ascii="Times New Roman" w:cs="Times New Roman"/>
                <w:sz w:val="24"/>
                <w:szCs w:val="24"/>
              </w:rPr>
              <w:t>⁸</w:t>
            </w:r>
            <w:r w:rsidRPr="00226F62">
              <w:rPr>
                <w:rFonts w:ascii="Times New Roman" w:hAnsi="Times New Roman" w:cs="Times New Roman"/>
                <w:sz w:val="24"/>
                <w:szCs w:val="24"/>
              </w:rPr>
              <w:t xml:space="preserve"> CFU/mL, anthocyanin preserved.</w:t>
            </w:r>
          </w:p>
        </w:tc>
      </w:tr>
      <w:tr w:rsidR="002D4C8F" w:rsidRPr="00226F62" w14:paraId="45D1F9E3" w14:textId="77777777" w:rsidTr="00CF25DE">
        <w:tc>
          <w:tcPr>
            <w:tcW w:w="2518" w:type="dxa"/>
          </w:tcPr>
          <w:p w14:paraId="0EB5460C"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Zheng et al. (2014)</w:t>
            </w:r>
          </w:p>
        </w:tc>
        <w:tc>
          <w:tcPr>
            <w:tcW w:w="3242" w:type="dxa"/>
          </w:tcPr>
          <w:p w14:paraId="5B4CFB8C" w14:textId="77777777" w:rsidR="002D4C8F" w:rsidRPr="00226F62" w:rsidRDefault="002D4C8F" w:rsidP="001A58BB">
            <w:pPr>
              <w:spacing w:line="276" w:lineRule="auto"/>
              <w:jc w:val="both"/>
              <w:rPr>
                <w:rFonts w:ascii="Times New Roman" w:hAnsi="Times New Roman" w:cs="Times New Roman"/>
                <w:sz w:val="24"/>
                <w:szCs w:val="24"/>
              </w:rPr>
            </w:pPr>
            <w:proofErr w:type="spellStart"/>
            <w:r w:rsidRPr="00226F62">
              <w:rPr>
                <w:rFonts w:ascii="Times New Roman" w:hAnsi="Times New Roman" w:cs="Times New Roman"/>
                <w:i/>
                <w:sz w:val="24"/>
                <w:szCs w:val="24"/>
              </w:rPr>
              <w:t>Leuconostoc</w:t>
            </w:r>
            <w:proofErr w:type="spellEnd"/>
            <w:r w:rsidRPr="00226F62">
              <w:rPr>
                <w:rFonts w:ascii="Times New Roman" w:hAnsi="Times New Roman" w:cs="Times New Roman"/>
                <w:i/>
                <w:sz w:val="24"/>
                <w:szCs w:val="24"/>
              </w:rPr>
              <w:t xml:space="preserve"> </w:t>
            </w:r>
            <w:proofErr w:type="spellStart"/>
            <w:r w:rsidRPr="00226F62">
              <w:rPr>
                <w:rFonts w:ascii="Times New Roman" w:hAnsi="Times New Roman" w:cs="Times New Roman"/>
                <w:i/>
                <w:sz w:val="24"/>
                <w:szCs w:val="24"/>
              </w:rPr>
              <w:t>mesenteroides</w:t>
            </w:r>
            <w:proofErr w:type="spellEnd"/>
            <w:r w:rsidRPr="00226F62">
              <w:rPr>
                <w:rFonts w:ascii="Times New Roman" w:hAnsi="Times New Roman" w:cs="Times New Roman"/>
                <w:sz w:val="24"/>
                <w:szCs w:val="24"/>
              </w:rPr>
              <w:t xml:space="preserve"> in mulberry juice at 30°C for 4 days.</w:t>
            </w:r>
          </w:p>
        </w:tc>
        <w:tc>
          <w:tcPr>
            <w:tcW w:w="3420" w:type="dxa"/>
          </w:tcPr>
          <w:p w14:paraId="335B04C0"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Sugar reduced by 44%, maintained phenolics and anti-glucosidase activity.</w:t>
            </w:r>
          </w:p>
        </w:tc>
      </w:tr>
      <w:tr w:rsidR="002D4C8F" w:rsidRPr="00226F62" w14:paraId="2B977E69" w14:textId="77777777" w:rsidTr="00CF25DE">
        <w:tc>
          <w:tcPr>
            <w:tcW w:w="2518" w:type="dxa"/>
          </w:tcPr>
          <w:p w14:paraId="236C65E3"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Lee and Hong (2010)</w:t>
            </w:r>
          </w:p>
        </w:tc>
        <w:tc>
          <w:tcPr>
            <w:tcW w:w="3242" w:type="dxa"/>
          </w:tcPr>
          <w:p w14:paraId="108D88F0"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Mulberry jam and leaf yogurt fermented with ABT-5 starter.</w:t>
            </w:r>
          </w:p>
        </w:tc>
        <w:tc>
          <w:tcPr>
            <w:tcW w:w="3420" w:type="dxa"/>
          </w:tcPr>
          <w:p w14:paraId="20CB2001"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Best sensory acceptability at 15% jam; stable LAB count for 15 days.</w:t>
            </w:r>
          </w:p>
        </w:tc>
      </w:tr>
      <w:tr w:rsidR="002D4C8F" w:rsidRPr="00226F62" w14:paraId="0BBD597B" w14:textId="77777777" w:rsidTr="00CF25DE">
        <w:tc>
          <w:tcPr>
            <w:tcW w:w="2518" w:type="dxa"/>
          </w:tcPr>
          <w:p w14:paraId="6DD956E3"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Lee et al. (2016)</w:t>
            </w:r>
          </w:p>
        </w:tc>
        <w:tc>
          <w:tcPr>
            <w:tcW w:w="3242" w:type="dxa"/>
          </w:tcPr>
          <w:p w14:paraId="45E72D03"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LAB fermented mulberry fruit.</w:t>
            </w:r>
          </w:p>
        </w:tc>
        <w:tc>
          <w:tcPr>
            <w:tcW w:w="3420" w:type="dxa"/>
          </w:tcPr>
          <w:p w14:paraId="50B6B151"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 xml:space="preserve">Increased anthocyanins, total phenolics, and antioxidant </w:t>
            </w:r>
            <w:r w:rsidRPr="00226F62">
              <w:rPr>
                <w:rFonts w:ascii="Times New Roman" w:hAnsi="Times New Roman" w:cs="Times New Roman"/>
                <w:sz w:val="24"/>
                <w:szCs w:val="24"/>
              </w:rPr>
              <w:lastRenderedPageBreak/>
              <w:t>activity.</w:t>
            </w:r>
          </w:p>
        </w:tc>
      </w:tr>
      <w:tr w:rsidR="002D4C8F" w:rsidRPr="00226F62" w14:paraId="6ACA1431" w14:textId="77777777" w:rsidTr="00CF25DE">
        <w:tc>
          <w:tcPr>
            <w:tcW w:w="2518" w:type="dxa"/>
          </w:tcPr>
          <w:p w14:paraId="7A1E6A1E"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lastRenderedPageBreak/>
              <w:t>Zhang et al. (2018)</w:t>
            </w:r>
          </w:p>
        </w:tc>
        <w:tc>
          <w:tcPr>
            <w:tcW w:w="3242" w:type="dxa"/>
          </w:tcPr>
          <w:p w14:paraId="7BDA0811"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 xml:space="preserve">Single strain fermentation: </w:t>
            </w:r>
            <w:r w:rsidRPr="00226F62">
              <w:rPr>
                <w:rFonts w:ascii="Times New Roman" w:hAnsi="Times New Roman" w:cs="Times New Roman"/>
                <w:i/>
                <w:sz w:val="24"/>
                <w:szCs w:val="24"/>
              </w:rPr>
              <w:t xml:space="preserve">L. plantarum, L. acidophilus, L. </w:t>
            </w:r>
            <w:proofErr w:type="spellStart"/>
            <w:r w:rsidRPr="00226F62">
              <w:rPr>
                <w:rFonts w:ascii="Times New Roman" w:hAnsi="Times New Roman" w:cs="Times New Roman"/>
                <w:i/>
                <w:sz w:val="24"/>
                <w:szCs w:val="24"/>
              </w:rPr>
              <w:t>paracasei</w:t>
            </w:r>
            <w:proofErr w:type="spellEnd"/>
            <w:r w:rsidRPr="00226F62">
              <w:rPr>
                <w:rFonts w:ascii="Times New Roman" w:hAnsi="Times New Roman" w:cs="Times New Roman"/>
                <w:i/>
                <w:sz w:val="24"/>
                <w:szCs w:val="24"/>
              </w:rPr>
              <w:t xml:space="preserve"> </w:t>
            </w:r>
            <w:r w:rsidRPr="00226F62">
              <w:rPr>
                <w:rFonts w:ascii="Times New Roman" w:hAnsi="Times New Roman" w:cs="Times New Roman"/>
                <w:sz w:val="24"/>
                <w:szCs w:val="24"/>
              </w:rPr>
              <w:t>at 37°C.</w:t>
            </w:r>
          </w:p>
        </w:tc>
        <w:tc>
          <w:tcPr>
            <w:tcW w:w="3420" w:type="dxa"/>
          </w:tcPr>
          <w:p w14:paraId="76746816"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Boosted polyphenols (syringic acid, cyanidin-3-rutinoside), enhanced color and antioxidant activity.</w:t>
            </w:r>
          </w:p>
        </w:tc>
      </w:tr>
      <w:tr w:rsidR="002D4C8F" w:rsidRPr="00226F62" w14:paraId="5E41A39C" w14:textId="77777777" w:rsidTr="00CF25DE">
        <w:tc>
          <w:tcPr>
            <w:tcW w:w="2518" w:type="dxa"/>
          </w:tcPr>
          <w:p w14:paraId="657593E9"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Applied Sciences (2021)</w:t>
            </w:r>
          </w:p>
        </w:tc>
        <w:tc>
          <w:tcPr>
            <w:tcW w:w="3242" w:type="dxa"/>
          </w:tcPr>
          <w:p w14:paraId="6AB83213"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i/>
                <w:sz w:val="24"/>
                <w:szCs w:val="24"/>
              </w:rPr>
              <w:t>L. plantarum</w:t>
            </w:r>
            <w:r w:rsidRPr="00226F62">
              <w:rPr>
                <w:rFonts w:ascii="Times New Roman" w:hAnsi="Times New Roman" w:cs="Times New Roman"/>
                <w:sz w:val="24"/>
                <w:szCs w:val="24"/>
              </w:rPr>
              <w:t xml:space="preserve"> O21 with prebiotics and jelly agents.</w:t>
            </w:r>
          </w:p>
        </w:tc>
        <w:tc>
          <w:tcPr>
            <w:tcW w:w="3420" w:type="dxa"/>
          </w:tcPr>
          <w:p w14:paraId="3765FA57"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Enhanced anthocyanins, sensory texture, and antioxidant potential.</w:t>
            </w:r>
          </w:p>
        </w:tc>
      </w:tr>
      <w:tr w:rsidR="002D4C8F" w:rsidRPr="00226F62" w14:paraId="71B21518" w14:textId="77777777" w:rsidTr="00CF25DE">
        <w:tc>
          <w:tcPr>
            <w:tcW w:w="2518" w:type="dxa"/>
          </w:tcPr>
          <w:p w14:paraId="172E86DE"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Fermentation MDPI (2022)</w:t>
            </w:r>
          </w:p>
        </w:tc>
        <w:tc>
          <w:tcPr>
            <w:tcW w:w="3242" w:type="dxa"/>
          </w:tcPr>
          <w:p w14:paraId="6EF8BB67"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Mixed LAB on black mulberry juice.</w:t>
            </w:r>
          </w:p>
        </w:tc>
        <w:tc>
          <w:tcPr>
            <w:tcW w:w="3420" w:type="dxa"/>
          </w:tcPr>
          <w:p w14:paraId="573A4691"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Elevated phenolics, antioxidant enzymes (SOD), ROS protection in muscle cells.</w:t>
            </w:r>
          </w:p>
        </w:tc>
      </w:tr>
      <w:tr w:rsidR="002D4C8F" w:rsidRPr="00226F62" w14:paraId="4C88EFC1" w14:textId="77777777" w:rsidTr="00CF25DE">
        <w:tc>
          <w:tcPr>
            <w:tcW w:w="2518" w:type="dxa"/>
          </w:tcPr>
          <w:p w14:paraId="57E0338D"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Guan et al. (2024)</w:t>
            </w:r>
          </w:p>
        </w:tc>
        <w:tc>
          <w:tcPr>
            <w:tcW w:w="3242" w:type="dxa"/>
          </w:tcPr>
          <w:p w14:paraId="4F268F8C"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i/>
                <w:sz w:val="24"/>
                <w:szCs w:val="24"/>
              </w:rPr>
              <w:t>L. plantarum</w:t>
            </w:r>
            <w:r w:rsidRPr="00226F62">
              <w:rPr>
                <w:rFonts w:ascii="Times New Roman" w:hAnsi="Times New Roman" w:cs="Times New Roman"/>
                <w:sz w:val="24"/>
                <w:szCs w:val="24"/>
              </w:rPr>
              <w:t xml:space="preserve"> BXM2 in mulberry juice at 37°C for 24 h.</w:t>
            </w:r>
          </w:p>
        </w:tc>
        <w:tc>
          <w:tcPr>
            <w:tcW w:w="3420" w:type="dxa"/>
          </w:tcPr>
          <w:p w14:paraId="155DDA35"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Improved flavor volatiles and flavonoids (</w:t>
            </w:r>
            <w:proofErr w:type="spellStart"/>
            <w:r w:rsidRPr="00226F62">
              <w:rPr>
                <w:rFonts w:ascii="Times New Roman" w:hAnsi="Times New Roman" w:cs="Times New Roman"/>
                <w:sz w:val="24"/>
                <w:szCs w:val="24"/>
              </w:rPr>
              <w:t>galangin</w:t>
            </w:r>
            <w:proofErr w:type="spellEnd"/>
            <w:r w:rsidRPr="00226F62">
              <w:rPr>
                <w:rFonts w:ascii="Times New Roman" w:hAnsi="Times New Roman" w:cs="Times New Roman"/>
                <w:sz w:val="24"/>
                <w:szCs w:val="24"/>
              </w:rPr>
              <w:t>, quercitrin, morin).</w:t>
            </w:r>
          </w:p>
        </w:tc>
      </w:tr>
      <w:tr w:rsidR="002D4C8F" w:rsidRPr="00226F62" w14:paraId="0D29D79D" w14:textId="77777777" w:rsidTr="00CF25DE">
        <w:tc>
          <w:tcPr>
            <w:tcW w:w="2518" w:type="dxa"/>
          </w:tcPr>
          <w:p w14:paraId="3C62AA69"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Yaqoob et al. (2025)</w:t>
            </w:r>
          </w:p>
        </w:tc>
        <w:tc>
          <w:tcPr>
            <w:tcW w:w="3242" w:type="dxa"/>
          </w:tcPr>
          <w:p w14:paraId="30305C2E"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 xml:space="preserve">Co-cultures: </w:t>
            </w:r>
            <w:r w:rsidRPr="00226F62">
              <w:rPr>
                <w:rFonts w:ascii="Times New Roman" w:hAnsi="Times New Roman" w:cs="Times New Roman"/>
                <w:i/>
                <w:sz w:val="24"/>
                <w:szCs w:val="24"/>
              </w:rPr>
              <w:t xml:space="preserve">L. casei, L. </w:t>
            </w:r>
            <w:proofErr w:type="spellStart"/>
            <w:r w:rsidRPr="00226F62">
              <w:rPr>
                <w:rFonts w:ascii="Times New Roman" w:hAnsi="Times New Roman" w:cs="Times New Roman"/>
                <w:i/>
                <w:sz w:val="24"/>
                <w:szCs w:val="24"/>
              </w:rPr>
              <w:t>paracasei</w:t>
            </w:r>
            <w:proofErr w:type="spellEnd"/>
            <w:r w:rsidRPr="00226F62">
              <w:rPr>
                <w:rFonts w:ascii="Times New Roman" w:hAnsi="Times New Roman" w:cs="Times New Roman"/>
                <w:i/>
                <w:sz w:val="24"/>
                <w:szCs w:val="24"/>
              </w:rPr>
              <w:t>, L. plantarum</w:t>
            </w:r>
            <w:r w:rsidRPr="00226F62">
              <w:rPr>
                <w:rFonts w:ascii="Times New Roman" w:hAnsi="Times New Roman" w:cs="Times New Roman"/>
                <w:sz w:val="24"/>
                <w:szCs w:val="24"/>
              </w:rPr>
              <w:t>, etc.</w:t>
            </w:r>
          </w:p>
        </w:tc>
        <w:tc>
          <w:tcPr>
            <w:tcW w:w="3420" w:type="dxa"/>
          </w:tcPr>
          <w:p w14:paraId="4A4D28FA"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Highest phenolic content (1265 mg GAE/L), novel metabolite profiles, superior antioxidant potential.</w:t>
            </w:r>
          </w:p>
        </w:tc>
      </w:tr>
    </w:tbl>
    <w:p w14:paraId="19415EE1" w14:textId="77777777" w:rsidR="00501884" w:rsidRPr="00226F62" w:rsidRDefault="00501884" w:rsidP="001A58BB">
      <w:pPr>
        <w:spacing w:after="0"/>
        <w:jc w:val="both"/>
        <w:rPr>
          <w:rFonts w:ascii="Times New Roman" w:eastAsia="Times New Roman" w:hAnsi="Times New Roman" w:cs="Times New Roman"/>
          <w:sz w:val="24"/>
          <w:szCs w:val="24"/>
          <w:lang w:eastAsia="en-IN"/>
        </w:rPr>
      </w:pPr>
    </w:p>
    <w:p w14:paraId="7BE1A418" w14:textId="77777777" w:rsidR="002D4C8F" w:rsidRPr="00226F62" w:rsidRDefault="002D4C8F" w:rsidP="001A58BB">
      <w:pPr>
        <w:spacing w:after="0"/>
        <w:jc w:val="both"/>
        <w:rPr>
          <w:rFonts w:ascii="Times New Roman" w:eastAsia="Times New Roman" w:hAnsi="Times New Roman" w:cs="Times New Roman"/>
          <w:sz w:val="24"/>
          <w:szCs w:val="24"/>
          <w:lang w:eastAsia="en-IN"/>
        </w:rPr>
      </w:pPr>
    </w:p>
    <w:p w14:paraId="1A611C11" w14:textId="77777777" w:rsidR="00501884" w:rsidRPr="00226F62" w:rsidRDefault="002D4C8F" w:rsidP="001A58BB">
      <w:pPr>
        <w:spacing w:after="0"/>
        <w:jc w:val="both"/>
        <w:rPr>
          <w:rFonts w:ascii="Times New Roman" w:hAnsi="Times New Roman" w:cs="Times New Roman"/>
          <w:sz w:val="24"/>
          <w:szCs w:val="24"/>
        </w:rPr>
      </w:pPr>
      <w:r w:rsidRPr="00226F62">
        <w:rPr>
          <w:rStyle w:val="Strong"/>
          <w:rFonts w:ascii="Times New Roman" w:hAnsi="Times New Roman" w:cs="Times New Roman"/>
          <w:sz w:val="24"/>
          <w:szCs w:val="24"/>
        </w:rPr>
        <w:t>Conclusion</w:t>
      </w:r>
      <w:r w:rsidRPr="00226F62">
        <w:rPr>
          <w:rFonts w:ascii="Times New Roman" w:hAnsi="Times New Roman" w:cs="Times New Roman"/>
          <w:sz w:val="24"/>
          <w:szCs w:val="24"/>
        </w:rPr>
        <w:br/>
        <w:t xml:space="preserve">Mulberry juice is an excellent substrate for probiotic fermentation due to its rich composition of sugars, phenolic compounds, anthocyanins, and vitamins. The successful incorporation of lactic acid bacteria such as </w:t>
      </w:r>
      <w:r w:rsidRPr="00226F62">
        <w:rPr>
          <w:rStyle w:val="Emphasis"/>
          <w:rFonts w:ascii="Times New Roman" w:hAnsi="Times New Roman" w:cs="Times New Roman"/>
          <w:sz w:val="24"/>
          <w:szCs w:val="24"/>
        </w:rPr>
        <w:t>Lactobacillus plantarum</w:t>
      </w:r>
      <w:r w:rsidRPr="00226F62">
        <w:rPr>
          <w:rFonts w:ascii="Times New Roman" w:hAnsi="Times New Roman" w:cs="Times New Roman"/>
          <w:sz w:val="24"/>
          <w:szCs w:val="24"/>
        </w:rPr>
        <w:t xml:space="preserve">, </w:t>
      </w:r>
      <w:r w:rsidRPr="00226F62">
        <w:rPr>
          <w:rStyle w:val="Emphasis"/>
          <w:rFonts w:ascii="Times New Roman" w:hAnsi="Times New Roman" w:cs="Times New Roman"/>
          <w:sz w:val="24"/>
          <w:szCs w:val="24"/>
        </w:rPr>
        <w:t xml:space="preserve">L. </w:t>
      </w:r>
      <w:proofErr w:type="spellStart"/>
      <w:r w:rsidRPr="00226F62">
        <w:rPr>
          <w:rStyle w:val="Emphasis"/>
          <w:rFonts w:ascii="Times New Roman" w:hAnsi="Times New Roman" w:cs="Times New Roman"/>
          <w:sz w:val="24"/>
          <w:szCs w:val="24"/>
        </w:rPr>
        <w:t>rhamnosus</w:t>
      </w:r>
      <w:proofErr w:type="spellEnd"/>
      <w:r w:rsidRPr="00226F62">
        <w:rPr>
          <w:rFonts w:ascii="Times New Roman" w:hAnsi="Times New Roman" w:cs="Times New Roman"/>
          <w:sz w:val="24"/>
          <w:szCs w:val="24"/>
        </w:rPr>
        <w:t xml:space="preserve">, and </w:t>
      </w:r>
      <w:proofErr w:type="spellStart"/>
      <w:r w:rsidRPr="00226F62">
        <w:rPr>
          <w:rStyle w:val="Emphasis"/>
          <w:rFonts w:ascii="Times New Roman" w:hAnsi="Times New Roman" w:cs="Times New Roman"/>
          <w:sz w:val="24"/>
          <w:szCs w:val="24"/>
        </w:rPr>
        <w:t>Leuconostoc</w:t>
      </w:r>
      <w:proofErr w:type="spellEnd"/>
      <w:r w:rsidRPr="00226F62">
        <w:rPr>
          <w:rStyle w:val="Emphasis"/>
          <w:rFonts w:ascii="Times New Roman" w:hAnsi="Times New Roman" w:cs="Times New Roman"/>
          <w:sz w:val="24"/>
          <w:szCs w:val="24"/>
        </w:rPr>
        <w:t xml:space="preserve"> </w:t>
      </w:r>
      <w:proofErr w:type="spellStart"/>
      <w:r w:rsidRPr="00226F62">
        <w:rPr>
          <w:rStyle w:val="Emphasis"/>
          <w:rFonts w:ascii="Times New Roman" w:hAnsi="Times New Roman" w:cs="Times New Roman"/>
          <w:sz w:val="24"/>
          <w:szCs w:val="24"/>
        </w:rPr>
        <w:t>mesenteroides</w:t>
      </w:r>
      <w:proofErr w:type="spellEnd"/>
      <w:r w:rsidRPr="00226F62">
        <w:rPr>
          <w:rFonts w:ascii="Times New Roman" w:hAnsi="Times New Roman" w:cs="Times New Roman"/>
          <w:sz w:val="24"/>
          <w:szCs w:val="24"/>
        </w:rPr>
        <w:t xml:space="preserve"> into mulberry juice has led to the development of functional beverages that provide a range of health benefits, including antioxidant, antidiabetic, anti-inflammatory, and gut-health-promoting effects. Studies have consistently shown high probiotic viability, enhanced bioactivity, and acceptable sensory properties in fermented mulberry juice. Given its non-dairy origin and natural </w:t>
      </w:r>
      <w:proofErr w:type="spellStart"/>
      <w:r w:rsidRPr="00226F62">
        <w:rPr>
          <w:rFonts w:ascii="Times New Roman" w:hAnsi="Times New Roman" w:cs="Times New Roman"/>
          <w:sz w:val="24"/>
          <w:szCs w:val="24"/>
        </w:rPr>
        <w:t>bioactives</w:t>
      </w:r>
      <w:proofErr w:type="spellEnd"/>
      <w:r w:rsidRPr="00226F62">
        <w:rPr>
          <w:rFonts w:ascii="Times New Roman" w:hAnsi="Times New Roman" w:cs="Times New Roman"/>
          <w:sz w:val="24"/>
          <w:szCs w:val="24"/>
        </w:rPr>
        <w:t>, probiotic mulberry juice is especially attractive to lactose-intolerant and health-conscious consumers. However, further research should focus on clinical validation, improved fermentation technologies, extended shelf-life, and large-scale commercialization to realize its full potential in the functional food market.</w:t>
      </w:r>
    </w:p>
    <w:p w14:paraId="1A7E68A8" w14:textId="77777777" w:rsidR="00B946B1" w:rsidRDefault="00B946B1" w:rsidP="001A58BB">
      <w:pPr>
        <w:pStyle w:val="Heading1"/>
        <w:spacing w:before="0"/>
        <w:jc w:val="both"/>
        <w:rPr>
          <w:rFonts w:ascii="Times New Roman" w:hAnsi="Times New Roman" w:cs="Times New Roman"/>
          <w:color w:val="auto"/>
          <w:sz w:val="24"/>
          <w:szCs w:val="24"/>
        </w:rPr>
      </w:pPr>
    </w:p>
    <w:p w14:paraId="7E81BC82" w14:textId="77777777" w:rsidR="00B946B1" w:rsidRDefault="00B946B1" w:rsidP="001A58BB">
      <w:pPr>
        <w:pStyle w:val="Heading1"/>
        <w:spacing w:before="0"/>
        <w:jc w:val="both"/>
        <w:rPr>
          <w:rFonts w:ascii="Times New Roman" w:hAnsi="Times New Roman" w:cs="Times New Roman"/>
          <w:color w:val="auto"/>
          <w:sz w:val="24"/>
          <w:szCs w:val="24"/>
        </w:rPr>
      </w:pPr>
    </w:p>
    <w:p w14:paraId="5229D25E" w14:textId="77777777" w:rsidR="00B946B1" w:rsidRDefault="00B946B1" w:rsidP="001A58BB">
      <w:pPr>
        <w:pStyle w:val="Heading1"/>
        <w:spacing w:before="0"/>
        <w:jc w:val="both"/>
        <w:rPr>
          <w:rFonts w:ascii="Times New Roman" w:hAnsi="Times New Roman" w:cs="Times New Roman"/>
          <w:color w:val="auto"/>
          <w:sz w:val="24"/>
          <w:szCs w:val="24"/>
        </w:rPr>
      </w:pPr>
    </w:p>
    <w:p w14:paraId="297845D4" w14:textId="77777777" w:rsidR="00B946B1" w:rsidRDefault="00B946B1" w:rsidP="001A58BB">
      <w:pPr>
        <w:pStyle w:val="Heading1"/>
        <w:spacing w:before="0"/>
        <w:jc w:val="both"/>
        <w:rPr>
          <w:rFonts w:ascii="Times New Roman" w:hAnsi="Times New Roman" w:cs="Times New Roman"/>
          <w:color w:val="auto"/>
          <w:sz w:val="24"/>
          <w:szCs w:val="24"/>
        </w:rPr>
      </w:pPr>
    </w:p>
    <w:p w14:paraId="061B9C27" w14:textId="77777777" w:rsidR="00226F62" w:rsidRPr="00226F62" w:rsidRDefault="00226F62" w:rsidP="001A58BB">
      <w:pPr>
        <w:pStyle w:val="Heading1"/>
        <w:spacing w:before="0"/>
        <w:jc w:val="both"/>
        <w:rPr>
          <w:rFonts w:ascii="Times New Roman" w:hAnsi="Times New Roman" w:cs="Times New Roman"/>
          <w:color w:val="auto"/>
          <w:sz w:val="24"/>
          <w:szCs w:val="24"/>
        </w:rPr>
      </w:pPr>
      <w:r>
        <w:rPr>
          <w:rFonts w:ascii="Times New Roman" w:hAnsi="Times New Roman" w:cs="Times New Roman"/>
          <w:color w:val="auto"/>
          <w:sz w:val="24"/>
          <w:szCs w:val="24"/>
        </w:rPr>
        <w:t>References</w:t>
      </w:r>
    </w:p>
    <w:p w14:paraId="6C42383E" w14:textId="77777777" w:rsidR="00B13DFD" w:rsidRPr="00B13DFD" w:rsidRDefault="00B13DFD" w:rsidP="001A58BB">
      <w:pPr>
        <w:numPr>
          <w:ilvl w:val="0"/>
          <w:numId w:val="38"/>
        </w:numPr>
        <w:spacing w:after="0"/>
        <w:rPr>
          <w:rFonts w:ascii="Times New Roman" w:eastAsia="Times New Roman" w:hAnsi="Times New Roman" w:cs="Times New Roman"/>
          <w:sz w:val="24"/>
          <w:szCs w:val="24"/>
          <w:lang w:eastAsia="en-IN"/>
        </w:rPr>
      </w:pPr>
      <w:r w:rsidRPr="00B13DFD">
        <w:rPr>
          <w:rFonts w:ascii="Times New Roman" w:eastAsia="Times New Roman" w:hAnsi="Times New Roman" w:cs="Times New Roman"/>
          <w:sz w:val="24"/>
          <w:szCs w:val="24"/>
          <w:lang w:eastAsia="en-IN"/>
        </w:rPr>
        <w:t xml:space="preserve">Fuller R. Probiotics in man and animals. </w:t>
      </w:r>
      <w:r w:rsidRPr="00B13DFD">
        <w:rPr>
          <w:rFonts w:ascii="Times New Roman" w:eastAsia="Times New Roman" w:hAnsi="Times New Roman" w:cs="Times New Roman"/>
          <w:i/>
          <w:iCs/>
          <w:sz w:val="24"/>
          <w:szCs w:val="24"/>
          <w:lang w:eastAsia="en-IN"/>
        </w:rPr>
        <w:t xml:space="preserve">J </w:t>
      </w:r>
      <w:proofErr w:type="spellStart"/>
      <w:r w:rsidRPr="00B13DFD">
        <w:rPr>
          <w:rFonts w:ascii="Times New Roman" w:eastAsia="Times New Roman" w:hAnsi="Times New Roman" w:cs="Times New Roman"/>
          <w:i/>
          <w:iCs/>
          <w:sz w:val="24"/>
          <w:szCs w:val="24"/>
          <w:lang w:eastAsia="en-IN"/>
        </w:rPr>
        <w:t>Appl</w:t>
      </w:r>
      <w:proofErr w:type="spellEnd"/>
      <w:r w:rsidRPr="00B13DFD">
        <w:rPr>
          <w:rFonts w:ascii="Times New Roman" w:eastAsia="Times New Roman" w:hAnsi="Times New Roman" w:cs="Times New Roman"/>
          <w:i/>
          <w:iCs/>
          <w:sz w:val="24"/>
          <w:szCs w:val="24"/>
          <w:lang w:eastAsia="en-IN"/>
        </w:rPr>
        <w:t xml:space="preserve"> </w:t>
      </w:r>
      <w:proofErr w:type="spellStart"/>
      <w:r w:rsidRPr="00B13DFD">
        <w:rPr>
          <w:rFonts w:ascii="Times New Roman" w:eastAsia="Times New Roman" w:hAnsi="Times New Roman" w:cs="Times New Roman"/>
          <w:i/>
          <w:iCs/>
          <w:sz w:val="24"/>
          <w:szCs w:val="24"/>
          <w:lang w:eastAsia="en-IN"/>
        </w:rPr>
        <w:t>Bacteriol</w:t>
      </w:r>
      <w:proofErr w:type="spellEnd"/>
      <w:r w:rsidRPr="00B13DFD">
        <w:rPr>
          <w:rFonts w:ascii="Times New Roman" w:eastAsia="Times New Roman" w:hAnsi="Times New Roman" w:cs="Times New Roman"/>
          <w:sz w:val="24"/>
          <w:szCs w:val="24"/>
          <w:lang w:eastAsia="en-IN"/>
        </w:rPr>
        <w:t>. 1989;66(5):365–378.</w:t>
      </w:r>
    </w:p>
    <w:p w14:paraId="43748594" w14:textId="77777777" w:rsidR="00B13DFD" w:rsidRPr="00B13DFD" w:rsidRDefault="00B13DFD" w:rsidP="001A58BB">
      <w:pPr>
        <w:numPr>
          <w:ilvl w:val="0"/>
          <w:numId w:val="38"/>
        </w:numPr>
        <w:spacing w:after="0"/>
        <w:rPr>
          <w:rFonts w:ascii="Times New Roman" w:eastAsia="Times New Roman" w:hAnsi="Times New Roman" w:cs="Times New Roman"/>
          <w:sz w:val="24"/>
          <w:szCs w:val="24"/>
          <w:lang w:eastAsia="en-IN"/>
        </w:rPr>
      </w:pPr>
      <w:proofErr w:type="spellStart"/>
      <w:r w:rsidRPr="00B13DFD">
        <w:rPr>
          <w:rFonts w:ascii="Times New Roman" w:eastAsia="Times New Roman" w:hAnsi="Times New Roman" w:cs="Times New Roman"/>
          <w:sz w:val="24"/>
          <w:szCs w:val="24"/>
          <w:lang w:eastAsia="en-IN"/>
        </w:rPr>
        <w:t>Ouwehand</w:t>
      </w:r>
      <w:proofErr w:type="spellEnd"/>
      <w:r w:rsidRPr="00B13DFD">
        <w:rPr>
          <w:rFonts w:ascii="Times New Roman" w:eastAsia="Times New Roman" w:hAnsi="Times New Roman" w:cs="Times New Roman"/>
          <w:sz w:val="24"/>
          <w:szCs w:val="24"/>
          <w:lang w:eastAsia="en-IN"/>
        </w:rPr>
        <w:t xml:space="preserve"> AC, </w:t>
      </w:r>
      <w:proofErr w:type="spellStart"/>
      <w:r w:rsidRPr="00B13DFD">
        <w:rPr>
          <w:rFonts w:ascii="Times New Roman" w:eastAsia="Times New Roman" w:hAnsi="Times New Roman" w:cs="Times New Roman"/>
          <w:sz w:val="24"/>
          <w:szCs w:val="24"/>
          <w:lang w:eastAsia="en-IN"/>
        </w:rPr>
        <w:t>Salminen</w:t>
      </w:r>
      <w:proofErr w:type="spellEnd"/>
      <w:r w:rsidRPr="00B13DFD">
        <w:rPr>
          <w:rFonts w:ascii="Times New Roman" w:eastAsia="Times New Roman" w:hAnsi="Times New Roman" w:cs="Times New Roman"/>
          <w:sz w:val="24"/>
          <w:szCs w:val="24"/>
          <w:lang w:eastAsia="en-IN"/>
        </w:rPr>
        <w:t xml:space="preserve"> S, </w:t>
      </w:r>
      <w:proofErr w:type="spellStart"/>
      <w:r w:rsidRPr="00B13DFD">
        <w:rPr>
          <w:rFonts w:ascii="Times New Roman" w:eastAsia="Times New Roman" w:hAnsi="Times New Roman" w:cs="Times New Roman"/>
          <w:sz w:val="24"/>
          <w:szCs w:val="24"/>
          <w:lang w:eastAsia="en-IN"/>
        </w:rPr>
        <w:t>Isolauri</w:t>
      </w:r>
      <w:proofErr w:type="spellEnd"/>
      <w:r w:rsidRPr="00B13DFD">
        <w:rPr>
          <w:rFonts w:ascii="Times New Roman" w:eastAsia="Times New Roman" w:hAnsi="Times New Roman" w:cs="Times New Roman"/>
          <w:sz w:val="24"/>
          <w:szCs w:val="24"/>
          <w:lang w:eastAsia="en-IN"/>
        </w:rPr>
        <w:t xml:space="preserve"> E. Probiotics: an overview of beneficial effects. </w:t>
      </w:r>
      <w:r w:rsidRPr="00B13DFD">
        <w:rPr>
          <w:rFonts w:ascii="Times New Roman" w:eastAsia="Times New Roman" w:hAnsi="Times New Roman" w:cs="Times New Roman"/>
          <w:i/>
          <w:iCs/>
          <w:sz w:val="24"/>
          <w:szCs w:val="24"/>
          <w:lang w:eastAsia="en-IN"/>
        </w:rPr>
        <w:t>Antonie Van Leeuwenhoek</w:t>
      </w:r>
      <w:r w:rsidRPr="00B13DFD">
        <w:rPr>
          <w:rFonts w:ascii="Times New Roman" w:eastAsia="Times New Roman" w:hAnsi="Times New Roman" w:cs="Times New Roman"/>
          <w:sz w:val="24"/>
          <w:szCs w:val="24"/>
          <w:lang w:eastAsia="en-IN"/>
        </w:rPr>
        <w:t>. 2002;82(1–4):279–289.</w:t>
      </w:r>
    </w:p>
    <w:p w14:paraId="68355DB3" w14:textId="77777777" w:rsidR="00B13DFD" w:rsidRPr="00B13DFD" w:rsidRDefault="00B13DFD" w:rsidP="001A58BB">
      <w:pPr>
        <w:numPr>
          <w:ilvl w:val="0"/>
          <w:numId w:val="38"/>
        </w:numPr>
        <w:spacing w:after="0"/>
        <w:rPr>
          <w:rFonts w:ascii="Times New Roman" w:eastAsia="Times New Roman" w:hAnsi="Times New Roman" w:cs="Times New Roman"/>
          <w:sz w:val="24"/>
          <w:szCs w:val="24"/>
          <w:lang w:eastAsia="en-IN"/>
        </w:rPr>
      </w:pPr>
      <w:r w:rsidRPr="00B13DFD">
        <w:rPr>
          <w:rFonts w:ascii="Times New Roman" w:eastAsia="Times New Roman" w:hAnsi="Times New Roman" w:cs="Times New Roman"/>
          <w:sz w:val="24"/>
          <w:szCs w:val="24"/>
          <w:lang w:eastAsia="en-IN"/>
        </w:rPr>
        <w:t xml:space="preserve">Naidu AS, Bidlack WR, Clemens RA. Probiotic spectra of lactic acid bacteria (LAB). </w:t>
      </w:r>
      <w:r w:rsidRPr="00B13DFD">
        <w:rPr>
          <w:rFonts w:ascii="Times New Roman" w:eastAsia="Times New Roman" w:hAnsi="Times New Roman" w:cs="Times New Roman"/>
          <w:i/>
          <w:iCs/>
          <w:sz w:val="24"/>
          <w:szCs w:val="24"/>
          <w:lang w:eastAsia="en-IN"/>
        </w:rPr>
        <w:t xml:space="preserve">Crit Rev Food Sci </w:t>
      </w:r>
      <w:proofErr w:type="spellStart"/>
      <w:r w:rsidRPr="00B13DFD">
        <w:rPr>
          <w:rFonts w:ascii="Times New Roman" w:eastAsia="Times New Roman" w:hAnsi="Times New Roman" w:cs="Times New Roman"/>
          <w:i/>
          <w:iCs/>
          <w:sz w:val="24"/>
          <w:szCs w:val="24"/>
          <w:lang w:eastAsia="en-IN"/>
        </w:rPr>
        <w:t>Nutr</w:t>
      </w:r>
      <w:proofErr w:type="spellEnd"/>
      <w:r w:rsidRPr="00B13DFD">
        <w:rPr>
          <w:rFonts w:ascii="Times New Roman" w:eastAsia="Times New Roman" w:hAnsi="Times New Roman" w:cs="Times New Roman"/>
          <w:sz w:val="24"/>
          <w:szCs w:val="24"/>
          <w:lang w:eastAsia="en-IN"/>
        </w:rPr>
        <w:t>. 1999;39(1):13–126.</w:t>
      </w:r>
    </w:p>
    <w:p w14:paraId="62587B2F" w14:textId="77777777" w:rsidR="00B13DFD" w:rsidRPr="00B13DFD" w:rsidRDefault="00B13DFD" w:rsidP="001A58BB">
      <w:pPr>
        <w:numPr>
          <w:ilvl w:val="0"/>
          <w:numId w:val="38"/>
        </w:numPr>
        <w:spacing w:after="0"/>
        <w:rPr>
          <w:rFonts w:ascii="Times New Roman" w:eastAsia="Times New Roman" w:hAnsi="Times New Roman" w:cs="Times New Roman"/>
          <w:sz w:val="24"/>
          <w:szCs w:val="24"/>
          <w:lang w:eastAsia="en-IN"/>
        </w:rPr>
      </w:pPr>
      <w:proofErr w:type="spellStart"/>
      <w:r w:rsidRPr="00B13DFD">
        <w:rPr>
          <w:rFonts w:ascii="Times New Roman" w:eastAsia="Times New Roman" w:hAnsi="Times New Roman" w:cs="Times New Roman"/>
          <w:sz w:val="24"/>
          <w:szCs w:val="24"/>
          <w:lang w:eastAsia="en-IN"/>
        </w:rPr>
        <w:lastRenderedPageBreak/>
        <w:t>Naruszewicz</w:t>
      </w:r>
      <w:proofErr w:type="spellEnd"/>
      <w:r w:rsidRPr="00B13DFD">
        <w:rPr>
          <w:rFonts w:ascii="Times New Roman" w:eastAsia="Times New Roman" w:hAnsi="Times New Roman" w:cs="Times New Roman"/>
          <w:sz w:val="24"/>
          <w:szCs w:val="24"/>
          <w:lang w:eastAsia="en-IN"/>
        </w:rPr>
        <w:t xml:space="preserve"> M, Johansson ML, </w:t>
      </w:r>
      <w:proofErr w:type="spellStart"/>
      <w:r w:rsidRPr="00B13DFD">
        <w:rPr>
          <w:rFonts w:ascii="Times New Roman" w:eastAsia="Times New Roman" w:hAnsi="Times New Roman" w:cs="Times New Roman"/>
          <w:sz w:val="24"/>
          <w:szCs w:val="24"/>
          <w:lang w:eastAsia="en-IN"/>
        </w:rPr>
        <w:t>Zapolska-Downar</w:t>
      </w:r>
      <w:proofErr w:type="spellEnd"/>
      <w:r w:rsidRPr="00B13DFD">
        <w:rPr>
          <w:rFonts w:ascii="Times New Roman" w:eastAsia="Times New Roman" w:hAnsi="Times New Roman" w:cs="Times New Roman"/>
          <w:sz w:val="24"/>
          <w:szCs w:val="24"/>
          <w:lang w:eastAsia="en-IN"/>
        </w:rPr>
        <w:t xml:space="preserve"> D, </w:t>
      </w:r>
      <w:proofErr w:type="spellStart"/>
      <w:r w:rsidRPr="00B13DFD">
        <w:rPr>
          <w:rFonts w:ascii="Times New Roman" w:eastAsia="Times New Roman" w:hAnsi="Times New Roman" w:cs="Times New Roman"/>
          <w:sz w:val="24"/>
          <w:szCs w:val="24"/>
          <w:lang w:eastAsia="en-IN"/>
        </w:rPr>
        <w:t>Bukowska</w:t>
      </w:r>
      <w:proofErr w:type="spellEnd"/>
      <w:r w:rsidRPr="00B13DFD">
        <w:rPr>
          <w:rFonts w:ascii="Times New Roman" w:eastAsia="Times New Roman" w:hAnsi="Times New Roman" w:cs="Times New Roman"/>
          <w:sz w:val="24"/>
          <w:szCs w:val="24"/>
          <w:lang w:eastAsia="en-IN"/>
        </w:rPr>
        <w:t xml:space="preserve"> H. Effect of </w:t>
      </w:r>
      <w:r w:rsidRPr="00B13DFD">
        <w:rPr>
          <w:rFonts w:ascii="Times New Roman" w:eastAsia="Times New Roman" w:hAnsi="Times New Roman" w:cs="Times New Roman"/>
          <w:i/>
          <w:iCs/>
          <w:sz w:val="24"/>
          <w:szCs w:val="24"/>
          <w:lang w:eastAsia="en-IN"/>
        </w:rPr>
        <w:t>Lactobacillus plantarum</w:t>
      </w:r>
      <w:r w:rsidRPr="00B13DFD">
        <w:rPr>
          <w:rFonts w:ascii="Times New Roman" w:eastAsia="Times New Roman" w:hAnsi="Times New Roman" w:cs="Times New Roman"/>
          <w:sz w:val="24"/>
          <w:szCs w:val="24"/>
          <w:lang w:eastAsia="en-IN"/>
        </w:rPr>
        <w:t xml:space="preserve"> 299v on cardiovascular disease risk factors in smokers. </w:t>
      </w:r>
      <w:r w:rsidRPr="00B13DFD">
        <w:rPr>
          <w:rFonts w:ascii="Times New Roman" w:eastAsia="Times New Roman" w:hAnsi="Times New Roman" w:cs="Times New Roman"/>
          <w:i/>
          <w:iCs/>
          <w:sz w:val="24"/>
          <w:szCs w:val="24"/>
          <w:lang w:eastAsia="en-IN"/>
        </w:rPr>
        <w:t xml:space="preserve">Am J Clin </w:t>
      </w:r>
      <w:proofErr w:type="spellStart"/>
      <w:r w:rsidRPr="00B13DFD">
        <w:rPr>
          <w:rFonts w:ascii="Times New Roman" w:eastAsia="Times New Roman" w:hAnsi="Times New Roman" w:cs="Times New Roman"/>
          <w:i/>
          <w:iCs/>
          <w:sz w:val="24"/>
          <w:szCs w:val="24"/>
          <w:lang w:eastAsia="en-IN"/>
        </w:rPr>
        <w:t>Nutr</w:t>
      </w:r>
      <w:proofErr w:type="spellEnd"/>
      <w:r w:rsidRPr="00B13DFD">
        <w:rPr>
          <w:rFonts w:ascii="Times New Roman" w:eastAsia="Times New Roman" w:hAnsi="Times New Roman" w:cs="Times New Roman"/>
          <w:sz w:val="24"/>
          <w:szCs w:val="24"/>
          <w:lang w:eastAsia="en-IN"/>
        </w:rPr>
        <w:t>. 2002;76(6):1249–1255.</w:t>
      </w:r>
    </w:p>
    <w:p w14:paraId="777AAE23" w14:textId="77777777" w:rsidR="00B13DFD" w:rsidRPr="00B13DFD" w:rsidRDefault="00B13DFD" w:rsidP="001A58BB">
      <w:pPr>
        <w:numPr>
          <w:ilvl w:val="0"/>
          <w:numId w:val="38"/>
        </w:numPr>
        <w:spacing w:after="0"/>
        <w:rPr>
          <w:rFonts w:ascii="Times New Roman" w:eastAsia="Times New Roman" w:hAnsi="Times New Roman" w:cs="Times New Roman"/>
          <w:sz w:val="24"/>
          <w:szCs w:val="24"/>
          <w:lang w:eastAsia="en-IN"/>
        </w:rPr>
      </w:pPr>
      <w:r w:rsidRPr="00B13DFD">
        <w:rPr>
          <w:rFonts w:ascii="Times New Roman" w:eastAsia="Times New Roman" w:hAnsi="Times New Roman" w:cs="Times New Roman"/>
          <w:sz w:val="24"/>
          <w:szCs w:val="24"/>
          <w:lang w:eastAsia="en-IN"/>
        </w:rPr>
        <w:t xml:space="preserve">Luckow T, Delahunty C. Which juice is ‘healthier’? A consumer study of probiotic non-dairy juice drinks. </w:t>
      </w:r>
      <w:r w:rsidRPr="00B13DFD">
        <w:rPr>
          <w:rFonts w:ascii="Times New Roman" w:eastAsia="Times New Roman" w:hAnsi="Times New Roman" w:cs="Times New Roman"/>
          <w:i/>
          <w:iCs/>
          <w:sz w:val="24"/>
          <w:szCs w:val="24"/>
          <w:lang w:eastAsia="en-IN"/>
        </w:rPr>
        <w:t>Food Qual Prefer</w:t>
      </w:r>
      <w:r w:rsidRPr="00B13DFD">
        <w:rPr>
          <w:rFonts w:ascii="Times New Roman" w:eastAsia="Times New Roman" w:hAnsi="Times New Roman" w:cs="Times New Roman"/>
          <w:sz w:val="24"/>
          <w:szCs w:val="24"/>
          <w:lang w:eastAsia="en-IN"/>
        </w:rPr>
        <w:t>. 2004;15(7–8):751–759.</w:t>
      </w:r>
    </w:p>
    <w:p w14:paraId="38775C6B" w14:textId="77777777" w:rsidR="00B13DFD" w:rsidRPr="00B13DFD" w:rsidRDefault="00B13DFD" w:rsidP="001A58BB">
      <w:pPr>
        <w:numPr>
          <w:ilvl w:val="0"/>
          <w:numId w:val="38"/>
        </w:numPr>
        <w:spacing w:after="0"/>
        <w:rPr>
          <w:rFonts w:ascii="Times New Roman" w:eastAsia="Times New Roman" w:hAnsi="Times New Roman" w:cs="Times New Roman"/>
          <w:sz w:val="24"/>
          <w:szCs w:val="24"/>
          <w:lang w:eastAsia="en-IN"/>
        </w:rPr>
      </w:pPr>
      <w:r w:rsidRPr="00B13DFD">
        <w:rPr>
          <w:rFonts w:ascii="Times New Roman" w:eastAsia="Times New Roman" w:hAnsi="Times New Roman" w:cs="Times New Roman"/>
          <w:sz w:val="24"/>
          <w:szCs w:val="24"/>
          <w:lang w:eastAsia="en-IN"/>
        </w:rPr>
        <w:t xml:space="preserve">Yoon KY, Woodams EE, Hang YD. Fermentation of tomato juice by lactic acid bacteria. </w:t>
      </w:r>
      <w:r w:rsidRPr="00B13DFD">
        <w:rPr>
          <w:rFonts w:ascii="Times New Roman" w:eastAsia="Times New Roman" w:hAnsi="Times New Roman" w:cs="Times New Roman"/>
          <w:i/>
          <w:iCs/>
          <w:sz w:val="24"/>
          <w:szCs w:val="24"/>
          <w:lang w:eastAsia="en-IN"/>
        </w:rPr>
        <w:t>LWT-Food Sci Technol</w:t>
      </w:r>
      <w:r w:rsidRPr="00B13DFD">
        <w:rPr>
          <w:rFonts w:ascii="Times New Roman" w:eastAsia="Times New Roman" w:hAnsi="Times New Roman" w:cs="Times New Roman"/>
          <w:sz w:val="24"/>
          <w:szCs w:val="24"/>
          <w:lang w:eastAsia="en-IN"/>
        </w:rPr>
        <w:t>. 2005;38(5):489–494.</w:t>
      </w:r>
    </w:p>
    <w:p w14:paraId="56213755" w14:textId="77777777" w:rsidR="00B13DFD" w:rsidRPr="00B13DFD" w:rsidRDefault="00B13DFD" w:rsidP="001A58BB">
      <w:pPr>
        <w:numPr>
          <w:ilvl w:val="0"/>
          <w:numId w:val="38"/>
        </w:numPr>
        <w:spacing w:after="0"/>
        <w:rPr>
          <w:rFonts w:ascii="Times New Roman" w:eastAsia="Times New Roman" w:hAnsi="Times New Roman" w:cs="Times New Roman"/>
          <w:sz w:val="24"/>
          <w:szCs w:val="24"/>
          <w:lang w:eastAsia="en-IN"/>
        </w:rPr>
      </w:pPr>
      <w:r w:rsidRPr="00B13DFD">
        <w:rPr>
          <w:rFonts w:ascii="Times New Roman" w:eastAsia="Times New Roman" w:hAnsi="Times New Roman" w:cs="Times New Roman"/>
          <w:sz w:val="24"/>
          <w:szCs w:val="24"/>
          <w:lang w:eastAsia="en-IN"/>
        </w:rPr>
        <w:t xml:space="preserve">Mousavi ZE, Mousavi SM, </w:t>
      </w:r>
      <w:proofErr w:type="spellStart"/>
      <w:r w:rsidRPr="00B13DFD">
        <w:rPr>
          <w:rFonts w:ascii="Times New Roman" w:eastAsia="Times New Roman" w:hAnsi="Times New Roman" w:cs="Times New Roman"/>
          <w:sz w:val="24"/>
          <w:szCs w:val="24"/>
          <w:lang w:eastAsia="en-IN"/>
        </w:rPr>
        <w:t>Razavi</w:t>
      </w:r>
      <w:proofErr w:type="spellEnd"/>
      <w:r w:rsidRPr="00B13DFD">
        <w:rPr>
          <w:rFonts w:ascii="Times New Roman" w:eastAsia="Times New Roman" w:hAnsi="Times New Roman" w:cs="Times New Roman"/>
          <w:sz w:val="24"/>
          <w:szCs w:val="24"/>
          <w:lang w:eastAsia="en-IN"/>
        </w:rPr>
        <w:t xml:space="preserve"> SH, </w:t>
      </w:r>
      <w:proofErr w:type="spellStart"/>
      <w:r w:rsidRPr="00B13DFD">
        <w:rPr>
          <w:rFonts w:ascii="Times New Roman" w:eastAsia="Times New Roman" w:hAnsi="Times New Roman" w:cs="Times New Roman"/>
          <w:sz w:val="24"/>
          <w:szCs w:val="24"/>
          <w:lang w:eastAsia="en-IN"/>
        </w:rPr>
        <w:t>Emam-Djomeh</w:t>
      </w:r>
      <w:proofErr w:type="spellEnd"/>
      <w:r w:rsidRPr="00B13DFD">
        <w:rPr>
          <w:rFonts w:ascii="Times New Roman" w:eastAsia="Times New Roman" w:hAnsi="Times New Roman" w:cs="Times New Roman"/>
          <w:sz w:val="24"/>
          <w:szCs w:val="24"/>
          <w:lang w:eastAsia="en-IN"/>
        </w:rPr>
        <w:t xml:space="preserve"> Z, </w:t>
      </w:r>
      <w:proofErr w:type="spellStart"/>
      <w:r w:rsidRPr="00B13DFD">
        <w:rPr>
          <w:rFonts w:ascii="Times New Roman" w:eastAsia="Times New Roman" w:hAnsi="Times New Roman" w:cs="Times New Roman"/>
          <w:sz w:val="24"/>
          <w:szCs w:val="24"/>
          <w:lang w:eastAsia="en-IN"/>
        </w:rPr>
        <w:t>Kiani</w:t>
      </w:r>
      <w:proofErr w:type="spellEnd"/>
      <w:r w:rsidRPr="00B13DFD">
        <w:rPr>
          <w:rFonts w:ascii="Times New Roman" w:eastAsia="Times New Roman" w:hAnsi="Times New Roman" w:cs="Times New Roman"/>
          <w:sz w:val="24"/>
          <w:szCs w:val="24"/>
          <w:lang w:eastAsia="en-IN"/>
        </w:rPr>
        <w:t xml:space="preserve"> H. Fermentation of pomegranate juice by probiotic lactic acid bacteria. </w:t>
      </w:r>
      <w:r w:rsidRPr="00B13DFD">
        <w:rPr>
          <w:rFonts w:ascii="Times New Roman" w:eastAsia="Times New Roman" w:hAnsi="Times New Roman" w:cs="Times New Roman"/>
          <w:i/>
          <w:iCs/>
          <w:sz w:val="24"/>
          <w:szCs w:val="24"/>
          <w:lang w:eastAsia="en-IN"/>
        </w:rPr>
        <w:t xml:space="preserve">World J </w:t>
      </w:r>
      <w:proofErr w:type="spellStart"/>
      <w:r w:rsidRPr="00B13DFD">
        <w:rPr>
          <w:rFonts w:ascii="Times New Roman" w:eastAsia="Times New Roman" w:hAnsi="Times New Roman" w:cs="Times New Roman"/>
          <w:i/>
          <w:iCs/>
          <w:sz w:val="24"/>
          <w:szCs w:val="24"/>
          <w:lang w:eastAsia="en-IN"/>
        </w:rPr>
        <w:t>Microbiol</w:t>
      </w:r>
      <w:proofErr w:type="spellEnd"/>
      <w:r w:rsidRPr="00B13DFD">
        <w:rPr>
          <w:rFonts w:ascii="Times New Roman" w:eastAsia="Times New Roman" w:hAnsi="Times New Roman" w:cs="Times New Roman"/>
          <w:i/>
          <w:iCs/>
          <w:sz w:val="24"/>
          <w:szCs w:val="24"/>
          <w:lang w:eastAsia="en-IN"/>
        </w:rPr>
        <w:t xml:space="preserve"> </w:t>
      </w:r>
      <w:proofErr w:type="spellStart"/>
      <w:r w:rsidRPr="00B13DFD">
        <w:rPr>
          <w:rFonts w:ascii="Times New Roman" w:eastAsia="Times New Roman" w:hAnsi="Times New Roman" w:cs="Times New Roman"/>
          <w:i/>
          <w:iCs/>
          <w:sz w:val="24"/>
          <w:szCs w:val="24"/>
          <w:lang w:eastAsia="en-IN"/>
        </w:rPr>
        <w:t>Biotechnol</w:t>
      </w:r>
      <w:proofErr w:type="spellEnd"/>
      <w:r w:rsidRPr="00B13DFD">
        <w:rPr>
          <w:rFonts w:ascii="Times New Roman" w:eastAsia="Times New Roman" w:hAnsi="Times New Roman" w:cs="Times New Roman"/>
          <w:sz w:val="24"/>
          <w:szCs w:val="24"/>
          <w:lang w:eastAsia="en-IN"/>
        </w:rPr>
        <w:t>. 2010;26(3):405–410.</w:t>
      </w:r>
    </w:p>
    <w:p w14:paraId="53549623" w14:textId="77777777" w:rsidR="00B13DFD" w:rsidRPr="00B13DFD" w:rsidRDefault="00B13DFD" w:rsidP="001A58BB">
      <w:pPr>
        <w:numPr>
          <w:ilvl w:val="0"/>
          <w:numId w:val="38"/>
        </w:numPr>
        <w:spacing w:after="0"/>
        <w:rPr>
          <w:rFonts w:ascii="Times New Roman" w:eastAsia="Times New Roman" w:hAnsi="Times New Roman" w:cs="Times New Roman"/>
          <w:sz w:val="24"/>
          <w:szCs w:val="24"/>
          <w:lang w:eastAsia="en-IN"/>
        </w:rPr>
      </w:pPr>
      <w:r w:rsidRPr="00B13DFD">
        <w:rPr>
          <w:rFonts w:ascii="Times New Roman" w:eastAsia="Times New Roman" w:hAnsi="Times New Roman" w:cs="Times New Roman"/>
          <w:sz w:val="24"/>
          <w:szCs w:val="24"/>
          <w:lang w:eastAsia="en-IN"/>
        </w:rPr>
        <w:t xml:space="preserve">Alavi F, et al. Fermentation of watermelon juice by lactic acid bacteria. </w:t>
      </w:r>
      <w:r w:rsidRPr="00B13DFD">
        <w:rPr>
          <w:rFonts w:ascii="Times New Roman" w:eastAsia="Times New Roman" w:hAnsi="Times New Roman" w:cs="Times New Roman"/>
          <w:i/>
          <w:iCs/>
          <w:sz w:val="24"/>
          <w:szCs w:val="24"/>
          <w:lang w:eastAsia="en-IN"/>
        </w:rPr>
        <w:t>J Food Sci Technol</w:t>
      </w:r>
      <w:r w:rsidRPr="00B13DFD">
        <w:rPr>
          <w:rFonts w:ascii="Times New Roman" w:eastAsia="Times New Roman" w:hAnsi="Times New Roman" w:cs="Times New Roman"/>
          <w:sz w:val="24"/>
          <w:szCs w:val="24"/>
          <w:lang w:eastAsia="en-IN"/>
        </w:rPr>
        <w:t>. 2012;49(2):194–199.</w:t>
      </w:r>
    </w:p>
    <w:p w14:paraId="6F10A9E2" w14:textId="77777777" w:rsidR="00B13DFD" w:rsidRPr="00B13DFD" w:rsidRDefault="00B13DFD" w:rsidP="001A58BB">
      <w:pPr>
        <w:numPr>
          <w:ilvl w:val="0"/>
          <w:numId w:val="38"/>
        </w:numPr>
        <w:spacing w:after="0"/>
        <w:rPr>
          <w:rFonts w:ascii="Times New Roman" w:eastAsia="Times New Roman" w:hAnsi="Times New Roman" w:cs="Times New Roman"/>
          <w:sz w:val="24"/>
          <w:szCs w:val="24"/>
          <w:lang w:eastAsia="en-IN"/>
        </w:rPr>
      </w:pPr>
      <w:r w:rsidRPr="00B13DFD">
        <w:rPr>
          <w:rFonts w:ascii="Times New Roman" w:eastAsia="Times New Roman" w:hAnsi="Times New Roman" w:cs="Times New Roman"/>
          <w:sz w:val="24"/>
          <w:szCs w:val="24"/>
          <w:lang w:eastAsia="en-IN"/>
        </w:rPr>
        <w:t xml:space="preserve">Giang HH, Viet TV, Dung TT. Lactic acid fermentation of cashew apple juice by </w:t>
      </w:r>
      <w:r w:rsidRPr="00B13DFD">
        <w:rPr>
          <w:rFonts w:ascii="Times New Roman" w:eastAsia="Times New Roman" w:hAnsi="Times New Roman" w:cs="Times New Roman"/>
          <w:i/>
          <w:iCs/>
          <w:sz w:val="24"/>
          <w:szCs w:val="24"/>
          <w:lang w:eastAsia="en-IN"/>
        </w:rPr>
        <w:t>Lactobacillus</w:t>
      </w:r>
      <w:r w:rsidRPr="00B13DFD">
        <w:rPr>
          <w:rFonts w:ascii="Times New Roman" w:eastAsia="Times New Roman" w:hAnsi="Times New Roman" w:cs="Times New Roman"/>
          <w:sz w:val="24"/>
          <w:szCs w:val="24"/>
          <w:lang w:eastAsia="en-IN"/>
        </w:rPr>
        <w:t xml:space="preserve"> strains. </w:t>
      </w:r>
      <w:proofErr w:type="spellStart"/>
      <w:r w:rsidRPr="00B13DFD">
        <w:rPr>
          <w:rFonts w:ascii="Times New Roman" w:eastAsia="Times New Roman" w:hAnsi="Times New Roman" w:cs="Times New Roman"/>
          <w:i/>
          <w:iCs/>
          <w:sz w:val="24"/>
          <w:szCs w:val="24"/>
          <w:lang w:eastAsia="en-IN"/>
        </w:rPr>
        <w:t>Afr</w:t>
      </w:r>
      <w:proofErr w:type="spellEnd"/>
      <w:r w:rsidRPr="00B13DFD">
        <w:rPr>
          <w:rFonts w:ascii="Times New Roman" w:eastAsia="Times New Roman" w:hAnsi="Times New Roman" w:cs="Times New Roman"/>
          <w:i/>
          <w:iCs/>
          <w:sz w:val="24"/>
          <w:szCs w:val="24"/>
          <w:lang w:eastAsia="en-IN"/>
        </w:rPr>
        <w:t xml:space="preserve"> J </w:t>
      </w:r>
      <w:proofErr w:type="spellStart"/>
      <w:r w:rsidRPr="00B13DFD">
        <w:rPr>
          <w:rFonts w:ascii="Times New Roman" w:eastAsia="Times New Roman" w:hAnsi="Times New Roman" w:cs="Times New Roman"/>
          <w:i/>
          <w:iCs/>
          <w:sz w:val="24"/>
          <w:szCs w:val="24"/>
          <w:lang w:eastAsia="en-IN"/>
        </w:rPr>
        <w:t>Biotechnol</w:t>
      </w:r>
      <w:proofErr w:type="spellEnd"/>
      <w:r w:rsidRPr="00B13DFD">
        <w:rPr>
          <w:rFonts w:ascii="Times New Roman" w:eastAsia="Times New Roman" w:hAnsi="Times New Roman" w:cs="Times New Roman"/>
          <w:sz w:val="24"/>
          <w:szCs w:val="24"/>
          <w:lang w:eastAsia="en-IN"/>
        </w:rPr>
        <w:t>. 2013;12(12):1381–1387.</w:t>
      </w:r>
    </w:p>
    <w:p w14:paraId="6D5235E4" w14:textId="77777777" w:rsidR="00B13DFD" w:rsidRPr="00B13DFD" w:rsidRDefault="00B13DFD" w:rsidP="001A58BB">
      <w:pPr>
        <w:numPr>
          <w:ilvl w:val="0"/>
          <w:numId w:val="38"/>
        </w:numPr>
        <w:spacing w:after="0"/>
        <w:rPr>
          <w:rFonts w:ascii="Times New Roman" w:eastAsia="Times New Roman" w:hAnsi="Times New Roman" w:cs="Times New Roman"/>
          <w:sz w:val="24"/>
          <w:szCs w:val="24"/>
          <w:lang w:eastAsia="en-IN"/>
        </w:rPr>
      </w:pPr>
      <w:proofErr w:type="spellStart"/>
      <w:r w:rsidRPr="00B13DFD">
        <w:rPr>
          <w:rFonts w:ascii="Times New Roman" w:eastAsia="Times New Roman" w:hAnsi="Times New Roman" w:cs="Times New Roman"/>
          <w:sz w:val="24"/>
          <w:szCs w:val="24"/>
          <w:lang w:eastAsia="en-IN"/>
        </w:rPr>
        <w:t>Pakbin</w:t>
      </w:r>
      <w:proofErr w:type="spellEnd"/>
      <w:r w:rsidRPr="00B13DFD">
        <w:rPr>
          <w:rFonts w:ascii="Times New Roman" w:eastAsia="Times New Roman" w:hAnsi="Times New Roman" w:cs="Times New Roman"/>
          <w:sz w:val="24"/>
          <w:szCs w:val="24"/>
          <w:lang w:eastAsia="en-IN"/>
        </w:rPr>
        <w:t xml:space="preserve"> B, et al. Fermented peach juice: Microbial, chemical, and sensory evaluation. </w:t>
      </w:r>
      <w:r w:rsidRPr="00B13DFD">
        <w:rPr>
          <w:rFonts w:ascii="Times New Roman" w:eastAsia="Times New Roman" w:hAnsi="Times New Roman" w:cs="Times New Roman"/>
          <w:i/>
          <w:iCs/>
          <w:sz w:val="24"/>
          <w:szCs w:val="24"/>
          <w:lang w:eastAsia="en-IN"/>
        </w:rPr>
        <w:t>J Food Process Preserv</w:t>
      </w:r>
      <w:r w:rsidRPr="00B13DFD">
        <w:rPr>
          <w:rFonts w:ascii="Times New Roman" w:eastAsia="Times New Roman" w:hAnsi="Times New Roman" w:cs="Times New Roman"/>
          <w:sz w:val="24"/>
          <w:szCs w:val="24"/>
          <w:lang w:eastAsia="en-IN"/>
        </w:rPr>
        <w:t>. 2014;38(3):1250–1259.</w:t>
      </w:r>
    </w:p>
    <w:p w14:paraId="05EA5029" w14:textId="77777777" w:rsidR="00B13DFD" w:rsidRPr="00B13DFD" w:rsidRDefault="00B13DFD" w:rsidP="001A58BB">
      <w:pPr>
        <w:numPr>
          <w:ilvl w:val="0"/>
          <w:numId w:val="38"/>
        </w:numPr>
        <w:spacing w:after="0"/>
        <w:rPr>
          <w:rFonts w:ascii="Times New Roman" w:eastAsia="Times New Roman" w:hAnsi="Times New Roman" w:cs="Times New Roman"/>
          <w:sz w:val="24"/>
          <w:szCs w:val="24"/>
          <w:lang w:eastAsia="en-IN"/>
        </w:rPr>
      </w:pPr>
      <w:r w:rsidRPr="00B13DFD">
        <w:rPr>
          <w:rFonts w:ascii="Times New Roman" w:eastAsia="Times New Roman" w:hAnsi="Times New Roman" w:cs="Times New Roman"/>
          <w:sz w:val="24"/>
          <w:szCs w:val="24"/>
          <w:lang w:eastAsia="en-IN"/>
        </w:rPr>
        <w:t xml:space="preserve">Kalita D, et al. Fermentation of litchi juice by </w:t>
      </w:r>
      <w:r w:rsidRPr="00B13DFD">
        <w:rPr>
          <w:rFonts w:ascii="Times New Roman" w:eastAsia="Times New Roman" w:hAnsi="Times New Roman" w:cs="Times New Roman"/>
          <w:i/>
          <w:iCs/>
          <w:sz w:val="24"/>
          <w:szCs w:val="24"/>
          <w:lang w:eastAsia="en-IN"/>
        </w:rPr>
        <w:t>Lactobacillus acidophilus</w:t>
      </w:r>
      <w:r w:rsidRPr="00B13DFD">
        <w:rPr>
          <w:rFonts w:ascii="Times New Roman" w:eastAsia="Times New Roman" w:hAnsi="Times New Roman" w:cs="Times New Roman"/>
          <w:sz w:val="24"/>
          <w:szCs w:val="24"/>
          <w:lang w:eastAsia="en-IN"/>
        </w:rPr>
        <w:t xml:space="preserve">. </w:t>
      </w:r>
      <w:r w:rsidRPr="00B13DFD">
        <w:rPr>
          <w:rFonts w:ascii="Times New Roman" w:eastAsia="Times New Roman" w:hAnsi="Times New Roman" w:cs="Times New Roman"/>
          <w:i/>
          <w:iCs/>
          <w:sz w:val="24"/>
          <w:szCs w:val="24"/>
          <w:lang w:eastAsia="en-IN"/>
        </w:rPr>
        <w:t>J Food Sci Technol</w:t>
      </w:r>
      <w:r w:rsidRPr="00B13DFD">
        <w:rPr>
          <w:rFonts w:ascii="Times New Roman" w:eastAsia="Times New Roman" w:hAnsi="Times New Roman" w:cs="Times New Roman"/>
          <w:sz w:val="24"/>
          <w:szCs w:val="24"/>
          <w:lang w:eastAsia="en-IN"/>
        </w:rPr>
        <w:t>. 2015;52(5):3123–3130.</w:t>
      </w:r>
    </w:p>
    <w:p w14:paraId="0911F0C4" w14:textId="77777777" w:rsidR="00B13DFD" w:rsidRPr="00B13DFD" w:rsidRDefault="00B13DFD" w:rsidP="001A58BB">
      <w:pPr>
        <w:numPr>
          <w:ilvl w:val="0"/>
          <w:numId w:val="38"/>
        </w:numPr>
        <w:spacing w:after="0"/>
        <w:rPr>
          <w:rFonts w:ascii="Times New Roman" w:eastAsia="Times New Roman" w:hAnsi="Times New Roman" w:cs="Times New Roman"/>
          <w:sz w:val="24"/>
          <w:szCs w:val="24"/>
          <w:lang w:eastAsia="en-IN"/>
        </w:rPr>
      </w:pPr>
      <w:r w:rsidRPr="00B13DFD">
        <w:rPr>
          <w:rFonts w:ascii="Times New Roman" w:eastAsia="Times New Roman" w:hAnsi="Times New Roman" w:cs="Times New Roman"/>
          <w:sz w:val="24"/>
          <w:szCs w:val="24"/>
          <w:lang w:eastAsia="en-IN"/>
        </w:rPr>
        <w:t xml:space="preserve">Priya M, Vasudevan P. Probiotic papaya juice: Process optimization and quality evaluation. </w:t>
      </w:r>
      <w:r w:rsidRPr="00B13DFD">
        <w:rPr>
          <w:rFonts w:ascii="Times New Roman" w:eastAsia="Times New Roman" w:hAnsi="Times New Roman" w:cs="Times New Roman"/>
          <w:i/>
          <w:iCs/>
          <w:sz w:val="24"/>
          <w:szCs w:val="24"/>
          <w:lang w:eastAsia="en-IN"/>
        </w:rPr>
        <w:t xml:space="preserve">Int J Food Sci </w:t>
      </w:r>
      <w:proofErr w:type="spellStart"/>
      <w:r w:rsidRPr="00B13DFD">
        <w:rPr>
          <w:rFonts w:ascii="Times New Roman" w:eastAsia="Times New Roman" w:hAnsi="Times New Roman" w:cs="Times New Roman"/>
          <w:i/>
          <w:iCs/>
          <w:sz w:val="24"/>
          <w:szCs w:val="24"/>
          <w:lang w:eastAsia="en-IN"/>
        </w:rPr>
        <w:t>Nutr</w:t>
      </w:r>
      <w:proofErr w:type="spellEnd"/>
      <w:r w:rsidRPr="00B13DFD">
        <w:rPr>
          <w:rFonts w:ascii="Times New Roman" w:eastAsia="Times New Roman" w:hAnsi="Times New Roman" w:cs="Times New Roman"/>
          <w:sz w:val="24"/>
          <w:szCs w:val="24"/>
          <w:lang w:eastAsia="en-IN"/>
        </w:rPr>
        <w:t>. 2016;1(6):18–22.</w:t>
      </w:r>
    </w:p>
    <w:p w14:paraId="104E47B4" w14:textId="77777777" w:rsidR="00B13DFD" w:rsidRPr="00B13DFD" w:rsidRDefault="00B13DFD" w:rsidP="001A58BB">
      <w:pPr>
        <w:numPr>
          <w:ilvl w:val="0"/>
          <w:numId w:val="38"/>
        </w:numPr>
        <w:spacing w:after="0"/>
        <w:rPr>
          <w:rFonts w:ascii="Times New Roman" w:eastAsia="Times New Roman" w:hAnsi="Times New Roman" w:cs="Times New Roman"/>
          <w:sz w:val="24"/>
          <w:szCs w:val="24"/>
          <w:lang w:eastAsia="en-IN"/>
        </w:rPr>
      </w:pPr>
      <w:r w:rsidRPr="00B13DFD">
        <w:rPr>
          <w:rFonts w:ascii="Times New Roman" w:eastAsia="Times New Roman" w:hAnsi="Times New Roman" w:cs="Times New Roman"/>
          <w:sz w:val="24"/>
          <w:szCs w:val="24"/>
          <w:lang w:eastAsia="en-IN"/>
        </w:rPr>
        <w:t xml:space="preserve">Zheng Y, et al. Fermentation of mulberry juice by </w:t>
      </w:r>
      <w:proofErr w:type="spellStart"/>
      <w:r w:rsidRPr="00B13DFD">
        <w:rPr>
          <w:rFonts w:ascii="Times New Roman" w:eastAsia="Times New Roman" w:hAnsi="Times New Roman" w:cs="Times New Roman"/>
          <w:i/>
          <w:iCs/>
          <w:sz w:val="24"/>
          <w:szCs w:val="24"/>
          <w:lang w:eastAsia="en-IN"/>
        </w:rPr>
        <w:t>Leuconostoc</w:t>
      </w:r>
      <w:proofErr w:type="spellEnd"/>
      <w:r w:rsidRPr="00B13DFD">
        <w:rPr>
          <w:rFonts w:ascii="Times New Roman" w:eastAsia="Times New Roman" w:hAnsi="Times New Roman" w:cs="Times New Roman"/>
          <w:i/>
          <w:iCs/>
          <w:sz w:val="24"/>
          <w:szCs w:val="24"/>
          <w:lang w:eastAsia="en-IN"/>
        </w:rPr>
        <w:t xml:space="preserve"> </w:t>
      </w:r>
      <w:proofErr w:type="spellStart"/>
      <w:r w:rsidRPr="00B13DFD">
        <w:rPr>
          <w:rFonts w:ascii="Times New Roman" w:eastAsia="Times New Roman" w:hAnsi="Times New Roman" w:cs="Times New Roman"/>
          <w:i/>
          <w:iCs/>
          <w:sz w:val="24"/>
          <w:szCs w:val="24"/>
          <w:lang w:eastAsia="en-IN"/>
        </w:rPr>
        <w:t>mesenteroides</w:t>
      </w:r>
      <w:proofErr w:type="spellEnd"/>
      <w:r w:rsidRPr="00B13DFD">
        <w:rPr>
          <w:rFonts w:ascii="Times New Roman" w:eastAsia="Times New Roman" w:hAnsi="Times New Roman" w:cs="Times New Roman"/>
          <w:sz w:val="24"/>
          <w:szCs w:val="24"/>
          <w:lang w:eastAsia="en-IN"/>
        </w:rPr>
        <w:t xml:space="preserve">. </w:t>
      </w:r>
      <w:r w:rsidRPr="00B13DFD">
        <w:rPr>
          <w:rFonts w:ascii="Times New Roman" w:eastAsia="Times New Roman" w:hAnsi="Times New Roman" w:cs="Times New Roman"/>
          <w:i/>
          <w:iCs/>
          <w:sz w:val="24"/>
          <w:szCs w:val="24"/>
          <w:lang w:eastAsia="en-IN"/>
        </w:rPr>
        <w:t>Food Chem</w:t>
      </w:r>
      <w:r w:rsidRPr="00B13DFD">
        <w:rPr>
          <w:rFonts w:ascii="Times New Roman" w:eastAsia="Times New Roman" w:hAnsi="Times New Roman" w:cs="Times New Roman"/>
          <w:sz w:val="24"/>
          <w:szCs w:val="24"/>
          <w:lang w:eastAsia="en-IN"/>
        </w:rPr>
        <w:t xml:space="preserve">. </w:t>
      </w:r>
      <w:proofErr w:type="gramStart"/>
      <w:r w:rsidRPr="00B13DFD">
        <w:rPr>
          <w:rFonts w:ascii="Times New Roman" w:eastAsia="Times New Roman" w:hAnsi="Times New Roman" w:cs="Times New Roman"/>
          <w:sz w:val="24"/>
          <w:szCs w:val="24"/>
          <w:lang w:eastAsia="en-IN"/>
        </w:rPr>
        <w:t>2014;145:930</w:t>
      </w:r>
      <w:proofErr w:type="gramEnd"/>
      <w:r w:rsidRPr="00B13DFD">
        <w:rPr>
          <w:rFonts w:ascii="Times New Roman" w:eastAsia="Times New Roman" w:hAnsi="Times New Roman" w:cs="Times New Roman"/>
          <w:sz w:val="24"/>
          <w:szCs w:val="24"/>
          <w:lang w:eastAsia="en-IN"/>
        </w:rPr>
        <w:t>–936.</w:t>
      </w:r>
    </w:p>
    <w:p w14:paraId="26217638" w14:textId="77777777" w:rsidR="00B13DFD" w:rsidRPr="00B13DFD" w:rsidRDefault="00B13DFD" w:rsidP="001A58BB">
      <w:pPr>
        <w:numPr>
          <w:ilvl w:val="0"/>
          <w:numId w:val="38"/>
        </w:numPr>
        <w:spacing w:after="0"/>
        <w:rPr>
          <w:rFonts w:ascii="Times New Roman" w:eastAsia="Times New Roman" w:hAnsi="Times New Roman" w:cs="Times New Roman"/>
          <w:sz w:val="24"/>
          <w:szCs w:val="24"/>
          <w:lang w:eastAsia="en-IN"/>
        </w:rPr>
      </w:pPr>
      <w:r w:rsidRPr="00B13DFD">
        <w:rPr>
          <w:rFonts w:ascii="Times New Roman" w:eastAsia="Times New Roman" w:hAnsi="Times New Roman" w:cs="Times New Roman"/>
          <w:sz w:val="24"/>
          <w:szCs w:val="24"/>
          <w:lang w:eastAsia="en-IN"/>
        </w:rPr>
        <w:t xml:space="preserve">Lee S, Hong ST. Development of yogurt with mulberry jam and its sensory properties. </w:t>
      </w:r>
      <w:r w:rsidRPr="00B13DFD">
        <w:rPr>
          <w:rFonts w:ascii="Times New Roman" w:eastAsia="Times New Roman" w:hAnsi="Times New Roman" w:cs="Times New Roman"/>
          <w:i/>
          <w:iCs/>
          <w:sz w:val="24"/>
          <w:szCs w:val="24"/>
          <w:lang w:eastAsia="en-IN"/>
        </w:rPr>
        <w:t>J Dairy Sci</w:t>
      </w:r>
      <w:r w:rsidRPr="00B13DFD">
        <w:rPr>
          <w:rFonts w:ascii="Times New Roman" w:eastAsia="Times New Roman" w:hAnsi="Times New Roman" w:cs="Times New Roman"/>
          <w:sz w:val="24"/>
          <w:szCs w:val="24"/>
          <w:lang w:eastAsia="en-IN"/>
        </w:rPr>
        <w:t>. 2010;93(12):5799–5808.</w:t>
      </w:r>
    </w:p>
    <w:p w14:paraId="6CC1142A" w14:textId="77777777" w:rsidR="00B13DFD" w:rsidRPr="00B13DFD" w:rsidRDefault="00B13DFD" w:rsidP="001A58BB">
      <w:pPr>
        <w:numPr>
          <w:ilvl w:val="0"/>
          <w:numId w:val="38"/>
        </w:numPr>
        <w:spacing w:after="0"/>
        <w:rPr>
          <w:rFonts w:ascii="Times New Roman" w:eastAsia="Times New Roman" w:hAnsi="Times New Roman" w:cs="Times New Roman"/>
          <w:sz w:val="24"/>
          <w:szCs w:val="24"/>
          <w:lang w:eastAsia="en-IN"/>
        </w:rPr>
      </w:pPr>
      <w:r w:rsidRPr="00B13DFD">
        <w:rPr>
          <w:rFonts w:ascii="Times New Roman" w:eastAsia="Times New Roman" w:hAnsi="Times New Roman" w:cs="Times New Roman"/>
          <w:sz w:val="24"/>
          <w:szCs w:val="24"/>
          <w:lang w:eastAsia="en-IN"/>
        </w:rPr>
        <w:t xml:space="preserve">Lee YM, et al. Effects of fermented mulberry juice on antioxidant capacity. </w:t>
      </w:r>
      <w:r w:rsidRPr="00B13DFD">
        <w:rPr>
          <w:rFonts w:ascii="Times New Roman" w:eastAsia="Times New Roman" w:hAnsi="Times New Roman" w:cs="Times New Roman"/>
          <w:i/>
          <w:iCs/>
          <w:sz w:val="24"/>
          <w:szCs w:val="24"/>
          <w:lang w:eastAsia="en-IN"/>
        </w:rPr>
        <w:t xml:space="preserve">J </w:t>
      </w:r>
      <w:proofErr w:type="spellStart"/>
      <w:r w:rsidRPr="00B13DFD">
        <w:rPr>
          <w:rFonts w:ascii="Times New Roman" w:eastAsia="Times New Roman" w:hAnsi="Times New Roman" w:cs="Times New Roman"/>
          <w:i/>
          <w:iCs/>
          <w:sz w:val="24"/>
          <w:szCs w:val="24"/>
          <w:lang w:eastAsia="en-IN"/>
        </w:rPr>
        <w:t>Funct</w:t>
      </w:r>
      <w:proofErr w:type="spellEnd"/>
      <w:r w:rsidRPr="00B13DFD">
        <w:rPr>
          <w:rFonts w:ascii="Times New Roman" w:eastAsia="Times New Roman" w:hAnsi="Times New Roman" w:cs="Times New Roman"/>
          <w:i/>
          <w:iCs/>
          <w:sz w:val="24"/>
          <w:szCs w:val="24"/>
          <w:lang w:eastAsia="en-IN"/>
        </w:rPr>
        <w:t xml:space="preserve"> Foods</w:t>
      </w:r>
      <w:r w:rsidRPr="00B13DFD">
        <w:rPr>
          <w:rFonts w:ascii="Times New Roman" w:eastAsia="Times New Roman" w:hAnsi="Times New Roman" w:cs="Times New Roman"/>
          <w:sz w:val="24"/>
          <w:szCs w:val="24"/>
          <w:lang w:eastAsia="en-IN"/>
        </w:rPr>
        <w:t xml:space="preserve">. </w:t>
      </w:r>
      <w:proofErr w:type="gramStart"/>
      <w:r w:rsidRPr="00B13DFD">
        <w:rPr>
          <w:rFonts w:ascii="Times New Roman" w:eastAsia="Times New Roman" w:hAnsi="Times New Roman" w:cs="Times New Roman"/>
          <w:sz w:val="24"/>
          <w:szCs w:val="24"/>
          <w:lang w:eastAsia="en-IN"/>
        </w:rPr>
        <w:t>2016;22:590</w:t>
      </w:r>
      <w:proofErr w:type="gramEnd"/>
      <w:r w:rsidRPr="00B13DFD">
        <w:rPr>
          <w:rFonts w:ascii="Times New Roman" w:eastAsia="Times New Roman" w:hAnsi="Times New Roman" w:cs="Times New Roman"/>
          <w:sz w:val="24"/>
          <w:szCs w:val="24"/>
          <w:lang w:eastAsia="en-IN"/>
        </w:rPr>
        <w:t>–599.</w:t>
      </w:r>
    </w:p>
    <w:p w14:paraId="462F7695" w14:textId="77777777" w:rsidR="00B13DFD" w:rsidRPr="00B13DFD" w:rsidRDefault="00B13DFD" w:rsidP="001A58BB">
      <w:pPr>
        <w:numPr>
          <w:ilvl w:val="0"/>
          <w:numId w:val="38"/>
        </w:numPr>
        <w:spacing w:after="0"/>
        <w:rPr>
          <w:rFonts w:ascii="Times New Roman" w:eastAsia="Times New Roman" w:hAnsi="Times New Roman" w:cs="Times New Roman"/>
          <w:sz w:val="24"/>
          <w:szCs w:val="24"/>
          <w:lang w:eastAsia="en-IN"/>
        </w:rPr>
      </w:pPr>
      <w:r w:rsidRPr="00B13DFD">
        <w:rPr>
          <w:rFonts w:ascii="Times New Roman" w:eastAsia="Times New Roman" w:hAnsi="Times New Roman" w:cs="Times New Roman"/>
          <w:sz w:val="24"/>
          <w:szCs w:val="24"/>
          <w:lang w:eastAsia="en-IN"/>
        </w:rPr>
        <w:t xml:space="preserve">Liu J, et al. Fermented mulberry juice modulates gut microbiota and cytokines in diabetic mice. </w:t>
      </w:r>
      <w:r w:rsidRPr="00B13DFD">
        <w:rPr>
          <w:rFonts w:ascii="Times New Roman" w:eastAsia="Times New Roman" w:hAnsi="Times New Roman" w:cs="Times New Roman"/>
          <w:i/>
          <w:iCs/>
          <w:sz w:val="24"/>
          <w:szCs w:val="24"/>
          <w:lang w:eastAsia="en-IN"/>
        </w:rPr>
        <w:t>Nutrients</w:t>
      </w:r>
      <w:r w:rsidRPr="00B13DFD">
        <w:rPr>
          <w:rFonts w:ascii="Times New Roman" w:eastAsia="Times New Roman" w:hAnsi="Times New Roman" w:cs="Times New Roman"/>
          <w:sz w:val="24"/>
          <w:szCs w:val="24"/>
          <w:lang w:eastAsia="en-IN"/>
        </w:rPr>
        <w:t>. 2023;15(5):1122.</w:t>
      </w:r>
    </w:p>
    <w:p w14:paraId="25E51E8D" w14:textId="77777777" w:rsidR="00B13DFD" w:rsidRPr="00B13DFD" w:rsidRDefault="00B13DFD" w:rsidP="001A58BB">
      <w:pPr>
        <w:numPr>
          <w:ilvl w:val="0"/>
          <w:numId w:val="38"/>
        </w:numPr>
        <w:spacing w:after="0"/>
        <w:rPr>
          <w:rFonts w:ascii="Times New Roman" w:eastAsia="Times New Roman" w:hAnsi="Times New Roman" w:cs="Times New Roman"/>
          <w:sz w:val="24"/>
          <w:szCs w:val="24"/>
          <w:lang w:eastAsia="en-IN"/>
        </w:rPr>
      </w:pPr>
      <w:r w:rsidRPr="00B13DFD">
        <w:rPr>
          <w:rFonts w:ascii="Times New Roman" w:eastAsia="Times New Roman" w:hAnsi="Times New Roman" w:cs="Times New Roman"/>
          <w:sz w:val="24"/>
          <w:szCs w:val="24"/>
          <w:lang w:eastAsia="en-IN"/>
        </w:rPr>
        <w:t xml:space="preserve">Zhang W, et al. Probiotic mulberry juice improves cholesterol profile and endothelial function. </w:t>
      </w:r>
      <w:r w:rsidRPr="00B13DFD">
        <w:rPr>
          <w:rFonts w:ascii="Times New Roman" w:eastAsia="Times New Roman" w:hAnsi="Times New Roman" w:cs="Times New Roman"/>
          <w:i/>
          <w:iCs/>
          <w:sz w:val="24"/>
          <w:szCs w:val="24"/>
          <w:lang w:eastAsia="en-IN"/>
        </w:rPr>
        <w:t xml:space="preserve">Clin </w:t>
      </w:r>
      <w:proofErr w:type="spellStart"/>
      <w:r w:rsidRPr="00B13DFD">
        <w:rPr>
          <w:rFonts w:ascii="Times New Roman" w:eastAsia="Times New Roman" w:hAnsi="Times New Roman" w:cs="Times New Roman"/>
          <w:i/>
          <w:iCs/>
          <w:sz w:val="24"/>
          <w:szCs w:val="24"/>
          <w:lang w:eastAsia="en-IN"/>
        </w:rPr>
        <w:t>Nutr</w:t>
      </w:r>
      <w:proofErr w:type="spellEnd"/>
      <w:r w:rsidRPr="00B13DFD">
        <w:rPr>
          <w:rFonts w:ascii="Times New Roman" w:eastAsia="Times New Roman" w:hAnsi="Times New Roman" w:cs="Times New Roman"/>
          <w:sz w:val="24"/>
          <w:szCs w:val="24"/>
          <w:lang w:eastAsia="en-IN"/>
        </w:rPr>
        <w:t>. 2024;43(1):189–198.</w:t>
      </w:r>
    </w:p>
    <w:p w14:paraId="61D1DAB1" w14:textId="77777777" w:rsidR="00B13DFD" w:rsidRPr="00B13DFD" w:rsidRDefault="00B13DFD" w:rsidP="001A58BB">
      <w:pPr>
        <w:numPr>
          <w:ilvl w:val="0"/>
          <w:numId w:val="38"/>
        </w:numPr>
        <w:spacing w:after="0"/>
        <w:rPr>
          <w:rFonts w:ascii="Times New Roman" w:eastAsia="Times New Roman" w:hAnsi="Times New Roman" w:cs="Times New Roman"/>
          <w:sz w:val="24"/>
          <w:szCs w:val="24"/>
          <w:lang w:eastAsia="en-IN"/>
        </w:rPr>
      </w:pPr>
      <w:r w:rsidRPr="00B13DFD">
        <w:rPr>
          <w:rFonts w:ascii="Times New Roman" w:eastAsia="Times New Roman" w:hAnsi="Times New Roman" w:cs="Times New Roman"/>
          <w:sz w:val="24"/>
          <w:szCs w:val="24"/>
          <w:lang w:eastAsia="en-IN"/>
        </w:rPr>
        <w:t xml:space="preserve">Sheehan VM, Ross P, Fitzgerald GF. Assessing the viability of probiotic cultures in fruit juices. </w:t>
      </w:r>
      <w:r w:rsidRPr="00B13DFD">
        <w:rPr>
          <w:rFonts w:ascii="Times New Roman" w:eastAsia="Times New Roman" w:hAnsi="Times New Roman" w:cs="Times New Roman"/>
          <w:i/>
          <w:iCs/>
          <w:sz w:val="24"/>
          <w:szCs w:val="24"/>
          <w:lang w:eastAsia="en-IN"/>
        </w:rPr>
        <w:t>Trends Food Sci Technol</w:t>
      </w:r>
      <w:r w:rsidRPr="00B13DFD">
        <w:rPr>
          <w:rFonts w:ascii="Times New Roman" w:eastAsia="Times New Roman" w:hAnsi="Times New Roman" w:cs="Times New Roman"/>
          <w:sz w:val="24"/>
          <w:szCs w:val="24"/>
          <w:lang w:eastAsia="en-IN"/>
        </w:rPr>
        <w:t>. 2007;18(10):573–579.</w:t>
      </w:r>
    </w:p>
    <w:p w14:paraId="4ABF9F7A" w14:textId="52C7E178" w:rsidR="00B13DFD" w:rsidRDefault="00B13DFD" w:rsidP="001A58BB">
      <w:pPr>
        <w:numPr>
          <w:ilvl w:val="0"/>
          <w:numId w:val="38"/>
        </w:numPr>
        <w:spacing w:after="0"/>
        <w:rPr>
          <w:rFonts w:ascii="Times New Roman" w:eastAsia="Times New Roman" w:hAnsi="Times New Roman" w:cs="Times New Roman"/>
          <w:sz w:val="24"/>
          <w:szCs w:val="24"/>
          <w:lang w:eastAsia="en-IN"/>
        </w:rPr>
      </w:pPr>
      <w:proofErr w:type="spellStart"/>
      <w:r w:rsidRPr="00B13DFD">
        <w:rPr>
          <w:rFonts w:ascii="Times New Roman" w:eastAsia="Times New Roman" w:hAnsi="Times New Roman" w:cs="Times New Roman"/>
          <w:sz w:val="24"/>
          <w:szCs w:val="24"/>
          <w:lang w:eastAsia="en-IN"/>
        </w:rPr>
        <w:t>Sivudu</w:t>
      </w:r>
      <w:proofErr w:type="spellEnd"/>
      <w:r w:rsidRPr="00B13DFD">
        <w:rPr>
          <w:rFonts w:ascii="Times New Roman" w:eastAsia="Times New Roman" w:hAnsi="Times New Roman" w:cs="Times New Roman"/>
          <w:sz w:val="24"/>
          <w:szCs w:val="24"/>
          <w:lang w:eastAsia="en-IN"/>
        </w:rPr>
        <w:t xml:space="preserve"> KS, et al. Survival of LAB in mixed watermelon-tomato juice. </w:t>
      </w:r>
      <w:r w:rsidRPr="00B13DFD">
        <w:rPr>
          <w:rFonts w:ascii="Times New Roman" w:eastAsia="Times New Roman" w:hAnsi="Times New Roman" w:cs="Times New Roman"/>
          <w:i/>
          <w:iCs/>
          <w:sz w:val="24"/>
          <w:szCs w:val="24"/>
          <w:lang w:eastAsia="en-IN"/>
        </w:rPr>
        <w:t>J Food Sci Technol</w:t>
      </w:r>
      <w:r w:rsidRPr="00B13DFD">
        <w:rPr>
          <w:rFonts w:ascii="Times New Roman" w:eastAsia="Times New Roman" w:hAnsi="Times New Roman" w:cs="Times New Roman"/>
          <w:sz w:val="24"/>
          <w:szCs w:val="24"/>
          <w:lang w:eastAsia="en-IN"/>
        </w:rPr>
        <w:t>. 2014;51(3):461–466.</w:t>
      </w:r>
    </w:p>
    <w:p w14:paraId="5921AD68" w14:textId="51F044AA" w:rsidR="00B559D0" w:rsidRPr="00B13DFD" w:rsidRDefault="00B559D0" w:rsidP="001A58BB">
      <w:pPr>
        <w:numPr>
          <w:ilvl w:val="0"/>
          <w:numId w:val="38"/>
        </w:numPr>
        <w:spacing w:after="0"/>
        <w:rPr>
          <w:rFonts w:ascii="Times New Roman" w:eastAsia="Times New Roman" w:hAnsi="Times New Roman" w:cs="Times New Roman"/>
          <w:sz w:val="24"/>
          <w:szCs w:val="24"/>
          <w:lang w:eastAsia="en-IN"/>
        </w:rPr>
      </w:pPr>
      <w:r w:rsidRPr="00B559D0">
        <w:rPr>
          <w:rFonts w:ascii="Times New Roman" w:eastAsia="Times New Roman" w:hAnsi="Times New Roman" w:cs="Times New Roman"/>
          <w:sz w:val="24"/>
          <w:szCs w:val="24"/>
          <w:lang w:eastAsia="en-IN"/>
        </w:rPr>
        <w:t>Chaudhary, A., Sharma, V., &amp; Saharan, B. S. (2019). Probiotic potential of noni and mulberry juice fermented with lactic acid bacteria. Asian Journal of Dairy and Food Research, 38(2), 114-120.</w:t>
      </w:r>
    </w:p>
    <w:p w14:paraId="3455E9BB" w14:textId="77777777" w:rsidR="00B13DFD" w:rsidRPr="00B13DFD" w:rsidRDefault="00B13DFD" w:rsidP="001A58BB">
      <w:pPr>
        <w:spacing w:after="0"/>
        <w:rPr>
          <w:rFonts w:ascii="Times New Roman" w:eastAsia="Times New Roman" w:hAnsi="Times New Roman" w:cs="Times New Roman"/>
          <w:sz w:val="24"/>
          <w:szCs w:val="24"/>
          <w:lang w:eastAsia="en-IN"/>
        </w:rPr>
      </w:pPr>
    </w:p>
    <w:p w14:paraId="5EF47FAD" w14:textId="77777777" w:rsidR="00242DD5" w:rsidRPr="00226F62" w:rsidRDefault="00242DD5" w:rsidP="001A58BB">
      <w:pPr>
        <w:pStyle w:val="ListNumber"/>
        <w:numPr>
          <w:ilvl w:val="0"/>
          <w:numId w:val="0"/>
        </w:numPr>
        <w:spacing w:after="0"/>
        <w:ind w:left="360" w:hanging="360"/>
        <w:jc w:val="both"/>
        <w:rPr>
          <w:rFonts w:ascii="Times New Roman" w:hAnsi="Times New Roman" w:cs="Times New Roman"/>
          <w:sz w:val="24"/>
          <w:szCs w:val="24"/>
        </w:rPr>
      </w:pPr>
    </w:p>
    <w:sectPr w:rsidR="00242DD5" w:rsidRPr="00226F62" w:rsidSect="00DB51A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5F718" w14:textId="77777777" w:rsidR="00D72732" w:rsidRDefault="00D72732" w:rsidP="008A4081">
      <w:pPr>
        <w:spacing w:after="0" w:line="240" w:lineRule="auto"/>
      </w:pPr>
      <w:r>
        <w:separator/>
      </w:r>
    </w:p>
  </w:endnote>
  <w:endnote w:type="continuationSeparator" w:id="0">
    <w:p w14:paraId="21825551" w14:textId="77777777" w:rsidR="00D72732" w:rsidRDefault="00D72732" w:rsidP="008A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3F58E" w14:textId="77777777" w:rsidR="008A4081" w:rsidRDefault="008A40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93AB1" w14:textId="77777777" w:rsidR="008A4081" w:rsidRDefault="008A40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DD575" w14:textId="77777777" w:rsidR="008A4081" w:rsidRDefault="008A4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027F5" w14:textId="77777777" w:rsidR="00D72732" w:rsidRDefault="00D72732" w:rsidP="008A4081">
      <w:pPr>
        <w:spacing w:after="0" w:line="240" w:lineRule="auto"/>
      </w:pPr>
      <w:r>
        <w:separator/>
      </w:r>
    </w:p>
  </w:footnote>
  <w:footnote w:type="continuationSeparator" w:id="0">
    <w:p w14:paraId="11C75626" w14:textId="77777777" w:rsidR="00D72732" w:rsidRDefault="00D72732" w:rsidP="008A4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0D59" w14:textId="3F58686E" w:rsidR="008A4081" w:rsidRDefault="008A4081">
    <w:pPr>
      <w:pStyle w:val="Header"/>
    </w:pPr>
    <w:r>
      <w:rPr>
        <w:noProof/>
      </w:rPr>
      <w:pict w14:anchorId="2FED58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2068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22FC4" w14:textId="39C60AD7" w:rsidR="008A4081" w:rsidRDefault="008A4081">
    <w:pPr>
      <w:pStyle w:val="Header"/>
    </w:pPr>
    <w:r>
      <w:rPr>
        <w:noProof/>
      </w:rPr>
      <w:pict w14:anchorId="38B604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2068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EF5B3" w14:textId="3D64C928" w:rsidR="008A4081" w:rsidRDefault="008A4081">
    <w:pPr>
      <w:pStyle w:val="Header"/>
    </w:pPr>
    <w:r>
      <w:rPr>
        <w:noProof/>
      </w:rPr>
      <w:pict w14:anchorId="3970F4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2068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1BAD212"/>
    <w:lvl w:ilvl="0">
      <w:start w:val="1"/>
      <w:numFmt w:val="decimal"/>
      <w:pStyle w:val="ListNumber"/>
      <w:lvlText w:val="%1."/>
      <w:lvlJc w:val="left"/>
      <w:pPr>
        <w:tabs>
          <w:tab w:val="num" w:pos="360"/>
        </w:tabs>
        <w:ind w:left="360" w:hanging="360"/>
      </w:pPr>
    </w:lvl>
  </w:abstractNum>
  <w:abstractNum w:abstractNumId="1" w15:restartNumberingAfterBreak="0">
    <w:nsid w:val="0222053A"/>
    <w:multiLevelType w:val="multilevel"/>
    <w:tmpl w:val="7BA8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7749C"/>
    <w:multiLevelType w:val="multilevel"/>
    <w:tmpl w:val="949A8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7F6889"/>
    <w:multiLevelType w:val="multilevel"/>
    <w:tmpl w:val="21AAC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B8619C"/>
    <w:multiLevelType w:val="multilevel"/>
    <w:tmpl w:val="C0C8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F004E"/>
    <w:multiLevelType w:val="multilevel"/>
    <w:tmpl w:val="BC8E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B77A11"/>
    <w:multiLevelType w:val="multilevel"/>
    <w:tmpl w:val="69E6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E73DA8"/>
    <w:multiLevelType w:val="multilevel"/>
    <w:tmpl w:val="486A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517CE"/>
    <w:multiLevelType w:val="multilevel"/>
    <w:tmpl w:val="D9A6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650196"/>
    <w:multiLevelType w:val="multilevel"/>
    <w:tmpl w:val="21AE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B67B90"/>
    <w:multiLevelType w:val="multilevel"/>
    <w:tmpl w:val="3916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F11481"/>
    <w:multiLevelType w:val="multilevel"/>
    <w:tmpl w:val="A678F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181F13"/>
    <w:multiLevelType w:val="multilevel"/>
    <w:tmpl w:val="C3B8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5D7F03"/>
    <w:multiLevelType w:val="multilevel"/>
    <w:tmpl w:val="D8A0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0C0968"/>
    <w:multiLevelType w:val="multilevel"/>
    <w:tmpl w:val="1C3C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F414E5"/>
    <w:multiLevelType w:val="multilevel"/>
    <w:tmpl w:val="7D52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8E650D"/>
    <w:multiLevelType w:val="multilevel"/>
    <w:tmpl w:val="D850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F86AAE"/>
    <w:multiLevelType w:val="multilevel"/>
    <w:tmpl w:val="A62A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CD334F"/>
    <w:multiLevelType w:val="multilevel"/>
    <w:tmpl w:val="20C8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B27A78"/>
    <w:multiLevelType w:val="multilevel"/>
    <w:tmpl w:val="3A80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412756"/>
    <w:multiLevelType w:val="multilevel"/>
    <w:tmpl w:val="892E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387E11"/>
    <w:multiLevelType w:val="multilevel"/>
    <w:tmpl w:val="3836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3F77F4"/>
    <w:multiLevelType w:val="multilevel"/>
    <w:tmpl w:val="1BD8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CF4DDB"/>
    <w:multiLevelType w:val="multilevel"/>
    <w:tmpl w:val="3BE8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12582D"/>
    <w:multiLevelType w:val="multilevel"/>
    <w:tmpl w:val="190C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D4468E"/>
    <w:multiLevelType w:val="multilevel"/>
    <w:tmpl w:val="E588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9210BF"/>
    <w:multiLevelType w:val="multilevel"/>
    <w:tmpl w:val="48F0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9B2346"/>
    <w:multiLevelType w:val="multilevel"/>
    <w:tmpl w:val="F664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641737"/>
    <w:multiLevelType w:val="multilevel"/>
    <w:tmpl w:val="BFA4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D73035"/>
    <w:multiLevelType w:val="multilevel"/>
    <w:tmpl w:val="5B08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9525F7"/>
    <w:multiLevelType w:val="multilevel"/>
    <w:tmpl w:val="6DCC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D4735E"/>
    <w:multiLevelType w:val="multilevel"/>
    <w:tmpl w:val="61E0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360BFE"/>
    <w:multiLevelType w:val="multilevel"/>
    <w:tmpl w:val="7A6E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3653EF"/>
    <w:multiLevelType w:val="multilevel"/>
    <w:tmpl w:val="9740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2D6242"/>
    <w:multiLevelType w:val="multilevel"/>
    <w:tmpl w:val="8668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B90315"/>
    <w:multiLevelType w:val="multilevel"/>
    <w:tmpl w:val="E5A44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B244E7"/>
    <w:multiLevelType w:val="multilevel"/>
    <w:tmpl w:val="03E8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5D6B9C"/>
    <w:multiLevelType w:val="multilevel"/>
    <w:tmpl w:val="23DC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7"/>
  </w:num>
  <w:num w:numId="3">
    <w:abstractNumId w:val="14"/>
  </w:num>
  <w:num w:numId="4">
    <w:abstractNumId w:val="5"/>
  </w:num>
  <w:num w:numId="5">
    <w:abstractNumId w:val="4"/>
  </w:num>
  <w:num w:numId="6">
    <w:abstractNumId w:val="22"/>
  </w:num>
  <w:num w:numId="7">
    <w:abstractNumId w:val="35"/>
  </w:num>
  <w:num w:numId="8">
    <w:abstractNumId w:val="33"/>
  </w:num>
  <w:num w:numId="9">
    <w:abstractNumId w:val="8"/>
  </w:num>
  <w:num w:numId="10">
    <w:abstractNumId w:val="18"/>
  </w:num>
  <w:num w:numId="11">
    <w:abstractNumId w:val="32"/>
  </w:num>
  <w:num w:numId="12">
    <w:abstractNumId w:val="7"/>
  </w:num>
  <w:num w:numId="13">
    <w:abstractNumId w:val="34"/>
  </w:num>
  <w:num w:numId="14">
    <w:abstractNumId w:val="31"/>
  </w:num>
  <w:num w:numId="15">
    <w:abstractNumId w:val="26"/>
  </w:num>
  <w:num w:numId="16">
    <w:abstractNumId w:val="21"/>
  </w:num>
  <w:num w:numId="17">
    <w:abstractNumId w:val="37"/>
  </w:num>
  <w:num w:numId="18">
    <w:abstractNumId w:val="36"/>
  </w:num>
  <w:num w:numId="19">
    <w:abstractNumId w:val="6"/>
  </w:num>
  <w:num w:numId="20">
    <w:abstractNumId w:val="16"/>
  </w:num>
  <w:num w:numId="21">
    <w:abstractNumId w:val="29"/>
  </w:num>
  <w:num w:numId="22">
    <w:abstractNumId w:val="17"/>
  </w:num>
  <w:num w:numId="23">
    <w:abstractNumId w:val="10"/>
  </w:num>
  <w:num w:numId="24">
    <w:abstractNumId w:val="23"/>
  </w:num>
  <w:num w:numId="25">
    <w:abstractNumId w:val="19"/>
  </w:num>
  <w:num w:numId="26">
    <w:abstractNumId w:val="30"/>
  </w:num>
  <w:num w:numId="27">
    <w:abstractNumId w:val="1"/>
  </w:num>
  <w:num w:numId="28">
    <w:abstractNumId w:val="11"/>
  </w:num>
  <w:num w:numId="29">
    <w:abstractNumId w:val="15"/>
  </w:num>
  <w:num w:numId="30">
    <w:abstractNumId w:val="20"/>
  </w:num>
  <w:num w:numId="31">
    <w:abstractNumId w:val="9"/>
  </w:num>
  <w:num w:numId="32">
    <w:abstractNumId w:val="13"/>
  </w:num>
  <w:num w:numId="33">
    <w:abstractNumId w:val="3"/>
  </w:num>
  <w:num w:numId="34">
    <w:abstractNumId w:val="12"/>
  </w:num>
  <w:num w:numId="35">
    <w:abstractNumId w:val="24"/>
  </w:num>
  <w:num w:numId="36">
    <w:abstractNumId w:val="28"/>
  </w:num>
  <w:num w:numId="37">
    <w:abstractNumId w:val="0"/>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884"/>
    <w:rsid w:val="00001FBB"/>
    <w:rsid w:val="00033B23"/>
    <w:rsid w:val="00052436"/>
    <w:rsid w:val="00091FCB"/>
    <w:rsid w:val="001953B3"/>
    <w:rsid w:val="001A58BB"/>
    <w:rsid w:val="00226F62"/>
    <w:rsid w:val="00242DD5"/>
    <w:rsid w:val="002933EE"/>
    <w:rsid w:val="002D4C8F"/>
    <w:rsid w:val="0032456A"/>
    <w:rsid w:val="00380CB2"/>
    <w:rsid w:val="003A265D"/>
    <w:rsid w:val="004136BB"/>
    <w:rsid w:val="00442E5F"/>
    <w:rsid w:val="004B3C75"/>
    <w:rsid w:val="00501884"/>
    <w:rsid w:val="008616B4"/>
    <w:rsid w:val="00865875"/>
    <w:rsid w:val="00886A55"/>
    <w:rsid w:val="008A4081"/>
    <w:rsid w:val="008B42C9"/>
    <w:rsid w:val="009E5244"/>
    <w:rsid w:val="00A2564A"/>
    <w:rsid w:val="00A44750"/>
    <w:rsid w:val="00A7068E"/>
    <w:rsid w:val="00A81363"/>
    <w:rsid w:val="00A96F07"/>
    <w:rsid w:val="00AD6894"/>
    <w:rsid w:val="00B13DFD"/>
    <w:rsid w:val="00B559D0"/>
    <w:rsid w:val="00B946B1"/>
    <w:rsid w:val="00C23DDC"/>
    <w:rsid w:val="00C52C72"/>
    <w:rsid w:val="00C70AE3"/>
    <w:rsid w:val="00CB65A6"/>
    <w:rsid w:val="00CF25DE"/>
    <w:rsid w:val="00D03718"/>
    <w:rsid w:val="00D573A3"/>
    <w:rsid w:val="00D62264"/>
    <w:rsid w:val="00D72732"/>
    <w:rsid w:val="00DB51A2"/>
    <w:rsid w:val="00E63D41"/>
    <w:rsid w:val="00E773EF"/>
    <w:rsid w:val="00EB260A"/>
    <w:rsid w:val="00EC16AC"/>
    <w:rsid w:val="00F066ED"/>
    <w:rsid w:val="00FB67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672941"/>
  <w15:docId w15:val="{979E8121-F376-439C-AD4C-38F2A0D30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51A2"/>
  </w:style>
  <w:style w:type="paragraph" w:styleId="Heading1">
    <w:name w:val="heading 1"/>
    <w:basedOn w:val="Normal"/>
    <w:next w:val="Normal"/>
    <w:link w:val="Heading1Char"/>
    <w:uiPriority w:val="9"/>
    <w:qFormat/>
    <w:rsid w:val="00052436"/>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3">
    <w:name w:val="heading 3"/>
    <w:basedOn w:val="Normal"/>
    <w:link w:val="Heading3Char"/>
    <w:uiPriority w:val="9"/>
    <w:qFormat/>
    <w:rsid w:val="0050188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501884"/>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1884"/>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501884"/>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501884"/>
    <w:rPr>
      <w:b/>
      <w:bCs/>
    </w:rPr>
  </w:style>
  <w:style w:type="paragraph" w:styleId="NormalWeb">
    <w:name w:val="Normal (Web)"/>
    <w:basedOn w:val="Normal"/>
    <w:uiPriority w:val="99"/>
    <w:unhideWhenUsed/>
    <w:rsid w:val="0050188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501884"/>
    <w:rPr>
      <w:i/>
      <w:iCs/>
    </w:rPr>
  </w:style>
  <w:style w:type="character" w:customStyle="1" w:styleId="Heading1Char">
    <w:name w:val="Heading 1 Char"/>
    <w:basedOn w:val="DefaultParagraphFont"/>
    <w:link w:val="Heading1"/>
    <w:uiPriority w:val="9"/>
    <w:rsid w:val="00052436"/>
    <w:rPr>
      <w:rFonts w:asciiTheme="majorHAnsi" w:eastAsiaTheme="majorEastAsia" w:hAnsiTheme="majorHAnsi" w:cstheme="majorBidi"/>
      <w:b/>
      <w:bCs/>
      <w:color w:val="365F91" w:themeColor="accent1" w:themeShade="BF"/>
      <w:sz w:val="28"/>
      <w:szCs w:val="28"/>
      <w:lang w:val="en-US"/>
    </w:rPr>
  </w:style>
  <w:style w:type="table" w:styleId="TableGrid">
    <w:name w:val="Table Grid"/>
    <w:basedOn w:val="TableNormal"/>
    <w:uiPriority w:val="59"/>
    <w:rsid w:val="002D4C8F"/>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242DD5"/>
    <w:pPr>
      <w:numPr>
        <w:numId w:val="37"/>
      </w:numPr>
      <w:contextualSpacing/>
    </w:pPr>
    <w:rPr>
      <w:rFonts w:eastAsiaTheme="minorEastAsia"/>
      <w:lang w:val="en-US"/>
    </w:rPr>
  </w:style>
  <w:style w:type="paragraph" w:styleId="Footer">
    <w:name w:val="footer"/>
    <w:basedOn w:val="Normal"/>
    <w:link w:val="FooterChar"/>
    <w:uiPriority w:val="99"/>
    <w:unhideWhenUsed/>
    <w:rsid w:val="00CB65A6"/>
    <w:pPr>
      <w:tabs>
        <w:tab w:val="center" w:pos="4680"/>
        <w:tab w:val="right" w:pos="9360"/>
      </w:tabs>
      <w:spacing w:after="0" w:line="240" w:lineRule="auto"/>
    </w:pPr>
    <w:rPr>
      <w:rFonts w:eastAsiaTheme="minorEastAsia"/>
      <w:lang w:val="en-US"/>
    </w:rPr>
  </w:style>
  <w:style w:type="character" w:customStyle="1" w:styleId="FooterChar">
    <w:name w:val="Footer Char"/>
    <w:basedOn w:val="DefaultParagraphFont"/>
    <w:link w:val="Footer"/>
    <w:uiPriority w:val="99"/>
    <w:rsid w:val="00CB65A6"/>
    <w:rPr>
      <w:rFonts w:eastAsiaTheme="minorEastAsia"/>
      <w:lang w:val="en-US"/>
    </w:rPr>
  </w:style>
  <w:style w:type="character" w:styleId="Hyperlink">
    <w:name w:val="Hyperlink"/>
    <w:basedOn w:val="DefaultParagraphFont"/>
    <w:uiPriority w:val="99"/>
    <w:unhideWhenUsed/>
    <w:rsid w:val="00442E5F"/>
    <w:rPr>
      <w:color w:val="0000FF" w:themeColor="hyperlink"/>
      <w:u w:val="single"/>
    </w:rPr>
  </w:style>
  <w:style w:type="character" w:styleId="UnresolvedMention">
    <w:name w:val="Unresolved Mention"/>
    <w:basedOn w:val="DefaultParagraphFont"/>
    <w:uiPriority w:val="99"/>
    <w:semiHidden/>
    <w:unhideWhenUsed/>
    <w:rsid w:val="00442E5F"/>
    <w:rPr>
      <w:color w:val="605E5C"/>
      <w:shd w:val="clear" w:color="auto" w:fill="E1DFDD"/>
    </w:rPr>
  </w:style>
  <w:style w:type="paragraph" w:styleId="Header">
    <w:name w:val="header"/>
    <w:basedOn w:val="Normal"/>
    <w:link w:val="HeaderChar"/>
    <w:uiPriority w:val="99"/>
    <w:unhideWhenUsed/>
    <w:rsid w:val="008A4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83530">
      <w:bodyDiv w:val="1"/>
      <w:marLeft w:val="0"/>
      <w:marRight w:val="0"/>
      <w:marTop w:val="0"/>
      <w:marBottom w:val="0"/>
      <w:divBdr>
        <w:top w:val="none" w:sz="0" w:space="0" w:color="auto"/>
        <w:left w:val="none" w:sz="0" w:space="0" w:color="auto"/>
        <w:bottom w:val="none" w:sz="0" w:space="0" w:color="auto"/>
        <w:right w:val="none" w:sz="0" w:space="0" w:color="auto"/>
      </w:divBdr>
    </w:div>
    <w:div w:id="91246618">
      <w:bodyDiv w:val="1"/>
      <w:marLeft w:val="0"/>
      <w:marRight w:val="0"/>
      <w:marTop w:val="0"/>
      <w:marBottom w:val="0"/>
      <w:divBdr>
        <w:top w:val="none" w:sz="0" w:space="0" w:color="auto"/>
        <w:left w:val="none" w:sz="0" w:space="0" w:color="auto"/>
        <w:bottom w:val="none" w:sz="0" w:space="0" w:color="auto"/>
        <w:right w:val="none" w:sz="0" w:space="0" w:color="auto"/>
      </w:divBdr>
    </w:div>
    <w:div w:id="210768571">
      <w:bodyDiv w:val="1"/>
      <w:marLeft w:val="0"/>
      <w:marRight w:val="0"/>
      <w:marTop w:val="0"/>
      <w:marBottom w:val="0"/>
      <w:divBdr>
        <w:top w:val="none" w:sz="0" w:space="0" w:color="auto"/>
        <w:left w:val="none" w:sz="0" w:space="0" w:color="auto"/>
        <w:bottom w:val="none" w:sz="0" w:space="0" w:color="auto"/>
        <w:right w:val="none" w:sz="0" w:space="0" w:color="auto"/>
      </w:divBdr>
    </w:div>
    <w:div w:id="223614078">
      <w:bodyDiv w:val="1"/>
      <w:marLeft w:val="0"/>
      <w:marRight w:val="0"/>
      <w:marTop w:val="0"/>
      <w:marBottom w:val="0"/>
      <w:divBdr>
        <w:top w:val="none" w:sz="0" w:space="0" w:color="auto"/>
        <w:left w:val="none" w:sz="0" w:space="0" w:color="auto"/>
        <w:bottom w:val="none" w:sz="0" w:space="0" w:color="auto"/>
        <w:right w:val="none" w:sz="0" w:space="0" w:color="auto"/>
      </w:divBdr>
    </w:div>
    <w:div w:id="344673853">
      <w:bodyDiv w:val="1"/>
      <w:marLeft w:val="0"/>
      <w:marRight w:val="0"/>
      <w:marTop w:val="0"/>
      <w:marBottom w:val="0"/>
      <w:divBdr>
        <w:top w:val="none" w:sz="0" w:space="0" w:color="auto"/>
        <w:left w:val="none" w:sz="0" w:space="0" w:color="auto"/>
        <w:bottom w:val="none" w:sz="0" w:space="0" w:color="auto"/>
        <w:right w:val="none" w:sz="0" w:space="0" w:color="auto"/>
      </w:divBdr>
    </w:div>
    <w:div w:id="444160415">
      <w:bodyDiv w:val="1"/>
      <w:marLeft w:val="0"/>
      <w:marRight w:val="0"/>
      <w:marTop w:val="0"/>
      <w:marBottom w:val="0"/>
      <w:divBdr>
        <w:top w:val="none" w:sz="0" w:space="0" w:color="auto"/>
        <w:left w:val="none" w:sz="0" w:space="0" w:color="auto"/>
        <w:bottom w:val="none" w:sz="0" w:space="0" w:color="auto"/>
        <w:right w:val="none" w:sz="0" w:space="0" w:color="auto"/>
      </w:divBdr>
    </w:div>
    <w:div w:id="683555997">
      <w:bodyDiv w:val="1"/>
      <w:marLeft w:val="0"/>
      <w:marRight w:val="0"/>
      <w:marTop w:val="0"/>
      <w:marBottom w:val="0"/>
      <w:divBdr>
        <w:top w:val="none" w:sz="0" w:space="0" w:color="auto"/>
        <w:left w:val="none" w:sz="0" w:space="0" w:color="auto"/>
        <w:bottom w:val="none" w:sz="0" w:space="0" w:color="auto"/>
        <w:right w:val="none" w:sz="0" w:space="0" w:color="auto"/>
      </w:divBdr>
    </w:div>
    <w:div w:id="688412709">
      <w:bodyDiv w:val="1"/>
      <w:marLeft w:val="0"/>
      <w:marRight w:val="0"/>
      <w:marTop w:val="0"/>
      <w:marBottom w:val="0"/>
      <w:divBdr>
        <w:top w:val="none" w:sz="0" w:space="0" w:color="auto"/>
        <w:left w:val="none" w:sz="0" w:space="0" w:color="auto"/>
        <w:bottom w:val="none" w:sz="0" w:space="0" w:color="auto"/>
        <w:right w:val="none" w:sz="0" w:space="0" w:color="auto"/>
      </w:divBdr>
    </w:div>
    <w:div w:id="811600899">
      <w:bodyDiv w:val="1"/>
      <w:marLeft w:val="0"/>
      <w:marRight w:val="0"/>
      <w:marTop w:val="0"/>
      <w:marBottom w:val="0"/>
      <w:divBdr>
        <w:top w:val="none" w:sz="0" w:space="0" w:color="auto"/>
        <w:left w:val="none" w:sz="0" w:space="0" w:color="auto"/>
        <w:bottom w:val="none" w:sz="0" w:space="0" w:color="auto"/>
        <w:right w:val="none" w:sz="0" w:space="0" w:color="auto"/>
      </w:divBdr>
    </w:div>
    <w:div w:id="1009255130">
      <w:bodyDiv w:val="1"/>
      <w:marLeft w:val="0"/>
      <w:marRight w:val="0"/>
      <w:marTop w:val="0"/>
      <w:marBottom w:val="0"/>
      <w:divBdr>
        <w:top w:val="none" w:sz="0" w:space="0" w:color="auto"/>
        <w:left w:val="none" w:sz="0" w:space="0" w:color="auto"/>
        <w:bottom w:val="none" w:sz="0" w:space="0" w:color="auto"/>
        <w:right w:val="none" w:sz="0" w:space="0" w:color="auto"/>
      </w:divBdr>
    </w:div>
    <w:div w:id="1170756660">
      <w:bodyDiv w:val="1"/>
      <w:marLeft w:val="0"/>
      <w:marRight w:val="0"/>
      <w:marTop w:val="0"/>
      <w:marBottom w:val="0"/>
      <w:divBdr>
        <w:top w:val="none" w:sz="0" w:space="0" w:color="auto"/>
        <w:left w:val="none" w:sz="0" w:space="0" w:color="auto"/>
        <w:bottom w:val="none" w:sz="0" w:space="0" w:color="auto"/>
        <w:right w:val="none" w:sz="0" w:space="0" w:color="auto"/>
      </w:divBdr>
    </w:div>
    <w:div w:id="1320616066">
      <w:bodyDiv w:val="1"/>
      <w:marLeft w:val="0"/>
      <w:marRight w:val="0"/>
      <w:marTop w:val="0"/>
      <w:marBottom w:val="0"/>
      <w:divBdr>
        <w:top w:val="none" w:sz="0" w:space="0" w:color="auto"/>
        <w:left w:val="none" w:sz="0" w:space="0" w:color="auto"/>
        <w:bottom w:val="none" w:sz="0" w:space="0" w:color="auto"/>
        <w:right w:val="none" w:sz="0" w:space="0" w:color="auto"/>
      </w:divBdr>
    </w:div>
    <w:div w:id="1326670590">
      <w:bodyDiv w:val="1"/>
      <w:marLeft w:val="0"/>
      <w:marRight w:val="0"/>
      <w:marTop w:val="0"/>
      <w:marBottom w:val="0"/>
      <w:divBdr>
        <w:top w:val="none" w:sz="0" w:space="0" w:color="auto"/>
        <w:left w:val="none" w:sz="0" w:space="0" w:color="auto"/>
        <w:bottom w:val="none" w:sz="0" w:space="0" w:color="auto"/>
        <w:right w:val="none" w:sz="0" w:space="0" w:color="auto"/>
      </w:divBdr>
    </w:div>
    <w:div w:id="1366757347">
      <w:bodyDiv w:val="1"/>
      <w:marLeft w:val="0"/>
      <w:marRight w:val="0"/>
      <w:marTop w:val="0"/>
      <w:marBottom w:val="0"/>
      <w:divBdr>
        <w:top w:val="none" w:sz="0" w:space="0" w:color="auto"/>
        <w:left w:val="none" w:sz="0" w:space="0" w:color="auto"/>
        <w:bottom w:val="none" w:sz="0" w:space="0" w:color="auto"/>
        <w:right w:val="none" w:sz="0" w:space="0" w:color="auto"/>
      </w:divBdr>
    </w:div>
    <w:div w:id="1505364936">
      <w:bodyDiv w:val="1"/>
      <w:marLeft w:val="0"/>
      <w:marRight w:val="0"/>
      <w:marTop w:val="0"/>
      <w:marBottom w:val="0"/>
      <w:divBdr>
        <w:top w:val="none" w:sz="0" w:space="0" w:color="auto"/>
        <w:left w:val="none" w:sz="0" w:space="0" w:color="auto"/>
        <w:bottom w:val="none" w:sz="0" w:space="0" w:color="auto"/>
        <w:right w:val="none" w:sz="0" w:space="0" w:color="auto"/>
      </w:divBdr>
    </w:div>
    <w:div w:id="1703090867">
      <w:bodyDiv w:val="1"/>
      <w:marLeft w:val="0"/>
      <w:marRight w:val="0"/>
      <w:marTop w:val="0"/>
      <w:marBottom w:val="0"/>
      <w:divBdr>
        <w:top w:val="none" w:sz="0" w:space="0" w:color="auto"/>
        <w:left w:val="none" w:sz="0" w:space="0" w:color="auto"/>
        <w:bottom w:val="none" w:sz="0" w:space="0" w:color="auto"/>
        <w:right w:val="none" w:sz="0" w:space="0" w:color="auto"/>
      </w:divBdr>
    </w:div>
    <w:div w:id="196064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D148A-9246-43E0-9091-777EB818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9</Pages>
  <Words>3598</Words>
  <Characters>20515</Characters>
  <Application>Microsoft Office Word</Application>
  <DocSecurity>0</DocSecurity>
  <Lines>170</Lines>
  <Paragraphs>48</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        Probiotic Potential of Mulberry (Morus spp.) Fruit Juice: A Functional Beverage </vt:lpstr>
      <vt:lpstr>        Abstract:</vt:lpstr>
      <vt:lpstr>        </vt:lpstr>
      <vt:lpstr>        2. Nutritional and Bioactive Composition of Mulberry Fruit Juice</vt:lpstr>
      <vt:lpstr>Table 1. Nutritional and Bioactive Composition of Mulberry (Morus spp.) Fruit Ju</vt:lpstr>
      <vt:lpstr>        3.1 Commonly Used LAB Strains</vt:lpstr>
      <vt:lpstr>        3.2 Functional Roles of LAB in Fermentation</vt:lpstr>
      <vt:lpstr>        3.3 Adaptability in Fruit Juice Matrices</vt:lpstr>
      <vt:lpstr>        4. Fermentation Dynamics of Mulberry Juice</vt:lpstr>
      <vt:lpstr>        4.1 Optimal Fermentation Conditions</vt:lpstr>
      <vt:lpstr>        4.2 Impact on Bioactive Compounds</vt:lpstr>
      <vt:lpstr>        4.3 Sensory Improvements</vt:lpstr>
      <vt:lpstr>        4.4 Shelf Stability</vt:lpstr>
      <vt:lpstr>        5. Health Benefits of Probiotic Mulberry Juice</vt:lpstr>
      <vt:lpstr>        5.1 Gastrointestinal Health</vt:lpstr>
      <vt:lpstr>        5.3 Antioxidant Protection</vt:lpstr>
      <vt:lpstr>        5.4 Antidiabetic Properties</vt:lpstr>
      <vt:lpstr>        5.5 Anti-Inflammatory Action</vt:lpstr>
      <vt:lpstr>        5.6 Cardiovascular Protection</vt:lpstr>
      <vt:lpstr>        6.1 Viability of Probiotics</vt:lpstr>
      <vt:lpstr>        6.2 Preservation of Bioactive Compounds</vt:lpstr>
      <vt:lpstr>        6.3 Sensory Characteristics</vt:lpstr>
      <vt:lpstr>        6.4 Packaging and Storage Recommendations</vt:lpstr>
      <vt:lpstr>Table 2. Fermentation Studies of Mulberry Fruit Juice with LAB (2003–2025)</vt:lpstr>
      <vt:lpstr>References</vt:lpstr>
    </vt:vector>
  </TitlesOfParts>
  <Company/>
  <LinksUpToDate>false</LinksUpToDate>
  <CharactersWithSpaces>24065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32</cp:revision>
  <dcterms:created xsi:type="dcterms:W3CDTF">2025-07-24T07:04:00Z</dcterms:created>
  <dcterms:modified xsi:type="dcterms:W3CDTF">2025-08-04T10:05:00Z</dcterms:modified>
</cp:coreProperties>
</file>