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1ABFE" w14:textId="34A6D97C" w:rsidR="00643C88" w:rsidRPr="00C81924" w:rsidRDefault="0058304E" w:rsidP="00FD54F5">
      <w:pPr>
        <w:pStyle w:val="Normal1"/>
        <w:spacing w:line="240" w:lineRule="auto"/>
      </w:pPr>
      <w:bookmarkStart w:id="0" w:name="_Hlk163166096"/>
      <w:r w:rsidRPr="00C81924">
        <w:t xml:space="preserve">Prevalence of Multidrug Resistant and Extended-Spectrum β-Lactamase-Producing </w:t>
      </w:r>
      <w:r w:rsidRPr="00C81924">
        <w:rPr>
          <w:i/>
          <w:iCs/>
        </w:rPr>
        <w:t>Escherichia coli</w:t>
      </w:r>
      <w:r w:rsidRPr="00C81924">
        <w:t xml:space="preserve"> from Clinical Sources in Rivers State University Teaching Hospita</w:t>
      </w:r>
      <w:bookmarkStart w:id="1" w:name="_Toc163428556"/>
      <w:bookmarkEnd w:id="0"/>
      <w:r w:rsidR="00643C88" w:rsidRPr="00C81924">
        <w:t>l</w:t>
      </w:r>
      <w:r w:rsidR="002E6D84" w:rsidRPr="00C81924">
        <w:t>, Nigeria.</w:t>
      </w:r>
    </w:p>
    <w:p w14:paraId="62676A96" w14:textId="77777777" w:rsidR="00643C88" w:rsidRPr="00C81924" w:rsidRDefault="00643C88" w:rsidP="00FD54F5">
      <w:pPr>
        <w:pStyle w:val="Normal1"/>
        <w:spacing w:line="240" w:lineRule="auto"/>
      </w:pPr>
    </w:p>
    <w:p w14:paraId="643A04B9" w14:textId="06E71B95" w:rsidR="0058304E" w:rsidRPr="00C81924" w:rsidRDefault="00B54ACA" w:rsidP="00FD54F5">
      <w:pPr>
        <w:pStyle w:val="Normal1"/>
        <w:spacing w:line="240" w:lineRule="auto"/>
        <w:rPr>
          <w:sz w:val="24"/>
          <w:szCs w:val="24"/>
        </w:rPr>
      </w:pPr>
      <w:r w:rsidRPr="00C81924">
        <w:rPr>
          <w:sz w:val="24"/>
          <w:szCs w:val="24"/>
        </w:rPr>
        <w:t>Abstract</w:t>
      </w:r>
      <w:bookmarkEnd w:id="1"/>
    </w:p>
    <w:p w14:paraId="20D428EA" w14:textId="47115891" w:rsidR="0058304E" w:rsidRPr="00C81924" w:rsidRDefault="0058304E" w:rsidP="00FD54F5">
      <w:pPr>
        <w:spacing w:line="240" w:lineRule="auto"/>
        <w:jc w:val="both"/>
        <w:rPr>
          <w:rFonts w:cs="Times New Roman"/>
          <w:szCs w:val="24"/>
          <w:shd w:val="clear" w:color="auto" w:fill="FFFFFF"/>
        </w:rPr>
      </w:pPr>
      <w:r w:rsidRPr="00C81924">
        <w:rPr>
          <w:rFonts w:cs="Times New Roman"/>
          <w:i/>
          <w:iCs/>
          <w:szCs w:val="24"/>
          <w:shd w:val="clear" w:color="auto" w:fill="FFFFFF"/>
        </w:rPr>
        <w:t>Escherichia coli</w:t>
      </w:r>
      <w:r w:rsidRPr="00C81924">
        <w:rPr>
          <w:rFonts w:cs="Times New Roman"/>
          <w:szCs w:val="24"/>
          <w:shd w:val="clear" w:color="auto" w:fill="FFFFFF"/>
        </w:rPr>
        <w:t xml:space="preserve"> infections pose significant challenges in healthcare settings due to increasing rates of antimicrobial resistance, </w:t>
      </w:r>
      <w:r w:rsidR="007E3A2E" w:rsidRPr="00C81924">
        <w:rPr>
          <w:rFonts w:cs="Times New Roman"/>
          <w:szCs w:val="24"/>
          <w:shd w:val="clear" w:color="auto" w:fill="FFFFFF"/>
        </w:rPr>
        <w:t>especially</w:t>
      </w:r>
      <w:r w:rsidRPr="00C81924">
        <w:rPr>
          <w:rFonts w:cs="Times New Roman"/>
          <w:szCs w:val="24"/>
          <w:shd w:val="clear" w:color="auto" w:fill="FFFFFF"/>
        </w:rPr>
        <w:t xml:space="preserve"> multidrug resistance (MDR) and Extended β-lactamase (ESBL) production. Understanding the prevalence and ant</w:t>
      </w:r>
      <w:r w:rsidR="007E3A2E" w:rsidRPr="00C81924">
        <w:rPr>
          <w:rFonts w:cs="Times New Roman"/>
          <w:szCs w:val="24"/>
          <w:shd w:val="clear" w:color="auto" w:fill="FFFFFF"/>
        </w:rPr>
        <w:t>ibacterial</w:t>
      </w:r>
      <w:r w:rsidRPr="00C81924">
        <w:rPr>
          <w:rFonts w:cs="Times New Roman"/>
          <w:szCs w:val="24"/>
          <w:shd w:val="clear" w:color="auto" w:fill="FFFFFF"/>
        </w:rPr>
        <w:t xml:space="preserve"> susceptibility profiles of </w:t>
      </w:r>
      <w:r w:rsidRPr="00C81924">
        <w:rPr>
          <w:rFonts w:cs="Times New Roman"/>
          <w:i/>
          <w:iCs/>
          <w:szCs w:val="24"/>
          <w:shd w:val="clear" w:color="auto" w:fill="FFFFFF"/>
        </w:rPr>
        <w:t>E. coli</w:t>
      </w:r>
      <w:r w:rsidRPr="00C81924">
        <w:rPr>
          <w:rFonts w:cs="Times New Roman"/>
          <w:szCs w:val="24"/>
          <w:shd w:val="clear" w:color="auto" w:fill="FFFFFF"/>
        </w:rPr>
        <w:t xml:space="preserve"> isolates is </w:t>
      </w:r>
      <w:r w:rsidR="007E3A2E" w:rsidRPr="00C81924">
        <w:rPr>
          <w:rFonts w:cs="Times New Roman"/>
          <w:szCs w:val="24"/>
          <w:shd w:val="clear" w:color="auto" w:fill="FFFFFF"/>
        </w:rPr>
        <w:t>important</w:t>
      </w:r>
      <w:r w:rsidRPr="00C81924">
        <w:rPr>
          <w:rFonts w:cs="Times New Roman"/>
          <w:szCs w:val="24"/>
          <w:shd w:val="clear" w:color="auto" w:fill="FFFFFF"/>
        </w:rPr>
        <w:t xml:space="preserve"> for guiding empirical therapy and implementing effective infection control measures. This study</w:t>
      </w:r>
      <w:r w:rsidR="007E3A2E" w:rsidRPr="00C81924">
        <w:rPr>
          <w:rFonts w:cs="Times New Roman"/>
          <w:szCs w:val="24"/>
          <w:shd w:val="clear" w:color="auto" w:fill="FFFFFF"/>
        </w:rPr>
        <w:t xml:space="preserve"> </w:t>
      </w:r>
      <w:r w:rsidRPr="00C81924">
        <w:rPr>
          <w:rFonts w:cs="Times New Roman"/>
          <w:szCs w:val="24"/>
          <w:shd w:val="clear" w:color="auto" w:fill="FFFFFF"/>
        </w:rPr>
        <w:t xml:space="preserve">aimed at investigating the prevalence of multidrug resistance and extended-spectrum β-lactamase-producing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w:t>
      </w:r>
      <w:r w:rsidR="007E3A2E" w:rsidRPr="00C81924">
        <w:rPr>
          <w:rFonts w:cs="Times New Roman"/>
          <w:szCs w:val="24"/>
          <w:shd w:val="clear" w:color="auto" w:fill="FFFFFF"/>
        </w:rPr>
        <w:t>in</w:t>
      </w:r>
      <w:r w:rsidRPr="00C81924">
        <w:rPr>
          <w:rFonts w:cs="Times New Roman"/>
          <w:szCs w:val="24"/>
          <w:shd w:val="clear" w:color="auto" w:fill="FFFFFF"/>
        </w:rPr>
        <w:t xml:space="preserve"> clinical sources in Rivers State University Teaching Hospital. This descriptive cross-sectional study analyzed 300 clinical samples collected from patients presenting with suspected </w:t>
      </w:r>
      <w:r w:rsidRPr="00C81924">
        <w:rPr>
          <w:rFonts w:cs="Times New Roman"/>
          <w:i/>
          <w:iCs/>
          <w:szCs w:val="24"/>
          <w:shd w:val="clear" w:color="auto" w:fill="FFFFFF"/>
        </w:rPr>
        <w:t>E. coli</w:t>
      </w:r>
      <w:r w:rsidRPr="00C81924">
        <w:rPr>
          <w:rFonts w:cs="Times New Roman"/>
          <w:szCs w:val="24"/>
          <w:shd w:val="clear" w:color="auto" w:fill="FFFFFF"/>
        </w:rPr>
        <w:t xml:space="preserve"> infections in Rivers State University Teaching Hospital. </w:t>
      </w:r>
      <w:r w:rsidRPr="00C81924">
        <w:rPr>
          <w:rFonts w:cs="Times New Roman"/>
          <w:i/>
          <w:iCs/>
          <w:szCs w:val="24"/>
          <w:shd w:val="clear" w:color="auto" w:fill="FFFFFF"/>
        </w:rPr>
        <w:t>E. coli</w:t>
      </w:r>
      <w:r w:rsidRPr="00C81924">
        <w:rPr>
          <w:rFonts w:cs="Times New Roman"/>
          <w:szCs w:val="24"/>
          <w:shd w:val="clear" w:color="auto" w:fill="FFFFFF"/>
        </w:rPr>
        <w:t xml:space="preserve"> isolates were identified using standard microbiological techniques, ant</w:t>
      </w:r>
      <w:r w:rsidR="004A6297" w:rsidRPr="00C81924">
        <w:rPr>
          <w:rFonts w:cs="Times New Roman"/>
          <w:szCs w:val="24"/>
          <w:shd w:val="clear" w:color="auto" w:fill="FFFFFF"/>
        </w:rPr>
        <w:t>ib</w:t>
      </w:r>
      <w:r w:rsidR="001A3251" w:rsidRPr="00C81924">
        <w:rPr>
          <w:rFonts w:cs="Times New Roman"/>
          <w:szCs w:val="24"/>
          <w:shd w:val="clear" w:color="auto" w:fill="FFFFFF"/>
        </w:rPr>
        <w:t xml:space="preserve">iotic </w:t>
      </w:r>
      <w:r w:rsidRPr="00C81924">
        <w:rPr>
          <w:rFonts w:cs="Times New Roman"/>
          <w:szCs w:val="24"/>
          <w:shd w:val="clear" w:color="auto" w:fill="FFFFFF"/>
        </w:rPr>
        <w:t>susceptibility testing was performed using the disc diffusion method and confirmation of suspected ESBL-producin</w:t>
      </w:r>
      <w:bookmarkStart w:id="2" w:name="_GoBack"/>
      <w:bookmarkEnd w:id="2"/>
      <w:r w:rsidRPr="00C81924">
        <w:rPr>
          <w:rFonts w:cs="Times New Roman"/>
          <w:szCs w:val="24"/>
          <w:shd w:val="clear" w:color="auto" w:fill="FFFFFF"/>
        </w:rPr>
        <w:t xml:space="preserve">g </w:t>
      </w:r>
      <w:r w:rsidRPr="00C81924">
        <w:rPr>
          <w:rFonts w:cs="Times New Roman"/>
          <w:i/>
          <w:iCs/>
          <w:szCs w:val="24"/>
          <w:shd w:val="clear" w:color="auto" w:fill="FFFFFF"/>
        </w:rPr>
        <w:t>E. coli</w:t>
      </w:r>
      <w:r w:rsidRPr="00C81924">
        <w:rPr>
          <w:rFonts w:cs="Times New Roman"/>
          <w:szCs w:val="24"/>
          <w:shd w:val="clear" w:color="auto" w:fill="FFFFFF"/>
        </w:rPr>
        <w:t xml:space="preserve"> was done by using the double-disk approximation or double-disk synergy (DDS) method. The data generated from this study was represented as frequency and percentages using chi-square with the aid of GraphPad Prism Software Version 9. Among the 300 clinical samples analyzed, </w:t>
      </w:r>
      <w:r w:rsidRPr="00C81924">
        <w:rPr>
          <w:rFonts w:cs="Times New Roman"/>
          <w:i/>
          <w:iCs/>
          <w:szCs w:val="24"/>
          <w:shd w:val="clear" w:color="auto" w:fill="FFFFFF"/>
        </w:rPr>
        <w:t>E. coli</w:t>
      </w:r>
      <w:r w:rsidRPr="00C81924">
        <w:rPr>
          <w:rFonts w:cs="Times New Roman"/>
          <w:szCs w:val="24"/>
          <w:shd w:val="clear" w:color="auto" w:fill="FFFFFF"/>
        </w:rPr>
        <w:t xml:space="preserve"> growth was observed in 20.3% of samples, with urine samples being the most prevalent source (62.3%). </w:t>
      </w:r>
      <w:r w:rsidR="004A6297" w:rsidRPr="00C81924">
        <w:rPr>
          <w:rFonts w:cs="Times New Roman"/>
          <w:szCs w:val="24"/>
          <w:shd w:val="clear" w:color="auto" w:fill="FFFFFF"/>
        </w:rPr>
        <w:t>P</w:t>
      </w:r>
      <w:r w:rsidRPr="00C81924">
        <w:rPr>
          <w:rFonts w:cs="Times New Roman"/>
          <w:szCs w:val="24"/>
          <w:shd w:val="clear" w:color="auto" w:fill="FFFFFF"/>
        </w:rPr>
        <w:t xml:space="preserve">revalence of MDR </w:t>
      </w:r>
      <w:r w:rsidRPr="00C81924">
        <w:rPr>
          <w:rFonts w:cs="Times New Roman"/>
          <w:i/>
          <w:iCs/>
          <w:szCs w:val="24"/>
          <w:shd w:val="clear" w:color="auto" w:fill="FFFFFF"/>
        </w:rPr>
        <w:t>E. coli</w:t>
      </w:r>
      <w:r w:rsidRPr="00C81924">
        <w:rPr>
          <w:rFonts w:cs="Times New Roman"/>
          <w:szCs w:val="24"/>
          <w:shd w:val="clear" w:color="auto" w:fill="FFFFFF"/>
        </w:rPr>
        <w:t xml:space="preserve"> strains was </w:t>
      </w:r>
      <w:r w:rsidR="004A6297" w:rsidRPr="00C81924">
        <w:rPr>
          <w:rFonts w:cs="Times New Roman"/>
          <w:szCs w:val="24"/>
          <w:shd w:val="clear" w:color="auto" w:fill="FFFFFF"/>
        </w:rPr>
        <w:t>recorded at 45.9</w:t>
      </w:r>
      <w:r w:rsidRPr="00C81924">
        <w:rPr>
          <w:rFonts w:cs="Times New Roman"/>
          <w:szCs w:val="24"/>
          <w:shd w:val="clear" w:color="auto" w:fill="FFFFFF"/>
        </w:rPr>
        <w:t xml:space="preserve">% of isolates exhibiting multidrug resistance. Additionally, ESBL production was detected in 42.6% of isolates. Variable susceptibility patterns were observed across different antibiotic classes, with notable sensitivity rates observed for </w:t>
      </w:r>
      <w:r w:rsidR="004A6297" w:rsidRPr="00C81924">
        <w:rPr>
          <w:rFonts w:cs="Times New Roman"/>
          <w:szCs w:val="24"/>
          <w:shd w:val="clear" w:color="auto" w:fill="FFFFFF"/>
        </w:rPr>
        <w:t>A</w:t>
      </w:r>
      <w:r w:rsidRPr="00C81924">
        <w:rPr>
          <w:rFonts w:cs="Times New Roman"/>
          <w:szCs w:val="24"/>
          <w:shd w:val="clear" w:color="auto" w:fill="FFFFFF"/>
        </w:rPr>
        <w:t xml:space="preserve">mikacin (80.3%) and </w:t>
      </w:r>
      <w:r w:rsidR="004A6297" w:rsidRPr="00C81924">
        <w:rPr>
          <w:rFonts w:cs="Times New Roman"/>
          <w:szCs w:val="24"/>
          <w:shd w:val="clear" w:color="auto" w:fill="FFFFFF"/>
        </w:rPr>
        <w:t>G</w:t>
      </w:r>
      <w:r w:rsidRPr="00C81924">
        <w:rPr>
          <w:rFonts w:cs="Times New Roman"/>
          <w:szCs w:val="24"/>
          <w:shd w:val="clear" w:color="auto" w:fill="FFFFFF"/>
        </w:rPr>
        <w:t xml:space="preserve">entamicin (78.7%), while resistance was observed in cephalosporins, fluoroquinolones, and β-lactam antibiotics. Notably, all </w:t>
      </w:r>
      <w:r w:rsidRPr="00C81924">
        <w:rPr>
          <w:rFonts w:cs="Times New Roman"/>
          <w:i/>
          <w:iCs/>
          <w:szCs w:val="24"/>
          <w:shd w:val="clear" w:color="auto" w:fill="FFFFFF"/>
        </w:rPr>
        <w:t>E. coli</w:t>
      </w:r>
      <w:r w:rsidRPr="00C81924">
        <w:rPr>
          <w:rFonts w:cs="Times New Roman"/>
          <w:szCs w:val="24"/>
          <w:shd w:val="clear" w:color="auto" w:fill="FFFFFF"/>
        </w:rPr>
        <w:t xml:space="preserve"> isolates remained sensitive to imipenem. This study underscores the importance of vigilant surveillance and effective anti</w:t>
      </w:r>
      <w:r w:rsidR="004A6297" w:rsidRPr="00C81924">
        <w:rPr>
          <w:rFonts w:cs="Times New Roman"/>
          <w:szCs w:val="24"/>
          <w:shd w:val="clear" w:color="auto" w:fill="FFFFFF"/>
        </w:rPr>
        <w:t>biotic</w:t>
      </w:r>
      <w:r w:rsidRPr="00C81924">
        <w:rPr>
          <w:rFonts w:cs="Times New Roman"/>
          <w:szCs w:val="24"/>
          <w:shd w:val="clear" w:color="auto" w:fill="FFFFFF"/>
        </w:rPr>
        <w:t xml:space="preserve"> stewardship programs to mitigate the spread of multidrug-resistant </w:t>
      </w:r>
      <w:r w:rsidRPr="00C81924">
        <w:rPr>
          <w:rFonts w:cs="Times New Roman"/>
          <w:i/>
          <w:iCs/>
          <w:szCs w:val="24"/>
          <w:shd w:val="clear" w:color="auto" w:fill="FFFFFF"/>
        </w:rPr>
        <w:t>E. coli</w:t>
      </w:r>
      <w:r w:rsidRPr="00C81924">
        <w:rPr>
          <w:rFonts w:cs="Times New Roman"/>
          <w:szCs w:val="24"/>
          <w:shd w:val="clear" w:color="auto" w:fill="FFFFFF"/>
        </w:rPr>
        <w:t xml:space="preserve"> strains and ESBL-producing isolates. The varying susceptibility patterns observed highlight the need for tailored treatment approaches and comprehensive infection control measures to </w:t>
      </w:r>
      <w:proofErr w:type="spellStart"/>
      <w:r w:rsidR="004A6297" w:rsidRPr="00C81924">
        <w:rPr>
          <w:rFonts w:cs="Times New Roman"/>
          <w:szCs w:val="24"/>
          <w:shd w:val="clear" w:color="auto" w:fill="FFFFFF"/>
        </w:rPr>
        <w:t>optimise</w:t>
      </w:r>
      <w:proofErr w:type="spellEnd"/>
      <w:r w:rsidRPr="00C81924">
        <w:rPr>
          <w:rFonts w:cs="Times New Roman"/>
          <w:szCs w:val="24"/>
          <w:shd w:val="clear" w:color="auto" w:fill="FFFFFF"/>
        </w:rPr>
        <w:t xml:space="preserve"> patient outcomes. These findings emphasize the urgent need for collaborative efforts to address antimicrobial resistance and preserve the effectiveness of antibiotics in the management of </w:t>
      </w:r>
      <w:r w:rsidRPr="00C81924">
        <w:rPr>
          <w:rFonts w:cs="Times New Roman"/>
          <w:i/>
          <w:iCs/>
          <w:szCs w:val="24"/>
          <w:shd w:val="clear" w:color="auto" w:fill="FFFFFF"/>
        </w:rPr>
        <w:t>E. coli</w:t>
      </w:r>
      <w:r w:rsidRPr="00C81924">
        <w:rPr>
          <w:rFonts w:cs="Times New Roman"/>
          <w:szCs w:val="24"/>
          <w:shd w:val="clear" w:color="auto" w:fill="FFFFFF"/>
        </w:rPr>
        <w:t xml:space="preserve"> infections.</w:t>
      </w:r>
    </w:p>
    <w:p w14:paraId="06326E94" w14:textId="0FF7BF29" w:rsidR="0058304E" w:rsidRPr="00C81924" w:rsidRDefault="00B54ACA" w:rsidP="00FD54F5">
      <w:pPr>
        <w:spacing w:line="240" w:lineRule="auto"/>
        <w:jc w:val="both"/>
        <w:rPr>
          <w:rFonts w:cs="Times New Roman"/>
          <w:i/>
          <w:iCs/>
          <w:szCs w:val="24"/>
          <w:shd w:val="clear" w:color="auto" w:fill="FFFFFF"/>
        </w:rPr>
      </w:pPr>
      <w:r w:rsidRPr="00C81924">
        <w:rPr>
          <w:rFonts w:cs="Times New Roman"/>
          <w:i/>
          <w:iCs/>
          <w:szCs w:val="24"/>
          <w:shd w:val="clear" w:color="auto" w:fill="FFFFFF"/>
        </w:rPr>
        <w:t xml:space="preserve">Keywords: </w:t>
      </w:r>
      <w:r w:rsidRPr="00C81924">
        <w:rPr>
          <w:i/>
          <w:iCs/>
        </w:rPr>
        <w:t>Multidrug Resistant (MDR) Escherichia coli, Extended-Spectrum β-Lactamase-Producing (ESBL) Escherichia coli, Clinical Sources</w:t>
      </w:r>
    </w:p>
    <w:p w14:paraId="0E6ACC3B" w14:textId="02677DCB" w:rsidR="0058304E" w:rsidRPr="00C81924" w:rsidRDefault="0058304E" w:rsidP="00FD54F5">
      <w:pPr>
        <w:spacing w:line="240" w:lineRule="auto"/>
      </w:pPr>
    </w:p>
    <w:p w14:paraId="6CF52F1D" w14:textId="77777777" w:rsidR="00FD54F5" w:rsidRPr="00C81924" w:rsidRDefault="00FD54F5" w:rsidP="00FD54F5">
      <w:pPr>
        <w:spacing w:line="240" w:lineRule="auto"/>
      </w:pPr>
    </w:p>
    <w:p w14:paraId="21E0E442" w14:textId="77777777" w:rsidR="00FD54F5" w:rsidRPr="00C81924" w:rsidRDefault="00FD54F5" w:rsidP="00FD54F5">
      <w:pPr>
        <w:spacing w:line="240" w:lineRule="auto"/>
      </w:pPr>
    </w:p>
    <w:p w14:paraId="0D41D4AF" w14:textId="77777777" w:rsidR="00FD54F5" w:rsidRPr="00C81924" w:rsidRDefault="00FD54F5" w:rsidP="00FD54F5">
      <w:pPr>
        <w:spacing w:line="240" w:lineRule="auto"/>
      </w:pPr>
    </w:p>
    <w:p w14:paraId="6D57F41C" w14:textId="77777777" w:rsidR="00FD54F5" w:rsidRPr="00C81924" w:rsidRDefault="00FD54F5" w:rsidP="00FD54F5">
      <w:pPr>
        <w:spacing w:line="240" w:lineRule="auto"/>
      </w:pPr>
    </w:p>
    <w:p w14:paraId="5B3C6291" w14:textId="22C0C0CF" w:rsidR="00334DD7" w:rsidRPr="00C81924" w:rsidRDefault="00B54ACA" w:rsidP="00FD54F5">
      <w:pPr>
        <w:spacing w:before="240" w:line="240" w:lineRule="auto"/>
        <w:rPr>
          <w:b/>
          <w:bCs/>
        </w:rPr>
      </w:pPr>
      <w:r w:rsidRPr="00C81924">
        <w:rPr>
          <w:b/>
          <w:bCs/>
        </w:rPr>
        <w:t>Introduction</w:t>
      </w:r>
      <w:bookmarkStart w:id="3" w:name="_Toc163428564"/>
    </w:p>
    <w:bookmarkEnd w:id="3"/>
    <w:p w14:paraId="06EA541F" w14:textId="40D50291" w:rsidR="0058304E" w:rsidRPr="00C81924" w:rsidRDefault="00061995" w:rsidP="00FD54F5">
      <w:pPr>
        <w:spacing w:before="240" w:after="180" w:line="240" w:lineRule="auto"/>
        <w:jc w:val="both"/>
        <w:rPr>
          <w:rFonts w:cs="Times New Roman"/>
          <w:szCs w:val="24"/>
          <w:shd w:val="clear" w:color="auto" w:fill="FFFFFF"/>
        </w:rPr>
      </w:pPr>
      <w:r w:rsidRPr="00C81924">
        <w:rPr>
          <w:rFonts w:cs="Times New Roman"/>
          <w:i/>
          <w:iCs/>
          <w:szCs w:val="24"/>
        </w:rPr>
        <w:t>E. coli</w:t>
      </w:r>
      <w:r w:rsidRPr="00C81924">
        <w:rPr>
          <w:rFonts w:cs="Times New Roman"/>
          <w:szCs w:val="24"/>
        </w:rPr>
        <w:t xml:space="preserve"> is a Gram-negative bacterium commonly found in the gastrointestinal tract of humans and animals (Rossi </w:t>
      </w:r>
      <w:r w:rsidRPr="00C81924">
        <w:rPr>
          <w:rFonts w:cs="Times New Roman"/>
          <w:i/>
          <w:iCs/>
          <w:szCs w:val="24"/>
        </w:rPr>
        <w:t>et al.</w:t>
      </w:r>
      <w:r w:rsidRPr="00C81924">
        <w:rPr>
          <w:rFonts w:cs="Times New Roman"/>
          <w:szCs w:val="24"/>
        </w:rPr>
        <w:t xml:space="preserve">, 2018). While many strains of </w:t>
      </w:r>
      <w:r w:rsidRPr="00C81924">
        <w:rPr>
          <w:rFonts w:cs="Times New Roman"/>
          <w:i/>
          <w:iCs/>
          <w:szCs w:val="24"/>
        </w:rPr>
        <w:t>E. coli</w:t>
      </w:r>
      <w:r w:rsidRPr="00C81924">
        <w:rPr>
          <w:rFonts w:cs="Times New Roman"/>
          <w:szCs w:val="24"/>
        </w:rPr>
        <w:t xml:space="preserve"> are harmless, certain pathogenic </w:t>
      </w:r>
      <w:r w:rsidRPr="00C81924">
        <w:rPr>
          <w:rFonts w:cs="Times New Roman"/>
          <w:szCs w:val="24"/>
        </w:rPr>
        <w:lastRenderedPageBreak/>
        <w:t>strains can cause a range of infections, including urinary tract infections (UTIs) (</w:t>
      </w:r>
      <w:proofErr w:type="spellStart"/>
      <w:r w:rsidRPr="00C81924">
        <w:rPr>
          <w:rFonts w:cs="Times New Roman"/>
          <w:szCs w:val="24"/>
        </w:rPr>
        <w:t>Ferdosi-Shahandashti</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2015), bloodstream infections (</w:t>
      </w:r>
      <w:proofErr w:type="spellStart"/>
      <w:r w:rsidRPr="00C81924">
        <w:rPr>
          <w:rFonts w:cs="Times New Roman"/>
          <w:szCs w:val="24"/>
        </w:rPr>
        <w:t>Vihta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gastrointestinal infections (Fleckenstein &amp; Kuhlmann, 2019), and respiratory tract infections (McGrath-Morrow </w:t>
      </w:r>
      <w:r w:rsidRPr="00C81924">
        <w:rPr>
          <w:rFonts w:cs="Times New Roman"/>
          <w:i/>
          <w:iCs/>
          <w:szCs w:val="24"/>
        </w:rPr>
        <w:t>et al.</w:t>
      </w:r>
      <w:r w:rsidRPr="00C81924">
        <w:rPr>
          <w:rFonts w:cs="Times New Roman"/>
          <w:szCs w:val="24"/>
        </w:rPr>
        <w:t xml:space="preserve">, 2017).  </w:t>
      </w:r>
      <w:r w:rsidR="0058304E" w:rsidRPr="00C81924">
        <w:rPr>
          <w:rFonts w:cs="Times New Roman"/>
          <w:szCs w:val="24"/>
          <w:shd w:val="clear" w:color="auto" w:fill="FFFFFF"/>
        </w:rPr>
        <w:t xml:space="preserve">The prevalence of multidrug-resistant bacteria, including extended-spectrum β-lactamase (ESBL)-producing </w:t>
      </w:r>
      <w:r w:rsidR="0058304E" w:rsidRPr="00C81924">
        <w:rPr>
          <w:rFonts w:cs="Times New Roman"/>
          <w:i/>
          <w:iCs/>
          <w:szCs w:val="24"/>
          <w:shd w:val="clear" w:color="auto" w:fill="FFFFFF"/>
        </w:rPr>
        <w:t>Escherichia coli</w:t>
      </w:r>
      <w:r w:rsidR="0058304E" w:rsidRPr="00C81924">
        <w:rPr>
          <w:rFonts w:cs="Times New Roman"/>
          <w:szCs w:val="24"/>
          <w:shd w:val="clear" w:color="auto" w:fill="FFFFFF"/>
        </w:rPr>
        <w:t xml:space="preserve">, has emerged as a significant global health concern (Suresh </w:t>
      </w:r>
      <w:r w:rsidR="0058304E" w:rsidRPr="00C81924">
        <w:rPr>
          <w:rFonts w:cs="Times New Roman"/>
          <w:i/>
          <w:iCs/>
          <w:szCs w:val="24"/>
          <w:shd w:val="clear" w:color="auto" w:fill="FFFFFF"/>
        </w:rPr>
        <w:t>et al.</w:t>
      </w:r>
      <w:r w:rsidR="0058304E" w:rsidRPr="00C81924">
        <w:rPr>
          <w:rFonts w:cs="Times New Roman"/>
          <w:szCs w:val="24"/>
          <w:shd w:val="clear" w:color="auto" w:fill="FFFFFF"/>
        </w:rPr>
        <w:t xml:space="preserve">, 2016; Yehia </w:t>
      </w:r>
      <w:r w:rsidR="0058304E" w:rsidRPr="00C81924">
        <w:rPr>
          <w:rFonts w:cs="Times New Roman"/>
          <w:i/>
          <w:iCs/>
          <w:szCs w:val="24"/>
          <w:shd w:val="clear" w:color="auto" w:fill="FFFFFF"/>
        </w:rPr>
        <w:t>et al.</w:t>
      </w:r>
      <w:r w:rsidR="0058304E" w:rsidRPr="00C81924">
        <w:rPr>
          <w:rFonts w:cs="Times New Roman"/>
          <w:szCs w:val="24"/>
          <w:shd w:val="clear" w:color="auto" w:fill="FFFFFF"/>
        </w:rPr>
        <w:t xml:space="preserve">, 2017). These drug-resistant pathogens pose a substantial threat to public health due to their ability to withstand the effects of multiple antibiotics, leading to limited treatment options and increased morbidity and mortality rates (Reid, 2011; </w:t>
      </w:r>
      <w:proofErr w:type="spellStart"/>
      <w:r w:rsidR="0058304E" w:rsidRPr="00C81924">
        <w:rPr>
          <w:rFonts w:cs="Times New Roman"/>
          <w:szCs w:val="24"/>
        </w:rPr>
        <w:t>Navidinia</w:t>
      </w:r>
      <w:proofErr w:type="spellEnd"/>
      <w:r w:rsidR="0058304E" w:rsidRPr="00C81924">
        <w:rPr>
          <w:rFonts w:cs="Times New Roman"/>
          <w:szCs w:val="24"/>
        </w:rPr>
        <w:t xml:space="preserve"> </w:t>
      </w:r>
      <w:r w:rsidR="0058304E" w:rsidRPr="00C81924">
        <w:rPr>
          <w:rFonts w:cs="Times New Roman"/>
          <w:i/>
          <w:iCs/>
          <w:szCs w:val="24"/>
        </w:rPr>
        <w:t>et al.</w:t>
      </w:r>
      <w:r w:rsidR="0058304E" w:rsidRPr="00C81924">
        <w:rPr>
          <w:rFonts w:cs="Times New Roman"/>
          <w:szCs w:val="24"/>
        </w:rPr>
        <w:t>, 2017)</w:t>
      </w:r>
      <w:r w:rsidR="0058304E" w:rsidRPr="00C81924">
        <w:rPr>
          <w:rFonts w:cs="Times New Roman"/>
          <w:szCs w:val="24"/>
          <w:shd w:val="clear" w:color="auto" w:fill="FFFFFF"/>
        </w:rPr>
        <w:t xml:space="preserve">. Understanding the prevalence and characteristics of multidrug-resistant and ESBL-producing </w:t>
      </w:r>
      <w:r w:rsidR="0058304E" w:rsidRPr="00C81924">
        <w:rPr>
          <w:rFonts w:cs="Times New Roman"/>
          <w:i/>
          <w:iCs/>
          <w:szCs w:val="24"/>
          <w:shd w:val="clear" w:color="auto" w:fill="FFFFFF"/>
        </w:rPr>
        <w:t>Escherichia coli</w:t>
      </w:r>
      <w:r w:rsidR="0058304E" w:rsidRPr="00C81924">
        <w:rPr>
          <w:rFonts w:cs="Times New Roman"/>
          <w:szCs w:val="24"/>
          <w:shd w:val="clear" w:color="auto" w:fill="FFFFFF"/>
        </w:rPr>
        <w:t xml:space="preserve"> strains is crucial for effective infection control and the development of appropriate therapeutic strategies. </w:t>
      </w:r>
    </w:p>
    <w:p w14:paraId="66A9DFF5"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Multidrug-resistant </w:t>
      </w:r>
      <w:r w:rsidRPr="00C81924">
        <w:rPr>
          <w:rFonts w:cs="Times New Roman"/>
          <w:i/>
          <w:iCs/>
          <w:szCs w:val="24"/>
          <w:shd w:val="clear" w:color="auto" w:fill="FFFFFF"/>
        </w:rPr>
        <w:t>Escherichia coli</w:t>
      </w:r>
      <w:r w:rsidRPr="00C81924">
        <w:rPr>
          <w:rFonts w:cs="Times New Roman"/>
          <w:szCs w:val="24"/>
          <w:shd w:val="clear" w:color="auto" w:fill="FFFFFF"/>
        </w:rPr>
        <w:t xml:space="preserve"> is a growing problem worldwide, particularly in healthcare settings (</w:t>
      </w:r>
      <w:r w:rsidRPr="00C81924">
        <w:rPr>
          <w:rFonts w:cs="Times New Roman"/>
          <w:szCs w:val="24"/>
        </w:rPr>
        <w:t xml:space="preserve">Koirala </w:t>
      </w:r>
      <w:r w:rsidRPr="00C81924">
        <w:rPr>
          <w:rFonts w:cs="Times New Roman"/>
          <w:i/>
          <w:iCs/>
          <w:szCs w:val="24"/>
        </w:rPr>
        <w:t>et al.</w:t>
      </w:r>
      <w:r w:rsidRPr="00C81924">
        <w:rPr>
          <w:rFonts w:cs="Times New Roman"/>
          <w:szCs w:val="24"/>
        </w:rPr>
        <w:t xml:space="preserve">, 2021; </w:t>
      </w:r>
      <w:proofErr w:type="spellStart"/>
      <w:r w:rsidRPr="00C81924">
        <w:rPr>
          <w:rFonts w:cs="Times New Roman"/>
          <w:szCs w:val="24"/>
        </w:rPr>
        <w:t>Olowo-Okere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2020; </w:t>
      </w:r>
      <w:proofErr w:type="spellStart"/>
      <w:r w:rsidRPr="00C81924">
        <w:rPr>
          <w:rFonts w:cs="Times New Roman"/>
          <w:szCs w:val="24"/>
        </w:rPr>
        <w:t>Odoyo</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2023; </w:t>
      </w:r>
      <w:proofErr w:type="spellStart"/>
      <w:r w:rsidRPr="00C81924">
        <w:rPr>
          <w:rFonts w:cs="Times New Roman"/>
          <w:szCs w:val="24"/>
        </w:rPr>
        <w:t>Nfongeh</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2023)</w:t>
      </w:r>
      <w:r w:rsidRPr="00C81924">
        <w:rPr>
          <w:rFonts w:cs="Times New Roman"/>
          <w:szCs w:val="24"/>
          <w:shd w:val="clear" w:color="auto" w:fill="FFFFFF"/>
        </w:rPr>
        <w:t xml:space="preserve">. These strains have acquired resistance to multiple classes of antibiotics, rendering traditional treatment approaches ineffective (Walker </w:t>
      </w:r>
      <w:r w:rsidRPr="00C81924">
        <w:rPr>
          <w:rFonts w:cs="Times New Roman"/>
          <w:i/>
          <w:iCs/>
          <w:szCs w:val="24"/>
          <w:shd w:val="clear" w:color="auto" w:fill="FFFFFF"/>
        </w:rPr>
        <w:t>et al.</w:t>
      </w:r>
      <w:r w:rsidRPr="00C81924">
        <w:rPr>
          <w:rFonts w:cs="Times New Roman"/>
          <w:szCs w:val="24"/>
          <w:shd w:val="clear" w:color="auto" w:fill="FFFFFF"/>
        </w:rPr>
        <w:t xml:space="preserve">, 2022). Infections caused by multidrug-resistant </w:t>
      </w:r>
      <w:r w:rsidRPr="00C81924">
        <w:rPr>
          <w:rFonts w:cs="Times New Roman"/>
          <w:i/>
          <w:iCs/>
          <w:szCs w:val="24"/>
          <w:shd w:val="clear" w:color="auto" w:fill="FFFFFF"/>
        </w:rPr>
        <w:t>Escherichia coli</w:t>
      </w:r>
      <w:r w:rsidRPr="00C81924">
        <w:rPr>
          <w:rFonts w:cs="Times New Roman"/>
          <w:szCs w:val="24"/>
          <w:shd w:val="clear" w:color="auto" w:fill="FFFFFF"/>
        </w:rPr>
        <w:t xml:space="preserve"> are associated with prolonged hospital stays, increased healthcare costs, treatment failures, and adverse patient outcomes (</w:t>
      </w:r>
      <w:r w:rsidRPr="00C81924">
        <w:rPr>
          <w:rFonts w:cs="Times New Roman"/>
          <w:szCs w:val="24"/>
        </w:rPr>
        <w:t xml:space="preserve">Ning </w:t>
      </w:r>
      <w:r w:rsidRPr="00C81924">
        <w:rPr>
          <w:rFonts w:cs="Times New Roman"/>
          <w:i/>
          <w:iCs/>
          <w:szCs w:val="24"/>
        </w:rPr>
        <w:t>et al.</w:t>
      </w:r>
      <w:r w:rsidRPr="00C81924">
        <w:rPr>
          <w:rFonts w:cs="Times New Roman"/>
          <w:szCs w:val="24"/>
        </w:rPr>
        <w:t xml:space="preserve">, 2019; López-Montesinos </w:t>
      </w:r>
      <w:r w:rsidRPr="00C81924">
        <w:rPr>
          <w:rFonts w:cs="Times New Roman"/>
          <w:i/>
          <w:iCs/>
          <w:szCs w:val="24"/>
        </w:rPr>
        <w:t>et al.</w:t>
      </w:r>
      <w:r w:rsidRPr="00C81924">
        <w:rPr>
          <w:rFonts w:cs="Times New Roman"/>
          <w:szCs w:val="24"/>
        </w:rPr>
        <w:t>, 2020)</w:t>
      </w:r>
      <w:r w:rsidRPr="00C81924">
        <w:rPr>
          <w:rFonts w:cs="Times New Roman"/>
          <w:szCs w:val="24"/>
          <w:shd w:val="clear" w:color="auto" w:fill="FFFFFF"/>
        </w:rPr>
        <w:t>. The prevalence of these drug-resistant strains varies across different regions and healthcare facilities, highlighting the importance of local surveillance to inform infection control measures and therapeutic interventions.</w:t>
      </w:r>
    </w:p>
    <w:p w14:paraId="1E01AAC6"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characterized by the production of enzymes called extended-spectrum β-lactamases, pose additional challenges in the management of infections (</w:t>
      </w:r>
      <w:proofErr w:type="spellStart"/>
      <w:r w:rsidRPr="00C81924">
        <w:rPr>
          <w:rFonts w:cs="Times New Roman"/>
          <w:szCs w:val="24"/>
          <w:shd w:val="clear" w:color="auto" w:fill="FFFFFF"/>
        </w:rPr>
        <w:t>Alipourfard</w:t>
      </w:r>
      <w:proofErr w:type="spellEnd"/>
      <w:r w:rsidRPr="00C81924">
        <w:rPr>
          <w:rFonts w:cs="Times New Roman"/>
          <w:szCs w:val="24"/>
          <w:shd w:val="clear" w:color="auto" w:fill="FFFFFF"/>
        </w:rPr>
        <w:t xml:space="preserve"> &amp; </w:t>
      </w:r>
      <w:proofErr w:type="spellStart"/>
      <w:r w:rsidRPr="00C81924">
        <w:rPr>
          <w:rFonts w:cs="Times New Roman"/>
          <w:szCs w:val="24"/>
          <w:shd w:val="clear" w:color="auto" w:fill="FFFFFF"/>
        </w:rPr>
        <w:t>Nili</w:t>
      </w:r>
      <w:proofErr w:type="spellEnd"/>
      <w:r w:rsidRPr="00C81924">
        <w:rPr>
          <w:rFonts w:cs="Times New Roman"/>
          <w:szCs w:val="24"/>
          <w:shd w:val="clear" w:color="auto" w:fill="FFFFFF"/>
        </w:rPr>
        <w:t xml:space="preserve">, 2011; </w:t>
      </w:r>
      <w:proofErr w:type="spellStart"/>
      <w:r w:rsidRPr="00C81924">
        <w:rPr>
          <w:rFonts w:cs="Times New Roman"/>
          <w:szCs w:val="24"/>
        </w:rPr>
        <w:t>Kadaei</w:t>
      </w:r>
      <w:proofErr w:type="spellEnd"/>
      <w:r w:rsidRPr="00C81924">
        <w:rPr>
          <w:rFonts w:cs="Times New Roman"/>
          <w:szCs w:val="24"/>
        </w:rPr>
        <w:t xml:space="preserve"> &amp; </w:t>
      </w:r>
      <w:proofErr w:type="spellStart"/>
      <w:r w:rsidRPr="00C81924">
        <w:rPr>
          <w:rFonts w:cs="Times New Roman"/>
          <w:szCs w:val="24"/>
        </w:rPr>
        <w:t>Rashki</w:t>
      </w:r>
      <w:proofErr w:type="spellEnd"/>
      <w:r w:rsidRPr="00C81924">
        <w:rPr>
          <w:rFonts w:cs="Times New Roman"/>
          <w:szCs w:val="24"/>
        </w:rPr>
        <w:t xml:space="preserve">, 2014; </w:t>
      </w:r>
      <w:proofErr w:type="spellStart"/>
      <w:r w:rsidRPr="00C81924">
        <w:rPr>
          <w:rFonts w:cs="Times New Roman"/>
          <w:szCs w:val="24"/>
        </w:rPr>
        <w:t>Hayati</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2021)</w:t>
      </w:r>
      <w:r w:rsidRPr="00C81924">
        <w:rPr>
          <w:rFonts w:cs="Times New Roman"/>
          <w:szCs w:val="24"/>
          <w:shd w:val="clear" w:color="auto" w:fill="FFFFFF"/>
        </w:rPr>
        <w:t xml:space="preserve">. These enzymes confer resistance to a broad range of β-lactam antibiotics, including </w:t>
      </w:r>
      <w:proofErr w:type="spellStart"/>
      <w:r w:rsidRPr="00C81924">
        <w:rPr>
          <w:rFonts w:cs="Times New Roman"/>
          <w:szCs w:val="24"/>
          <w:shd w:val="clear" w:color="auto" w:fill="FFFFFF"/>
        </w:rPr>
        <w:t>penicillins</w:t>
      </w:r>
      <w:proofErr w:type="spellEnd"/>
      <w:r w:rsidRPr="00C81924">
        <w:rPr>
          <w:rFonts w:cs="Times New Roman"/>
          <w:szCs w:val="24"/>
          <w:shd w:val="clear" w:color="auto" w:fill="FFFFFF"/>
        </w:rPr>
        <w:t xml:space="preserve"> and cephalosporins, further limiting treatment options (</w:t>
      </w:r>
      <w:r w:rsidRPr="00C81924">
        <w:rPr>
          <w:rFonts w:cs="Times New Roman"/>
          <w:szCs w:val="24"/>
        </w:rPr>
        <w:t>Mora-</w:t>
      </w:r>
      <w:proofErr w:type="spellStart"/>
      <w:r w:rsidRPr="00C81924">
        <w:rPr>
          <w:rFonts w:cs="Times New Roman"/>
          <w:szCs w:val="24"/>
        </w:rPr>
        <w:t>Ochomogo</w:t>
      </w:r>
      <w:proofErr w:type="spellEnd"/>
      <w:r w:rsidRPr="00C81924">
        <w:rPr>
          <w:rFonts w:cs="Times New Roman"/>
          <w:szCs w:val="24"/>
        </w:rPr>
        <w:t xml:space="preserve"> &amp; </w:t>
      </w:r>
      <w:proofErr w:type="spellStart"/>
      <w:r w:rsidRPr="00C81924">
        <w:rPr>
          <w:rFonts w:cs="Times New Roman"/>
          <w:szCs w:val="24"/>
        </w:rPr>
        <w:t>Lohans</w:t>
      </w:r>
      <w:proofErr w:type="spellEnd"/>
      <w:r w:rsidRPr="00C81924">
        <w:rPr>
          <w:rFonts w:cs="Times New Roman"/>
          <w:szCs w:val="24"/>
        </w:rPr>
        <w:t>, 2021)</w:t>
      </w:r>
      <w:r w:rsidRPr="00C81924">
        <w:rPr>
          <w:rFonts w:cs="Times New Roman"/>
          <w:szCs w:val="24"/>
          <w:shd w:val="clear" w:color="auto" w:fill="FFFFFF"/>
        </w:rPr>
        <w:t xml:space="preserve">.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can disseminate rapidly within healthcare settings, leading to outbreaks and increased healthcare-associated infections (</w:t>
      </w:r>
      <w:proofErr w:type="spellStart"/>
      <w:r w:rsidRPr="00C81924">
        <w:rPr>
          <w:rFonts w:cs="Times New Roman"/>
          <w:szCs w:val="24"/>
        </w:rPr>
        <w:t>Puvača</w:t>
      </w:r>
      <w:proofErr w:type="spellEnd"/>
      <w:r w:rsidRPr="00C81924">
        <w:rPr>
          <w:rFonts w:cs="Times New Roman"/>
          <w:szCs w:val="24"/>
        </w:rPr>
        <w:t xml:space="preserve"> &amp; de Llanos </w:t>
      </w:r>
      <w:proofErr w:type="spellStart"/>
      <w:r w:rsidRPr="00C81924">
        <w:rPr>
          <w:rFonts w:cs="Times New Roman"/>
          <w:szCs w:val="24"/>
        </w:rPr>
        <w:t>Frutos</w:t>
      </w:r>
      <w:proofErr w:type="spellEnd"/>
      <w:r w:rsidRPr="00C81924">
        <w:rPr>
          <w:rFonts w:cs="Times New Roman"/>
          <w:szCs w:val="24"/>
        </w:rPr>
        <w:t xml:space="preserve">, 2021; Hayward </w:t>
      </w:r>
      <w:r w:rsidRPr="00C81924">
        <w:rPr>
          <w:rFonts w:cs="Times New Roman"/>
          <w:i/>
          <w:iCs/>
          <w:szCs w:val="24"/>
        </w:rPr>
        <w:t>et al.</w:t>
      </w:r>
      <w:r w:rsidRPr="00C81924">
        <w:rPr>
          <w:rFonts w:cs="Times New Roman"/>
          <w:szCs w:val="24"/>
        </w:rPr>
        <w:t>, 2022)</w:t>
      </w:r>
      <w:r w:rsidRPr="00C81924">
        <w:rPr>
          <w:rFonts w:cs="Times New Roman"/>
          <w:szCs w:val="24"/>
          <w:shd w:val="clear" w:color="auto" w:fill="FFFFFF"/>
        </w:rPr>
        <w:t xml:space="preserve">. </w:t>
      </w:r>
    </w:p>
    <w:p w14:paraId="41012F91"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Infections associated with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represent a significant clinical challenge due to their multidrug resistance and limited treatment options (</w:t>
      </w:r>
      <w:r w:rsidRPr="00C81924">
        <w:rPr>
          <w:rFonts w:cs="Times New Roman"/>
          <w:szCs w:val="24"/>
        </w:rPr>
        <w:t xml:space="preserve">Pandit </w:t>
      </w:r>
      <w:r w:rsidRPr="00C81924">
        <w:rPr>
          <w:rFonts w:cs="Times New Roman"/>
          <w:i/>
          <w:iCs/>
          <w:szCs w:val="24"/>
        </w:rPr>
        <w:t>et al.</w:t>
      </w:r>
      <w:r w:rsidRPr="00C81924">
        <w:rPr>
          <w:rFonts w:cs="Times New Roman"/>
          <w:szCs w:val="24"/>
        </w:rPr>
        <w:t xml:space="preserve">, 2020; Zhu </w:t>
      </w:r>
      <w:r w:rsidRPr="00C81924">
        <w:rPr>
          <w:rFonts w:cs="Times New Roman"/>
          <w:i/>
          <w:iCs/>
          <w:szCs w:val="24"/>
        </w:rPr>
        <w:t>et al.</w:t>
      </w:r>
      <w:r w:rsidRPr="00C81924">
        <w:rPr>
          <w:rFonts w:cs="Times New Roman"/>
          <w:szCs w:val="24"/>
        </w:rPr>
        <w:t>, 2023)</w:t>
      </w:r>
      <w:r w:rsidRPr="00C81924">
        <w:rPr>
          <w:rFonts w:cs="Times New Roman"/>
          <w:szCs w:val="24"/>
          <w:shd w:val="clear" w:color="auto" w:fill="FFFFFF"/>
        </w:rPr>
        <w:t>. These drug-resistant strains are commonly implicated in various healthcare-associated and community-acquired infections, leading to increased morbidity and mortality rates.</w:t>
      </w:r>
    </w:p>
    <w:p w14:paraId="658AAC02"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Urinary tract infections (UTIs) are among the most frequently reported infections caused by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w:t>
      </w:r>
      <w:r w:rsidRPr="00C81924">
        <w:rPr>
          <w:rFonts w:cs="Times New Roman"/>
          <w:szCs w:val="24"/>
        </w:rPr>
        <w:t xml:space="preserve">Fan </w:t>
      </w:r>
      <w:r w:rsidRPr="00C81924">
        <w:rPr>
          <w:rFonts w:cs="Times New Roman"/>
          <w:i/>
          <w:iCs/>
          <w:szCs w:val="24"/>
        </w:rPr>
        <w:t>et al.</w:t>
      </w:r>
      <w:r w:rsidRPr="00C81924">
        <w:rPr>
          <w:rFonts w:cs="Times New Roman"/>
          <w:szCs w:val="24"/>
        </w:rPr>
        <w:t xml:space="preserve">, 2014; </w:t>
      </w:r>
      <w:proofErr w:type="spellStart"/>
      <w:r w:rsidRPr="00C81924">
        <w:rPr>
          <w:rFonts w:cs="Times New Roman"/>
          <w:szCs w:val="24"/>
        </w:rPr>
        <w:t>Esteve</w:t>
      </w:r>
      <w:proofErr w:type="spellEnd"/>
      <w:r w:rsidRPr="00C81924">
        <w:rPr>
          <w:rFonts w:cs="Times New Roman"/>
          <w:szCs w:val="24"/>
        </w:rPr>
        <w:t xml:space="preserve">-Palau </w:t>
      </w:r>
      <w:r w:rsidRPr="00C81924">
        <w:rPr>
          <w:rFonts w:cs="Times New Roman"/>
          <w:i/>
          <w:iCs/>
          <w:szCs w:val="24"/>
        </w:rPr>
        <w:t>et al.</w:t>
      </w:r>
      <w:r w:rsidRPr="00C81924">
        <w:rPr>
          <w:rFonts w:cs="Times New Roman"/>
          <w:szCs w:val="24"/>
        </w:rPr>
        <w:t>, 2015)</w:t>
      </w:r>
      <w:r w:rsidRPr="00C81924">
        <w:rPr>
          <w:rFonts w:cs="Times New Roman"/>
          <w:szCs w:val="24"/>
          <w:shd w:val="clear" w:color="auto" w:fill="FFFFFF"/>
        </w:rPr>
        <w:t xml:space="preserve">. These infections primarily affect the lower urinary tract but can progress to the kidneys, resulting in pyelonephritis. ESBL-producing strains complicate UTI treatment by rendering many commonly used antibiotics ineffective, limiting therapeutic options to a few last-line antibiotics. Wound and surgical site infections caused by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are also a concern. These infections can occur after surgical procedures, particularly those involving the gastrointestinal or genitourinary tracts (</w:t>
      </w:r>
      <w:proofErr w:type="spellStart"/>
      <w:r w:rsidRPr="00C81924">
        <w:rPr>
          <w:rFonts w:cs="Times New Roman"/>
          <w:szCs w:val="24"/>
        </w:rPr>
        <w:t>Golzarri</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2019)</w:t>
      </w:r>
      <w:r w:rsidRPr="00C81924">
        <w:rPr>
          <w:rFonts w:cs="Times New Roman"/>
          <w:szCs w:val="24"/>
          <w:shd w:val="clear" w:color="auto" w:fill="FFFFFF"/>
        </w:rPr>
        <w:t>. The presence of ESBLs in these strains increases the risk of treatment failure, prolonged hospital stays, and postoperative complications (</w:t>
      </w:r>
      <w:proofErr w:type="spellStart"/>
      <w:r w:rsidRPr="00C81924">
        <w:rPr>
          <w:rFonts w:cs="Times New Roman"/>
          <w:szCs w:val="24"/>
          <w:shd w:val="clear" w:color="auto" w:fill="FFFFFF"/>
        </w:rPr>
        <w:t>Golzarri</w:t>
      </w:r>
      <w:proofErr w:type="spellEnd"/>
      <w:r w:rsidRPr="00C81924">
        <w:rPr>
          <w:rFonts w:cs="Times New Roman"/>
          <w:szCs w:val="24"/>
          <w:shd w:val="clear" w:color="auto" w:fill="FFFFFF"/>
        </w:rPr>
        <w:t xml:space="preserve"> </w:t>
      </w:r>
      <w:r w:rsidRPr="00C81924">
        <w:rPr>
          <w:rFonts w:cs="Times New Roman"/>
          <w:i/>
          <w:iCs/>
          <w:szCs w:val="24"/>
          <w:shd w:val="clear" w:color="auto" w:fill="FFFFFF"/>
        </w:rPr>
        <w:t>et al.</w:t>
      </w:r>
      <w:r w:rsidRPr="00C81924">
        <w:rPr>
          <w:rFonts w:cs="Times New Roman"/>
          <w:szCs w:val="24"/>
          <w:shd w:val="clear" w:color="auto" w:fill="FFFFFF"/>
        </w:rPr>
        <w:t xml:space="preserve">, 2019; </w:t>
      </w:r>
      <w:proofErr w:type="spellStart"/>
      <w:r w:rsidRPr="00C81924">
        <w:rPr>
          <w:rFonts w:cs="Times New Roman"/>
          <w:szCs w:val="24"/>
        </w:rPr>
        <w:t>Egyir</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2020).</w:t>
      </w:r>
    </w:p>
    <w:p w14:paraId="13F5BCDE" w14:textId="7B7F00A9"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Infections associated with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are not limited to the healthcare setting. Community-acquired infections, such as bloodstream infections, respiratory tract infections as well as urinary tract infections, have also been reported (</w:t>
      </w:r>
      <w:r w:rsidRPr="00C81924">
        <w:rPr>
          <w:rFonts w:cs="Times New Roman"/>
          <w:szCs w:val="24"/>
        </w:rPr>
        <w:t xml:space="preserve">Vanstone </w:t>
      </w:r>
      <w:r w:rsidRPr="00C81924">
        <w:rPr>
          <w:rFonts w:cs="Times New Roman"/>
          <w:i/>
          <w:iCs/>
          <w:szCs w:val="24"/>
        </w:rPr>
        <w:t>et al.</w:t>
      </w:r>
      <w:r w:rsidRPr="00C81924">
        <w:rPr>
          <w:rFonts w:cs="Times New Roman"/>
          <w:szCs w:val="24"/>
        </w:rPr>
        <w:t xml:space="preserve">, 2013; </w:t>
      </w:r>
      <w:r w:rsidR="002313FB" w:rsidRPr="00C81924">
        <w:rPr>
          <w:rFonts w:cs="Times New Roman"/>
          <w:szCs w:val="24"/>
        </w:rPr>
        <w:lastRenderedPageBreak/>
        <w:t>Phipps</w:t>
      </w:r>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2019; </w:t>
      </w:r>
      <w:proofErr w:type="spellStart"/>
      <w:r w:rsidRPr="00C81924">
        <w:rPr>
          <w:rFonts w:cs="Times New Roman"/>
          <w:szCs w:val="24"/>
        </w:rPr>
        <w:t>Oroboghae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2018)</w:t>
      </w:r>
      <w:r w:rsidRPr="00C81924">
        <w:rPr>
          <w:rFonts w:cs="Times New Roman"/>
          <w:szCs w:val="24"/>
          <w:shd w:val="clear" w:color="auto" w:fill="FFFFFF"/>
        </w:rPr>
        <w:t xml:space="preserve">. ESBL-producing strains are known to cause severe bloodstream infections (Ha </w:t>
      </w:r>
      <w:r w:rsidRPr="00C81924">
        <w:rPr>
          <w:rFonts w:cs="Times New Roman"/>
          <w:i/>
          <w:iCs/>
          <w:szCs w:val="24"/>
          <w:shd w:val="clear" w:color="auto" w:fill="FFFFFF"/>
        </w:rPr>
        <w:t>et al.</w:t>
      </w:r>
      <w:r w:rsidRPr="00C81924">
        <w:rPr>
          <w:rFonts w:cs="Times New Roman"/>
          <w:szCs w:val="24"/>
          <w:shd w:val="clear" w:color="auto" w:fill="FFFFFF"/>
        </w:rPr>
        <w:t>, 2013), posing a significant threat to individuals with weakened immune systems or underlying medical conditions. Treatment options for such infections are often limited to a few antibiotics, leading to challenges in managing these life-threatening conditions.</w:t>
      </w:r>
    </w:p>
    <w:p w14:paraId="555B58F4"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Furthermore,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have been implicated in infections in vulnerable populations, including neonates and the elderly. Neonatal sepsis caused by ESBL-producing strains can result in high mortality rates, as these bacteria exhibit resistance to commonly used antibiotics in neonatal care units (</w:t>
      </w:r>
      <w:proofErr w:type="spellStart"/>
      <w:r w:rsidRPr="00C81924">
        <w:rPr>
          <w:rFonts w:cs="Times New Roman"/>
          <w:szCs w:val="24"/>
        </w:rPr>
        <w:t>Kadaei</w:t>
      </w:r>
      <w:proofErr w:type="spellEnd"/>
      <w:r w:rsidRPr="00C81924">
        <w:rPr>
          <w:rFonts w:cs="Times New Roman"/>
          <w:szCs w:val="24"/>
        </w:rPr>
        <w:t xml:space="preserve"> &amp; </w:t>
      </w:r>
      <w:proofErr w:type="spellStart"/>
      <w:r w:rsidRPr="00C81924">
        <w:rPr>
          <w:rFonts w:cs="Times New Roman"/>
          <w:szCs w:val="24"/>
        </w:rPr>
        <w:t>Rashki</w:t>
      </w:r>
      <w:proofErr w:type="spellEnd"/>
      <w:r w:rsidRPr="00C81924">
        <w:rPr>
          <w:rFonts w:cs="Times New Roman"/>
          <w:szCs w:val="24"/>
        </w:rPr>
        <w:t>, 2014)</w:t>
      </w:r>
      <w:r w:rsidRPr="00C81924">
        <w:rPr>
          <w:rFonts w:cs="Times New Roman"/>
          <w:szCs w:val="24"/>
          <w:shd w:val="clear" w:color="auto" w:fill="FFFFFF"/>
        </w:rPr>
        <w:t xml:space="preserve">. In the elderly,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infections contribute to increased hospitalization rates, complications, and poorer health outcomes (Quan </w:t>
      </w:r>
      <w:r w:rsidRPr="00C81924">
        <w:rPr>
          <w:rFonts w:cs="Times New Roman"/>
          <w:i/>
          <w:iCs/>
          <w:szCs w:val="24"/>
          <w:shd w:val="clear" w:color="auto" w:fill="FFFFFF"/>
        </w:rPr>
        <w:t>et al.</w:t>
      </w:r>
      <w:r w:rsidRPr="00C81924">
        <w:rPr>
          <w:rFonts w:cs="Times New Roman"/>
          <w:szCs w:val="24"/>
          <w:shd w:val="clear" w:color="auto" w:fill="FFFFFF"/>
        </w:rPr>
        <w:t>, 2016).</w:t>
      </w:r>
    </w:p>
    <w:p w14:paraId="2C706D59"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The ability of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to spread rapidly within healthcare facilities poses an additional concern. Outbreaks of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infections have been reported in hospitals and long-term care facilities (</w:t>
      </w:r>
      <w:r w:rsidRPr="00C81924">
        <w:rPr>
          <w:rFonts w:cs="Times New Roman"/>
          <w:szCs w:val="24"/>
        </w:rPr>
        <w:t xml:space="preserve">Machado </w:t>
      </w:r>
      <w:r w:rsidRPr="00C81924">
        <w:rPr>
          <w:rFonts w:cs="Times New Roman"/>
          <w:i/>
          <w:iCs/>
          <w:szCs w:val="24"/>
        </w:rPr>
        <w:t>et al.</w:t>
      </w:r>
      <w:r w:rsidRPr="00C81924">
        <w:rPr>
          <w:rFonts w:cs="Times New Roman"/>
          <w:szCs w:val="24"/>
        </w:rPr>
        <w:t>, 2022)</w:t>
      </w:r>
      <w:r w:rsidRPr="00C81924">
        <w:rPr>
          <w:rFonts w:cs="Times New Roman"/>
          <w:szCs w:val="24"/>
          <w:shd w:val="clear" w:color="auto" w:fill="FFFFFF"/>
        </w:rPr>
        <w:t>, highlighting the importance of effective infection control measures and surveillance to prevent the dissemination of these drug-resistant strains.</w:t>
      </w:r>
    </w:p>
    <w:p w14:paraId="76054BC8" w14:textId="6C0E87EF" w:rsidR="00762638" w:rsidRPr="00C81924" w:rsidRDefault="0058304E" w:rsidP="00FD54F5">
      <w:pPr>
        <w:spacing w:before="240" w:after="180" w:line="240" w:lineRule="auto"/>
        <w:jc w:val="both"/>
        <w:rPr>
          <w:rFonts w:cs="Times New Roman"/>
          <w:szCs w:val="24"/>
        </w:rPr>
      </w:pPr>
      <w:r w:rsidRPr="00C81924">
        <w:rPr>
          <w:rFonts w:cs="Times New Roman"/>
          <w:szCs w:val="24"/>
        </w:rPr>
        <w:t xml:space="preserve">The prevalence of these drug-resistant pathogens in clinical settings is a growing concern </w:t>
      </w:r>
      <w:r w:rsidRPr="00C81924">
        <w:rPr>
          <w:rFonts w:cs="Times New Roman"/>
          <w:szCs w:val="24"/>
          <w:shd w:val="clear" w:color="auto" w:fill="FFFFFF"/>
        </w:rPr>
        <w:t>(</w:t>
      </w:r>
      <w:r w:rsidRPr="00C81924">
        <w:rPr>
          <w:rFonts w:cs="Times New Roman"/>
          <w:szCs w:val="24"/>
        </w:rPr>
        <w:t xml:space="preserve">Machado </w:t>
      </w:r>
      <w:r w:rsidRPr="00C81924">
        <w:rPr>
          <w:rFonts w:cs="Times New Roman"/>
          <w:i/>
          <w:iCs/>
          <w:szCs w:val="24"/>
        </w:rPr>
        <w:t>et al.</w:t>
      </w:r>
      <w:r w:rsidRPr="00C81924">
        <w:rPr>
          <w:rFonts w:cs="Times New Roman"/>
          <w:szCs w:val="24"/>
        </w:rPr>
        <w:t xml:space="preserve">, 2022), as it limits treatment options, increases healthcare costs, and contributes to high morbidity and mortality rates. The prevalence of multidrug resistant and ESBL-producing </w:t>
      </w:r>
      <w:r w:rsidRPr="00C81924">
        <w:rPr>
          <w:rFonts w:cs="Times New Roman"/>
          <w:i/>
          <w:iCs/>
          <w:szCs w:val="24"/>
        </w:rPr>
        <w:t>E. coli</w:t>
      </w:r>
      <w:r w:rsidRPr="00C81924">
        <w:rPr>
          <w:rFonts w:cs="Times New Roman"/>
          <w:szCs w:val="24"/>
        </w:rPr>
        <w:t xml:space="preserve"> in clinical settings in Nigeria has been reported to be as high as 71% and 69% respectively (</w:t>
      </w:r>
      <w:proofErr w:type="spellStart"/>
      <w:r w:rsidRPr="00C81924">
        <w:rPr>
          <w:rFonts w:cs="Times New Roman"/>
          <w:szCs w:val="24"/>
        </w:rPr>
        <w:t>Makanjuola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Mofolorunsho</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2021). </w:t>
      </w:r>
      <w:r w:rsidR="002313FB" w:rsidRPr="00C81924">
        <w:rPr>
          <w:rFonts w:cs="Times New Roman"/>
          <w:szCs w:val="24"/>
        </w:rPr>
        <w:t>This study aimed</w:t>
      </w:r>
      <w:r w:rsidRPr="00C81924">
        <w:rPr>
          <w:rFonts w:cs="Times New Roman"/>
          <w:szCs w:val="24"/>
        </w:rPr>
        <w:t xml:space="preserve"> to investigate the </w:t>
      </w:r>
      <w:bookmarkStart w:id="4" w:name="_Hlk163427884"/>
      <w:r w:rsidRPr="00C81924">
        <w:rPr>
          <w:rFonts w:cs="Times New Roman"/>
          <w:szCs w:val="24"/>
        </w:rPr>
        <w:t xml:space="preserve">prevalence of multidrug resistance and extended-spectrum β-lactamase-producing </w:t>
      </w:r>
      <w:r w:rsidRPr="00C81924">
        <w:rPr>
          <w:rFonts w:cs="Times New Roman"/>
          <w:i/>
          <w:iCs/>
          <w:szCs w:val="24"/>
        </w:rPr>
        <w:t>Escherichia coli</w:t>
      </w:r>
      <w:r w:rsidRPr="00C81924">
        <w:rPr>
          <w:rFonts w:cs="Times New Roman"/>
          <w:szCs w:val="24"/>
        </w:rPr>
        <w:t xml:space="preserve"> from clinical sources in Rivers State University Teaching Hospital</w:t>
      </w:r>
      <w:bookmarkEnd w:id="4"/>
      <w:r w:rsidRPr="00C81924">
        <w:rPr>
          <w:rFonts w:cs="Times New Roman"/>
          <w:szCs w:val="24"/>
        </w:rPr>
        <w:t>.</w:t>
      </w:r>
      <w:bookmarkStart w:id="5" w:name="_Toc163428583"/>
    </w:p>
    <w:p w14:paraId="5A4D9DA2" w14:textId="6A986B37" w:rsidR="007F7535" w:rsidRPr="00C81924" w:rsidRDefault="00B15CCA" w:rsidP="007F7535">
      <w:pPr>
        <w:spacing w:before="240" w:after="200" w:line="240" w:lineRule="auto"/>
        <w:contextualSpacing/>
        <w:jc w:val="both"/>
        <w:rPr>
          <w:rFonts w:eastAsia="Calibri" w:cs="Times New Roman"/>
          <w:b/>
          <w:bCs/>
          <w:szCs w:val="24"/>
        </w:rPr>
      </w:pPr>
      <w:bookmarkStart w:id="6" w:name="_Toc163428590"/>
      <w:bookmarkEnd w:id="5"/>
      <w:r w:rsidRPr="00C81924">
        <w:rPr>
          <w:rFonts w:eastAsia="Calibri" w:cs="Times New Roman"/>
          <w:b/>
          <w:bCs/>
          <w:szCs w:val="24"/>
        </w:rPr>
        <w:t>Materials and Methods</w:t>
      </w:r>
      <w:bookmarkStart w:id="7" w:name="_Toc163428585"/>
    </w:p>
    <w:p w14:paraId="52906DB6" w14:textId="77777777" w:rsidR="007F7535" w:rsidRPr="00C81924" w:rsidRDefault="007F7535" w:rsidP="007F7535">
      <w:pPr>
        <w:spacing w:before="240" w:after="200" w:line="240" w:lineRule="auto"/>
        <w:contextualSpacing/>
        <w:jc w:val="both"/>
        <w:rPr>
          <w:rFonts w:eastAsia="Calibri" w:cs="Times New Roman"/>
          <w:b/>
          <w:bCs/>
          <w:szCs w:val="24"/>
        </w:rPr>
      </w:pPr>
    </w:p>
    <w:p w14:paraId="11439E33" w14:textId="6EA53288" w:rsidR="00FD54F5" w:rsidRPr="00C81924" w:rsidRDefault="00FD54F5" w:rsidP="007F7535">
      <w:pPr>
        <w:spacing w:before="240" w:after="200" w:line="240" w:lineRule="auto"/>
        <w:contextualSpacing/>
        <w:jc w:val="both"/>
        <w:rPr>
          <w:rFonts w:eastAsia="Calibri" w:cs="Times New Roman"/>
          <w:b/>
          <w:bCs/>
          <w:szCs w:val="24"/>
        </w:rPr>
      </w:pPr>
      <w:r w:rsidRPr="00C81924">
        <w:rPr>
          <w:rFonts w:eastAsia="SimSun"/>
          <w:b/>
          <w:bCs/>
        </w:rPr>
        <w:t>Study Population</w:t>
      </w:r>
      <w:bookmarkEnd w:id="7"/>
    </w:p>
    <w:p w14:paraId="14C33A59" w14:textId="77777777" w:rsidR="00D74EF9" w:rsidRPr="00C81924" w:rsidRDefault="00FD54F5" w:rsidP="00D74EF9">
      <w:pPr>
        <w:spacing w:before="240" w:line="240" w:lineRule="auto"/>
        <w:jc w:val="both"/>
        <w:rPr>
          <w:rFonts w:eastAsia="Calibri" w:cs="Times New Roman"/>
          <w:szCs w:val="24"/>
        </w:rPr>
      </w:pPr>
      <w:r w:rsidRPr="00C81924">
        <w:rPr>
          <w:rFonts w:eastAsia="Calibri" w:cs="Times New Roman"/>
          <w:szCs w:val="24"/>
        </w:rPr>
        <w:t>The study population comprised patients admitted to Rivers State University Teaching Hospital during the specified study period. The study population consisted of individuals with clinical samples collected for routine microbiological analysis. These samples included urine, stool, wound swabs, or other relevant specimens collected as part of standard clinical care. The inclusion of various specimen types allowed for the assessment of different infection sites and sources. Patients presenting with a range of clinical conditions and diagnoses were part of the study population. Patients with comorbidities, previous hospitalizations, and recent healthcare-associated infections were also included in the study population to capture a comprehensive picture of the prevalence and characteristics of multidrug-resistant and ESBL-producing strains.</w:t>
      </w:r>
      <w:bookmarkStart w:id="8" w:name="_Toc163428586"/>
    </w:p>
    <w:p w14:paraId="5420E84F" w14:textId="5F993CED" w:rsidR="00FD54F5" w:rsidRPr="00C81924" w:rsidRDefault="00FD54F5" w:rsidP="00D74EF9">
      <w:pPr>
        <w:spacing w:before="240" w:line="240" w:lineRule="auto"/>
        <w:jc w:val="both"/>
        <w:rPr>
          <w:rFonts w:eastAsia="Calibri" w:cs="Times New Roman"/>
          <w:b/>
          <w:bCs/>
          <w:szCs w:val="24"/>
        </w:rPr>
      </w:pPr>
      <w:r w:rsidRPr="00C81924">
        <w:rPr>
          <w:rFonts w:eastAsia="SimSun"/>
          <w:b/>
          <w:bCs/>
        </w:rPr>
        <w:t>Sample Size Determination</w:t>
      </w:r>
      <w:bookmarkEnd w:id="8"/>
    </w:p>
    <w:p w14:paraId="0D7CF64B" w14:textId="77777777" w:rsidR="00FD54F5" w:rsidRPr="00C81924" w:rsidRDefault="00FD54F5" w:rsidP="00FD54F5">
      <w:pPr>
        <w:spacing w:before="240" w:line="240" w:lineRule="auto"/>
        <w:jc w:val="both"/>
        <w:rPr>
          <w:rFonts w:cs="Times New Roman"/>
        </w:rPr>
      </w:pPr>
      <w:r w:rsidRPr="00C81924">
        <w:rPr>
          <w:rFonts w:cs="Times New Roman"/>
        </w:rPr>
        <w:t xml:space="preserve">The prevalence of ESBL-producing </w:t>
      </w:r>
      <w:r w:rsidRPr="00C81924">
        <w:rPr>
          <w:rFonts w:cs="Times New Roman"/>
          <w:i/>
          <w:iCs/>
        </w:rPr>
        <w:t>Escherichia coli</w:t>
      </w:r>
      <w:r w:rsidRPr="00C81924">
        <w:rPr>
          <w:rFonts w:cs="Times New Roman"/>
        </w:rPr>
        <w:t xml:space="preserve"> in Port Harcourt as reported by </w:t>
      </w:r>
      <w:proofErr w:type="spellStart"/>
      <w:r w:rsidRPr="00C81924">
        <w:rPr>
          <w:rFonts w:cs="Times New Roman"/>
        </w:rPr>
        <w:t>Onanuga</w:t>
      </w:r>
      <w:proofErr w:type="spellEnd"/>
      <w:r w:rsidRPr="00C81924">
        <w:rPr>
          <w:rFonts w:cs="Times New Roman"/>
        </w:rPr>
        <w:t xml:space="preserve"> </w:t>
      </w:r>
      <w:r w:rsidRPr="00C81924">
        <w:rPr>
          <w:rFonts w:cs="Times New Roman"/>
          <w:i/>
          <w:iCs/>
        </w:rPr>
        <w:t>et al.</w:t>
      </w:r>
      <w:r w:rsidRPr="00C81924">
        <w:rPr>
          <w:rFonts w:cs="Times New Roman"/>
        </w:rPr>
        <w:t xml:space="preserve"> (2019), which found a prevalence of 24%, was </w:t>
      </w:r>
      <w:proofErr w:type="spellStart"/>
      <w:r w:rsidRPr="00C81924">
        <w:rPr>
          <w:rFonts w:cs="Times New Roman"/>
        </w:rPr>
        <w:t>utilised</w:t>
      </w:r>
      <w:proofErr w:type="spellEnd"/>
      <w:r w:rsidRPr="00C81924">
        <w:rPr>
          <w:rFonts w:cs="Times New Roman"/>
        </w:rPr>
        <w:t xml:space="preserve"> to compute the minimal sample size of the participants enrolled in the research as follows.</w:t>
      </w:r>
    </w:p>
    <w:p w14:paraId="0E015BB0" w14:textId="77777777" w:rsidR="00FD54F5" w:rsidRPr="00C81924" w:rsidRDefault="00FD54F5" w:rsidP="00FD54F5">
      <w:pPr>
        <w:spacing w:before="240" w:line="240" w:lineRule="auto"/>
        <w:rPr>
          <w:rFonts w:cs="Times New Roman"/>
        </w:rPr>
      </w:pPr>
      <w:r w:rsidRPr="00C81924">
        <w:rPr>
          <w:rFonts w:cs="Times New Roman"/>
        </w:rPr>
        <w:t>Using the formula:</w:t>
      </w:r>
    </w:p>
    <w:p w14:paraId="65272A81" w14:textId="77777777" w:rsidR="00FD54F5" w:rsidRPr="00C81924" w:rsidRDefault="00FD54F5" w:rsidP="00FD54F5">
      <w:pPr>
        <w:spacing w:before="240" w:line="240" w:lineRule="auto"/>
        <w:ind w:left="360"/>
        <w:rPr>
          <w:rFonts w:cs="Times New Roman"/>
        </w:rPr>
      </w:pPr>
      <m:oMath>
        <m:r>
          <w:rPr>
            <w:rFonts w:ascii="Cambria Math" w:hAnsi="Cambria Math" w:cs="Times New Roman"/>
            <w:sz w:val="32"/>
          </w:rPr>
          <m:t xml:space="preserve">N= </m:t>
        </m:r>
        <m:f>
          <m:fPr>
            <m:ctrlPr>
              <w:rPr>
                <w:rFonts w:ascii="Cambria Math" w:hAnsi="Cambria Math" w:cs="Times New Roman"/>
                <w:i/>
                <w:sz w:val="32"/>
              </w:rPr>
            </m:ctrlPr>
          </m:fPr>
          <m:num>
            <m:sSup>
              <m:sSupPr>
                <m:ctrlPr>
                  <w:rPr>
                    <w:rFonts w:ascii="Cambria Math" w:hAnsi="Cambria Math" w:cs="Times New Roman"/>
                    <w:i/>
                    <w:sz w:val="32"/>
                  </w:rPr>
                </m:ctrlPr>
              </m:sSupPr>
              <m:e>
                <m:r>
                  <w:rPr>
                    <w:rFonts w:ascii="Cambria Math" w:hAnsi="Cambria Math" w:cs="Times New Roman"/>
                    <w:sz w:val="32"/>
                  </w:rPr>
                  <m:t>z</m:t>
                </m:r>
              </m:e>
              <m:sup>
                <m:r>
                  <w:rPr>
                    <w:rFonts w:ascii="Cambria Math" w:hAnsi="Cambria Math" w:cs="Times New Roman"/>
                    <w:sz w:val="32"/>
                  </w:rPr>
                  <m:t>2</m:t>
                </m:r>
              </m:sup>
            </m:sSup>
            <m:r>
              <w:rPr>
                <w:rFonts w:ascii="Cambria Math" w:hAnsi="Cambria Math" w:cs="Times New Roman"/>
                <w:sz w:val="36"/>
              </w:rPr>
              <m:t>pq</m:t>
            </m:r>
          </m:num>
          <m:den>
            <m:sSup>
              <m:sSupPr>
                <m:ctrlPr>
                  <w:rPr>
                    <w:rFonts w:ascii="Cambria Math" w:hAnsi="Cambria Math" w:cs="Times New Roman"/>
                    <w:i/>
                    <w:sz w:val="32"/>
                  </w:rPr>
                </m:ctrlPr>
              </m:sSupPr>
              <m:e>
                <m:r>
                  <w:rPr>
                    <w:rFonts w:ascii="Cambria Math" w:hAnsi="Cambria Math" w:cs="Times New Roman"/>
                    <w:sz w:val="32"/>
                  </w:rPr>
                  <m:t>d</m:t>
                </m:r>
              </m:e>
              <m:sup>
                <m:r>
                  <w:rPr>
                    <w:rFonts w:ascii="Cambria Math" w:hAnsi="Cambria Math" w:cs="Times New Roman"/>
                    <w:sz w:val="32"/>
                  </w:rPr>
                  <m:t>2</m:t>
                </m:r>
              </m:sup>
            </m:sSup>
          </m:den>
        </m:f>
      </m:oMath>
      <w:r w:rsidRPr="00C81924">
        <w:rPr>
          <w:rFonts w:cs="Times New Roman"/>
        </w:rPr>
        <w:t xml:space="preserve">  </w:t>
      </w:r>
      <w:r w:rsidRPr="00C81924">
        <w:rPr>
          <w:rFonts w:cs="Times New Roman"/>
        </w:rPr>
        <w:tab/>
      </w:r>
      <w:r w:rsidRPr="00C81924">
        <w:rPr>
          <w:rFonts w:cs="Times New Roman"/>
        </w:rPr>
        <w:tab/>
        <w:t xml:space="preserve">(Naing </w:t>
      </w:r>
      <w:r w:rsidRPr="00C81924">
        <w:rPr>
          <w:rFonts w:cs="Times New Roman"/>
          <w:i/>
          <w:iCs/>
        </w:rPr>
        <w:t>et al.</w:t>
      </w:r>
      <w:r w:rsidRPr="00C81924">
        <w:rPr>
          <w:rFonts w:cs="Times New Roman"/>
        </w:rPr>
        <w:t xml:space="preserve"> 2006)</w:t>
      </w:r>
    </w:p>
    <w:p w14:paraId="2A968037" w14:textId="77777777" w:rsidR="00FD54F5" w:rsidRPr="00C81924" w:rsidRDefault="00FD54F5" w:rsidP="00FD54F5">
      <w:pPr>
        <w:spacing w:before="240" w:line="240" w:lineRule="auto"/>
        <w:rPr>
          <w:rFonts w:cs="Times New Roman"/>
        </w:rPr>
      </w:pPr>
      <w:r w:rsidRPr="00C81924">
        <w:rPr>
          <w:rFonts w:cs="Times New Roman"/>
        </w:rPr>
        <w:lastRenderedPageBreak/>
        <w:t>Where N = Minimum sample size</w:t>
      </w:r>
    </w:p>
    <w:p w14:paraId="6AC1804A" w14:textId="77777777" w:rsidR="00FD54F5" w:rsidRPr="00C81924" w:rsidRDefault="00FD54F5" w:rsidP="00FD54F5">
      <w:pPr>
        <w:spacing w:before="240" w:line="240" w:lineRule="auto"/>
        <w:ind w:left="360"/>
        <w:rPr>
          <w:rFonts w:cs="Times New Roman"/>
        </w:rPr>
      </w:pPr>
      <w:r w:rsidRPr="00C81924">
        <w:rPr>
          <w:rFonts w:cs="Times New Roman"/>
        </w:rPr>
        <w:t>Z = Standard normal deviation corresponding to 95% confidence level set at 1.96</w:t>
      </w:r>
    </w:p>
    <w:p w14:paraId="1C638D92" w14:textId="77777777" w:rsidR="00FD54F5" w:rsidRPr="00C81924" w:rsidRDefault="00FD54F5" w:rsidP="00FD54F5">
      <w:pPr>
        <w:spacing w:before="240" w:line="240" w:lineRule="auto"/>
        <w:rPr>
          <w:rFonts w:cs="Times New Roman"/>
        </w:rPr>
      </w:pPr>
      <w:r w:rsidRPr="00C81924">
        <w:rPr>
          <w:rFonts w:cs="Times New Roman"/>
        </w:rPr>
        <w:t>p =24% = 0.24</w:t>
      </w:r>
    </w:p>
    <w:p w14:paraId="323AE917" w14:textId="77777777" w:rsidR="00FD54F5" w:rsidRPr="00C81924" w:rsidRDefault="00FD54F5" w:rsidP="00FD54F5">
      <w:pPr>
        <w:spacing w:before="240" w:line="240" w:lineRule="auto"/>
        <w:rPr>
          <w:rFonts w:cs="Times New Roman"/>
        </w:rPr>
      </w:pPr>
      <w:r w:rsidRPr="00C81924">
        <w:rPr>
          <w:rFonts w:cs="Times New Roman"/>
        </w:rPr>
        <w:t>q = 1-p = 0.76</w:t>
      </w:r>
    </w:p>
    <w:p w14:paraId="190CE309" w14:textId="77777777" w:rsidR="00FD54F5" w:rsidRPr="00C81924" w:rsidRDefault="00FD54F5" w:rsidP="00FD54F5">
      <w:pPr>
        <w:spacing w:before="240" w:line="240" w:lineRule="auto"/>
        <w:rPr>
          <w:rFonts w:cs="Times New Roman"/>
        </w:rPr>
      </w:pPr>
      <w:r w:rsidRPr="00C81924">
        <w:rPr>
          <w:rFonts w:cs="Times New Roman"/>
        </w:rPr>
        <w:t>d = desired precision, 5% (0.05)</w:t>
      </w:r>
    </w:p>
    <w:p w14:paraId="1E6E9548" w14:textId="77777777" w:rsidR="00FD54F5" w:rsidRPr="00C81924" w:rsidRDefault="00FD54F5" w:rsidP="00FD54F5">
      <w:pPr>
        <w:spacing w:before="240" w:line="240" w:lineRule="auto"/>
        <w:rPr>
          <w:rFonts w:cs="Times New Roman"/>
        </w:rPr>
      </w:pPr>
      <w:r w:rsidRPr="00C81924">
        <w:rPr>
          <w:rFonts w:cs="Times New Roman"/>
        </w:rPr>
        <w:t xml:space="preserve">So, N = </w:t>
      </w:r>
      <m:oMath>
        <m:f>
          <m:fPr>
            <m:ctrlPr>
              <w:rPr>
                <w:rFonts w:ascii="Cambria Math" w:hAnsi="Cambria Math" w:cs="Times New Roman"/>
                <w:i/>
                <w:sz w:val="32"/>
              </w:rPr>
            </m:ctrlPr>
          </m:fPr>
          <m:num>
            <m:sSup>
              <m:sSupPr>
                <m:ctrlPr>
                  <w:rPr>
                    <w:rFonts w:ascii="Cambria Math" w:hAnsi="Cambria Math" w:cs="Times New Roman"/>
                    <w:i/>
                    <w:sz w:val="32"/>
                  </w:rPr>
                </m:ctrlPr>
              </m:sSupPr>
              <m:e>
                <m:r>
                  <w:rPr>
                    <w:rFonts w:ascii="Cambria Math" w:hAnsi="Cambria Math" w:cs="Times New Roman"/>
                    <w:sz w:val="32"/>
                  </w:rPr>
                  <m:t>1.96</m:t>
                </m:r>
              </m:e>
              <m:sup>
                <m:r>
                  <w:rPr>
                    <w:rFonts w:ascii="Cambria Math" w:hAnsi="Cambria Math" w:cs="Times New Roman"/>
                    <w:sz w:val="32"/>
                  </w:rPr>
                  <m:t>2</m:t>
                </m:r>
              </m:sup>
            </m:sSup>
            <m:r>
              <w:rPr>
                <w:rFonts w:ascii="Cambria Math" w:hAnsi="Cambria Math" w:cs="Times New Roman"/>
                <w:sz w:val="32"/>
              </w:rPr>
              <m:t xml:space="preserve"> × 0.24 × 0.76</m:t>
            </m:r>
          </m:num>
          <m:den>
            <m:sSup>
              <m:sSupPr>
                <m:ctrlPr>
                  <w:rPr>
                    <w:rFonts w:ascii="Cambria Math" w:hAnsi="Cambria Math" w:cs="Times New Roman"/>
                    <w:i/>
                    <w:sz w:val="32"/>
                  </w:rPr>
                </m:ctrlPr>
              </m:sSupPr>
              <m:e>
                <m:r>
                  <w:rPr>
                    <w:rFonts w:ascii="Cambria Math" w:hAnsi="Cambria Math" w:cs="Times New Roman"/>
                    <w:sz w:val="32"/>
                  </w:rPr>
                  <m:t>0.05</m:t>
                </m:r>
              </m:e>
              <m:sup>
                <m:r>
                  <w:rPr>
                    <w:rFonts w:ascii="Cambria Math" w:hAnsi="Cambria Math" w:cs="Times New Roman"/>
                    <w:sz w:val="32"/>
                  </w:rPr>
                  <m:t>2</m:t>
                </m:r>
              </m:sup>
            </m:sSup>
          </m:den>
        </m:f>
      </m:oMath>
      <w:r w:rsidRPr="00C81924">
        <w:rPr>
          <w:rFonts w:cs="Times New Roman"/>
          <w:sz w:val="32"/>
        </w:rPr>
        <w:t xml:space="preserve">   </w:t>
      </w:r>
      <w:proofErr w:type="gramStart"/>
      <w:r w:rsidRPr="00C81924">
        <w:rPr>
          <w:rFonts w:cs="Times New Roman"/>
          <w:sz w:val="32"/>
        </w:rPr>
        <w:t xml:space="preserve">= </w:t>
      </w:r>
      <w:r w:rsidRPr="00C81924">
        <w:rPr>
          <w:rFonts w:cs="Times New Roman"/>
        </w:rPr>
        <w:t xml:space="preserve"> 281</w:t>
      </w:r>
      <w:proofErr w:type="gramEnd"/>
    </w:p>
    <w:p w14:paraId="04782B99" w14:textId="77777777" w:rsidR="007F7535" w:rsidRPr="00C81924" w:rsidRDefault="00FD54F5" w:rsidP="007F7535">
      <w:pPr>
        <w:spacing w:before="240" w:line="240" w:lineRule="auto"/>
        <w:jc w:val="both"/>
        <w:rPr>
          <w:rFonts w:cs="Times New Roman"/>
        </w:rPr>
      </w:pPr>
      <w:r w:rsidRPr="00C81924">
        <w:rPr>
          <w:rFonts w:cs="Times New Roman"/>
        </w:rPr>
        <w:t>Thus approximately 281 subjects</w:t>
      </w:r>
      <w:r w:rsidR="00D74EF9" w:rsidRPr="00C81924">
        <w:rPr>
          <w:rFonts w:cs="Times New Roman"/>
        </w:rPr>
        <w:t xml:space="preserve"> </w:t>
      </w:r>
      <w:proofErr w:type="gramStart"/>
      <w:r w:rsidR="00D74EF9" w:rsidRPr="00C81924">
        <w:rPr>
          <w:rFonts w:cs="Times New Roman"/>
        </w:rPr>
        <w:t>was</w:t>
      </w:r>
      <w:proofErr w:type="gramEnd"/>
      <w:r w:rsidR="00D74EF9" w:rsidRPr="00C81924">
        <w:rPr>
          <w:rFonts w:cs="Times New Roman"/>
        </w:rPr>
        <w:t xml:space="preserve"> ideal as</w:t>
      </w:r>
      <w:r w:rsidRPr="00C81924">
        <w:rPr>
          <w:rFonts w:cs="Times New Roman"/>
        </w:rPr>
        <w:t xml:space="preserve"> the minimum sample size for th</w:t>
      </w:r>
      <w:r w:rsidR="00D74EF9" w:rsidRPr="00C81924">
        <w:rPr>
          <w:rFonts w:cs="Times New Roman"/>
        </w:rPr>
        <w:t>is</w:t>
      </w:r>
      <w:r w:rsidRPr="00C81924">
        <w:rPr>
          <w:rFonts w:cs="Times New Roman"/>
        </w:rPr>
        <w:t xml:space="preserve"> study. However, to </w:t>
      </w:r>
      <w:r w:rsidR="00D74EF9" w:rsidRPr="00C81924">
        <w:rPr>
          <w:rFonts w:cs="Times New Roman"/>
        </w:rPr>
        <w:t xml:space="preserve">avoid </w:t>
      </w:r>
      <w:r w:rsidRPr="00C81924">
        <w:rPr>
          <w:rFonts w:cs="Times New Roman"/>
        </w:rPr>
        <w:t>missing data and improve the power of the study, a total of 300 subjects w</w:t>
      </w:r>
      <w:r w:rsidR="00D74EF9" w:rsidRPr="00C81924">
        <w:rPr>
          <w:rFonts w:cs="Times New Roman"/>
        </w:rPr>
        <w:t>ere recruited.</w:t>
      </w:r>
      <w:bookmarkStart w:id="9" w:name="_Toc163428587"/>
    </w:p>
    <w:p w14:paraId="24BBCB41" w14:textId="67175080" w:rsidR="00FD54F5" w:rsidRPr="00C81924" w:rsidRDefault="00FD54F5" w:rsidP="007F7535">
      <w:pPr>
        <w:spacing w:before="240" w:line="240" w:lineRule="auto"/>
        <w:jc w:val="both"/>
        <w:rPr>
          <w:rFonts w:cs="Times New Roman"/>
          <w:b/>
          <w:bCs/>
        </w:rPr>
      </w:pPr>
      <w:r w:rsidRPr="00C81924">
        <w:rPr>
          <w:rFonts w:eastAsia="Times New Roman"/>
          <w:b/>
          <w:bCs/>
        </w:rPr>
        <w:t>Ethical Clearance/Approval</w:t>
      </w:r>
      <w:bookmarkEnd w:id="9"/>
    </w:p>
    <w:p w14:paraId="5EB76E28" w14:textId="77777777" w:rsidR="007F7535" w:rsidRPr="00C81924" w:rsidRDefault="00FD54F5" w:rsidP="007F7535">
      <w:pPr>
        <w:tabs>
          <w:tab w:val="left" w:pos="426"/>
          <w:tab w:val="left" w:pos="567"/>
          <w:tab w:val="left" w:pos="1440"/>
          <w:tab w:val="left" w:pos="2160"/>
          <w:tab w:val="left" w:pos="2880"/>
          <w:tab w:val="left" w:pos="3600"/>
          <w:tab w:val="left" w:pos="4320"/>
          <w:tab w:val="left" w:pos="5040"/>
          <w:tab w:val="left" w:pos="7290"/>
        </w:tabs>
        <w:spacing w:after="200" w:line="240" w:lineRule="auto"/>
        <w:contextualSpacing/>
        <w:jc w:val="both"/>
        <w:rPr>
          <w:rFonts w:eastAsia="Calibri" w:cs="Times New Roman"/>
          <w:szCs w:val="24"/>
        </w:rPr>
      </w:pPr>
      <w:r w:rsidRPr="00C81924">
        <w:t>Ethical approval was obtained from the Rivers State University Teaching Hospital research and ethics committee</w:t>
      </w:r>
      <w:r w:rsidRPr="00C81924">
        <w:rPr>
          <w:rFonts w:eastAsia="Calibri" w:cs="Times New Roman"/>
          <w:szCs w:val="24"/>
        </w:rPr>
        <w:t>.</w:t>
      </w:r>
      <w:bookmarkStart w:id="10" w:name="_Toc163428588"/>
    </w:p>
    <w:p w14:paraId="271262B7" w14:textId="77777777" w:rsidR="007F7535" w:rsidRPr="00C81924" w:rsidRDefault="007F7535" w:rsidP="007F7535">
      <w:pPr>
        <w:tabs>
          <w:tab w:val="left" w:pos="426"/>
          <w:tab w:val="left" w:pos="567"/>
          <w:tab w:val="left" w:pos="1440"/>
          <w:tab w:val="left" w:pos="2160"/>
          <w:tab w:val="left" w:pos="2880"/>
          <w:tab w:val="left" w:pos="3600"/>
          <w:tab w:val="left" w:pos="4320"/>
          <w:tab w:val="left" w:pos="5040"/>
          <w:tab w:val="left" w:pos="7290"/>
        </w:tabs>
        <w:spacing w:after="200" w:line="240" w:lineRule="auto"/>
        <w:contextualSpacing/>
        <w:jc w:val="both"/>
        <w:rPr>
          <w:rFonts w:eastAsia="Calibri" w:cs="Times New Roman"/>
          <w:szCs w:val="24"/>
        </w:rPr>
      </w:pPr>
    </w:p>
    <w:p w14:paraId="6F37CE89" w14:textId="77777777" w:rsidR="007F7535" w:rsidRPr="00C81924" w:rsidRDefault="007F7535" w:rsidP="007F7535">
      <w:pPr>
        <w:spacing w:line="240" w:lineRule="auto"/>
        <w:jc w:val="both"/>
        <w:rPr>
          <w:b/>
          <w:bCs/>
        </w:rPr>
      </w:pPr>
      <w:r w:rsidRPr="00C81924">
        <w:rPr>
          <w:rFonts w:eastAsia="Times New Roman"/>
          <w:b/>
          <w:bCs/>
        </w:rPr>
        <w:t>Eligibility of Subjects</w:t>
      </w:r>
    </w:p>
    <w:p w14:paraId="1D24574F" w14:textId="705A6BEB" w:rsidR="007F7535" w:rsidRPr="00C81924" w:rsidRDefault="007F7535" w:rsidP="007F7535">
      <w:pPr>
        <w:spacing w:line="240" w:lineRule="auto"/>
        <w:jc w:val="both"/>
        <w:rPr>
          <w:b/>
          <w:bCs/>
        </w:rPr>
      </w:pPr>
      <w:r w:rsidRPr="00C81924">
        <w:rPr>
          <w:rFonts w:eastAsia="Calibri" w:cs="Times New Roman"/>
          <w:bCs/>
          <w:szCs w:val="24"/>
        </w:rPr>
        <w:t xml:space="preserve">Inclusion Criteria </w:t>
      </w:r>
      <w:r w:rsidRPr="00C81924">
        <w:rPr>
          <w:bCs/>
        </w:rPr>
        <w:t>involved p</w:t>
      </w:r>
      <w:r w:rsidRPr="00C81924">
        <w:rPr>
          <w:rFonts w:eastAsia="Calibri" w:cs="Times New Roman"/>
          <w:bCs/>
          <w:szCs w:val="24"/>
        </w:rPr>
        <w:t>atients admitted to Rivers State University Teaching Hospital</w:t>
      </w:r>
      <w:r w:rsidRPr="00C81924">
        <w:rPr>
          <w:rFonts w:eastAsia="Calibri" w:cs="Times New Roman"/>
          <w:szCs w:val="24"/>
        </w:rPr>
        <w:t xml:space="preserve"> during the study period, Patients with clinical samples</w:t>
      </w:r>
      <w:r w:rsidR="00910DC2" w:rsidRPr="00C81924">
        <w:rPr>
          <w:rFonts w:eastAsia="Calibri" w:cs="Times New Roman"/>
          <w:szCs w:val="24"/>
        </w:rPr>
        <w:t xml:space="preserve"> </w:t>
      </w:r>
      <w:r w:rsidRPr="00C81924">
        <w:rPr>
          <w:rFonts w:eastAsia="Calibri" w:cs="Times New Roman"/>
          <w:szCs w:val="24"/>
        </w:rPr>
        <w:t>collected for routine microbiological analysis and patients of all age groups and both genders.</w:t>
      </w:r>
      <w:r w:rsidRPr="00C81924">
        <w:t xml:space="preserve"> There was no </w:t>
      </w:r>
      <w:r w:rsidRPr="00C81924">
        <w:rPr>
          <w:rFonts w:eastAsia="Calibri" w:cs="Times New Roman"/>
          <w:szCs w:val="24"/>
        </w:rPr>
        <w:t xml:space="preserve">exclusion </w:t>
      </w:r>
      <w:r w:rsidR="001A3251" w:rsidRPr="00C81924">
        <w:rPr>
          <w:rFonts w:eastAsia="Calibri" w:cs="Times New Roman"/>
          <w:szCs w:val="24"/>
        </w:rPr>
        <w:t>criterion</w:t>
      </w:r>
      <w:r w:rsidRPr="00C81924">
        <w:t>.</w:t>
      </w:r>
    </w:p>
    <w:p w14:paraId="3DF492FA" w14:textId="3E09E85F" w:rsidR="00FD54F5" w:rsidRPr="00C81924" w:rsidRDefault="00FD54F5" w:rsidP="007F7535">
      <w:pPr>
        <w:tabs>
          <w:tab w:val="left" w:pos="426"/>
          <w:tab w:val="left" w:pos="567"/>
          <w:tab w:val="left" w:pos="1440"/>
          <w:tab w:val="left" w:pos="2160"/>
          <w:tab w:val="left" w:pos="2880"/>
          <w:tab w:val="left" w:pos="3600"/>
          <w:tab w:val="left" w:pos="4320"/>
          <w:tab w:val="left" w:pos="5040"/>
          <w:tab w:val="left" w:pos="7290"/>
        </w:tabs>
        <w:spacing w:after="200" w:line="240" w:lineRule="auto"/>
        <w:contextualSpacing/>
        <w:jc w:val="both"/>
        <w:rPr>
          <w:rFonts w:eastAsia="Times New Roman" w:cs="Times New Roman"/>
          <w:b/>
          <w:bCs/>
          <w:szCs w:val="24"/>
        </w:rPr>
      </w:pPr>
      <w:r w:rsidRPr="00C81924">
        <w:rPr>
          <w:rFonts w:eastAsia="Times New Roman"/>
          <w:b/>
          <w:bCs/>
        </w:rPr>
        <w:t>Consent Form</w:t>
      </w:r>
      <w:bookmarkEnd w:id="10"/>
    </w:p>
    <w:p w14:paraId="6DD99880" w14:textId="57EAF827" w:rsidR="00FD54F5" w:rsidRPr="00C81924" w:rsidRDefault="00FD54F5" w:rsidP="00910DC2">
      <w:pPr>
        <w:spacing w:line="240" w:lineRule="auto"/>
        <w:jc w:val="both"/>
      </w:pPr>
      <w:r w:rsidRPr="00C81924">
        <w:t>The study was explained to all willing subjects who passed the minimum inclusion criteria. Thereafter, subjects were required to agree to at least an oral consent.</w:t>
      </w:r>
    </w:p>
    <w:p w14:paraId="1EE86FFF" w14:textId="6B7E5192" w:rsidR="0058304E" w:rsidRPr="00C81924" w:rsidRDefault="0058304E" w:rsidP="00FD54F5">
      <w:pPr>
        <w:spacing w:before="240" w:after="200" w:line="240" w:lineRule="auto"/>
        <w:contextualSpacing/>
        <w:jc w:val="both"/>
        <w:rPr>
          <w:rFonts w:eastAsia="Calibri" w:cs="Times New Roman"/>
          <w:b/>
          <w:bCs/>
          <w:szCs w:val="24"/>
        </w:rPr>
      </w:pPr>
      <w:r w:rsidRPr="00C81924">
        <w:rPr>
          <w:b/>
          <w:bCs/>
        </w:rPr>
        <w:t>Specimen Collection and Processing</w:t>
      </w:r>
      <w:bookmarkEnd w:id="6"/>
      <w:r w:rsidRPr="00C81924">
        <w:rPr>
          <w:b/>
          <w:bCs/>
        </w:rPr>
        <w:t xml:space="preserve"> </w:t>
      </w:r>
    </w:p>
    <w:p w14:paraId="60D0574B" w14:textId="438755FB" w:rsidR="00B15CCA" w:rsidRPr="00C81924" w:rsidRDefault="0058304E" w:rsidP="004B0E91">
      <w:pPr>
        <w:spacing w:before="240" w:line="240" w:lineRule="auto"/>
        <w:jc w:val="both"/>
      </w:pPr>
      <w:r w:rsidRPr="00C81924">
        <w:t xml:space="preserve">Urine, stool and swab samples were aseptically collected using respective sterile sample containers and swab sticks. </w:t>
      </w:r>
      <w:r w:rsidR="004B0E91" w:rsidRPr="00C81924">
        <w:t xml:space="preserve">Standard laboratory methods were used to process the samples. </w:t>
      </w:r>
      <w:r w:rsidRPr="00C81924">
        <w:t xml:space="preserve">The samples were inoculated onto MacConkey agar plates and incubated at 37°C for 24 hours. </w:t>
      </w:r>
      <w:r w:rsidR="00571169" w:rsidRPr="00C81924">
        <w:t>the</w:t>
      </w:r>
      <w:r w:rsidRPr="00C81924">
        <w:t xml:space="preserve"> plates were </w:t>
      </w:r>
      <w:r w:rsidR="00571169" w:rsidRPr="00C81924">
        <w:t xml:space="preserve">then </w:t>
      </w:r>
      <w:r w:rsidRPr="00C81924">
        <w:t>observed for the growth of the bacteria. Gram staining was carried out on each bacterial isolate and thereafter, identified by conventional biochemical tests</w:t>
      </w:r>
      <w:bookmarkStart w:id="11" w:name="_Toc163428591"/>
    </w:p>
    <w:p w14:paraId="3EF442B6" w14:textId="45CFC7B8" w:rsidR="0058304E" w:rsidRPr="00C81924" w:rsidRDefault="0058304E" w:rsidP="004B0E91">
      <w:pPr>
        <w:spacing w:before="240" w:line="240" w:lineRule="auto"/>
        <w:jc w:val="both"/>
        <w:rPr>
          <w:b/>
          <w:bCs/>
        </w:rPr>
      </w:pPr>
      <w:r w:rsidRPr="00C81924">
        <w:rPr>
          <w:b/>
          <w:bCs/>
        </w:rPr>
        <w:t xml:space="preserve">Identification of </w:t>
      </w:r>
      <w:r w:rsidRPr="00C81924">
        <w:rPr>
          <w:b/>
          <w:bCs/>
          <w:i/>
          <w:iCs/>
        </w:rPr>
        <w:t>Escherichia coli</w:t>
      </w:r>
      <w:r w:rsidRPr="00C81924">
        <w:rPr>
          <w:b/>
          <w:bCs/>
        </w:rPr>
        <w:t xml:space="preserve"> </w:t>
      </w:r>
      <w:r w:rsidR="00B15CCA" w:rsidRPr="00C81924">
        <w:rPr>
          <w:b/>
          <w:bCs/>
        </w:rPr>
        <w:t>I</w:t>
      </w:r>
      <w:r w:rsidRPr="00C81924">
        <w:rPr>
          <w:b/>
          <w:bCs/>
        </w:rPr>
        <w:t>solates</w:t>
      </w:r>
      <w:bookmarkEnd w:id="11"/>
      <w:r w:rsidRPr="00C81924">
        <w:rPr>
          <w:b/>
          <w:bCs/>
        </w:rPr>
        <w:t xml:space="preserve"> </w:t>
      </w:r>
    </w:p>
    <w:p w14:paraId="3BB00EA5" w14:textId="77777777" w:rsidR="0058304E" w:rsidRPr="00C81924" w:rsidRDefault="0058304E" w:rsidP="00571169">
      <w:pPr>
        <w:spacing w:before="240" w:line="240" w:lineRule="auto"/>
        <w:jc w:val="both"/>
        <w:rPr>
          <w:b/>
          <w:bCs/>
        </w:rPr>
      </w:pPr>
      <w:r w:rsidRPr="00C81924">
        <w:rPr>
          <w:b/>
          <w:bCs/>
        </w:rPr>
        <w:t>Colony Morphology and Gram Stain</w:t>
      </w:r>
    </w:p>
    <w:p w14:paraId="716ACC7C" w14:textId="57CF743E" w:rsidR="00BE5B5C" w:rsidRPr="00C81924" w:rsidRDefault="0058304E" w:rsidP="00BE5B5C">
      <w:pPr>
        <w:spacing w:before="240" w:line="240" w:lineRule="auto"/>
        <w:jc w:val="both"/>
      </w:pPr>
      <w:r w:rsidRPr="00C81924">
        <w:t>All isolates were identified primarily according to general cultural characteristics (</w:t>
      </w:r>
      <w:proofErr w:type="spellStart"/>
      <w:r w:rsidRPr="00C81924">
        <w:t>colour</w:t>
      </w:r>
      <w:proofErr w:type="spellEnd"/>
      <w:r w:rsidRPr="00C81924">
        <w:t xml:space="preserve">, shape, texture and size) of the colony in addition to lactose fermentation on MacConkey agar after incubating overnight at 37ºC. All the bacterial isolates were examined after being stained with Gram stain to examine </w:t>
      </w:r>
      <w:r w:rsidR="001A3251" w:rsidRPr="00C81924">
        <w:t xml:space="preserve">the </w:t>
      </w:r>
      <w:r w:rsidRPr="00C81924">
        <w:t>cell</w:t>
      </w:r>
      <w:r w:rsidR="001A3251" w:rsidRPr="00C81924">
        <w:t>’</w:t>
      </w:r>
      <w:r w:rsidRPr="00C81924">
        <w:t>s</w:t>
      </w:r>
      <w:r w:rsidR="001A3251" w:rsidRPr="00C81924">
        <w:t xml:space="preserve"> </w:t>
      </w:r>
      <w:r w:rsidRPr="00C81924">
        <w:t>shape, grouping, and gram reaction microscopically.</w:t>
      </w:r>
    </w:p>
    <w:p w14:paraId="52AB3FE3" w14:textId="77777777" w:rsidR="00910DC2" w:rsidRPr="00C81924" w:rsidRDefault="00910DC2" w:rsidP="00BE5B5C">
      <w:pPr>
        <w:spacing w:before="240" w:line="240" w:lineRule="auto"/>
        <w:jc w:val="both"/>
        <w:rPr>
          <w:b/>
          <w:bCs/>
        </w:rPr>
      </w:pPr>
    </w:p>
    <w:p w14:paraId="518559BF" w14:textId="39FA4EBB" w:rsidR="0058304E" w:rsidRPr="00C81924" w:rsidRDefault="0058304E" w:rsidP="00BE5B5C">
      <w:pPr>
        <w:spacing w:before="240" w:line="240" w:lineRule="auto"/>
        <w:jc w:val="both"/>
        <w:rPr>
          <w:b/>
          <w:bCs/>
        </w:rPr>
      </w:pPr>
      <w:r w:rsidRPr="00C81924">
        <w:rPr>
          <w:b/>
          <w:bCs/>
        </w:rPr>
        <w:t>Biochemical Tests</w:t>
      </w:r>
    </w:p>
    <w:p w14:paraId="03D0D6EC" w14:textId="77777777" w:rsidR="0058304E" w:rsidRPr="00C81924" w:rsidRDefault="0058304E" w:rsidP="00FD54F5">
      <w:pPr>
        <w:spacing w:before="240" w:line="240" w:lineRule="auto"/>
        <w:jc w:val="both"/>
        <w:rPr>
          <w:b/>
          <w:bCs/>
        </w:rPr>
      </w:pPr>
      <w:r w:rsidRPr="00C81924">
        <w:rPr>
          <w:b/>
          <w:bCs/>
        </w:rPr>
        <w:t>Indole production test</w:t>
      </w:r>
    </w:p>
    <w:p w14:paraId="7DD1C9BD" w14:textId="77777777" w:rsidR="0058304E" w:rsidRPr="00C81924" w:rsidRDefault="0058304E" w:rsidP="00FD54F5">
      <w:pPr>
        <w:spacing w:before="240" w:line="240" w:lineRule="auto"/>
        <w:jc w:val="both"/>
      </w:pPr>
      <w:r w:rsidRPr="00C81924">
        <w:lastRenderedPageBreak/>
        <w:t xml:space="preserve">Peptone broth was inoculated with fresh cultures of bacteria and incubated at 37ºC for 24 </w:t>
      </w:r>
      <w:proofErr w:type="spellStart"/>
      <w:r w:rsidRPr="00C81924">
        <w:t>hrs</w:t>
      </w:r>
      <w:proofErr w:type="spellEnd"/>
      <w:r w:rsidRPr="00C81924">
        <w:t>, then 10 drops of Kovac's reagent were added for each test tube. The appearance of a red ring at the top of the broth within 10 minutes was considered a positive result.</w:t>
      </w:r>
    </w:p>
    <w:p w14:paraId="743545BA" w14:textId="77777777" w:rsidR="0058304E" w:rsidRPr="00C81924" w:rsidRDefault="0058304E" w:rsidP="00FD54F5">
      <w:pPr>
        <w:spacing w:before="240" w:line="240" w:lineRule="auto"/>
        <w:jc w:val="both"/>
        <w:rPr>
          <w:b/>
          <w:bCs/>
        </w:rPr>
      </w:pPr>
      <w:r w:rsidRPr="00C81924">
        <w:rPr>
          <w:b/>
          <w:bCs/>
        </w:rPr>
        <w:t>Citrate utilization test</w:t>
      </w:r>
    </w:p>
    <w:p w14:paraId="3AC0EA54" w14:textId="77777777" w:rsidR="0058304E" w:rsidRPr="00C81924" w:rsidRDefault="0058304E" w:rsidP="00FD54F5">
      <w:pPr>
        <w:spacing w:before="240" w:line="240" w:lineRule="auto"/>
        <w:jc w:val="both"/>
      </w:pPr>
      <w:proofErr w:type="spellStart"/>
      <w:r w:rsidRPr="00C81924">
        <w:t>Simmon</w:t>
      </w:r>
      <w:proofErr w:type="spellEnd"/>
      <w:r w:rsidRPr="00C81924">
        <w:t xml:space="preserve"> citrate agar slants were inoculated with fresh bacterial isolates and incubated at 37ºC for 24-48 hrs. Changing the </w:t>
      </w:r>
      <w:proofErr w:type="spellStart"/>
      <w:r w:rsidRPr="00C81924">
        <w:t>colour</w:t>
      </w:r>
      <w:proofErr w:type="spellEnd"/>
      <w:r w:rsidRPr="00C81924">
        <w:t xml:space="preserve"> from green to blue was considered a positive result.</w:t>
      </w:r>
    </w:p>
    <w:p w14:paraId="15EA78CD" w14:textId="77777777" w:rsidR="0058304E" w:rsidRPr="00C81924" w:rsidRDefault="0058304E" w:rsidP="00FD54F5">
      <w:pPr>
        <w:spacing w:before="240" w:line="240" w:lineRule="auto"/>
        <w:jc w:val="both"/>
        <w:rPr>
          <w:b/>
          <w:bCs/>
        </w:rPr>
      </w:pPr>
      <w:r w:rsidRPr="00C81924">
        <w:rPr>
          <w:b/>
          <w:bCs/>
        </w:rPr>
        <w:t>Urease test</w:t>
      </w:r>
    </w:p>
    <w:p w14:paraId="5F29139B" w14:textId="77777777" w:rsidR="0058304E" w:rsidRPr="00C81924" w:rsidRDefault="0058304E" w:rsidP="00FD54F5">
      <w:pPr>
        <w:spacing w:before="240" w:line="240" w:lineRule="auto"/>
        <w:jc w:val="both"/>
      </w:pPr>
      <w:r w:rsidRPr="00C81924">
        <w:t xml:space="preserve">Urease activity of the isolates was detected by inoculating the surface of urea agar slants with the bacterial growth and incubating at 37ºC for 24 hrs. Changing the </w:t>
      </w:r>
      <w:proofErr w:type="spellStart"/>
      <w:r w:rsidRPr="00C81924">
        <w:t>colour</w:t>
      </w:r>
      <w:proofErr w:type="spellEnd"/>
      <w:r w:rsidRPr="00C81924">
        <w:t xml:space="preserve"> of the medium to purple-pink indicates a positive result while keeping the media at its yellow-orange </w:t>
      </w:r>
      <w:proofErr w:type="spellStart"/>
      <w:r w:rsidRPr="00C81924">
        <w:t>colour</w:t>
      </w:r>
      <w:proofErr w:type="spellEnd"/>
      <w:r w:rsidRPr="00C81924">
        <w:t xml:space="preserve"> was considered a positive result.</w:t>
      </w:r>
    </w:p>
    <w:p w14:paraId="45E217EC" w14:textId="77777777" w:rsidR="0058304E" w:rsidRPr="00C81924" w:rsidRDefault="0058304E" w:rsidP="00FD54F5">
      <w:pPr>
        <w:spacing w:before="240" w:line="240" w:lineRule="auto"/>
        <w:jc w:val="both"/>
        <w:rPr>
          <w:b/>
          <w:bCs/>
        </w:rPr>
      </w:pPr>
      <w:r w:rsidRPr="00C81924">
        <w:rPr>
          <w:b/>
          <w:bCs/>
        </w:rPr>
        <w:t>Oxidase test</w:t>
      </w:r>
    </w:p>
    <w:p w14:paraId="0DBC80D2" w14:textId="77777777" w:rsidR="0058304E" w:rsidRPr="00C81924" w:rsidRDefault="0058304E" w:rsidP="00FD54F5">
      <w:pPr>
        <w:spacing w:before="240" w:line="240" w:lineRule="auto"/>
        <w:jc w:val="both"/>
      </w:pPr>
      <w:r w:rsidRPr="00C81924">
        <w:t xml:space="preserve">This test was done by using filter paper moistening with a few drops of a freshly prepared solution of Oxidase reagent (tetramethyl-p-phenylene diamine dihydrochloride). Aseptically a clump of cells cultured was picked up from the growth and smeared on the filter paper. The development of a violet or purple </w:t>
      </w:r>
      <w:proofErr w:type="spellStart"/>
      <w:r w:rsidRPr="00C81924">
        <w:t>colour</w:t>
      </w:r>
      <w:proofErr w:type="spellEnd"/>
      <w:r w:rsidRPr="00C81924">
        <w:t xml:space="preserve"> within 2-10 seconds was considered a positive result.</w:t>
      </w:r>
    </w:p>
    <w:p w14:paraId="13A6A1BA" w14:textId="77777777" w:rsidR="0058304E" w:rsidRPr="00C81924" w:rsidRDefault="0058304E" w:rsidP="00FD54F5">
      <w:pPr>
        <w:spacing w:before="240" w:line="240" w:lineRule="auto"/>
        <w:jc w:val="both"/>
        <w:rPr>
          <w:b/>
          <w:bCs/>
        </w:rPr>
      </w:pPr>
      <w:r w:rsidRPr="00C81924">
        <w:rPr>
          <w:b/>
          <w:bCs/>
        </w:rPr>
        <w:t>Catalase test</w:t>
      </w:r>
    </w:p>
    <w:p w14:paraId="7A972134" w14:textId="77777777" w:rsidR="0058304E" w:rsidRPr="00C81924" w:rsidRDefault="0058304E" w:rsidP="00FD54F5">
      <w:pPr>
        <w:spacing w:before="240" w:line="240" w:lineRule="auto"/>
        <w:jc w:val="both"/>
      </w:pPr>
      <w:r w:rsidRPr="00C81924">
        <w:t>A single colony was placed onto a clean glass microscope slide with a sterile applicator, and then a drop of hydrogen peroxide (3%) was placed onto the colony. The production of gaseous bubbles indicates the presence of catalase that hydrolyzes hydrogen peroxide to water and oxygen.</w:t>
      </w:r>
    </w:p>
    <w:p w14:paraId="12E1B06B" w14:textId="77777777" w:rsidR="0058304E" w:rsidRPr="00C81924" w:rsidRDefault="0058304E" w:rsidP="00FD54F5">
      <w:pPr>
        <w:spacing w:before="240" w:line="240" w:lineRule="auto"/>
        <w:jc w:val="both"/>
        <w:rPr>
          <w:b/>
          <w:bCs/>
        </w:rPr>
      </w:pPr>
      <w:r w:rsidRPr="00C81924">
        <w:rPr>
          <w:b/>
          <w:bCs/>
        </w:rPr>
        <w:t>Triple Sugar Iron Test</w:t>
      </w:r>
    </w:p>
    <w:p w14:paraId="63758D19" w14:textId="0EBECD25" w:rsidR="00B15CCA" w:rsidRPr="00C81924" w:rsidRDefault="0058304E" w:rsidP="00BE5B5C">
      <w:pPr>
        <w:spacing w:before="240" w:line="240" w:lineRule="auto"/>
        <w:jc w:val="both"/>
      </w:pPr>
      <w:r w:rsidRPr="00C81924">
        <w:t xml:space="preserve">Isolates were inoculated into TSI slants with a straight inoculation needle by first stabbing through the </w:t>
      </w:r>
      <w:proofErr w:type="spellStart"/>
      <w:r w:rsidRPr="00C81924">
        <w:t>centre</w:t>
      </w:r>
      <w:proofErr w:type="spellEnd"/>
      <w:r w:rsidRPr="00C81924">
        <w:t xml:space="preserve"> of the medium to the bottom of the tube and then streaking the surface of the agar slant and subsequently incubating at 37ºC for 24-48 hours.</w:t>
      </w:r>
      <w:bookmarkStart w:id="12" w:name="_Toc163428592"/>
    </w:p>
    <w:p w14:paraId="7CD48A23" w14:textId="0B15EEC4" w:rsidR="0058304E" w:rsidRPr="00C81924" w:rsidRDefault="0058304E" w:rsidP="00BE5B5C">
      <w:pPr>
        <w:spacing w:before="240" w:line="240" w:lineRule="auto"/>
        <w:jc w:val="both"/>
        <w:rPr>
          <w:b/>
          <w:bCs/>
        </w:rPr>
      </w:pPr>
      <w:r w:rsidRPr="00C81924">
        <w:rPr>
          <w:b/>
          <w:bCs/>
        </w:rPr>
        <w:t>Anti</w:t>
      </w:r>
      <w:r w:rsidR="00BE5B5C" w:rsidRPr="00C81924">
        <w:rPr>
          <w:b/>
          <w:bCs/>
        </w:rPr>
        <w:t>b</w:t>
      </w:r>
      <w:r w:rsidR="00B15CCA" w:rsidRPr="00C81924">
        <w:rPr>
          <w:b/>
          <w:bCs/>
        </w:rPr>
        <w:t xml:space="preserve">iotic </w:t>
      </w:r>
      <w:r w:rsidR="00BE5B5C" w:rsidRPr="00C81924">
        <w:rPr>
          <w:b/>
          <w:bCs/>
        </w:rPr>
        <w:t>Susceptibility</w:t>
      </w:r>
      <w:r w:rsidRPr="00C81924">
        <w:rPr>
          <w:b/>
          <w:bCs/>
        </w:rPr>
        <w:t xml:space="preserve"> Testing</w:t>
      </w:r>
      <w:bookmarkEnd w:id="12"/>
    </w:p>
    <w:p w14:paraId="05F289B6" w14:textId="0CF843D8" w:rsidR="0058304E" w:rsidRPr="00C81924" w:rsidRDefault="00B15CCA" w:rsidP="00925B01">
      <w:pPr>
        <w:spacing w:before="240" w:line="240" w:lineRule="auto"/>
        <w:jc w:val="both"/>
        <w:rPr>
          <w:rFonts w:cs="Times New Roman"/>
          <w:szCs w:val="24"/>
        </w:rPr>
      </w:pPr>
      <w:bookmarkStart w:id="13" w:name="_Hlk131286785"/>
      <w:r w:rsidRPr="00C81924">
        <w:t xml:space="preserve">Antibiotic </w:t>
      </w:r>
      <w:r w:rsidR="00BE5B5C" w:rsidRPr="00C81924">
        <w:t xml:space="preserve">susceptibility </w:t>
      </w:r>
      <w:r w:rsidR="0058304E" w:rsidRPr="00C81924">
        <w:t>testing was performed by dis</w:t>
      </w:r>
      <w:r w:rsidR="00BE5B5C" w:rsidRPr="00C81924">
        <w:t xml:space="preserve">c </w:t>
      </w:r>
      <w:r w:rsidR="0058304E" w:rsidRPr="00C81924">
        <w:t xml:space="preserve">diffusion technique as described in the guidelines of the Clinical and Laboratory Standard Institute (2014). The following antibiotics were used: Cefpodoxime (30 </w:t>
      </w:r>
      <w:r w:rsidR="0058304E" w:rsidRPr="00C81924">
        <w:rPr>
          <w:rFonts w:ascii="Cambria Math" w:hAnsi="Cambria Math" w:cs="Cambria Math"/>
        </w:rPr>
        <w:t>𝜇</w:t>
      </w:r>
      <w:r w:rsidR="0058304E" w:rsidRPr="00C81924">
        <w:t xml:space="preserve">g), Tetracycline (30 </w:t>
      </w:r>
      <w:r w:rsidR="0058304E" w:rsidRPr="00C81924">
        <w:rPr>
          <w:rFonts w:ascii="Cambria Math" w:hAnsi="Cambria Math" w:cs="Cambria Math"/>
        </w:rPr>
        <w:t>𝜇</w:t>
      </w:r>
      <w:r w:rsidR="0058304E" w:rsidRPr="00C81924">
        <w:t xml:space="preserve">g), Ceftazidime (30 </w:t>
      </w:r>
      <w:r w:rsidR="0058304E" w:rsidRPr="00C81924">
        <w:rPr>
          <w:rFonts w:ascii="Cambria Math" w:hAnsi="Cambria Math" w:cs="Cambria Math"/>
        </w:rPr>
        <w:t>𝜇</w:t>
      </w:r>
      <w:r w:rsidR="0058304E" w:rsidRPr="00C81924">
        <w:t xml:space="preserve">g), </w:t>
      </w:r>
      <w:proofErr w:type="spellStart"/>
      <w:r w:rsidR="0058304E" w:rsidRPr="00C81924">
        <w:t>Amox</w:t>
      </w:r>
      <w:r w:rsidR="00910DC2" w:rsidRPr="00C81924">
        <w:t>i</w:t>
      </w:r>
      <w:r w:rsidR="0058304E" w:rsidRPr="00C81924">
        <w:t>cillin+Clauvulanic</w:t>
      </w:r>
      <w:proofErr w:type="spellEnd"/>
      <w:r w:rsidR="0058304E" w:rsidRPr="00C81924">
        <w:t xml:space="preserve"> Acid (30 </w:t>
      </w:r>
      <w:r w:rsidR="0058304E" w:rsidRPr="00C81924">
        <w:rPr>
          <w:rFonts w:ascii="Cambria Math" w:hAnsi="Cambria Math" w:cs="Cambria Math"/>
        </w:rPr>
        <w:t>𝜇</w:t>
      </w:r>
      <w:r w:rsidR="0058304E" w:rsidRPr="00C81924">
        <w:t xml:space="preserve">g), Imipenem (10 </w:t>
      </w:r>
      <w:r w:rsidR="0058304E" w:rsidRPr="00C81924">
        <w:rPr>
          <w:rFonts w:ascii="Cambria Math" w:hAnsi="Cambria Math" w:cs="Cambria Math"/>
        </w:rPr>
        <w:t>𝜇</w:t>
      </w:r>
      <w:r w:rsidR="0058304E" w:rsidRPr="00C81924">
        <w:t xml:space="preserve">g), Cefepime (30 </w:t>
      </w:r>
      <w:r w:rsidR="0058304E" w:rsidRPr="00C81924">
        <w:rPr>
          <w:rFonts w:ascii="Cambria Math" w:hAnsi="Cambria Math" w:cs="Cambria Math"/>
        </w:rPr>
        <w:t>𝜇</w:t>
      </w:r>
      <w:r w:rsidR="0058304E" w:rsidRPr="00C81924">
        <w:t xml:space="preserve">g), Amikacin, Gentamicin (120 </w:t>
      </w:r>
      <w:r w:rsidR="0058304E" w:rsidRPr="00C81924">
        <w:rPr>
          <w:rFonts w:ascii="Cambria Math" w:hAnsi="Cambria Math" w:cs="Cambria Math"/>
        </w:rPr>
        <w:t>𝜇</w:t>
      </w:r>
      <w:r w:rsidR="0058304E" w:rsidRPr="00C81924">
        <w:t>g), Cefotaxime (30</w:t>
      </w:r>
      <w:r w:rsidR="0058304E" w:rsidRPr="00C81924">
        <w:rPr>
          <w:rFonts w:ascii="Cambria Math" w:hAnsi="Cambria Math" w:cs="Cambria Math"/>
        </w:rPr>
        <w:t xml:space="preserve"> 𝜇</w:t>
      </w:r>
      <w:r w:rsidR="0058304E" w:rsidRPr="00C81924">
        <w:t xml:space="preserve">g) Cefuroxime (30 </w:t>
      </w:r>
      <w:r w:rsidR="0058304E" w:rsidRPr="00C81924">
        <w:rPr>
          <w:rFonts w:ascii="Cambria Math" w:hAnsi="Cambria Math" w:cs="Cambria Math"/>
        </w:rPr>
        <w:t>𝜇</w:t>
      </w:r>
      <w:r w:rsidR="0058304E" w:rsidRPr="00C81924">
        <w:t xml:space="preserve">g), Ofloxacin (5 </w:t>
      </w:r>
      <w:r w:rsidR="0058304E" w:rsidRPr="00C81924">
        <w:rPr>
          <w:rFonts w:ascii="Cambria Math" w:hAnsi="Cambria Math" w:cs="Cambria Math"/>
        </w:rPr>
        <w:t>𝜇</w:t>
      </w:r>
      <w:r w:rsidR="0058304E" w:rsidRPr="00C81924">
        <w:t>g), and Ciprofloxacin (5 µg).</w:t>
      </w:r>
      <w:bookmarkEnd w:id="13"/>
      <w:r w:rsidR="0058304E" w:rsidRPr="00C81924">
        <w:rPr>
          <w:rFonts w:cs="Times New Roman"/>
          <w:szCs w:val="24"/>
        </w:rPr>
        <w:t xml:space="preserve"> </w:t>
      </w:r>
      <w:r w:rsidR="0058304E" w:rsidRPr="00C81924">
        <w:t xml:space="preserve">Five </w:t>
      </w:r>
      <w:proofErr w:type="spellStart"/>
      <w:r w:rsidR="0058304E" w:rsidRPr="00C81924">
        <w:t>millilitres</w:t>
      </w:r>
      <w:proofErr w:type="spellEnd"/>
      <w:r w:rsidR="0058304E" w:rsidRPr="00C81924">
        <w:t xml:space="preserve"> (5ml) of sterile peptone water was inoculated with a fresh culture of each </w:t>
      </w:r>
      <w:r w:rsidR="00BE5B5C" w:rsidRPr="00C81924">
        <w:rPr>
          <w:i/>
          <w:iCs/>
        </w:rPr>
        <w:t xml:space="preserve">E. coli </w:t>
      </w:r>
      <w:r w:rsidR="0058304E" w:rsidRPr="00C81924">
        <w:t xml:space="preserve">isolate and </w:t>
      </w:r>
      <w:r w:rsidR="0058304E" w:rsidRPr="00C81924">
        <w:rPr>
          <w:rFonts w:cs="Times New Roman"/>
          <w:szCs w:val="24"/>
        </w:rPr>
        <w:t xml:space="preserve">the turbidity of the suspension </w:t>
      </w:r>
      <w:r w:rsidR="00BE5B5C" w:rsidRPr="00C81924">
        <w:rPr>
          <w:rFonts w:cs="Times New Roman"/>
          <w:szCs w:val="24"/>
        </w:rPr>
        <w:t>was adjusted to a</w:t>
      </w:r>
      <w:r w:rsidR="0058304E" w:rsidRPr="00C81924">
        <w:rPr>
          <w:rFonts w:cs="Times New Roman"/>
          <w:szCs w:val="24"/>
        </w:rPr>
        <w:t xml:space="preserve"> 0.5 McFarland’s standard</w:t>
      </w:r>
      <w:r w:rsidR="0058304E" w:rsidRPr="00C81924">
        <w:t>. A sterile cotton swab was dipped into the inoculum and swabbed evenly across the surface of the Muller-Hinton agar plate. The inoculated plates were placed at room temperature for 10 minutes to allow absorption of excess moisture, then the antibiotic discs were placed firmly on the inoculated plates with forceps to ensure contact with the agar and then incubated at 37ºC for 24 hrs. After incubation, the diameters of the inhibition zones were measured in m</w:t>
      </w:r>
      <w:r w:rsidR="00BE5B5C" w:rsidRPr="00C81924">
        <w:t>illi</w:t>
      </w:r>
      <w:r w:rsidR="0058304E" w:rsidRPr="00C81924">
        <w:t>m</w:t>
      </w:r>
      <w:r w:rsidR="00BE5B5C" w:rsidRPr="00C81924">
        <w:t>eters</w:t>
      </w:r>
      <w:r w:rsidR="0058304E" w:rsidRPr="00C81924">
        <w:t xml:space="preserve"> and compared with that of standards of the Clinical and Laboratory Standard Institute (CLSI</w:t>
      </w:r>
      <w:r w:rsidR="00BE5B5C" w:rsidRPr="00C81924">
        <w:t>, 2014</w:t>
      </w:r>
      <w:r w:rsidR="0058304E" w:rsidRPr="00C81924">
        <w:t>).</w:t>
      </w:r>
    </w:p>
    <w:p w14:paraId="4499C7CF" w14:textId="6CCDE219" w:rsidR="0058304E" w:rsidRPr="00C81924" w:rsidRDefault="0058304E" w:rsidP="00FD54F5">
      <w:pPr>
        <w:spacing w:line="240" w:lineRule="auto"/>
        <w:jc w:val="both"/>
        <w:rPr>
          <w:rFonts w:cs="Times New Roman"/>
          <w:b/>
          <w:szCs w:val="24"/>
        </w:rPr>
      </w:pPr>
      <w:r w:rsidRPr="00C81924">
        <w:rPr>
          <w:rFonts w:cs="Times New Roman"/>
          <w:b/>
          <w:szCs w:val="24"/>
        </w:rPr>
        <w:lastRenderedPageBreak/>
        <w:t xml:space="preserve">Phenotypic Screening for </w:t>
      </w:r>
      <w:r w:rsidR="00925B01" w:rsidRPr="00C81924">
        <w:rPr>
          <w:b/>
        </w:rPr>
        <w:t>Extended Spectrum Beta-Lactamase (</w:t>
      </w:r>
      <w:r w:rsidRPr="00C81924">
        <w:rPr>
          <w:rFonts w:cs="Times New Roman"/>
          <w:b/>
          <w:szCs w:val="24"/>
        </w:rPr>
        <w:t>ESBL</w:t>
      </w:r>
      <w:r w:rsidR="00925B01" w:rsidRPr="00C81924">
        <w:rPr>
          <w:rFonts w:cs="Times New Roman"/>
          <w:b/>
          <w:szCs w:val="24"/>
        </w:rPr>
        <w:t>)</w:t>
      </w:r>
      <w:r w:rsidRPr="00C81924">
        <w:rPr>
          <w:rFonts w:cs="Times New Roman"/>
          <w:b/>
          <w:szCs w:val="24"/>
        </w:rPr>
        <w:t xml:space="preserve"> Production</w:t>
      </w:r>
      <w:r w:rsidR="00E74E2A" w:rsidRPr="00C81924">
        <w:rPr>
          <w:rFonts w:cs="Times New Roman"/>
          <w:b/>
          <w:szCs w:val="24"/>
        </w:rPr>
        <w:t>.</w:t>
      </w:r>
      <w:r w:rsidRPr="00C81924">
        <w:rPr>
          <w:rFonts w:cs="Times New Roman"/>
          <w:b/>
          <w:szCs w:val="24"/>
        </w:rPr>
        <w:t xml:space="preserve"> </w:t>
      </w:r>
    </w:p>
    <w:p w14:paraId="5A933A7B" w14:textId="03D821EF" w:rsidR="0058304E" w:rsidRPr="00C81924" w:rsidRDefault="0058304E" w:rsidP="00FD54F5">
      <w:pPr>
        <w:spacing w:line="240" w:lineRule="auto"/>
        <w:jc w:val="both"/>
        <w:rPr>
          <w:rFonts w:cs="Times New Roman"/>
          <w:szCs w:val="24"/>
        </w:rPr>
      </w:pPr>
      <w:r w:rsidRPr="00C81924">
        <w:rPr>
          <w:rFonts w:cs="Times New Roman"/>
          <w:szCs w:val="24"/>
        </w:rPr>
        <w:t>The ESBL screening test was performed by the standard dis</w:t>
      </w:r>
      <w:r w:rsidR="00925B01" w:rsidRPr="00C81924">
        <w:rPr>
          <w:rFonts w:cs="Times New Roman"/>
          <w:szCs w:val="24"/>
        </w:rPr>
        <w:t xml:space="preserve">c </w:t>
      </w:r>
      <w:r w:rsidRPr="00C81924">
        <w:rPr>
          <w:rFonts w:cs="Times New Roman"/>
          <w:szCs w:val="24"/>
        </w:rPr>
        <w:t xml:space="preserve">diffusion method by using ceftazidime (30 </w:t>
      </w:r>
      <w:proofErr w:type="spellStart"/>
      <w:r w:rsidRPr="00C81924">
        <w:rPr>
          <w:rFonts w:cs="Times New Roman"/>
          <w:szCs w:val="24"/>
        </w:rPr>
        <w:t>μg</w:t>
      </w:r>
      <w:proofErr w:type="spellEnd"/>
      <w:r w:rsidRPr="00C81924">
        <w:rPr>
          <w:rFonts w:cs="Times New Roman"/>
          <w:szCs w:val="24"/>
        </w:rPr>
        <w:t xml:space="preserve">), cefotaxime (30 </w:t>
      </w:r>
      <w:proofErr w:type="spellStart"/>
      <w:r w:rsidRPr="00C81924">
        <w:rPr>
          <w:rFonts w:cs="Times New Roman"/>
          <w:szCs w:val="24"/>
        </w:rPr>
        <w:t>μg</w:t>
      </w:r>
      <w:proofErr w:type="spellEnd"/>
      <w:r w:rsidRPr="00C81924">
        <w:rPr>
          <w:rFonts w:cs="Times New Roman"/>
          <w:szCs w:val="24"/>
        </w:rPr>
        <w:t xml:space="preserve">), and ceftriaxone (30 </w:t>
      </w:r>
      <w:proofErr w:type="spellStart"/>
      <w:r w:rsidRPr="00C81924">
        <w:rPr>
          <w:rFonts w:cs="Times New Roman"/>
          <w:szCs w:val="24"/>
        </w:rPr>
        <w:t>μg</w:t>
      </w:r>
      <w:proofErr w:type="spellEnd"/>
      <w:r w:rsidRPr="00C81924">
        <w:rPr>
          <w:rFonts w:cs="Times New Roman"/>
          <w:szCs w:val="24"/>
        </w:rPr>
        <w:t>) (</w:t>
      </w:r>
      <w:proofErr w:type="spellStart"/>
      <w:r w:rsidRPr="00C81924">
        <w:rPr>
          <w:rFonts w:cs="Times New Roman"/>
          <w:szCs w:val="24"/>
        </w:rPr>
        <w:t>Oxoid</w:t>
      </w:r>
      <w:proofErr w:type="spellEnd"/>
      <w:r w:rsidRPr="00C81924">
        <w:rPr>
          <w:rFonts w:cs="Times New Roman"/>
          <w:szCs w:val="24"/>
        </w:rPr>
        <w:t>, UK). More than one antibiotic disc was used for screening to improve the sensitivity of ESBL detection, as recommended by CLSI guidelines 2014. Freshly grown colonies were suspended in peptone water, and the turbidity of the suspension was adjusted to 0.5 McFarland’s standard. This suspension was inoculated onto Mueller–Hinton agar (</w:t>
      </w:r>
      <w:proofErr w:type="spellStart"/>
      <w:r w:rsidRPr="00C81924">
        <w:rPr>
          <w:rFonts w:cs="Times New Roman"/>
          <w:szCs w:val="24"/>
        </w:rPr>
        <w:t>Oxoid</w:t>
      </w:r>
      <w:proofErr w:type="spellEnd"/>
      <w:r w:rsidRPr="00C81924">
        <w:rPr>
          <w:rFonts w:cs="Times New Roman"/>
          <w:szCs w:val="24"/>
        </w:rPr>
        <w:t>, UK) with a sterile cotton swab, and then all the above three antibiotic discs were placed at a gap of 20 mm and incubated at 35 ± 2°C for 16–18 hours. The isolates with reduced susceptibility to ceftazidime (zone diameter of ≤ 22 mm), ceftriaxone (zone diameter of ≤ 25 mm) and cefotaxime (zone diameter of ≤ 27 mm) around the dis</w:t>
      </w:r>
      <w:r w:rsidR="00925B01" w:rsidRPr="00C81924">
        <w:rPr>
          <w:rFonts w:cs="Times New Roman"/>
          <w:szCs w:val="24"/>
        </w:rPr>
        <w:t>cs</w:t>
      </w:r>
      <w:r w:rsidRPr="00C81924">
        <w:rPr>
          <w:rFonts w:cs="Times New Roman"/>
          <w:szCs w:val="24"/>
        </w:rPr>
        <w:t xml:space="preserve"> were suspected as ESBLs producers (CLSI, 2014).</w:t>
      </w:r>
    </w:p>
    <w:p w14:paraId="5D3758F3" w14:textId="77777777" w:rsidR="0058304E" w:rsidRPr="00C81924" w:rsidRDefault="0058304E" w:rsidP="00FD54F5">
      <w:pPr>
        <w:spacing w:line="240" w:lineRule="auto"/>
        <w:jc w:val="both"/>
        <w:rPr>
          <w:rFonts w:cs="Times New Roman"/>
          <w:b/>
          <w:szCs w:val="24"/>
        </w:rPr>
      </w:pPr>
      <w:r w:rsidRPr="00C81924">
        <w:rPr>
          <w:rFonts w:cs="Times New Roman"/>
          <w:b/>
          <w:szCs w:val="24"/>
        </w:rPr>
        <w:t xml:space="preserve">Phenotypic Confirmation of ESBL Producers </w:t>
      </w:r>
    </w:p>
    <w:p w14:paraId="441E8BA3" w14:textId="77777777" w:rsidR="00BF0A2A" w:rsidRPr="00C81924" w:rsidRDefault="0058304E" w:rsidP="00BF0A2A">
      <w:pPr>
        <w:spacing w:before="240" w:line="240" w:lineRule="auto"/>
        <w:jc w:val="both"/>
        <w:rPr>
          <w:rFonts w:cs="Times New Roman"/>
          <w:szCs w:val="24"/>
        </w:rPr>
      </w:pPr>
      <w:r w:rsidRPr="00C81924">
        <w:rPr>
          <w:rFonts w:cs="Times New Roman"/>
          <w:szCs w:val="24"/>
        </w:rPr>
        <w:t xml:space="preserve">Confirmation of suspected ESBL producers was done by using the double-disk approximation or double-disk synergy (DDS) method on Mueller–Hinton agar, as recommended by CLSI guidelines 2014 (CLSI, 2014). A disc of amoxicillin + clavulanic acid (20/10 </w:t>
      </w:r>
      <w:proofErr w:type="spellStart"/>
      <w:r w:rsidRPr="00C81924">
        <w:rPr>
          <w:rFonts w:cs="Times New Roman"/>
          <w:szCs w:val="24"/>
        </w:rPr>
        <w:t>μg</w:t>
      </w:r>
      <w:proofErr w:type="spellEnd"/>
      <w:r w:rsidRPr="00C81924">
        <w:rPr>
          <w:rFonts w:cs="Times New Roman"/>
          <w:szCs w:val="24"/>
        </w:rPr>
        <w:t xml:space="preserve">) was placed in the </w:t>
      </w:r>
      <w:proofErr w:type="spellStart"/>
      <w:r w:rsidRPr="00C81924">
        <w:rPr>
          <w:rFonts w:cs="Times New Roman"/>
          <w:szCs w:val="24"/>
        </w:rPr>
        <w:t>centre</w:t>
      </w:r>
      <w:proofErr w:type="spellEnd"/>
      <w:r w:rsidRPr="00C81924">
        <w:rPr>
          <w:rFonts w:cs="Times New Roman"/>
          <w:szCs w:val="24"/>
        </w:rPr>
        <w:t xml:space="preserve"> of the Mueller–Hinton Agar plate, and then cefotaxime (30 </w:t>
      </w:r>
      <w:proofErr w:type="spellStart"/>
      <w:r w:rsidRPr="00C81924">
        <w:rPr>
          <w:rFonts w:cs="Times New Roman"/>
          <w:szCs w:val="24"/>
        </w:rPr>
        <w:t>μg</w:t>
      </w:r>
      <w:proofErr w:type="spellEnd"/>
      <w:r w:rsidRPr="00C81924">
        <w:rPr>
          <w:rFonts w:cs="Times New Roman"/>
          <w:szCs w:val="24"/>
        </w:rPr>
        <w:t>) and ceftazidime (30μg) were placed at a distance of 20mm (</w:t>
      </w:r>
      <w:proofErr w:type="spellStart"/>
      <w:r w:rsidRPr="00C81924">
        <w:rPr>
          <w:rFonts w:cs="Times New Roman"/>
          <w:szCs w:val="24"/>
        </w:rPr>
        <w:t>centre</w:t>
      </w:r>
      <w:proofErr w:type="spellEnd"/>
      <w:r w:rsidRPr="00C81924">
        <w:rPr>
          <w:rFonts w:cs="Times New Roman"/>
          <w:szCs w:val="24"/>
        </w:rPr>
        <w:t xml:space="preserve"> to </w:t>
      </w:r>
      <w:proofErr w:type="spellStart"/>
      <w:r w:rsidRPr="00C81924">
        <w:rPr>
          <w:rFonts w:cs="Times New Roman"/>
          <w:szCs w:val="24"/>
        </w:rPr>
        <w:t>centre</w:t>
      </w:r>
      <w:proofErr w:type="spellEnd"/>
      <w:r w:rsidRPr="00C81924">
        <w:rPr>
          <w:rFonts w:cs="Times New Roman"/>
          <w:szCs w:val="24"/>
        </w:rPr>
        <w:t xml:space="preserve">) from the amoxicillin+ clavulanic acid disc on the same plate. The plate was incubated at </w:t>
      </w:r>
      <w:r w:rsidRPr="00C81924">
        <w:t>37ºC</w:t>
      </w:r>
      <w:r w:rsidRPr="00C81924">
        <w:rPr>
          <w:rFonts w:cs="Times New Roman"/>
          <w:szCs w:val="24"/>
        </w:rPr>
        <w:t xml:space="preserve"> for 24 hours and examined for an enhancement or expansion of the inhibition zone of the oxyimino-β-lactam caused by the synergy of the clavulanate in the amoxicillin-clavulanate disk which was interpreted as positive for ESBL production.</w:t>
      </w:r>
      <w:bookmarkStart w:id="14" w:name="_Toc163428594"/>
    </w:p>
    <w:p w14:paraId="0052DE63" w14:textId="1A8BD784" w:rsidR="0058304E" w:rsidRPr="00C81924" w:rsidRDefault="0058304E" w:rsidP="00BF0A2A">
      <w:pPr>
        <w:spacing w:before="240" w:line="240" w:lineRule="auto"/>
        <w:jc w:val="both"/>
        <w:rPr>
          <w:rFonts w:cs="Times New Roman"/>
          <w:szCs w:val="24"/>
        </w:rPr>
      </w:pPr>
      <w:r w:rsidRPr="00C81924">
        <w:rPr>
          <w:rFonts w:eastAsiaTheme="majorEastAsia" w:cstheme="majorBidi"/>
          <w:b/>
          <w:szCs w:val="26"/>
        </w:rPr>
        <w:t>Data Analysis</w:t>
      </w:r>
      <w:bookmarkEnd w:id="14"/>
    </w:p>
    <w:p w14:paraId="062A1BF7"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Descriptive statistics were used to determine the prevalence rates of multidrug-resistant and ESBL-producing </w:t>
      </w:r>
      <w:r w:rsidRPr="00C81924">
        <w:rPr>
          <w:rFonts w:cs="Times New Roman"/>
          <w:i/>
          <w:iCs/>
          <w:szCs w:val="24"/>
        </w:rPr>
        <w:t>E. coli</w:t>
      </w:r>
      <w:r w:rsidRPr="00C81924">
        <w:rPr>
          <w:rFonts w:cs="Times New Roman"/>
          <w:szCs w:val="24"/>
        </w:rPr>
        <w:t xml:space="preserve"> using GraphPad Prism Software Version 9, San Diego, CA. </w:t>
      </w:r>
    </w:p>
    <w:p w14:paraId="6925DE4B" w14:textId="77777777" w:rsidR="00E74E2A" w:rsidRPr="00C81924" w:rsidRDefault="00E74E2A" w:rsidP="00FD54F5">
      <w:pPr>
        <w:spacing w:line="240" w:lineRule="auto"/>
        <w:jc w:val="both"/>
        <w:rPr>
          <w:rFonts w:cs="Times New Roman"/>
          <w:szCs w:val="24"/>
        </w:rPr>
      </w:pPr>
    </w:p>
    <w:p w14:paraId="0AA324BD" w14:textId="470627E2" w:rsidR="00BF0A2A" w:rsidRPr="00C81924" w:rsidRDefault="0058304E" w:rsidP="00BF0A2A">
      <w:pPr>
        <w:spacing w:line="240" w:lineRule="auto"/>
        <w:rPr>
          <w:rFonts w:cs="Times New Roman"/>
          <w:szCs w:val="24"/>
        </w:rPr>
      </w:pPr>
      <w:r w:rsidRPr="00C81924">
        <w:rPr>
          <w:rFonts w:cs="Times New Roman"/>
          <w:b/>
          <w:bCs/>
          <w:szCs w:val="24"/>
        </w:rPr>
        <w:t>RESULT</w:t>
      </w:r>
      <w:r w:rsidR="00BF0A2A" w:rsidRPr="00C81924">
        <w:rPr>
          <w:rFonts w:cs="Times New Roman"/>
          <w:b/>
          <w:bCs/>
          <w:szCs w:val="24"/>
        </w:rPr>
        <w:t>S</w:t>
      </w:r>
      <w:bookmarkStart w:id="15" w:name="_Toc163428596"/>
      <w:bookmarkStart w:id="16" w:name="_Hlk116307684"/>
    </w:p>
    <w:p w14:paraId="4542CE49" w14:textId="05117ADD" w:rsidR="0058304E" w:rsidRPr="00C81924" w:rsidRDefault="0058304E" w:rsidP="00BF0A2A">
      <w:pPr>
        <w:spacing w:line="240" w:lineRule="auto"/>
        <w:rPr>
          <w:rFonts w:cs="Times New Roman"/>
          <w:b/>
          <w:bCs/>
          <w:szCs w:val="24"/>
        </w:rPr>
      </w:pPr>
      <w:r w:rsidRPr="00C81924">
        <w:rPr>
          <w:rFonts w:eastAsiaTheme="majorEastAsia" w:cstheme="majorBidi"/>
          <w:b/>
          <w:szCs w:val="26"/>
        </w:rPr>
        <w:t>Sociodemographic Characteristics of the Subjects</w:t>
      </w:r>
      <w:bookmarkEnd w:id="15"/>
    </w:p>
    <w:bookmarkEnd w:id="16"/>
    <w:p w14:paraId="2EF0AA1A" w14:textId="77777777" w:rsidR="0058304E" w:rsidRPr="00C81924" w:rsidRDefault="0058304E" w:rsidP="00FD54F5">
      <w:pPr>
        <w:spacing w:line="240" w:lineRule="auto"/>
        <w:jc w:val="both"/>
        <w:rPr>
          <w:rFonts w:eastAsia="Calibri" w:cs="Times New Roman"/>
          <w:szCs w:val="24"/>
        </w:rPr>
      </w:pPr>
      <w:r w:rsidRPr="00C81924">
        <w:rPr>
          <w:rFonts w:eastAsia="Calibri" w:cs="Times New Roman"/>
          <w:szCs w:val="24"/>
        </w:rPr>
        <w:t>A total of 300 subjects participated in the study. The age distribution of the subjects was as follows: 48 subjects (16%) were aged 18 to 20 years, 96 subjects (32%) were aged 21 to 40 years, 132 subjects (44%) were aged 41 to 60 years, and 24 subjects (8%) were aged 61 years and above. The mean age of the subjects was 45.61 years.</w:t>
      </w:r>
    </w:p>
    <w:p w14:paraId="524E226F" w14:textId="42FAA7CE" w:rsidR="005F0536" w:rsidRPr="00C81924" w:rsidRDefault="0058304E" w:rsidP="005F0536">
      <w:pPr>
        <w:spacing w:line="240" w:lineRule="auto"/>
        <w:jc w:val="both"/>
        <w:rPr>
          <w:rFonts w:eastAsia="Calibri" w:cs="Times New Roman"/>
          <w:szCs w:val="24"/>
        </w:rPr>
      </w:pPr>
      <w:r w:rsidRPr="00C81924">
        <w:rPr>
          <w:rFonts w:eastAsia="Calibri" w:cs="Times New Roman"/>
          <w:szCs w:val="24"/>
        </w:rPr>
        <w:t xml:space="preserve">In terms of gender distribution, 114 subjects (38%) were male, while 186 subjects (62%) were female </w:t>
      </w:r>
      <w:r w:rsidR="00BF0A2A" w:rsidRPr="00C81924">
        <w:rPr>
          <w:rFonts w:eastAsia="Calibri" w:cs="Times New Roman"/>
          <w:szCs w:val="24"/>
        </w:rPr>
        <w:t>(Table 1)</w:t>
      </w:r>
      <w:r w:rsidR="003F0E52" w:rsidRPr="00C81924">
        <w:rPr>
          <w:rFonts w:eastAsia="Calibri" w:cs="Times New Roman"/>
          <w:szCs w:val="24"/>
        </w:rPr>
        <w:t>.</w:t>
      </w:r>
    </w:p>
    <w:p w14:paraId="321230CF" w14:textId="77777777" w:rsidR="003F0E52" w:rsidRPr="00C81924" w:rsidRDefault="003F0E52" w:rsidP="005F0536">
      <w:pPr>
        <w:spacing w:line="240" w:lineRule="auto"/>
        <w:jc w:val="both"/>
        <w:rPr>
          <w:rFonts w:eastAsia="Calibri" w:cs="Times New Roman"/>
          <w:szCs w:val="24"/>
        </w:rPr>
      </w:pPr>
    </w:p>
    <w:p w14:paraId="08D33B33" w14:textId="77777777" w:rsidR="003F0E52" w:rsidRPr="00C81924" w:rsidRDefault="003F0E52" w:rsidP="005F0536">
      <w:pPr>
        <w:spacing w:line="240" w:lineRule="auto"/>
        <w:jc w:val="both"/>
        <w:rPr>
          <w:rFonts w:eastAsia="Calibri" w:cs="Times New Roman"/>
          <w:szCs w:val="24"/>
        </w:rPr>
      </w:pPr>
    </w:p>
    <w:p w14:paraId="5BEF02C6" w14:textId="77777777" w:rsidR="003F0E52" w:rsidRPr="00C81924" w:rsidRDefault="003F0E52" w:rsidP="005F0536">
      <w:pPr>
        <w:spacing w:line="240" w:lineRule="auto"/>
        <w:jc w:val="both"/>
        <w:rPr>
          <w:rFonts w:eastAsia="Calibri" w:cs="Times New Roman"/>
          <w:szCs w:val="24"/>
        </w:rPr>
      </w:pPr>
    </w:p>
    <w:p w14:paraId="6EEF8706" w14:textId="77777777" w:rsidR="003F0E52" w:rsidRPr="00C81924" w:rsidRDefault="003F0E52" w:rsidP="005F0536">
      <w:pPr>
        <w:spacing w:line="240" w:lineRule="auto"/>
        <w:jc w:val="both"/>
        <w:rPr>
          <w:rFonts w:cs="Times New Roman"/>
          <w:szCs w:val="24"/>
        </w:rPr>
      </w:pPr>
    </w:p>
    <w:p w14:paraId="478C26E5" w14:textId="160BCCB7" w:rsidR="0058304E" w:rsidRPr="00C81924" w:rsidRDefault="0058304E" w:rsidP="005F0536">
      <w:pPr>
        <w:spacing w:line="240" w:lineRule="auto"/>
        <w:jc w:val="both"/>
        <w:rPr>
          <w:rFonts w:cs="Times New Roman"/>
          <w:szCs w:val="24"/>
        </w:rPr>
      </w:pPr>
      <w:r w:rsidRPr="00C81924">
        <w:rPr>
          <w:rFonts w:cs="Times New Roman"/>
          <w:b/>
          <w:bCs/>
          <w:szCs w:val="24"/>
        </w:rPr>
        <w:t>Table</w:t>
      </w:r>
      <w:r w:rsidR="00BF0A2A" w:rsidRPr="00C81924">
        <w:rPr>
          <w:rFonts w:cs="Times New Roman"/>
          <w:b/>
          <w:bCs/>
          <w:szCs w:val="24"/>
        </w:rPr>
        <w:t xml:space="preserve"> (1)</w:t>
      </w:r>
      <w:r w:rsidRPr="00C81924">
        <w:rPr>
          <w:rFonts w:cs="Times New Roman"/>
          <w:b/>
          <w:bCs/>
          <w:szCs w:val="24"/>
        </w:rPr>
        <w:t>: Sociodemographic Characteristics of the Subjects</w:t>
      </w:r>
      <w:r w:rsidR="00050515" w:rsidRPr="00C81924">
        <w:rPr>
          <w:rFonts w:cs="Times New Roman"/>
          <w:b/>
          <w:bCs/>
          <w:szCs w:val="24"/>
        </w:rPr>
        <w:t>.</w:t>
      </w:r>
    </w:p>
    <w:tbl>
      <w:tblPr>
        <w:tblStyle w:val="TableGrid"/>
        <w:tblW w:w="99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2661"/>
        <w:gridCol w:w="3311"/>
      </w:tblGrid>
      <w:tr w:rsidR="00C81924" w:rsidRPr="00C81924" w14:paraId="63F3054F" w14:textId="77777777" w:rsidTr="00F06ABF">
        <w:trPr>
          <w:trHeight w:val="463"/>
        </w:trPr>
        <w:tc>
          <w:tcPr>
            <w:tcW w:w="3962" w:type="dxa"/>
            <w:tcBorders>
              <w:bottom w:val="single" w:sz="4" w:space="0" w:color="auto"/>
            </w:tcBorders>
          </w:tcPr>
          <w:p w14:paraId="66BCF7C1"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t>Variable</w:t>
            </w:r>
          </w:p>
        </w:tc>
        <w:tc>
          <w:tcPr>
            <w:tcW w:w="2661" w:type="dxa"/>
            <w:tcBorders>
              <w:bottom w:val="single" w:sz="4" w:space="0" w:color="auto"/>
            </w:tcBorders>
          </w:tcPr>
          <w:p w14:paraId="7A799BC6"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Frequency (N)</w:t>
            </w:r>
          </w:p>
        </w:tc>
        <w:tc>
          <w:tcPr>
            <w:tcW w:w="3311" w:type="dxa"/>
            <w:tcBorders>
              <w:bottom w:val="single" w:sz="4" w:space="0" w:color="auto"/>
            </w:tcBorders>
          </w:tcPr>
          <w:p w14:paraId="2659F404"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Percentage (%)</w:t>
            </w:r>
          </w:p>
        </w:tc>
      </w:tr>
      <w:tr w:rsidR="00C81924" w:rsidRPr="00C81924" w14:paraId="6842773D" w14:textId="77777777" w:rsidTr="00F06ABF">
        <w:trPr>
          <w:trHeight w:val="645"/>
        </w:trPr>
        <w:tc>
          <w:tcPr>
            <w:tcW w:w="3962" w:type="dxa"/>
            <w:tcBorders>
              <w:top w:val="single" w:sz="4" w:space="0" w:color="auto"/>
            </w:tcBorders>
          </w:tcPr>
          <w:p w14:paraId="7D1F88F4"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lastRenderedPageBreak/>
              <w:t>Age</w:t>
            </w:r>
          </w:p>
        </w:tc>
        <w:tc>
          <w:tcPr>
            <w:tcW w:w="2661" w:type="dxa"/>
            <w:tcBorders>
              <w:top w:val="single" w:sz="4" w:space="0" w:color="auto"/>
            </w:tcBorders>
          </w:tcPr>
          <w:p w14:paraId="3DD5F000" w14:textId="77777777" w:rsidR="0058304E" w:rsidRPr="00C81924" w:rsidRDefault="0058304E" w:rsidP="00FD54F5">
            <w:pPr>
              <w:spacing w:line="240" w:lineRule="auto"/>
              <w:jc w:val="center"/>
              <w:rPr>
                <w:rFonts w:cs="Times New Roman"/>
                <w:szCs w:val="24"/>
              </w:rPr>
            </w:pPr>
          </w:p>
        </w:tc>
        <w:tc>
          <w:tcPr>
            <w:tcW w:w="3311" w:type="dxa"/>
            <w:tcBorders>
              <w:top w:val="single" w:sz="4" w:space="0" w:color="auto"/>
            </w:tcBorders>
          </w:tcPr>
          <w:p w14:paraId="5365177A" w14:textId="77777777" w:rsidR="0058304E" w:rsidRPr="00C81924" w:rsidRDefault="0058304E" w:rsidP="00FD54F5">
            <w:pPr>
              <w:spacing w:line="240" w:lineRule="auto"/>
              <w:jc w:val="center"/>
              <w:rPr>
                <w:rFonts w:cs="Times New Roman"/>
                <w:szCs w:val="24"/>
              </w:rPr>
            </w:pPr>
          </w:p>
        </w:tc>
      </w:tr>
      <w:tr w:rsidR="00C81924" w:rsidRPr="00C81924" w14:paraId="04F58619" w14:textId="77777777" w:rsidTr="00F06ABF">
        <w:trPr>
          <w:trHeight w:val="463"/>
        </w:trPr>
        <w:tc>
          <w:tcPr>
            <w:tcW w:w="3962" w:type="dxa"/>
          </w:tcPr>
          <w:p w14:paraId="58E549C8" w14:textId="77777777" w:rsidR="0058304E" w:rsidRPr="00C81924" w:rsidRDefault="0058304E" w:rsidP="00FD54F5">
            <w:pPr>
              <w:spacing w:line="240" w:lineRule="auto"/>
              <w:ind w:left="160"/>
              <w:jc w:val="both"/>
              <w:rPr>
                <w:rFonts w:cs="Times New Roman"/>
                <w:szCs w:val="24"/>
              </w:rPr>
            </w:pPr>
            <w:r w:rsidRPr="00C81924">
              <w:rPr>
                <w:rFonts w:cs="Times New Roman"/>
                <w:szCs w:val="24"/>
              </w:rPr>
              <w:t>18 - 20</w:t>
            </w:r>
          </w:p>
        </w:tc>
        <w:tc>
          <w:tcPr>
            <w:tcW w:w="2661" w:type="dxa"/>
          </w:tcPr>
          <w:p w14:paraId="6F4C69B3" w14:textId="77777777" w:rsidR="0058304E" w:rsidRPr="00C81924" w:rsidRDefault="0058304E" w:rsidP="00FD54F5">
            <w:pPr>
              <w:spacing w:line="240" w:lineRule="auto"/>
              <w:jc w:val="center"/>
              <w:rPr>
                <w:rFonts w:cs="Times New Roman"/>
                <w:szCs w:val="24"/>
              </w:rPr>
            </w:pPr>
            <w:r w:rsidRPr="00C81924">
              <w:t>48</w:t>
            </w:r>
          </w:p>
        </w:tc>
        <w:tc>
          <w:tcPr>
            <w:tcW w:w="3311" w:type="dxa"/>
            <w:shd w:val="clear" w:color="auto" w:fill="auto"/>
          </w:tcPr>
          <w:p w14:paraId="617FF561" w14:textId="77777777" w:rsidR="0058304E" w:rsidRPr="00C81924" w:rsidRDefault="0058304E" w:rsidP="00FD54F5">
            <w:pPr>
              <w:spacing w:line="240" w:lineRule="auto"/>
              <w:jc w:val="center"/>
              <w:rPr>
                <w:rFonts w:cs="Times New Roman"/>
                <w:szCs w:val="24"/>
              </w:rPr>
            </w:pPr>
            <w:r w:rsidRPr="00C81924">
              <w:rPr>
                <w:rFonts w:cs="Times New Roman"/>
                <w:szCs w:val="24"/>
              </w:rPr>
              <w:t>16</w:t>
            </w:r>
          </w:p>
        </w:tc>
      </w:tr>
      <w:tr w:rsidR="00C81924" w:rsidRPr="00C81924" w14:paraId="15AD008E" w14:textId="77777777" w:rsidTr="00F06ABF">
        <w:trPr>
          <w:trHeight w:val="447"/>
        </w:trPr>
        <w:tc>
          <w:tcPr>
            <w:tcW w:w="3962" w:type="dxa"/>
          </w:tcPr>
          <w:p w14:paraId="5A262A39" w14:textId="77777777" w:rsidR="0058304E" w:rsidRPr="00C81924" w:rsidRDefault="0058304E" w:rsidP="00FD54F5">
            <w:pPr>
              <w:spacing w:line="240" w:lineRule="auto"/>
              <w:ind w:left="160"/>
              <w:jc w:val="both"/>
              <w:rPr>
                <w:rFonts w:cs="Times New Roman"/>
                <w:szCs w:val="24"/>
              </w:rPr>
            </w:pPr>
            <w:r w:rsidRPr="00C81924">
              <w:rPr>
                <w:rFonts w:cs="Times New Roman"/>
                <w:szCs w:val="24"/>
              </w:rPr>
              <w:t>21 - 40</w:t>
            </w:r>
          </w:p>
        </w:tc>
        <w:tc>
          <w:tcPr>
            <w:tcW w:w="2661" w:type="dxa"/>
          </w:tcPr>
          <w:p w14:paraId="052EAEF1" w14:textId="77777777" w:rsidR="0058304E" w:rsidRPr="00C81924" w:rsidRDefault="0058304E" w:rsidP="00FD54F5">
            <w:pPr>
              <w:spacing w:line="240" w:lineRule="auto"/>
              <w:jc w:val="center"/>
              <w:rPr>
                <w:rFonts w:cs="Times New Roman"/>
                <w:szCs w:val="24"/>
              </w:rPr>
            </w:pPr>
            <w:r w:rsidRPr="00C81924">
              <w:t>96</w:t>
            </w:r>
          </w:p>
        </w:tc>
        <w:tc>
          <w:tcPr>
            <w:tcW w:w="3311" w:type="dxa"/>
            <w:shd w:val="clear" w:color="auto" w:fill="auto"/>
          </w:tcPr>
          <w:p w14:paraId="6AFA0C0B" w14:textId="77777777" w:rsidR="0058304E" w:rsidRPr="00C81924" w:rsidRDefault="0058304E" w:rsidP="00FD54F5">
            <w:pPr>
              <w:spacing w:line="240" w:lineRule="auto"/>
              <w:jc w:val="center"/>
              <w:rPr>
                <w:rFonts w:cs="Times New Roman"/>
                <w:szCs w:val="24"/>
              </w:rPr>
            </w:pPr>
            <w:r w:rsidRPr="00C81924">
              <w:rPr>
                <w:rFonts w:cs="Times New Roman"/>
                <w:szCs w:val="24"/>
              </w:rPr>
              <w:t>32</w:t>
            </w:r>
          </w:p>
        </w:tc>
      </w:tr>
      <w:tr w:rsidR="00C81924" w:rsidRPr="00C81924" w14:paraId="07CF6D6C" w14:textId="77777777" w:rsidTr="00F06ABF">
        <w:trPr>
          <w:trHeight w:val="463"/>
        </w:trPr>
        <w:tc>
          <w:tcPr>
            <w:tcW w:w="3962" w:type="dxa"/>
          </w:tcPr>
          <w:p w14:paraId="28FAF31F" w14:textId="77777777" w:rsidR="0058304E" w:rsidRPr="00C81924" w:rsidRDefault="0058304E" w:rsidP="00FD54F5">
            <w:pPr>
              <w:spacing w:line="240" w:lineRule="auto"/>
              <w:ind w:left="160"/>
              <w:jc w:val="both"/>
              <w:rPr>
                <w:rFonts w:cs="Times New Roman"/>
                <w:szCs w:val="24"/>
              </w:rPr>
            </w:pPr>
            <w:r w:rsidRPr="00C81924">
              <w:rPr>
                <w:rFonts w:cs="Times New Roman"/>
                <w:szCs w:val="24"/>
              </w:rPr>
              <w:t>41 - 60</w:t>
            </w:r>
          </w:p>
        </w:tc>
        <w:tc>
          <w:tcPr>
            <w:tcW w:w="2661" w:type="dxa"/>
          </w:tcPr>
          <w:p w14:paraId="3E4DB431" w14:textId="77777777" w:rsidR="0058304E" w:rsidRPr="00C81924" w:rsidRDefault="0058304E" w:rsidP="00FD54F5">
            <w:pPr>
              <w:spacing w:line="240" w:lineRule="auto"/>
              <w:jc w:val="center"/>
              <w:rPr>
                <w:rFonts w:cs="Times New Roman"/>
                <w:szCs w:val="24"/>
              </w:rPr>
            </w:pPr>
            <w:r w:rsidRPr="00C81924">
              <w:t>132</w:t>
            </w:r>
          </w:p>
        </w:tc>
        <w:tc>
          <w:tcPr>
            <w:tcW w:w="3311" w:type="dxa"/>
            <w:shd w:val="clear" w:color="auto" w:fill="auto"/>
          </w:tcPr>
          <w:p w14:paraId="4606A407" w14:textId="77777777" w:rsidR="0058304E" w:rsidRPr="00C81924" w:rsidRDefault="0058304E" w:rsidP="00FD54F5">
            <w:pPr>
              <w:spacing w:line="240" w:lineRule="auto"/>
              <w:jc w:val="center"/>
              <w:rPr>
                <w:rFonts w:cs="Times New Roman"/>
                <w:szCs w:val="24"/>
              </w:rPr>
            </w:pPr>
            <w:r w:rsidRPr="00C81924">
              <w:rPr>
                <w:rFonts w:cs="Times New Roman"/>
                <w:szCs w:val="24"/>
              </w:rPr>
              <w:t>44</w:t>
            </w:r>
          </w:p>
        </w:tc>
      </w:tr>
      <w:tr w:rsidR="00C81924" w:rsidRPr="00C81924" w14:paraId="2D831BDF" w14:textId="77777777" w:rsidTr="00F06ABF">
        <w:trPr>
          <w:trHeight w:val="463"/>
        </w:trPr>
        <w:tc>
          <w:tcPr>
            <w:tcW w:w="3962" w:type="dxa"/>
          </w:tcPr>
          <w:p w14:paraId="3BA589A6" w14:textId="77777777" w:rsidR="0058304E" w:rsidRPr="00C81924" w:rsidRDefault="0058304E" w:rsidP="00FD54F5">
            <w:pPr>
              <w:spacing w:line="240" w:lineRule="auto"/>
              <w:ind w:left="160"/>
              <w:jc w:val="both"/>
              <w:rPr>
                <w:rFonts w:cs="Times New Roman"/>
                <w:szCs w:val="24"/>
              </w:rPr>
            </w:pPr>
            <w:r w:rsidRPr="00C81924">
              <w:rPr>
                <w:rFonts w:cs="Times New Roman"/>
                <w:szCs w:val="24"/>
              </w:rPr>
              <w:t>≥ 61</w:t>
            </w:r>
          </w:p>
        </w:tc>
        <w:tc>
          <w:tcPr>
            <w:tcW w:w="2661" w:type="dxa"/>
          </w:tcPr>
          <w:p w14:paraId="589E6EBC" w14:textId="77777777" w:rsidR="0058304E" w:rsidRPr="00C81924" w:rsidRDefault="0058304E" w:rsidP="00FD54F5">
            <w:pPr>
              <w:spacing w:line="240" w:lineRule="auto"/>
              <w:jc w:val="center"/>
              <w:rPr>
                <w:rFonts w:cs="Times New Roman"/>
                <w:szCs w:val="24"/>
              </w:rPr>
            </w:pPr>
            <w:r w:rsidRPr="00C81924">
              <w:t>24</w:t>
            </w:r>
          </w:p>
        </w:tc>
        <w:tc>
          <w:tcPr>
            <w:tcW w:w="3311" w:type="dxa"/>
            <w:shd w:val="clear" w:color="auto" w:fill="auto"/>
          </w:tcPr>
          <w:p w14:paraId="510AFC6F" w14:textId="77777777" w:rsidR="0058304E" w:rsidRPr="00C81924" w:rsidRDefault="0058304E" w:rsidP="00FD54F5">
            <w:pPr>
              <w:spacing w:line="240" w:lineRule="auto"/>
              <w:jc w:val="center"/>
            </w:pPr>
            <w:r w:rsidRPr="00C81924">
              <w:t>8</w:t>
            </w:r>
          </w:p>
        </w:tc>
      </w:tr>
      <w:tr w:rsidR="00C81924" w:rsidRPr="00C81924" w14:paraId="5A142109" w14:textId="77777777" w:rsidTr="00F06ABF">
        <w:trPr>
          <w:trHeight w:val="447"/>
        </w:trPr>
        <w:tc>
          <w:tcPr>
            <w:tcW w:w="3962" w:type="dxa"/>
          </w:tcPr>
          <w:p w14:paraId="19D102EB"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661" w:type="dxa"/>
          </w:tcPr>
          <w:p w14:paraId="0269C119" w14:textId="77777777" w:rsidR="0058304E" w:rsidRPr="00C81924" w:rsidRDefault="0058304E" w:rsidP="00FD54F5">
            <w:pPr>
              <w:spacing w:line="240" w:lineRule="auto"/>
              <w:jc w:val="center"/>
              <w:rPr>
                <w:rFonts w:cs="Times New Roman"/>
                <w:szCs w:val="24"/>
              </w:rPr>
            </w:pPr>
            <w:r w:rsidRPr="00C81924">
              <w:t>300</w:t>
            </w:r>
          </w:p>
        </w:tc>
        <w:tc>
          <w:tcPr>
            <w:tcW w:w="3311" w:type="dxa"/>
            <w:shd w:val="clear" w:color="auto" w:fill="auto"/>
          </w:tcPr>
          <w:p w14:paraId="2E2199C0"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r w:rsidR="00C81924" w:rsidRPr="00C81924" w14:paraId="04E499EC" w14:textId="77777777" w:rsidTr="00F06ABF">
        <w:trPr>
          <w:trHeight w:val="447"/>
        </w:trPr>
        <w:tc>
          <w:tcPr>
            <w:tcW w:w="3962" w:type="dxa"/>
          </w:tcPr>
          <w:p w14:paraId="51442F49" w14:textId="77777777" w:rsidR="0058304E" w:rsidRPr="00C81924" w:rsidRDefault="0058304E" w:rsidP="00FD54F5">
            <w:pPr>
              <w:spacing w:line="240" w:lineRule="auto"/>
              <w:ind w:left="160"/>
              <w:jc w:val="both"/>
              <w:rPr>
                <w:rFonts w:cs="Times New Roman"/>
                <w:i/>
                <w:iCs/>
                <w:szCs w:val="24"/>
              </w:rPr>
            </w:pPr>
            <w:r w:rsidRPr="00C81924">
              <w:rPr>
                <w:rFonts w:cs="Times New Roman"/>
                <w:i/>
                <w:iCs/>
                <w:szCs w:val="24"/>
              </w:rPr>
              <w:t>Mean</w:t>
            </w:r>
          </w:p>
        </w:tc>
        <w:tc>
          <w:tcPr>
            <w:tcW w:w="2661" w:type="dxa"/>
          </w:tcPr>
          <w:p w14:paraId="3FD6D544" w14:textId="77777777" w:rsidR="0058304E" w:rsidRPr="00C81924" w:rsidRDefault="0058304E" w:rsidP="00FD54F5">
            <w:pPr>
              <w:spacing w:line="240" w:lineRule="auto"/>
              <w:jc w:val="center"/>
              <w:rPr>
                <w:rFonts w:cs="Times New Roman"/>
                <w:i/>
                <w:iCs/>
                <w:szCs w:val="24"/>
              </w:rPr>
            </w:pPr>
            <w:r w:rsidRPr="00C81924">
              <w:rPr>
                <w:i/>
                <w:iCs/>
              </w:rPr>
              <w:t>45.61</w:t>
            </w:r>
          </w:p>
        </w:tc>
        <w:tc>
          <w:tcPr>
            <w:tcW w:w="3311" w:type="dxa"/>
            <w:shd w:val="clear" w:color="auto" w:fill="auto"/>
          </w:tcPr>
          <w:p w14:paraId="2FC07210" w14:textId="77777777" w:rsidR="0058304E" w:rsidRPr="00C81924" w:rsidRDefault="0058304E" w:rsidP="00FD54F5">
            <w:pPr>
              <w:spacing w:line="240" w:lineRule="auto"/>
              <w:jc w:val="center"/>
            </w:pPr>
            <w:r w:rsidRPr="00C81924">
              <w:t>-</w:t>
            </w:r>
          </w:p>
        </w:tc>
      </w:tr>
      <w:tr w:rsidR="00C81924" w:rsidRPr="00C81924" w14:paraId="5FB4558C" w14:textId="77777777" w:rsidTr="00F06ABF">
        <w:trPr>
          <w:trHeight w:val="463"/>
        </w:trPr>
        <w:tc>
          <w:tcPr>
            <w:tcW w:w="3962" w:type="dxa"/>
          </w:tcPr>
          <w:p w14:paraId="50F1987F"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t>Sex</w:t>
            </w:r>
          </w:p>
        </w:tc>
        <w:tc>
          <w:tcPr>
            <w:tcW w:w="2661" w:type="dxa"/>
          </w:tcPr>
          <w:p w14:paraId="5F742EF4" w14:textId="77777777" w:rsidR="0058304E" w:rsidRPr="00C81924" w:rsidRDefault="0058304E" w:rsidP="00FD54F5">
            <w:pPr>
              <w:spacing w:line="240" w:lineRule="auto"/>
              <w:jc w:val="center"/>
              <w:rPr>
                <w:rFonts w:cs="Times New Roman"/>
                <w:szCs w:val="24"/>
              </w:rPr>
            </w:pPr>
          </w:p>
        </w:tc>
        <w:tc>
          <w:tcPr>
            <w:tcW w:w="3311" w:type="dxa"/>
            <w:shd w:val="clear" w:color="auto" w:fill="auto"/>
          </w:tcPr>
          <w:p w14:paraId="073A3949" w14:textId="77777777" w:rsidR="0058304E" w:rsidRPr="00C81924" w:rsidRDefault="0058304E" w:rsidP="00FD54F5">
            <w:pPr>
              <w:spacing w:line="240" w:lineRule="auto"/>
              <w:jc w:val="center"/>
              <w:rPr>
                <w:rFonts w:cs="Times New Roman"/>
                <w:szCs w:val="24"/>
              </w:rPr>
            </w:pPr>
          </w:p>
        </w:tc>
      </w:tr>
      <w:tr w:rsidR="00C81924" w:rsidRPr="00C81924" w14:paraId="28D8DCE9" w14:textId="77777777" w:rsidTr="00F06ABF">
        <w:trPr>
          <w:trHeight w:val="447"/>
        </w:trPr>
        <w:tc>
          <w:tcPr>
            <w:tcW w:w="3962" w:type="dxa"/>
          </w:tcPr>
          <w:p w14:paraId="2442C642" w14:textId="77777777" w:rsidR="0058304E" w:rsidRPr="00C81924" w:rsidRDefault="0058304E" w:rsidP="00FD54F5">
            <w:pPr>
              <w:spacing w:line="240" w:lineRule="auto"/>
              <w:ind w:left="160"/>
              <w:jc w:val="both"/>
              <w:rPr>
                <w:rFonts w:cs="Times New Roman"/>
                <w:szCs w:val="24"/>
              </w:rPr>
            </w:pPr>
            <w:r w:rsidRPr="00C81924">
              <w:rPr>
                <w:rFonts w:cs="Times New Roman"/>
                <w:szCs w:val="24"/>
              </w:rPr>
              <w:t>Male</w:t>
            </w:r>
          </w:p>
        </w:tc>
        <w:tc>
          <w:tcPr>
            <w:tcW w:w="2661" w:type="dxa"/>
          </w:tcPr>
          <w:p w14:paraId="30BCA91F" w14:textId="77777777" w:rsidR="0058304E" w:rsidRPr="00C81924" w:rsidRDefault="0058304E" w:rsidP="00FD54F5">
            <w:pPr>
              <w:spacing w:line="240" w:lineRule="auto"/>
              <w:jc w:val="center"/>
              <w:rPr>
                <w:rFonts w:cs="Times New Roman"/>
                <w:szCs w:val="24"/>
              </w:rPr>
            </w:pPr>
            <w:r w:rsidRPr="00C81924">
              <w:t>114</w:t>
            </w:r>
          </w:p>
        </w:tc>
        <w:tc>
          <w:tcPr>
            <w:tcW w:w="3311" w:type="dxa"/>
            <w:shd w:val="clear" w:color="auto" w:fill="auto"/>
          </w:tcPr>
          <w:p w14:paraId="50B0C741" w14:textId="77777777" w:rsidR="0058304E" w:rsidRPr="00C81924" w:rsidRDefault="0058304E" w:rsidP="00FD54F5">
            <w:pPr>
              <w:spacing w:line="240" w:lineRule="auto"/>
              <w:jc w:val="center"/>
              <w:rPr>
                <w:rFonts w:cs="Times New Roman"/>
                <w:szCs w:val="24"/>
              </w:rPr>
            </w:pPr>
            <w:r w:rsidRPr="00C81924">
              <w:rPr>
                <w:rFonts w:cs="Times New Roman"/>
                <w:szCs w:val="24"/>
              </w:rPr>
              <w:t>38</w:t>
            </w:r>
          </w:p>
        </w:tc>
      </w:tr>
      <w:tr w:rsidR="00C81924" w:rsidRPr="00C81924" w14:paraId="3A839A19" w14:textId="77777777" w:rsidTr="00F06ABF">
        <w:trPr>
          <w:trHeight w:val="463"/>
        </w:trPr>
        <w:tc>
          <w:tcPr>
            <w:tcW w:w="3962" w:type="dxa"/>
          </w:tcPr>
          <w:p w14:paraId="229F9762" w14:textId="77777777" w:rsidR="0058304E" w:rsidRPr="00C81924" w:rsidRDefault="0058304E" w:rsidP="00FD54F5">
            <w:pPr>
              <w:spacing w:line="240" w:lineRule="auto"/>
              <w:ind w:left="160"/>
              <w:jc w:val="both"/>
              <w:rPr>
                <w:rFonts w:cs="Times New Roman"/>
                <w:szCs w:val="24"/>
              </w:rPr>
            </w:pPr>
            <w:r w:rsidRPr="00C81924">
              <w:rPr>
                <w:rFonts w:cs="Times New Roman"/>
                <w:szCs w:val="24"/>
              </w:rPr>
              <w:t>Female</w:t>
            </w:r>
          </w:p>
        </w:tc>
        <w:tc>
          <w:tcPr>
            <w:tcW w:w="2661" w:type="dxa"/>
          </w:tcPr>
          <w:p w14:paraId="5F7F620B" w14:textId="77777777" w:rsidR="0058304E" w:rsidRPr="00C81924" w:rsidRDefault="0058304E" w:rsidP="00FD54F5">
            <w:pPr>
              <w:spacing w:line="240" w:lineRule="auto"/>
              <w:jc w:val="center"/>
              <w:rPr>
                <w:rFonts w:cs="Times New Roman"/>
                <w:szCs w:val="24"/>
              </w:rPr>
            </w:pPr>
            <w:r w:rsidRPr="00C81924">
              <w:t>186</w:t>
            </w:r>
          </w:p>
        </w:tc>
        <w:tc>
          <w:tcPr>
            <w:tcW w:w="3311" w:type="dxa"/>
            <w:shd w:val="clear" w:color="auto" w:fill="auto"/>
          </w:tcPr>
          <w:p w14:paraId="34E118DD" w14:textId="77777777" w:rsidR="0058304E" w:rsidRPr="00C81924" w:rsidRDefault="0058304E" w:rsidP="00FD54F5">
            <w:pPr>
              <w:spacing w:line="240" w:lineRule="auto"/>
              <w:jc w:val="center"/>
              <w:rPr>
                <w:rFonts w:cs="Times New Roman"/>
                <w:szCs w:val="24"/>
              </w:rPr>
            </w:pPr>
            <w:r w:rsidRPr="00C81924">
              <w:rPr>
                <w:rFonts w:cs="Times New Roman"/>
                <w:szCs w:val="24"/>
              </w:rPr>
              <w:t>62</w:t>
            </w:r>
          </w:p>
        </w:tc>
      </w:tr>
      <w:tr w:rsidR="0058304E" w:rsidRPr="00C81924" w14:paraId="58FCA256" w14:textId="77777777" w:rsidTr="00F06ABF">
        <w:trPr>
          <w:trHeight w:val="463"/>
        </w:trPr>
        <w:tc>
          <w:tcPr>
            <w:tcW w:w="3962" w:type="dxa"/>
          </w:tcPr>
          <w:p w14:paraId="65BB7351"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661" w:type="dxa"/>
          </w:tcPr>
          <w:p w14:paraId="6343DA24" w14:textId="77777777" w:rsidR="0058304E" w:rsidRPr="00C81924" w:rsidRDefault="0058304E" w:rsidP="00FD54F5">
            <w:pPr>
              <w:spacing w:line="240" w:lineRule="auto"/>
              <w:jc w:val="center"/>
              <w:rPr>
                <w:rFonts w:cs="Times New Roman"/>
                <w:szCs w:val="24"/>
              </w:rPr>
            </w:pPr>
            <w:r w:rsidRPr="00C81924">
              <w:t>300</w:t>
            </w:r>
          </w:p>
        </w:tc>
        <w:tc>
          <w:tcPr>
            <w:tcW w:w="3311" w:type="dxa"/>
            <w:shd w:val="clear" w:color="auto" w:fill="auto"/>
          </w:tcPr>
          <w:p w14:paraId="3D14909D"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bl>
    <w:p w14:paraId="6EECAC22" w14:textId="77777777" w:rsidR="0058304E" w:rsidRPr="00C81924" w:rsidRDefault="0058304E" w:rsidP="00FD54F5">
      <w:pPr>
        <w:spacing w:line="240" w:lineRule="auto"/>
        <w:jc w:val="both"/>
        <w:rPr>
          <w:rFonts w:cs="Times New Roman"/>
          <w:szCs w:val="24"/>
        </w:rPr>
      </w:pPr>
    </w:p>
    <w:p w14:paraId="4616E8B7" w14:textId="4AC77664" w:rsidR="0058304E" w:rsidRPr="00C81924" w:rsidRDefault="0058304E" w:rsidP="00BF0A2A">
      <w:pPr>
        <w:spacing w:line="240" w:lineRule="auto"/>
        <w:rPr>
          <w:rFonts w:eastAsiaTheme="majorEastAsia" w:cstheme="majorBidi"/>
          <w:b/>
          <w:szCs w:val="26"/>
        </w:rPr>
      </w:pPr>
      <w:bookmarkStart w:id="17" w:name="_Toc163428597"/>
      <w:bookmarkStart w:id="18" w:name="_Hlk116307777"/>
      <w:r w:rsidRPr="00C81924">
        <w:rPr>
          <w:rFonts w:eastAsiaTheme="majorEastAsia" w:cstheme="majorBidi"/>
          <w:b/>
          <w:szCs w:val="26"/>
        </w:rPr>
        <w:t xml:space="preserve">Prevalence and Distribution of </w:t>
      </w:r>
      <w:r w:rsidRPr="00C81924">
        <w:rPr>
          <w:rFonts w:eastAsiaTheme="majorEastAsia" w:cstheme="majorBidi"/>
          <w:b/>
          <w:i/>
          <w:iCs/>
          <w:szCs w:val="26"/>
        </w:rPr>
        <w:t xml:space="preserve">Escherichia coli </w:t>
      </w:r>
      <w:r w:rsidRPr="00C81924">
        <w:rPr>
          <w:rFonts w:eastAsiaTheme="majorEastAsia" w:cstheme="majorBidi"/>
          <w:b/>
          <w:szCs w:val="26"/>
        </w:rPr>
        <w:t xml:space="preserve">from various </w:t>
      </w:r>
      <w:r w:rsidR="00050515" w:rsidRPr="00C81924">
        <w:rPr>
          <w:rFonts w:eastAsiaTheme="majorEastAsia" w:cstheme="majorBidi"/>
          <w:b/>
          <w:szCs w:val="26"/>
        </w:rPr>
        <w:t>C</w:t>
      </w:r>
      <w:r w:rsidRPr="00C81924">
        <w:rPr>
          <w:rFonts w:eastAsiaTheme="majorEastAsia" w:cstheme="majorBidi"/>
          <w:b/>
          <w:szCs w:val="26"/>
        </w:rPr>
        <w:t xml:space="preserve">linical </w:t>
      </w:r>
      <w:r w:rsidR="00050515" w:rsidRPr="00C81924">
        <w:rPr>
          <w:rFonts w:eastAsiaTheme="majorEastAsia" w:cstheme="majorBidi"/>
          <w:b/>
          <w:szCs w:val="26"/>
        </w:rPr>
        <w:t>S</w:t>
      </w:r>
      <w:r w:rsidRPr="00C81924">
        <w:rPr>
          <w:rFonts w:eastAsiaTheme="majorEastAsia" w:cstheme="majorBidi"/>
          <w:b/>
          <w:szCs w:val="26"/>
        </w:rPr>
        <w:t>amples</w:t>
      </w:r>
      <w:bookmarkEnd w:id="17"/>
    </w:p>
    <w:bookmarkEnd w:id="18"/>
    <w:p w14:paraId="77EA7FDB" w14:textId="5C29B6AF" w:rsidR="0058304E" w:rsidRPr="00C81924" w:rsidRDefault="0058304E" w:rsidP="00FD54F5">
      <w:pPr>
        <w:spacing w:line="240" w:lineRule="auto"/>
        <w:jc w:val="both"/>
        <w:rPr>
          <w:rFonts w:cs="Times New Roman"/>
          <w:szCs w:val="24"/>
        </w:rPr>
      </w:pPr>
      <w:r w:rsidRPr="00C81924">
        <w:rPr>
          <w:rFonts w:cs="Times New Roman"/>
          <w:szCs w:val="24"/>
        </w:rPr>
        <w:t xml:space="preserve">The prevalence of </w:t>
      </w:r>
      <w:r w:rsidRPr="00C81924">
        <w:rPr>
          <w:rFonts w:cs="Times New Roman"/>
          <w:i/>
          <w:iCs/>
          <w:szCs w:val="24"/>
        </w:rPr>
        <w:t>Escherichia coli</w:t>
      </w:r>
      <w:r w:rsidRPr="00C81924">
        <w:rPr>
          <w:rFonts w:cs="Times New Roman"/>
          <w:szCs w:val="24"/>
        </w:rPr>
        <w:t xml:space="preserve"> in clinical samples is presented in </w:t>
      </w:r>
      <w:r w:rsidR="00BF0A2A" w:rsidRPr="00C81924">
        <w:rPr>
          <w:rFonts w:cs="Times New Roman"/>
          <w:szCs w:val="24"/>
        </w:rPr>
        <w:t>Table 2</w:t>
      </w:r>
      <w:r w:rsidRPr="00C81924">
        <w:rPr>
          <w:rFonts w:cs="Times New Roman"/>
          <w:szCs w:val="24"/>
        </w:rPr>
        <w:t xml:space="preserve"> Out of the 300 clinical samples analyzed, </w:t>
      </w:r>
      <w:r w:rsidRPr="00C81924">
        <w:rPr>
          <w:rFonts w:cs="Times New Roman"/>
          <w:i/>
          <w:iCs/>
          <w:szCs w:val="24"/>
        </w:rPr>
        <w:t>E. coli</w:t>
      </w:r>
      <w:r w:rsidRPr="00C81924">
        <w:rPr>
          <w:rFonts w:cs="Times New Roman"/>
          <w:szCs w:val="24"/>
        </w:rPr>
        <w:t xml:space="preserve"> growth was observed in 61 samples, accounting for 20.3% of the total isolates. Conversely, no </w:t>
      </w:r>
      <w:r w:rsidRPr="00C81924">
        <w:rPr>
          <w:rFonts w:cs="Times New Roman"/>
          <w:i/>
          <w:iCs/>
          <w:szCs w:val="24"/>
        </w:rPr>
        <w:t>E. coli</w:t>
      </w:r>
      <w:r w:rsidRPr="00C81924">
        <w:rPr>
          <w:rFonts w:cs="Times New Roman"/>
          <w:szCs w:val="24"/>
        </w:rPr>
        <w:t xml:space="preserve"> growth was noted in 239 samples, representing 79.7% of the total isolates.</w:t>
      </w:r>
    </w:p>
    <w:p w14:paraId="7A37EA6B" w14:textId="1E26472F" w:rsidR="0058304E" w:rsidRPr="00C81924" w:rsidRDefault="0058304E" w:rsidP="00FD54F5">
      <w:pPr>
        <w:spacing w:line="240" w:lineRule="auto"/>
        <w:jc w:val="both"/>
        <w:rPr>
          <w:rFonts w:cs="Times New Roman"/>
          <w:szCs w:val="24"/>
        </w:rPr>
      </w:pPr>
      <w:r w:rsidRPr="00C81924">
        <w:rPr>
          <w:rFonts w:cs="Times New Roman"/>
          <w:szCs w:val="24"/>
        </w:rPr>
        <w:t xml:space="preserve">Table </w:t>
      </w:r>
      <w:r w:rsidR="00BF0A2A" w:rsidRPr="00C81924">
        <w:rPr>
          <w:rFonts w:cs="Times New Roman"/>
          <w:szCs w:val="24"/>
        </w:rPr>
        <w:t xml:space="preserve">3 </w:t>
      </w:r>
      <w:r w:rsidRPr="00C81924">
        <w:rPr>
          <w:rFonts w:cs="Times New Roman"/>
          <w:szCs w:val="24"/>
        </w:rPr>
        <w:t xml:space="preserve">presents the distribution of </w:t>
      </w:r>
      <w:r w:rsidRPr="00C81924">
        <w:rPr>
          <w:rFonts w:cs="Times New Roman"/>
          <w:i/>
          <w:iCs/>
          <w:szCs w:val="24"/>
        </w:rPr>
        <w:t>Escherichia coli</w:t>
      </w:r>
      <w:r w:rsidRPr="00C81924">
        <w:rPr>
          <w:rFonts w:cs="Times New Roman"/>
          <w:szCs w:val="24"/>
        </w:rPr>
        <w:t xml:space="preserve"> isolates from various clinical samples. Among the 61 </w:t>
      </w:r>
      <w:r w:rsidRPr="00C81924">
        <w:rPr>
          <w:rFonts w:cs="Times New Roman"/>
          <w:i/>
          <w:iCs/>
          <w:szCs w:val="24"/>
        </w:rPr>
        <w:t>E. coli</w:t>
      </w:r>
      <w:r w:rsidRPr="00C81924">
        <w:rPr>
          <w:rFonts w:cs="Times New Roman"/>
          <w:szCs w:val="24"/>
        </w:rPr>
        <w:t xml:space="preserve"> isolates identified, the majority were obtained from urine samples, accounting for 38 isolates (62.3%). High vaginal swabs contributed 15 isolates (24.6%), followed by sputum samples with 5 isolates (8.2%). A smaller proportion of </w:t>
      </w:r>
      <w:r w:rsidRPr="00C81924">
        <w:rPr>
          <w:rFonts w:cs="Times New Roman"/>
          <w:i/>
          <w:iCs/>
          <w:szCs w:val="24"/>
        </w:rPr>
        <w:t>E. coli</w:t>
      </w:r>
      <w:r w:rsidRPr="00C81924">
        <w:rPr>
          <w:rFonts w:cs="Times New Roman"/>
          <w:szCs w:val="24"/>
        </w:rPr>
        <w:t xml:space="preserve"> isolates were obtained from blood samples, comprising 3 isolates (4.9%).</w:t>
      </w:r>
    </w:p>
    <w:p w14:paraId="16027C04" w14:textId="75EDD528" w:rsidR="0058304E" w:rsidRPr="00C81924" w:rsidRDefault="0058304E" w:rsidP="00FD54F5">
      <w:pPr>
        <w:spacing w:line="240" w:lineRule="auto"/>
        <w:rPr>
          <w:rFonts w:cs="Times New Roman"/>
          <w:szCs w:val="24"/>
        </w:rPr>
      </w:pPr>
      <w:r w:rsidRPr="00C81924">
        <w:rPr>
          <w:rFonts w:cs="Times New Roman"/>
          <w:b/>
          <w:bCs/>
          <w:szCs w:val="24"/>
        </w:rPr>
        <w:t xml:space="preserve">Table </w:t>
      </w:r>
      <w:r w:rsidR="00BF0A2A" w:rsidRPr="00C81924">
        <w:rPr>
          <w:rFonts w:cs="Times New Roman"/>
          <w:b/>
          <w:bCs/>
          <w:szCs w:val="24"/>
        </w:rPr>
        <w:t>2</w:t>
      </w:r>
      <w:r w:rsidRPr="00C81924">
        <w:rPr>
          <w:rFonts w:cs="Times New Roman"/>
          <w:b/>
          <w:bCs/>
          <w:szCs w:val="24"/>
        </w:rPr>
        <w:t xml:space="preserve">: Prevalence of </w:t>
      </w:r>
      <w:r w:rsidRPr="00C81924">
        <w:rPr>
          <w:rFonts w:cs="Times New Roman"/>
          <w:b/>
          <w:bCs/>
          <w:i/>
          <w:iCs/>
          <w:szCs w:val="24"/>
        </w:rPr>
        <w:t>E. coli</w:t>
      </w:r>
      <w:r w:rsidRPr="00C81924">
        <w:rPr>
          <w:rFonts w:cs="Times New Roman"/>
          <w:b/>
          <w:bCs/>
          <w:szCs w:val="24"/>
        </w:rPr>
        <w:t xml:space="preserve"> in </w:t>
      </w:r>
      <w:r w:rsidR="00050515" w:rsidRPr="00C81924">
        <w:rPr>
          <w:rFonts w:cs="Times New Roman"/>
          <w:b/>
          <w:bCs/>
          <w:szCs w:val="24"/>
        </w:rPr>
        <w:t>C</w:t>
      </w:r>
      <w:r w:rsidRPr="00C81924">
        <w:rPr>
          <w:rFonts w:cs="Times New Roman"/>
          <w:b/>
          <w:bCs/>
          <w:szCs w:val="24"/>
        </w:rPr>
        <w:t xml:space="preserve">linical </w:t>
      </w:r>
      <w:r w:rsidR="00050515" w:rsidRPr="00C81924">
        <w:rPr>
          <w:rFonts w:cs="Times New Roman"/>
          <w:b/>
          <w:bCs/>
          <w:szCs w:val="24"/>
        </w:rPr>
        <w:t>S</w:t>
      </w:r>
      <w:r w:rsidRPr="00C81924">
        <w:rPr>
          <w:rFonts w:cs="Times New Roman"/>
          <w:b/>
          <w:bCs/>
          <w:szCs w:val="24"/>
        </w:rPr>
        <w:t>amples</w:t>
      </w:r>
    </w:p>
    <w:tbl>
      <w:tblPr>
        <w:tblStyle w:val="TableGrid"/>
        <w:tblW w:w="94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2537"/>
        <w:gridCol w:w="3156"/>
      </w:tblGrid>
      <w:tr w:rsidR="00C81924" w:rsidRPr="00C81924" w14:paraId="1551C41F" w14:textId="77777777" w:rsidTr="00F06ABF">
        <w:trPr>
          <w:trHeight w:val="490"/>
        </w:trPr>
        <w:tc>
          <w:tcPr>
            <w:tcW w:w="3778" w:type="dxa"/>
            <w:tcBorders>
              <w:bottom w:val="single" w:sz="4" w:space="0" w:color="auto"/>
            </w:tcBorders>
          </w:tcPr>
          <w:p w14:paraId="785C692F" w14:textId="77777777" w:rsidR="0058304E" w:rsidRPr="00C81924" w:rsidRDefault="0058304E" w:rsidP="00FD54F5">
            <w:pPr>
              <w:spacing w:line="240" w:lineRule="auto"/>
              <w:jc w:val="both"/>
              <w:rPr>
                <w:rFonts w:cs="Times New Roman"/>
                <w:b/>
                <w:bCs/>
                <w:szCs w:val="24"/>
              </w:rPr>
            </w:pPr>
            <w:r w:rsidRPr="00C81924">
              <w:rPr>
                <w:rFonts w:cs="Times New Roman"/>
                <w:b/>
                <w:bCs/>
                <w:i/>
                <w:iCs/>
                <w:szCs w:val="24"/>
              </w:rPr>
              <w:t>E. coli</w:t>
            </w:r>
          </w:p>
        </w:tc>
        <w:tc>
          <w:tcPr>
            <w:tcW w:w="2537" w:type="dxa"/>
            <w:tcBorders>
              <w:bottom w:val="single" w:sz="4" w:space="0" w:color="auto"/>
            </w:tcBorders>
          </w:tcPr>
          <w:p w14:paraId="0C3C3813"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Frequency (N)</w:t>
            </w:r>
          </w:p>
        </w:tc>
        <w:tc>
          <w:tcPr>
            <w:tcW w:w="3156" w:type="dxa"/>
            <w:tcBorders>
              <w:bottom w:val="single" w:sz="4" w:space="0" w:color="auto"/>
            </w:tcBorders>
          </w:tcPr>
          <w:p w14:paraId="7D3FD816"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Percentage (%)</w:t>
            </w:r>
          </w:p>
        </w:tc>
      </w:tr>
      <w:tr w:rsidR="00C81924" w:rsidRPr="00C81924" w14:paraId="3D43224C" w14:textId="77777777" w:rsidTr="00F06ABF">
        <w:trPr>
          <w:trHeight w:val="490"/>
        </w:trPr>
        <w:tc>
          <w:tcPr>
            <w:tcW w:w="3778" w:type="dxa"/>
            <w:tcBorders>
              <w:top w:val="single" w:sz="4" w:space="0" w:color="auto"/>
            </w:tcBorders>
          </w:tcPr>
          <w:p w14:paraId="7CDDA41D" w14:textId="77777777" w:rsidR="0058304E" w:rsidRPr="00C81924" w:rsidRDefault="0058304E" w:rsidP="00FD54F5">
            <w:pPr>
              <w:spacing w:line="240" w:lineRule="auto"/>
              <w:ind w:left="160"/>
              <w:jc w:val="both"/>
              <w:rPr>
                <w:rFonts w:cs="Times New Roman"/>
                <w:szCs w:val="24"/>
              </w:rPr>
            </w:pPr>
            <w:r w:rsidRPr="00C81924">
              <w:rPr>
                <w:rFonts w:cs="Times New Roman"/>
                <w:i/>
                <w:iCs/>
                <w:szCs w:val="24"/>
              </w:rPr>
              <w:t>E. coli</w:t>
            </w:r>
            <w:r w:rsidRPr="00C81924">
              <w:rPr>
                <w:rFonts w:cs="Times New Roman"/>
                <w:szCs w:val="24"/>
              </w:rPr>
              <w:t xml:space="preserve"> growth</w:t>
            </w:r>
          </w:p>
        </w:tc>
        <w:tc>
          <w:tcPr>
            <w:tcW w:w="2537" w:type="dxa"/>
            <w:tcBorders>
              <w:top w:val="single" w:sz="4" w:space="0" w:color="auto"/>
            </w:tcBorders>
          </w:tcPr>
          <w:p w14:paraId="5DEDD7FB" w14:textId="77777777" w:rsidR="0058304E" w:rsidRPr="00C81924" w:rsidRDefault="0058304E" w:rsidP="00FD54F5">
            <w:pPr>
              <w:spacing w:line="240" w:lineRule="auto"/>
              <w:jc w:val="center"/>
              <w:rPr>
                <w:rFonts w:cs="Times New Roman"/>
                <w:szCs w:val="24"/>
              </w:rPr>
            </w:pPr>
            <w:r w:rsidRPr="00C81924">
              <w:rPr>
                <w:rFonts w:cs="Times New Roman"/>
                <w:szCs w:val="24"/>
              </w:rPr>
              <w:t>61</w:t>
            </w:r>
          </w:p>
        </w:tc>
        <w:tc>
          <w:tcPr>
            <w:tcW w:w="3156" w:type="dxa"/>
            <w:tcBorders>
              <w:top w:val="single" w:sz="4" w:space="0" w:color="auto"/>
            </w:tcBorders>
            <w:shd w:val="clear" w:color="auto" w:fill="auto"/>
          </w:tcPr>
          <w:p w14:paraId="0883A44F" w14:textId="77777777" w:rsidR="0058304E" w:rsidRPr="00C81924" w:rsidRDefault="0058304E" w:rsidP="00FD54F5">
            <w:pPr>
              <w:spacing w:line="240" w:lineRule="auto"/>
              <w:jc w:val="center"/>
              <w:rPr>
                <w:rFonts w:cs="Times New Roman"/>
                <w:szCs w:val="24"/>
              </w:rPr>
            </w:pPr>
            <w:r w:rsidRPr="00C81924">
              <w:rPr>
                <w:rFonts w:cs="Times New Roman"/>
                <w:szCs w:val="24"/>
              </w:rPr>
              <w:t>20.3</w:t>
            </w:r>
          </w:p>
        </w:tc>
      </w:tr>
      <w:tr w:rsidR="00C81924" w:rsidRPr="00C81924" w14:paraId="25F251BC" w14:textId="77777777" w:rsidTr="00F06ABF">
        <w:trPr>
          <w:trHeight w:val="490"/>
        </w:trPr>
        <w:tc>
          <w:tcPr>
            <w:tcW w:w="3778" w:type="dxa"/>
          </w:tcPr>
          <w:p w14:paraId="53878EE8" w14:textId="77777777" w:rsidR="0058304E" w:rsidRPr="00C81924" w:rsidRDefault="0058304E" w:rsidP="00FD54F5">
            <w:pPr>
              <w:spacing w:line="240" w:lineRule="auto"/>
              <w:ind w:left="160"/>
              <w:jc w:val="both"/>
              <w:rPr>
                <w:rFonts w:cs="Times New Roman"/>
                <w:szCs w:val="24"/>
              </w:rPr>
            </w:pPr>
            <w:r w:rsidRPr="00C81924">
              <w:rPr>
                <w:rFonts w:cs="Times New Roman"/>
                <w:szCs w:val="24"/>
              </w:rPr>
              <w:t xml:space="preserve">No </w:t>
            </w:r>
            <w:r w:rsidRPr="00C81924">
              <w:rPr>
                <w:rFonts w:cs="Times New Roman"/>
                <w:i/>
                <w:iCs/>
                <w:szCs w:val="24"/>
              </w:rPr>
              <w:t>E. coli</w:t>
            </w:r>
            <w:r w:rsidRPr="00C81924">
              <w:rPr>
                <w:rFonts w:cs="Times New Roman"/>
                <w:szCs w:val="24"/>
              </w:rPr>
              <w:t xml:space="preserve"> growth</w:t>
            </w:r>
          </w:p>
        </w:tc>
        <w:tc>
          <w:tcPr>
            <w:tcW w:w="2537" w:type="dxa"/>
          </w:tcPr>
          <w:p w14:paraId="12823732" w14:textId="77777777" w:rsidR="0058304E" w:rsidRPr="00C81924" w:rsidRDefault="0058304E" w:rsidP="00FD54F5">
            <w:pPr>
              <w:spacing w:line="240" w:lineRule="auto"/>
              <w:jc w:val="center"/>
              <w:rPr>
                <w:rFonts w:cs="Times New Roman"/>
                <w:szCs w:val="24"/>
              </w:rPr>
            </w:pPr>
            <w:r w:rsidRPr="00C81924">
              <w:rPr>
                <w:rFonts w:cs="Times New Roman"/>
                <w:szCs w:val="24"/>
              </w:rPr>
              <w:t>239</w:t>
            </w:r>
          </w:p>
        </w:tc>
        <w:tc>
          <w:tcPr>
            <w:tcW w:w="3156" w:type="dxa"/>
            <w:shd w:val="clear" w:color="auto" w:fill="auto"/>
          </w:tcPr>
          <w:p w14:paraId="288C35A2" w14:textId="77777777" w:rsidR="0058304E" w:rsidRPr="00C81924" w:rsidRDefault="0058304E" w:rsidP="00FD54F5">
            <w:pPr>
              <w:spacing w:line="240" w:lineRule="auto"/>
              <w:jc w:val="center"/>
            </w:pPr>
            <w:r w:rsidRPr="00C81924">
              <w:t>79.7</w:t>
            </w:r>
          </w:p>
        </w:tc>
      </w:tr>
      <w:tr w:rsidR="0058304E" w:rsidRPr="00C81924" w14:paraId="4351159B" w14:textId="77777777" w:rsidTr="00F06ABF">
        <w:trPr>
          <w:trHeight w:val="472"/>
        </w:trPr>
        <w:tc>
          <w:tcPr>
            <w:tcW w:w="3778" w:type="dxa"/>
          </w:tcPr>
          <w:p w14:paraId="5C365085"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537" w:type="dxa"/>
          </w:tcPr>
          <w:p w14:paraId="2ABBD323" w14:textId="77777777" w:rsidR="0058304E" w:rsidRPr="00C81924" w:rsidRDefault="0058304E" w:rsidP="00FD54F5">
            <w:pPr>
              <w:spacing w:line="240" w:lineRule="auto"/>
              <w:jc w:val="center"/>
              <w:rPr>
                <w:rFonts w:cs="Times New Roman"/>
                <w:szCs w:val="24"/>
              </w:rPr>
            </w:pPr>
            <w:r w:rsidRPr="00C81924">
              <w:rPr>
                <w:rFonts w:cs="Times New Roman"/>
                <w:szCs w:val="24"/>
              </w:rPr>
              <w:t>300</w:t>
            </w:r>
          </w:p>
        </w:tc>
        <w:tc>
          <w:tcPr>
            <w:tcW w:w="3156" w:type="dxa"/>
            <w:shd w:val="clear" w:color="auto" w:fill="auto"/>
          </w:tcPr>
          <w:p w14:paraId="029FB0DF"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bl>
    <w:p w14:paraId="18B6B6CD" w14:textId="77777777" w:rsidR="0058304E" w:rsidRPr="00C81924" w:rsidRDefault="0058304E" w:rsidP="00FD54F5">
      <w:pPr>
        <w:spacing w:line="240" w:lineRule="auto"/>
        <w:rPr>
          <w:rFonts w:cs="Times New Roman"/>
          <w:szCs w:val="24"/>
        </w:rPr>
      </w:pPr>
    </w:p>
    <w:p w14:paraId="5EBDC052" w14:textId="77777777" w:rsidR="00E74E2A" w:rsidRPr="00C81924" w:rsidRDefault="00E74E2A" w:rsidP="00FD54F5">
      <w:pPr>
        <w:spacing w:line="240" w:lineRule="auto"/>
        <w:rPr>
          <w:rFonts w:cs="Times New Roman"/>
          <w:b/>
          <w:bCs/>
          <w:szCs w:val="24"/>
        </w:rPr>
      </w:pPr>
    </w:p>
    <w:p w14:paraId="289C7C64" w14:textId="77777777" w:rsidR="00050515" w:rsidRPr="00C81924" w:rsidRDefault="00050515" w:rsidP="00FD54F5">
      <w:pPr>
        <w:spacing w:line="240" w:lineRule="auto"/>
        <w:rPr>
          <w:rFonts w:cs="Times New Roman"/>
          <w:b/>
          <w:bCs/>
          <w:szCs w:val="24"/>
        </w:rPr>
      </w:pPr>
    </w:p>
    <w:p w14:paraId="0077EA2C" w14:textId="77777777" w:rsidR="00050515" w:rsidRPr="00C81924" w:rsidRDefault="00050515" w:rsidP="00FD54F5">
      <w:pPr>
        <w:spacing w:line="240" w:lineRule="auto"/>
        <w:rPr>
          <w:rFonts w:cs="Times New Roman"/>
          <w:b/>
          <w:bCs/>
          <w:szCs w:val="24"/>
        </w:rPr>
      </w:pPr>
    </w:p>
    <w:p w14:paraId="03DF679B" w14:textId="65701B34" w:rsidR="0058304E" w:rsidRPr="00C81924" w:rsidRDefault="0058304E" w:rsidP="00FD54F5">
      <w:pPr>
        <w:spacing w:line="240" w:lineRule="auto"/>
        <w:rPr>
          <w:rFonts w:cs="Times New Roman"/>
          <w:szCs w:val="24"/>
        </w:rPr>
      </w:pPr>
      <w:r w:rsidRPr="00C81924">
        <w:rPr>
          <w:rFonts w:cs="Times New Roman"/>
          <w:b/>
          <w:bCs/>
          <w:szCs w:val="24"/>
        </w:rPr>
        <w:t xml:space="preserve">Table </w:t>
      </w:r>
      <w:r w:rsidR="00BF0A2A" w:rsidRPr="00C81924">
        <w:rPr>
          <w:rFonts w:cs="Times New Roman"/>
          <w:b/>
          <w:bCs/>
          <w:szCs w:val="24"/>
        </w:rPr>
        <w:t>3</w:t>
      </w:r>
      <w:r w:rsidRPr="00C81924">
        <w:rPr>
          <w:rFonts w:cs="Times New Roman"/>
          <w:b/>
          <w:bCs/>
          <w:szCs w:val="24"/>
        </w:rPr>
        <w:t xml:space="preserve">: Distribution of </w:t>
      </w:r>
      <w:r w:rsidRPr="00C81924">
        <w:rPr>
          <w:rFonts w:cs="Times New Roman"/>
          <w:b/>
          <w:bCs/>
          <w:i/>
          <w:iCs/>
          <w:szCs w:val="24"/>
        </w:rPr>
        <w:t xml:space="preserve">E. coli </w:t>
      </w:r>
      <w:r w:rsidRPr="00C81924">
        <w:rPr>
          <w:rFonts w:cs="Times New Roman"/>
          <w:b/>
          <w:bCs/>
          <w:szCs w:val="24"/>
        </w:rPr>
        <w:t xml:space="preserve">isolates from various </w:t>
      </w:r>
      <w:r w:rsidR="00050515" w:rsidRPr="00C81924">
        <w:rPr>
          <w:rFonts w:cs="Times New Roman"/>
          <w:b/>
          <w:bCs/>
          <w:szCs w:val="24"/>
        </w:rPr>
        <w:t>C</w:t>
      </w:r>
      <w:r w:rsidRPr="00C81924">
        <w:rPr>
          <w:rFonts w:cs="Times New Roman"/>
          <w:b/>
          <w:bCs/>
          <w:szCs w:val="24"/>
        </w:rPr>
        <w:t xml:space="preserve">linical </w:t>
      </w:r>
      <w:r w:rsidR="00050515" w:rsidRPr="00C81924">
        <w:rPr>
          <w:rFonts w:cs="Times New Roman"/>
          <w:b/>
          <w:bCs/>
          <w:szCs w:val="24"/>
        </w:rPr>
        <w:t>S</w:t>
      </w:r>
      <w:r w:rsidRPr="00C81924">
        <w:rPr>
          <w:rFonts w:cs="Times New Roman"/>
          <w:b/>
          <w:bCs/>
          <w:szCs w:val="24"/>
        </w:rPr>
        <w:t>amples</w:t>
      </w:r>
    </w:p>
    <w:tbl>
      <w:tblPr>
        <w:tblStyle w:val="TableGrid"/>
        <w:tblW w:w="94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2537"/>
        <w:gridCol w:w="3156"/>
      </w:tblGrid>
      <w:tr w:rsidR="00C81924" w:rsidRPr="00C81924" w14:paraId="540258A2" w14:textId="77777777" w:rsidTr="00F06ABF">
        <w:trPr>
          <w:trHeight w:val="490"/>
        </w:trPr>
        <w:tc>
          <w:tcPr>
            <w:tcW w:w="3778" w:type="dxa"/>
            <w:tcBorders>
              <w:bottom w:val="single" w:sz="4" w:space="0" w:color="auto"/>
            </w:tcBorders>
          </w:tcPr>
          <w:p w14:paraId="2C96563D"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lastRenderedPageBreak/>
              <w:t>Clinical Sample</w:t>
            </w:r>
          </w:p>
        </w:tc>
        <w:tc>
          <w:tcPr>
            <w:tcW w:w="2537" w:type="dxa"/>
            <w:tcBorders>
              <w:bottom w:val="single" w:sz="4" w:space="0" w:color="auto"/>
            </w:tcBorders>
          </w:tcPr>
          <w:p w14:paraId="1E772D17"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Number of Isolates</w:t>
            </w:r>
          </w:p>
        </w:tc>
        <w:tc>
          <w:tcPr>
            <w:tcW w:w="3156" w:type="dxa"/>
            <w:tcBorders>
              <w:bottom w:val="single" w:sz="4" w:space="0" w:color="auto"/>
            </w:tcBorders>
          </w:tcPr>
          <w:p w14:paraId="5D099768"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Percentage (%)</w:t>
            </w:r>
          </w:p>
        </w:tc>
      </w:tr>
      <w:tr w:rsidR="00C81924" w:rsidRPr="00C81924" w14:paraId="05168583" w14:textId="77777777" w:rsidTr="00F06ABF">
        <w:trPr>
          <w:trHeight w:val="490"/>
        </w:trPr>
        <w:tc>
          <w:tcPr>
            <w:tcW w:w="3778" w:type="dxa"/>
            <w:tcBorders>
              <w:top w:val="single" w:sz="4" w:space="0" w:color="auto"/>
            </w:tcBorders>
          </w:tcPr>
          <w:p w14:paraId="790F0F3F" w14:textId="77777777" w:rsidR="0058304E" w:rsidRPr="00C81924" w:rsidRDefault="0058304E" w:rsidP="00FD54F5">
            <w:pPr>
              <w:spacing w:line="240" w:lineRule="auto"/>
              <w:ind w:left="160"/>
              <w:jc w:val="both"/>
              <w:rPr>
                <w:rFonts w:cs="Times New Roman"/>
                <w:szCs w:val="24"/>
              </w:rPr>
            </w:pPr>
            <w:r w:rsidRPr="00C81924">
              <w:rPr>
                <w:rFonts w:cs="Times New Roman"/>
                <w:szCs w:val="24"/>
              </w:rPr>
              <w:t>Blood</w:t>
            </w:r>
          </w:p>
        </w:tc>
        <w:tc>
          <w:tcPr>
            <w:tcW w:w="2537" w:type="dxa"/>
            <w:tcBorders>
              <w:top w:val="single" w:sz="4" w:space="0" w:color="auto"/>
            </w:tcBorders>
          </w:tcPr>
          <w:p w14:paraId="51C8E044" w14:textId="77777777" w:rsidR="0058304E" w:rsidRPr="00C81924" w:rsidRDefault="0058304E" w:rsidP="00FD54F5">
            <w:pPr>
              <w:spacing w:line="240" w:lineRule="auto"/>
              <w:jc w:val="center"/>
              <w:rPr>
                <w:rFonts w:cs="Times New Roman"/>
                <w:szCs w:val="24"/>
              </w:rPr>
            </w:pPr>
            <w:r w:rsidRPr="00C81924">
              <w:rPr>
                <w:rFonts w:cs="Times New Roman"/>
                <w:szCs w:val="24"/>
              </w:rPr>
              <w:t>3</w:t>
            </w:r>
          </w:p>
        </w:tc>
        <w:tc>
          <w:tcPr>
            <w:tcW w:w="3156" w:type="dxa"/>
            <w:tcBorders>
              <w:top w:val="single" w:sz="4" w:space="0" w:color="auto"/>
            </w:tcBorders>
            <w:shd w:val="clear" w:color="auto" w:fill="auto"/>
          </w:tcPr>
          <w:p w14:paraId="22507EA0" w14:textId="77777777" w:rsidR="0058304E" w:rsidRPr="00C81924" w:rsidRDefault="0058304E" w:rsidP="00FD54F5">
            <w:pPr>
              <w:spacing w:line="240" w:lineRule="auto"/>
              <w:jc w:val="center"/>
              <w:rPr>
                <w:rFonts w:cs="Times New Roman"/>
                <w:szCs w:val="24"/>
              </w:rPr>
            </w:pPr>
            <w:r w:rsidRPr="00C81924">
              <w:rPr>
                <w:rFonts w:cs="Times New Roman"/>
                <w:szCs w:val="24"/>
              </w:rPr>
              <w:t>4.9</w:t>
            </w:r>
          </w:p>
        </w:tc>
      </w:tr>
      <w:tr w:rsidR="00C81924" w:rsidRPr="00C81924" w14:paraId="3094B69E" w14:textId="77777777" w:rsidTr="00F06ABF">
        <w:trPr>
          <w:trHeight w:val="472"/>
        </w:trPr>
        <w:tc>
          <w:tcPr>
            <w:tcW w:w="3778" w:type="dxa"/>
          </w:tcPr>
          <w:p w14:paraId="4C0CADB5" w14:textId="77777777" w:rsidR="0058304E" w:rsidRPr="00C81924" w:rsidRDefault="0058304E" w:rsidP="00FD54F5">
            <w:pPr>
              <w:spacing w:line="240" w:lineRule="auto"/>
              <w:ind w:left="160"/>
              <w:jc w:val="both"/>
              <w:rPr>
                <w:rFonts w:cs="Times New Roman"/>
                <w:szCs w:val="24"/>
              </w:rPr>
            </w:pPr>
            <w:r w:rsidRPr="00C81924">
              <w:rPr>
                <w:rFonts w:cs="Times New Roman"/>
                <w:szCs w:val="24"/>
              </w:rPr>
              <w:t>Sputum</w:t>
            </w:r>
          </w:p>
        </w:tc>
        <w:tc>
          <w:tcPr>
            <w:tcW w:w="2537" w:type="dxa"/>
          </w:tcPr>
          <w:p w14:paraId="1D70DEA9" w14:textId="77777777" w:rsidR="0058304E" w:rsidRPr="00C81924" w:rsidRDefault="0058304E" w:rsidP="00FD54F5">
            <w:pPr>
              <w:spacing w:line="240" w:lineRule="auto"/>
              <w:jc w:val="center"/>
              <w:rPr>
                <w:rFonts w:cs="Times New Roman"/>
                <w:szCs w:val="24"/>
              </w:rPr>
            </w:pPr>
            <w:r w:rsidRPr="00C81924">
              <w:rPr>
                <w:rFonts w:cs="Times New Roman"/>
                <w:szCs w:val="24"/>
              </w:rPr>
              <w:t>5</w:t>
            </w:r>
          </w:p>
        </w:tc>
        <w:tc>
          <w:tcPr>
            <w:tcW w:w="3156" w:type="dxa"/>
            <w:shd w:val="clear" w:color="auto" w:fill="auto"/>
          </w:tcPr>
          <w:p w14:paraId="0E1AAE13" w14:textId="77777777" w:rsidR="0058304E" w:rsidRPr="00C81924" w:rsidRDefault="0058304E" w:rsidP="00FD54F5">
            <w:pPr>
              <w:spacing w:line="240" w:lineRule="auto"/>
              <w:jc w:val="center"/>
              <w:rPr>
                <w:rFonts w:cs="Times New Roman"/>
                <w:szCs w:val="24"/>
              </w:rPr>
            </w:pPr>
            <w:r w:rsidRPr="00C81924">
              <w:rPr>
                <w:rFonts w:cs="Times New Roman"/>
                <w:szCs w:val="24"/>
              </w:rPr>
              <w:t>8.2</w:t>
            </w:r>
          </w:p>
        </w:tc>
      </w:tr>
      <w:tr w:rsidR="00C81924" w:rsidRPr="00C81924" w14:paraId="27F7F1F5" w14:textId="77777777" w:rsidTr="00F06ABF">
        <w:trPr>
          <w:trHeight w:val="490"/>
        </w:trPr>
        <w:tc>
          <w:tcPr>
            <w:tcW w:w="3778" w:type="dxa"/>
          </w:tcPr>
          <w:p w14:paraId="542E8937" w14:textId="77777777" w:rsidR="0058304E" w:rsidRPr="00C81924" w:rsidRDefault="0058304E" w:rsidP="00FD54F5">
            <w:pPr>
              <w:spacing w:line="240" w:lineRule="auto"/>
              <w:ind w:left="160"/>
              <w:jc w:val="both"/>
              <w:rPr>
                <w:rFonts w:cs="Times New Roman"/>
                <w:szCs w:val="24"/>
              </w:rPr>
            </w:pPr>
            <w:r w:rsidRPr="00C81924">
              <w:rPr>
                <w:rFonts w:cs="Times New Roman"/>
                <w:szCs w:val="24"/>
              </w:rPr>
              <w:t>Urine</w:t>
            </w:r>
          </w:p>
        </w:tc>
        <w:tc>
          <w:tcPr>
            <w:tcW w:w="2537" w:type="dxa"/>
          </w:tcPr>
          <w:p w14:paraId="1852D734" w14:textId="77777777" w:rsidR="0058304E" w:rsidRPr="00C81924" w:rsidRDefault="0058304E" w:rsidP="00FD54F5">
            <w:pPr>
              <w:spacing w:line="240" w:lineRule="auto"/>
              <w:jc w:val="center"/>
              <w:rPr>
                <w:rFonts w:cs="Times New Roman"/>
                <w:szCs w:val="24"/>
              </w:rPr>
            </w:pPr>
            <w:r w:rsidRPr="00C81924">
              <w:rPr>
                <w:rFonts w:cs="Times New Roman"/>
                <w:szCs w:val="24"/>
              </w:rPr>
              <w:t>38</w:t>
            </w:r>
          </w:p>
        </w:tc>
        <w:tc>
          <w:tcPr>
            <w:tcW w:w="3156" w:type="dxa"/>
            <w:shd w:val="clear" w:color="auto" w:fill="auto"/>
          </w:tcPr>
          <w:p w14:paraId="3D169FA9" w14:textId="77777777" w:rsidR="0058304E" w:rsidRPr="00C81924" w:rsidRDefault="0058304E" w:rsidP="00FD54F5">
            <w:pPr>
              <w:spacing w:line="240" w:lineRule="auto"/>
              <w:jc w:val="center"/>
              <w:rPr>
                <w:rFonts w:cs="Times New Roman"/>
                <w:szCs w:val="24"/>
              </w:rPr>
            </w:pPr>
            <w:r w:rsidRPr="00C81924">
              <w:rPr>
                <w:rFonts w:cs="Times New Roman"/>
                <w:szCs w:val="24"/>
              </w:rPr>
              <w:t>62.3</w:t>
            </w:r>
          </w:p>
        </w:tc>
      </w:tr>
      <w:tr w:rsidR="00C81924" w:rsidRPr="00C81924" w14:paraId="615AED2B" w14:textId="77777777" w:rsidTr="00F06ABF">
        <w:trPr>
          <w:trHeight w:val="490"/>
        </w:trPr>
        <w:tc>
          <w:tcPr>
            <w:tcW w:w="3778" w:type="dxa"/>
          </w:tcPr>
          <w:p w14:paraId="6E0A1C7E" w14:textId="77777777" w:rsidR="0058304E" w:rsidRPr="00C81924" w:rsidRDefault="0058304E" w:rsidP="00FD54F5">
            <w:pPr>
              <w:spacing w:line="240" w:lineRule="auto"/>
              <w:ind w:left="160"/>
              <w:jc w:val="both"/>
              <w:rPr>
                <w:rFonts w:cs="Times New Roman"/>
                <w:szCs w:val="24"/>
              </w:rPr>
            </w:pPr>
            <w:r w:rsidRPr="00C81924">
              <w:rPr>
                <w:rFonts w:cs="Times New Roman"/>
                <w:szCs w:val="24"/>
              </w:rPr>
              <w:t>High vaginal swab</w:t>
            </w:r>
          </w:p>
        </w:tc>
        <w:tc>
          <w:tcPr>
            <w:tcW w:w="2537" w:type="dxa"/>
          </w:tcPr>
          <w:p w14:paraId="14F3FB79" w14:textId="77777777" w:rsidR="0058304E" w:rsidRPr="00C81924" w:rsidRDefault="0058304E" w:rsidP="00FD54F5">
            <w:pPr>
              <w:spacing w:line="240" w:lineRule="auto"/>
              <w:jc w:val="center"/>
              <w:rPr>
                <w:rFonts w:cs="Times New Roman"/>
                <w:szCs w:val="24"/>
              </w:rPr>
            </w:pPr>
            <w:r w:rsidRPr="00C81924">
              <w:rPr>
                <w:rFonts w:cs="Times New Roman"/>
                <w:szCs w:val="24"/>
              </w:rPr>
              <w:t>15</w:t>
            </w:r>
          </w:p>
        </w:tc>
        <w:tc>
          <w:tcPr>
            <w:tcW w:w="3156" w:type="dxa"/>
            <w:shd w:val="clear" w:color="auto" w:fill="auto"/>
          </w:tcPr>
          <w:p w14:paraId="6F03016F" w14:textId="77777777" w:rsidR="0058304E" w:rsidRPr="00C81924" w:rsidRDefault="0058304E" w:rsidP="00FD54F5">
            <w:pPr>
              <w:spacing w:line="240" w:lineRule="auto"/>
              <w:jc w:val="center"/>
              <w:rPr>
                <w:rFonts w:cs="Times New Roman"/>
                <w:szCs w:val="24"/>
              </w:rPr>
            </w:pPr>
            <w:r w:rsidRPr="00C81924">
              <w:rPr>
                <w:rFonts w:cs="Times New Roman"/>
                <w:szCs w:val="24"/>
              </w:rPr>
              <w:t>24.6</w:t>
            </w:r>
          </w:p>
        </w:tc>
      </w:tr>
      <w:tr w:rsidR="00C81924" w:rsidRPr="00C81924" w14:paraId="437E7FA8" w14:textId="77777777" w:rsidTr="00F06ABF">
        <w:trPr>
          <w:trHeight w:val="472"/>
        </w:trPr>
        <w:tc>
          <w:tcPr>
            <w:tcW w:w="3778" w:type="dxa"/>
          </w:tcPr>
          <w:p w14:paraId="78496F8C"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537" w:type="dxa"/>
          </w:tcPr>
          <w:p w14:paraId="34494166" w14:textId="77777777" w:rsidR="0058304E" w:rsidRPr="00C81924" w:rsidRDefault="0058304E" w:rsidP="00FD54F5">
            <w:pPr>
              <w:spacing w:line="240" w:lineRule="auto"/>
              <w:jc w:val="center"/>
              <w:rPr>
                <w:rFonts w:cs="Times New Roman"/>
                <w:szCs w:val="24"/>
              </w:rPr>
            </w:pPr>
            <w:r w:rsidRPr="00C81924">
              <w:rPr>
                <w:rFonts w:cs="Times New Roman"/>
                <w:szCs w:val="24"/>
              </w:rPr>
              <w:t>61</w:t>
            </w:r>
          </w:p>
        </w:tc>
        <w:tc>
          <w:tcPr>
            <w:tcW w:w="3156" w:type="dxa"/>
            <w:shd w:val="clear" w:color="auto" w:fill="auto"/>
          </w:tcPr>
          <w:p w14:paraId="795EC37D"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bl>
    <w:p w14:paraId="3F05AC8C" w14:textId="77777777" w:rsidR="0058304E" w:rsidRPr="00C81924" w:rsidRDefault="0058304E" w:rsidP="00FD54F5">
      <w:pPr>
        <w:spacing w:line="240" w:lineRule="auto"/>
        <w:jc w:val="both"/>
        <w:rPr>
          <w:rFonts w:cs="Times New Roman"/>
          <w:szCs w:val="24"/>
        </w:rPr>
      </w:pPr>
    </w:p>
    <w:p w14:paraId="7B6AF3EC" w14:textId="5DA169CF" w:rsidR="0058304E" w:rsidRPr="00C81924" w:rsidRDefault="0058304E" w:rsidP="00BF0A2A">
      <w:pPr>
        <w:spacing w:line="240" w:lineRule="auto"/>
        <w:rPr>
          <w:rFonts w:cs="Times New Roman"/>
          <w:szCs w:val="24"/>
        </w:rPr>
      </w:pPr>
      <w:bookmarkStart w:id="19" w:name="_Toc163428598"/>
      <w:bookmarkStart w:id="20" w:name="_Hlk116309101"/>
      <w:bookmarkStart w:id="21" w:name="_Hlk121725357"/>
      <w:r w:rsidRPr="00C81924">
        <w:rPr>
          <w:rFonts w:eastAsiaTheme="majorEastAsia" w:cs="Times New Roman"/>
          <w:b/>
          <w:szCs w:val="24"/>
        </w:rPr>
        <w:t>Anti</w:t>
      </w:r>
      <w:r w:rsidR="00050515" w:rsidRPr="00C81924">
        <w:rPr>
          <w:rFonts w:eastAsiaTheme="majorEastAsia" w:cs="Times New Roman"/>
          <w:b/>
          <w:szCs w:val="24"/>
        </w:rPr>
        <w:t>biotic</w:t>
      </w:r>
      <w:r w:rsidRPr="00C81924">
        <w:rPr>
          <w:rFonts w:eastAsiaTheme="majorEastAsia" w:cs="Times New Roman"/>
          <w:b/>
          <w:szCs w:val="24"/>
        </w:rPr>
        <w:t xml:space="preserve"> </w:t>
      </w:r>
      <w:r w:rsidR="00050515" w:rsidRPr="00C81924">
        <w:rPr>
          <w:rFonts w:eastAsiaTheme="majorEastAsia" w:cs="Times New Roman"/>
          <w:b/>
          <w:szCs w:val="24"/>
        </w:rPr>
        <w:t>S</w:t>
      </w:r>
      <w:r w:rsidRPr="00C81924">
        <w:rPr>
          <w:rFonts w:eastAsiaTheme="majorEastAsia" w:cs="Times New Roman"/>
          <w:b/>
          <w:szCs w:val="24"/>
        </w:rPr>
        <w:t xml:space="preserve">usceptibility pattern of </w:t>
      </w:r>
      <w:r w:rsidRPr="00C81924">
        <w:rPr>
          <w:rFonts w:eastAsiaTheme="majorEastAsia" w:cs="Times New Roman"/>
          <w:b/>
          <w:i/>
          <w:iCs/>
          <w:szCs w:val="24"/>
        </w:rPr>
        <w:t xml:space="preserve">E. coli </w:t>
      </w:r>
      <w:r w:rsidRPr="00C81924">
        <w:rPr>
          <w:rFonts w:eastAsiaTheme="majorEastAsia" w:cs="Times New Roman"/>
          <w:b/>
          <w:szCs w:val="24"/>
        </w:rPr>
        <w:t xml:space="preserve">isolates from the </w:t>
      </w:r>
      <w:r w:rsidR="00050515" w:rsidRPr="00C81924">
        <w:rPr>
          <w:rFonts w:eastAsiaTheme="majorEastAsia" w:cs="Times New Roman"/>
          <w:b/>
          <w:szCs w:val="24"/>
        </w:rPr>
        <w:t>C</w:t>
      </w:r>
      <w:r w:rsidRPr="00C81924">
        <w:rPr>
          <w:rFonts w:eastAsiaTheme="majorEastAsia" w:cs="Times New Roman"/>
          <w:b/>
          <w:szCs w:val="24"/>
        </w:rPr>
        <w:t xml:space="preserve">linical </w:t>
      </w:r>
      <w:r w:rsidR="00050515" w:rsidRPr="00C81924">
        <w:rPr>
          <w:rFonts w:eastAsiaTheme="majorEastAsia" w:cs="Times New Roman"/>
          <w:b/>
          <w:szCs w:val="24"/>
        </w:rPr>
        <w:t>S</w:t>
      </w:r>
      <w:r w:rsidRPr="00C81924">
        <w:rPr>
          <w:rFonts w:eastAsiaTheme="majorEastAsia" w:cs="Times New Roman"/>
          <w:b/>
          <w:szCs w:val="24"/>
        </w:rPr>
        <w:t>amples</w:t>
      </w:r>
      <w:bookmarkEnd w:id="19"/>
    </w:p>
    <w:bookmarkEnd w:id="20"/>
    <w:bookmarkEnd w:id="21"/>
    <w:p w14:paraId="511C8BC3" w14:textId="70A2EE7B" w:rsidR="0058304E" w:rsidRPr="00C81924" w:rsidRDefault="0058304E" w:rsidP="00FD54F5">
      <w:pPr>
        <w:spacing w:line="240" w:lineRule="auto"/>
        <w:jc w:val="both"/>
        <w:rPr>
          <w:rFonts w:cs="Times New Roman"/>
          <w:szCs w:val="24"/>
        </w:rPr>
      </w:pPr>
      <w:r w:rsidRPr="00C81924">
        <w:rPr>
          <w:rFonts w:cs="Times New Roman"/>
          <w:szCs w:val="24"/>
        </w:rPr>
        <w:t>The ant</w:t>
      </w:r>
      <w:r w:rsidR="00050515" w:rsidRPr="00C81924">
        <w:rPr>
          <w:rFonts w:cs="Times New Roman"/>
          <w:szCs w:val="24"/>
        </w:rPr>
        <w:t>ibiotic</w:t>
      </w:r>
      <w:r w:rsidRPr="00C81924">
        <w:rPr>
          <w:rFonts w:cs="Times New Roman"/>
          <w:szCs w:val="24"/>
        </w:rPr>
        <w:t xml:space="preserve"> susceptibility pattern of </w:t>
      </w:r>
      <w:r w:rsidRPr="00C81924">
        <w:rPr>
          <w:rFonts w:cs="Times New Roman"/>
          <w:i/>
          <w:iCs/>
          <w:szCs w:val="24"/>
        </w:rPr>
        <w:t>E. coli</w:t>
      </w:r>
      <w:r w:rsidRPr="00C81924">
        <w:rPr>
          <w:rFonts w:cs="Times New Roman"/>
          <w:szCs w:val="24"/>
        </w:rPr>
        <w:t xml:space="preserve"> isolates from the clinical samples is presented in Table 4</w:t>
      </w:r>
      <w:r w:rsidR="00050515" w:rsidRPr="00C81924">
        <w:rPr>
          <w:rFonts w:cs="Times New Roman"/>
          <w:szCs w:val="24"/>
        </w:rPr>
        <w:t>.</w:t>
      </w:r>
    </w:p>
    <w:p w14:paraId="4F2A8863"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Among the 61 </w:t>
      </w:r>
      <w:r w:rsidRPr="00C81924">
        <w:rPr>
          <w:rFonts w:cs="Times New Roman"/>
          <w:i/>
          <w:iCs/>
          <w:szCs w:val="24"/>
        </w:rPr>
        <w:t>E. coli</w:t>
      </w:r>
      <w:r w:rsidRPr="00C81924">
        <w:rPr>
          <w:rFonts w:cs="Times New Roman"/>
          <w:szCs w:val="24"/>
        </w:rPr>
        <w:t xml:space="preserve"> isolates tested, 49 (80.3%) were sensitive to amikacin, while 12 isolates (19.6%) were resistant to this antibiotic. Similarly, 48 isolates (78.7%) were sensitive to gentamicin, with 13 isolates (21.3%) showing resistance.</w:t>
      </w:r>
    </w:p>
    <w:p w14:paraId="2DBF21EC" w14:textId="77777777" w:rsidR="0058304E" w:rsidRPr="00C81924" w:rsidRDefault="0058304E" w:rsidP="00FD54F5">
      <w:pPr>
        <w:spacing w:line="240" w:lineRule="auto"/>
        <w:jc w:val="both"/>
        <w:rPr>
          <w:rFonts w:cs="Times New Roman"/>
          <w:szCs w:val="24"/>
        </w:rPr>
      </w:pPr>
      <w:r w:rsidRPr="00C81924">
        <w:rPr>
          <w:rFonts w:cs="Times New Roman"/>
          <w:szCs w:val="24"/>
        </w:rPr>
        <w:t>In terms of cephalosporins, 28 isolates (45.9%) were sensitive to cefepime, while 33 isolates (54.1%) were resistant. For cefuroxime sodium, 27 isolates (44.3%) were sensitive, while 34 isolates (55.7%) were resistant.</w:t>
      </w:r>
    </w:p>
    <w:p w14:paraId="18851A0D" w14:textId="77777777" w:rsidR="0058304E" w:rsidRPr="00C81924" w:rsidRDefault="0058304E" w:rsidP="00FD54F5">
      <w:pPr>
        <w:spacing w:line="240" w:lineRule="auto"/>
        <w:jc w:val="both"/>
        <w:rPr>
          <w:rFonts w:cs="Times New Roman"/>
          <w:szCs w:val="24"/>
        </w:rPr>
      </w:pPr>
      <w:r w:rsidRPr="00C81924">
        <w:rPr>
          <w:rFonts w:cs="Times New Roman"/>
          <w:szCs w:val="24"/>
        </w:rPr>
        <w:t>For fluoroquinolones, 26 isolates (42.6%) were sensitive to ofloxacin, while 35 isolates (57.4%) were resistant. Similarly, 27 isolates (44.3%) were sensitive to ciprofloxacin, with 34 isolates (55.7%) being resistant.</w:t>
      </w:r>
    </w:p>
    <w:p w14:paraId="45452ADB" w14:textId="77777777" w:rsidR="0058304E" w:rsidRPr="00C81924" w:rsidRDefault="0058304E" w:rsidP="00FD54F5">
      <w:pPr>
        <w:spacing w:line="240" w:lineRule="auto"/>
        <w:jc w:val="both"/>
        <w:rPr>
          <w:rFonts w:cs="Times New Roman"/>
          <w:szCs w:val="24"/>
        </w:rPr>
      </w:pPr>
      <w:r w:rsidRPr="00C81924">
        <w:rPr>
          <w:rFonts w:cs="Times New Roman"/>
          <w:szCs w:val="24"/>
        </w:rPr>
        <w:t>Cefpodoxime showed lower sensitivity, with only 15 isolates (24.6%) being sensitive and 46 isolates (75.4%) being resistant. Ceftazidime exhibited a sensitivity rate of 36.1%, with 22 isolates being sensitive and 39 isolates (63.9%) being resistant.</w:t>
      </w:r>
    </w:p>
    <w:p w14:paraId="0989EE00" w14:textId="77777777" w:rsidR="0058304E" w:rsidRPr="00C81924" w:rsidRDefault="0058304E" w:rsidP="00FD54F5">
      <w:pPr>
        <w:spacing w:line="240" w:lineRule="auto"/>
        <w:jc w:val="both"/>
        <w:rPr>
          <w:rFonts w:cs="Times New Roman"/>
          <w:szCs w:val="24"/>
        </w:rPr>
      </w:pPr>
      <w:r w:rsidRPr="00C81924">
        <w:rPr>
          <w:rFonts w:cs="Times New Roman"/>
          <w:szCs w:val="24"/>
        </w:rPr>
        <w:t>Only 4 isolates (6.6%) were sensitive to amoxicillin + clavulanic acid, while 57 isolates (93.4%) were resistant. Cefotaxime showed a sensitivity rate of 22.9%, with 14 isolates being sensitive and 47 isolates (77.1%) being resistant.</w:t>
      </w:r>
    </w:p>
    <w:p w14:paraId="0B7C32B2"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Remarkably, all 61 </w:t>
      </w:r>
      <w:r w:rsidRPr="00C81924">
        <w:rPr>
          <w:rFonts w:cs="Times New Roman"/>
          <w:i/>
          <w:iCs/>
          <w:szCs w:val="24"/>
        </w:rPr>
        <w:t>E. coli</w:t>
      </w:r>
      <w:r w:rsidRPr="00C81924">
        <w:rPr>
          <w:rFonts w:cs="Times New Roman"/>
          <w:szCs w:val="24"/>
        </w:rPr>
        <w:t xml:space="preserve"> isolates were sensitive to imipenem, representing 100% sensitivity to this carbapenem antibiotic. However, 12 isolates (19.7%) were sensitive to tetracycline, while 49 isolates (80.3%) were resistant.</w:t>
      </w:r>
    </w:p>
    <w:p w14:paraId="2B6D1212" w14:textId="77777777" w:rsidR="00135198" w:rsidRPr="00C81924" w:rsidRDefault="00135198" w:rsidP="00FD54F5">
      <w:pPr>
        <w:spacing w:line="240" w:lineRule="auto"/>
        <w:jc w:val="both"/>
        <w:rPr>
          <w:rFonts w:cs="Times New Roman"/>
          <w:szCs w:val="24"/>
        </w:rPr>
      </w:pPr>
    </w:p>
    <w:p w14:paraId="4B81D864" w14:textId="77777777" w:rsidR="00135198" w:rsidRPr="00C81924" w:rsidRDefault="00135198" w:rsidP="00FD54F5">
      <w:pPr>
        <w:spacing w:line="240" w:lineRule="auto"/>
        <w:jc w:val="both"/>
        <w:rPr>
          <w:rFonts w:cs="Times New Roman"/>
          <w:szCs w:val="24"/>
        </w:rPr>
      </w:pPr>
    </w:p>
    <w:p w14:paraId="6694B44E" w14:textId="77777777" w:rsidR="00135198" w:rsidRPr="00C81924" w:rsidRDefault="00135198" w:rsidP="00FD54F5">
      <w:pPr>
        <w:spacing w:line="240" w:lineRule="auto"/>
        <w:jc w:val="both"/>
        <w:rPr>
          <w:rFonts w:cs="Times New Roman"/>
          <w:szCs w:val="24"/>
        </w:rPr>
      </w:pPr>
    </w:p>
    <w:p w14:paraId="38A5F46F" w14:textId="77777777" w:rsidR="00135198" w:rsidRPr="00C81924" w:rsidRDefault="00135198" w:rsidP="00FD54F5">
      <w:pPr>
        <w:spacing w:line="240" w:lineRule="auto"/>
        <w:jc w:val="both"/>
        <w:rPr>
          <w:rFonts w:cs="Times New Roman"/>
          <w:szCs w:val="24"/>
        </w:rPr>
      </w:pPr>
    </w:p>
    <w:p w14:paraId="5D1565CC" w14:textId="77777777" w:rsidR="00135198" w:rsidRPr="00C81924" w:rsidRDefault="00135198" w:rsidP="00FD54F5">
      <w:pPr>
        <w:spacing w:line="240" w:lineRule="auto"/>
        <w:jc w:val="both"/>
        <w:rPr>
          <w:rFonts w:cs="Times New Roman"/>
          <w:szCs w:val="24"/>
        </w:rPr>
      </w:pPr>
    </w:p>
    <w:p w14:paraId="27D4AC59" w14:textId="77777777" w:rsidR="00135198" w:rsidRPr="00C81924" w:rsidRDefault="00135198" w:rsidP="00FD54F5">
      <w:pPr>
        <w:spacing w:line="240" w:lineRule="auto"/>
        <w:jc w:val="both"/>
        <w:rPr>
          <w:rFonts w:cs="Times New Roman"/>
          <w:szCs w:val="24"/>
        </w:rPr>
      </w:pPr>
    </w:p>
    <w:p w14:paraId="719CFD73" w14:textId="77777777" w:rsidR="00135198" w:rsidRPr="00C81924" w:rsidRDefault="00135198" w:rsidP="00FD54F5">
      <w:pPr>
        <w:spacing w:line="240" w:lineRule="auto"/>
        <w:jc w:val="both"/>
        <w:rPr>
          <w:rFonts w:cs="Times New Roman"/>
          <w:szCs w:val="24"/>
        </w:rPr>
      </w:pPr>
    </w:p>
    <w:p w14:paraId="54CB1037" w14:textId="163FDCEF" w:rsidR="0058304E" w:rsidRPr="00C81924" w:rsidRDefault="0058304E" w:rsidP="005F0536">
      <w:pPr>
        <w:spacing w:line="240" w:lineRule="auto"/>
        <w:rPr>
          <w:rFonts w:cs="Times New Roman"/>
          <w:szCs w:val="24"/>
        </w:rPr>
      </w:pPr>
      <w:r w:rsidRPr="00C81924">
        <w:rPr>
          <w:rFonts w:cs="Times New Roman"/>
          <w:b/>
          <w:bCs/>
          <w:szCs w:val="24"/>
        </w:rPr>
        <w:t xml:space="preserve">Table 4: </w:t>
      </w:r>
      <w:bookmarkStart w:id="22" w:name="_Hlk116315066"/>
      <w:r w:rsidRPr="00C81924">
        <w:rPr>
          <w:rFonts w:cs="Times New Roman"/>
          <w:b/>
          <w:bCs/>
          <w:szCs w:val="24"/>
          <w:lang w:val="en-GB"/>
        </w:rPr>
        <w:t>Anti</w:t>
      </w:r>
      <w:r w:rsidR="005548B7" w:rsidRPr="00C81924">
        <w:rPr>
          <w:rFonts w:cs="Times New Roman"/>
          <w:b/>
          <w:bCs/>
          <w:szCs w:val="24"/>
          <w:lang w:val="en-GB"/>
        </w:rPr>
        <w:t>biotic</w:t>
      </w:r>
      <w:r w:rsidRPr="00C81924">
        <w:rPr>
          <w:rFonts w:cs="Times New Roman"/>
          <w:b/>
          <w:bCs/>
          <w:szCs w:val="24"/>
          <w:lang w:val="en-GB"/>
        </w:rPr>
        <w:t xml:space="preserve"> </w:t>
      </w:r>
      <w:r w:rsidR="005548B7" w:rsidRPr="00C81924">
        <w:rPr>
          <w:rFonts w:cs="Times New Roman"/>
          <w:b/>
          <w:bCs/>
          <w:szCs w:val="24"/>
          <w:lang w:val="en-GB"/>
        </w:rPr>
        <w:t>S</w:t>
      </w:r>
      <w:r w:rsidRPr="00C81924">
        <w:rPr>
          <w:rFonts w:cs="Times New Roman"/>
          <w:b/>
          <w:bCs/>
          <w:szCs w:val="24"/>
          <w:lang w:val="en-GB"/>
        </w:rPr>
        <w:t xml:space="preserve">usceptibility </w:t>
      </w:r>
      <w:r w:rsidR="005548B7" w:rsidRPr="00C81924">
        <w:rPr>
          <w:rFonts w:cs="Times New Roman"/>
          <w:b/>
          <w:bCs/>
          <w:szCs w:val="24"/>
          <w:lang w:val="en-GB"/>
        </w:rPr>
        <w:t>P</w:t>
      </w:r>
      <w:r w:rsidRPr="00C81924">
        <w:rPr>
          <w:rFonts w:cs="Times New Roman"/>
          <w:b/>
          <w:bCs/>
          <w:szCs w:val="24"/>
          <w:lang w:val="en-GB"/>
        </w:rPr>
        <w:t xml:space="preserve">attern of </w:t>
      </w:r>
      <w:proofErr w:type="gramStart"/>
      <w:r w:rsidRPr="00C81924">
        <w:rPr>
          <w:b/>
          <w:bCs/>
          <w:i/>
          <w:iCs/>
          <w:szCs w:val="24"/>
        </w:rPr>
        <w:t>E.coli</w:t>
      </w:r>
      <w:proofErr w:type="gramEnd"/>
      <w:r w:rsidRPr="00C81924">
        <w:rPr>
          <w:rFonts w:cs="Times New Roman"/>
          <w:b/>
          <w:bCs/>
          <w:szCs w:val="24"/>
          <w:lang w:val="en-GB"/>
        </w:rPr>
        <w:t xml:space="preserve"> isolates from the </w:t>
      </w:r>
      <w:bookmarkEnd w:id="22"/>
      <w:r w:rsidR="005548B7" w:rsidRPr="00C81924">
        <w:rPr>
          <w:rFonts w:cs="Times New Roman"/>
          <w:b/>
          <w:bCs/>
          <w:szCs w:val="24"/>
          <w:lang w:val="en-GB"/>
        </w:rPr>
        <w:t>C</w:t>
      </w:r>
      <w:r w:rsidRPr="00C81924">
        <w:rPr>
          <w:rFonts w:cs="Times New Roman"/>
          <w:b/>
          <w:bCs/>
          <w:szCs w:val="24"/>
          <w:lang w:val="en-GB"/>
        </w:rPr>
        <w:t xml:space="preserve">linical </w:t>
      </w:r>
      <w:r w:rsidR="005548B7" w:rsidRPr="00C81924">
        <w:rPr>
          <w:rFonts w:cs="Times New Roman"/>
          <w:b/>
          <w:bCs/>
          <w:szCs w:val="24"/>
          <w:lang w:val="en-GB"/>
        </w:rPr>
        <w:t>S</w:t>
      </w:r>
      <w:r w:rsidRPr="00C81924">
        <w:rPr>
          <w:rFonts w:cs="Times New Roman"/>
          <w:b/>
          <w:bCs/>
          <w:szCs w:val="24"/>
          <w:lang w:val="en-GB"/>
        </w:rPr>
        <w:t>amples</w:t>
      </w:r>
    </w:p>
    <w:tbl>
      <w:tblPr>
        <w:tblStyle w:val="TableGrid2"/>
        <w:tblW w:w="10348" w:type="dxa"/>
        <w:tblInd w:w="-5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693"/>
        <w:gridCol w:w="1560"/>
        <w:gridCol w:w="1417"/>
      </w:tblGrid>
      <w:tr w:rsidR="0058304E" w:rsidRPr="00C81924" w14:paraId="73745B74" w14:textId="77777777" w:rsidTr="00F06ABF">
        <w:trPr>
          <w:trHeight w:val="572"/>
        </w:trPr>
        <w:tc>
          <w:tcPr>
            <w:tcW w:w="4678" w:type="dxa"/>
            <w:vMerge w:val="restart"/>
          </w:tcPr>
          <w:p w14:paraId="0D39E3ED" w14:textId="77777777" w:rsidR="0058304E" w:rsidRPr="00C81924" w:rsidRDefault="0058304E" w:rsidP="00FD54F5">
            <w:pPr>
              <w:spacing w:line="240" w:lineRule="auto"/>
              <w:jc w:val="both"/>
              <w:rPr>
                <w:b/>
                <w:bCs/>
                <w:szCs w:val="24"/>
              </w:rPr>
            </w:pPr>
            <w:r w:rsidRPr="00C81924">
              <w:rPr>
                <w:b/>
                <w:bCs/>
                <w:szCs w:val="24"/>
              </w:rPr>
              <w:lastRenderedPageBreak/>
              <w:t>Antibiotics</w:t>
            </w:r>
          </w:p>
          <w:p w14:paraId="00E9BBB1" w14:textId="77777777" w:rsidR="0058304E" w:rsidRPr="00C81924" w:rsidRDefault="0058304E" w:rsidP="00FD54F5">
            <w:pPr>
              <w:spacing w:line="240" w:lineRule="auto"/>
              <w:jc w:val="both"/>
              <w:rPr>
                <w:b/>
                <w:bCs/>
                <w:szCs w:val="24"/>
              </w:rPr>
            </w:pPr>
            <w:r w:rsidRPr="00C81924">
              <w:rPr>
                <w:b/>
                <w:bCs/>
                <w:szCs w:val="24"/>
              </w:rPr>
              <w:t>(Zone of Inhibition Range in mm)</w:t>
            </w:r>
          </w:p>
        </w:tc>
        <w:tc>
          <w:tcPr>
            <w:tcW w:w="2693" w:type="dxa"/>
            <w:vMerge w:val="restart"/>
          </w:tcPr>
          <w:p w14:paraId="21D21872" w14:textId="77777777" w:rsidR="0058304E" w:rsidRPr="00C81924" w:rsidRDefault="0058304E" w:rsidP="00FD54F5">
            <w:pPr>
              <w:spacing w:line="240" w:lineRule="auto"/>
              <w:jc w:val="center"/>
              <w:rPr>
                <w:b/>
                <w:bCs/>
                <w:szCs w:val="24"/>
              </w:rPr>
            </w:pPr>
            <w:r w:rsidRPr="00C81924">
              <w:rPr>
                <w:b/>
                <w:bCs/>
                <w:szCs w:val="24"/>
              </w:rPr>
              <w:t>Antibiotic Class</w:t>
            </w:r>
          </w:p>
        </w:tc>
        <w:tc>
          <w:tcPr>
            <w:tcW w:w="2977" w:type="dxa"/>
            <w:gridSpan w:val="2"/>
            <w:tcBorders>
              <w:bottom w:val="single" w:sz="4" w:space="0" w:color="auto"/>
            </w:tcBorders>
          </w:tcPr>
          <w:p w14:paraId="14008829" w14:textId="737111DC" w:rsidR="0058304E" w:rsidRPr="00C81924" w:rsidRDefault="00123C50" w:rsidP="00FD54F5">
            <w:pPr>
              <w:spacing w:line="240" w:lineRule="auto"/>
              <w:jc w:val="center"/>
              <w:rPr>
                <w:b/>
                <w:bCs/>
                <w:szCs w:val="24"/>
              </w:rPr>
            </w:pPr>
            <w:r w:rsidRPr="00C81924">
              <w:rPr>
                <w:b/>
                <w:bCs/>
                <w:i/>
                <w:iCs/>
                <w:szCs w:val="24"/>
              </w:rPr>
              <w:t>E. coli</w:t>
            </w:r>
            <w:r w:rsidR="0058304E" w:rsidRPr="00C81924">
              <w:rPr>
                <w:b/>
                <w:bCs/>
                <w:i/>
                <w:iCs/>
                <w:szCs w:val="24"/>
              </w:rPr>
              <w:t xml:space="preserve"> </w:t>
            </w:r>
            <w:r w:rsidR="0058304E" w:rsidRPr="00C81924">
              <w:rPr>
                <w:b/>
                <w:bCs/>
                <w:szCs w:val="24"/>
              </w:rPr>
              <w:t>Isolates (N = 61)</w:t>
            </w:r>
          </w:p>
        </w:tc>
      </w:tr>
      <w:tr w:rsidR="0058304E" w:rsidRPr="00C81924" w14:paraId="7CE0F3BB" w14:textId="77777777" w:rsidTr="00F06ABF">
        <w:trPr>
          <w:trHeight w:val="457"/>
        </w:trPr>
        <w:tc>
          <w:tcPr>
            <w:tcW w:w="4678" w:type="dxa"/>
            <w:vMerge/>
            <w:tcBorders>
              <w:bottom w:val="single" w:sz="4" w:space="0" w:color="auto"/>
            </w:tcBorders>
          </w:tcPr>
          <w:p w14:paraId="51E56F6E" w14:textId="77777777" w:rsidR="0058304E" w:rsidRPr="00C81924" w:rsidRDefault="0058304E" w:rsidP="00FD54F5">
            <w:pPr>
              <w:spacing w:line="240" w:lineRule="auto"/>
              <w:jc w:val="both"/>
              <w:rPr>
                <w:b/>
                <w:bCs/>
                <w:szCs w:val="24"/>
              </w:rPr>
            </w:pPr>
          </w:p>
        </w:tc>
        <w:tc>
          <w:tcPr>
            <w:tcW w:w="2693" w:type="dxa"/>
            <w:vMerge/>
            <w:tcBorders>
              <w:bottom w:val="single" w:sz="4" w:space="0" w:color="auto"/>
            </w:tcBorders>
          </w:tcPr>
          <w:p w14:paraId="69F0C1F9" w14:textId="77777777" w:rsidR="0058304E" w:rsidRPr="00C81924" w:rsidRDefault="0058304E" w:rsidP="00FD54F5">
            <w:pPr>
              <w:spacing w:line="240" w:lineRule="auto"/>
              <w:jc w:val="center"/>
              <w:rPr>
                <w:b/>
                <w:bCs/>
                <w:szCs w:val="24"/>
              </w:rPr>
            </w:pPr>
          </w:p>
        </w:tc>
        <w:tc>
          <w:tcPr>
            <w:tcW w:w="1560" w:type="dxa"/>
            <w:tcBorders>
              <w:top w:val="single" w:sz="4" w:space="0" w:color="auto"/>
              <w:bottom w:val="single" w:sz="4" w:space="0" w:color="auto"/>
            </w:tcBorders>
          </w:tcPr>
          <w:p w14:paraId="544E66B1" w14:textId="77777777" w:rsidR="0058304E" w:rsidRPr="00C81924" w:rsidRDefault="0058304E" w:rsidP="00FD54F5">
            <w:pPr>
              <w:spacing w:line="240" w:lineRule="auto"/>
              <w:jc w:val="center"/>
              <w:rPr>
                <w:b/>
                <w:bCs/>
                <w:szCs w:val="24"/>
              </w:rPr>
            </w:pPr>
            <w:r w:rsidRPr="00C81924">
              <w:rPr>
                <w:b/>
                <w:bCs/>
                <w:szCs w:val="24"/>
              </w:rPr>
              <w:t>Sensitive (%)</w:t>
            </w:r>
          </w:p>
        </w:tc>
        <w:tc>
          <w:tcPr>
            <w:tcW w:w="1417" w:type="dxa"/>
            <w:tcBorders>
              <w:top w:val="single" w:sz="4" w:space="0" w:color="auto"/>
              <w:bottom w:val="single" w:sz="4" w:space="0" w:color="auto"/>
            </w:tcBorders>
          </w:tcPr>
          <w:p w14:paraId="5EC66A18" w14:textId="77777777" w:rsidR="0058304E" w:rsidRPr="00C81924" w:rsidRDefault="0058304E" w:rsidP="00FD54F5">
            <w:pPr>
              <w:spacing w:line="240" w:lineRule="auto"/>
              <w:jc w:val="center"/>
              <w:rPr>
                <w:b/>
                <w:bCs/>
                <w:szCs w:val="24"/>
              </w:rPr>
            </w:pPr>
            <w:r w:rsidRPr="00C81924">
              <w:rPr>
                <w:b/>
                <w:bCs/>
                <w:szCs w:val="24"/>
              </w:rPr>
              <w:t>Resistant (%)</w:t>
            </w:r>
          </w:p>
        </w:tc>
      </w:tr>
      <w:tr w:rsidR="0058304E" w:rsidRPr="00C81924" w14:paraId="401383D0" w14:textId="77777777" w:rsidTr="00F06ABF">
        <w:trPr>
          <w:trHeight w:val="777"/>
        </w:trPr>
        <w:tc>
          <w:tcPr>
            <w:tcW w:w="4678" w:type="dxa"/>
            <w:tcBorders>
              <w:top w:val="single" w:sz="4" w:space="0" w:color="auto"/>
            </w:tcBorders>
          </w:tcPr>
          <w:p w14:paraId="5CF3450B" w14:textId="77777777" w:rsidR="0058304E" w:rsidRPr="00C81924" w:rsidRDefault="0058304E" w:rsidP="00FD54F5">
            <w:pPr>
              <w:spacing w:line="240" w:lineRule="auto"/>
              <w:jc w:val="both"/>
              <w:rPr>
                <w:szCs w:val="24"/>
              </w:rPr>
            </w:pPr>
            <w:bookmarkStart w:id="23" w:name="_Hlk116315901"/>
            <w:r w:rsidRPr="00C81924">
              <w:rPr>
                <w:szCs w:val="24"/>
              </w:rPr>
              <w:t xml:space="preserve">Amikacin 30 µg (AK) </w:t>
            </w:r>
          </w:p>
          <w:p w14:paraId="7BAC976D" w14:textId="77777777" w:rsidR="0058304E" w:rsidRPr="00C81924" w:rsidRDefault="0058304E" w:rsidP="00FD54F5">
            <w:pPr>
              <w:spacing w:line="240" w:lineRule="auto"/>
              <w:jc w:val="both"/>
              <w:rPr>
                <w:szCs w:val="24"/>
              </w:rPr>
            </w:pPr>
            <w:r w:rsidRPr="00C81924">
              <w:rPr>
                <w:szCs w:val="24"/>
              </w:rPr>
              <w:t>(&lt; 18 = R; ≥ 18 = S)</w:t>
            </w:r>
          </w:p>
        </w:tc>
        <w:tc>
          <w:tcPr>
            <w:tcW w:w="2693" w:type="dxa"/>
            <w:tcBorders>
              <w:top w:val="single" w:sz="4" w:space="0" w:color="auto"/>
            </w:tcBorders>
          </w:tcPr>
          <w:p w14:paraId="273A2809" w14:textId="77777777" w:rsidR="0058304E" w:rsidRPr="00C81924" w:rsidRDefault="0058304E" w:rsidP="00FD54F5">
            <w:pPr>
              <w:spacing w:line="240" w:lineRule="auto"/>
              <w:jc w:val="center"/>
              <w:rPr>
                <w:szCs w:val="24"/>
              </w:rPr>
            </w:pPr>
            <w:r w:rsidRPr="00C81924">
              <w:t>Aminoglycoside</w:t>
            </w:r>
          </w:p>
        </w:tc>
        <w:tc>
          <w:tcPr>
            <w:tcW w:w="1560" w:type="dxa"/>
            <w:tcBorders>
              <w:top w:val="single" w:sz="4" w:space="0" w:color="auto"/>
            </w:tcBorders>
          </w:tcPr>
          <w:p w14:paraId="7D1EA96C" w14:textId="77777777" w:rsidR="0058304E" w:rsidRPr="00C81924" w:rsidRDefault="0058304E" w:rsidP="00FD54F5">
            <w:pPr>
              <w:spacing w:line="240" w:lineRule="auto"/>
              <w:jc w:val="center"/>
              <w:rPr>
                <w:szCs w:val="24"/>
              </w:rPr>
            </w:pPr>
            <w:r w:rsidRPr="00C81924">
              <w:rPr>
                <w:szCs w:val="24"/>
              </w:rPr>
              <w:t>49 (80.3)</w:t>
            </w:r>
          </w:p>
        </w:tc>
        <w:tc>
          <w:tcPr>
            <w:tcW w:w="1417" w:type="dxa"/>
            <w:tcBorders>
              <w:top w:val="single" w:sz="4" w:space="0" w:color="auto"/>
            </w:tcBorders>
          </w:tcPr>
          <w:p w14:paraId="1C56915E" w14:textId="77777777" w:rsidR="0058304E" w:rsidRPr="00C81924" w:rsidRDefault="0058304E" w:rsidP="00FD54F5">
            <w:pPr>
              <w:spacing w:line="240" w:lineRule="auto"/>
              <w:jc w:val="center"/>
              <w:rPr>
                <w:szCs w:val="24"/>
              </w:rPr>
            </w:pPr>
            <w:r w:rsidRPr="00C81924">
              <w:rPr>
                <w:szCs w:val="24"/>
              </w:rPr>
              <w:t>12 (19.6)</w:t>
            </w:r>
          </w:p>
        </w:tc>
      </w:tr>
      <w:tr w:rsidR="0058304E" w:rsidRPr="00C81924" w14:paraId="7D7FB934" w14:textId="77777777" w:rsidTr="00F06ABF">
        <w:trPr>
          <w:trHeight w:val="854"/>
        </w:trPr>
        <w:tc>
          <w:tcPr>
            <w:tcW w:w="4678" w:type="dxa"/>
          </w:tcPr>
          <w:p w14:paraId="47B49309" w14:textId="77777777" w:rsidR="0058304E" w:rsidRPr="00C81924" w:rsidRDefault="0058304E" w:rsidP="00FD54F5">
            <w:pPr>
              <w:spacing w:line="240" w:lineRule="auto"/>
              <w:jc w:val="both"/>
              <w:rPr>
                <w:szCs w:val="24"/>
              </w:rPr>
            </w:pPr>
            <w:r w:rsidRPr="00C81924">
              <w:rPr>
                <w:szCs w:val="24"/>
              </w:rPr>
              <w:t xml:space="preserve">Gentamicin 120 µg (CN) </w:t>
            </w:r>
          </w:p>
          <w:p w14:paraId="75799D41" w14:textId="77777777" w:rsidR="0058304E" w:rsidRPr="00C81924" w:rsidRDefault="0058304E" w:rsidP="00FD54F5">
            <w:pPr>
              <w:spacing w:line="240" w:lineRule="auto"/>
              <w:jc w:val="both"/>
              <w:rPr>
                <w:szCs w:val="24"/>
              </w:rPr>
            </w:pPr>
            <w:r w:rsidRPr="00C81924">
              <w:rPr>
                <w:szCs w:val="24"/>
              </w:rPr>
              <w:t>(&lt; 17 = R; ≥ 17 = S)</w:t>
            </w:r>
          </w:p>
        </w:tc>
        <w:tc>
          <w:tcPr>
            <w:tcW w:w="2693" w:type="dxa"/>
          </w:tcPr>
          <w:p w14:paraId="5592B069" w14:textId="77777777" w:rsidR="0058304E" w:rsidRPr="00C81924" w:rsidRDefault="0058304E" w:rsidP="00FD54F5">
            <w:pPr>
              <w:spacing w:line="240" w:lineRule="auto"/>
              <w:jc w:val="center"/>
              <w:rPr>
                <w:szCs w:val="24"/>
              </w:rPr>
            </w:pPr>
            <w:r w:rsidRPr="00C81924">
              <w:t>Aminoglycoside</w:t>
            </w:r>
          </w:p>
        </w:tc>
        <w:tc>
          <w:tcPr>
            <w:tcW w:w="1560" w:type="dxa"/>
          </w:tcPr>
          <w:p w14:paraId="77869843" w14:textId="77777777" w:rsidR="0058304E" w:rsidRPr="00C81924" w:rsidRDefault="0058304E" w:rsidP="00FD54F5">
            <w:pPr>
              <w:spacing w:line="240" w:lineRule="auto"/>
              <w:jc w:val="center"/>
              <w:rPr>
                <w:szCs w:val="24"/>
              </w:rPr>
            </w:pPr>
            <w:r w:rsidRPr="00C81924">
              <w:rPr>
                <w:szCs w:val="24"/>
              </w:rPr>
              <w:t>48 (78.7)</w:t>
            </w:r>
          </w:p>
        </w:tc>
        <w:tc>
          <w:tcPr>
            <w:tcW w:w="1417" w:type="dxa"/>
          </w:tcPr>
          <w:p w14:paraId="018C46AB" w14:textId="77777777" w:rsidR="0058304E" w:rsidRPr="00C81924" w:rsidRDefault="0058304E" w:rsidP="00FD54F5">
            <w:pPr>
              <w:spacing w:line="240" w:lineRule="auto"/>
              <w:jc w:val="center"/>
              <w:rPr>
                <w:szCs w:val="24"/>
              </w:rPr>
            </w:pPr>
            <w:r w:rsidRPr="00C81924">
              <w:rPr>
                <w:szCs w:val="24"/>
              </w:rPr>
              <w:t>13 (21.3)</w:t>
            </w:r>
          </w:p>
        </w:tc>
      </w:tr>
      <w:tr w:rsidR="0058304E" w:rsidRPr="00C81924" w14:paraId="5EC3BDB6" w14:textId="77777777" w:rsidTr="00F06ABF">
        <w:trPr>
          <w:trHeight w:val="852"/>
        </w:trPr>
        <w:tc>
          <w:tcPr>
            <w:tcW w:w="4678" w:type="dxa"/>
          </w:tcPr>
          <w:p w14:paraId="27F0EABE" w14:textId="77777777" w:rsidR="0058304E" w:rsidRPr="00C81924" w:rsidRDefault="0058304E" w:rsidP="00FD54F5">
            <w:pPr>
              <w:spacing w:line="240" w:lineRule="auto"/>
              <w:rPr>
                <w:rFonts w:cs="Times New Roman"/>
                <w:szCs w:val="24"/>
              </w:rPr>
            </w:pPr>
            <w:r w:rsidRPr="00C81924">
              <w:rPr>
                <w:rFonts w:cs="Times New Roman"/>
                <w:szCs w:val="24"/>
              </w:rPr>
              <w:t xml:space="preserve">Cefepime 30 µg (FEP) </w:t>
            </w:r>
          </w:p>
          <w:p w14:paraId="606A3AC9" w14:textId="77777777" w:rsidR="0058304E" w:rsidRPr="00C81924" w:rsidRDefault="0058304E" w:rsidP="00FD54F5">
            <w:pPr>
              <w:spacing w:line="240" w:lineRule="auto"/>
              <w:jc w:val="both"/>
              <w:rPr>
                <w:szCs w:val="24"/>
              </w:rPr>
            </w:pPr>
            <w:r w:rsidRPr="00C81924">
              <w:rPr>
                <w:rFonts w:cs="Times New Roman"/>
                <w:szCs w:val="24"/>
              </w:rPr>
              <w:t>(&lt; 19 = R; ≥ 19 = S</w:t>
            </w:r>
            <w:r w:rsidRPr="00C81924">
              <w:rPr>
                <w:rFonts w:cs="Times New Roman"/>
              </w:rPr>
              <w:t>)</w:t>
            </w:r>
          </w:p>
        </w:tc>
        <w:tc>
          <w:tcPr>
            <w:tcW w:w="2693" w:type="dxa"/>
          </w:tcPr>
          <w:p w14:paraId="665E20F6" w14:textId="77777777" w:rsidR="0058304E" w:rsidRPr="00C81924" w:rsidRDefault="0058304E" w:rsidP="00FD54F5">
            <w:pPr>
              <w:spacing w:line="240" w:lineRule="auto"/>
              <w:jc w:val="center"/>
              <w:rPr>
                <w:szCs w:val="24"/>
              </w:rPr>
            </w:pPr>
            <w:r w:rsidRPr="00C81924">
              <w:t>Cephalosporin</w:t>
            </w:r>
          </w:p>
        </w:tc>
        <w:tc>
          <w:tcPr>
            <w:tcW w:w="1560" w:type="dxa"/>
          </w:tcPr>
          <w:p w14:paraId="44236571" w14:textId="77777777" w:rsidR="0058304E" w:rsidRPr="00C81924" w:rsidRDefault="0058304E" w:rsidP="00FD54F5">
            <w:pPr>
              <w:spacing w:line="240" w:lineRule="auto"/>
              <w:jc w:val="center"/>
              <w:rPr>
                <w:szCs w:val="24"/>
              </w:rPr>
            </w:pPr>
            <w:r w:rsidRPr="00C81924">
              <w:rPr>
                <w:szCs w:val="24"/>
              </w:rPr>
              <w:t>28 (45.9)</w:t>
            </w:r>
          </w:p>
        </w:tc>
        <w:tc>
          <w:tcPr>
            <w:tcW w:w="1417" w:type="dxa"/>
          </w:tcPr>
          <w:p w14:paraId="1CF7855B" w14:textId="77777777" w:rsidR="0058304E" w:rsidRPr="00C81924" w:rsidRDefault="0058304E" w:rsidP="00FD54F5">
            <w:pPr>
              <w:spacing w:line="240" w:lineRule="auto"/>
              <w:jc w:val="center"/>
              <w:rPr>
                <w:szCs w:val="24"/>
              </w:rPr>
            </w:pPr>
            <w:r w:rsidRPr="00C81924">
              <w:rPr>
                <w:szCs w:val="24"/>
              </w:rPr>
              <w:t>33 (54.1)</w:t>
            </w:r>
          </w:p>
        </w:tc>
      </w:tr>
      <w:tr w:rsidR="0058304E" w:rsidRPr="00C81924" w14:paraId="6B38E27E" w14:textId="77777777" w:rsidTr="00F06ABF">
        <w:trPr>
          <w:trHeight w:val="850"/>
        </w:trPr>
        <w:tc>
          <w:tcPr>
            <w:tcW w:w="4678" w:type="dxa"/>
          </w:tcPr>
          <w:p w14:paraId="1651DE2A" w14:textId="77777777" w:rsidR="0058304E" w:rsidRPr="00C81924" w:rsidRDefault="0058304E" w:rsidP="00FD54F5">
            <w:pPr>
              <w:spacing w:line="240" w:lineRule="auto"/>
              <w:rPr>
                <w:rFonts w:cs="Times New Roman"/>
                <w:szCs w:val="24"/>
              </w:rPr>
            </w:pPr>
            <w:r w:rsidRPr="00C81924">
              <w:rPr>
                <w:rFonts w:cs="Times New Roman"/>
                <w:szCs w:val="24"/>
              </w:rPr>
              <w:t xml:space="preserve">Cefuroxime Sodium (CXM) </w:t>
            </w:r>
          </w:p>
          <w:p w14:paraId="5DC4AC13" w14:textId="77777777" w:rsidR="0058304E" w:rsidRPr="00C81924" w:rsidRDefault="0058304E" w:rsidP="00FD54F5">
            <w:pPr>
              <w:spacing w:line="240" w:lineRule="auto"/>
              <w:jc w:val="both"/>
              <w:rPr>
                <w:szCs w:val="24"/>
              </w:rPr>
            </w:pPr>
            <w:r w:rsidRPr="00C81924">
              <w:rPr>
                <w:rFonts w:cs="Times New Roman"/>
                <w:szCs w:val="24"/>
              </w:rPr>
              <w:t>(&lt; 19 = R; ≥ 19 = S</w:t>
            </w:r>
            <w:r w:rsidRPr="00C81924">
              <w:rPr>
                <w:rFonts w:cs="Times New Roman"/>
              </w:rPr>
              <w:t>)</w:t>
            </w:r>
          </w:p>
        </w:tc>
        <w:tc>
          <w:tcPr>
            <w:tcW w:w="2693" w:type="dxa"/>
          </w:tcPr>
          <w:p w14:paraId="5D0A454B" w14:textId="77777777" w:rsidR="0058304E" w:rsidRPr="00C81924" w:rsidRDefault="0058304E" w:rsidP="00FD54F5">
            <w:pPr>
              <w:spacing w:line="240" w:lineRule="auto"/>
              <w:jc w:val="center"/>
              <w:rPr>
                <w:szCs w:val="24"/>
              </w:rPr>
            </w:pPr>
            <w:r w:rsidRPr="00C81924">
              <w:t>Cephalosporin</w:t>
            </w:r>
          </w:p>
        </w:tc>
        <w:tc>
          <w:tcPr>
            <w:tcW w:w="1560" w:type="dxa"/>
          </w:tcPr>
          <w:p w14:paraId="6E1139C4" w14:textId="77777777" w:rsidR="0058304E" w:rsidRPr="00C81924" w:rsidRDefault="0058304E" w:rsidP="00FD54F5">
            <w:pPr>
              <w:spacing w:line="240" w:lineRule="auto"/>
              <w:jc w:val="center"/>
              <w:rPr>
                <w:szCs w:val="24"/>
              </w:rPr>
            </w:pPr>
            <w:r w:rsidRPr="00C81924">
              <w:rPr>
                <w:szCs w:val="24"/>
              </w:rPr>
              <w:t>27 (44.3)</w:t>
            </w:r>
          </w:p>
        </w:tc>
        <w:tc>
          <w:tcPr>
            <w:tcW w:w="1417" w:type="dxa"/>
          </w:tcPr>
          <w:p w14:paraId="25E20725" w14:textId="77777777" w:rsidR="0058304E" w:rsidRPr="00C81924" w:rsidRDefault="0058304E" w:rsidP="00FD54F5">
            <w:pPr>
              <w:spacing w:line="240" w:lineRule="auto"/>
              <w:jc w:val="center"/>
              <w:rPr>
                <w:szCs w:val="24"/>
              </w:rPr>
            </w:pPr>
            <w:r w:rsidRPr="00C81924">
              <w:rPr>
                <w:szCs w:val="24"/>
              </w:rPr>
              <w:t>34 (55.7)</w:t>
            </w:r>
          </w:p>
        </w:tc>
      </w:tr>
      <w:tr w:rsidR="0058304E" w:rsidRPr="00C81924" w14:paraId="682EDC78" w14:textId="77777777" w:rsidTr="00F06ABF">
        <w:trPr>
          <w:trHeight w:val="848"/>
        </w:trPr>
        <w:tc>
          <w:tcPr>
            <w:tcW w:w="4678" w:type="dxa"/>
          </w:tcPr>
          <w:p w14:paraId="0055E3A1" w14:textId="77777777" w:rsidR="0058304E" w:rsidRPr="00C81924" w:rsidRDefault="0058304E" w:rsidP="00FD54F5">
            <w:pPr>
              <w:spacing w:line="240" w:lineRule="auto"/>
              <w:rPr>
                <w:rFonts w:cs="Times New Roman"/>
                <w:szCs w:val="24"/>
              </w:rPr>
            </w:pPr>
            <w:r w:rsidRPr="00C81924">
              <w:rPr>
                <w:rFonts w:cs="Times New Roman"/>
                <w:szCs w:val="24"/>
              </w:rPr>
              <w:t xml:space="preserve">Ofloxacin 5 µg (OFX) </w:t>
            </w:r>
          </w:p>
          <w:p w14:paraId="7A0A41AB" w14:textId="77777777" w:rsidR="0058304E" w:rsidRPr="00C81924" w:rsidRDefault="0058304E" w:rsidP="00FD54F5">
            <w:pPr>
              <w:spacing w:line="240" w:lineRule="auto"/>
              <w:jc w:val="both"/>
              <w:rPr>
                <w:szCs w:val="24"/>
              </w:rPr>
            </w:pPr>
            <w:r w:rsidRPr="00C81924">
              <w:rPr>
                <w:rFonts w:cs="Times New Roman"/>
                <w:szCs w:val="24"/>
              </w:rPr>
              <w:t>(&lt; 22 = R; ≥ 24 = S</w:t>
            </w:r>
            <w:r w:rsidRPr="00C81924">
              <w:rPr>
                <w:rFonts w:cs="Times New Roman"/>
              </w:rPr>
              <w:t>)</w:t>
            </w:r>
          </w:p>
        </w:tc>
        <w:tc>
          <w:tcPr>
            <w:tcW w:w="2693" w:type="dxa"/>
          </w:tcPr>
          <w:p w14:paraId="76864770" w14:textId="77777777" w:rsidR="0058304E" w:rsidRPr="00C81924" w:rsidRDefault="0058304E" w:rsidP="00FD54F5">
            <w:pPr>
              <w:spacing w:line="240" w:lineRule="auto"/>
              <w:jc w:val="center"/>
              <w:rPr>
                <w:szCs w:val="24"/>
              </w:rPr>
            </w:pPr>
            <w:proofErr w:type="spellStart"/>
            <w:r w:rsidRPr="00C81924">
              <w:t>Floroquinolone</w:t>
            </w:r>
            <w:proofErr w:type="spellEnd"/>
          </w:p>
        </w:tc>
        <w:tc>
          <w:tcPr>
            <w:tcW w:w="1560" w:type="dxa"/>
          </w:tcPr>
          <w:p w14:paraId="186F87C1" w14:textId="77777777" w:rsidR="0058304E" w:rsidRPr="00C81924" w:rsidRDefault="0058304E" w:rsidP="00FD54F5">
            <w:pPr>
              <w:spacing w:line="240" w:lineRule="auto"/>
              <w:jc w:val="center"/>
              <w:rPr>
                <w:szCs w:val="24"/>
              </w:rPr>
            </w:pPr>
            <w:r w:rsidRPr="00C81924">
              <w:rPr>
                <w:szCs w:val="24"/>
              </w:rPr>
              <w:t>26 (42.6)</w:t>
            </w:r>
          </w:p>
        </w:tc>
        <w:tc>
          <w:tcPr>
            <w:tcW w:w="1417" w:type="dxa"/>
          </w:tcPr>
          <w:p w14:paraId="09B7B888" w14:textId="77777777" w:rsidR="0058304E" w:rsidRPr="00C81924" w:rsidRDefault="0058304E" w:rsidP="00FD54F5">
            <w:pPr>
              <w:spacing w:line="240" w:lineRule="auto"/>
              <w:jc w:val="center"/>
              <w:rPr>
                <w:szCs w:val="24"/>
              </w:rPr>
            </w:pPr>
            <w:r w:rsidRPr="00C81924">
              <w:rPr>
                <w:szCs w:val="24"/>
              </w:rPr>
              <w:t>35 (57.4)</w:t>
            </w:r>
          </w:p>
        </w:tc>
      </w:tr>
      <w:tr w:rsidR="0058304E" w:rsidRPr="00C81924" w14:paraId="5789687D" w14:textId="77777777" w:rsidTr="00F06ABF">
        <w:trPr>
          <w:trHeight w:val="846"/>
        </w:trPr>
        <w:tc>
          <w:tcPr>
            <w:tcW w:w="4678" w:type="dxa"/>
          </w:tcPr>
          <w:p w14:paraId="68CCE818" w14:textId="77777777" w:rsidR="0058304E" w:rsidRPr="00C81924" w:rsidRDefault="0058304E" w:rsidP="00FD54F5">
            <w:pPr>
              <w:spacing w:line="240" w:lineRule="auto"/>
              <w:rPr>
                <w:rFonts w:cs="Times New Roman"/>
                <w:szCs w:val="24"/>
              </w:rPr>
            </w:pPr>
            <w:r w:rsidRPr="00C81924">
              <w:rPr>
                <w:rFonts w:cs="Times New Roman"/>
                <w:szCs w:val="24"/>
              </w:rPr>
              <w:t xml:space="preserve">Ciprofloxacin 5 µg (CIP) </w:t>
            </w:r>
          </w:p>
          <w:p w14:paraId="17F0CE44" w14:textId="77777777" w:rsidR="0058304E" w:rsidRPr="00C81924" w:rsidRDefault="0058304E" w:rsidP="00FD54F5">
            <w:pPr>
              <w:spacing w:line="240" w:lineRule="auto"/>
              <w:jc w:val="both"/>
              <w:rPr>
                <w:szCs w:val="24"/>
              </w:rPr>
            </w:pPr>
            <w:r w:rsidRPr="00C81924">
              <w:rPr>
                <w:rFonts w:cs="Times New Roman"/>
                <w:szCs w:val="24"/>
              </w:rPr>
              <w:t>(&lt; 22 = R; ≥ 25 = S</w:t>
            </w:r>
            <w:r w:rsidRPr="00C81924">
              <w:rPr>
                <w:rFonts w:cs="Times New Roman"/>
              </w:rPr>
              <w:t>)</w:t>
            </w:r>
          </w:p>
        </w:tc>
        <w:tc>
          <w:tcPr>
            <w:tcW w:w="2693" w:type="dxa"/>
          </w:tcPr>
          <w:p w14:paraId="0C25CF9D" w14:textId="77777777" w:rsidR="0058304E" w:rsidRPr="00C81924" w:rsidRDefault="0058304E" w:rsidP="00FD54F5">
            <w:pPr>
              <w:spacing w:line="240" w:lineRule="auto"/>
              <w:jc w:val="center"/>
              <w:rPr>
                <w:szCs w:val="24"/>
              </w:rPr>
            </w:pPr>
            <w:proofErr w:type="spellStart"/>
            <w:r w:rsidRPr="00C81924">
              <w:t>Floroquinolone</w:t>
            </w:r>
            <w:proofErr w:type="spellEnd"/>
          </w:p>
        </w:tc>
        <w:tc>
          <w:tcPr>
            <w:tcW w:w="1560" w:type="dxa"/>
          </w:tcPr>
          <w:p w14:paraId="219A6366" w14:textId="77777777" w:rsidR="0058304E" w:rsidRPr="00C81924" w:rsidRDefault="0058304E" w:rsidP="00FD54F5">
            <w:pPr>
              <w:spacing w:line="240" w:lineRule="auto"/>
              <w:jc w:val="center"/>
              <w:rPr>
                <w:szCs w:val="24"/>
              </w:rPr>
            </w:pPr>
            <w:r w:rsidRPr="00C81924">
              <w:rPr>
                <w:szCs w:val="24"/>
              </w:rPr>
              <w:t>27 (44.3)</w:t>
            </w:r>
          </w:p>
        </w:tc>
        <w:tc>
          <w:tcPr>
            <w:tcW w:w="1417" w:type="dxa"/>
          </w:tcPr>
          <w:p w14:paraId="3AE3FDB9" w14:textId="77777777" w:rsidR="0058304E" w:rsidRPr="00C81924" w:rsidRDefault="0058304E" w:rsidP="00FD54F5">
            <w:pPr>
              <w:spacing w:line="240" w:lineRule="auto"/>
              <w:jc w:val="center"/>
              <w:rPr>
                <w:szCs w:val="24"/>
              </w:rPr>
            </w:pPr>
            <w:r w:rsidRPr="00C81924">
              <w:rPr>
                <w:szCs w:val="24"/>
              </w:rPr>
              <w:t>34 (55.7)</w:t>
            </w:r>
          </w:p>
        </w:tc>
      </w:tr>
      <w:bookmarkEnd w:id="23"/>
      <w:tr w:rsidR="0058304E" w:rsidRPr="00C81924" w14:paraId="616466FE" w14:textId="77777777" w:rsidTr="00F06ABF">
        <w:trPr>
          <w:trHeight w:val="858"/>
        </w:trPr>
        <w:tc>
          <w:tcPr>
            <w:tcW w:w="4678" w:type="dxa"/>
          </w:tcPr>
          <w:p w14:paraId="4D7A6BC9" w14:textId="77777777" w:rsidR="0058304E" w:rsidRPr="00C81924" w:rsidRDefault="0058304E" w:rsidP="00FD54F5">
            <w:pPr>
              <w:spacing w:line="240" w:lineRule="auto"/>
              <w:rPr>
                <w:rFonts w:cs="Times New Roman"/>
                <w:szCs w:val="24"/>
              </w:rPr>
            </w:pPr>
            <w:r w:rsidRPr="00C81924">
              <w:rPr>
                <w:rFonts w:cs="Times New Roman"/>
                <w:szCs w:val="24"/>
              </w:rPr>
              <w:t xml:space="preserve">Cefpodoxime 10 µg (CPD) </w:t>
            </w:r>
          </w:p>
          <w:p w14:paraId="6C85D8D5" w14:textId="77777777" w:rsidR="0058304E" w:rsidRPr="00C81924" w:rsidRDefault="0058304E" w:rsidP="00FD54F5">
            <w:pPr>
              <w:spacing w:line="240" w:lineRule="auto"/>
              <w:jc w:val="both"/>
              <w:rPr>
                <w:szCs w:val="24"/>
              </w:rPr>
            </w:pPr>
            <w:r w:rsidRPr="00C81924">
              <w:rPr>
                <w:rFonts w:cs="Times New Roman"/>
                <w:szCs w:val="24"/>
              </w:rPr>
              <w:t>(&lt; 21 = R; ≥ 21 = S</w:t>
            </w:r>
            <w:r w:rsidRPr="00C81924">
              <w:rPr>
                <w:rFonts w:cs="Times New Roman"/>
              </w:rPr>
              <w:t>)</w:t>
            </w:r>
          </w:p>
        </w:tc>
        <w:tc>
          <w:tcPr>
            <w:tcW w:w="2693" w:type="dxa"/>
          </w:tcPr>
          <w:p w14:paraId="65DC42E9" w14:textId="77777777" w:rsidR="0058304E" w:rsidRPr="00C81924" w:rsidRDefault="0058304E" w:rsidP="00FD54F5">
            <w:pPr>
              <w:spacing w:line="240" w:lineRule="auto"/>
              <w:jc w:val="center"/>
              <w:rPr>
                <w:szCs w:val="24"/>
              </w:rPr>
            </w:pPr>
            <w:r w:rsidRPr="00C81924">
              <w:t>Cephalosporin</w:t>
            </w:r>
          </w:p>
        </w:tc>
        <w:tc>
          <w:tcPr>
            <w:tcW w:w="1560" w:type="dxa"/>
          </w:tcPr>
          <w:p w14:paraId="4DFFD543" w14:textId="77777777" w:rsidR="0058304E" w:rsidRPr="00C81924" w:rsidRDefault="0058304E" w:rsidP="00FD54F5">
            <w:pPr>
              <w:spacing w:line="240" w:lineRule="auto"/>
              <w:jc w:val="center"/>
              <w:rPr>
                <w:szCs w:val="24"/>
              </w:rPr>
            </w:pPr>
            <w:r w:rsidRPr="00C81924">
              <w:rPr>
                <w:szCs w:val="24"/>
              </w:rPr>
              <w:t>15 (24.6)</w:t>
            </w:r>
          </w:p>
        </w:tc>
        <w:tc>
          <w:tcPr>
            <w:tcW w:w="1417" w:type="dxa"/>
          </w:tcPr>
          <w:p w14:paraId="6AA54567" w14:textId="77777777" w:rsidR="0058304E" w:rsidRPr="00C81924" w:rsidRDefault="0058304E" w:rsidP="00FD54F5">
            <w:pPr>
              <w:spacing w:line="240" w:lineRule="auto"/>
              <w:jc w:val="center"/>
              <w:rPr>
                <w:szCs w:val="24"/>
              </w:rPr>
            </w:pPr>
            <w:r w:rsidRPr="00C81924">
              <w:rPr>
                <w:szCs w:val="24"/>
              </w:rPr>
              <w:t>46 (75.4)</w:t>
            </w:r>
          </w:p>
        </w:tc>
      </w:tr>
      <w:tr w:rsidR="0058304E" w:rsidRPr="00C81924" w14:paraId="700712F2" w14:textId="77777777" w:rsidTr="00F06ABF">
        <w:trPr>
          <w:trHeight w:val="842"/>
        </w:trPr>
        <w:tc>
          <w:tcPr>
            <w:tcW w:w="4678" w:type="dxa"/>
          </w:tcPr>
          <w:p w14:paraId="63D011A9" w14:textId="77777777" w:rsidR="0058304E" w:rsidRPr="00C81924" w:rsidRDefault="0058304E" w:rsidP="00FD54F5">
            <w:pPr>
              <w:spacing w:line="240" w:lineRule="auto"/>
              <w:rPr>
                <w:rFonts w:cs="Times New Roman"/>
                <w:szCs w:val="24"/>
              </w:rPr>
            </w:pPr>
            <w:r w:rsidRPr="00C81924">
              <w:rPr>
                <w:rFonts w:cs="Times New Roman"/>
                <w:szCs w:val="24"/>
              </w:rPr>
              <w:t xml:space="preserve">Ceftazidime 30 µg (CAZ) </w:t>
            </w:r>
          </w:p>
          <w:p w14:paraId="4042761B" w14:textId="77777777" w:rsidR="0058304E" w:rsidRPr="00C81924" w:rsidRDefault="0058304E" w:rsidP="00FD54F5">
            <w:pPr>
              <w:spacing w:line="240" w:lineRule="auto"/>
              <w:jc w:val="both"/>
              <w:rPr>
                <w:szCs w:val="24"/>
              </w:rPr>
            </w:pPr>
            <w:r w:rsidRPr="00C81924">
              <w:rPr>
                <w:rFonts w:cs="Times New Roman"/>
                <w:szCs w:val="24"/>
              </w:rPr>
              <w:t>(&lt; 19 = R; ≥ 22 = S</w:t>
            </w:r>
            <w:r w:rsidRPr="00C81924">
              <w:rPr>
                <w:rFonts w:cs="Times New Roman"/>
              </w:rPr>
              <w:t>)</w:t>
            </w:r>
          </w:p>
        </w:tc>
        <w:tc>
          <w:tcPr>
            <w:tcW w:w="2693" w:type="dxa"/>
          </w:tcPr>
          <w:p w14:paraId="50B9D15C" w14:textId="77777777" w:rsidR="0058304E" w:rsidRPr="00C81924" w:rsidRDefault="0058304E" w:rsidP="00FD54F5">
            <w:pPr>
              <w:spacing w:line="240" w:lineRule="auto"/>
              <w:jc w:val="center"/>
              <w:rPr>
                <w:szCs w:val="24"/>
              </w:rPr>
            </w:pPr>
            <w:r w:rsidRPr="00C81924">
              <w:t>Cephalosporin</w:t>
            </w:r>
          </w:p>
        </w:tc>
        <w:tc>
          <w:tcPr>
            <w:tcW w:w="1560" w:type="dxa"/>
          </w:tcPr>
          <w:p w14:paraId="03A19150" w14:textId="77777777" w:rsidR="0058304E" w:rsidRPr="00C81924" w:rsidRDefault="0058304E" w:rsidP="00FD54F5">
            <w:pPr>
              <w:spacing w:line="240" w:lineRule="auto"/>
              <w:jc w:val="center"/>
              <w:rPr>
                <w:szCs w:val="24"/>
              </w:rPr>
            </w:pPr>
            <w:r w:rsidRPr="00C81924">
              <w:rPr>
                <w:szCs w:val="24"/>
              </w:rPr>
              <w:t>22 (36.1)</w:t>
            </w:r>
          </w:p>
        </w:tc>
        <w:tc>
          <w:tcPr>
            <w:tcW w:w="1417" w:type="dxa"/>
          </w:tcPr>
          <w:p w14:paraId="68506A33" w14:textId="77777777" w:rsidR="0058304E" w:rsidRPr="00C81924" w:rsidRDefault="0058304E" w:rsidP="00FD54F5">
            <w:pPr>
              <w:spacing w:line="240" w:lineRule="auto"/>
              <w:jc w:val="center"/>
              <w:rPr>
                <w:szCs w:val="24"/>
              </w:rPr>
            </w:pPr>
            <w:r w:rsidRPr="00C81924">
              <w:rPr>
                <w:szCs w:val="24"/>
              </w:rPr>
              <w:t>39 (63.9)</w:t>
            </w:r>
          </w:p>
        </w:tc>
      </w:tr>
      <w:tr w:rsidR="0058304E" w:rsidRPr="00C81924" w14:paraId="2F004678" w14:textId="77777777" w:rsidTr="00F06ABF">
        <w:trPr>
          <w:trHeight w:val="854"/>
        </w:trPr>
        <w:tc>
          <w:tcPr>
            <w:tcW w:w="4678" w:type="dxa"/>
          </w:tcPr>
          <w:p w14:paraId="5A6EC7BF" w14:textId="77777777" w:rsidR="0058304E" w:rsidRPr="00C81924" w:rsidRDefault="0058304E" w:rsidP="00FD54F5">
            <w:pPr>
              <w:spacing w:line="240" w:lineRule="auto"/>
              <w:rPr>
                <w:rFonts w:cs="Times New Roman"/>
                <w:szCs w:val="24"/>
              </w:rPr>
            </w:pPr>
            <w:r w:rsidRPr="00C81924">
              <w:rPr>
                <w:rFonts w:cs="Times New Roman"/>
                <w:szCs w:val="24"/>
              </w:rPr>
              <w:t xml:space="preserve">Amoxicillin + Clavulanic Acid 30 µg (AMC) </w:t>
            </w:r>
          </w:p>
          <w:p w14:paraId="66F1D1B6" w14:textId="77777777" w:rsidR="0058304E" w:rsidRPr="00C81924" w:rsidRDefault="0058304E" w:rsidP="00FD54F5">
            <w:pPr>
              <w:spacing w:line="240" w:lineRule="auto"/>
              <w:jc w:val="both"/>
              <w:rPr>
                <w:szCs w:val="24"/>
              </w:rPr>
            </w:pPr>
            <w:r w:rsidRPr="00C81924">
              <w:rPr>
                <w:rFonts w:cs="Times New Roman"/>
                <w:szCs w:val="24"/>
              </w:rPr>
              <w:t>(&lt; 19 = R; ≥ 19 = S</w:t>
            </w:r>
            <w:r w:rsidRPr="00C81924">
              <w:rPr>
                <w:rFonts w:cs="Times New Roman"/>
              </w:rPr>
              <w:t>)</w:t>
            </w:r>
          </w:p>
        </w:tc>
        <w:tc>
          <w:tcPr>
            <w:tcW w:w="2693" w:type="dxa"/>
          </w:tcPr>
          <w:p w14:paraId="66071F76" w14:textId="77777777" w:rsidR="0058304E" w:rsidRPr="00C81924" w:rsidRDefault="0058304E" w:rsidP="00FD54F5">
            <w:pPr>
              <w:spacing w:line="240" w:lineRule="auto"/>
              <w:jc w:val="center"/>
              <w:rPr>
                <w:szCs w:val="24"/>
              </w:rPr>
            </w:pPr>
            <w:r w:rsidRPr="00C81924">
              <w:t>β-lactam and β-lactamase inhibitor</w:t>
            </w:r>
          </w:p>
        </w:tc>
        <w:tc>
          <w:tcPr>
            <w:tcW w:w="1560" w:type="dxa"/>
          </w:tcPr>
          <w:p w14:paraId="3A4EE4BC" w14:textId="77777777" w:rsidR="0058304E" w:rsidRPr="00C81924" w:rsidRDefault="0058304E" w:rsidP="00FD54F5">
            <w:pPr>
              <w:spacing w:line="240" w:lineRule="auto"/>
              <w:jc w:val="center"/>
              <w:rPr>
                <w:szCs w:val="24"/>
              </w:rPr>
            </w:pPr>
            <w:r w:rsidRPr="00C81924">
              <w:rPr>
                <w:szCs w:val="24"/>
              </w:rPr>
              <w:t>4 (6.6)</w:t>
            </w:r>
          </w:p>
        </w:tc>
        <w:tc>
          <w:tcPr>
            <w:tcW w:w="1417" w:type="dxa"/>
          </w:tcPr>
          <w:p w14:paraId="7FA9C53A" w14:textId="77777777" w:rsidR="0058304E" w:rsidRPr="00C81924" w:rsidRDefault="0058304E" w:rsidP="00FD54F5">
            <w:pPr>
              <w:spacing w:line="240" w:lineRule="auto"/>
              <w:jc w:val="center"/>
              <w:rPr>
                <w:szCs w:val="24"/>
              </w:rPr>
            </w:pPr>
            <w:r w:rsidRPr="00C81924">
              <w:rPr>
                <w:szCs w:val="24"/>
              </w:rPr>
              <w:t>57 (93.4)</w:t>
            </w:r>
          </w:p>
        </w:tc>
      </w:tr>
      <w:tr w:rsidR="0058304E" w:rsidRPr="00C81924" w14:paraId="6400ACA3" w14:textId="77777777" w:rsidTr="00F06ABF">
        <w:trPr>
          <w:trHeight w:val="852"/>
        </w:trPr>
        <w:tc>
          <w:tcPr>
            <w:tcW w:w="4678" w:type="dxa"/>
          </w:tcPr>
          <w:p w14:paraId="389C41EF" w14:textId="77777777" w:rsidR="0058304E" w:rsidRPr="00C81924" w:rsidRDefault="0058304E" w:rsidP="00FD54F5">
            <w:pPr>
              <w:spacing w:line="240" w:lineRule="auto"/>
              <w:rPr>
                <w:lang w:val="en-US"/>
              </w:rPr>
            </w:pPr>
            <w:r w:rsidRPr="00C81924">
              <w:rPr>
                <w:rFonts w:cs="Times New Roman"/>
                <w:szCs w:val="24"/>
              </w:rPr>
              <w:t>Cefotaxime 30 µg (CTX)</w:t>
            </w:r>
            <w:r w:rsidRPr="00C81924">
              <w:t xml:space="preserve"> </w:t>
            </w:r>
          </w:p>
          <w:p w14:paraId="5D9A4D95" w14:textId="77777777" w:rsidR="0058304E" w:rsidRPr="00C81924" w:rsidRDefault="0058304E" w:rsidP="00FD54F5">
            <w:pPr>
              <w:spacing w:line="240" w:lineRule="auto"/>
              <w:jc w:val="both"/>
              <w:rPr>
                <w:szCs w:val="24"/>
              </w:rPr>
            </w:pPr>
            <w:r w:rsidRPr="00C81924">
              <w:rPr>
                <w:rFonts w:cs="Times New Roman"/>
                <w:szCs w:val="24"/>
              </w:rPr>
              <w:t>(&lt; 17 = R; ≥ 20 = S</w:t>
            </w:r>
            <w:r w:rsidRPr="00C81924">
              <w:rPr>
                <w:rFonts w:cs="Times New Roman"/>
              </w:rPr>
              <w:t>)</w:t>
            </w:r>
          </w:p>
        </w:tc>
        <w:tc>
          <w:tcPr>
            <w:tcW w:w="2693" w:type="dxa"/>
          </w:tcPr>
          <w:p w14:paraId="039F2C38" w14:textId="77777777" w:rsidR="0058304E" w:rsidRPr="00C81924" w:rsidRDefault="0058304E" w:rsidP="00FD54F5">
            <w:pPr>
              <w:spacing w:line="240" w:lineRule="auto"/>
              <w:jc w:val="center"/>
              <w:rPr>
                <w:szCs w:val="24"/>
              </w:rPr>
            </w:pPr>
            <w:r w:rsidRPr="00C81924">
              <w:t>β-lactam</w:t>
            </w:r>
          </w:p>
        </w:tc>
        <w:tc>
          <w:tcPr>
            <w:tcW w:w="1560" w:type="dxa"/>
          </w:tcPr>
          <w:p w14:paraId="0C7000B7" w14:textId="77777777" w:rsidR="0058304E" w:rsidRPr="00C81924" w:rsidRDefault="0058304E" w:rsidP="00FD54F5">
            <w:pPr>
              <w:spacing w:line="240" w:lineRule="auto"/>
              <w:jc w:val="center"/>
              <w:rPr>
                <w:szCs w:val="24"/>
              </w:rPr>
            </w:pPr>
            <w:r w:rsidRPr="00C81924">
              <w:rPr>
                <w:szCs w:val="24"/>
              </w:rPr>
              <w:t>14 (22.9)</w:t>
            </w:r>
          </w:p>
        </w:tc>
        <w:tc>
          <w:tcPr>
            <w:tcW w:w="1417" w:type="dxa"/>
          </w:tcPr>
          <w:p w14:paraId="3FD831F0" w14:textId="77777777" w:rsidR="0058304E" w:rsidRPr="00C81924" w:rsidRDefault="0058304E" w:rsidP="00FD54F5">
            <w:pPr>
              <w:spacing w:line="240" w:lineRule="auto"/>
              <w:jc w:val="center"/>
              <w:rPr>
                <w:szCs w:val="24"/>
              </w:rPr>
            </w:pPr>
            <w:r w:rsidRPr="00C81924">
              <w:rPr>
                <w:szCs w:val="24"/>
              </w:rPr>
              <w:t>47 (77.1)</w:t>
            </w:r>
          </w:p>
        </w:tc>
      </w:tr>
      <w:tr w:rsidR="0058304E" w:rsidRPr="00C81924" w14:paraId="5EB9851F" w14:textId="77777777" w:rsidTr="00F06ABF">
        <w:trPr>
          <w:trHeight w:val="849"/>
        </w:trPr>
        <w:tc>
          <w:tcPr>
            <w:tcW w:w="4678" w:type="dxa"/>
          </w:tcPr>
          <w:p w14:paraId="08EBCB00" w14:textId="77777777" w:rsidR="0058304E" w:rsidRPr="00C81924" w:rsidRDefault="0058304E" w:rsidP="00FD54F5">
            <w:pPr>
              <w:spacing w:line="240" w:lineRule="auto"/>
              <w:rPr>
                <w:rFonts w:cs="Times New Roman"/>
              </w:rPr>
            </w:pPr>
            <w:r w:rsidRPr="00C81924">
              <w:rPr>
                <w:rFonts w:cs="Times New Roman"/>
              </w:rPr>
              <w:t>Imipenem 10</w:t>
            </w:r>
            <w:r w:rsidRPr="00C81924">
              <w:rPr>
                <w:rFonts w:cs="Times New Roman"/>
                <w:szCs w:val="24"/>
              </w:rPr>
              <w:t xml:space="preserve"> µg</w:t>
            </w:r>
            <w:r w:rsidRPr="00C81924">
              <w:rPr>
                <w:rFonts w:cs="Times New Roman"/>
              </w:rPr>
              <w:t xml:space="preserve"> (IPM) </w:t>
            </w:r>
          </w:p>
          <w:p w14:paraId="58D7740C" w14:textId="77777777" w:rsidR="0058304E" w:rsidRPr="00C81924" w:rsidRDefault="0058304E" w:rsidP="00FD54F5">
            <w:pPr>
              <w:spacing w:line="240" w:lineRule="auto"/>
              <w:jc w:val="both"/>
            </w:pPr>
            <w:r w:rsidRPr="00C81924">
              <w:rPr>
                <w:rFonts w:cs="Times New Roman"/>
                <w:szCs w:val="24"/>
              </w:rPr>
              <w:t>(</w:t>
            </w:r>
            <w:r w:rsidRPr="00C81924">
              <w:rPr>
                <w:rFonts w:cs="Times New Roman"/>
              </w:rPr>
              <w:t xml:space="preserve">&lt; 19 = </w:t>
            </w:r>
            <w:proofErr w:type="gramStart"/>
            <w:r w:rsidRPr="00C81924">
              <w:rPr>
                <w:rFonts w:cs="Times New Roman"/>
              </w:rPr>
              <w:t>R;  ≥</w:t>
            </w:r>
            <w:proofErr w:type="gramEnd"/>
            <w:r w:rsidRPr="00C81924">
              <w:rPr>
                <w:rFonts w:cs="Times New Roman"/>
              </w:rPr>
              <w:t xml:space="preserve"> 22 = S)</w:t>
            </w:r>
          </w:p>
        </w:tc>
        <w:tc>
          <w:tcPr>
            <w:tcW w:w="2693" w:type="dxa"/>
          </w:tcPr>
          <w:p w14:paraId="5C8BE146" w14:textId="77777777" w:rsidR="0058304E" w:rsidRPr="00C81924" w:rsidRDefault="0058304E" w:rsidP="00FD54F5">
            <w:pPr>
              <w:spacing w:line="240" w:lineRule="auto"/>
              <w:jc w:val="center"/>
              <w:rPr>
                <w:szCs w:val="24"/>
              </w:rPr>
            </w:pPr>
            <w:r w:rsidRPr="00C81924">
              <w:t>Carbapenem</w:t>
            </w:r>
          </w:p>
        </w:tc>
        <w:tc>
          <w:tcPr>
            <w:tcW w:w="1560" w:type="dxa"/>
          </w:tcPr>
          <w:p w14:paraId="7D4E305D" w14:textId="77777777" w:rsidR="0058304E" w:rsidRPr="00C81924" w:rsidRDefault="0058304E" w:rsidP="00FD54F5">
            <w:pPr>
              <w:spacing w:line="240" w:lineRule="auto"/>
              <w:jc w:val="center"/>
              <w:rPr>
                <w:szCs w:val="24"/>
              </w:rPr>
            </w:pPr>
            <w:r w:rsidRPr="00C81924">
              <w:rPr>
                <w:szCs w:val="24"/>
              </w:rPr>
              <w:t>61 (100)</w:t>
            </w:r>
          </w:p>
        </w:tc>
        <w:tc>
          <w:tcPr>
            <w:tcW w:w="1417" w:type="dxa"/>
          </w:tcPr>
          <w:p w14:paraId="3BA25C3E" w14:textId="77777777" w:rsidR="0058304E" w:rsidRPr="00C81924" w:rsidRDefault="0058304E" w:rsidP="00FD54F5">
            <w:pPr>
              <w:spacing w:line="240" w:lineRule="auto"/>
              <w:jc w:val="center"/>
              <w:rPr>
                <w:szCs w:val="24"/>
              </w:rPr>
            </w:pPr>
            <w:r w:rsidRPr="00C81924">
              <w:rPr>
                <w:szCs w:val="24"/>
              </w:rPr>
              <w:t>0 (</w:t>
            </w:r>
            <w:r w:rsidRPr="00C81924">
              <w:t>0)</w:t>
            </w:r>
          </w:p>
        </w:tc>
      </w:tr>
      <w:tr w:rsidR="0058304E" w:rsidRPr="00C81924" w14:paraId="2F661A29" w14:textId="77777777" w:rsidTr="00F06ABF">
        <w:trPr>
          <w:trHeight w:val="635"/>
        </w:trPr>
        <w:tc>
          <w:tcPr>
            <w:tcW w:w="4678" w:type="dxa"/>
          </w:tcPr>
          <w:p w14:paraId="0E34E4DC" w14:textId="77777777" w:rsidR="0058304E" w:rsidRPr="00C81924" w:rsidRDefault="0058304E" w:rsidP="00FD54F5">
            <w:pPr>
              <w:spacing w:line="240" w:lineRule="auto"/>
              <w:rPr>
                <w:rFonts w:cs="Times New Roman"/>
              </w:rPr>
            </w:pPr>
            <w:r w:rsidRPr="00C81924">
              <w:rPr>
                <w:rFonts w:cs="Times New Roman"/>
              </w:rPr>
              <w:t>Tetracycline 30</w:t>
            </w:r>
            <w:r w:rsidRPr="00C81924">
              <w:rPr>
                <w:rFonts w:cs="Times New Roman"/>
                <w:szCs w:val="24"/>
              </w:rPr>
              <w:t xml:space="preserve"> µg</w:t>
            </w:r>
            <w:r w:rsidRPr="00C81924">
              <w:rPr>
                <w:rFonts w:cs="Times New Roman"/>
              </w:rPr>
              <w:t xml:space="preserve"> (TE) </w:t>
            </w:r>
          </w:p>
          <w:p w14:paraId="1E3C834C" w14:textId="77777777" w:rsidR="0058304E" w:rsidRPr="00C81924" w:rsidRDefault="0058304E" w:rsidP="00FD54F5">
            <w:pPr>
              <w:spacing w:line="240" w:lineRule="auto"/>
              <w:jc w:val="both"/>
            </w:pPr>
            <w:r w:rsidRPr="00C81924">
              <w:rPr>
                <w:rFonts w:cs="Times New Roman"/>
                <w:szCs w:val="24"/>
              </w:rPr>
              <w:t>(</w:t>
            </w:r>
            <w:r w:rsidRPr="00C81924">
              <w:rPr>
                <w:rFonts w:cs="Times New Roman"/>
              </w:rPr>
              <w:t xml:space="preserve">&lt; 19 = </w:t>
            </w:r>
            <w:proofErr w:type="gramStart"/>
            <w:r w:rsidRPr="00C81924">
              <w:rPr>
                <w:rFonts w:cs="Times New Roman"/>
              </w:rPr>
              <w:t>R;≥</w:t>
            </w:r>
            <w:proofErr w:type="gramEnd"/>
            <w:r w:rsidRPr="00C81924">
              <w:rPr>
                <w:rFonts w:cs="Times New Roman"/>
              </w:rPr>
              <w:t xml:space="preserve"> 19 = S)</w:t>
            </w:r>
          </w:p>
        </w:tc>
        <w:tc>
          <w:tcPr>
            <w:tcW w:w="2693" w:type="dxa"/>
          </w:tcPr>
          <w:p w14:paraId="1285B701" w14:textId="77777777" w:rsidR="0058304E" w:rsidRPr="00C81924" w:rsidRDefault="0058304E" w:rsidP="00FD54F5">
            <w:pPr>
              <w:spacing w:line="240" w:lineRule="auto"/>
              <w:jc w:val="center"/>
              <w:rPr>
                <w:szCs w:val="24"/>
              </w:rPr>
            </w:pPr>
            <w:r w:rsidRPr="00C81924">
              <w:rPr>
                <w:szCs w:val="24"/>
              </w:rPr>
              <w:t>Tetracycline</w:t>
            </w:r>
          </w:p>
        </w:tc>
        <w:tc>
          <w:tcPr>
            <w:tcW w:w="1560" w:type="dxa"/>
          </w:tcPr>
          <w:p w14:paraId="2ECA6447" w14:textId="77777777" w:rsidR="0058304E" w:rsidRPr="00C81924" w:rsidRDefault="0058304E" w:rsidP="00FD54F5">
            <w:pPr>
              <w:spacing w:line="240" w:lineRule="auto"/>
              <w:jc w:val="center"/>
              <w:rPr>
                <w:szCs w:val="24"/>
              </w:rPr>
            </w:pPr>
            <w:r w:rsidRPr="00C81924">
              <w:rPr>
                <w:szCs w:val="24"/>
              </w:rPr>
              <w:t>12 (19.7)</w:t>
            </w:r>
          </w:p>
        </w:tc>
        <w:tc>
          <w:tcPr>
            <w:tcW w:w="1417" w:type="dxa"/>
          </w:tcPr>
          <w:p w14:paraId="2575B323" w14:textId="77777777" w:rsidR="0058304E" w:rsidRPr="00C81924" w:rsidRDefault="0058304E" w:rsidP="00FD54F5">
            <w:pPr>
              <w:spacing w:line="240" w:lineRule="auto"/>
              <w:jc w:val="center"/>
              <w:rPr>
                <w:szCs w:val="24"/>
              </w:rPr>
            </w:pPr>
            <w:r w:rsidRPr="00C81924">
              <w:rPr>
                <w:szCs w:val="24"/>
              </w:rPr>
              <w:t>49 (80.3)</w:t>
            </w:r>
          </w:p>
        </w:tc>
      </w:tr>
    </w:tbl>
    <w:p w14:paraId="7B066591" w14:textId="77777777" w:rsidR="0058304E" w:rsidRPr="00C81924" w:rsidRDefault="0058304E" w:rsidP="00FD54F5">
      <w:pPr>
        <w:spacing w:line="240" w:lineRule="auto"/>
        <w:rPr>
          <w:rFonts w:cs="Times New Roman"/>
          <w:szCs w:val="24"/>
        </w:rPr>
      </w:pPr>
    </w:p>
    <w:p w14:paraId="14EC80EF" w14:textId="4F5C1AA4" w:rsidR="0058304E" w:rsidRPr="00C81924" w:rsidRDefault="0058304E" w:rsidP="00BF0A2A">
      <w:pPr>
        <w:spacing w:line="240" w:lineRule="auto"/>
        <w:rPr>
          <w:rFonts w:eastAsiaTheme="majorEastAsia" w:cs="Times New Roman"/>
          <w:b/>
          <w:szCs w:val="24"/>
        </w:rPr>
      </w:pPr>
      <w:bookmarkStart w:id="24" w:name="_Toc163428599"/>
      <w:r w:rsidRPr="00C81924">
        <w:rPr>
          <w:rFonts w:eastAsiaTheme="majorEastAsia" w:cs="Times New Roman"/>
          <w:b/>
          <w:szCs w:val="24"/>
        </w:rPr>
        <w:t>Prevalence of Multidrug-</w:t>
      </w:r>
      <w:r w:rsidR="00123C50" w:rsidRPr="00C81924">
        <w:rPr>
          <w:rFonts w:eastAsiaTheme="majorEastAsia" w:cs="Times New Roman"/>
          <w:b/>
          <w:szCs w:val="24"/>
        </w:rPr>
        <w:t>R</w:t>
      </w:r>
      <w:r w:rsidRPr="00C81924">
        <w:rPr>
          <w:rFonts w:eastAsiaTheme="majorEastAsia" w:cs="Times New Roman"/>
          <w:b/>
          <w:szCs w:val="24"/>
        </w:rPr>
        <w:t xml:space="preserve">esistant and Extended β-lactamase (ESBL) </w:t>
      </w:r>
      <w:r w:rsidR="00123C50" w:rsidRPr="00C81924">
        <w:rPr>
          <w:rFonts w:eastAsiaTheme="majorEastAsia" w:cs="Times New Roman"/>
          <w:b/>
          <w:szCs w:val="24"/>
        </w:rPr>
        <w:t>P</w:t>
      </w:r>
      <w:r w:rsidRPr="00C81924">
        <w:rPr>
          <w:rFonts w:eastAsiaTheme="majorEastAsia" w:cs="Times New Roman"/>
          <w:b/>
          <w:szCs w:val="24"/>
        </w:rPr>
        <w:t xml:space="preserve">roducing </w:t>
      </w:r>
      <w:proofErr w:type="gramStart"/>
      <w:r w:rsidRPr="00C81924">
        <w:rPr>
          <w:b/>
          <w:bCs/>
          <w:i/>
          <w:iCs/>
          <w:szCs w:val="24"/>
        </w:rPr>
        <w:t>E.coli</w:t>
      </w:r>
      <w:proofErr w:type="gramEnd"/>
      <w:r w:rsidRPr="00C81924">
        <w:rPr>
          <w:rFonts w:eastAsiaTheme="majorEastAsia" w:cs="Times New Roman"/>
          <w:b/>
          <w:szCs w:val="24"/>
        </w:rPr>
        <w:t xml:space="preserve"> </w:t>
      </w:r>
      <w:r w:rsidR="00123C50" w:rsidRPr="00C81924">
        <w:rPr>
          <w:rFonts w:eastAsiaTheme="majorEastAsia" w:cs="Times New Roman"/>
          <w:b/>
          <w:szCs w:val="24"/>
        </w:rPr>
        <w:t>I</w:t>
      </w:r>
      <w:r w:rsidRPr="00C81924">
        <w:rPr>
          <w:rFonts w:eastAsiaTheme="majorEastAsia" w:cs="Times New Roman"/>
          <w:b/>
          <w:szCs w:val="24"/>
        </w:rPr>
        <w:t>solates</w:t>
      </w:r>
      <w:bookmarkEnd w:id="24"/>
    </w:p>
    <w:p w14:paraId="501B0C18" w14:textId="166613FD" w:rsidR="0058304E" w:rsidRPr="00C81924" w:rsidRDefault="0058304E" w:rsidP="00FD54F5">
      <w:pPr>
        <w:spacing w:line="240" w:lineRule="auto"/>
        <w:jc w:val="both"/>
        <w:rPr>
          <w:rFonts w:cs="Times New Roman"/>
          <w:szCs w:val="24"/>
        </w:rPr>
      </w:pPr>
      <w:r w:rsidRPr="00C81924">
        <w:rPr>
          <w:rFonts w:cs="Times New Roman"/>
          <w:szCs w:val="24"/>
        </w:rPr>
        <w:t xml:space="preserve">The prevalence of multidrug-resistant (MDR) and Extended β-lactamase (ESBL) producing </w:t>
      </w:r>
      <w:r w:rsidRPr="00C81924">
        <w:rPr>
          <w:rFonts w:cs="Times New Roman"/>
          <w:i/>
          <w:iCs/>
          <w:szCs w:val="24"/>
        </w:rPr>
        <w:t>Escherichia coli</w:t>
      </w:r>
      <w:r w:rsidRPr="00C81924">
        <w:rPr>
          <w:rFonts w:cs="Times New Roman"/>
          <w:szCs w:val="24"/>
        </w:rPr>
        <w:t xml:space="preserve"> isolates is presented in Table </w:t>
      </w:r>
      <w:r w:rsidR="00BF0A2A" w:rsidRPr="00C81924">
        <w:rPr>
          <w:rFonts w:cs="Times New Roman"/>
          <w:szCs w:val="24"/>
        </w:rPr>
        <w:t>5.</w:t>
      </w:r>
    </w:p>
    <w:p w14:paraId="1423F42A" w14:textId="2EAC7339" w:rsidR="00135198" w:rsidRPr="00C81924" w:rsidRDefault="0058304E" w:rsidP="005F0536">
      <w:pPr>
        <w:spacing w:line="240" w:lineRule="auto"/>
        <w:jc w:val="both"/>
        <w:rPr>
          <w:rFonts w:cs="Times New Roman"/>
          <w:szCs w:val="24"/>
        </w:rPr>
      </w:pPr>
      <w:r w:rsidRPr="00C81924">
        <w:rPr>
          <w:rFonts w:cs="Times New Roman"/>
          <w:szCs w:val="24"/>
        </w:rPr>
        <w:t xml:space="preserve">Out of the 61 </w:t>
      </w:r>
      <w:r w:rsidRPr="00C81924">
        <w:rPr>
          <w:rFonts w:cs="Times New Roman"/>
          <w:i/>
          <w:iCs/>
          <w:szCs w:val="24"/>
        </w:rPr>
        <w:t>E. coli</w:t>
      </w:r>
      <w:r w:rsidRPr="00C81924">
        <w:rPr>
          <w:rFonts w:cs="Times New Roman"/>
          <w:szCs w:val="24"/>
        </w:rPr>
        <w:t xml:space="preserve"> isolates tested, 28 isolates (45.9%) were identified as multidrug-resistant (MDR), while 33 isolates (54.1%) were non-MDR. Regarding ESBL production, 26 isolates </w:t>
      </w:r>
      <w:r w:rsidRPr="00C81924">
        <w:rPr>
          <w:rFonts w:cs="Times New Roman"/>
          <w:szCs w:val="24"/>
        </w:rPr>
        <w:lastRenderedPageBreak/>
        <w:t>(42.6%) were identified as ESBL producers, while 35 isolates (57.4%) were non-ESBL producers.</w:t>
      </w:r>
    </w:p>
    <w:p w14:paraId="5DBC9D31" w14:textId="77777777" w:rsidR="00824961" w:rsidRPr="00C81924" w:rsidRDefault="00824961" w:rsidP="005F0536">
      <w:pPr>
        <w:spacing w:line="240" w:lineRule="auto"/>
        <w:jc w:val="both"/>
        <w:rPr>
          <w:rFonts w:cs="Times New Roman"/>
          <w:szCs w:val="24"/>
        </w:rPr>
      </w:pPr>
    </w:p>
    <w:p w14:paraId="3045CAF6" w14:textId="155DD896" w:rsidR="0058304E" w:rsidRPr="00C81924" w:rsidRDefault="0058304E" w:rsidP="005F0536">
      <w:pPr>
        <w:spacing w:line="240" w:lineRule="auto"/>
        <w:jc w:val="both"/>
        <w:rPr>
          <w:rFonts w:cs="Times New Roman"/>
          <w:szCs w:val="24"/>
        </w:rPr>
      </w:pPr>
      <w:r w:rsidRPr="00C81924">
        <w:rPr>
          <w:rFonts w:cs="Times New Roman"/>
          <w:b/>
          <w:bCs/>
          <w:szCs w:val="24"/>
        </w:rPr>
        <w:t xml:space="preserve">Table </w:t>
      </w:r>
      <w:r w:rsidR="00EC4305" w:rsidRPr="00C81924">
        <w:rPr>
          <w:rFonts w:cs="Times New Roman"/>
          <w:b/>
          <w:bCs/>
          <w:szCs w:val="24"/>
        </w:rPr>
        <w:t>5</w:t>
      </w:r>
      <w:r w:rsidRPr="00C81924">
        <w:rPr>
          <w:rFonts w:cs="Times New Roman"/>
          <w:b/>
          <w:bCs/>
          <w:szCs w:val="24"/>
        </w:rPr>
        <w:t xml:space="preserve">: Prevalence of Multidrug-resistant and Extended β-lactamase (ESBL) producing </w:t>
      </w:r>
      <w:r w:rsidRPr="00C81924">
        <w:rPr>
          <w:rFonts w:cs="Times New Roman"/>
          <w:b/>
          <w:bCs/>
          <w:i/>
          <w:iCs/>
          <w:szCs w:val="24"/>
        </w:rPr>
        <w:t>E.</w:t>
      </w:r>
      <w:r w:rsidRPr="00C81924">
        <w:rPr>
          <w:rFonts w:cs="Times New Roman"/>
          <w:i/>
          <w:iCs/>
          <w:szCs w:val="24"/>
        </w:rPr>
        <w:t xml:space="preserve"> </w:t>
      </w:r>
      <w:r w:rsidRPr="00C81924">
        <w:rPr>
          <w:rFonts w:cs="Times New Roman"/>
          <w:b/>
          <w:bCs/>
          <w:i/>
          <w:iCs/>
          <w:szCs w:val="24"/>
        </w:rPr>
        <w:t xml:space="preserve">coli </w:t>
      </w:r>
      <w:r w:rsidRPr="00C81924">
        <w:rPr>
          <w:rFonts w:cs="Times New Roman"/>
          <w:b/>
          <w:bCs/>
          <w:szCs w:val="24"/>
        </w:rPr>
        <w:t>isolates</w:t>
      </w:r>
    </w:p>
    <w:tbl>
      <w:tblPr>
        <w:tblStyle w:val="TableGrid2"/>
        <w:tblW w:w="937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4"/>
        <w:gridCol w:w="2184"/>
        <w:gridCol w:w="2421"/>
      </w:tblGrid>
      <w:tr w:rsidR="0058304E" w:rsidRPr="00C81924" w14:paraId="4068AA90" w14:textId="77777777" w:rsidTr="00F06ABF">
        <w:trPr>
          <w:trHeight w:val="617"/>
        </w:trPr>
        <w:tc>
          <w:tcPr>
            <w:tcW w:w="4774" w:type="dxa"/>
            <w:tcBorders>
              <w:bottom w:val="single" w:sz="4" w:space="0" w:color="auto"/>
            </w:tcBorders>
          </w:tcPr>
          <w:p w14:paraId="00880E32" w14:textId="77777777" w:rsidR="0058304E" w:rsidRPr="00C81924" w:rsidRDefault="0058304E" w:rsidP="00FD54F5">
            <w:pPr>
              <w:spacing w:line="240" w:lineRule="auto"/>
              <w:jc w:val="both"/>
              <w:rPr>
                <w:b/>
                <w:bCs/>
              </w:rPr>
            </w:pPr>
            <w:r w:rsidRPr="00C81924">
              <w:rPr>
                <w:b/>
                <w:bCs/>
              </w:rPr>
              <w:t>Variable</w:t>
            </w:r>
          </w:p>
        </w:tc>
        <w:tc>
          <w:tcPr>
            <w:tcW w:w="4605" w:type="dxa"/>
            <w:gridSpan w:val="2"/>
            <w:tcBorders>
              <w:bottom w:val="single" w:sz="4" w:space="0" w:color="auto"/>
            </w:tcBorders>
          </w:tcPr>
          <w:p w14:paraId="7E954AEF" w14:textId="77777777" w:rsidR="0058304E" w:rsidRPr="00C81924" w:rsidRDefault="0058304E" w:rsidP="00FD54F5">
            <w:pPr>
              <w:spacing w:line="240" w:lineRule="auto"/>
              <w:jc w:val="center"/>
              <w:rPr>
                <w:b/>
                <w:bCs/>
                <w:szCs w:val="24"/>
              </w:rPr>
            </w:pPr>
            <w:r w:rsidRPr="00C81924">
              <w:rPr>
                <w:b/>
                <w:bCs/>
                <w:i/>
                <w:iCs/>
                <w:szCs w:val="24"/>
                <w:lang w:val="en-US"/>
              </w:rPr>
              <w:t xml:space="preserve">E. coli </w:t>
            </w:r>
            <w:r w:rsidRPr="00C81924">
              <w:rPr>
                <w:b/>
                <w:bCs/>
                <w:szCs w:val="24"/>
                <w:lang w:val="en-US"/>
              </w:rPr>
              <w:t>Isolates (N = 61)</w:t>
            </w:r>
          </w:p>
        </w:tc>
      </w:tr>
      <w:tr w:rsidR="0058304E" w:rsidRPr="00C81924" w14:paraId="711F76F1" w14:textId="77777777" w:rsidTr="00F06ABF">
        <w:trPr>
          <w:trHeight w:val="910"/>
        </w:trPr>
        <w:tc>
          <w:tcPr>
            <w:tcW w:w="4774" w:type="dxa"/>
            <w:tcBorders>
              <w:top w:val="single" w:sz="4" w:space="0" w:color="auto"/>
            </w:tcBorders>
          </w:tcPr>
          <w:p w14:paraId="0A641F5F" w14:textId="77777777" w:rsidR="0058304E" w:rsidRPr="00C81924" w:rsidRDefault="0058304E" w:rsidP="00FD54F5">
            <w:pPr>
              <w:spacing w:line="240" w:lineRule="auto"/>
              <w:jc w:val="both"/>
            </w:pPr>
            <w:r w:rsidRPr="00C81924">
              <w:t>Multidrug Resistance (MDR)</w:t>
            </w:r>
          </w:p>
        </w:tc>
        <w:tc>
          <w:tcPr>
            <w:tcW w:w="2184" w:type="dxa"/>
            <w:tcBorders>
              <w:top w:val="single" w:sz="4" w:space="0" w:color="auto"/>
            </w:tcBorders>
          </w:tcPr>
          <w:p w14:paraId="3E1436CF" w14:textId="77777777" w:rsidR="0058304E" w:rsidRPr="00C81924" w:rsidRDefault="0058304E" w:rsidP="00FD54F5">
            <w:pPr>
              <w:spacing w:line="240" w:lineRule="auto"/>
              <w:jc w:val="center"/>
              <w:rPr>
                <w:szCs w:val="24"/>
              </w:rPr>
            </w:pPr>
            <w:r w:rsidRPr="00C81924">
              <w:rPr>
                <w:szCs w:val="24"/>
              </w:rPr>
              <w:t>Non-MDR (%)</w:t>
            </w:r>
          </w:p>
        </w:tc>
        <w:tc>
          <w:tcPr>
            <w:tcW w:w="2421" w:type="dxa"/>
            <w:tcBorders>
              <w:top w:val="single" w:sz="4" w:space="0" w:color="auto"/>
            </w:tcBorders>
          </w:tcPr>
          <w:p w14:paraId="28877EFD" w14:textId="77777777" w:rsidR="0058304E" w:rsidRPr="00C81924" w:rsidRDefault="0058304E" w:rsidP="00FD54F5">
            <w:pPr>
              <w:spacing w:line="240" w:lineRule="auto"/>
              <w:jc w:val="center"/>
              <w:rPr>
                <w:szCs w:val="24"/>
              </w:rPr>
            </w:pPr>
            <w:r w:rsidRPr="00C81924">
              <w:rPr>
                <w:szCs w:val="24"/>
              </w:rPr>
              <w:t>MDR (%)</w:t>
            </w:r>
          </w:p>
        </w:tc>
      </w:tr>
      <w:tr w:rsidR="0058304E" w:rsidRPr="00C81924" w14:paraId="321344B9" w14:textId="77777777" w:rsidTr="00F06ABF">
        <w:trPr>
          <w:trHeight w:val="910"/>
        </w:trPr>
        <w:tc>
          <w:tcPr>
            <w:tcW w:w="4774" w:type="dxa"/>
          </w:tcPr>
          <w:p w14:paraId="5F22DCE2" w14:textId="77777777" w:rsidR="0058304E" w:rsidRPr="00C81924" w:rsidRDefault="0058304E" w:rsidP="00FD54F5">
            <w:pPr>
              <w:spacing w:line="240" w:lineRule="auto"/>
              <w:jc w:val="both"/>
            </w:pPr>
          </w:p>
        </w:tc>
        <w:tc>
          <w:tcPr>
            <w:tcW w:w="2184" w:type="dxa"/>
          </w:tcPr>
          <w:p w14:paraId="5780A224" w14:textId="77777777" w:rsidR="0058304E" w:rsidRPr="00C81924" w:rsidRDefault="0058304E" w:rsidP="00FD54F5">
            <w:pPr>
              <w:spacing w:line="240" w:lineRule="auto"/>
              <w:jc w:val="center"/>
              <w:rPr>
                <w:szCs w:val="24"/>
              </w:rPr>
            </w:pPr>
            <w:r w:rsidRPr="00C81924">
              <w:rPr>
                <w:szCs w:val="24"/>
              </w:rPr>
              <w:t>28 (45.9)</w:t>
            </w:r>
          </w:p>
        </w:tc>
        <w:tc>
          <w:tcPr>
            <w:tcW w:w="2421" w:type="dxa"/>
          </w:tcPr>
          <w:p w14:paraId="7CD92953" w14:textId="77777777" w:rsidR="0058304E" w:rsidRPr="00C81924" w:rsidRDefault="0058304E" w:rsidP="00FD54F5">
            <w:pPr>
              <w:spacing w:line="240" w:lineRule="auto"/>
              <w:jc w:val="center"/>
              <w:rPr>
                <w:szCs w:val="24"/>
              </w:rPr>
            </w:pPr>
            <w:r w:rsidRPr="00C81924">
              <w:rPr>
                <w:szCs w:val="24"/>
              </w:rPr>
              <w:t>33 (54.1)</w:t>
            </w:r>
          </w:p>
        </w:tc>
      </w:tr>
      <w:tr w:rsidR="0058304E" w:rsidRPr="00C81924" w14:paraId="6E262746" w14:textId="77777777" w:rsidTr="00F06ABF">
        <w:trPr>
          <w:trHeight w:val="910"/>
        </w:trPr>
        <w:tc>
          <w:tcPr>
            <w:tcW w:w="4774" w:type="dxa"/>
          </w:tcPr>
          <w:p w14:paraId="28403284" w14:textId="77777777" w:rsidR="0058304E" w:rsidRPr="00C81924" w:rsidRDefault="0058304E" w:rsidP="00FD54F5">
            <w:pPr>
              <w:spacing w:line="240" w:lineRule="auto"/>
              <w:jc w:val="both"/>
            </w:pPr>
            <w:bookmarkStart w:id="25" w:name="_Hlk115169394"/>
            <w:r w:rsidRPr="00C81924">
              <w:rPr>
                <w:szCs w:val="24"/>
              </w:rPr>
              <w:t>Extended β-lactamase (ESBL) Production</w:t>
            </w:r>
            <w:bookmarkEnd w:id="25"/>
          </w:p>
        </w:tc>
        <w:tc>
          <w:tcPr>
            <w:tcW w:w="2184" w:type="dxa"/>
          </w:tcPr>
          <w:p w14:paraId="41DECC77" w14:textId="77777777" w:rsidR="0058304E" w:rsidRPr="00C81924" w:rsidRDefault="0058304E" w:rsidP="00FD54F5">
            <w:pPr>
              <w:spacing w:line="240" w:lineRule="auto"/>
              <w:jc w:val="center"/>
              <w:rPr>
                <w:szCs w:val="24"/>
              </w:rPr>
            </w:pPr>
            <w:r w:rsidRPr="00C81924">
              <w:rPr>
                <w:szCs w:val="24"/>
              </w:rPr>
              <w:t>Non-ESBL (%)</w:t>
            </w:r>
          </w:p>
        </w:tc>
        <w:tc>
          <w:tcPr>
            <w:tcW w:w="2421" w:type="dxa"/>
          </w:tcPr>
          <w:p w14:paraId="1B56DB42" w14:textId="77777777" w:rsidR="0058304E" w:rsidRPr="00C81924" w:rsidRDefault="0058304E" w:rsidP="00FD54F5">
            <w:pPr>
              <w:spacing w:line="240" w:lineRule="auto"/>
              <w:jc w:val="center"/>
              <w:rPr>
                <w:szCs w:val="24"/>
              </w:rPr>
            </w:pPr>
            <w:r w:rsidRPr="00C81924">
              <w:rPr>
                <w:szCs w:val="24"/>
              </w:rPr>
              <w:t>ESBL (%)</w:t>
            </w:r>
          </w:p>
        </w:tc>
      </w:tr>
      <w:tr w:rsidR="0058304E" w:rsidRPr="00C81924" w14:paraId="06A20A5B" w14:textId="77777777" w:rsidTr="00F06ABF">
        <w:trPr>
          <w:trHeight w:val="674"/>
        </w:trPr>
        <w:tc>
          <w:tcPr>
            <w:tcW w:w="4774" w:type="dxa"/>
          </w:tcPr>
          <w:p w14:paraId="48BDA064" w14:textId="77777777" w:rsidR="0058304E" w:rsidRPr="00C81924" w:rsidRDefault="0058304E" w:rsidP="00FD54F5">
            <w:pPr>
              <w:spacing w:line="240" w:lineRule="auto"/>
              <w:jc w:val="both"/>
              <w:rPr>
                <w:b/>
                <w:bCs/>
                <w:szCs w:val="24"/>
              </w:rPr>
            </w:pPr>
          </w:p>
        </w:tc>
        <w:tc>
          <w:tcPr>
            <w:tcW w:w="2184" w:type="dxa"/>
          </w:tcPr>
          <w:p w14:paraId="2DBEEED3" w14:textId="77777777" w:rsidR="0058304E" w:rsidRPr="00C81924" w:rsidRDefault="0058304E" w:rsidP="00FD54F5">
            <w:pPr>
              <w:spacing w:line="240" w:lineRule="auto"/>
              <w:jc w:val="center"/>
              <w:rPr>
                <w:szCs w:val="24"/>
              </w:rPr>
            </w:pPr>
            <w:r w:rsidRPr="00C81924">
              <w:t>35 (57.4)</w:t>
            </w:r>
          </w:p>
        </w:tc>
        <w:tc>
          <w:tcPr>
            <w:tcW w:w="2421" w:type="dxa"/>
          </w:tcPr>
          <w:p w14:paraId="10DCEDF8" w14:textId="77777777" w:rsidR="0058304E" w:rsidRPr="00C81924" w:rsidRDefault="0058304E" w:rsidP="00FD54F5">
            <w:pPr>
              <w:spacing w:line="240" w:lineRule="auto"/>
              <w:jc w:val="center"/>
              <w:rPr>
                <w:szCs w:val="24"/>
              </w:rPr>
            </w:pPr>
            <w:r w:rsidRPr="00C81924">
              <w:t>26 (42.6)</w:t>
            </w:r>
          </w:p>
        </w:tc>
      </w:tr>
    </w:tbl>
    <w:p w14:paraId="1173EE92" w14:textId="77777777" w:rsidR="0058304E" w:rsidRPr="00C81924" w:rsidRDefault="0058304E" w:rsidP="00FD54F5">
      <w:pPr>
        <w:spacing w:line="240" w:lineRule="auto"/>
        <w:jc w:val="both"/>
        <w:rPr>
          <w:rFonts w:cs="Times New Roman"/>
          <w:szCs w:val="24"/>
        </w:rPr>
      </w:pPr>
    </w:p>
    <w:p w14:paraId="55E1734F" w14:textId="51D11B8B" w:rsidR="0058304E" w:rsidRPr="00C81924" w:rsidRDefault="00135198" w:rsidP="00925B01">
      <w:pPr>
        <w:spacing w:line="240" w:lineRule="auto"/>
        <w:rPr>
          <w:rFonts w:cs="Times New Roman"/>
          <w:szCs w:val="24"/>
        </w:rPr>
      </w:pPr>
      <w:r w:rsidRPr="00C81924">
        <w:rPr>
          <w:rFonts w:cs="Times New Roman"/>
          <w:b/>
          <w:bCs/>
          <w:szCs w:val="24"/>
        </w:rPr>
        <w:t>Discussion</w:t>
      </w:r>
    </w:p>
    <w:p w14:paraId="493DC527" w14:textId="5DFE36F7" w:rsidR="0058304E" w:rsidRPr="00C81924" w:rsidRDefault="0058304E" w:rsidP="00FD54F5">
      <w:pPr>
        <w:spacing w:line="240" w:lineRule="auto"/>
        <w:jc w:val="both"/>
        <w:rPr>
          <w:rFonts w:cs="Times New Roman"/>
          <w:szCs w:val="24"/>
        </w:rPr>
      </w:pPr>
      <w:r w:rsidRPr="00C81924">
        <w:rPr>
          <w:rFonts w:cs="Times New Roman"/>
          <w:szCs w:val="24"/>
        </w:rPr>
        <w:t xml:space="preserve">Among the 300 clinical samples analyzed, </w:t>
      </w:r>
      <w:r w:rsidRPr="00C81924">
        <w:rPr>
          <w:rFonts w:cs="Times New Roman"/>
          <w:i/>
          <w:iCs/>
          <w:szCs w:val="24"/>
        </w:rPr>
        <w:t>E. coli</w:t>
      </w:r>
      <w:r w:rsidRPr="00C81924">
        <w:rPr>
          <w:rFonts w:cs="Times New Roman"/>
          <w:szCs w:val="24"/>
        </w:rPr>
        <w:t xml:space="preserve"> growth was detected in 61 samples, representing 20.3% of the total isolates. Conversely, the absence of </w:t>
      </w:r>
      <w:r w:rsidRPr="00C81924">
        <w:rPr>
          <w:rFonts w:cs="Times New Roman"/>
          <w:i/>
          <w:iCs/>
          <w:szCs w:val="24"/>
        </w:rPr>
        <w:t>E. coli</w:t>
      </w:r>
      <w:r w:rsidRPr="00C81924">
        <w:rPr>
          <w:rFonts w:cs="Times New Roman"/>
          <w:szCs w:val="24"/>
        </w:rPr>
        <w:t xml:space="preserve"> growth was observed in 239 samples, accounting for 79.7% of the total isolates. This prevalence of </w:t>
      </w:r>
      <w:r w:rsidRPr="00C81924">
        <w:rPr>
          <w:rFonts w:cs="Times New Roman"/>
          <w:i/>
          <w:iCs/>
          <w:szCs w:val="24"/>
        </w:rPr>
        <w:t>E. coli</w:t>
      </w:r>
      <w:r w:rsidRPr="00C81924">
        <w:rPr>
          <w:rFonts w:cs="Times New Roman"/>
          <w:szCs w:val="24"/>
        </w:rPr>
        <w:t xml:space="preserve"> in clinical samples underscores the significance of this bacterial species as a potential pathogen in the studied healthcare setting</w:t>
      </w:r>
      <w:r w:rsidR="00061995" w:rsidRPr="00C81924">
        <w:rPr>
          <w:rFonts w:cs="Times New Roman"/>
          <w:szCs w:val="24"/>
        </w:rPr>
        <w:t xml:space="preserve">. </w:t>
      </w:r>
      <w:r w:rsidRPr="00C81924">
        <w:rPr>
          <w:rFonts w:cs="Times New Roman"/>
          <w:szCs w:val="24"/>
        </w:rPr>
        <w:t xml:space="preserve">The observed prevalence of </w:t>
      </w:r>
      <w:r w:rsidRPr="00C81924">
        <w:rPr>
          <w:rFonts w:cs="Times New Roman"/>
          <w:i/>
          <w:iCs/>
          <w:szCs w:val="24"/>
        </w:rPr>
        <w:t>E. coli</w:t>
      </w:r>
      <w:r w:rsidRPr="00C81924">
        <w:rPr>
          <w:rFonts w:cs="Times New Roman"/>
          <w:szCs w:val="24"/>
        </w:rPr>
        <w:t xml:space="preserve"> in the clinical samples aligns with existing literature documenting the ubiquitous nature of this bacterium in healthcare settings (</w:t>
      </w:r>
      <w:proofErr w:type="spellStart"/>
      <w:r w:rsidRPr="00C81924">
        <w:rPr>
          <w:rFonts w:cs="Times New Roman"/>
          <w:szCs w:val="24"/>
        </w:rPr>
        <w:t>Tajbakhsh</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2016; </w:t>
      </w:r>
      <w:proofErr w:type="spellStart"/>
      <w:r w:rsidRPr="00C81924">
        <w:rPr>
          <w:rFonts w:cs="Times New Roman"/>
          <w:szCs w:val="24"/>
        </w:rPr>
        <w:t>Iliyasu</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Dadashi</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2019). Factors such as poor hygiene practices, inadequate sanitation, and compromised host immunity can contribute to the transmission and proliferation of </w:t>
      </w:r>
      <w:r w:rsidRPr="00C81924">
        <w:rPr>
          <w:rFonts w:cs="Times New Roman"/>
          <w:i/>
          <w:iCs/>
          <w:szCs w:val="24"/>
        </w:rPr>
        <w:t>E. coli</w:t>
      </w:r>
      <w:r w:rsidRPr="00C81924">
        <w:rPr>
          <w:rFonts w:cs="Times New Roman"/>
          <w:szCs w:val="24"/>
        </w:rPr>
        <w:t xml:space="preserve"> in healthcare environments. Additionally, the ability of </w:t>
      </w:r>
      <w:r w:rsidRPr="00C81924">
        <w:rPr>
          <w:rFonts w:cs="Times New Roman"/>
          <w:i/>
          <w:iCs/>
          <w:szCs w:val="24"/>
        </w:rPr>
        <w:t>E. coli</w:t>
      </w:r>
      <w:r w:rsidRPr="00C81924">
        <w:rPr>
          <w:rFonts w:cs="Times New Roman"/>
          <w:szCs w:val="24"/>
        </w:rPr>
        <w:t xml:space="preserve"> to survive and persist in diverse environmental conditions further enhances its potential as a nosocomial pathogen (Gonzales‐</w:t>
      </w:r>
      <w:proofErr w:type="spellStart"/>
      <w:r w:rsidRPr="00C81924">
        <w:rPr>
          <w:rFonts w:cs="Times New Roman"/>
          <w:szCs w:val="24"/>
        </w:rPr>
        <w:t>Siles</w:t>
      </w:r>
      <w:proofErr w:type="spellEnd"/>
      <w:r w:rsidRPr="00C81924">
        <w:rPr>
          <w:rFonts w:cs="Times New Roman"/>
          <w:szCs w:val="24"/>
        </w:rPr>
        <w:t xml:space="preserve"> &amp; </w:t>
      </w:r>
      <w:proofErr w:type="spellStart"/>
      <w:r w:rsidRPr="00C81924">
        <w:rPr>
          <w:rFonts w:cs="Times New Roman"/>
          <w:szCs w:val="24"/>
        </w:rPr>
        <w:t>Sjöling</w:t>
      </w:r>
      <w:proofErr w:type="spellEnd"/>
      <w:r w:rsidRPr="00C81924">
        <w:rPr>
          <w:rFonts w:cs="Times New Roman"/>
          <w:szCs w:val="24"/>
        </w:rPr>
        <w:t>, 2016), capable of causing both community-acquired and healthcare-associated infections.</w:t>
      </w:r>
    </w:p>
    <w:p w14:paraId="61C132F8" w14:textId="5D60611F" w:rsidR="0058304E" w:rsidRPr="00C81924" w:rsidRDefault="0058304E" w:rsidP="00FD54F5">
      <w:pPr>
        <w:spacing w:line="240" w:lineRule="auto"/>
        <w:jc w:val="both"/>
        <w:rPr>
          <w:rFonts w:cs="Times New Roman"/>
          <w:szCs w:val="24"/>
        </w:rPr>
      </w:pPr>
      <w:r w:rsidRPr="00C81924">
        <w:rPr>
          <w:rFonts w:cs="Times New Roman"/>
          <w:szCs w:val="24"/>
        </w:rPr>
        <w:t xml:space="preserve"> Among the 61 </w:t>
      </w:r>
      <w:r w:rsidRPr="00C81924">
        <w:rPr>
          <w:rFonts w:cs="Times New Roman"/>
          <w:i/>
          <w:iCs/>
          <w:szCs w:val="24"/>
        </w:rPr>
        <w:t>E. coli</w:t>
      </w:r>
      <w:r w:rsidRPr="00C81924">
        <w:rPr>
          <w:rFonts w:cs="Times New Roman"/>
          <w:szCs w:val="24"/>
        </w:rPr>
        <w:t xml:space="preserve"> isolates identified, urine samples emerged as the predominant source, accounting for the majority of isolates at 62.3%. This observation is consistent with the well-documented association between </w:t>
      </w:r>
      <w:r w:rsidRPr="00C81924">
        <w:rPr>
          <w:rFonts w:cs="Times New Roman"/>
          <w:i/>
          <w:iCs/>
          <w:szCs w:val="24"/>
        </w:rPr>
        <w:t>E. coli</w:t>
      </w:r>
      <w:r w:rsidRPr="00C81924">
        <w:rPr>
          <w:rFonts w:cs="Times New Roman"/>
          <w:szCs w:val="24"/>
        </w:rPr>
        <w:t xml:space="preserve"> and urinary tract infections (UTIs) (</w:t>
      </w:r>
      <w:proofErr w:type="spellStart"/>
      <w:r w:rsidRPr="00C81924">
        <w:rPr>
          <w:rFonts w:cs="Times New Roman"/>
          <w:szCs w:val="24"/>
        </w:rPr>
        <w:t>Ejrnæs</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2011; Mao </w:t>
      </w:r>
      <w:r w:rsidRPr="00C81924">
        <w:rPr>
          <w:rFonts w:cs="Times New Roman"/>
          <w:i/>
          <w:iCs/>
          <w:szCs w:val="24"/>
        </w:rPr>
        <w:t>et al.</w:t>
      </w:r>
      <w:r w:rsidRPr="00C81924">
        <w:rPr>
          <w:rFonts w:cs="Times New Roman"/>
          <w:szCs w:val="24"/>
        </w:rPr>
        <w:t xml:space="preserve">, 2012; Lin </w:t>
      </w:r>
      <w:r w:rsidRPr="00C81924">
        <w:rPr>
          <w:rFonts w:cs="Times New Roman"/>
          <w:i/>
          <w:iCs/>
          <w:szCs w:val="24"/>
        </w:rPr>
        <w:t>et al.</w:t>
      </w:r>
      <w:r w:rsidRPr="00C81924">
        <w:rPr>
          <w:rFonts w:cs="Times New Roman"/>
          <w:szCs w:val="24"/>
        </w:rPr>
        <w:t xml:space="preserve">, 2022), as </w:t>
      </w:r>
      <w:r w:rsidRPr="00C81924">
        <w:rPr>
          <w:rFonts w:cs="Times New Roman"/>
          <w:i/>
          <w:iCs/>
          <w:szCs w:val="24"/>
        </w:rPr>
        <w:t>E. coli</w:t>
      </w:r>
      <w:r w:rsidRPr="00C81924">
        <w:rPr>
          <w:rFonts w:cs="Times New Roman"/>
          <w:szCs w:val="24"/>
        </w:rPr>
        <w:t xml:space="preserve"> is one of the most common pathogens implicated in both community-acquired and healthcare-associated UTIs (Medina-Polo </w:t>
      </w:r>
      <w:r w:rsidRPr="00C81924">
        <w:rPr>
          <w:rFonts w:cs="Times New Roman"/>
          <w:i/>
          <w:iCs/>
          <w:szCs w:val="24"/>
        </w:rPr>
        <w:t>et al.</w:t>
      </w:r>
      <w:r w:rsidRPr="00C81924">
        <w:rPr>
          <w:rFonts w:cs="Times New Roman"/>
          <w:szCs w:val="24"/>
        </w:rPr>
        <w:t xml:space="preserve">, 2021; Kumar Shrestha </w:t>
      </w:r>
      <w:r w:rsidRPr="00C81924">
        <w:rPr>
          <w:rFonts w:cs="Times New Roman"/>
          <w:i/>
          <w:iCs/>
          <w:szCs w:val="24"/>
        </w:rPr>
        <w:t>et al.</w:t>
      </w:r>
      <w:r w:rsidRPr="00C81924">
        <w:rPr>
          <w:rFonts w:cs="Times New Roman"/>
          <w:szCs w:val="24"/>
        </w:rPr>
        <w:t xml:space="preserve">, 2022). The high prevalence of </w:t>
      </w:r>
      <w:r w:rsidRPr="00C81924">
        <w:rPr>
          <w:rFonts w:cs="Times New Roman"/>
          <w:i/>
          <w:iCs/>
          <w:szCs w:val="24"/>
        </w:rPr>
        <w:t>E. coli</w:t>
      </w:r>
      <w:r w:rsidRPr="00C81924">
        <w:rPr>
          <w:rFonts w:cs="Times New Roman"/>
          <w:szCs w:val="24"/>
        </w:rPr>
        <w:t xml:space="preserve"> in urine samples underscores the importance of vigilant screening and management strategies to address UTIs effectively, considering the potential for complications such as pyelonephritis and septicemia.</w:t>
      </w:r>
    </w:p>
    <w:p w14:paraId="4BCD5113"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Furthermore, the distribution of </w:t>
      </w:r>
      <w:r w:rsidRPr="00C81924">
        <w:rPr>
          <w:rFonts w:cs="Times New Roman"/>
          <w:i/>
          <w:iCs/>
          <w:szCs w:val="24"/>
        </w:rPr>
        <w:t>E. coli</w:t>
      </w:r>
      <w:r w:rsidRPr="00C81924">
        <w:rPr>
          <w:rFonts w:cs="Times New Roman"/>
          <w:szCs w:val="24"/>
        </w:rPr>
        <w:t xml:space="preserve"> isolates across different clinical samples highlights the diverse sites of infection associated with this bacterium. High vaginal swabs contributed a significant proportion of isolates at 24.6%, indicating the potential involvement of </w:t>
      </w:r>
      <w:r w:rsidRPr="00C81924">
        <w:rPr>
          <w:rFonts w:cs="Times New Roman"/>
          <w:i/>
          <w:iCs/>
          <w:szCs w:val="24"/>
        </w:rPr>
        <w:t>E. coli</w:t>
      </w:r>
      <w:r w:rsidRPr="00C81924">
        <w:rPr>
          <w:rFonts w:cs="Times New Roman"/>
          <w:szCs w:val="24"/>
        </w:rPr>
        <w:t xml:space="preserve"> in genital tract infections. While </w:t>
      </w:r>
      <w:r w:rsidRPr="00C81924">
        <w:rPr>
          <w:rFonts w:cs="Times New Roman"/>
          <w:i/>
          <w:iCs/>
          <w:szCs w:val="24"/>
        </w:rPr>
        <w:t>E. coli</w:t>
      </w:r>
      <w:r w:rsidRPr="00C81924">
        <w:rPr>
          <w:rFonts w:cs="Times New Roman"/>
          <w:szCs w:val="24"/>
        </w:rPr>
        <w:t xml:space="preserve"> is not typically considered a primary pathogen in the </w:t>
      </w:r>
      <w:r w:rsidRPr="00C81924">
        <w:rPr>
          <w:rFonts w:cs="Times New Roman"/>
          <w:szCs w:val="24"/>
        </w:rPr>
        <w:lastRenderedPageBreak/>
        <w:t xml:space="preserve">vaginal environment (Villegas </w:t>
      </w:r>
      <w:r w:rsidRPr="00C81924">
        <w:rPr>
          <w:rFonts w:cs="Times New Roman"/>
          <w:i/>
          <w:iCs/>
          <w:szCs w:val="24"/>
        </w:rPr>
        <w:t>et al.</w:t>
      </w:r>
      <w:r w:rsidRPr="00C81924">
        <w:rPr>
          <w:rFonts w:cs="Times New Roman"/>
          <w:szCs w:val="24"/>
        </w:rPr>
        <w:t xml:space="preserve">, 2021), its presence in high vaginal swabs suggests a possible role in ascending infections or opportunistic colonization, particularly in the context of </w:t>
      </w:r>
      <w:proofErr w:type="spellStart"/>
      <w:r w:rsidRPr="00C81924">
        <w:rPr>
          <w:rFonts w:cs="Times New Roman"/>
          <w:szCs w:val="24"/>
        </w:rPr>
        <w:t>gynaecological</w:t>
      </w:r>
      <w:proofErr w:type="spellEnd"/>
      <w:r w:rsidRPr="00C81924">
        <w:rPr>
          <w:rFonts w:cs="Times New Roman"/>
          <w:szCs w:val="24"/>
        </w:rPr>
        <w:t xml:space="preserve"> and obstetric conditions (</w:t>
      </w:r>
      <w:proofErr w:type="spellStart"/>
      <w:r w:rsidRPr="00C81924">
        <w:rPr>
          <w:rFonts w:cs="Times New Roman"/>
          <w:szCs w:val="24"/>
        </w:rPr>
        <w:t>Kovachev</w:t>
      </w:r>
      <w:proofErr w:type="spellEnd"/>
      <w:r w:rsidRPr="00C81924">
        <w:rPr>
          <w:rFonts w:cs="Times New Roman"/>
          <w:szCs w:val="24"/>
        </w:rPr>
        <w:t xml:space="preserve">, 2014). Additionally, the isolation of </w:t>
      </w:r>
      <w:r w:rsidRPr="00C81924">
        <w:rPr>
          <w:rFonts w:cs="Times New Roman"/>
          <w:i/>
          <w:iCs/>
          <w:szCs w:val="24"/>
        </w:rPr>
        <w:t>E. coli</w:t>
      </w:r>
      <w:r w:rsidRPr="00C81924">
        <w:rPr>
          <w:rFonts w:cs="Times New Roman"/>
          <w:szCs w:val="24"/>
        </w:rPr>
        <w:t xml:space="preserve"> from sputum samples (8.2%) and blood samples (4.9%) underscores its capacity to cause respiratory tract infections and bloodstream infections, respectively. These findings emphasize the importance of comprehensive diagnostic approaches and tailored treatment strategies to address </w:t>
      </w:r>
      <w:r w:rsidRPr="00C81924">
        <w:rPr>
          <w:rFonts w:cs="Times New Roman"/>
          <w:i/>
          <w:iCs/>
          <w:szCs w:val="24"/>
        </w:rPr>
        <w:t>E. coli</w:t>
      </w:r>
      <w:r w:rsidRPr="00C81924">
        <w:rPr>
          <w:rFonts w:cs="Times New Roman"/>
          <w:szCs w:val="24"/>
        </w:rPr>
        <w:t xml:space="preserve"> infections affecting different anatomical sites.</w:t>
      </w:r>
    </w:p>
    <w:p w14:paraId="4C280F3F"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Aminoglycosides, represented by amikacin and gentamicin, demonstrated notable efficacy against </w:t>
      </w:r>
      <w:r w:rsidRPr="00C81924">
        <w:rPr>
          <w:rFonts w:cs="Times New Roman"/>
          <w:i/>
          <w:iCs/>
          <w:szCs w:val="24"/>
        </w:rPr>
        <w:t>E. coli</w:t>
      </w:r>
      <w:r w:rsidRPr="00C81924">
        <w:rPr>
          <w:rFonts w:cs="Times New Roman"/>
          <w:szCs w:val="24"/>
        </w:rPr>
        <w:t xml:space="preserve"> isolates, with 80.3% and 78.7% sensitivity rates, respectively aligning with the findings of Bari </w:t>
      </w:r>
      <w:r w:rsidRPr="00C81924">
        <w:rPr>
          <w:rFonts w:cs="Times New Roman"/>
          <w:i/>
          <w:iCs/>
          <w:szCs w:val="24"/>
        </w:rPr>
        <w:t>et al.</w:t>
      </w:r>
      <w:r w:rsidRPr="00C81924">
        <w:rPr>
          <w:rFonts w:cs="Times New Roman"/>
          <w:szCs w:val="24"/>
        </w:rPr>
        <w:t xml:space="preserve"> (2017) as well as the study by Rizwan </w:t>
      </w:r>
      <w:r w:rsidRPr="00C81924">
        <w:rPr>
          <w:rFonts w:cs="Times New Roman"/>
          <w:i/>
          <w:iCs/>
          <w:szCs w:val="24"/>
        </w:rPr>
        <w:t>et al.</w:t>
      </w:r>
      <w:r w:rsidRPr="00C81924">
        <w:rPr>
          <w:rFonts w:cs="Times New Roman"/>
          <w:szCs w:val="24"/>
        </w:rPr>
        <w:t xml:space="preserve"> (2018). This effectiveness can be attributed to the mechanism of action of aminoglycosides, which involves irreversible binding to the bacterial ribosome, inhibiting protein synthesis (</w:t>
      </w:r>
      <w:proofErr w:type="spellStart"/>
      <w:r w:rsidRPr="00C81924">
        <w:rPr>
          <w:rFonts w:cs="Times New Roman"/>
          <w:szCs w:val="24"/>
        </w:rPr>
        <w:t>Upmanyu</w:t>
      </w:r>
      <w:proofErr w:type="spellEnd"/>
      <w:r w:rsidRPr="00C81924">
        <w:rPr>
          <w:rFonts w:cs="Times New Roman"/>
          <w:szCs w:val="24"/>
        </w:rPr>
        <w:t xml:space="preserve"> &amp; Malviya, 2020). Resistance to aminoglycosides typically arises from enzymatic modification of the antibiotic molecule or alterations in membrane permeability (Garneau-</w:t>
      </w:r>
      <w:proofErr w:type="spellStart"/>
      <w:r w:rsidRPr="00C81924">
        <w:rPr>
          <w:rFonts w:cs="Times New Roman"/>
          <w:szCs w:val="24"/>
        </w:rPr>
        <w:t>Tsodikova</w:t>
      </w:r>
      <w:proofErr w:type="spellEnd"/>
      <w:r w:rsidRPr="00C81924">
        <w:rPr>
          <w:rFonts w:cs="Times New Roman"/>
          <w:szCs w:val="24"/>
        </w:rPr>
        <w:t xml:space="preserve"> &amp; </w:t>
      </w:r>
      <w:proofErr w:type="spellStart"/>
      <w:r w:rsidRPr="00C81924">
        <w:rPr>
          <w:rFonts w:cs="Times New Roman"/>
          <w:szCs w:val="24"/>
        </w:rPr>
        <w:t>Labby</w:t>
      </w:r>
      <w:proofErr w:type="spellEnd"/>
      <w:r w:rsidRPr="00C81924">
        <w:rPr>
          <w:rFonts w:cs="Times New Roman"/>
          <w:szCs w:val="24"/>
        </w:rPr>
        <w:t xml:space="preserve">, 2016). The implications of high sensitivity to aminoglycosides are significant, as they serve as valuable options for treating severe </w:t>
      </w:r>
      <w:r w:rsidRPr="00C81924">
        <w:rPr>
          <w:rFonts w:cs="Times New Roman"/>
          <w:i/>
          <w:iCs/>
          <w:szCs w:val="24"/>
        </w:rPr>
        <w:t>E. coli</w:t>
      </w:r>
      <w:r w:rsidRPr="00C81924">
        <w:rPr>
          <w:rFonts w:cs="Times New Roman"/>
          <w:szCs w:val="24"/>
        </w:rPr>
        <w:t xml:space="preserve"> infections, especially when β-lactam antibiotics are contraindicated.</w:t>
      </w:r>
    </w:p>
    <w:p w14:paraId="37DDC85E"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Cephalosporins, including cefepime and cefuroxime sodium, exhibited varying degrees of efficacy against </w:t>
      </w:r>
      <w:r w:rsidRPr="00C81924">
        <w:rPr>
          <w:rFonts w:cs="Times New Roman"/>
          <w:i/>
          <w:iCs/>
          <w:szCs w:val="24"/>
        </w:rPr>
        <w:t>E. coli</w:t>
      </w:r>
      <w:r w:rsidRPr="00C81924">
        <w:rPr>
          <w:rFonts w:cs="Times New Roman"/>
          <w:szCs w:val="24"/>
        </w:rPr>
        <w:t xml:space="preserve"> isolates, with sensitivity rates ranging from 44.3% to 45.9%; these observations contradicted the findings of Rizwan </w:t>
      </w:r>
      <w:r w:rsidRPr="00C81924">
        <w:rPr>
          <w:rFonts w:cs="Times New Roman"/>
          <w:i/>
          <w:iCs/>
          <w:szCs w:val="24"/>
        </w:rPr>
        <w:t>et al.</w:t>
      </w:r>
      <w:r w:rsidRPr="00C81924">
        <w:rPr>
          <w:rFonts w:cs="Times New Roman"/>
          <w:szCs w:val="24"/>
        </w:rPr>
        <w:t xml:space="preserve"> (2018) but similar to the findings of Biswas </w:t>
      </w:r>
      <w:r w:rsidRPr="00C81924">
        <w:rPr>
          <w:rFonts w:cs="Times New Roman"/>
          <w:i/>
          <w:iCs/>
          <w:szCs w:val="24"/>
        </w:rPr>
        <w:t>et al.</w:t>
      </w:r>
      <w:r w:rsidRPr="00C81924">
        <w:rPr>
          <w:rFonts w:cs="Times New Roman"/>
          <w:szCs w:val="24"/>
        </w:rPr>
        <w:t xml:space="preserve"> (2014). The resistance observed may be attributed to the production of extended-spectrum β-lactamase (ESBL) enzymes, which hydrolyze the β-lactam ring of cephalosporins, rendering them ineffective (Ali </w:t>
      </w:r>
      <w:r w:rsidRPr="00C81924">
        <w:rPr>
          <w:rFonts w:cs="Times New Roman"/>
          <w:i/>
          <w:iCs/>
          <w:szCs w:val="24"/>
        </w:rPr>
        <w:t>et al.</w:t>
      </w:r>
      <w:r w:rsidRPr="00C81924">
        <w:rPr>
          <w:rFonts w:cs="Times New Roman"/>
          <w:szCs w:val="24"/>
        </w:rPr>
        <w:t xml:space="preserve">, 2018). ESBL-producing </w:t>
      </w:r>
      <w:r w:rsidRPr="00C81924">
        <w:rPr>
          <w:rFonts w:cs="Times New Roman"/>
          <w:i/>
          <w:iCs/>
          <w:szCs w:val="24"/>
        </w:rPr>
        <w:t>E. coli</w:t>
      </w:r>
      <w:r w:rsidRPr="00C81924">
        <w:rPr>
          <w:rFonts w:cs="Times New Roman"/>
          <w:szCs w:val="24"/>
        </w:rPr>
        <w:t xml:space="preserve"> strains pose a significant challenge in clinical settings, as they are resistant to multiple β-lactam antibiotics, including cephalosporins and </w:t>
      </w:r>
      <w:proofErr w:type="spellStart"/>
      <w:r w:rsidRPr="00C81924">
        <w:rPr>
          <w:rFonts w:cs="Times New Roman"/>
          <w:szCs w:val="24"/>
        </w:rPr>
        <w:t>penicillins</w:t>
      </w:r>
      <w:proofErr w:type="spellEnd"/>
      <w:r w:rsidRPr="00C81924">
        <w:rPr>
          <w:rFonts w:cs="Times New Roman"/>
          <w:szCs w:val="24"/>
        </w:rPr>
        <w:t xml:space="preserve"> (Anima </w:t>
      </w:r>
      <w:r w:rsidRPr="00C81924">
        <w:rPr>
          <w:rFonts w:cs="Times New Roman"/>
          <w:i/>
          <w:iCs/>
          <w:szCs w:val="24"/>
        </w:rPr>
        <w:t>et al.</w:t>
      </w:r>
      <w:r w:rsidRPr="00C81924">
        <w:rPr>
          <w:rFonts w:cs="Times New Roman"/>
          <w:szCs w:val="24"/>
        </w:rPr>
        <w:t>, 2017). This underscores the importance of judicious antibiotic use and the need for alternative treatment strategies when dealing with ESBL-producing pathogens.</w:t>
      </w:r>
    </w:p>
    <w:p w14:paraId="525C87E1"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Fluoroquinolones, represented by ofloxacin and ciprofloxacin, demonstrated reduced efficacy against </w:t>
      </w:r>
      <w:r w:rsidRPr="00C81924">
        <w:rPr>
          <w:rFonts w:cs="Times New Roman"/>
          <w:i/>
          <w:iCs/>
          <w:szCs w:val="24"/>
        </w:rPr>
        <w:t>E. coli</w:t>
      </w:r>
      <w:r w:rsidRPr="00C81924">
        <w:rPr>
          <w:rFonts w:cs="Times New Roman"/>
          <w:szCs w:val="24"/>
        </w:rPr>
        <w:t xml:space="preserve"> isolates, with sensitivity rates of 42.6% and 44.3%, respectively, deviating from the findings of </w:t>
      </w:r>
      <w:bookmarkStart w:id="26" w:name="_Hlk163582027"/>
      <w:r w:rsidRPr="00C81924">
        <w:rPr>
          <w:rFonts w:cs="Times New Roman"/>
          <w:szCs w:val="24"/>
        </w:rPr>
        <w:t>Rizwan</w:t>
      </w:r>
      <w:bookmarkEnd w:id="26"/>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but comparable with the report of Biswas </w:t>
      </w:r>
      <w:r w:rsidRPr="00C81924">
        <w:rPr>
          <w:rFonts w:cs="Times New Roman"/>
          <w:i/>
          <w:iCs/>
          <w:szCs w:val="24"/>
        </w:rPr>
        <w:t>et al.</w:t>
      </w:r>
      <w:r w:rsidRPr="00C81924">
        <w:rPr>
          <w:rFonts w:cs="Times New Roman"/>
          <w:szCs w:val="24"/>
        </w:rPr>
        <w:t xml:space="preserve">, 2014. Resistance to fluoroquinolones typically arises from mutations in bacterial DNA gyrase and topoisomerase IV, which reduce drug binding affinity and lead to decreased susceptibility (Redgrave </w:t>
      </w:r>
      <w:r w:rsidRPr="00C81924">
        <w:rPr>
          <w:rFonts w:cs="Times New Roman"/>
          <w:i/>
          <w:iCs/>
          <w:szCs w:val="24"/>
        </w:rPr>
        <w:t>et al.</w:t>
      </w:r>
      <w:r w:rsidRPr="00C81924">
        <w:rPr>
          <w:rFonts w:cs="Times New Roman"/>
          <w:szCs w:val="24"/>
        </w:rPr>
        <w:t xml:space="preserve">, 2014). The widespread resistance observed highlights the challenge of managing fluoroquinolone-resistant </w:t>
      </w:r>
      <w:r w:rsidRPr="00C81924">
        <w:rPr>
          <w:rFonts w:cs="Times New Roman"/>
          <w:i/>
          <w:iCs/>
          <w:szCs w:val="24"/>
        </w:rPr>
        <w:t>E. coli</w:t>
      </w:r>
      <w:r w:rsidRPr="00C81924">
        <w:rPr>
          <w:rFonts w:cs="Times New Roman"/>
          <w:szCs w:val="24"/>
        </w:rPr>
        <w:t xml:space="preserve"> infections, necessitating the exploration of alternative treatment options, such as carbapenems or combination therapies.</w:t>
      </w:r>
    </w:p>
    <w:p w14:paraId="42D59263"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β-lactam antibiotics, including cefpodoxime, ceftazidime, and amoxicillin + clavulanic acid, exhibited variable efficacy against </w:t>
      </w:r>
      <w:r w:rsidRPr="00C81924">
        <w:rPr>
          <w:rFonts w:cs="Times New Roman"/>
          <w:i/>
          <w:iCs/>
          <w:szCs w:val="24"/>
        </w:rPr>
        <w:t>E. coli</w:t>
      </w:r>
      <w:r w:rsidRPr="00C81924">
        <w:rPr>
          <w:rFonts w:cs="Times New Roman"/>
          <w:szCs w:val="24"/>
        </w:rPr>
        <w:t xml:space="preserve"> isolates, with sensitivity rates ranging from 6.6% to 36.1%, these trends are comparable to the findings of previous studies (Biswas </w:t>
      </w:r>
      <w:r w:rsidRPr="00C81924">
        <w:rPr>
          <w:rFonts w:cs="Times New Roman"/>
          <w:i/>
          <w:iCs/>
          <w:szCs w:val="24"/>
        </w:rPr>
        <w:t>et al.</w:t>
      </w:r>
      <w:r w:rsidRPr="00C81924">
        <w:rPr>
          <w:rFonts w:cs="Times New Roman"/>
          <w:szCs w:val="24"/>
        </w:rPr>
        <w:t xml:space="preserve">, 2014; Niranjan &amp; Malini, 2014; Bari </w:t>
      </w:r>
      <w:r w:rsidRPr="00C81924">
        <w:rPr>
          <w:rFonts w:cs="Times New Roman"/>
          <w:i/>
          <w:iCs/>
          <w:szCs w:val="24"/>
        </w:rPr>
        <w:t>et al.</w:t>
      </w:r>
      <w:r w:rsidRPr="00C81924">
        <w:rPr>
          <w:rFonts w:cs="Times New Roman"/>
          <w:szCs w:val="24"/>
        </w:rPr>
        <w:t xml:space="preserve">, 2017; Rizwan </w:t>
      </w:r>
      <w:r w:rsidRPr="00C81924">
        <w:rPr>
          <w:rFonts w:cs="Times New Roman"/>
          <w:i/>
          <w:iCs/>
          <w:szCs w:val="24"/>
        </w:rPr>
        <w:t>et al.</w:t>
      </w:r>
      <w:r w:rsidRPr="00C81924">
        <w:rPr>
          <w:rFonts w:cs="Times New Roman"/>
          <w:szCs w:val="24"/>
        </w:rPr>
        <w:t xml:space="preserve"> 2018). The prevalence of resistance underscores the presence of ESBL-producing strains, which can hydrolyze the β-lactam ring of these antibiotics, rendering them ineffective (Ali </w:t>
      </w:r>
      <w:r w:rsidRPr="00C81924">
        <w:rPr>
          <w:rFonts w:cs="Times New Roman"/>
          <w:i/>
          <w:iCs/>
          <w:szCs w:val="24"/>
        </w:rPr>
        <w:t>et al.</w:t>
      </w:r>
      <w:r w:rsidRPr="00C81924">
        <w:rPr>
          <w:rFonts w:cs="Times New Roman"/>
          <w:szCs w:val="24"/>
        </w:rPr>
        <w:t xml:space="preserve">, 2018). The emergence of ESBL-producing </w:t>
      </w:r>
      <w:r w:rsidRPr="00C81924">
        <w:rPr>
          <w:rFonts w:cs="Times New Roman"/>
          <w:i/>
          <w:iCs/>
          <w:szCs w:val="24"/>
        </w:rPr>
        <w:t>E. coli</w:t>
      </w:r>
      <w:r w:rsidRPr="00C81924">
        <w:rPr>
          <w:rFonts w:cs="Times New Roman"/>
          <w:szCs w:val="24"/>
        </w:rPr>
        <w:t xml:space="preserve"> strains poses a significant public health concern, as they are associated with treatment failure, prolonged hospital stays, and increased healthcare costs (McDonald </w:t>
      </w:r>
      <w:r w:rsidRPr="00C81924">
        <w:rPr>
          <w:rFonts w:cs="Times New Roman"/>
          <w:i/>
          <w:iCs/>
          <w:szCs w:val="24"/>
        </w:rPr>
        <w:t>et al.</w:t>
      </w:r>
      <w:r w:rsidRPr="00C81924">
        <w:rPr>
          <w:rFonts w:cs="Times New Roman"/>
          <w:szCs w:val="24"/>
        </w:rPr>
        <w:t>, 2021). This highlights the urgent need for comprehensive antimicrobial stewardship programs, infection control measures, and the development of novel antibiotics to combat ESBL-mediated resistance.</w:t>
      </w:r>
    </w:p>
    <w:p w14:paraId="165DBD07" w14:textId="77777777" w:rsidR="0058304E" w:rsidRPr="00C81924" w:rsidRDefault="0058304E" w:rsidP="00FD54F5">
      <w:pPr>
        <w:spacing w:line="240" w:lineRule="auto"/>
        <w:jc w:val="both"/>
        <w:rPr>
          <w:rFonts w:cs="Times New Roman"/>
          <w:szCs w:val="24"/>
        </w:rPr>
      </w:pPr>
      <w:r w:rsidRPr="00C81924">
        <w:rPr>
          <w:rFonts w:cs="Times New Roman"/>
          <w:szCs w:val="24"/>
        </w:rPr>
        <w:lastRenderedPageBreak/>
        <w:t xml:space="preserve">Carbapenems, represented by imipenem, demonstrated universal efficacy against </w:t>
      </w:r>
      <w:r w:rsidRPr="00C81924">
        <w:rPr>
          <w:rFonts w:cs="Times New Roman"/>
          <w:i/>
          <w:iCs/>
          <w:szCs w:val="24"/>
        </w:rPr>
        <w:t>E. coli</w:t>
      </w:r>
      <w:r w:rsidRPr="00C81924">
        <w:rPr>
          <w:rFonts w:cs="Times New Roman"/>
          <w:szCs w:val="24"/>
        </w:rPr>
        <w:t xml:space="preserve"> isolates, with 100% sensitivity observed and consistent with existing literature (Biswas </w:t>
      </w:r>
      <w:r w:rsidRPr="00C81924">
        <w:rPr>
          <w:rFonts w:cs="Times New Roman"/>
          <w:i/>
          <w:iCs/>
          <w:szCs w:val="24"/>
        </w:rPr>
        <w:t>et al.</w:t>
      </w:r>
      <w:r w:rsidRPr="00C81924">
        <w:rPr>
          <w:rFonts w:cs="Times New Roman"/>
          <w:szCs w:val="24"/>
        </w:rPr>
        <w:t xml:space="preserve">, 2014; Niranjan &amp; Malini, 2014; Bari </w:t>
      </w:r>
      <w:r w:rsidRPr="00C81924">
        <w:rPr>
          <w:rFonts w:cs="Times New Roman"/>
          <w:i/>
          <w:iCs/>
          <w:szCs w:val="24"/>
        </w:rPr>
        <w:t>et al.</w:t>
      </w:r>
      <w:r w:rsidRPr="00C81924">
        <w:rPr>
          <w:rFonts w:cs="Times New Roman"/>
          <w:szCs w:val="24"/>
        </w:rPr>
        <w:t xml:space="preserve">, 2017; Rizwan </w:t>
      </w:r>
      <w:r w:rsidRPr="00C81924">
        <w:rPr>
          <w:rFonts w:cs="Times New Roman"/>
          <w:i/>
          <w:iCs/>
          <w:szCs w:val="24"/>
        </w:rPr>
        <w:t>et al.</w:t>
      </w:r>
      <w:r w:rsidRPr="00C81924">
        <w:rPr>
          <w:rFonts w:cs="Times New Roman"/>
          <w:szCs w:val="24"/>
        </w:rPr>
        <w:t xml:space="preserve"> 2018). This highlights the continued importance of carbapenems as last-line treatment options for severe </w:t>
      </w:r>
      <w:r w:rsidRPr="00C81924">
        <w:rPr>
          <w:rFonts w:cs="Times New Roman"/>
          <w:i/>
          <w:iCs/>
          <w:szCs w:val="24"/>
        </w:rPr>
        <w:t>E. coli</w:t>
      </w:r>
      <w:r w:rsidRPr="00C81924">
        <w:rPr>
          <w:rFonts w:cs="Times New Roman"/>
          <w:szCs w:val="24"/>
        </w:rPr>
        <w:t xml:space="preserve"> infections, especially in cases of multidrug-resistant strains (Chin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Nørgaard</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2019). However, the emergence of carbapenem-resistant </w:t>
      </w:r>
      <w:r w:rsidRPr="00C81924">
        <w:rPr>
          <w:rFonts w:cs="Times New Roman"/>
          <w:i/>
          <w:iCs/>
          <w:szCs w:val="24"/>
        </w:rPr>
        <w:t>E. coli</w:t>
      </w:r>
      <w:r w:rsidRPr="00C81924">
        <w:rPr>
          <w:rFonts w:cs="Times New Roman"/>
          <w:szCs w:val="24"/>
        </w:rPr>
        <w:t xml:space="preserve"> strains is a growing concern (</w:t>
      </w:r>
      <w:proofErr w:type="spellStart"/>
      <w:r w:rsidRPr="00C81924">
        <w:rPr>
          <w:rFonts w:cs="Times New Roman"/>
          <w:szCs w:val="24"/>
        </w:rPr>
        <w:t>Ghasemian</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Harting</w:t>
      </w:r>
      <w:proofErr w:type="spellEnd"/>
      <w:r w:rsidRPr="00C81924">
        <w:rPr>
          <w:rFonts w:cs="Times New Roman"/>
          <w:szCs w:val="24"/>
        </w:rPr>
        <w:t xml:space="preserve">, 2019; </w:t>
      </w:r>
      <w:proofErr w:type="spellStart"/>
      <w:r w:rsidRPr="00C81924">
        <w:rPr>
          <w:rFonts w:cs="Times New Roman"/>
          <w:szCs w:val="24"/>
        </w:rPr>
        <w:t>Tilahun</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2021), necessitating vigilant surveillance and judicious use of these antibiotics to preserve their effectiveness.</w:t>
      </w:r>
    </w:p>
    <w:p w14:paraId="25297FF3"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Multidrug resistance, characterized by resistance to three or more classes of antibiotics, was observed in 45.9% of the </w:t>
      </w:r>
      <w:r w:rsidRPr="00C81924">
        <w:rPr>
          <w:rFonts w:cs="Times New Roman"/>
          <w:i/>
          <w:iCs/>
          <w:szCs w:val="24"/>
        </w:rPr>
        <w:t>E. coli</w:t>
      </w:r>
      <w:r w:rsidRPr="00C81924">
        <w:rPr>
          <w:rFonts w:cs="Times New Roman"/>
          <w:szCs w:val="24"/>
        </w:rPr>
        <w:t xml:space="preserve"> isolates tested aligning with the findings of </w:t>
      </w:r>
      <w:proofErr w:type="spellStart"/>
      <w:r w:rsidRPr="00C81924">
        <w:rPr>
          <w:rFonts w:cs="Times New Roman"/>
          <w:szCs w:val="24"/>
        </w:rPr>
        <w:t>Alqasim</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as well as the report by </w:t>
      </w:r>
      <w:proofErr w:type="spellStart"/>
      <w:r w:rsidRPr="00C81924">
        <w:rPr>
          <w:rFonts w:cs="Times New Roman"/>
          <w:szCs w:val="24"/>
        </w:rPr>
        <w:t>Shilpakar</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(2021). This phenomenon can be attributed to various factors, including the overuse and misuse of antibiotics (</w:t>
      </w:r>
      <w:proofErr w:type="spellStart"/>
      <w:r w:rsidRPr="00C81924">
        <w:rPr>
          <w:rFonts w:cs="Times New Roman"/>
          <w:szCs w:val="24"/>
        </w:rPr>
        <w:t>Kasanga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2023), horizontal gene transfer of resistance genes (Doi </w:t>
      </w:r>
      <w:r w:rsidRPr="00C81924">
        <w:rPr>
          <w:rFonts w:cs="Times New Roman"/>
          <w:i/>
          <w:iCs/>
          <w:szCs w:val="24"/>
        </w:rPr>
        <w:t>et al.</w:t>
      </w:r>
      <w:r w:rsidRPr="00C81924">
        <w:rPr>
          <w:rFonts w:cs="Times New Roman"/>
          <w:szCs w:val="24"/>
        </w:rPr>
        <w:t xml:space="preserve">, 2012; </w:t>
      </w:r>
      <w:proofErr w:type="spellStart"/>
      <w:r w:rsidRPr="00C81924">
        <w:rPr>
          <w:rFonts w:cs="Times New Roman"/>
          <w:szCs w:val="24"/>
        </w:rPr>
        <w:t>Juhas</w:t>
      </w:r>
      <w:proofErr w:type="spellEnd"/>
      <w:r w:rsidRPr="00C81924">
        <w:rPr>
          <w:rFonts w:cs="Times New Roman"/>
          <w:szCs w:val="24"/>
        </w:rPr>
        <w:t>, 2015), and the selective pressure exerted by antibiotic exposure (</w:t>
      </w:r>
      <w:proofErr w:type="spellStart"/>
      <w:r w:rsidRPr="00C81924">
        <w:rPr>
          <w:rFonts w:cs="Times New Roman"/>
          <w:szCs w:val="24"/>
        </w:rPr>
        <w:t>Bessa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The presence of MDR </w:t>
      </w:r>
      <w:r w:rsidRPr="00C81924">
        <w:rPr>
          <w:rFonts w:cs="Times New Roman"/>
          <w:i/>
          <w:iCs/>
          <w:szCs w:val="24"/>
        </w:rPr>
        <w:t>E. coli</w:t>
      </w:r>
      <w:r w:rsidRPr="00C81924">
        <w:rPr>
          <w:rFonts w:cs="Times New Roman"/>
          <w:szCs w:val="24"/>
        </w:rPr>
        <w:t xml:space="preserve"> strains poses significant challenges in clinical settings, as they limit treatment options and increase the risk of treatment failure and adverse patient outcomes (</w:t>
      </w:r>
      <w:proofErr w:type="spellStart"/>
      <w:r w:rsidRPr="00C81924">
        <w:rPr>
          <w:rFonts w:cs="Times New Roman"/>
          <w:szCs w:val="24"/>
        </w:rPr>
        <w:t>Cerceo</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2016; </w:t>
      </w:r>
      <w:proofErr w:type="spellStart"/>
      <w:r w:rsidRPr="00C81924">
        <w:rPr>
          <w:rFonts w:cs="Times New Roman"/>
          <w:szCs w:val="24"/>
        </w:rPr>
        <w:t>Alkofide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2020). Furthermore, the emergence and dissemination of MDR </w:t>
      </w:r>
      <w:r w:rsidRPr="00C81924">
        <w:rPr>
          <w:rFonts w:cs="Times New Roman"/>
          <w:i/>
          <w:iCs/>
          <w:szCs w:val="24"/>
        </w:rPr>
        <w:t>E. coli</w:t>
      </w:r>
      <w:r w:rsidRPr="00C81924">
        <w:rPr>
          <w:rFonts w:cs="Times New Roman"/>
          <w:szCs w:val="24"/>
        </w:rPr>
        <w:t xml:space="preserve"> strains contribute to the global burden of antibiotic resistance (Galindo-Méndez, 2020), highlighting the urgent need for comprehensive antimicrobial stewardship programs, infection control measures, and the development of novel antibiotics to combat multidrug resistance.</w:t>
      </w:r>
    </w:p>
    <w:p w14:paraId="441E4EEA"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Extended β-lactamase (ESBL) production, characterized by the production of enzymes that hydrolyze β-lactam antibiotics, was identified in 42.6% of the </w:t>
      </w:r>
      <w:r w:rsidRPr="00C81924">
        <w:rPr>
          <w:rFonts w:cs="Times New Roman"/>
          <w:i/>
          <w:iCs/>
          <w:szCs w:val="24"/>
        </w:rPr>
        <w:t>E. coli</w:t>
      </w:r>
      <w:r w:rsidRPr="00C81924">
        <w:rPr>
          <w:rFonts w:cs="Times New Roman"/>
          <w:szCs w:val="24"/>
        </w:rPr>
        <w:t xml:space="preserve"> isolates tested. This finding is corroborated by the study in China (Quan </w:t>
      </w:r>
      <w:r w:rsidRPr="00C81924">
        <w:rPr>
          <w:rFonts w:cs="Times New Roman"/>
          <w:i/>
          <w:iCs/>
          <w:szCs w:val="24"/>
        </w:rPr>
        <w:t>et al.</w:t>
      </w:r>
      <w:r w:rsidRPr="00C81924">
        <w:rPr>
          <w:rFonts w:cs="Times New Roman"/>
          <w:szCs w:val="24"/>
        </w:rPr>
        <w:t xml:space="preserve">, 2016), the study by Sing </w:t>
      </w:r>
      <w:r w:rsidRPr="00C81924">
        <w:rPr>
          <w:rFonts w:cs="Times New Roman"/>
          <w:i/>
          <w:iCs/>
          <w:szCs w:val="24"/>
        </w:rPr>
        <w:t>et al.</w:t>
      </w:r>
      <w:r w:rsidRPr="00C81924">
        <w:rPr>
          <w:rFonts w:cs="Times New Roman"/>
          <w:szCs w:val="24"/>
        </w:rPr>
        <w:t xml:space="preserve"> (2016) as well as the findings of </w:t>
      </w:r>
      <w:proofErr w:type="spellStart"/>
      <w:r w:rsidRPr="00C81924">
        <w:rPr>
          <w:rFonts w:cs="Times New Roman"/>
          <w:szCs w:val="24"/>
        </w:rPr>
        <w:t>Alqasim</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ESBL-producing </w:t>
      </w:r>
      <w:r w:rsidRPr="00C81924">
        <w:rPr>
          <w:rFonts w:cs="Times New Roman"/>
          <w:i/>
          <w:iCs/>
          <w:szCs w:val="24"/>
        </w:rPr>
        <w:t>E. coli</w:t>
      </w:r>
      <w:r w:rsidRPr="00C81924">
        <w:rPr>
          <w:rFonts w:cs="Times New Roman"/>
          <w:szCs w:val="24"/>
        </w:rPr>
        <w:t xml:space="preserve"> strains pose a significant clinical challenge, as they are resistant to a broad range of β-lactam antibiotics, including </w:t>
      </w:r>
      <w:proofErr w:type="spellStart"/>
      <w:r w:rsidRPr="00C81924">
        <w:rPr>
          <w:rFonts w:cs="Times New Roman"/>
          <w:szCs w:val="24"/>
        </w:rPr>
        <w:t>penicillins</w:t>
      </w:r>
      <w:proofErr w:type="spellEnd"/>
      <w:r w:rsidRPr="00C81924">
        <w:rPr>
          <w:rFonts w:cs="Times New Roman"/>
          <w:szCs w:val="24"/>
        </w:rPr>
        <w:t>, cephalosporins, and monobactams (Rodríguez-</w:t>
      </w:r>
      <w:proofErr w:type="spellStart"/>
      <w:r w:rsidRPr="00C81924">
        <w:rPr>
          <w:rFonts w:cs="Times New Roman"/>
          <w:szCs w:val="24"/>
        </w:rPr>
        <w:t>Baño</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2006; Padmini </w:t>
      </w:r>
      <w:r w:rsidRPr="00C81924">
        <w:rPr>
          <w:rFonts w:cs="Times New Roman"/>
          <w:i/>
          <w:iCs/>
          <w:szCs w:val="24"/>
        </w:rPr>
        <w:t>et al.</w:t>
      </w:r>
      <w:r w:rsidRPr="00C81924">
        <w:rPr>
          <w:rFonts w:cs="Times New Roman"/>
          <w:szCs w:val="24"/>
        </w:rPr>
        <w:t xml:space="preserve">, 2017; </w:t>
      </w:r>
      <w:proofErr w:type="spellStart"/>
      <w:r w:rsidRPr="00C81924">
        <w:rPr>
          <w:rFonts w:cs="Times New Roman"/>
          <w:szCs w:val="24"/>
        </w:rPr>
        <w:t>Husna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2023). The presence of ESBL-producing strains is often associated with healthcare-associated infections and is linked to increased morbidity, mortality, and healthcare costs (</w:t>
      </w:r>
      <w:proofErr w:type="spellStart"/>
      <w:r w:rsidRPr="00C81924">
        <w:rPr>
          <w:rFonts w:cs="Times New Roman"/>
          <w:szCs w:val="24"/>
        </w:rPr>
        <w:t>Esteve</w:t>
      </w:r>
      <w:proofErr w:type="spellEnd"/>
      <w:r w:rsidRPr="00C81924">
        <w:rPr>
          <w:rFonts w:cs="Times New Roman"/>
          <w:szCs w:val="24"/>
        </w:rPr>
        <w:t xml:space="preserve">-Palau </w:t>
      </w:r>
      <w:r w:rsidRPr="00C81924">
        <w:rPr>
          <w:rFonts w:cs="Times New Roman"/>
          <w:i/>
          <w:iCs/>
          <w:szCs w:val="24"/>
        </w:rPr>
        <w:t>et al.</w:t>
      </w:r>
      <w:r w:rsidRPr="00C81924">
        <w:rPr>
          <w:rFonts w:cs="Times New Roman"/>
          <w:szCs w:val="24"/>
        </w:rPr>
        <w:t xml:space="preserve">, 2015; </w:t>
      </w:r>
      <w:proofErr w:type="spellStart"/>
      <w:r w:rsidRPr="00C81924">
        <w:rPr>
          <w:rFonts w:cs="Times New Roman"/>
          <w:szCs w:val="24"/>
        </w:rPr>
        <w:t>Scheuerman</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Zaha </w:t>
      </w:r>
      <w:r w:rsidRPr="00C81924">
        <w:rPr>
          <w:rFonts w:cs="Times New Roman"/>
          <w:i/>
          <w:iCs/>
          <w:szCs w:val="24"/>
        </w:rPr>
        <w:t>et al.</w:t>
      </w:r>
      <w:r w:rsidRPr="00C81924">
        <w:rPr>
          <w:rFonts w:cs="Times New Roman"/>
          <w:szCs w:val="24"/>
        </w:rPr>
        <w:t xml:space="preserve">, 2019). Moreover, ESBL-producing </w:t>
      </w:r>
      <w:r w:rsidRPr="00C81924">
        <w:rPr>
          <w:rFonts w:cs="Times New Roman"/>
          <w:i/>
          <w:iCs/>
          <w:szCs w:val="24"/>
        </w:rPr>
        <w:t>E. coli</w:t>
      </w:r>
      <w:r w:rsidRPr="00C81924">
        <w:rPr>
          <w:rFonts w:cs="Times New Roman"/>
          <w:szCs w:val="24"/>
        </w:rPr>
        <w:t xml:space="preserve"> strains have the potential to spread within healthcare facilities and communities (Kim </w:t>
      </w:r>
      <w:r w:rsidRPr="00C81924">
        <w:rPr>
          <w:rFonts w:cs="Times New Roman"/>
          <w:i/>
          <w:iCs/>
          <w:szCs w:val="24"/>
        </w:rPr>
        <w:t>et al.</w:t>
      </w:r>
      <w:r w:rsidRPr="00C81924">
        <w:rPr>
          <w:rFonts w:cs="Times New Roman"/>
          <w:szCs w:val="24"/>
        </w:rPr>
        <w:t xml:space="preserve">, 2017; </w:t>
      </w:r>
      <w:proofErr w:type="spellStart"/>
      <w:r w:rsidRPr="00C81924">
        <w:rPr>
          <w:rFonts w:cs="Times New Roman"/>
          <w:szCs w:val="24"/>
        </w:rPr>
        <w:t>Davidova-Gerzova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2023), further exacerbating the problem of antibiotic resistance. Effective management of ESBL-producing </w:t>
      </w:r>
      <w:r w:rsidRPr="00C81924">
        <w:rPr>
          <w:rFonts w:cs="Times New Roman"/>
          <w:i/>
          <w:iCs/>
          <w:szCs w:val="24"/>
        </w:rPr>
        <w:t>E. coli</w:t>
      </w:r>
      <w:r w:rsidRPr="00C81924">
        <w:rPr>
          <w:rFonts w:cs="Times New Roman"/>
          <w:szCs w:val="24"/>
        </w:rPr>
        <w:t xml:space="preserve"> infections requires a multifaceted approach, including antimicrobial stewardship initiatives, infection control measures, and the use of alternative treatment options, such as carbapenems or combination therapies (</w:t>
      </w:r>
      <w:proofErr w:type="spellStart"/>
      <w:r w:rsidRPr="00C81924">
        <w:rPr>
          <w:rFonts w:cs="Times New Roman"/>
          <w:szCs w:val="24"/>
        </w:rPr>
        <w:t>Viale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2015; Karam </w:t>
      </w:r>
      <w:r w:rsidRPr="00C81924">
        <w:rPr>
          <w:rFonts w:cs="Times New Roman"/>
          <w:i/>
          <w:iCs/>
          <w:szCs w:val="24"/>
        </w:rPr>
        <w:t>et al.</w:t>
      </w:r>
      <w:r w:rsidRPr="00C81924">
        <w:rPr>
          <w:rFonts w:cs="Times New Roman"/>
          <w:szCs w:val="24"/>
        </w:rPr>
        <w:t xml:space="preserve">, 2016; </w:t>
      </w:r>
      <w:proofErr w:type="spellStart"/>
      <w:r w:rsidRPr="00C81924">
        <w:rPr>
          <w:rFonts w:cs="Times New Roman"/>
          <w:szCs w:val="24"/>
        </w:rPr>
        <w:t>Giurazza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2021). Additionally, surveillance of ESBL-producing strains is essential for monitoring trends in resistance patterns and guiding antibiotic prescribing practices to optimize patient outcomes and mitigate the spread of resistant strains (</w:t>
      </w:r>
      <w:proofErr w:type="spellStart"/>
      <w:r w:rsidRPr="00C81924">
        <w:rPr>
          <w:rFonts w:cs="Times New Roman"/>
          <w:szCs w:val="24"/>
        </w:rPr>
        <w:t>Gulumbe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2022; </w:t>
      </w:r>
      <w:proofErr w:type="spellStart"/>
      <w:r w:rsidRPr="00C81924">
        <w:rPr>
          <w:rFonts w:cs="Times New Roman"/>
          <w:szCs w:val="24"/>
        </w:rPr>
        <w:t>Kasanga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2023; Djordjevic </w:t>
      </w:r>
      <w:r w:rsidRPr="00C81924">
        <w:rPr>
          <w:rFonts w:cs="Times New Roman"/>
          <w:i/>
          <w:iCs/>
          <w:szCs w:val="24"/>
        </w:rPr>
        <w:t>et al.</w:t>
      </w:r>
      <w:r w:rsidRPr="00C81924">
        <w:rPr>
          <w:rFonts w:cs="Times New Roman"/>
          <w:szCs w:val="24"/>
        </w:rPr>
        <w:t>, 2024).</w:t>
      </w:r>
    </w:p>
    <w:p w14:paraId="5E73D401" w14:textId="3091AD35" w:rsidR="0058304E" w:rsidRPr="00C81924" w:rsidRDefault="0058304E" w:rsidP="00FD54F5">
      <w:pPr>
        <w:spacing w:line="240" w:lineRule="auto"/>
        <w:jc w:val="both"/>
        <w:rPr>
          <w:rFonts w:cs="Times New Roman"/>
          <w:b/>
          <w:bCs/>
          <w:szCs w:val="24"/>
        </w:rPr>
      </w:pPr>
      <w:bookmarkStart w:id="27" w:name="_Toc163428602"/>
      <w:bookmarkStart w:id="28" w:name="_Hlk120871604"/>
      <w:r w:rsidRPr="00C81924">
        <w:rPr>
          <w:b/>
          <w:bCs/>
        </w:rPr>
        <w:t>Concl</w:t>
      </w:r>
      <w:r w:rsidR="005F0536" w:rsidRPr="00C81924">
        <w:rPr>
          <w:b/>
          <w:bCs/>
        </w:rPr>
        <w:t>us</w:t>
      </w:r>
      <w:r w:rsidRPr="00C81924">
        <w:rPr>
          <w:b/>
          <w:bCs/>
        </w:rPr>
        <w:t>ion</w:t>
      </w:r>
      <w:bookmarkEnd w:id="27"/>
    </w:p>
    <w:bookmarkEnd w:id="28"/>
    <w:p w14:paraId="0F80D764" w14:textId="425AA1AF" w:rsidR="00135198" w:rsidRPr="00C81924" w:rsidRDefault="00754480" w:rsidP="005F0536">
      <w:pPr>
        <w:spacing w:line="240" w:lineRule="auto"/>
        <w:jc w:val="both"/>
        <w:rPr>
          <w:rFonts w:cs="Times New Roman"/>
          <w:szCs w:val="24"/>
        </w:rPr>
      </w:pPr>
      <w:r w:rsidRPr="00C81924">
        <w:rPr>
          <w:rFonts w:cs="Times New Roman"/>
          <w:szCs w:val="24"/>
        </w:rPr>
        <w:t>T</w:t>
      </w:r>
      <w:r w:rsidR="0058304E" w:rsidRPr="00C81924">
        <w:rPr>
          <w:rFonts w:cs="Times New Roman"/>
          <w:szCs w:val="24"/>
        </w:rPr>
        <w:t xml:space="preserve">his study provides important insights into </w:t>
      </w:r>
      <w:r w:rsidR="0058304E" w:rsidRPr="00C81924">
        <w:rPr>
          <w:rFonts w:cs="Times New Roman"/>
          <w:i/>
          <w:iCs/>
          <w:szCs w:val="24"/>
        </w:rPr>
        <w:t>Escherichia coli</w:t>
      </w:r>
      <w:r w:rsidR="0058304E" w:rsidRPr="00C81924">
        <w:rPr>
          <w:rFonts w:cs="Times New Roman"/>
          <w:szCs w:val="24"/>
        </w:rPr>
        <w:t xml:space="preserve"> prevalence and </w:t>
      </w:r>
      <w:r w:rsidRPr="00C81924">
        <w:rPr>
          <w:rFonts w:cs="Times New Roman"/>
          <w:szCs w:val="24"/>
        </w:rPr>
        <w:t>antibiotic</w:t>
      </w:r>
      <w:r w:rsidR="0058304E" w:rsidRPr="00C81924">
        <w:rPr>
          <w:rFonts w:cs="Times New Roman"/>
          <w:szCs w:val="24"/>
        </w:rPr>
        <w:t xml:space="preserve"> susceptibility profiles in Rivers State University Teaching Hospital. Notably, </w:t>
      </w:r>
      <w:r w:rsidR="0058304E" w:rsidRPr="00C81924">
        <w:rPr>
          <w:rFonts w:cs="Times New Roman"/>
          <w:i/>
          <w:iCs/>
          <w:szCs w:val="24"/>
        </w:rPr>
        <w:t>E. coli</w:t>
      </w:r>
      <w:r w:rsidR="0058304E" w:rsidRPr="00C81924">
        <w:rPr>
          <w:rFonts w:cs="Times New Roman"/>
          <w:szCs w:val="24"/>
        </w:rPr>
        <w:t xml:space="preserve"> growth was observed in 61 (20.3%) of the 300 clinical samples analyzed, with urine samples being the most prevalent source.</w:t>
      </w:r>
      <w:r w:rsidR="004544AC" w:rsidRPr="00C81924">
        <w:rPr>
          <w:rFonts w:cs="Times New Roman"/>
          <w:szCs w:val="24"/>
        </w:rPr>
        <w:t xml:space="preserve"> The presence of </w:t>
      </w:r>
      <w:r w:rsidR="004544AC" w:rsidRPr="00C81924">
        <w:rPr>
          <w:rFonts w:cs="Times New Roman"/>
          <w:i/>
          <w:iCs/>
          <w:szCs w:val="24"/>
        </w:rPr>
        <w:t>E. coli</w:t>
      </w:r>
      <w:r w:rsidR="004544AC" w:rsidRPr="00C81924">
        <w:rPr>
          <w:rFonts w:cs="Times New Roman"/>
          <w:szCs w:val="24"/>
        </w:rPr>
        <w:t xml:space="preserve"> in clinical samples raises concerns regarding the potential for infection and underscores the importance of effective surveillance, diagnosis, and treatment strategies.</w:t>
      </w:r>
      <w:r w:rsidR="005F0536" w:rsidRPr="00C81924">
        <w:rPr>
          <w:rFonts w:cs="Times New Roman"/>
          <w:szCs w:val="24"/>
        </w:rPr>
        <w:t xml:space="preserve"> </w:t>
      </w:r>
      <w:r w:rsidR="004544AC" w:rsidRPr="00C81924">
        <w:rPr>
          <w:rFonts w:cs="Times New Roman"/>
          <w:szCs w:val="24"/>
        </w:rPr>
        <w:t>Also, results from this study</w:t>
      </w:r>
      <w:r w:rsidR="0058304E" w:rsidRPr="00C81924">
        <w:rPr>
          <w:rFonts w:cs="Times New Roman"/>
          <w:szCs w:val="24"/>
        </w:rPr>
        <w:t xml:space="preserve"> unveils concerning rates of multidrug resistance (45.9%) and Extended β-lactamase (ESBL) production (42.6%) among the isolates tested</w:t>
      </w:r>
      <w:r w:rsidR="004544AC" w:rsidRPr="00C81924">
        <w:rPr>
          <w:rFonts w:cs="Times New Roman"/>
          <w:szCs w:val="24"/>
        </w:rPr>
        <w:t xml:space="preserve"> and</w:t>
      </w:r>
      <w:r w:rsidR="0058304E" w:rsidRPr="00C81924">
        <w:rPr>
          <w:rFonts w:cs="Times New Roman"/>
          <w:szCs w:val="24"/>
        </w:rPr>
        <w:t xml:space="preserve"> highlights varying susceptibility patterns across different antibiotic classes, with </w:t>
      </w:r>
      <w:r w:rsidR="0058304E" w:rsidRPr="00C81924">
        <w:rPr>
          <w:rFonts w:cs="Times New Roman"/>
          <w:szCs w:val="24"/>
        </w:rPr>
        <w:lastRenderedPageBreak/>
        <w:t xml:space="preserve">notable sensitivity rates observed for imipenem (100%), amikacin (80.3%) and gentamicin (78.7%), contrasting with higher resistance rates seen for cephalosporins, fluoroquinolones, and β-lactam antibiotics. These results underscore the urgent need for effective antimicrobial stewardship programs and infection control measures to mitigate the spread of antibiotic resistance and optimize patient outcomes in the face of increasingly resistant </w:t>
      </w:r>
      <w:r w:rsidR="0058304E" w:rsidRPr="00C81924">
        <w:rPr>
          <w:rFonts w:cs="Times New Roman"/>
          <w:i/>
          <w:iCs/>
          <w:szCs w:val="24"/>
        </w:rPr>
        <w:t>E. coli</w:t>
      </w:r>
      <w:r w:rsidR="0058304E" w:rsidRPr="00C81924">
        <w:rPr>
          <w:rFonts w:cs="Times New Roman"/>
          <w:szCs w:val="24"/>
        </w:rPr>
        <w:t xml:space="preserve"> infections.</w:t>
      </w:r>
      <w:bookmarkStart w:id="29" w:name="_Toc163428605"/>
    </w:p>
    <w:p w14:paraId="291CF0EE" w14:textId="50634F34" w:rsidR="0058304E" w:rsidRPr="00C81924" w:rsidRDefault="00C81924" w:rsidP="005F0536">
      <w:pPr>
        <w:spacing w:line="240" w:lineRule="auto"/>
        <w:jc w:val="both"/>
        <w:rPr>
          <w:rFonts w:cs="Times New Roman"/>
          <w:b/>
          <w:bCs/>
          <w:szCs w:val="24"/>
        </w:rPr>
      </w:pPr>
      <w:r w:rsidRPr="00C81924">
        <w:rPr>
          <w:rFonts w:cs="Times New Roman"/>
          <w:b/>
          <w:bCs/>
          <w:szCs w:val="24"/>
        </w:rPr>
        <w:t>Reference</w:t>
      </w:r>
      <w:bookmarkEnd w:id="29"/>
      <w:r w:rsidRPr="00C81924">
        <w:rPr>
          <w:rFonts w:cs="Times New Roman"/>
          <w:b/>
          <w:bCs/>
          <w:szCs w:val="24"/>
        </w:rPr>
        <w:t>s</w:t>
      </w:r>
    </w:p>
    <w:p w14:paraId="7699F93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0" w:name="_Hlk163577108"/>
      <w:bookmarkStart w:id="31" w:name="_Hlk137611147"/>
      <w:r w:rsidRPr="00C81924">
        <w:rPr>
          <w:rFonts w:cs="Times New Roman"/>
          <w:szCs w:val="24"/>
        </w:rPr>
        <w:t>Ali</w:t>
      </w:r>
      <w:bookmarkEnd w:id="30"/>
      <w:r w:rsidRPr="00C81924">
        <w:rPr>
          <w:rFonts w:cs="Times New Roman"/>
          <w:szCs w:val="24"/>
        </w:rPr>
        <w:t>, T., Ali, I., Khan, N. A., Han, B., &amp; Gao, J. (2018). The growing genetic and functional diversity of extended spectrum beta-lactamases. </w:t>
      </w:r>
      <w:r w:rsidRPr="00C81924">
        <w:rPr>
          <w:rFonts w:cs="Times New Roman"/>
          <w:i/>
          <w:iCs/>
          <w:szCs w:val="24"/>
        </w:rPr>
        <w:t>BioMed Research International</w:t>
      </w:r>
      <w:r w:rsidRPr="00C81924">
        <w:rPr>
          <w:rFonts w:cs="Times New Roman"/>
          <w:szCs w:val="24"/>
        </w:rPr>
        <w:t>, </w:t>
      </w:r>
      <w:r w:rsidRPr="00C81924">
        <w:rPr>
          <w:rFonts w:cs="Times New Roman"/>
          <w:i/>
          <w:iCs/>
          <w:szCs w:val="24"/>
        </w:rPr>
        <w:t>2018</w:t>
      </w:r>
      <w:r w:rsidRPr="00C81924">
        <w:rPr>
          <w:rFonts w:cs="Times New Roman"/>
          <w:szCs w:val="24"/>
        </w:rPr>
        <w:t>.</w:t>
      </w:r>
    </w:p>
    <w:p w14:paraId="0BFA58D3"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32" w:name="_Hlk137385533"/>
      <w:proofErr w:type="spellStart"/>
      <w:r w:rsidRPr="00C81924">
        <w:rPr>
          <w:rFonts w:cs="Times New Roman"/>
          <w:szCs w:val="24"/>
        </w:rPr>
        <w:t>Alipourfard</w:t>
      </w:r>
      <w:proofErr w:type="spellEnd"/>
      <w:r w:rsidRPr="00C81924">
        <w:rPr>
          <w:rFonts w:cs="Times New Roman"/>
          <w:szCs w:val="24"/>
        </w:rPr>
        <w:t xml:space="preserve">, I., &amp; </w:t>
      </w:r>
      <w:proofErr w:type="spellStart"/>
      <w:r w:rsidRPr="00C81924">
        <w:rPr>
          <w:rFonts w:cs="Times New Roman"/>
          <w:szCs w:val="24"/>
        </w:rPr>
        <w:t>Nili</w:t>
      </w:r>
      <w:proofErr w:type="spellEnd"/>
      <w:r w:rsidRPr="00C81924">
        <w:rPr>
          <w:rFonts w:cs="Times New Roman"/>
          <w:szCs w:val="24"/>
        </w:rPr>
        <w:t>, N.Y. (2011</w:t>
      </w:r>
      <w:bookmarkEnd w:id="32"/>
      <w:r w:rsidRPr="00C81924">
        <w:rPr>
          <w:rFonts w:cs="Times New Roman"/>
          <w:szCs w:val="24"/>
        </w:rPr>
        <w:t xml:space="preserve">). Antibiogram of Extended Spectrum Beta-lactamase (ESBL) producing </w:t>
      </w:r>
      <w:r w:rsidRPr="00C81924">
        <w:rPr>
          <w:rFonts w:cs="Times New Roman"/>
          <w:i/>
          <w:iCs/>
          <w:szCs w:val="24"/>
        </w:rPr>
        <w:t>Escherichia coli</w:t>
      </w:r>
      <w:r w:rsidRPr="00C81924">
        <w:rPr>
          <w:rFonts w:cs="Times New Roman"/>
          <w:szCs w:val="24"/>
        </w:rPr>
        <w:t xml:space="preserve"> and Klebsiella pneumoniae isolated from Hospital Samples. </w:t>
      </w:r>
      <w:r w:rsidRPr="00C81924">
        <w:rPr>
          <w:rFonts w:cs="Times New Roman"/>
          <w:i/>
          <w:iCs/>
          <w:szCs w:val="24"/>
        </w:rPr>
        <w:t>Bangladesh Journal of Medical Microbiology, 4</w:t>
      </w:r>
      <w:r w:rsidRPr="00C81924">
        <w:rPr>
          <w:rFonts w:cs="Times New Roman"/>
          <w:szCs w:val="24"/>
        </w:rPr>
        <w:t>, 32-36.</w:t>
      </w:r>
    </w:p>
    <w:p w14:paraId="6F51F781"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3" w:name="_Hlk163579803"/>
      <w:proofErr w:type="spellStart"/>
      <w:r w:rsidRPr="00C81924">
        <w:rPr>
          <w:rFonts w:cs="Times New Roman"/>
          <w:szCs w:val="24"/>
        </w:rPr>
        <w:t>Alkofide</w:t>
      </w:r>
      <w:bookmarkEnd w:id="33"/>
      <w:proofErr w:type="spellEnd"/>
      <w:r w:rsidRPr="00C81924">
        <w:rPr>
          <w:rFonts w:cs="Times New Roman"/>
          <w:szCs w:val="24"/>
        </w:rPr>
        <w:t xml:space="preserve">, H., </w:t>
      </w:r>
      <w:proofErr w:type="spellStart"/>
      <w:r w:rsidRPr="00C81924">
        <w:rPr>
          <w:rFonts w:cs="Times New Roman"/>
          <w:szCs w:val="24"/>
        </w:rPr>
        <w:t>Alhammad</w:t>
      </w:r>
      <w:proofErr w:type="spellEnd"/>
      <w:r w:rsidRPr="00C81924">
        <w:rPr>
          <w:rFonts w:cs="Times New Roman"/>
          <w:szCs w:val="24"/>
        </w:rPr>
        <w:t xml:space="preserve">, A. M., </w:t>
      </w:r>
      <w:proofErr w:type="spellStart"/>
      <w:r w:rsidRPr="00C81924">
        <w:rPr>
          <w:rFonts w:cs="Times New Roman"/>
          <w:szCs w:val="24"/>
        </w:rPr>
        <w:t>Alruwaili</w:t>
      </w:r>
      <w:proofErr w:type="spellEnd"/>
      <w:r w:rsidRPr="00C81924">
        <w:rPr>
          <w:rFonts w:cs="Times New Roman"/>
          <w:szCs w:val="24"/>
        </w:rPr>
        <w:t xml:space="preserve">, A., </w:t>
      </w:r>
      <w:proofErr w:type="spellStart"/>
      <w:r w:rsidRPr="00C81924">
        <w:rPr>
          <w:rFonts w:cs="Times New Roman"/>
          <w:szCs w:val="24"/>
        </w:rPr>
        <w:t>Aldemerdash</w:t>
      </w:r>
      <w:proofErr w:type="spellEnd"/>
      <w:r w:rsidRPr="00C81924">
        <w:rPr>
          <w:rFonts w:cs="Times New Roman"/>
          <w:szCs w:val="24"/>
        </w:rPr>
        <w:t xml:space="preserve">, A., </w:t>
      </w:r>
      <w:proofErr w:type="spellStart"/>
      <w:r w:rsidRPr="00C81924">
        <w:rPr>
          <w:rFonts w:cs="Times New Roman"/>
          <w:szCs w:val="24"/>
        </w:rPr>
        <w:t>Almangour</w:t>
      </w:r>
      <w:proofErr w:type="spellEnd"/>
      <w:r w:rsidRPr="00C81924">
        <w:rPr>
          <w:rFonts w:cs="Times New Roman"/>
          <w:szCs w:val="24"/>
        </w:rPr>
        <w:t xml:space="preserve">, T. A., </w:t>
      </w:r>
      <w:proofErr w:type="spellStart"/>
      <w:r w:rsidRPr="00C81924">
        <w:rPr>
          <w:rFonts w:cs="Times New Roman"/>
          <w:szCs w:val="24"/>
        </w:rPr>
        <w:t>Alsuwayegh</w:t>
      </w:r>
      <w:proofErr w:type="spellEnd"/>
      <w:r w:rsidRPr="00C81924">
        <w:rPr>
          <w:rFonts w:cs="Times New Roman"/>
          <w:szCs w:val="24"/>
        </w:rPr>
        <w:t xml:space="preserve">, A., ... &amp; </w:t>
      </w:r>
      <w:proofErr w:type="spellStart"/>
      <w:r w:rsidRPr="00C81924">
        <w:rPr>
          <w:rFonts w:cs="Times New Roman"/>
          <w:szCs w:val="24"/>
        </w:rPr>
        <w:t>Enani</w:t>
      </w:r>
      <w:proofErr w:type="spellEnd"/>
      <w:r w:rsidRPr="00C81924">
        <w:rPr>
          <w:rFonts w:cs="Times New Roman"/>
          <w:szCs w:val="24"/>
        </w:rPr>
        <w:t xml:space="preserve">, M. (2020). Multidrug-resistant and extensively drug-resistant </w:t>
      </w:r>
      <w:proofErr w:type="spellStart"/>
      <w:r w:rsidRPr="00C81924">
        <w:rPr>
          <w:rFonts w:cs="Times New Roman"/>
          <w:szCs w:val="24"/>
        </w:rPr>
        <w:t>enterobacteriaceae</w:t>
      </w:r>
      <w:proofErr w:type="spellEnd"/>
      <w:r w:rsidRPr="00C81924">
        <w:rPr>
          <w:rFonts w:cs="Times New Roman"/>
          <w:szCs w:val="24"/>
        </w:rPr>
        <w:t>: prevalence, treatments, and outcomes–a retrospective cohort study. </w:t>
      </w:r>
      <w:r w:rsidRPr="00C81924">
        <w:rPr>
          <w:rFonts w:cs="Times New Roman"/>
          <w:i/>
          <w:iCs/>
          <w:szCs w:val="24"/>
        </w:rPr>
        <w:t>Infection and Drug Resistance</w:t>
      </w:r>
      <w:r w:rsidRPr="00C81924">
        <w:rPr>
          <w:rFonts w:cs="Times New Roman"/>
          <w:szCs w:val="24"/>
        </w:rPr>
        <w:t>, 4653-4662.</w:t>
      </w:r>
    </w:p>
    <w:p w14:paraId="369108E0"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4" w:name="_Hlk163595964"/>
      <w:proofErr w:type="spellStart"/>
      <w:r w:rsidRPr="00C81924">
        <w:rPr>
          <w:rFonts w:cs="Times New Roman"/>
          <w:szCs w:val="24"/>
        </w:rPr>
        <w:t>Alqasim</w:t>
      </w:r>
      <w:bookmarkEnd w:id="34"/>
      <w:proofErr w:type="spellEnd"/>
      <w:r w:rsidRPr="00C81924">
        <w:rPr>
          <w:rFonts w:cs="Times New Roman"/>
          <w:szCs w:val="24"/>
        </w:rPr>
        <w:t xml:space="preserve">, A., Abu </w:t>
      </w:r>
      <w:proofErr w:type="spellStart"/>
      <w:r w:rsidRPr="00C81924">
        <w:rPr>
          <w:rFonts w:cs="Times New Roman"/>
          <w:szCs w:val="24"/>
        </w:rPr>
        <w:t>Jaffal</w:t>
      </w:r>
      <w:proofErr w:type="spellEnd"/>
      <w:r w:rsidRPr="00C81924">
        <w:rPr>
          <w:rFonts w:cs="Times New Roman"/>
          <w:szCs w:val="24"/>
        </w:rPr>
        <w:t xml:space="preserve">, A., &amp; </w:t>
      </w:r>
      <w:proofErr w:type="spellStart"/>
      <w:r w:rsidRPr="00C81924">
        <w:rPr>
          <w:rFonts w:cs="Times New Roman"/>
          <w:szCs w:val="24"/>
        </w:rPr>
        <w:t>Alyousef</w:t>
      </w:r>
      <w:proofErr w:type="spellEnd"/>
      <w:r w:rsidRPr="00C81924">
        <w:rPr>
          <w:rFonts w:cs="Times New Roman"/>
          <w:szCs w:val="24"/>
        </w:rPr>
        <w:t xml:space="preserve">, A. A. (2018). Prevalence of multidrug resistance and extended-spectrum β-lactamase carriage of clinical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Escherichia coli</w:t>
      </w:r>
      <w:r w:rsidRPr="00C81924">
        <w:rPr>
          <w:rFonts w:cs="Times New Roman"/>
          <w:szCs w:val="24"/>
        </w:rPr>
        <w:t xml:space="preserve"> isolates in Riyadh, Saudi Arabia. </w:t>
      </w:r>
      <w:r w:rsidRPr="00C81924">
        <w:rPr>
          <w:rFonts w:cs="Times New Roman"/>
          <w:i/>
          <w:iCs/>
          <w:szCs w:val="24"/>
        </w:rPr>
        <w:t>International Journal of Microbiology</w:t>
      </w:r>
      <w:r w:rsidRPr="00C81924">
        <w:rPr>
          <w:rFonts w:cs="Times New Roman"/>
          <w:szCs w:val="24"/>
        </w:rPr>
        <w:t>, </w:t>
      </w:r>
      <w:r w:rsidRPr="00C81924">
        <w:rPr>
          <w:rFonts w:cs="Times New Roman"/>
          <w:i/>
          <w:iCs/>
          <w:szCs w:val="24"/>
        </w:rPr>
        <w:t>2018</w:t>
      </w:r>
      <w:r w:rsidRPr="00C81924">
        <w:rPr>
          <w:rFonts w:cs="Times New Roman"/>
          <w:szCs w:val="24"/>
        </w:rPr>
        <w:t>.</w:t>
      </w:r>
    </w:p>
    <w:p w14:paraId="33DA901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5" w:name="_Hlk163577044"/>
      <w:r w:rsidRPr="00C81924">
        <w:rPr>
          <w:rFonts w:cs="Times New Roman"/>
          <w:szCs w:val="24"/>
        </w:rPr>
        <w:t>Anima</w:t>
      </w:r>
      <w:bookmarkEnd w:id="35"/>
      <w:r w:rsidRPr="00C81924">
        <w:rPr>
          <w:rFonts w:cs="Times New Roman"/>
          <w:szCs w:val="24"/>
        </w:rPr>
        <w:t xml:space="preserve">, N., </w:t>
      </w:r>
      <w:proofErr w:type="spellStart"/>
      <w:r w:rsidRPr="00C81924">
        <w:rPr>
          <w:rFonts w:cs="Times New Roman"/>
          <w:szCs w:val="24"/>
        </w:rPr>
        <w:t>Dhamodharan</w:t>
      </w:r>
      <w:proofErr w:type="spellEnd"/>
      <w:r w:rsidRPr="00C81924">
        <w:rPr>
          <w:rFonts w:cs="Times New Roman"/>
          <w:szCs w:val="24"/>
        </w:rPr>
        <w:t xml:space="preserve">, S., &amp; Nayak, B. K. (2017). Antibiotic resistance pattern exhibited by </w:t>
      </w:r>
      <w:proofErr w:type="spellStart"/>
      <w:r w:rsidRPr="00C81924">
        <w:rPr>
          <w:rFonts w:cs="Times New Roman"/>
          <w:szCs w:val="24"/>
        </w:rPr>
        <w:t>esbl</w:t>
      </w:r>
      <w:proofErr w:type="spellEnd"/>
      <w:r w:rsidRPr="00C81924">
        <w:rPr>
          <w:rFonts w:cs="Times New Roman"/>
          <w:szCs w:val="24"/>
        </w:rPr>
        <w:t xml:space="preserve"> (extended spectrum β-lactamases) in multidrug resistant strains, </w:t>
      </w:r>
      <w:r w:rsidRPr="00C81924">
        <w:rPr>
          <w:rFonts w:cs="Times New Roman"/>
          <w:i/>
          <w:iCs/>
          <w:szCs w:val="24"/>
        </w:rPr>
        <w:t>Escherichia coli</w:t>
      </w:r>
      <w:r w:rsidRPr="00C81924">
        <w:rPr>
          <w:rFonts w:cs="Times New Roman"/>
          <w:szCs w:val="24"/>
        </w:rPr>
        <w:t>. </w:t>
      </w:r>
      <w:r w:rsidRPr="00C81924">
        <w:rPr>
          <w:rFonts w:cs="Times New Roman"/>
          <w:i/>
          <w:iCs/>
          <w:szCs w:val="24"/>
        </w:rPr>
        <w:t>Research Journal of Pharmacy and Technology</w:t>
      </w:r>
      <w:r w:rsidRPr="00C81924">
        <w:rPr>
          <w:rFonts w:cs="Times New Roman"/>
          <w:szCs w:val="24"/>
        </w:rPr>
        <w:t>, </w:t>
      </w:r>
      <w:r w:rsidRPr="00C81924">
        <w:rPr>
          <w:rFonts w:cs="Times New Roman"/>
          <w:i/>
          <w:iCs/>
          <w:szCs w:val="24"/>
        </w:rPr>
        <w:t>10</w:t>
      </w:r>
      <w:r w:rsidRPr="00C81924">
        <w:rPr>
          <w:rFonts w:cs="Times New Roman"/>
          <w:szCs w:val="24"/>
        </w:rPr>
        <w:t>(11), 3705-3708.</w:t>
      </w:r>
    </w:p>
    <w:p w14:paraId="691CFE21"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6" w:name="_Hlk163582070"/>
      <w:r w:rsidRPr="00C81924">
        <w:rPr>
          <w:rFonts w:cs="Times New Roman"/>
          <w:szCs w:val="24"/>
        </w:rPr>
        <w:t>Bari</w:t>
      </w:r>
      <w:bookmarkEnd w:id="36"/>
      <w:r w:rsidRPr="00C81924">
        <w:rPr>
          <w:rFonts w:cs="Times New Roman"/>
          <w:szCs w:val="24"/>
        </w:rPr>
        <w:t xml:space="preserve">, M. A., </w:t>
      </w:r>
      <w:proofErr w:type="spellStart"/>
      <w:r w:rsidRPr="00C81924">
        <w:rPr>
          <w:rFonts w:cs="Times New Roman"/>
          <w:szCs w:val="24"/>
        </w:rPr>
        <w:t>Arefin</w:t>
      </w:r>
      <w:proofErr w:type="spellEnd"/>
      <w:r w:rsidRPr="00C81924">
        <w:rPr>
          <w:rFonts w:cs="Times New Roman"/>
          <w:szCs w:val="24"/>
        </w:rPr>
        <w:t xml:space="preserve">, M., Nessa, M., </w:t>
      </w:r>
      <w:proofErr w:type="spellStart"/>
      <w:r w:rsidRPr="00C81924">
        <w:rPr>
          <w:rFonts w:cs="Times New Roman"/>
          <w:szCs w:val="24"/>
        </w:rPr>
        <w:t>Mostofa</w:t>
      </w:r>
      <w:proofErr w:type="spellEnd"/>
      <w:r w:rsidRPr="00C81924">
        <w:rPr>
          <w:rFonts w:cs="Times New Roman"/>
          <w:szCs w:val="24"/>
        </w:rPr>
        <w:t xml:space="preserve">, G., &amp; Islam, T. (2017). Recent antibiotic sensitivity pattern of </w:t>
      </w:r>
      <w:r w:rsidRPr="00C81924">
        <w:rPr>
          <w:rFonts w:cs="Times New Roman"/>
          <w:i/>
          <w:iCs/>
          <w:szCs w:val="24"/>
        </w:rPr>
        <w:t>Escherichia coli</w:t>
      </w:r>
      <w:r w:rsidRPr="00C81924">
        <w:rPr>
          <w:rFonts w:cs="Times New Roman"/>
          <w:szCs w:val="24"/>
        </w:rPr>
        <w:t xml:space="preserve"> in urinary tract infection. </w:t>
      </w:r>
      <w:r w:rsidRPr="00C81924">
        <w:rPr>
          <w:rFonts w:cs="Times New Roman"/>
          <w:i/>
          <w:iCs/>
          <w:szCs w:val="24"/>
        </w:rPr>
        <w:t>Journal of Teachers Association</w:t>
      </w:r>
      <w:r w:rsidRPr="00C81924">
        <w:rPr>
          <w:rFonts w:cs="Times New Roman"/>
          <w:szCs w:val="24"/>
        </w:rPr>
        <w:t>, </w:t>
      </w:r>
      <w:r w:rsidRPr="00C81924">
        <w:rPr>
          <w:rFonts w:cs="Times New Roman"/>
          <w:i/>
          <w:iCs/>
          <w:szCs w:val="24"/>
        </w:rPr>
        <w:t>30</w:t>
      </w:r>
      <w:r w:rsidRPr="00C81924">
        <w:rPr>
          <w:rFonts w:cs="Times New Roman"/>
          <w:szCs w:val="24"/>
        </w:rPr>
        <w:t>(1), 61-65.</w:t>
      </w:r>
    </w:p>
    <w:p w14:paraId="02747F4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7" w:name="_Hlk163579397"/>
      <w:proofErr w:type="spellStart"/>
      <w:r w:rsidRPr="00C81924">
        <w:rPr>
          <w:rFonts w:cs="Times New Roman"/>
          <w:szCs w:val="24"/>
        </w:rPr>
        <w:t>Bessa</w:t>
      </w:r>
      <w:bookmarkEnd w:id="37"/>
      <w:proofErr w:type="spellEnd"/>
      <w:r w:rsidRPr="00C81924">
        <w:rPr>
          <w:rFonts w:cs="Times New Roman"/>
          <w:szCs w:val="24"/>
        </w:rPr>
        <w:t xml:space="preserve">, L. J., Ferreira, M., &amp; </w:t>
      </w:r>
      <w:proofErr w:type="spellStart"/>
      <w:r w:rsidRPr="00C81924">
        <w:rPr>
          <w:rFonts w:cs="Times New Roman"/>
          <w:szCs w:val="24"/>
        </w:rPr>
        <w:t>Gameiro</w:t>
      </w:r>
      <w:proofErr w:type="spellEnd"/>
      <w:r w:rsidRPr="00C81924">
        <w:rPr>
          <w:rFonts w:cs="Times New Roman"/>
          <w:szCs w:val="24"/>
        </w:rPr>
        <w:t xml:space="preserve">, P. (2018). Evaluation of membrane fluidity of multidrug-resistant isolates of </w:t>
      </w:r>
      <w:r w:rsidRPr="00C81924">
        <w:rPr>
          <w:rFonts w:cs="Times New Roman"/>
          <w:i/>
          <w:iCs/>
          <w:szCs w:val="24"/>
        </w:rPr>
        <w:t>Escherichia coli</w:t>
      </w:r>
      <w:r w:rsidRPr="00C81924">
        <w:rPr>
          <w:rFonts w:cs="Times New Roman"/>
          <w:szCs w:val="24"/>
        </w:rPr>
        <w:t xml:space="preserve"> and Staphylococcus aureus in presence and absence of antibiotics. </w:t>
      </w:r>
      <w:r w:rsidRPr="00C81924">
        <w:rPr>
          <w:rFonts w:cs="Times New Roman"/>
          <w:i/>
          <w:iCs/>
          <w:szCs w:val="24"/>
        </w:rPr>
        <w:t>Journal of Photochemistry and Photobiology B: Biology</w:t>
      </w:r>
      <w:r w:rsidRPr="00C81924">
        <w:rPr>
          <w:rFonts w:cs="Times New Roman"/>
          <w:szCs w:val="24"/>
        </w:rPr>
        <w:t>, </w:t>
      </w:r>
      <w:r w:rsidRPr="00C81924">
        <w:rPr>
          <w:rFonts w:cs="Times New Roman"/>
          <w:i/>
          <w:iCs/>
          <w:szCs w:val="24"/>
        </w:rPr>
        <w:t>181</w:t>
      </w:r>
      <w:r w:rsidRPr="00C81924">
        <w:rPr>
          <w:rFonts w:cs="Times New Roman"/>
          <w:szCs w:val="24"/>
        </w:rPr>
        <w:t>, 150-156.</w:t>
      </w:r>
    </w:p>
    <w:p w14:paraId="01D8BE32"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Biswas, R., Rabbani, R., Ahmed, H. S., </w:t>
      </w:r>
      <w:proofErr w:type="spellStart"/>
      <w:r w:rsidRPr="00C81924">
        <w:rPr>
          <w:rFonts w:cs="Times New Roman"/>
          <w:szCs w:val="24"/>
        </w:rPr>
        <w:t>Sarker</w:t>
      </w:r>
      <w:proofErr w:type="spellEnd"/>
      <w:r w:rsidRPr="00C81924">
        <w:rPr>
          <w:rFonts w:cs="Times New Roman"/>
          <w:szCs w:val="24"/>
        </w:rPr>
        <w:t xml:space="preserve">, M. A. S., </w:t>
      </w:r>
      <w:proofErr w:type="spellStart"/>
      <w:r w:rsidRPr="00C81924">
        <w:rPr>
          <w:rFonts w:cs="Times New Roman"/>
          <w:szCs w:val="24"/>
        </w:rPr>
        <w:t>Zafrin</w:t>
      </w:r>
      <w:proofErr w:type="spellEnd"/>
      <w:r w:rsidRPr="00C81924">
        <w:rPr>
          <w:rFonts w:cs="Times New Roman"/>
          <w:szCs w:val="24"/>
        </w:rPr>
        <w:t>, N., &amp; Rahman, M. M. (2014). Antibiotic sensitivity pattern of urinary tract infection at a tertiary care hospital. </w:t>
      </w:r>
      <w:r w:rsidRPr="00C81924">
        <w:rPr>
          <w:rFonts w:cs="Times New Roman"/>
          <w:i/>
          <w:iCs/>
          <w:szCs w:val="24"/>
        </w:rPr>
        <w:t xml:space="preserve">Bangladesh </w:t>
      </w:r>
      <w:proofErr w:type="spellStart"/>
      <w:r w:rsidRPr="00C81924">
        <w:rPr>
          <w:rFonts w:cs="Times New Roman"/>
          <w:i/>
          <w:iCs/>
          <w:szCs w:val="24"/>
        </w:rPr>
        <w:t>Crit</w:t>
      </w:r>
      <w:proofErr w:type="spellEnd"/>
      <w:r w:rsidRPr="00C81924">
        <w:rPr>
          <w:rFonts w:cs="Times New Roman"/>
          <w:i/>
          <w:iCs/>
          <w:szCs w:val="24"/>
        </w:rPr>
        <w:t xml:space="preserve"> Care J</w:t>
      </w:r>
      <w:r w:rsidRPr="00C81924">
        <w:rPr>
          <w:rFonts w:cs="Times New Roman"/>
          <w:szCs w:val="24"/>
        </w:rPr>
        <w:t>, </w:t>
      </w:r>
      <w:r w:rsidRPr="00C81924">
        <w:rPr>
          <w:rFonts w:cs="Times New Roman"/>
          <w:i/>
          <w:iCs/>
          <w:szCs w:val="24"/>
        </w:rPr>
        <w:t>2</w:t>
      </w:r>
      <w:r w:rsidRPr="00C81924">
        <w:rPr>
          <w:rFonts w:cs="Times New Roman"/>
          <w:szCs w:val="24"/>
        </w:rPr>
        <w:t>(1), 21-24.</w:t>
      </w:r>
    </w:p>
    <w:p w14:paraId="0AD6E5D7"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8" w:name="_Hlk163579477"/>
      <w:proofErr w:type="spellStart"/>
      <w:r w:rsidRPr="00C81924">
        <w:rPr>
          <w:rFonts w:cs="Times New Roman"/>
          <w:szCs w:val="24"/>
        </w:rPr>
        <w:t>Cerceo</w:t>
      </w:r>
      <w:bookmarkEnd w:id="38"/>
      <w:proofErr w:type="spellEnd"/>
      <w:r w:rsidRPr="00C81924">
        <w:rPr>
          <w:rFonts w:cs="Times New Roman"/>
          <w:szCs w:val="24"/>
        </w:rPr>
        <w:t xml:space="preserve">, E., </w:t>
      </w:r>
      <w:proofErr w:type="spellStart"/>
      <w:r w:rsidRPr="00C81924">
        <w:rPr>
          <w:rFonts w:cs="Times New Roman"/>
          <w:szCs w:val="24"/>
        </w:rPr>
        <w:t>Deitelzweig</w:t>
      </w:r>
      <w:proofErr w:type="spellEnd"/>
      <w:r w:rsidRPr="00C81924">
        <w:rPr>
          <w:rFonts w:cs="Times New Roman"/>
          <w:szCs w:val="24"/>
        </w:rPr>
        <w:t>, S. B., Sherman, B. M., &amp; Amin, A. N. (2016). Multidrug-resistant gram-negative bacterial infections in the hospital setting: overview, implications for clinical practice, and emerging treatment options. </w:t>
      </w:r>
      <w:r w:rsidRPr="00C81924">
        <w:rPr>
          <w:rFonts w:cs="Times New Roman"/>
          <w:i/>
          <w:iCs/>
          <w:szCs w:val="24"/>
        </w:rPr>
        <w:t>Microbial Drug Resistance</w:t>
      </w:r>
      <w:r w:rsidRPr="00C81924">
        <w:rPr>
          <w:rFonts w:cs="Times New Roman"/>
          <w:szCs w:val="24"/>
        </w:rPr>
        <w:t>, </w:t>
      </w:r>
      <w:r w:rsidRPr="00C81924">
        <w:rPr>
          <w:rFonts w:cs="Times New Roman"/>
          <w:i/>
          <w:iCs/>
          <w:szCs w:val="24"/>
        </w:rPr>
        <w:t>22</w:t>
      </w:r>
      <w:r w:rsidRPr="00C81924">
        <w:rPr>
          <w:rFonts w:cs="Times New Roman"/>
          <w:szCs w:val="24"/>
        </w:rPr>
        <w:t>(5), 412-431.</w:t>
      </w:r>
    </w:p>
    <w:p w14:paraId="29D3B54B"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9" w:name="_Hlk163578337"/>
      <w:r w:rsidRPr="00C81924">
        <w:rPr>
          <w:rFonts w:cs="Times New Roman"/>
          <w:szCs w:val="24"/>
        </w:rPr>
        <w:t>Chin</w:t>
      </w:r>
      <w:bookmarkEnd w:id="39"/>
      <w:r w:rsidRPr="00C81924">
        <w:rPr>
          <w:rFonts w:cs="Times New Roman"/>
          <w:szCs w:val="24"/>
        </w:rPr>
        <w:t>, W., Zhong, G., Pu, Q., Yang, C., Lou, W., De Sessions, P. F., ... &amp; Yang, Y. Y. (2018). A macromolecular approach to eradicate multidrug resistant bacterial infections while mitigating drug resistance onset. </w:t>
      </w:r>
      <w:r w:rsidRPr="00C81924">
        <w:rPr>
          <w:rFonts w:cs="Times New Roman"/>
          <w:i/>
          <w:iCs/>
          <w:szCs w:val="24"/>
        </w:rPr>
        <w:t>Nature Communications</w:t>
      </w:r>
      <w:r w:rsidRPr="00C81924">
        <w:rPr>
          <w:rFonts w:cs="Times New Roman"/>
          <w:szCs w:val="24"/>
        </w:rPr>
        <w:t>, </w:t>
      </w:r>
      <w:r w:rsidRPr="00C81924">
        <w:rPr>
          <w:rFonts w:cs="Times New Roman"/>
          <w:i/>
          <w:iCs/>
          <w:szCs w:val="24"/>
        </w:rPr>
        <w:t>9</w:t>
      </w:r>
      <w:r w:rsidRPr="00C81924">
        <w:rPr>
          <w:rFonts w:cs="Times New Roman"/>
          <w:szCs w:val="24"/>
        </w:rPr>
        <w:t>(1), 917.</w:t>
      </w:r>
    </w:p>
    <w:p w14:paraId="39DED3E4"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lastRenderedPageBreak/>
        <w:t>Clinical and Laboratory Standard Institute (2014). Performance standards for antimicrobial susceptibility testing. Twenty-four Informational supplements. CLSI Document 2014; M100-S24, CLSI, Wayne, Pa, USA, 2014.</w:t>
      </w:r>
    </w:p>
    <w:p w14:paraId="32C475F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0" w:name="_Hlk163575354"/>
      <w:proofErr w:type="spellStart"/>
      <w:r w:rsidRPr="00C81924">
        <w:rPr>
          <w:rFonts w:cs="Times New Roman"/>
          <w:szCs w:val="24"/>
        </w:rPr>
        <w:t>Dadashi</w:t>
      </w:r>
      <w:bookmarkEnd w:id="40"/>
      <w:proofErr w:type="spellEnd"/>
      <w:r w:rsidRPr="00C81924">
        <w:rPr>
          <w:rFonts w:cs="Times New Roman"/>
          <w:szCs w:val="24"/>
        </w:rPr>
        <w:t xml:space="preserve">, M., </w:t>
      </w:r>
      <w:proofErr w:type="spellStart"/>
      <w:r w:rsidRPr="00C81924">
        <w:rPr>
          <w:rFonts w:cs="Times New Roman"/>
          <w:szCs w:val="24"/>
        </w:rPr>
        <w:t>Yaslianifard</w:t>
      </w:r>
      <w:proofErr w:type="spellEnd"/>
      <w:r w:rsidRPr="00C81924">
        <w:rPr>
          <w:rFonts w:cs="Times New Roman"/>
          <w:szCs w:val="24"/>
        </w:rPr>
        <w:t xml:space="preserve">, S., </w:t>
      </w:r>
      <w:proofErr w:type="spellStart"/>
      <w:r w:rsidRPr="00C81924">
        <w:rPr>
          <w:rFonts w:cs="Times New Roman"/>
          <w:szCs w:val="24"/>
        </w:rPr>
        <w:t>Hajikhani</w:t>
      </w:r>
      <w:proofErr w:type="spellEnd"/>
      <w:r w:rsidRPr="00C81924">
        <w:rPr>
          <w:rFonts w:cs="Times New Roman"/>
          <w:szCs w:val="24"/>
        </w:rPr>
        <w:t xml:space="preserve">, B., Kabir, K., </w:t>
      </w:r>
      <w:proofErr w:type="spellStart"/>
      <w:r w:rsidRPr="00C81924">
        <w:rPr>
          <w:rFonts w:cs="Times New Roman"/>
          <w:szCs w:val="24"/>
        </w:rPr>
        <w:t>Owlia</w:t>
      </w:r>
      <w:proofErr w:type="spellEnd"/>
      <w:r w:rsidRPr="00C81924">
        <w:rPr>
          <w:rFonts w:cs="Times New Roman"/>
          <w:szCs w:val="24"/>
        </w:rPr>
        <w:t xml:space="preserve">, P., </w:t>
      </w:r>
      <w:proofErr w:type="spellStart"/>
      <w:r w:rsidRPr="00C81924">
        <w:rPr>
          <w:rFonts w:cs="Times New Roman"/>
          <w:szCs w:val="24"/>
        </w:rPr>
        <w:t>Goudarzi</w:t>
      </w:r>
      <w:proofErr w:type="spellEnd"/>
      <w:r w:rsidRPr="00C81924">
        <w:rPr>
          <w:rFonts w:cs="Times New Roman"/>
          <w:szCs w:val="24"/>
        </w:rPr>
        <w:t xml:space="preserve">, M., ... &amp; </w:t>
      </w:r>
      <w:proofErr w:type="spellStart"/>
      <w:r w:rsidRPr="00C81924">
        <w:rPr>
          <w:rFonts w:cs="Times New Roman"/>
          <w:szCs w:val="24"/>
        </w:rPr>
        <w:t>Darban-Sarokhalil</w:t>
      </w:r>
      <w:proofErr w:type="spellEnd"/>
      <w:r w:rsidRPr="00C81924">
        <w:rPr>
          <w:rFonts w:cs="Times New Roman"/>
          <w:szCs w:val="24"/>
        </w:rPr>
        <w:t xml:space="preserve">, D. (2019). Frequency distribution, genotypes and prevalent sequence types of New Delhi </w:t>
      </w:r>
      <w:proofErr w:type="spellStart"/>
      <w:r w:rsidRPr="00C81924">
        <w:rPr>
          <w:rFonts w:cs="Times New Roman"/>
          <w:szCs w:val="24"/>
        </w:rPr>
        <w:t>metallo</w:t>
      </w:r>
      <w:proofErr w:type="spellEnd"/>
      <w:r w:rsidRPr="00C81924">
        <w:rPr>
          <w:rFonts w:cs="Times New Roman"/>
          <w:szCs w:val="24"/>
        </w:rPr>
        <w:t xml:space="preserve">-β-lactamase-producing </w:t>
      </w:r>
      <w:r w:rsidRPr="00C81924">
        <w:rPr>
          <w:rFonts w:cs="Times New Roman"/>
          <w:i/>
          <w:iCs/>
          <w:szCs w:val="24"/>
        </w:rPr>
        <w:t>Escherichia coli</w:t>
      </w:r>
      <w:r w:rsidRPr="00C81924">
        <w:rPr>
          <w:rFonts w:cs="Times New Roman"/>
          <w:szCs w:val="24"/>
        </w:rPr>
        <w:t xml:space="preserve"> among clinical isolates around the world: a review. </w:t>
      </w:r>
      <w:r w:rsidRPr="00C81924">
        <w:rPr>
          <w:rFonts w:cs="Times New Roman"/>
          <w:i/>
          <w:iCs/>
          <w:szCs w:val="24"/>
        </w:rPr>
        <w:t>Journal of Global Antimicrobial Resistance</w:t>
      </w:r>
      <w:r w:rsidRPr="00C81924">
        <w:rPr>
          <w:rFonts w:cs="Times New Roman"/>
          <w:szCs w:val="24"/>
        </w:rPr>
        <w:t>, </w:t>
      </w:r>
      <w:r w:rsidRPr="00C81924">
        <w:rPr>
          <w:rFonts w:cs="Times New Roman"/>
          <w:i/>
          <w:iCs/>
          <w:szCs w:val="24"/>
        </w:rPr>
        <w:t>19</w:t>
      </w:r>
      <w:r w:rsidRPr="00C81924">
        <w:rPr>
          <w:rFonts w:cs="Times New Roman"/>
          <w:szCs w:val="24"/>
        </w:rPr>
        <w:t>, 284-293.</w:t>
      </w:r>
    </w:p>
    <w:p w14:paraId="522345C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1" w:name="_Hlk163581581"/>
      <w:r w:rsidRPr="00C81924">
        <w:rPr>
          <w:rFonts w:cs="Times New Roman"/>
          <w:szCs w:val="24"/>
        </w:rPr>
        <w:t>Djordjevic</w:t>
      </w:r>
      <w:bookmarkEnd w:id="41"/>
      <w:r w:rsidRPr="00C81924">
        <w:rPr>
          <w:rFonts w:cs="Times New Roman"/>
          <w:szCs w:val="24"/>
        </w:rPr>
        <w:t xml:space="preserve">, S. P., </w:t>
      </w:r>
      <w:proofErr w:type="spellStart"/>
      <w:r w:rsidRPr="00C81924">
        <w:rPr>
          <w:rFonts w:cs="Times New Roman"/>
          <w:szCs w:val="24"/>
        </w:rPr>
        <w:t>Jarocki</w:t>
      </w:r>
      <w:proofErr w:type="spellEnd"/>
      <w:r w:rsidRPr="00C81924">
        <w:rPr>
          <w:rFonts w:cs="Times New Roman"/>
          <w:szCs w:val="24"/>
        </w:rPr>
        <w:t xml:space="preserve">, V. M., Seemann, T., Cummins, M. L., Watt, A. E., </w:t>
      </w:r>
      <w:proofErr w:type="spellStart"/>
      <w:r w:rsidRPr="00C81924">
        <w:rPr>
          <w:rFonts w:cs="Times New Roman"/>
          <w:szCs w:val="24"/>
        </w:rPr>
        <w:t>Drigo</w:t>
      </w:r>
      <w:proofErr w:type="spellEnd"/>
      <w:r w:rsidRPr="00C81924">
        <w:rPr>
          <w:rFonts w:cs="Times New Roman"/>
          <w:szCs w:val="24"/>
        </w:rPr>
        <w:t xml:space="preserve">, B., ... &amp; </w:t>
      </w:r>
      <w:proofErr w:type="spellStart"/>
      <w:r w:rsidRPr="00C81924">
        <w:rPr>
          <w:rFonts w:cs="Times New Roman"/>
          <w:szCs w:val="24"/>
        </w:rPr>
        <w:t>Howden</w:t>
      </w:r>
      <w:proofErr w:type="spellEnd"/>
      <w:r w:rsidRPr="00C81924">
        <w:rPr>
          <w:rFonts w:cs="Times New Roman"/>
          <w:szCs w:val="24"/>
        </w:rPr>
        <w:t>, B. P. (2024). Genomic surveillance for antimicrobial resistance—a One Health perspective. </w:t>
      </w:r>
      <w:r w:rsidRPr="00C81924">
        <w:rPr>
          <w:rFonts w:cs="Times New Roman"/>
          <w:i/>
          <w:iCs/>
          <w:szCs w:val="24"/>
        </w:rPr>
        <w:t>Nature Reviews Genetics</w:t>
      </w:r>
      <w:r w:rsidRPr="00C81924">
        <w:rPr>
          <w:rFonts w:cs="Times New Roman"/>
          <w:szCs w:val="24"/>
        </w:rPr>
        <w:t>, </w:t>
      </w:r>
      <w:r w:rsidRPr="00C81924">
        <w:rPr>
          <w:rFonts w:cs="Times New Roman"/>
          <w:i/>
          <w:iCs/>
          <w:szCs w:val="24"/>
        </w:rPr>
        <w:t>25</w:t>
      </w:r>
      <w:r w:rsidRPr="00C81924">
        <w:rPr>
          <w:rFonts w:cs="Times New Roman"/>
          <w:szCs w:val="24"/>
        </w:rPr>
        <w:t>(2), 142-157.</w:t>
      </w:r>
    </w:p>
    <w:p w14:paraId="5C61986C"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Doi, Y., Adams-</w:t>
      </w:r>
      <w:proofErr w:type="spellStart"/>
      <w:r w:rsidRPr="00C81924">
        <w:rPr>
          <w:rFonts w:cs="Times New Roman"/>
          <w:szCs w:val="24"/>
        </w:rPr>
        <w:t>Haduch</w:t>
      </w:r>
      <w:proofErr w:type="spellEnd"/>
      <w:r w:rsidRPr="00C81924">
        <w:rPr>
          <w:rFonts w:cs="Times New Roman"/>
          <w:szCs w:val="24"/>
        </w:rPr>
        <w:t xml:space="preserve">, J. M., Peleg, A. Y., &amp; </w:t>
      </w:r>
      <w:proofErr w:type="spellStart"/>
      <w:r w:rsidRPr="00C81924">
        <w:rPr>
          <w:rFonts w:cs="Times New Roman"/>
          <w:szCs w:val="24"/>
        </w:rPr>
        <w:t>D'Agata</w:t>
      </w:r>
      <w:proofErr w:type="spellEnd"/>
      <w:r w:rsidRPr="00C81924">
        <w:rPr>
          <w:rFonts w:cs="Times New Roman"/>
          <w:szCs w:val="24"/>
        </w:rPr>
        <w:t xml:space="preserve">, E. M. (2012). The role of horizontal gene transfer in the dissemination of extended-spectrum beta-lactamase–producing </w:t>
      </w:r>
      <w:r w:rsidRPr="00C81924">
        <w:rPr>
          <w:rFonts w:cs="Times New Roman"/>
          <w:i/>
          <w:iCs/>
          <w:szCs w:val="24"/>
        </w:rPr>
        <w:t>Escherichia coli</w:t>
      </w:r>
      <w:r w:rsidRPr="00C81924">
        <w:rPr>
          <w:rFonts w:cs="Times New Roman"/>
          <w:szCs w:val="24"/>
        </w:rPr>
        <w:t xml:space="preserve"> and Klebsiella pneumoniae isolates in an endemic setting. </w:t>
      </w:r>
      <w:r w:rsidRPr="00C81924">
        <w:rPr>
          <w:rFonts w:cs="Times New Roman"/>
          <w:i/>
          <w:iCs/>
          <w:szCs w:val="24"/>
        </w:rPr>
        <w:t>Diagnostic Microbiology and Infectious Disease</w:t>
      </w:r>
      <w:r w:rsidRPr="00C81924">
        <w:rPr>
          <w:rFonts w:cs="Times New Roman"/>
          <w:szCs w:val="24"/>
        </w:rPr>
        <w:t>, </w:t>
      </w:r>
      <w:r w:rsidRPr="00C81924">
        <w:rPr>
          <w:rFonts w:cs="Times New Roman"/>
          <w:i/>
          <w:iCs/>
          <w:szCs w:val="24"/>
        </w:rPr>
        <w:t>74</w:t>
      </w:r>
      <w:r w:rsidRPr="00C81924">
        <w:rPr>
          <w:rFonts w:cs="Times New Roman"/>
          <w:szCs w:val="24"/>
        </w:rPr>
        <w:t>(1), 34-38.</w:t>
      </w:r>
    </w:p>
    <w:p w14:paraId="1C93C8CA"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42" w:name="_Hlk137491396"/>
      <w:proofErr w:type="spellStart"/>
      <w:r w:rsidRPr="00C81924">
        <w:rPr>
          <w:rFonts w:cs="Times New Roman"/>
          <w:szCs w:val="24"/>
        </w:rPr>
        <w:t>Egyir</w:t>
      </w:r>
      <w:bookmarkEnd w:id="42"/>
      <w:proofErr w:type="spellEnd"/>
      <w:r w:rsidRPr="00C81924">
        <w:rPr>
          <w:rFonts w:cs="Times New Roman"/>
          <w:szCs w:val="24"/>
        </w:rPr>
        <w:t>, B., Nkrumah-Obeng, N., Nyarko, E.O., Fox, A.T., Letizia, A.G., &amp; Sanders, T. (2020</w:t>
      </w:r>
      <w:proofErr w:type="gramStart"/>
      <w:r w:rsidRPr="00C81924">
        <w:rPr>
          <w:rFonts w:cs="Times New Roman"/>
          <w:szCs w:val="24"/>
        </w:rPr>
        <w:t>)..</w:t>
      </w:r>
      <w:proofErr w:type="gramEnd"/>
      <w:r w:rsidRPr="00C81924">
        <w:rPr>
          <w:rFonts w:cs="Times New Roman"/>
          <w:szCs w:val="24"/>
        </w:rPr>
        <w:t xml:space="preserve"> Prevalence of Extended Spectrum Beta-Lactamase Producing </w:t>
      </w:r>
      <w:r w:rsidRPr="00C81924">
        <w:rPr>
          <w:rFonts w:cs="Times New Roman"/>
          <w:i/>
          <w:iCs/>
          <w:szCs w:val="24"/>
        </w:rPr>
        <w:t>Escherichia coli</w:t>
      </w:r>
      <w:r w:rsidRPr="00C81924">
        <w:rPr>
          <w:rFonts w:cs="Times New Roman"/>
          <w:szCs w:val="24"/>
        </w:rPr>
        <w:t>, Klebsiella Pneumoniae and Pseudomonas Aeruginosa from Hospital Acquired Surgical Site Infections in Ghana. </w:t>
      </w:r>
      <w:r w:rsidRPr="00C81924">
        <w:rPr>
          <w:rFonts w:cs="Times New Roman"/>
          <w:i/>
          <w:iCs/>
          <w:szCs w:val="24"/>
        </w:rPr>
        <w:t>Open Forum Infectious Diseases</w:t>
      </w:r>
      <w:r w:rsidRPr="00C81924">
        <w:rPr>
          <w:rFonts w:cs="Times New Roman"/>
          <w:szCs w:val="24"/>
        </w:rPr>
        <w:t xml:space="preserve">, </w:t>
      </w:r>
      <w:r w:rsidRPr="00C81924">
        <w:rPr>
          <w:rFonts w:cs="Times New Roman"/>
          <w:i/>
          <w:iCs/>
          <w:szCs w:val="24"/>
        </w:rPr>
        <w:t>7</w:t>
      </w:r>
      <w:r w:rsidRPr="00C81924">
        <w:rPr>
          <w:rFonts w:cs="Times New Roman"/>
          <w:szCs w:val="24"/>
        </w:rPr>
        <w:t>(1), S483.</w:t>
      </w:r>
    </w:p>
    <w:p w14:paraId="6C8AB2FD"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3" w:name="_Hlk163575736"/>
      <w:proofErr w:type="spellStart"/>
      <w:r w:rsidRPr="00C81924">
        <w:rPr>
          <w:rFonts w:cs="Times New Roman"/>
          <w:szCs w:val="24"/>
        </w:rPr>
        <w:t>Ejrnæs</w:t>
      </w:r>
      <w:bookmarkEnd w:id="43"/>
      <w:proofErr w:type="spellEnd"/>
      <w:r w:rsidRPr="00C81924">
        <w:rPr>
          <w:rFonts w:cs="Times New Roman"/>
          <w:szCs w:val="24"/>
        </w:rPr>
        <w:t xml:space="preserve">, K., </w:t>
      </w:r>
      <w:proofErr w:type="spellStart"/>
      <w:r w:rsidRPr="00C81924">
        <w:rPr>
          <w:rFonts w:cs="Times New Roman"/>
          <w:szCs w:val="24"/>
        </w:rPr>
        <w:t>Stegger</w:t>
      </w:r>
      <w:proofErr w:type="spellEnd"/>
      <w:r w:rsidRPr="00C81924">
        <w:rPr>
          <w:rFonts w:cs="Times New Roman"/>
          <w:szCs w:val="24"/>
        </w:rPr>
        <w:t xml:space="preserve">, M., Reisner, A., Ferry, S., </w:t>
      </w:r>
      <w:proofErr w:type="spellStart"/>
      <w:r w:rsidRPr="00C81924">
        <w:rPr>
          <w:rFonts w:cs="Times New Roman"/>
          <w:szCs w:val="24"/>
        </w:rPr>
        <w:t>Monsen</w:t>
      </w:r>
      <w:proofErr w:type="spellEnd"/>
      <w:r w:rsidRPr="00C81924">
        <w:rPr>
          <w:rFonts w:cs="Times New Roman"/>
          <w:szCs w:val="24"/>
        </w:rPr>
        <w:t xml:space="preserve">, T., Holm, S. E., ... &amp; </w:t>
      </w:r>
      <w:proofErr w:type="spellStart"/>
      <w:r w:rsidRPr="00C81924">
        <w:rPr>
          <w:rFonts w:cs="Times New Roman"/>
          <w:szCs w:val="24"/>
        </w:rPr>
        <w:t>Frimodt-Møller</w:t>
      </w:r>
      <w:proofErr w:type="spellEnd"/>
      <w:r w:rsidRPr="00C81924">
        <w:rPr>
          <w:rFonts w:cs="Times New Roman"/>
          <w:szCs w:val="24"/>
        </w:rPr>
        <w:t xml:space="preserve">, N. (2011). Characteristics of </w:t>
      </w:r>
      <w:r w:rsidRPr="00C81924">
        <w:rPr>
          <w:rFonts w:cs="Times New Roman"/>
          <w:i/>
          <w:iCs/>
          <w:szCs w:val="24"/>
        </w:rPr>
        <w:t>Escherichia coli</w:t>
      </w:r>
      <w:r w:rsidRPr="00C81924">
        <w:rPr>
          <w:rFonts w:cs="Times New Roman"/>
          <w:szCs w:val="24"/>
        </w:rPr>
        <w:t xml:space="preserve"> causing persistence or relapse of urinary tract infections: phylogenetic groups, virulence factors and biofilm formation. </w:t>
      </w:r>
      <w:r w:rsidRPr="00C81924">
        <w:rPr>
          <w:rFonts w:cs="Times New Roman"/>
          <w:i/>
          <w:iCs/>
          <w:szCs w:val="24"/>
        </w:rPr>
        <w:t>Virulence</w:t>
      </w:r>
      <w:r w:rsidRPr="00C81924">
        <w:rPr>
          <w:rFonts w:cs="Times New Roman"/>
          <w:szCs w:val="24"/>
        </w:rPr>
        <w:t>, </w:t>
      </w:r>
      <w:r w:rsidRPr="00C81924">
        <w:rPr>
          <w:rFonts w:cs="Times New Roman"/>
          <w:i/>
          <w:iCs/>
          <w:szCs w:val="24"/>
        </w:rPr>
        <w:t>2</w:t>
      </w:r>
      <w:r w:rsidRPr="00C81924">
        <w:rPr>
          <w:rFonts w:cs="Times New Roman"/>
          <w:szCs w:val="24"/>
        </w:rPr>
        <w:t>(6), 528-537.</w:t>
      </w:r>
    </w:p>
    <w:p w14:paraId="460610F7"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4" w:name="_Hlk163581088"/>
      <w:proofErr w:type="spellStart"/>
      <w:r w:rsidRPr="00C81924">
        <w:rPr>
          <w:rFonts w:cs="Times New Roman"/>
          <w:szCs w:val="24"/>
        </w:rPr>
        <w:t>Esteve</w:t>
      </w:r>
      <w:proofErr w:type="spellEnd"/>
      <w:r w:rsidRPr="00C81924">
        <w:rPr>
          <w:rFonts w:cs="Times New Roman"/>
          <w:szCs w:val="24"/>
        </w:rPr>
        <w:t>-Palau</w:t>
      </w:r>
      <w:bookmarkEnd w:id="44"/>
      <w:r w:rsidRPr="00C81924">
        <w:rPr>
          <w:rFonts w:cs="Times New Roman"/>
          <w:szCs w:val="24"/>
        </w:rPr>
        <w:t xml:space="preserve">, E., </w:t>
      </w:r>
      <w:proofErr w:type="spellStart"/>
      <w:r w:rsidRPr="00C81924">
        <w:rPr>
          <w:rFonts w:cs="Times New Roman"/>
          <w:szCs w:val="24"/>
        </w:rPr>
        <w:t>Solande</w:t>
      </w:r>
      <w:proofErr w:type="spellEnd"/>
      <w:r w:rsidRPr="00C81924">
        <w:rPr>
          <w:rFonts w:cs="Times New Roman"/>
          <w:szCs w:val="24"/>
        </w:rPr>
        <w:t xml:space="preserve">, G., Sánchez, F., </w:t>
      </w:r>
      <w:proofErr w:type="spellStart"/>
      <w:r w:rsidRPr="00C81924">
        <w:rPr>
          <w:rFonts w:cs="Times New Roman"/>
          <w:szCs w:val="24"/>
        </w:rPr>
        <w:t>Sorlí</w:t>
      </w:r>
      <w:proofErr w:type="spellEnd"/>
      <w:r w:rsidRPr="00C81924">
        <w:rPr>
          <w:rFonts w:cs="Times New Roman"/>
          <w:szCs w:val="24"/>
        </w:rPr>
        <w:t xml:space="preserve">, L., Montero, M., </w:t>
      </w:r>
      <w:proofErr w:type="spellStart"/>
      <w:r w:rsidRPr="00C81924">
        <w:rPr>
          <w:rFonts w:cs="Times New Roman"/>
          <w:szCs w:val="24"/>
        </w:rPr>
        <w:t>Güerri</w:t>
      </w:r>
      <w:proofErr w:type="spellEnd"/>
      <w:r w:rsidRPr="00C81924">
        <w:rPr>
          <w:rFonts w:cs="Times New Roman"/>
          <w:szCs w:val="24"/>
        </w:rPr>
        <w:t xml:space="preserve">, R., ... &amp; </w:t>
      </w:r>
      <w:proofErr w:type="spellStart"/>
      <w:r w:rsidRPr="00C81924">
        <w:rPr>
          <w:rFonts w:cs="Times New Roman"/>
          <w:szCs w:val="24"/>
        </w:rPr>
        <w:t>Horcajada</w:t>
      </w:r>
      <w:proofErr w:type="spellEnd"/>
      <w:r w:rsidRPr="00C81924">
        <w:rPr>
          <w:rFonts w:cs="Times New Roman"/>
          <w:szCs w:val="24"/>
        </w:rPr>
        <w:t xml:space="preserve">, J. P. (2015). Clinical and economic impact of urinary tract infections caused by ESBL-producing </w:t>
      </w:r>
      <w:r w:rsidRPr="00C81924">
        <w:rPr>
          <w:rFonts w:cs="Times New Roman"/>
          <w:i/>
          <w:iCs/>
          <w:szCs w:val="24"/>
        </w:rPr>
        <w:t>Escherichia coli</w:t>
      </w:r>
      <w:r w:rsidRPr="00C81924">
        <w:rPr>
          <w:rFonts w:cs="Times New Roman"/>
          <w:szCs w:val="24"/>
        </w:rPr>
        <w:t xml:space="preserve"> requiring hospitalization: a matched cohort study. </w:t>
      </w:r>
      <w:r w:rsidRPr="00C81924">
        <w:rPr>
          <w:rFonts w:cs="Times New Roman"/>
          <w:i/>
          <w:iCs/>
          <w:szCs w:val="24"/>
        </w:rPr>
        <w:t>Journal of Infection</w:t>
      </w:r>
      <w:r w:rsidRPr="00C81924">
        <w:rPr>
          <w:rFonts w:cs="Times New Roman"/>
          <w:szCs w:val="24"/>
        </w:rPr>
        <w:t>, </w:t>
      </w:r>
      <w:r w:rsidRPr="00C81924">
        <w:rPr>
          <w:rFonts w:cs="Times New Roman"/>
          <w:i/>
          <w:iCs/>
          <w:szCs w:val="24"/>
        </w:rPr>
        <w:t>71</w:t>
      </w:r>
      <w:r w:rsidRPr="00C81924">
        <w:rPr>
          <w:rFonts w:cs="Times New Roman"/>
          <w:szCs w:val="24"/>
        </w:rPr>
        <w:t>(6), 667-674.</w:t>
      </w:r>
    </w:p>
    <w:p w14:paraId="2B0F4C61"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45" w:name="_Hlk137390671"/>
      <w:r w:rsidRPr="00C81924">
        <w:rPr>
          <w:rFonts w:cs="Times New Roman"/>
          <w:szCs w:val="24"/>
        </w:rPr>
        <w:t>Fan</w:t>
      </w:r>
      <w:bookmarkEnd w:id="45"/>
      <w:r w:rsidRPr="00C81924">
        <w:rPr>
          <w:rFonts w:cs="Times New Roman"/>
          <w:szCs w:val="24"/>
        </w:rPr>
        <w:t xml:space="preserve">, N. C., Chen, H. H., Chen, C. L., </w:t>
      </w:r>
      <w:proofErr w:type="spellStart"/>
      <w:r w:rsidRPr="00C81924">
        <w:rPr>
          <w:rFonts w:cs="Times New Roman"/>
          <w:szCs w:val="24"/>
        </w:rPr>
        <w:t>Ou</w:t>
      </w:r>
      <w:proofErr w:type="spellEnd"/>
      <w:r w:rsidRPr="00C81924">
        <w:rPr>
          <w:rFonts w:cs="Times New Roman"/>
          <w:szCs w:val="24"/>
        </w:rPr>
        <w:t xml:space="preserve">, L. S., Lin, T. Y., Tsai, M. H., &amp; Chiu, C. H. (2014). Rise of community-onset urinary tract infection caused by extended-spectrum β-lactamase-producing </w:t>
      </w:r>
      <w:r w:rsidRPr="00C81924">
        <w:rPr>
          <w:rFonts w:cs="Times New Roman"/>
          <w:i/>
          <w:iCs/>
          <w:szCs w:val="24"/>
        </w:rPr>
        <w:t>Escherichia coli</w:t>
      </w:r>
      <w:r w:rsidRPr="00C81924">
        <w:rPr>
          <w:rFonts w:cs="Times New Roman"/>
          <w:szCs w:val="24"/>
        </w:rPr>
        <w:t xml:space="preserve"> in children. </w:t>
      </w:r>
      <w:r w:rsidRPr="00C81924">
        <w:rPr>
          <w:rFonts w:cs="Times New Roman"/>
          <w:i/>
          <w:iCs/>
          <w:szCs w:val="24"/>
        </w:rPr>
        <w:t>Journal of Microbiology, Immunology and Infection</w:t>
      </w:r>
      <w:r w:rsidRPr="00C81924">
        <w:rPr>
          <w:rFonts w:cs="Times New Roman"/>
          <w:szCs w:val="24"/>
        </w:rPr>
        <w:t>, </w:t>
      </w:r>
      <w:r w:rsidRPr="00C81924">
        <w:rPr>
          <w:rFonts w:cs="Times New Roman"/>
          <w:i/>
          <w:iCs/>
          <w:szCs w:val="24"/>
        </w:rPr>
        <w:t>47</w:t>
      </w:r>
      <w:r w:rsidRPr="00C81924">
        <w:rPr>
          <w:rFonts w:cs="Times New Roman"/>
          <w:szCs w:val="24"/>
        </w:rPr>
        <w:t>(5), 399-405.</w:t>
      </w:r>
    </w:p>
    <w:p w14:paraId="0A5F98FA"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6" w:name="_Hlk163574803"/>
      <w:proofErr w:type="spellStart"/>
      <w:r w:rsidRPr="00C81924">
        <w:rPr>
          <w:rFonts w:cs="Times New Roman"/>
          <w:szCs w:val="24"/>
        </w:rPr>
        <w:t>Ferdosi-Shahandashti</w:t>
      </w:r>
      <w:bookmarkEnd w:id="46"/>
      <w:proofErr w:type="spellEnd"/>
      <w:r w:rsidRPr="00C81924">
        <w:rPr>
          <w:rFonts w:cs="Times New Roman"/>
          <w:szCs w:val="24"/>
        </w:rPr>
        <w:t xml:space="preserve">, E., </w:t>
      </w:r>
      <w:proofErr w:type="spellStart"/>
      <w:r w:rsidRPr="00C81924">
        <w:rPr>
          <w:rFonts w:cs="Times New Roman"/>
          <w:szCs w:val="24"/>
        </w:rPr>
        <w:t>Javanian</w:t>
      </w:r>
      <w:proofErr w:type="spellEnd"/>
      <w:r w:rsidRPr="00C81924">
        <w:rPr>
          <w:rFonts w:cs="Times New Roman"/>
          <w:szCs w:val="24"/>
        </w:rPr>
        <w:t xml:space="preserve">, M., </w:t>
      </w:r>
      <w:proofErr w:type="spellStart"/>
      <w:r w:rsidRPr="00C81924">
        <w:rPr>
          <w:rFonts w:cs="Times New Roman"/>
          <w:szCs w:val="24"/>
        </w:rPr>
        <w:t>Moradian-Kouchaksaraei</w:t>
      </w:r>
      <w:proofErr w:type="spellEnd"/>
      <w:r w:rsidRPr="00C81924">
        <w:rPr>
          <w:rFonts w:cs="Times New Roman"/>
          <w:szCs w:val="24"/>
        </w:rPr>
        <w:t xml:space="preserve">, M., Yeganeh, B., </w:t>
      </w:r>
      <w:proofErr w:type="spellStart"/>
      <w:r w:rsidRPr="00C81924">
        <w:rPr>
          <w:rFonts w:cs="Times New Roman"/>
          <w:szCs w:val="24"/>
        </w:rPr>
        <w:t>Bijani</w:t>
      </w:r>
      <w:proofErr w:type="spellEnd"/>
      <w:r w:rsidRPr="00C81924">
        <w:rPr>
          <w:rFonts w:cs="Times New Roman"/>
          <w:szCs w:val="24"/>
        </w:rPr>
        <w:t xml:space="preserve">, A., </w:t>
      </w:r>
      <w:proofErr w:type="spellStart"/>
      <w:r w:rsidRPr="00C81924">
        <w:rPr>
          <w:rFonts w:cs="Times New Roman"/>
          <w:szCs w:val="24"/>
        </w:rPr>
        <w:t>Motevaseli</w:t>
      </w:r>
      <w:proofErr w:type="spellEnd"/>
      <w:r w:rsidRPr="00C81924">
        <w:rPr>
          <w:rFonts w:cs="Times New Roman"/>
          <w:szCs w:val="24"/>
        </w:rPr>
        <w:t xml:space="preserve">, E., &amp; </w:t>
      </w:r>
      <w:proofErr w:type="spellStart"/>
      <w:r w:rsidRPr="00C81924">
        <w:rPr>
          <w:rFonts w:cs="Times New Roman"/>
          <w:szCs w:val="24"/>
        </w:rPr>
        <w:t>Moradian-Kouchaksaraei</w:t>
      </w:r>
      <w:proofErr w:type="spellEnd"/>
      <w:r w:rsidRPr="00C81924">
        <w:rPr>
          <w:rFonts w:cs="Times New Roman"/>
          <w:szCs w:val="24"/>
        </w:rPr>
        <w:t xml:space="preserve">, F. (2015). Resistance patterns of </w:t>
      </w:r>
      <w:r w:rsidRPr="00C81924">
        <w:rPr>
          <w:rFonts w:cs="Times New Roman"/>
          <w:i/>
          <w:iCs/>
          <w:szCs w:val="24"/>
        </w:rPr>
        <w:t>Escherichia coli</w:t>
      </w:r>
      <w:r w:rsidRPr="00C81924">
        <w:rPr>
          <w:rFonts w:cs="Times New Roman"/>
          <w:szCs w:val="24"/>
        </w:rPr>
        <w:t xml:space="preserve"> causing urinary tract infection. </w:t>
      </w:r>
      <w:r w:rsidRPr="00C81924">
        <w:rPr>
          <w:rFonts w:cs="Times New Roman"/>
          <w:i/>
          <w:iCs/>
          <w:szCs w:val="24"/>
        </w:rPr>
        <w:t>Caspian Journal of Internal Medicine</w:t>
      </w:r>
      <w:r w:rsidRPr="00C81924">
        <w:rPr>
          <w:rFonts w:cs="Times New Roman"/>
          <w:szCs w:val="24"/>
        </w:rPr>
        <w:t>, </w:t>
      </w:r>
      <w:r w:rsidRPr="00C81924">
        <w:rPr>
          <w:rFonts w:cs="Times New Roman"/>
          <w:i/>
          <w:iCs/>
          <w:szCs w:val="24"/>
        </w:rPr>
        <w:t>6</w:t>
      </w:r>
      <w:r w:rsidRPr="00C81924">
        <w:rPr>
          <w:rFonts w:cs="Times New Roman"/>
          <w:szCs w:val="24"/>
        </w:rPr>
        <w:t>(3), 148.</w:t>
      </w:r>
    </w:p>
    <w:p w14:paraId="107C58B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7" w:name="_Hlk163574890"/>
      <w:r w:rsidRPr="00C81924">
        <w:rPr>
          <w:rFonts w:cs="Times New Roman"/>
          <w:szCs w:val="24"/>
        </w:rPr>
        <w:t>Fleckenstein, J. M., &amp; Kuhlmann, F. M. (2019)</w:t>
      </w:r>
      <w:bookmarkEnd w:id="47"/>
      <w:r w:rsidRPr="00C81924">
        <w:rPr>
          <w:rFonts w:cs="Times New Roman"/>
          <w:szCs w:val="24"/>
        </w:rPr>
        <w:t xml:space="preserve">. Enterotoxigenic </w:t>
      </w:r>
      <w:r w:rsidRPr="00C81924">
        <w:rPr>
          <w:rFonts w:cs="Times New Roman"/>
          <w:i/>
          <w:iCs/>
          <w:szCs w:val="24"/>
        </w:rPr>
        <w:t>Escherichia coli</w:t>
      </w:r>
      <w:r w:rsidRPr="00C81924">
        <w:rPr>
          <w:rFonts w:cs="Times New Roman"/>
          <w:szCs w:val="24"/>
        </w:rPr>
        <w:t xml:space="preserve"> infections. </w:t>
      </w:r>
      <w:r w:rsidRPr="00C81924">
        <w:rPr>
          <w:rFonts w:cs="Times New Roman"/>
          <w:i/>
          <w:iCs/>
          <w:szCs w:val="24"/>
        </w:rPr>
        <w:t>Current Infectious Disease Reports</w:t>
      </w:r>
      <w:r w:rsidRPr="00C81924">
        <w:rPr>
          <w:rFonts w:cs="Times New Roman"/>
          <w:szCs w:val="24"/>
        </w:rPr>
        <w:t>, </w:t>
      </w:r>
      <w:r w:rsidRPr="00C81924">
        <w:rPr>
          <w:rFonts w:cs="Times New Roman"/>
          <w:i/>
          <w:iCs/>
          <w:szCs w:val="24"/>
        </w:rPr>
        <w:t>21</w:t>
      </w:r>
      <w:r w:rsidRPr="00C81924">
        <w:rPr>
          <w:rFonts w:cs="Times New Roman"/>
          <w:szCs w:val="24"/>
        </w:rPr>
        <w:t>, 1-9.</w:t>
      </w:r>
    </w:p>
    <w:p w14:paraId="6EF24DE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8" w:name="_Hlk163579861"/>
      <w:r w:rsidRPr="00C81924">
        <w:rPr>
          <w:rFonts w:cs="Times New Roman"/>
          <w:szCs w:val="24"/>
        </w:rPr>
        <w:t>Galindo-Méndez</w:t>
      </w:r>
      <w:bookmarkEnd w:id="48"/>
      <w:r w:rsidRPr="00C81924">
        <w:rPr>
          <w:rFonts w:cs="Times New Roman"/>
          <w:szCs w:val="24"/>
        </w:rPr>
        <w:t xml:space="preserve">, M. (2020). Antimicrobial resistance in </w:t>
      </w:r>
      <w:r w:rsidRPr="00C81924">
        <w:rPr>
          <w:rFonts w:cs="Times New Roman"/>
          <w:i/>
          <w:iCs/>
          <w:szCs w:val="24"/>
        </w:rPr>
        <w:t>Escherichia coli</w:t>
      </w:r>
      <w:r w:rsidRPr="00C81924">
        <w:rPr>
          <w:rFonts w:cs="Times New Roman"/>
          <w:szCs w:val="24"/>
        </w:rPr>
        <w:t>. </w:t>
      </w:r>
      <w:r w:rsidRPr="00C81924">
        <w:rPr>
          <w:rFonts w:cs="Times New Roman"/>
          <w:i/>
          <w:iCs/>
          <w:szCs w:val="24"/>
        </w:rPr>
        <w:t>E. coli Infections-Importance of Early Diagnosis and Efficient Treatment</w:t>
      </w:r>
      <w:r w:rsidRPr="00C81924">
        <w:rPr>
          <w:rFonts w:cs="Times New Roman"/>
          <w:szCs w:val="24"/>
        </w:rPr>
        <w:t>, 1-20.</w:t>
      </w:r>
    </w:p>
    <w:p w14:paraId="712DD019"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Garneau‐</w:t>
      </w:r>
      <w:proofErr w:type="spellStart"/>
      <w:r w:rsidRPr="00C81924">
        <w:rPr>
          <w:rFonts w:cs="Times New Roman"/>
          <w:szCs w:val="24"/>
        </w:rPr>
        <w:t>Tsodikova</w:t>
      </w:r>
      <w:proofErr w:type="spellEnd"/>
      <w:r w:rsidRPr="00C81924">
        <w:rPr>
          <w:rFonts w:cs="Times New Roman"/>
          <w:szCs w:val="24"/>
        </w:rPr>
        <w:t xml:space="preserve">, S., &amp; </w:t>
      </w:r>
      <w:proofErr w:type="spellStart"/>
      <w:r w:rsidRPr="00C81924">
        <w:rPr>
          <w:rFonts w:cs="Times New Roman"/>
          <w:szCs w:val="24"/>
        </w:rPr>
        <w:t>Labby</w:t>
      </w:r>
      <w:proofErr w:type="spellEnd"/>
      <w:r w:rsidRPr="00C81924">
        <w:rPr>
          <w:rFonts w:cs="Times New Roman"/>
          <w:szCs w:val="24"/>
        </w:rPr>
        <w:t xml:space="preserve">, K. J. (2016). Mechanisms of resistance to aminoglycoside antibiotics: Overview and perspectives. </w:t>
      </w:r>
      <w:proofErr w:type="spellStart"/>
      <w:r w:rsidRPr="00C81924">
        <w:rPr>
          <w:rFonts w:cs="Times New Roman"/>
          <w:i/>
          <w:iCs/>
          <w:szCs w:val="24"/>
        </w:rPr>
        <w:t>Medchemcomm</w:t>
      </w:r>
      <w:proofErr w:type="spellEnd"/>
      <w:r w:rsidRPr="00C81924">
        <w:rPr>
          <w:rFonts w:cs="Times New Roman"/>
          <w:szCs w:val="24"/>
        </w:rPr>
        <w:t>, 7(1), 11‐27.</w:t>
      </w:r>
    </w:p>
    <w:p w14:paraId="48693F5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9" w:name="_Hlk163577811"/>
      <w:proofErr w:type="spellStart"/>
      <w:r w:rsidRPr="00C81924">
        <w:rPr>
          <w:rFonts w:cs="Times New Roman"/>
          <w:szCs w:val="24"/>
        </w:rPr>
        <w:lastRenderedPageBreak/>
        <w:t>Ghasemian</w:t>
      </w:r>
      <w:bookmarkEnd w:id="49"/>
      <w:proofErr w:type="spellEnd"/>
      <w:r w:rsidRPr="00C81924">
        <w:rPr>
          <w:rFonts w:cs="Times New Roman"/>
          <w:szCs w:val="24"/>
        </w:rPr>
        <w:t xml:space="preserve">, A., </w:t>
      </w:r>
      <w:proofErr w:type="spellStart"/>
      <w:r w:rsidRPr="00C81924">
        <w:rPr>
          <w:rFonts w:cs="Times New Roman"/>
          <w:szCs w:val="24"/>
        </w:rPr>
        <w:t>Shafiei</w:t>
      </w:r>
      <w:proofErr w:type="spellEnd"/>
      <w:r w:rsidRPr="00C81924">
        <w:rPr>
          <w:rFonts w:cs="Times New Roman"/>
          <w:szCs w:val="24"/>
        </w:rPr>
        <w:t xml:space="preserve">, M., </w:t>
      </w:r>
      <w:proofErr w:type="spellStart"/>
      <w:r w:rsidRPr="00C81924">
        <w:rPr>
          <w:rFonts w:cs="Times New Roman"/>
          <w:szCs w:val="24"/>
        </w:rPr>
        <w:t>Hasanvand</w:t>
      </w:r>
      <w:proofErr w:type="spellEnd"/>
      <w:r w:rsidRPr="00C81924">
        <w:rPr>
          <w:rFonts w:cs="Times New Roman"/>
          <w:szCs w:val="24"/>
        </w:rPr>
        <w:t xml:space="preserve">, F., &amp; </w:t>
      </w:r>
      <w:proofErr w:type="spellStart"/>
      <w:r w:rsidRPr="00C81924">
        <w:rPr>
          <w:rFonts w:cs="Times New Roman"/>
          <w:szCs w:val="24"/>
        </w:rPr>
        <w:t>Mostafavi</w:t>
      </w:r>
      <w:proofErr w:type="spellEnd"/>
      <w:r w:rsidRPr="00C81924">
        <w:rPr>
          <w:rFonts w:cs="Times New Roman"/>
          <w:szCs w:val="24"/>
        </w:rPr>
        <w:t>, S. K. S. (2018). Carbapenem and colistin resistance in Enterobacteriaceae: worldwide spread and future perspectives. </w:t>
      </w:r>
      <w:r w:rsidRPr="00C81924">
        <w:rPr>
          <w:rFonts w:cs="Times New Roman"/>
          <w:i/>
          <w:iCs/>
          <w:szCs w:val="24"/>
        </w:rPr>
        <w:t>Reviews and Research in Medical Microbiology</w:t>
      </w:r>
      <w:r w:rsidRPr="00C81924">
        <w:rPr>
          <w:rFonts w:cs="Times New Roman"/>
          <w:szCs w:val="24"/>
        </w:rPr>
        <w:t>, </w:t>
      </w:r>
      <w:r w:rsidRPr="00C81924">
        <w:rPr>
          <w:rFonts w:cs="Times New Roman"/>
          <w:i/>
          <w:iCs/>
          <w:szCs w:val="24"/>
        </w:rPr>
        <w:t>29</w:t>
      </w:r>
      <w:r w:rsidRPr="00C81924">
        <w:rPr>
          <w:rFonts w:cs="Times New Roman"/>
          <w:szCs w:val="24"/>
        </w:rPr>
        <w:t>(4), 173-176.</w:t>
      </w:r>
    </w:p>
    <w:p w14:paraId="09DED1E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0" w:name="_Hlk163581450"/>
      <w:proofErr w:type="spellStart"/>
      <w:r w:rsidRPr="00C81924">
        <w:rPr>
          <w:rFonts w:cs="Times New Roman"/>
          <w:szCs w:val="24"/>
        </w:rPr>
        <w:t>Giurazza</w:t>
      </w:r>
      <w:bookmarkEnd w:id="50"/>
      <w:proofErr w:type="spellEnd"/>
      <w:r w:rsidRPr="00C81924">
        <w:rPr>
          <w:rFonts w:cs="Times New Roman"/>
          <w:szCs w:val="24"/>
        </w:rPr>
        <w:t xml:space="preserve">, R., Mazza, M. C., </w:t>
      </w:r>
      <w:proofErr w:type="spellStart"/>
      <w:r w:rsidRPr="00C81924">
        <w:rPr>
          <w:rFonts w:cs="Times New Roman"/>
          <w:szCs w:val="24"/>
        </w:rPr>
        <w:t>Andini</w:t>
      </w:r>
      <w:proofErr w:type="spellEnd"/>
      <w:r w:rsidRPr="00C81924">
        <w:rPr>
          <w:rFonts w:cs="Times New Roman"/>
          <w:szCs w:val="24"/>
        </w:rPr>
        <w:t>, R., Sansone, P., Pace, M. C., &amp; Durante-</w:t>
      </w:r>
      <w:proofErr w:type="spellStart"/>
      <w:r w:rsidRPr="00C81924">
        <w:rPr>
          <w:rFonts w:cs="Times New Roman"/>
          <w:szCs w:val="24"/>
        </w:rPr>
        <w:t>Mangoni</w:t>
      </w:r>
      <w:proofErr w:type="spellEnd"/>
      <w:r w:rsidRPr="00C81924">
        <w:rPr>
          <w:rFonts w:cs="Times New Roman"/>
          <w:szCs w:val="24"/>
        </w:rPr>
        <w:t>, E. (2021). Emerging treatment options for multi-drug-resistant bacterial infections. </w:t>
      </w:r>
      <w:r w:rsidRPr="00C81924">
        <w:rPr>
          <w:rFonts w:cs="Times New Roman"/>
          <w:i/>
          <w:iCs/>
          <w:szCs w:val="24"/>
        </w:rPr>
        <w:t>Life</w:t>
      </w:r>
      <w:r w:rsidRPr="00C81924">
        <w:rPr>
          <w:rFonts w:cs="Times New Roman"/>
          <w:szCs w:val="24"/>
        </w:rPr>
        <w:t>, </w:t>
      </w:r>
      <w:r w:rsidRPr="00C81924">
        <w:rPr>
          <w:rFonts w:cs="Times New Roman"/>
          <w:i/>
          <w:iCs/>
          <w:szCs w:val="24"/>
        </w:rPr>
        <w:t>11</w:t>
      </w:r>
      <w:r w:rsidRPr="00C81924">
        <w:rPr>
          <w:rFonts w:cs="Times New Roman"/>
          <w:szCs w:val="24"/>
        </w:rPr>
        <w:t>(6), 519.</w:t>
      </w:r>
    </w:p>
    <w:p w14:paraId="3EDCB5B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1" w:name="_Hlk137491071"/>
      <w:proofErr w:type="spellStart"/>
      <w:r w:rsidRPr="00C81924">
        <w:rPr>
          <w:rFonts w:cs="Times New Roman"/>
          <w:szCs w:val="24"/>
        </w:rPr>
        <w:t>Golzarri</w:t>
      </w:r>
      <w:bookmarkEnd w:id="51"/>
      <w:proofErr w:type="spellEnd"/>
      <w:r w:rsidRPr="00C81924">
        <w:rPr>
          <w:rFonts w:cs="Times New Roman"/>
          <w:szCs w:val="24"/>
        </w:rPr>
        <w:t xml:space="preserve">, M. F., Silva-Sánchez, J., Cornejo-Juárez, P., Barrios-Camacho, H., </w:t>
      </w:r>
      <w:proofErr w:type="spellStart"/>
      <w:r w:rsidRPr="00C81924">
        <w:rPr>
          <w:rFonts w:cs="Times New Roman"/>
          <w:szCs w:val="24"/>
        </w:rPr>
        <w:t>Chora</w:t>
      </w:r>
      <w:proofErr w:type="spellEnd"/>
      <w:r w:rsidRPr="00C81924">
        <w:rPr>
          <w:rFonts w:cs="Times New Roman"/>
          <w:szCs w:val="24"/>
        </w:rPr>
        <w:t xml:space="preserve">-Hernández, L. D., Velázquez-Acosta, C., &amp; </w:t>
      </w:r>
      <w:proofErr w:type="spellStart"/>
      <w:r w:rsidRPr="00C81924">
        <w:rPr>
          <w:rFonts w:cs="Times New Roman"/>
          <w:szCs w:val="24"/>
        </w:rPr>
        <w:t>Vilar-Compte</w:t>
      </w:r>
      <w:proofErr w:type="spellEnd"/>
      <w:r w:rsidRPr="00C81924">
        <w:rPr>
          <w:rFonts w:cs="Times New Roman"/>
          <w:szCs w:val="24"/>
        </w:rPr>
        <w:t>, D. (2019). Colonization by fecal extended-spectrum β-lactamase-producing Enterobacteriaceae and surgical site infections in patients with cancer undergoing gastrointestinal and gynecologic surgery. </w:t>
      </w:r>
      <w:r w:rsidRPr="00C81924">
        <w:rPr>
          <w:rFonts w:cs="Times New Roman"/>
          <w:i/>
          <w:iCs/>
          <w:szCs w:val="24"/>
        </w:rPr>
        <w:t>American Journal of Infection Control</w:t>
      </w:r>
      <w:r w:rsidRPr="00C81924">
        <w:rPr>
          <w:rFonts w:cs="Times New Roman"/>
          <w:szCs w:val="24"/>
        </w:rPr>
        <w:t>, </w:t>
      </w:r>
      <w:r w:rsidRPr="00C81924">
        <w:rPr>
          <w:rFonts w:cs="Times New Roman"/>
          <w:i/>
          <w:iCs/>
          <w:szCs w:val="24"/>
        </w:rPr>
        <w:t>47</w:t>
      </w:r>
      <w:r w:rsidRPr="00C81924">
        <w:rPr>
          <w:rFonts w:cs="Times New Roman"/>
          <w:szCs w:val="24"/>
        </w:rPr>
        <w:t>(8), 916-921.</w:t>
      </w:r>
    </w:p>
    <w:p w14:paraId="2702B4CF" w14:textId="0C12AB36" w:rsidR="0058304E" w:rsidRPr="00C81924" w:rsidRDefault="0058304E" w:rsidP="00E2241E">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2" w:name="_Hlk163575553"/>
      <w:r w:rsidRPr="00C81924">
        <w:rPr>
          <w:rFonts w:cs="Times New Roman"/>
          <w:szCs w:val="24"/>
        </w:rPr>
        <w:t>Gonzales‐</w:t>
      </w:r>
      <w:proofErr w:type="spellStart"/>
      <w:r w:rsidRPr="00C81924">
        <w:rPr>
          <w:rFonts w:cs="Times New Roman"/>
          <w:szCs w:val="24"/>
        </w:rPr>
        <w:t>Siles</w:t>
      </w:r>
      <w:proofErr w:type="spellEnd"/>
      <w:r w:rsidRPr="00C81924">
        <w:rPr>
          <w:rFonts w:cs="Times New Roman"/>
          <w:szCs w:val="24"/>
        </w:rPr>
        <w:t xml:space="preserve">, L., &amp; </w:t>
      </w:r>
      <w:proofErr w:type="spellStart"/>
      <w:r w:rsidRPr="00C81924">
        <w:rPr>
          <w:rFonts w:cs="Times New Roman"/>
          <w:szCs w:val="24"/>
        </w:rPr>
        <w:t>Sjöling</w:t>
      </w:r>
      <w:proofErr w:type="spellEnd"/>
      <w:r w:rsidRPr="00C81924">
        <w:rPr>
          <w:rFonts w:cs="Times New Roman"/>
          <w:szCs w:val="24"/>
        </w:rPr>
        <w:t>, Å. (2016)</w:t>
      </w:r>
      <w:bookmarkEnd w:id="52"/>
      <w:r w:rsidRPr="00C81924">
        <w:rPr>
          <w:rFonts w:cs="Times New Roman"/>
          <w:szCs w:val="24"/>
        </w:rPr>
        <w:t xml:space="preserve">. The different ecological niches of enterotoxigenic E </w:t>
      </w:r>
      <w:proofErr w:type="spellStart"/>
      <w:r w:rsidRPr="00C81924">
        <w:rPr>
          <w:rFonts w:cs="Times New Roman"/>
          <w:szCs w:val="24"/>
        </w:rPr>
        <w:t>scherichia</w:t>
      </w:r>
      <w:proofErr w:type="spellEnd"/>
      <w:r w:rsidRPr="00C81924">
        <w:rPr>
          <w:rFonts w:cs="Times New Roman"/>
          <w:szCs w:val="24"/>
        </w:rPr>
        <w:t xml:space="preserve"> coli. </w:t>
      </w:r>
      <w:r w:rsidRPr="00C81924">
        <w:rPr>
          <w:rFonts w:cs="Times New Roman"/>
          <w:i/>
          <w:iCs/>
          <w:szCs w:val="24"/>
        </w:rPr>
        <w:t>Environmental Microbiology</w:t>
      </w:r>
      <w:r w:rsidRPr="00C81924">
        <w:rPr>
          <w:rFonts w:cs="Times New Roman"/>
          <w:szCs w:val="24"/>
        </w:rPr>
        <w:t>, </w:t>
      </w:r>
      <w:r w:rsidRPr="00C81924">
        <w:rPr>
          <w:rFonts w:cs="Times New Roman"/>
          <w:i/>
          <w:iCs/>
          <w:szCs w:val="24"/>
        </w:rPr>
        <w:t>18</w:t>
      </w:r>
      <w:r w:rsidRPr="00C81924">
        <w:rPr>
          <w:rFonts w:cs="Times New Roman"/>
          <w:szCs w:val="24"/>
        </w:rPr>
        <w:t>(3), 741-751.</w:t>
      </w:r>
    </w:p>
    <w:p w14:paraId="2DDF39AC"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3" w:name="_Hlk163581613"/>
      <w:proofErr w:type="spellStart"/>
      <w:r w:rsidRPr="00C81924">
        <w:rPr>
          <w:rFonts w:cs="Times New Roman"/>
          <w:szCs w:val="24"/>
        </w:rPr>
        <w:t>Gulumbe</w:t>
      </w:r>
      <w:bookmarkEnd w:id="53"/>
      <w:proofErr w:type="spellEnd"/>
      <w:r w:rsidRPr="00C81924">
        <w:rPr>
          <w:rFonts w:cs="Times New Roman"/>
          <w:szCs w:val="24"/>
        </w:rPr>
        <w:t xml:space="preserve">, B. H., Haruna, U. A., </w:t>
      </w:r>
      <w:proofErr w:type="spellStart"/>
      <w:r w:rsidRPr="00C81924">
        <w:rPr>
          <w:rFonts w:cs="Times New Roman"/>
          <w:szCs w:val="24"/>
        </w:rPr>
        <w:t>Almazan</w:t>
      </w:r>
      <w:proofErr w:type="spellEnd"/>
      <w:r w:rsidRPr="00C81924">
        <w:rPr>
          <w:rFonts w:cs="Times New Roman"/>
          <w:szCs w:val="24"/>
        </w:rPr>
        <w:t xml:space="preserve">, J., Ibrahim, I. H., </w:t>
      </w:r>
      <w:proofErr w:type="spellStart"/>
      <w:r w:rsidRPr="00C81924">
        <w:rPr>
          <w:rFonts w:cs="Times New Roman"/>
          <w:szCs w:val="24"/>
        </w:rPr>
        <w:t>Faggo</w:t>
      </w:r>
      <w:proofErr w:type="spellEnd"/>
      <w:r w:rsidRPr="00C81924">
        <w:rPr>
          <w:rFonts w:cs="Times New Roman"/>
          <w:szCs w:val="24"/>
        </w:rPr>
        <w:t xml:space="preserve">, A. A., &amp; </w:t>
      </w:r>
      <w:proofErr w:type="spellStart"/>
      <w:r w:rsidRPr="00C81924">
        <w:rPr>
          <w:rFonts w:cs="Times New Roman"/>
          <w:szCs w:val="24"/>
        </w:rPr>
        <w:t>Bazata</w:t>
      </w:r>
      <w:proofErr w:type="spellEnd"/>
      <w:r w:rsidRPr="00C81924">
        <w:rPr>
          <w:rFonts w:cs="Times New Roman"/>
          <w:szCs w:val="24"/>
        </w:rPr>
        <w:t>, A. Y. (2022). Combating the menace of antimicrobial resistance in Africa: a review on stewardship, surveillance and diagnostic strategies. </w:t>
      </w:r>
      <w:r w:rsidRPr="00C81924">
        <w:rPr>
          <w:rFonts w:cs="Times New Roman"/>
          <w:i/>
          <w:iCs/>
          <w:szCs w:val="24"/>
        </w:rPr>
        <w:t>Biological Procedures Online</w:t>
      </w:r>
      <w:r w:rsidRPr="00C81924">
        <w:rPr>
          <w:rFonts w:cs="Times New Roman"/>
          <w:szCs w:val="24"/>
        </w:rPr>
        <w:t>, </w:t>
      </w:r>
      <w:r w:rsidRPr="00C81924">
        <w:rPr>
          <w:rFonts w:cs="Times New Roman"/>
          <w:i/>
          <w:iCs/>
          <w:szCs w:val="24"/>
        </w:rPr>
        <w:t>24</w:t>
      </w:r>
      <w:r w:rsidRPr="00C81924">
        <w:rPr>
          <w:rFonts w:cs="Times New Roman"/>
          <w:szCs w:val="24"/>
        </w:rPr>
        <w:t>(1), 19.</w:t>
      </w:r>
    </w:p>
    <w:p w14:paraId="67B4587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 xml:space="preserve">Ha, Y. E., Kang, C. I., Cha, M. K., Park, S. Y., Wi, Y. M., Chung, D. R., ... &amp; Song, J. H. (2013). Epidemiology and clinical outcomes of bloodstream infections caused by extended-spectrum β-lactamase-producing </w:t>
      </w:r>
      <w:r w:rsidRPr="00C81924">
        <w:rPr>
          <w:rFonts w:cs="Times New Roman"/>
          <w:i/>
          <w:iCs/>
          <w:szCs w:val="24"/>
        </w:rPr>
        <w:t>Escherichia coli</w:t>
      </w:r>
      <w:r w:rsidRPr="00C81924">
        <w:rPr>
          <w:rFonts w:cs="Times New Roman"/>
          <w:szCs w:val="24"/>
        </w:rPr>
        <w:t xml:space="preserve"> in patients with cancer. </w:t>
      </w:r>
      <w:r w:rsidRPr="00C81924">
        <w:rPr>
          <w:rFonts w:cs="Times New Roman"/>
          <w:i/>
          <w:iCs/>
          <w:szCs w:val="24"/>
        </w:rPr>
        <w:t>International journal of antimicrobial agents</w:t>
      </w:r>
      <w:r w:rsidRPr="00C81924">
        <w:rPr>
          <w:rFonts w:cs="Times New Roman"/>
          <w:szCs w:val="24"/>
        </w:rPr>
        <w:t>, </w:t>
      </w:r>
      <w:r w:rsidRPr="00C81924">
        <w:rPr>
          <w:rFonts w:cs="Times New Roman"/>
          <w:i/>
          <w:iCs/>
          <w:szCs w:val="24"/>
        </w:rPr>
        <w:t>42</w:t>
      </w:r>
      <w:r w:rsidRPr="00C81924">
        <w:rPr>
          <w:rFonts w:cs="Times New Roman"/>
          <w:szCs w:val="24"/>
        </w:rPr>
        <w:t>(5), 403-409.</w:t>
      </w:r>
    </w:p>
    <w:p w14:paraId="0149E6BE"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4" w:name="_Hlk163577768"/>
      <w:proofErr w:type="spellStart"/>
      <w:r w:rsidRPr="00C81924">
        <w:rPr>
          <w:rFonts w:cs="Times New Roman"/>
          <w:szCs w:val="24"/>
        </w:rPr>
        <w:t>Harting</w:t>
      </w:r>
      <w:bookmarkEnd w:id="54"/>
      <w:proofErr w:type="spellEnd"/>
      <w:r w:rsidRPr="00C81924">
        <w:rPr>
          <w:rFonts w:cs="Times New Roman"/>
          <w:szCs w:val="24"/>
        </w:rPr>
        <w:t>, J. (2019). Carbapenem-resistant Enterobacteriaceae infections: a review of epidemiology and treatment options. </w:t>
      </w:r>
      <w:r w:rsidRPr="00C81924">
        <w:rPr>
          <w:rFonts w:cs="Times New Roman"/>
          <w:i/>
          <w:iCs/>
          <w:szCs w:val="24"/>
        </w:rPr>
        <w:t>The University of Louisville Journal of Respiratory Infections</w:t>
      </w:r>
      <w:r w:rsidRPr="00C81924">
        <w:rPr>
          <w:rFonts w:cs="Times New Roman"/>
          <w:szCs w:val="24"/>
        </w:rPr>
        <w:t>, </w:t>
      </w:r>
      <w:r w:rsidRPr="00C81924">
        <w:rPr>
          <w:rFonts w:cs="Times New Roman"/>
          <w:i/>
          <w:iCs/>
          <w:szCs w:val="24"/>
        </w:rPr>
        <w:t>3</w:t>
      </w:r>
      <w:r w:rsidRPr="00C81924">
        <w:rPr>
          <w:rFonts w:cs="Times New Roman"/>
          <w:szCs w:val="24"/>
        </w:rPr>
        <w:t>(1), 4.</w:t>
      </w:r>
    </w:p>
    <w:p w14:paraId="0B25B1F6"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5" w:name="_Hlk137385492"/>
      <w:proofErr w:type="spellStart"/>
      <w:r w:rsidRPr="00C81924">
        <w:rPr>
          <w:rFonts w:cs="Times New Roman"/>
          <w:szCs w:val="24"/>
        </w:rPr>
        <w:t>Hayati</w:t>
      </w:r>
      <w:bookmarkEnd w:id="55"/>
      <w:proofErr w:type="spellEnd"/>
      <w:r w:rsidRPr="00C81924">
        <w:rPr>
          <w:rFonts w:cs="Times New Roman"/>
          <w:szCs w:val="24"/>
        </w:rPr>
        <w:t xml:space="preserve">, Z., Jamil, K. F., </w:t>
      </w:r>
      <w:proofErr w:type="spellStart"/>
      <w:r w:rsidRPr="00C81924">
        <w:rPr>
          <w:rFonts w:cs="Times New Roman"/>
          <w:szCs w:val="24"/>
        </w:rPr>
        <w:t>Azhari</w:t>
      </w:r>
      <w:proofErr w:type="spellEnd"/>
      <w:r w:rsidRPr="00C81924">
        <w:rPr>
          <w:rFonts w:cs="Times New Roman"/>
          <w:szCs w:val="24"/>
        </w:rPr>
        <w:t xml:space="preserve">, A., </w:t>
      </w:r>
      <w:proofErr w:type="spellStart"/>
      <w:r w:rsidRPr="00C81924">
        <w:rPr>
          <w:rFonts w:cs="Times New Roman"/>
          <w:szCs w:val="24"/>
        </w:rPr>
        <w:t>Mahdani</w:t>
      </w:r>
      <w:proofErr w:type="spellEnd"/>
      <w:r w:rsidRPr="00C81924">
        <w:rPr>
          <w:rFonts w:cs="Times New Roman"/>
          <w:szCs w:val="24"/>
        </w:rPr>
        <w:t xml:space="preserve">, W., </w:t>
      </w:r>
      <w:proofErr w:type="spellStart"/>
      <w:r w:rsidRPr="00C81924">
        <w:rPr>
          <w:rFonts w:cs="Times New Roman"/>
          <w:szCs w:val="24"/>
        </w:rPr>
        <w:t>Karmil</w:t>
      </w:r>
      <w:proofErr w:type="spellEnd"/>
      <w:r w:rsidRPr="00C81924">
        <w:rPr>
          <w:rFonts w:cs="Times New Roman"/>
          <w:szCs w:val="24"/>
        </w:rPr>
        <w:t xml:space="preserve">, T. F., </w:t>
      </w:r>
      <w:proofErr w:type="spellStart"/>
      <w:r w:rsidRPr="00C81924">
        <w:rPr>
          <w:rFonts w:cs="Times New Roman"/>
          <w:szCs w:val="24"/>
        </w:rPr>
        <w:t>Yossadania</w:t>
      </w:r>
      <w:proofErr w:type="spellEnd"/>
      <w:r w:rsidRPr="00C81924">
        <w:rPr>
          <w:rFonts w:cs="Times New Roman"/>
          <w:szCs w:val="24"/>
        </w:rPr>
        <w:t xml:space="preserve">, A., ... &amp; Habibie, Y. A. (2021). Outcome of urinary tract infection caused by Extended Spectrum Beta-Lactamase (ESBL) producing </w:t>
      </w:r>
      <w:r w:rsidRPr="00C81924">
        <w:rPr>
          <w:rFonts w:cs="Times New Roman"/>
          <w:i/>
          <w:iCs/>
          <w:szCs w:val="24"/>
        </w:rPr>
        <w:t>Escherichia coli</w:t>
      </w:r>
      <w:r w:rsidRPr="00C81924">
        <w:rPr>
          <w:rFonts w:cs="Times New Roman"/>
          <w:szCs w:val="24"/>
        </w:rPr>
        <w:t xml:space="preserve"> and Klebsiella pneumoniae in Dr </w:t>
      </w:r>
      <w:proofErr w:type="spellStart"/>
      <w:r w:rsidRPr="00C81924">
        <w:rPr>
          <w:rFonts w:cs="Times New Roman"/>
          <w:szCs w:val="24"/>
        </w:rPr>
        <w:t>Zainoel</w:t>
      </w:r>
      <w:proofErr w:type="spellEnd"/>
      <w:r w:rsidRPr="00C81924">
        <w:rPr>
          <w:rFonts w:cs="Times New Roman"/>
          <w:szCs w:val="24"/>
        </w:rPr>
        <w:t xml:space="preserve"> </w:t>
      </w:r>
      <w:proofErr w:type="spellStart"/>
      <w:r w:rsidRPr="00C81924">
        <w:rPr>
          <w:rFonts w:cs="Times New Roman"/>
          <w:szCs w:val="24"/>
        </w:rPr>
        <w:t>Abidin</w:t>
      </w:r>
      <w:proofErr w:type="spellEnd"/>
      <w:r w:rsidRPr="00C81924">
        <w:rPr>
          <w:rFonts w:cs="Times New Roman"/>
          <w:szCs w:val="24"/>
        </w:rPr>
        <w:t xml:space="preserve"> General Hospital Aceh. </w:t>
      </w:r>
      <w:r w:rsidRPr="00C81924">
        <w:rPr>
          <w:rFonts w:cs="Times New Roman"/>
          <w:i/>
          <w:iCs/>
          <w:szCs w:val="24"/>
        </w:rPr>
        <w:t>Bali Medical Journal</w:t>
      </w:r>
      <w:r w:rsidRPr="00C81924">
        <w:rPr>
          <w:rFonts w:cs="Times New Roman"/>
          <w:szCs w:val="24"/>
        </w:rPr>
        <w:t>, </w:t>
      </w:r>
      <w:r w:rsidRPr="00C81924">
        <w:rPr>
          <w:rFonts w:cs="Times New Roman"/>
          <w:i/>
          <w:iCs/>
          <w:szCs w:val="24"/>
        </w:rPr>
        <w:t>10</w:t>
      </w:r>
      <w:r w:rsidRPr="00C81924">
        <w:rPr>
          <w:rFonts w:cs="Times New Roman"/>
          <w:szCs w:val="24"/>
        </w:rPr>
        <w:t>(2), 544-548.</w:t>
      </w:r>
    </w:p>
    <w:p w14:paraId="4028E0E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6" w:name="_Hlk137387113"/>
      <w:bookmarkEnd w:id="31"/>
      <w:r w:rsidRPr="00C81924">
        <w:rPr>
          <w:rFonts w:cs="Times New Roman"/>
          <w:szCs w:val="24"/>
        </w:rPr>
        <w:t>Hayward</w:t>
      </w:r>
      <w:bookmarkEnd w:id="56"/>
      <w:r w:rsidRPr="00C81924">
        <w:rPr>
          <w:rFonts w:cs="Times New Roman"/>
          <w:szCs w:val="24"/>
        </w:rPr>
        <w:t>, C., Brown, M. H., &amp; Whiley, H. (2022). Hospital water as the source of healthcare-associated infection and antimicrobial-resistant organisms. </w:t>
      </w:r>
      <w:r w:rsidRPr="00C81924">
        <w:rPr>
          <w:rFonts w:cs="Times New Roman"/>
          <w:i/>
          <w:iCs/>
          <w:szCs w:val="24"/>
        </w:rPr>
        <w:t>Current Opinion in Infectious Diseases</w:t>
      </w:r>
      <w:r w:rsidRPr="00C81924">
        <w:rPr>
          <w:rFonts w:cs="Times New Roman"/>
          <w:szCs w:val="24"/>
        </w:rPr>
        <w:t>, </w:t>
      </w:r>
      <w:r w:rsidRPr="00C81924">
        <w:rPr>
          <w:rFonts w:cs="Times New Roman"/>
          <w:i/>
          <w:iCs/>
          <w:szCs w:val="24"/>
        </w:rPr>
        <w:t>35</w:t>
      </w:r>
      <w:r w:rsidRPr="00C81924">
        <w:rPr>
          <w:rFonts w:cs="Times New Roman"/>
          <w:szCs w:val="24"/>
        </w:rPr>
        <w:t>(4), 339-345.</w:t>
      </w:r>
    </w:p>
    <w:p w14:paraId="02226C92"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7" w:name="_Hlk163580016"/>
      <w:proofErr w:type="spellStart"/>
      <w:r w:rsidRPr="00C81924">
        <w:rPr>
          <w:rFonts w:cs="Times New Roman"/>
          <w:szCs w:val="24"/>
        </w:rPr>
        <w:t>Husna</w:t>
      </w:r>
      <w:bookmarkEnd w:id="57"/>
      <w:proofErr w:type="spellEnd"/>
      <w:r w:rsidRPr="00C81924">
        <w:rPr>
          <w:rFonts w:cs="Times New Roman"/>
          <w:szCs w:val="24"/>
        </w:rPr>
        <w:t xml:space="preserve">, A., Rahman, M. M., </w:t>
      </w:r>
      <w:proofErr w:type="spellStart"/>
      <w:r w:rsidRPr="00C81924">
        <w:rPr>
          <w:rFonts w:cs="Times New Roman"/>
          <w:szCs w:val="24"/>
        </w:rPr>
        <w:t>Badruzzaman</w:t>
      </w:r>
      <w:proofErr w:type="spellEnd"/>
      <w:r w:rsidRPr="00C81924">
        <w:rPr>
          <w:rFonts w:cs="Times New Roman"/>
          <w:szCs w:val="24"/>
        </w:rPr>
        <w:t xml:space="preserve">, A. T. M., </w:t>
      </w:r>
      <w:proofErr w:type="spellStart"/>
      <w:r w:rsidRPr="00C81924">
        <w:rPr>
          <w:rFonts w:cs="Times New Roman"/>
          <w:szCs w:val="24"/>
        </w:rPr>
        <w:t>Sikder</w:t>
      </w:r>
      <w:proofErr w:type="spellEnd"/>
      <w:r w:rsidRPr="00C81924">
        <w:rPr>
          <w:rFonts w:cs="Times New Roman"/>
          <w:szCs w:val="24"/>
        </w:rPr>
        <w:t>, M. H., Islam, M. R., Rahman, M. T., ... &amp; Ashour, H. M. (2023). Extended-Spectrum β-Lactamases (ESBL): Challenges and Opportunities. </w:t>
      </w:r>
      <w:r w:rsidRPr="00C81924">
        <w:rPr>
          <w:rFonts w:cs="Times New Roman"/>
          <w:i/>
          <w:iCs/>
          <w:szCs w:val="24"/>
        </w:rPr>
        <w:t>Biomedicines</w:t>
      </w:r>
      <w:r w:rsidRPr="00C81924">
        <w:rPr>
          <w:rFonts w:cs="Times New Roman"/>
          <w:szCs w:val="24"/>
        </w:rPr>
        <w:t>, </w:t>
      </w:r>
      <w:r w:rsidRPr="00C81924">
        <w:rPr>
          <w:rFonts w:cs="Times New Roman"/>
          <w:i/>
          <w:iCs/>
          <w:szCs w:val="24"/>
        </w:rPr>
        <w:t>11</w:t>
      </w:r>
      <w:r w:rsidRPr="00C81924">
        <w:rPr>
          <w:rFonts w:cs="Times New Roman"/>
          <w:szCs w:val="24"/>
        </w:rPr>
        <w:t>(11), 2937.</w:t>
      </w:r>
    </w:p>
    <w:p w14:paraId="7DABC75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8" w:name="_Hlk163575320"/>
      <w:proofErr w:type="spellStart"/>
      <w:r w:rsidRPr="00C81924">
        <w:rPr>
          <w:rFonts w:cs="Times New Roman"/>
          <w:szCs w:val="24"/>
        </w:rPr>
        <w:t>Iliyasu</w:t>
      </w:r>
      <w:bookmarkEnd w:id="58"/>
      <w:proofErr w:type="spellEnd"/>
      <w:r w:rsidRPr="00C81924">
        <w:rPr>
          <w:rFonts w:cs="Times New Roman"/>
          <w:szCs w:val="24"/>
        </w:rPr>
        <w:t xml:space="preserve">, M. Y., </w:t>
      </w:r>
      <w:proofErr w:type="spellStart"/>
      <w:r w:rsidRPr="00C81924">
        <w:rPr>
          <w:rFonts w:cs="Times New Roman"/>
          <w:szCs w:val="24"/>
        </w:rPr>
        <w:t>Uba</w:t>
      </w:r>
      <w:proofErr w:type="spellEnd"/>
      <w:r w:rsidRPr="00C81924">
        <w:rPr>
          <w:rFonts w:cs="Times New Roman"/>
          <w:szCs w:val="24"/>
        </w:rPr>
        <w:t xml:space="preserve">, A., &amp; </w:t>
      </w:r>
      <w:proofErr w:type="spellStart"/>
      <w:r w:rsidRPr="00C81924">
        <w:rPr>
          <w:rFonts w:cs="Times New Roman"/>
          <w:szCs w:val="24"/>
        </w:rPr>
        <w:t>Agbo</w:t>
      </w:r>
      <w:proofErr w:type="spellEnd"/>
      <w:r w:rsidRPr="00C81924">
        <w:rPr>
          <w:rFonts w:cs="Times New Roman"/>
          <w:szCs w:val="24"/>
        </w:rPr>
        <w:t xml:space="preserve">, E. B. (2018). Phenotypic detection of multidrug resistant extended-spectrum beta-lactamase (ESBL) producing </w:t>
      </w:r>
      <w:r w:rsidRPr="00C81924">
        <w:rPr>
          <w:rFonts w:cs="Times New Roman"/>
          <w:i/>
          <w:iCs/>
          <w:szCs w:val="24"/>
        </w:rPr>
        <w:t>Escherichia coli</w:t>
      </w:r>
      <w:r w:rsidRPr="00C81924">
        <w:rPr>
          <w:rFonts w:cs="Times New Roman"/>
          <w:szCs w:val="24"/>
        </w:rPr>
        <w:t xml:space="preserve"> from clinical samples. </w:t>
      </w:r>
      <w:r w:rsidRPr="00C81924">
        <w:rPr>
          <w:rFonts w:cs="Times New Roman"/>
          <w:i/>
          <w:iCs/>
          <w:szCs w:val="24"/>
        </w:rPr>
        <w:t>African Journal of Cellular Pathology</w:t>
      </w:r>
      <w:r w:rsidRPr="00C81924">
        <w:rPr>
          <w:rFonts w:cs="Times New Roman"/>
          <w:szCs w:val="24"/>
        </w:rPr>
        <w:t>, </w:t>
      </w:r>
      <w:r w:rsidRPr="00C81924">
        <w:rPr>
          <w:rFonts w:cs="Times New Roman"/>
          <w:i/>
          <w:iCs/>
          <w:szCs w:val="24"/>
        </w:rPr>
        <w:t>10</w:t>
      </w:r>
      <w:r w:rsidRPr="00C81924">
        <w:rPr>
          <w:rFonts w:cs="Times New Roman"/>
          <w:szCs w:val="24"/>
        </w:rPr>
        <w:t>(2), 25-32.</w:t>
      </w:r>
    </w:p>
    <w:p w14:paraId="08EAD3A9"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9" w:name="_Hlk137384981"/>
      <w:proofErr w:type="spellStart"/>
      <w:r w:rsidRPr="00C81924">
        <w:rPr>
          <w:rFonts w:cs="Times New Roman"/>
          <w:szCs w:val="24"/>
        </w:rPr>
        <w:t>Kadaei</w:t>
      </w:r>
      <w:proofErr w:type="spellEnd"/>
      <w:r w:rsidRPr="00C81924">
        <w:rPr>
          <w:rFonts w:cs="Times New Roman"/>
          <w:szCs w:val="24"/>
        </w:rPr>
        <w:t xml:space="preserve">, V., &amp; </w:t>
      </w:r>
      <w:proofErr w:type="spellStart"/>
      <w:r w:rsidRPr="00C81924">
        <w:rPr>
          <w:rFonts w:cs="Times New Roman"/>
          <w:szCs w:val="24"/>
        </w:rPr>
        <w:t>Rashki</w:t>
      </w:r>
      <w:proofErr w:type="spellEnd"/>
      <w:r w:rsidRPr="00C81924">
        <w:rPr>
          <w:rFonts w:cs="Times New Roman"/>
          <w:szCs w:val="24"/>
        </w:rPr>
        <w:t>, A. (2014)</w:t>
      </w:r>
      <w:bookmarkEnd w:id="59"/>
      <w:r w:rsidRPr="00C81924">
        <w:rPr>
          <w:rFonts w:cs="Times New Roman"/>
          <w:szCs w:val="24"/>
        </w:rPr>
        <w:t xml:space="preserve">. Antibiotic Resistance Pattern and Genotype of Beta-Lactamase Producing </w:t>
      </w:r>
      <w:r w:rsidRPr="00C81924">
        <w:rPr>
          <w:rFonts w:cs="Times New Roman"/>
          <w:i/>
          <w:iCs/>
          <w:szCs w:val="24"/>
        </w:rPr>
        <w:t>Escherichia coli</w:t>
      </w:r>
      <w:r w:rsidRPr="00C81924">
        <w:rPr>
          <w:rFonts w:cs="Times New Roman"/>
          <w:szCs w:val="24"/>
        </w:rPr>
        <w:t xml:space="preserve"> Isolates from Urinary Tract Infections in </w:t>
      </w:r>
      <w:proofErr w:type="spellStart"/>
      <w:r w:rsidRPr="00C81924">
        <w:rPr>
          <w:rFonts w:cs="Times New Roman"/>
          <w:szCs w:val="24"/>
        </w:rPr>
        <w:t>Zabol-Souteast</w:t>
      </w:r>
      <w:proofErr w:type="spellEnd"/>
      <w:r w:rsidRPr="00C81924">
        <w:rPr>
          <w:rFonts w:cs="Times New Roman"/>
          <w:szCs w:val="24"/>
        </w:rPr>
        <w:t xml:space="preserve"> of Iran. Journal of Medical Microbiology and Infectious Diseases, 2(4), 153-158.</w:t>
      </w:r>
    </w:p>
    <w:p w14:paraId="29CC1B8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0" w:name="_Hlk163581483"/>
      <w:r w:rsidRPr="00C81924">
        <w:rPr>
          <w:rFonts w:cs="Times New Roman"/>
          <w:szCs w:val="24"/>
        </w:rPr>
        <w:lastRenderedPageBreak/>
        <w:t>Karam</w:t>
      </w:r>
      <w:bookmarkEnd w:id="60"/>
      <w:r w:rsidRPr="00C81924">
        <w:rPr>
          <w:rFonts w:cs="Times New Roman"/>
          <w:szCs w:val="24"/>
        </w:rPr>
        <w:t xml:space="preserve">, G., </w:t>
      </w:r>
      <w:proofErr w:type="spellStart"/>
      <w:r w:rsidRPr="00C81924">
        <w:rPr>
          <w:rFonts w:cs="Times New Roman"/>
          <w:szCs w:val="24"/>
        </w:rPr>
        <w:t>Chastre</w:t>
      </w:r>
      <w:proofErr w:type="spellEnd"/>
      <w:r w:rsidRPr="00C81924">
        <w:rPr>
          <w:rFonts w:cs="Times New Roman"/>
          <w:szCs w:val="24"/>
        </w:rPr>
        <w:t>, J., Wilcox, M. H., &amp; Vincent, J. L. (2016). Antibiotic strategies in the era of multidrug resistance. </w:t>
      </w:r>
      <w:r w:rsidRPr="00C81924">
        <w:rPr>
          <w:rFonts w:cs="Times New Roman"/>
          <w:i/>
          <w:iCs/>
          <w:szCs w:val="24"/>
        </w:rPr>
        <w:t>Critical Care</w:t>
      </w:r>
      <w:r w:rsidRPr="00C81924">
        <w:rPr>
          <w:rFonts w:cs="Times New Roman"/>
          <w:szCs w:val="24"/>
        </w:rPr>
        <w:t>, </w:t>
      </w:r>
      <w:r w:rsidRPr="00C81924">
        <w:rPr>
          <w:rFonts w:cs="Times New Roman"/>
          <w:i/>
          <w:iCs/>
          <w:szCs w:val="24"/>
        </w:rPr>
        <w:t>20</w:t>
      </w:r>
      <w:r w:rsidRPr="00C81924">
        <w:rPr>
          <w:rFonts w:cs="Times New Roman"/>
          <w:szCs w:val="24"/>
        </w:rPr>
        <w:t>, 1-9.</w:t>
      </w:r>
    </w:p>
    <w:p w14:paraId="301E1BE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1" w:name="_Hlk163581539"/>
      <w:proofErr w:type="spellStart"/>
      <w:r w:rsidRPr="00C81924">
        <w:rPr>
          <w:rFonts w:cs="Times New Roman"/>
          <w:szCs w:val="24"/>
        </w:rPr>
        <w:t>Kasanga</w:t>
      </w:r>
      <w:bookmarkEnd w:id="61"/>
      <w:proofErr w:type="spellEnd"/>
      <w:r w:rsidRPr="00C81924">
        <w:rPr>
          <w:rFonts w:cs="Times New Roman"/>
          <w:szCs w:val="24"/>
        </w:rPr>
        <w:t xml:space="preserve">, M., </w:t>
      </w:r>
      <w:proofErr w:type="spellStart"/>
      <w:r w:rsidRPr="00C81924">
        <w:rPr>
          <w:rFonts w:cs="Times New Roman"/>
          <w:szCs w:val="24"/>
        </w:rPr>
        <w:t>Kwenda</w:t>
      </w:r>
      <w:proofErr w:type="spellEnd"/>
      <w:r w:rsidRPr="00C81924">
        <w:rPr>
          <w:rFonts w:cs="Times New Roman"/>
          <w:szCs w:val="24"/>
        </w:rPr>
        <w:t xml:space="preserve">, G., Wu, J., </w:t>
      </w:r>
      <w:proofErr w:type="spellStart"/>
      <w:r w:rsidRPr="00C81924">
        <w:rPr>
          <w:rFonts w:cs="Times New Roman"/>
          <w:szCs w:val="24"/>
        </w:rPr>
        <w:t>Kasanga</w:t>
      </w:r>
      <w:proofErr w:type="spellEnd"/>
      <w:r w:rsidRPr="00C81924">
        <w:rPr>
          <w:rFonts w:cs="Times New Roman"/>
          <w:szCs w:val="24"/>
        </w:rPr>
        <w:t xml:space="preserve">, M., </w:t>
      </w:r>
      <w:proofErr w:type="spellStart"/>
      <w:r w:rsidRPr="00C81924">
        <w:rPr>
          <w:rFonts w:cs="Times New Roman"/>
          <w:szCs w:val="24"/>
        </w:rPr>
        <w:t>Mwikisa</w:t>
      </w:r>
      <w:proofErr w:type="spellEnd"/>
      <w:r w:rsidRPr="00C81924">
        <w:rPr>
          <w:rFonts w:cs="Times New Roman"/>
          <w:szCs w:val="24"/>
        </w:rPr>
        <w:t xml:space="preserve">, M. J., Chanda, R., ... &amp; Chanda, D. (2023). Antimicrobial resistance patterns and risk factors associated with ESBL-producing and MDR </w:t>
      </w:r>
      <w:r w:rsidRPr="00C81924">
        <w:rPr>
          <w:rFonts w:cs="Times New Roman"/>
          <w:i/>
          <w:iCs/>
          <w:szCs w:val="24"/>
        </w:rPr>
        <w:t>Escherichia coli</w:t>
      </w:r>
      <w:r w:rsidRPr="00C81924">
        <w:rPr>
          <w:rFonts w:cs="Times New Roman"/>
          <w:szCs w:val="24"/>
        </w:rPr>
        <w:t xml:space="preserve"> in hospital and environmental settings in Lusaka, Zambia: implications for One Health, antimicrobial stewardship and surveillance systems. </w:t>
      </w:r>
      <w:r w:rsidRPr="00C81924">
        <w:rPr>
          <w:rFonts w:cs="Times New Roman"/>
          <w:i/>
          <w:iCs/>
          <w:szCs w:val="24"/>
        </w:rPr>
        <w:t>Microorganisms</w:t>
      </w:r>
      <w:r w:rsidRPr="00C81924">
        <w:rPr>
          <w:rFonts w:cs="Times New Roman"/>
          <w:szCs w:val="24"/>
        </w:rPr>
        <w:t>, </w:t>
      </w:r>
      <w:r w:rsidRPr="00C81924">
        <w:rPr>
          <w:rFonts w:cs="Times New Roman"/>
          <w:i/>
          <w:iCs/>
          <w:szCs w:val="24"/>
        </w:rPr>
        <w:t>11</w:t>
      </w:r>
      <w:r w:rsidRPr="00C81924">
        <w:rPr>
          <w:rFonts w:cs="Times New Roman"/>
          <w:szCs w:val="24"/>
        </w:rPr>
        <w:t>(8), 1951.</w:t>
      </w:r>
    </w:p>
    <w:p w14:paraId="5C03FC08"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2" w:name="_Hlk163581314"/>
      <w:r w:rsidRPr="00C81924">
        <w:rPr>
          <w:rFonts w:cs="Times New Roman"/>
          <w:szCs w:val="24"/>
        </w:rPr>
        <w:t>Kim</w:t>
      </w:r>
      <w:bookmarkEnd w:id="62"/>
      <w:r w:rsidRPr="00C81924">
        <w:rPr>
          <w:rFonts w:cs="Times New Roman"/>
          <w:szCs w:val="24"/>
        </w:rPr>
        <w:t xml:space="preserve">, Y. A., Kim, J. J., Kim, H., &amp; Lee, K. (2017). Community-onset extended-spectrum-β-lactamase-producing </w:t>
      </w:r>
      <w:r w:rsidRPr="00C81924">
        <w:rPr>
          <w:rFonts w:cs="Times New Roman"/>
          <w:i/>
          <w:iCs/>
          <w:szCs w:val="24"/>
        </w:rPr>
        <w:t>Escherichia coli</w:t>
      </w:r>
      <w:r w:rsidRPr="00C81924">
        <w:rPr>
          <w:rFonts w:cs="Times New Roman"/>
          <w:szCs w:val="24"/>
        </w:rPr>
        <w:t xml:space="preserve"> sequence type 131 at two Korean community hospitals: the spread of multidrug-resistant </w:t>
      </w:r>
      <w:r w:rsidRPr="00C81924">
        <w:rPr>
          <w:rFonts w:cs="Times New Roman"/>
          <w:i/>
          <w:iCs/>
          <w:szCs w:val="24"/>
        </w:rPr>
        <w:t>E. coli</w:t>
      </w:r>
      <w:r w:rsidRPr="00C81924">
        <w:rPr>
          <w:rFonts w:cs="Times New Roman"/>
          <w:szCs w:val="24"/>
        </w:rPr>
        <w:t xml:space="preserve"> to the community via healthcare facilities. </w:t>
      </w:r>
      <w:r w:rsidRPr="00C81924">
        <w:rPr>
          <w:rFonts w:cs="Times New Roman"/>
          <w:i/>
          <w:iCs/>
          <w:szCs w:val="24"/>
        </w:rPr>
        <w:t>International Journal of Infectious Diseases</w:t>
      </w:r>
      <w:r w:rsidRPr="00C81924">
        <w:rPr>
          <w:rFonts w:cs="Times New Roman"/>
          <w:szCs w:val="24"/>
        </w:rPr>
        <w:t>, </w:t>
      </w:r>
      <w:r w:rsidRPr="00C81924">
        <w:rPr>
          <w:rFonts w:cs="Times New Roman"/>
          <w:i/>
          <w:iCs/>
          <w:szCs w:val="24"/>
        </w:rPr>
        <w:t>54</w:t>
      </w:r>
      <w:r w:rsidRPr="00C81924">
        <w:rPr>
          <w:rFonts w:cs="Times New Roman"/>
          <w:szCs w:val="24"/>
        </w:rPr>
        <w:t>, 39-42.</w:t>
      </w:r>
    </w:p>
    <w:p w14:paraId="1FE8A5A3"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3" w:name="_Hlk137384386"/>
      <w:r w:rsidRPr="00C81924">
        <w:rPr>
          <w:rFonts w:cs="Times New Roman"/>
          <w:szCs w:val="24"/>
        </w:rPr>
        <w:t>Koirala</w:t>
      </w:r>
      <w:bookmarkEnd w:id="63"/>
      <w:r w:rsidRPr="00C81924">
        <w:rPr>
          <w:rFonts w:cs="Times New Roman"/>
          <w:szCs w:val="24"/>
        </w:rPr>
        <w:t xml:space="preserve">, S., Khadka, S., Sapkota, S., Sharma, S., </w:t>
      </w:r>
      <w:proofErr w:type="spellStart"/>
      <w:r w:rsidRPr="00C81924">
        <w:rPr>
          <w:rFonts w:cs="Times New Roman"/>
          <w:szCs w:val="24"/>
        </w:rPr>
        <w:t>Khanal</w:t>
      </w:r>
      <w:proofErr w:type="spellEnd"/>
      <w:r w:rsidRPr="00C81924">
        <w:rPr>
          <w:rFonts w:cs="Times New Roman"/>
          <w:szCs w:val="24"/>
        </w:rPr>
        <w:t xml:space="preserve">, S., Thapa, A., ... &amp; Poudel, P. (2021). Prevalence of CTX-M β-lactamases producing multidrug resistant </w:t>
      </w:r>
      <w:r w:rsidRPr="00C81924">
        <w:rPr>
          <w:rFonts w:cs="Times New Roman"/>
          <w:i/>
          <w:iCs/>
          <w:szCs w:val="24"/>
        </w:rPr>
        <w:t>Escherichia coli</w:t>
      </w:r>
      <w:r w:rsidRPr="00C81924">
        <w:rPr>
          <w:rFonts w:cs="Times New Roman"/>
          <w:szCs w:val="24"/>
        </w:rPr>
        <w:t xml:space="preserve"> and Klebsiella pneumoniae among patients attending Bir Hospital, Nepal. </w:t>
      </w:r>
      <w:r w:rsidRPr="00C81924">
        <w:rPr>
          <w:rFonts w:cs="Times New Roman"/>
          <w:i/>
          <w:iCs/>
          <w:szCs w:val="24"/>
        </w:rPr>
        <w:t>BioMed Research International</w:t>
      </w:r>
      <w:r w:rsidRPr="00C81924">
        <w:rPr>
          <w:rFonts w:cs="Times New Roman"/>
          <w:szCs w:val="24"/>
        </w:rPr>
        <w:t>, </w:t>
      </w:r>
      <w:r w:rsidRPr="00C81924">
        <w:rPr>
          <w:rFonts w:cs="Times New Roman"/>
          <w:i/>
          <w:iCs/>
          <w:szCs w:val="24"/>
        </w:rPr>
        <w:t>2021</w:t>
      </w:r>
      <w:r w:rsidRPr="00C81924">
        <w:rPr>
          <w:rFonts w:cs="Times New Roman"/>
          <w:szCs w:val="24"/>
        </w:rPr>
        <w:t>, 1-11.</w:t>
      </w:r>
    </w:p>
    <w:p w14:paraId="3B2712D1"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4" w:name="_Hlk163576761"/>
      <w:proofErr w:type="spellStart"/>
      <w:r w:rsidRPr="00C81924">
        <w:rPr>
          <w:rFonts w:cs="Times New Roman"/>
          <w:szCs w:val="24"/>
        </w:rPr>
        <w:t>Kovachev</w:t>
      </w:r>
      <w:bookmarkEnd w:id="64"/>
      <w:proofErr w:type="spellEnd"/>
      <w:r w:rsidRPr="00C81924">
        <w:rPr>
          <w:rFonts w:cs="Times New Roman"/>
          <w:szCs w:val="24"/>
        </w:rPr>
        <w:t>, S. M. (2014). Obstetric and gynecological diseases and complications resulting from vaginal dysbacteriosis. </w:t>
      </w:r>
      <w:r w:rsidRPr="00C81924">
        <w:rPr>
          <w:rFonts w:cs="Times New Roman"/>
          <w:i/>
          <w:iCs/>
          <w:szCs w:val="24"/>
        </w:rPr>
        <w:t>Microbial Ecology</w:t>
      </w:r>
      <w:r w:rsidRPr="00C81924">
        <w:rPr>
          <w:rFonts w:cs="Times New Roman"/>
          <w:szCs w:val="24"/>
        </w:rPr>
        <w:t>, </w:t>
      </w:r>
      <w:r w:rsidRPr="00C81924">
        <w:rPr>
          <w:rFonts w:cs="Times New Roman"/>
          <w:i/>
          <w:iCs/>
          <w:szCs w:val="24"/>
        </w:rPr>
        <w:t>68</w:t>
      </w:r>
      <w:r w:rsidRPr="00C81924">
        <w:rPr>
          <w:rFonts w:cs="Times New Roman"/>
          <w:szCs w:val="24"/>
        </w:rPr>
        <w:t>, 173-184.</w:t>
      </w:r>
    </w:p>
    <w:p w14:paraId="140B700A" w14:textId="07E2300D" w:rsidR="004D6307" w:rsidRPr="00C81924" w:rsidRDefault="004D6307" w:rsidP="004D6307">
      <w:pPr>
        <w:tabs>
          <w:tab w:val="left" w:pos="851"/>
        </w:tabs>
        <w:kinsoku w:val="0"/>
        <w:overflowPunct w:val="0"/>
        <w:autoSpaceDE w:val="0"/>
        <w:autoSpaceDN w:val="0"/>
        <w:adjustRightInd w:val="0"/>
        <w:spacing w:before="240" w:line="276" w:lineRule="auto"/>
        <w:ind w:left="567" w:right="148" w:hanging="567"/>
        <w:jc w:val="both"/>
        <w:rPr>
          <w:rFonts w:cs="Times New Roman"/>
          <w:szCs w:val="24"/>
        </w:rPr>
      </w:pPr>
      <w:bookmarkStart w:id="65" w:name="_Hlk163576529"/>
      <w:r w:rsidRPr="00C81924">
        <w:rPr>
          <w:rFonts w:cs="Times New Roman"/>
          <w:szCs w:val="24"/>
        </w:rPr>
        <w:t>Kumar Shrestha</w:t>
      </w:r>
      <w:bookmarkEnd w:id="65"/>
      <w:r w:rsidRPr="00C81924">
        <w:rPr>
          <w:rFonts w:cs="Times New Roman"/>
          <w:szCs w:val="24"/>
        </w:rPr>
        <w:t xml:space="preserve">, B., </w:t>
      </w:r>
      <w:proofErr w:type="spellStart"/>
      <w:r w:rsidRPr="00C81924">
        <w:rPr>
          <w:rFonts w:cs="Times New Roman"/>
          <w:szCs w:val="24"/>
        </w:rPr>
        <w:t>Tumbahangphe</w:t>
      </w:r>
      <w:proofErr w:type="spellEnd"/>
      <w:r w:rsidRPr="00C81924">
        <w:rPr>
          <w:rFonts w:cs="Times New Roman"/>
          <w:szCs w:val="24"/>
        </w:rPr>
        <w:t xml:space="preserve">, M., Shakya, J., &amp; Chauhan, S. (2022).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Escherichia coli</w:t>
      </w:r>
      <w:r w:rsidRPr="00C81924">
        <w:rPr>
          <w:rFonts w:cs="Times New Roman"/>
          <w:szCs w:val="24"/>
        </w:rPr>
        <w:t xml:space="preserve"> in urinary tract infections: A review on epidemiology, pathogenesis, clinical manifestation, diagnosis, treatments and prevention. </w:t>
      </w:r>
      <w:r w:rsidRPr="00C81924">
        <w:rPr>
          <w:rFonts w:cs="Times New Roman"/>
          <w:i/>
          <w:iCs/>
          <w:szCs w:val="24"/>
        </w:rPr>
        <w:t>Novel Research in Microbiology Journal</w:t>
      </w:r>
      <w:r w:rsidRPr="00C81924">
        <w:rPr>
          <w:rFonts w:cs="Times New Roman"/>
          <w:szCs w:val="24"/>
        </w:rPr>
        <w:t>, </w:t>
      </w:r>
      <w:r w:rsidRPr="00C81924">
        <w:rPr>
          <w:rFonts w:cs="Times New Roman"/>
          <w:i/>
          <w:iCs/>
          <w:szCs w:val="24"/>
        </w:rPr>
        <w:t>6</w:t>
      </w:r>
      <w:r w:rsidRPr="00C81924">
        <w:rPr>
          <w:rFonts w:cs="Times New Roman"/>
          <w:szCs w:val="24"/>
        </w:rPr>
        <w:t>(4), 1614-1634.</w:t>
      </w:r>
    </w:p>
    <w:p w14:paraId="242FD4D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6" w:name="_Hlk163576463"/>
      <w:r w:rsidRPr="00C81924">
        <w:rPr>
          <w:rFonts w:cs="Times New Roman"/>
          <w:szCs w:val="24"/>
        </w:rPr>
        <w:t>Lin</w:t>
      </w:r>
      <w:bookmarkEnd w:id="66"/>
      <w:r w:rsidRPr="00C81924">
        <w:rPr>
          <w:rFonts w:cs="Times New Roman"/>
          <w:szCs w:val="24"/>
        </w:rPr>
        <w:t xml:space="preserve">, W. H., Wang, M. C., Liu, P. Y., Chen, P. S., Wen, L. L., Teng, C. H., &amp; Kao, C. Y. (2022). </w:t>
      </w:r>
      <w:r w:rsidRPr="00C81924">
        <w:rPr>
          <w:rFonts w:cs="Times New Roman"/>
          <w:i/>
          <w:iCs/>
          <w:szCs w:val="24"/>
        </w:rPr>
        <w:t>Escherichia coli</w:t>
      </w:r>
      <w:r w:rsidRPr="00C81924">
        <w:rPr>
          <w:rFonts w:cs="Times New Roman"/>
          <w:szCs w:val="24"/>
        </w:rPr>
        <w:t xml:space="preserve"> urinary tract infections: Host age-related differences in bacterial virulence factors and antimicrobial susceptibility. </w:t>
      </w:r>
      <w:r w:rsidRPr="00C81924">
        <w:rPr>
          <w:rFonts w:cs="Times New Roman"/>
          <w:i/>
          <w:iCs/>
          <w:szCs w:val="24"/>
        </w:rPr>
        <w:t>Journal of Microbiology, Immunology and Infection</w:t>
      </w:r>
      <w:r w:rsidRPr="00C81924">
        <w:rPr>
          <w:rFonts w:cs="Times New Roman"/>
          <w:szCs w:val="24"/>
        </w:rPr>
        <w:t>, </w:t>
      </w:r>
      <w:r w:rsidRPr="00C81924">
        <w:rPr>
          <w:rFonts w:cs="Times New Roman"/>
          <w:i/>
          <w:iCs/>
          <w:szCs w:val="24"/>
        </w:rPr>
        <w:t>55</w:t>
      </w:r>
      <w:r w:rsidRPr="00C81924">
        <w:rPr>
          <w:rFonts w:cs="Times New Roman"/>
          <w:szCs w:val="24"/>
        </w:rPr>
        <w:t>(2), 249-256.</w:t>
      </w:r>
    </w:p>
    <w:p w14:paraId="4CEF0B3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7" w:name="_Hlk137384706"/>
      <w:r w:rsidRPr="00C81924">
        <w:rPr>
          <w:rFonts w:cs="Times New Roman"/>
          <w:szCs w:val="24"/>
        </w:rPr>
        <w:t>López-Montesinos</w:t>
      </w:r>
      <w:bookmarkEnd w:id="67"/>
      <w:r w:rsidRPr="00C81924">
        <w:rPr>
          <w:rFonts w:cs="Times New Roman"/>
          <w:szCs w:val="24"/>
        </w:rPr>
        <w:t>, I., Domínguez-</w:t>
      </w:r>
      <w:proofErr w:type="spellStart"/>
      <w:r w:rsidRPr="00C81924">
        <w:rPr>
          <w:rFonts w:cs="Times New Roman"/>
          <w:szCs w:val="24"/>
        </w:rPr>
        <w:t>Guasch</w:t>
      </w:r>
      <w:proofErr w:type="spellEnd"/>
      <w:r w:rsidRPr="00C81924">
        <w:rPr>
          <w:rFonts w:cs="Times New Roman"/>
          <w:szCs w:val="24"/>
        </w:rPr>
        <w:t>, A., Gómez-</w:t>
      </w:r>
      <w:proofErr w:type="spellStart"/>
      <w:r w:rsidRPr="00C81924">
        <w:rPr>
          <w:rFonts w:cs="Times New Roman"/>
          <w:szCs w:val="24"/>
        </w:rPr>
        <w:t>Zorrilla</w:t>
      </w:r>
      <w:proofErr w:type="spellEnd"/>
      <w:r w:rsidRPr="00C81924">
        <w:rPr>
          <w:rFonts w:cs="Times New Roman"/>
          <w:szCs w:val="24"/>
        </w:rPr>
        <w:t>, S., Duran-</w:t>
      </w:r>
      <w:proofErr w:type="spellStart"/>
      <w:r w:rsidRPr="00C81924">
        <w:rPr>
          <w:rFonts w:cs="Times New Roman"/>
          <w:szCs w:val="24"/>
        </w:rPr>
        <w:t>Jordà</w:t>
      </w:r>
      <w:proofErr w:type="spellEnd"/>
      <w:r w:rsidRPr="00C81924">
        <w:rPr>
          <w:rFonts w:cs="Times New Roman"/>
          <w:szCs w:val="24"/>
        </w:rPr>
        <w:t xml:space="preserve">, X., </w:t>
      </w:r>
      <w:proofErr w:type="spellStart"/>
      <w:r w:rsidRPr="00C81924">
        <w:rPr>
          <w:rFonts w:cs="Times New Roman"/>
          <w:szCs w:val="24"/>
        </w:rPr>
        <w:t>Siverio-Parès</w:t>
      </w:r>
      <w:proofErr w:type="spellEnd"/>
      <w:r w:rsidRPr="00C81924">
        <w:rPr>
          <w:rFonts w:cs="Times New Roman"/>
          <w:szCs w:val="24"/>
        </w:rPr>
        <w:t>, A., Arenas-</w:t>
      </w:r>
      <w:proofErr w:type="spellStart"/>
      <w:r w:rsidRPr="00C81924">
        <w:rPr>
          <w:rFonts w:cs="Times New Roman"/>
          <w:szCs w:val="24"/>
        </w:rPr>
        <w:t>Miras</w:t>
      </w:r>
      <w:proofErr w:type="spellEnd"/>
      <w:r w:rsidRPr="00C81924">
        <w:rPr>
          <w:rFonts w:cs="Times New Roman"/>
          <w:szCs w:val="24"/>
        </w:rPr>
        <w:t xml:space="preserve">, M. M., ... &amp; </w:t>
      </w:r>
      <w:proofErr w:type="spellStart"/>
      <w:r w:rsidRPr="00C81924">
        <w:rPr>
          <w:rFonts w:cs="Times New Roman"/>
          <w:szCs w:val="24"/>
        </w:rPr>
        <w:t>Horcajada</w:t>
      </w:r>
      <w:proofErr w:type="spellEnd"/>
      <w:r w:rsidRPr="00C81924">
        <w:rPr>
          <w:rFonts w:cs="Times New Roman"/>
          <w:szCs w:val="24"/>
        </w:rPr>
        <w:t>, J. P. (2020). Clinical and economic burden of community-onset multidrug-resistant infections requiring hospitalization. </w:t>
      </w:r>
      <w:r w:rsidRPr="00C81924">
        <w:rPr>
          <w:rFonts w:cs="Times New Roman"/>
          <w:i/>
          <w:iCs/>
          <w:szCs w:val="24"/>
        </w:rPr>
        <w:t>Journal of Infection</w:t>
      </w:r>
      <w:r w:rsidRPr="00C81924">
        <w:rPr>
          <w:rFonts w:cs="Times New Roman"/>
          <w:szCs w:val="24"/>
        </w:rPr>
        <w:t>, </w:t>
      </w:r>
      <w:r w:rsidRPr="00C81924">
        <w:rPr>
          <w:rFonts w:cs="Times New Roman"/>
          <w:i/>
          <w:iCs/>
          <w:szCs w:val="24"/>
        </w:rPr>
        <w:t>80</w:t>
      </w:r>
      <w:r w:rsidRPr="00C81924">
        <w:rPr>
          <w:rFonts w:cs="Times New Roman"/>
          <w:szCs w:val="24"/>
        </w:rPr>
        <w:t>(3), 271-278.</w:t>
      </w:r>
    </w:p>
    <w:p w14:paraId="098EC68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8" w:name="_Hlk137604228"/>
      <w:r w:rsidRPr="00C81924">
        <w:rPr>
          <w:rFonts w:cs="Times New Roman"/>
          <w:szCs w:val="24"/>
        </w:rPr>
        <w:t>Machado</w:t>
      </w:r>
      <w:bookmarkEnd w:id="68"/>
      <w:r w:rsidRPr="00C81924">
        <w:rPr>
          <w:rFonts w:cs="Times New Roman"/>
          <w:szCs w:val="24"/>
        </w:rPr>
        <w:t xml:space="preserve">, E., Costa, P., Carvalho, A., &amp; On Behalf </w:t>
      </w:r>
      <w:proofErr w:type="gramStart"/>
      <w:r w:rsidRPr="00C81924">
        <w:rPr>
          <w:rFonts w:cs="Times New Roman"/>
          <w:szCs w:val="24"/>
        </w:rPr>
        <w:t>Of</w:t>
      </w:r>
      <w:proofErr w:type="gramEnd"/>
      <w:r w:rsidRPr="00C81924">
        <w:rPr>
          <w:rFonts w:cs="Times New Roman"/>
          <w:szCs w:val="24"/>
        </w:rPr>
        <w:t xml:space="preserve"> The </w:t>
      </w:r>
      <w:proofErr w:type="spellStart"/>
      <w:r w:rsidRPr="00C81924">
        <w:rPr>
          <w:rFonts w:cs="Times New Roman"/>
          <w:szCs w:val="24"/>
        </w:rPr>
        <w:t>Sarel</w:t>
      </w:r>
      <w:proofErr w:type="spellEnd"/>
      <w:r w:rsidRPr="00C81924">
        <w:rPr>
          <w:rFonts w:cs="Times New Roman"/>
          <w:szCs w:val="24"/>
        </w:rPr>
        <w:t xml:space="preserve"> Investigators (2022). Occurrence of Healthcare-Associated Infections (HAIs) by </w:t>
      </w:r>
      <w:r w:rsidRPr="00C81924">
        <w:rPr>
          <w:rFonts w:cs="Times New Roman"/>
          <w:i/>
          <w:iCs/>
          <w:szCs w:val="24"/>
        </w:rPr>
        <w:t>Escherichia coli</w:t>
      </w:r>
      <w:r w:rsidRPr="00C81924">
        <w:rPr>
          <w:rFonts w:cs="Times New Roman"/>
          <w:szCs w:val="24"/>
        </w:rPr>
        <w:t> and </w:t>
      </w:r>
      <w:r w:rsidRPr="00C81924">
        <w:rPr>
          <w:rFonts w:cs="Times New Roman"/>
          <w:i/>
          <w:iCs/>
          <w:szCs w:val="24"/>
        </w:rPr>
        <w:t>Klebsiella</w:t>
      </w:r>
      <w:r w:rsidRPr="00C81924">
        <w:rPr>
          <w:rFonts w:cs="Times New Roman"/>
          <w:szCs w:val="24"/>
        </w:rPr>
        <w:t xml:space="preserve"> spp. Producing Extended-Spectrum β-lactamases (ESBL) and/or </w:t>
      </w:r>
      <w:proofErr w:type="spellStart"/>
      <w:r w:rsidRPr="00C81924">
        <w:rPr>
          <w:rFonts w:cs="Times New Roman"/>
          <w:szCs w:val="24"/>
        </w:rPr>
        <w:t>Carbapenemases</w:t>
      </w:r>
      <w:proofErr w:type="spellEnd"/>
      <w:r w:rsidRPr="00C81924">
        <w:rPr>
          <w:rFonts w:cs="Times New Roman"/>
          <w:szCs w:val="24"/>
        </w:rPr>
        <w:t xml:space="preserve"> in Portuguese Long-Term Care Facilities. </w:t>
      </w:r>
      <w:r w:rsidRPr="00C81924">
        <w:rPr>
          <w:rFonts w:cs="Times New Roman"/>
          <w:i/>
          <w:iCs/>
          <w:szCs w:val="24"/>
        </w:rPr>
        <w:t>Pathogens</w:t>
      </w:r>
      <w:r w:rsidRPr="00C81924">
        <w:rPr>
          <w:rFonts w:cs="Times New Roman"/>
          <w:szCs w:val="24"/>
        </w:rPr>
        <w:t>, </w:t>
      </w:r>
      <w:r w:rsidRPr="00C81924">
        <w:rPr>
          <w:rFonts w:cs="Times New Roman"/>
          <w:i/>
          <w:iCs/>
          <w:szCs w:val="24"/>
        </w:rPr>
        <w:t>11</w:t>
      </w:r>
      <w:r w:rsidRPr="00C81924">
        <w:rPr>
          <w:rFonts w:cs="Times New Roman"/>
          <w:szCs w:val="24"/>
        </w:rPr>
        <w:t>(9), 1019.</w:t>
      </w:r>
    </w:p>
    <w:p w14:paraId="00EB7B5E"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9" w:name="_Hlk137608717"/>
      <w:proofErr w:type="spellStart"/>
      <w:r w:rsidRPr="00C81924">
        <w:rPr>
          <w:rFonts w:cs="Times New Roman"/>
          <w:szCs w:val="24"/>
        </w:rPr>
        <w:t>Makanjuola</w:t>
      </w:r>
      <w:bookmarkEnd w:id="69"/>
      <w:proofErr w:type="spellEnd"/>
      <w:r w:rsidRPr="00C81924">
        <w:rPr>
          <w:rFonts w:cs="Times New Roman"/>
          <w:szCs w:val="24"/>
        </w:rPr>
        <w:t xml:space="preserve">, O. B., </w:t>
      </w:r>
      <w:proofErr w:type="spellStart"/>
      <w:r w:rsidRPr="00C81924">
        <w:rPr>
          <w:rFonts w:cs="Times New Roman"/>
          <w:szCs w:val="24"/>
        </w:rPr>
        <w:t>Fayemiwo</w:t>
      </w:r>
      <w:proofErr w:type="spellEnd"/>
      <w:r w:rsidRPr="00C81924">
        <w:rPr>
          <w:rFonts w:cs="Times New Roman"/>
          <w:szCs w:val="24"/>
        </w:rPr>
        <w:t xml:space="preserve">, S. A., </w:t>
      </w:r>
      <w:proofErr w:type="spellStart"/>
      <w:r w:rsidRPr="00C81924">
        <w:rPr>
          <w:rFonts w:cs="Times New Roman"/>
          <w:szCs w:val="24"/>
        </w:rPr>
        <w:t>Okesola</w:t>
      </w:r>
      <w:proofErr w:type="spellEnd"/>
      <w:r w:rsidRPr="00C81924">
        <w:rPr>
          <w:rFonts w:cs="Times New Roman"/>
          <w:szCs w:val="24"/>
        </w:rPr>
        <w:t xml:space="preserve">, A. O., </w:t>
      </w:r>
      <w:proofErr w:type="spellStart"/>
      <w:r w:rsidRPr="00C81924">
        <w:rPr>
          <w:rFonts w:cs="Times New Roman"/>
          <w:szCs w:val="24"/>
        </w:rPr>
        <w:t>Gbaja</w:t>
      </w:r>
      <w:proofErr w:type="spellEnd"/>
      <w:r w:rsidRPr="00C81924">
        <w:rPr>
          <w:rFonts w:cs="Times New Roman"/>
          <w:szCs w:val="24"/>
        </w:rPr>
        <w:t>, A., Ogunleye, V. A., Kehinde, A. O., &amp; Bakare, R. A. (2018). Pattern of multidrug resistant bacteria associated with intensive care unit infections in Ibadan, Nigeria. </w:t>
      </w:r>
      <w:r w:rsidRPr="00C81924">
        <w:rPr>
          <w:rFonts w:cs="Times New Roman"/>
          <w:i/>
          <w:iCs/>
          <w:szCs w:val="24"/>
        </w:rPr>
        <w:t>Annals of Ibadan postgraduate medicine</w:t>
      </w:r>
      <w:r w:rsidRPr="00C81924">
        <w:rPr>
          <w:rFonts w:cs="Times New Roman"/>
          <w:szCs w:val="24"/>
        </w:rPr>
        <w:t>, </w:t>
      </w:r>
      <w:r w:rsidRPr="00C81924">
        <w:rPr>
          <w:rFonts w:cs="Times New Roman"/>
          <w:i/>
          <w:iCs/>
          <w:szCs w:val="24"/>
        </w:rPr>
        <w:t>16</w:t>
      </w:r>
      <w:r w:rsidRPr="00C81924">
        <w:rPr>
          <w:rFonts w:cs="Times New Roman"/>
          <w:szCs w:val="24"/>
        </w:rPr>
        <w:t>(2), 162-169.</w:t>
      </w:r>
    </w:p>
    <w:p w14:paraId="6FDEAF45" w14:textId="4E0E95FF" w:rsidR="008B089D" w:rsidRPr="00C81924" w:rsidRDefault="008B089D" w:rsidP="008B089D">
      <w:pPr>
        <w:tabs>
          <w:tab w:val="left" w:pos="851"/>
        </w:tabs>
        <w:kinsoku w:val="0"/>
        <w:overflowPunct w:val="0"/>
        <w:autoSpaceDE w:val="0"/>
        <w:autoSpaceDN w:val="0"/>
        <w:adjustRightInd w:val="0"/>
        <w:spacing w:before="240" w:line="276" w:lineRule="auto"/>
        <w:ind w:left="567" w:right="148" w:hanging="567"/>
        <w:jc w:val="both"/>
        <w:rPr>
          <w:rFonts w:cs="Times New Roman"/>
          <w:szCs w:val="24"/>
        </w:rPr>
      </w:pPr>
      <w:bookmarkStart w:id="70" w:name="_Hlk163576419"/>
      <w:r w:rsidRPr="00C81924">
        <w:rPr>
          <w:rFonts w:cs="Times New Roman"/>
          <w:szCs w:val="24"/>
        </w:rPr>
        <w:t>Mao</w:t>
      </w:r>
      <w:bookmarkEnd w:id="70"/>
      <w:r w:rsidRPr="00C81924">
        <w:rPr>
          <w:rFonts w:cs="Times New Roman"/>
          <w:szCs w:val="24"/>
        </w:rPr>
        <w:t xml:space="preserve">, B. H., Chang, Y. F., </w:t>
      </w:r>
      <w:proofErr w:type="spellStart"/>
      <w:r w:rsidRPr="00C81924">
        <w:rPr>
          <w:rFonts w:cs="Times New Roman"/>
          <w:szCs w:val="24"/>
        </w:rPr>
        <w:t>Scaria</w:t>
      </w:r>
      <w:proofErr w:type="spellEnd"/>
      <w:r w:rsidRPr="00C81924">
        <w:rPr>
          <w:rFonts w:cs="Times New Roman"/>
          <w:szCs w:val="24"/>
        </w:rPr>
        <w:t xml:space="preserve">, J., Chang, C. C., Chou, L. W., Tien, N., ... &amp; Teng, C. H. (2012). Identification of </w:t>
      </w:r>
      <w:r w:rsidRPr="00C81924">
        <w:rPr>
          <w:rFonts w:cs="Times New Roman"/>
          <w:i/>
          <w:iCs/>
          <w:szCs w:val="24"/>
        </w:rPr>
        <w:t>Escherichia coli</w:t>
      </w:r>
      <w:r w:rsidRPr="00C81924">
        <w:rPr>
          <w:rFonts w:cs="Times New Roman"/>
          <w:szCs w:val="24"/>
        </w:rPr>
        <w:t xml:space="preserve"> genes associated with urinary tract infections. </w:t>
      </w:r>
      <w:r w:rsidRPr="00C81924">
        <w:rPr>
          <w:rFonts w:cs="Times New Roman"/>
          <w:i/>
          <w:iCs/>
          <w:szCs w:val="24"/>
        </w:rPr>
        <w:t>Journal of Clinical Microbiology</w:t>
      </w:r>
      <w:r w:rsidRPr="00C81924">
        <w:rPr>
          <w:rFonts w:cs="Times New Roman"/>
          <w:szCs w:val="24"/>
        </w:rPr>
        <w:t>, </w:t>
      </w:r>
      <w:r w:rsidRPr="00C81924">
        <w:rPr>
          <w:rFonts w:cs="Times New Roman"/>
          <w:i/>
          <w:iCs/>
          <w:szCs w:val="24"/>
        </w:rPr>
        <w:t>50</w:t>
      </w:r>
      <w:r w:rsidRPr="00C81924">
        <w:rPr>
          <w:rFonts w:cs="Times New Roman"/>
          <w:szCs w:val="24"/>
        </w:rPr>
        <w:t>(2), 449-456.</w:t>
      </w:r>
    </w:p>
    <w:p w14:paraId="7F16E782"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71" w:name="_Hlk163575253"/>
      <w:r w:rsidRPr="00C81924">
        <w:rPr>
          <w:rFonts w:cs="Times New Roman"/>
          <w:szCs w:val="24"/>
        </w:rPr>
        <w:lastRenderedPageBreak/>
        <w:t>McGrath-Morrow</w:t>
      </w:r>
      <w:bookmarkEnd w:id="71"/>
      <w:r w:rsidRPr="00C81924">
        <w:rPr>
          <w:rFonts w:cs="Times New Roman"/>
          <w:szCs w:val="24"/>
        </w:rPr>
        <w:t xml:space="preserve">, S. A., </w:t>
      </w:r>
      <w:proofErr w:type="spellStart"/>
      <w:r w:rsidRPr="00C81924">
        <w:rPr>
          <w:rFonts w:cs="Times New Roman"/>
          <w:szCs w:val="24"/>
        </w:rPr>
        <w:t>Ndeh</w:t>
      </w:r>
      <w:proofErr w:type="spellEnd"/>
      <w:r w:rsidRPr="00C81924">
        <w:rPr>
          <w:rFonts w:cs="Times New Roman"/>
          <w:szCs w:val="24"/>
        </w:rPr>
        <w:t xml:space="preserve">, R., </w:t>
      </w:r>
      <w:proofErr w:type="spellStart"/>
      <w:r w:rsidRPr="00C81924">
        <w:rPr>
          <w:rFonts w:cs="Times New Roman"/>
          <w:szCs w:val="24"/>
        </w:rPr>
        <w:t>Collaco</w:t>
      </w:r>
      <w:proofErr w:type="spellEnd"/>
      <w:r w:rsidRPr="00C81924">
        <w:rPr>
          <w:rFonts w:cs="Times New Roman"/>
          <w:szCs w:val="24"/>
        </w:rPr>
        <w:t xml:space="preserve">, J. M., </w:t>
      </w:r>
      <w:proofErr w:type="spellStart"/>
      <w:r w:rsidRPr="00C81924">
        <w:rPr>
          <w:rFonts w:cs="Times New Roman"/>
          <w:szCs w:val="24"/>
        </w:rPr>
        <w:t>Poupore</w:t>
      </w:r>
      <w:proofErr w:type="spellEnd"/>
      <w:r w:rsidRPr="00C81924">
        <w:rPr>
          <w:rFonts w:cs="Times New Roman"/>
          <w:szCs w:val="24"/>
        </w:rPr>
        <w:t xml:space="preserve">, A. K., Dikeman, D., Zhong, Q., ... &amp; Scott, A. (2017). The innate immune response to lower respiratory tract </w:t>
      </w:r>
      <w:r w:rsidRPr="00C81924">
        <w:rPr>
          <w:rFonts w:cs="Times New Roman"/>
          <w:i/>
          <w:iCs/>
          <w:szCs w:val="24"/>
        </w:rPr>
        <w:t>E. coli</w:t>
      </w:r>
      <w:r w:rsidRPr="00C81924">
        <w:rPr>
          <w:rFonts w:cs="Times New Roman"/>
          <w:szCs w:val="24"/>
        </w:rPr>
        <w:t xml:space="preserve"> infection and the role of the CCL2-CCR2 axis in neonatal mice. </w:t>
      </w:r>
      <w:r w:rsidRPr="00C81924">
        <w:rPr>
          <w:rFonts w:cs="Times New Roman"/>
          <w:i/>
          <w:iCs/>
          <w:szCs w:val="24"/>
        </w:rPr>
        <w:t>Cytokine</w:t>
      </w:r>
      <w:r w:rsidRPr="00C81924">
        <w:rPr>
          <w:rFonts w:cs="Times New Roman"/>
          <w:szCs w:val="24"/>
        </w:rPr>
        <w:t>, </w:t>
      </w:r>
      <w:r w:rsidRPr="00C81924">
        <w:rPr>
          <w:rFonts w:cs="Times New Roman"/>
          <w:i/>
          <w:iCs/>
          <w:szCs w:val="24"/>
        </w:rPr>
        <w:t>97</w:t>
      </w:r>
      <w:r w:rsidRPr="00C81924">
        <w:rPr>
          <w:rFonts w:cs="Times New Roman"/>
          <w:szCs w:val="24"/>
        </w:rPr>
        <w:t>, 108-116.</w:t>
      </w:r>
    </w:p>
    <w:p w14:paraId="4B870DED" w14:textId="7DA3B784" w:rsidR="008B089D" w:rsidRPr="00C81924" w:rsidRDefault="008B089D" w:rsidP="008B089D">
      <w:pPr>
        <w:tabs>
          <w:tab w:val="left" w:pos="851"/>
        </w:tabs>
        <w:kinsoku w:val="0"/>
        <w:overflowPunct w:val="0"/>
        <w:autoSpaceDE w:val="0"/>
        <w:autoSpaceDN w:val="0"/>
        <w:adjustRightInd w:val="0"/>
        <w:spacing w:before="240" w:line="276" w:lineRule="auto"/>
        <w:ind w:left="567" w:right="148" w:hanging="567"/>
        <w:jc w:val="both"/>
        <w:rPr>
          <w:rFonts w:cs="Times New Roman"/>
          <w:szCs w:val="24"/>
        </w:rPr>
      </w:pPr>
      <w:bookmarkStart w:id="72" w:name="_Hlk163576504"/>
      <w:r w:rsidRPr="00C81924">
        <w:rPr>
          <w:rFonts w:cs="Times New Roman"/>
          <w:szCs w:val="24"/>
        </w:rPr>
        <w:t>Medina-Polo</w:t>
      </w:r>
      <w:bookmarkEnd w:id="72"/>
      <w:r w:rsidRPr="00C81924">
        <w:rPr>
          <w:rFonts w:cs="Times New Roman"/>
          <w:szCs w:val="24"/>
        </w:rPr>
        <w:t xml:space="preserve">, J., </w:t>
      </w:r>
      <w:proofErr w:type="spellStart"/>
      <w:r w:rsidRPr="00C81924">
        <w:rPr>
          <w:rFonts w:cs="Times New Roman"/>
          <w:szCs w:val="24"/>
        </w:rPr>
        <w:t>Naber</w:t>
      </w:r>
      <w:proofErr w:type="spellEnd"/>
      <w:r w:rsidRPr="00C81924">
        <w:rPr>
          <w:rFonts w:cs="Times New Roman"/>
          <w:szCs w:val="24"/>
        </w:rPr>
        <w:t>, K. G., &amp; Johansen, T. E. B. (2021). Healthcare-associated urinary tract infections in urology. </w:t>
      </w:r>
      <w:r w:rsidRPr="00C81924">
        <w:rPr>
          <w:rFonts w:cs="Times New Roman"/>
          <w:i/>
          <w:iCs/>
          <w:szCs w:val="24"/>
        </w:rPr>
        <w:t>GMS Infectious Diseases</w:t>
      </w:r>
      <w:r w:rsidRPr="00C81924">
        <w:rPr>
          <w:rFonts w:cs="Times New Roman"/>
          <w:szCs w:val="24"/>
        </w:rPr>
        <w:t>, </w:t>
      </w:r>
      <w:r w:rsidRPr="00C81924">
        <w:rPr>
          <w:rFonts w:cs="Times New Roman"/>
          <w:i/>
          <w:iCs/>
          <w:szCs w:val="24"/>
        </w:rPr>
        <w:t>9</w:t>
      </w:r>
      <w:r w:rsidRPr="00C81924">
        <w:rPr>
          <w:rFonts w:cs="Times New Roman"/>
          <w:szCs w:val="24"/>
        </w:rPr>
        <w:t>.</w:t>
      </w:r>
    </w:p>
    <w:p w14:paraId="17F11F51"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3" w:name="_Hlk137607723"/>
      <w:proofErr w:type="spellStart"/>
      <w:r w:rsidRPr="00C81924">
        <w:rPr>
          <w:rFonts w:cs="Times New Roman"/>
          <w:szCs w:val="24"/>
        </w:rPr>
        <w:t>Mofolorunsho</w:t>
      </w:r>
      <w:bookmarkEnd w:id="73"/>
      <w:proofErr w:type="spellEnd"/>
      <w:r w:rsidRPr="00C81924">
        <w:rPr>
          <w:rFonts w:cs="Times New Roman"/>
          <w:szCs w:val="24"/>
        </w:rPr>
        <w:t xml:space="preserve">, K. C., </w:t>
      </w:r>
      <w:proofErr w:type="spellStart"/>
      <w:r w:rsidRPr="00C81924">
        <w:rPr>
          <w:rFonts w:cs="Times New Roman"/>
          <w:szCs w:val="24"/>
        </w:rPr>
        <w:t>Ocheni</w:t>
      </w:r>
      <w:proofErr w:type="spellEnd"/>
      <w:r w:rsidRPr="00C81924">
        <w:rPr>
          <w:rFonts w:cs="Times New Roman"/>
          <w:szCs w:val="24"/>
        </w:rPr>
        <w:t xml:space="preserve">, H. O., Aminu, R. F., </w:t>
      </w:r>
      <w:proofErr w:type="spellStart"/>
      <w:r w:rsidRPr="00C81924">
        <w:rPr>
          <w:rFonts w:cs="Times New Roman"/>
          <w:szCs w:val="24"/>
        </w:rPr>
        <w:t>Omatola</w:t>
      </w:r>
      <w:proofErr w:type="spellEnd"/>
      <w:r w:rsidRPr="00C81924">
        <w:rPr>
          <w:rFonts w:cs="Times New Roman"/>
          <w:szCs w:val="24"/>
        </w:rPr>
        <w:t xml:space="preserve">, C. A., &amp; </w:t>
      </w:r>
      <w:proofErr w:type="spellStart"/>
      <w:r w:rsidRPr="00C81924">
        <w:rPr>
          <w:rFonts w:cs="Times New Roman"/>
          <w:szCs w:val="24"/>
        </w:rPr>
        <w:t>Olowonibi</w:t>
      </w:r>
      <w:proofErr w:type="spellEnd"/>
      <w:r w:rsidRPr="00C81924">
        <w:rPr>
          <w:rFonts w:cs="Times New Roman"/>
          <w:szCs w:val="24"/>
        </w:rPr>
        <w:t xml:space="preserve">, O. O. (2021). Prevalence and antimicrobial susceptibility of extended-spectrum beta lactamases-producing </w:t>
      </w:r>
      <w:r w:rsidRPr="00C81924">
        <w:rPr>
          <w:rFonts w:cs="Times New Roman"/>
          <w:i/>
          <w:iCs/>
          <w:szCs w:val="24"/>
        </w:rPr>
        <w:t>Escherichia coli</w:t>
      </w:r>
      <w:r w:rsidRPr="00C81924">
        <w:rPr>
          <w:rFonts w:cs="Times New Roman"/>
          <w:szCs w:val="24"/>
        </w:rPr>
        <w:t xml:space="preserve"> and Klebsiella pneumoniae isolated in selected hospitals of </w:t>
      </w:r>
      <w:proofErr w:type="spellStart"/>
      <w:r w:rsidRPr="00C81924">
        <w:rPr>
          <w:rFonts w:cs="Times New Roman"/>
          <w:szCs w:val="24"/>
        </w:rPr>
        <w:t>Anyigba</w:t>
      </w:r>
      <w:proofErr w:type="spellEnd"/>
      <w:r w:rsidRPr="00C81924">
        <w:rPr>
          <w:rFonts w:cs="Times New Roman"/>
          <w:szCs w:val="24"/>
        </w:rPr>
        <w:t>, Nigeria. </w:t>
      </w:r>
      <w:r w:rsidRPr="00C81924">
        <w:rPr>
          <w:rFonts w:cs="Times New Roman"/>
          <w:i/>
          <w:iCs/>
          <w:szCs w:val="24"/>
        </w:rPr>
        <w:t>African Health Sciences</w:t>
      </w:r>
      <w:r w:rsidRPr="00C81924">
        <w:rPr>
          <w:rFonts w:cs="Times New Roman"/>
          <w:szCs w:val="24"/>
        </w:rPr>
        <w:t>, </w:t>
      </w:r>
      <w:r w:rsidRPr="00C81924">
        <w:rPr>
          <w:rFonts w:cs="Times New Roman"/>
          <w:i/>
          <w:iCs/>
          <w:szCs w:val="24"/>
        </w:rPr>
        <w:t>21</w:t>
      </w:r>
      <w:r w:rsidRPr="00C81924">
        <w:rPr>
          <w:rFonts w:cs="Times New Roman"/>
          <w:szCs w:val="24"/>
        </w:rPr>
        <w:t>(2), 505-512.</w:t>
      </w:r>
    </w:p>
    <w:p w14:paraId="14390413"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4" w:name="_Hlk137387029"/>
      <w:r w:rsidRPr="00C81924">
        <w:rPr>
          <w:rFonts w:cs="Times New Roman"/>
          <w:szCs w:val="24"/>
        </w:rPr>
        <w:t>Mora-</w:t>
      </w:r>
      <w:proofErr w:type="spellStart"/>
      <w:r w:rsidRPr="00C81924">
        <w:rPr>
          <w:rFonts w:cs="Times New Roman"/>
          <w:szCs w:val="24"/>
        </w:rPr>
        <w:t>Ochomogo</w:t>
      </w:r>
      <w:bookmarkEnd w:id="74"/>
      <w:proofErr w:type="spellEnd"/>
      <w:r w:rsidRPr="00C81924">
        <w:rPr>
          <w:rFonts w:cs="Times New Roman"/>
          <w:szCs w:val="24"/>
        </w:rPr>
        <w:t xml:space="preserve">, M., &amp; </w:t>
      </w:r>
      <w:proofErr w:type="spellStart"/>
      <w:r w:rsidRPr="00C81924">
        <w:rPr>
          <w:rFonts w:cs="Times New Roman"/>
          <w:szCs w:val="24"/>
        </w:rPr>
        <w:t>Lohans</w:t>
      </w:r>
      <w:proofErr w:type="spellEnd"/>
      <w:r w:rsidRPr="00C81924">
        <w:rPr>
          <w:rFonts w:cs="Times New Roman"/>
          <w:szCs w:val="24"/>
        </w:rPr>
        <w:t>, C. T. (2021). β-Lactam antibiotic targets and resistance mechanisms: from covalent inhibitors to substrates. </w:t>
      </w:r>
      <w:r w:rsidRPr="00C81924">
        <w:rPr>
          <w:rFonts w:cs="Times New Roman"/>
          <w:i/>
          <w:iCs/>
          <w:szCs w:val="24"/>
        </w:rPr>
        <w:t>RSC Medicinal Chemistry</w:t>
      </w:r>
      <w:r w:rsidRPr="00C81924">
        <w:rPr>
          <w:rFonts w:cs="Times New Roman"/>
          <w:szCs w:val="24"/>
        </w:rPr>
        <w:t>, </w:t>
      </w:r>
      <w:r w:rsidRPr="00C81924">
        <w:rPr>
          <w:rFonts w:cs="Times New Roman"/>
          <w:i/>
          <w:iCs/>
          <w:szCs w:val="24"/>
        </w:rPr>
        <w:t>12</w:t>
      </w:r>
      <w:r w:rsidRPr="00C81924">
        <w:rPr>
          <w:rFonts w:cs="Times New Roman"/>
          <w:szCs w:val="24"/>
        </w:rPr>
        <w:t>(10), 1623-1639.</w:t>
      </w:r>
    </w:p>
    <w:p w14:paraId="2AC7545F"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5" w:name="_Hlk137383819"/>
      <w:proofErr w:type="spellStart"/>
      <w:r w:rsidRPr="00C81924">
        <w:rPr>
          <w:rFonts w:cs="Times New Roman"/>
          <w:szCs w:val="24"/>
        </w:rPr>
        <w:t>Navidinia</w:t>
      </w:r>
      <w:bookmarkEnd w:id="75"/>
      <w:proofErr w:type="spellEnd"/>
      <w:r w:rsidRPr="00C81924">
        <w:rPr>
          <w:rFonts w:cs="Times New Roman"/>
          <w:szCs w:val="24"/>
        </w:rPr>
        <w:t xml:space="preserve">, M., </w:t>
      </w:r>
      <w:proofErr w:type="spellStart"/>
      <w:r w:rsidRPr="00C81924">
        <w:rPr>
          <w:rFonts w:cs="Times New Roman"/>
          <w:szCs w:val="24"/>
        </w:rPr>
        <w:t>Goudarzi</w:t>
      </w:r>
      <w:proofErr w:type="spellEnd"/>
      <w:r w:rsidRPr="00C81924">
        <w:rPr>
          <w:rFonts w:cs="Times New Roman"/>
          <w:szCs w:val="24"/>
        </w:rPr>
        <w:t xml:space="preserve">, M., </w:t>
      </w:r>
      <w:proofErr w:type="spellStart"/>
      <w:r w:rsidRPr="00C81924">
        <w:rPr>
          <w:rFonts w:cs="Times New Roman"/>
          <w:szCs w:val="24"/>
        </w:rPr>
        <w:t>Rameshe</w:t>
      </w:r>
      <w:proofErr w:type="spellEnd"/>
      <w:r w:rsidRPr="00C81924">
        <w:rPr>
          <w:rFonts w:cs="Times New Roman"/>
          <w:szCs w:val="24"/>
        </w:rPr>
        <w:t xml:space="preserve">, S.M., </w:t>
      </w:r>
      <w:proofErr w:type="spellStart"/>
      <w:r w:rsidRPr="00C81924">
        <w:rPr>
          <w:rFonts w:cs="Times New Roman"/>
          <w:szCs w:val="24"/>
        </w:rPr>
        <w:t>Farajollahi</w:t>
      </w:r>
      <w:proofErr w:type="spellEnd"/>
      <w:r w:rsidRPr="00C81924">
        <w:rPr>
          <w:rFonts w:cs="Times New Roman"/>
          <w:szCs w:val="24"/>
        </w:rPr>
        <w:t xml:space="preserve">, Z., </w:t>
      </w:r>
      <w:proofErr w:type="spellStart"/>
      <w:r w:rsidRPr="00C81924">
        <w:rPr>
          <w:rFonts w:cs="Times New Roman"/>
          <w:szCs w:val="24"/>
        </w:rPr>
        <w:t>Asl</w:t>
      </w:r>
      <w:proofErr w:type="spellEnd"/>
      <w:r w:rsidRPr="00C81924">
        <w:rPr>
          <w:rFonts w:cs="Times New Roman"/>
          <w:szCs w:val="24"/>
        </w:rPr>
        <w:t xml:space="preserve">, P.E., </w:t>
      </w:r>
      <w:proofErr w:type="spellStart"/>
      <w:r w:rsidRPr="00C81924">
        <w:rPr>
          <w:rFonts w:cs="Times New Roman"/>
          <w:szCs w:val="24"/>
        </w:rPr>
        <w:t>Khosravi</w:t>
      </w:r>
      <w:proofErr w:type="spellEnd"/>
      <w:r w:rsidRPr="00C81924">
        <w:rPr>
          <w:rFonts w:cs="Times New Roman"/>
          <w:szCs w:val="24"/>
        </w:rPr>
        <w:t xml:space="preserve">, S.Z., &amp; </w:t>
      </w:r>
      <w:proofErr w:type="spellStart"/>
      <w:r w:rsidRPr="00C81924">
        <w:rPr>
          <w:rFonts w:cs="Times New Roman"/>
          <w:szCs w:val="24"/>
        </w:rPr>
        <w:t>Mounesi</w:t>
      </w:r>
      <w:proofErr w:type="spellEnd"/>
      <w:r w:rsidRPr="00C81924">
        <w:rPr>
          <w:rFonts w:cs="Times New Roman"/>
          <w:szCs w:val="24"/>
        </w:rPr>
        <w:t>, M.R. (2017). Molecular Characterization of Resistance Genes in MDR-ESKAPE Pathogens. </w:t>
      </w:r>
      <w:r w:rsidRPr="00C81924">
        <w:rPr>
          <w:rFonts w:cs="Times New Roman"/>
          <w:i/>
          <w:iCs/>
          <w:szCs w:val="24"/>
        </w:rPr>
        <w:t>Journal of Pure and Applied Microbiology, 11</w:t>
      </w:r>
      <w:r w:rsidRPr="00C81924">
        <w:rPr>
          <w:rFonts w:cs="Times New Roman"/>
          <w:szCs w:val="24"/>
        </w:rPr>
        <w:t>, 779-792.</w:t>
      </w:r>
    </w:p>
    <w:p w14:paraId="700FC92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6" w:name="_Hlk137384419"/>
      <w:proofErr w:type="spellStart"/>
      <w:r w:rsidRPr="00C81924">
        <w:rPr>
          <w:rFonts w:cs="Times New Roman"/>
          <w:szCs w:val="24"/>
        </w:rPr>
        <w:t>Nfongeh</w:t>
      </w:r>
      <w:bookmarkEnd w:id="76"/>
      <w:proofErr w:type="spellEnd"/>
      <w:r w:rsidRPr="00C81924">
        <w:rPr>
          <w:rFonts w:cs="Times New Roman"/>
          <w:szCs w:val="24"/>
        </w:rPr>
        <w:t xml:space="preserve">, J. F., Okonkwo, L. N., </w:t>
      </w:r>
      <w:proofErr w:type="spellStart"/>
      <w:r w:rsidRPr="00C81924">
        <w:rPr>
          <w:rFonts w:cs="Times New Roman"/>
          <w:szCs w:val="24"/>
        </w:rPr>
        <w:t>Odonye</w:t>
      </w:r>
      <w:proofErr w:type="spellEnd"/>
      <w:r w:rsidRPr="00C81924">
        <w:rPr>
          <w:rFonts w:cs="Times New Roman"/>
          <w:szCs w:val="24"/>
        </w:rPr>
        <w:t xml:space="preserve">, D. D., </w:t>
      </w:r>
      <w:proofErr w:type="spellStart"/>
      <w:r w:rsidRPr="00C81924">
        <w:rPr>
          <w:rFonts w:cs="Times New Roman"/>
          <w:szCs w:val="24"/>
        </w:rPr>
        <w:t>Lamini</w:t>
      </w:r>
      <w:proofErr w:type="spellEnd"/>
      <w:r w:rsidRPr="00C81924">
        <w:rPr>
          <w:rFonts w:cs="Times New Roman"/>
          <w:szCs w:val="24"/>
        </w:rPr>
        <w:t xml:space="preserve">, J. N., Salami, O. M., </w:t>
      </w:r>
      <w:proofErr w:type="spellStart"/>
      <w:r w:rsidRPr="00C81924">
        <w:rPr>
          <w:rFonts w:cs="Times New Roman"/>
          <w:szCs w:val="24"/>
        </w:rPr>
        <w:t>Etim</w:t>
      </w:r>
      <w:proofErr w:type="spellEnd"/>
      <w:r w:rsidRPr="00C81924">
        <w:rPr>
          <w:rFonts w:cs="Times New Roman"/>
          <w:szCs w:val="24"/>
        </w:rPr>
        <w:t xml:space="preserve">, L. B., ... &amp; Ifeanyi, A. O. (2023). Phenotypic characterization and plasmid DNA profiling of multidrug resistant </w:t>
      </w:r>
      <w:r w:rsidRPr="00C81924">
        <w:rPr>
          <w:rFonts w:cs="Times New Roman"/>
          <w:i/>
          <w:iCs/>
          <w:szCs w:val="24"/>
        </w:rPr>
        <w:t>Escherichia coli</w:t>
      </w:r>
      <w:r w:rsidRPr="00C81924">
        <w:rPr>
          <w:rFonts w:cs="Times New Roman"/>
          <w:szCs w:val="24"/>
        </w:rPr>
        <w:t xml:space="preserve"> and Staphylococcus aureus in wastewater effluents from healthcare environments in Lafia, Nigeria. </w:t>
      </w:r>
      <w:r w:rsidRPr="00C81924">
        <w:rPr>
          <w:rFonts w:cs="Times New Roman"/>
          <w:i/>
          <w:iCs/>
          <w:szCs w:val="24"/>
        </w:rPr>
        <w:t>Journal of Advances in Environmental Health Research</w:t>
      </w:r>
      <w:r w:rsidRPr="00C81924">
        <w:rPr>
          <w:rFonts w:cs="Times New Roman"/>
          <w:szCs w:val="24"/>
        </w:rPr>
        <w:t>.</w:t>
      </w:r>
    </w:p>
    <w:p w14:paraId="28A4FD84"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Ning, C., Huang, G., Shen, D., Bonsu, A. A. F., Ji, L., Lin, C., ... &amp; Li, J. (2019). Adverse clinical outcomes associated with multidrug-resistant organisms in patients with infected pancreatic necrosis. </w:t>
      </w:r>
      <w:proofErr w:type="spellStart"/>
      <w:r w:rsidRPr="00C81924">
        <w:rPr>
          <w:rFonts w:cs="Times New Roman"/>
          <w:i/>
          <w:iCs/>
          <w:szCs w:val="24"/>
        </w:rPr>
        <w:t>Pancreatology</w:t>
      </w:r>
      <w:proofErr w:type="spellEnd"/>
      <w:r w:rsidRPr="00C81924">
        <w:rPr>
          <w:rFonts w:cs="Times New Roman"/>
          <w:szCs w:val="24"/>
        </w:rPr>
        <w:t>, </w:t>
      </w:r>
      <w:r w:rsidRPr="00C81924">
        <w:rPr>
          <w:rFonts w:cs="Times New Roman"/>
          <w:i/>
          <w:iCs/>
          <w:szCs w:val="24"/>
        </w:rPr>
        <w:t>19</w:t>
      </w:r>
      <w:r w:rsidRPr="00C81924">
        <w:rPr>
          <w:rFonts w:cs="Times New Roman"/>
          <w:szCs w:val="24"/>
        </w:rPr>
        <w:t>(7), 935-940.</w:t>
      </w:r>
    </w:p>
    <w:p w14:paraId="5C9E7FB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77" w:name="_Hlk163584523"/>
      <w:r w:rsidRPr="00C81924">
        <w:rPr>
          <w:rFonts w:cs="Times New Roman"/>
          <w:szCs w:val="24"/>
        </w:rPr>
        <w:t>Niranjan, V., &amp; Malini, A. (2014)</w:t>
      </w:r>
      <w:bookmarkEnd w:id="77"/>
      <w:r w:rsidRPr="00C81924">
        <w:rPr>
          <w:rFonts w:cs="Times New Roman"/>
          <w:szCs w:val="24"/>
        </w:rPr>
        <w:t xml:space="preserve">. Antimicrobial resistance pattern in </w:t>
      </w:r>
      <w:r w:rsidRPr="00C81924">
        <w:rPr>
          <w:rFonts w:cs="Times New Roman"/>
          <w:i/>
          <w:iCs/>
          <w:szCs w:val="24"/>
        </w:rPr>
        <w:t>Escherichia coli</w:t>
      </w:r>
      <w:r w:rsidRPr="00C81924">
        <w:rPr>
          <w:rFonts w:cs="Times New Roman"/>
          <w:szCs w:val="24"/>
        </w:rPr>
        <w:t xml:space="preserve"> causing urinary tract infection among inpatients. </w:t>
      </w:r>
      <w:r w:rsidRPr="00C81924">
        <w:rPr>
          <w:rFonts w:cs="Times New Roman"/>
          <w:i/>
          <w:iCs/>
          <w:szCs w:val="24"/>
        </w:rPr>
        <w:t>Indian Journal of Medical Research</w:t>
      </w:r>
      <w:r w:rsidRPr="00C81924">
        <w:rPr>
          <w:rFonts w:cs="Times New Roman"/>
          <w:szCs w:val="24"/>
        </w:rPr>
        <w:t>, </w:t>
      </w:r>
      <w:r w:rsidRPr="00C81924">
        <w:rPr>
          <w:rFonts w:cs="Times New Roman"/>
          <w:i/>
          <w:iCs/>
          <w:szCs w:val="24"/>
        </w:rPr>
        <w:t>139</w:t>
      </w:r>
      <w:r w:rsidRPr="00C81924">
        <w:rPr>
          <w:rFonts w:cs="Times New Roman"/>
          <w:szCs w:val="24"/>
        </w:rPr>
        <w:t>(6), 945-948.</w:t>
      </w:r>
    </w:p>
    <w:p w14:paraId="4795F28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78" w:name="_Hlk163578103"/>
      <w:proofErr w:type="spellStart"/>
      <w:r w:rsidRPr="00C81924">
        <w:rPr>
          <w:rFonts w:cs="Times New Roman"/>
          <w:szCs w:val="24"/>
        </w:rPr>
        <w:t>Nørgaard</w:t>
      </w:r>
      <w:bookmarkEnd w:id="78"/>
      <w:proofErr w:type="spellEnd"/>
      <w:r w:rsidRPr="00C81924">
        <w:rPr>
          <w:rFonts w:cs="Times New Roman"/>
          <w:szCs w:val="24"/>
        </w:rPr>
        <w:t xml:space="preserve">, S. M., Jensen, C. S., </w:t>
      </w:r>
      <w:proofErr w:type="spellStart"/>
      <w:r w:rsidRPr="00C81924">
        <w:rPr>
          <w:rFonts w:cs="Times New Roman"/>
          <w:szCs w:val="24"/>
        </w:rPr>
        <w:t>Aalestrup</w:t>
      </w:r>
      <w:proofErr w:type="spellEnd"/>
      <w:r w:rsidRPr="00C81924">
        <w:rPr>
          <w:rFonts w:cs="Times New Roman"/>
          <w:szCs w:val="24"/>
        </w:rPr>
        <w:t xml:space="preserve">, J., </w:t>
      </w:r>
      <w:proofErr w:type="spellStart"/>
      <w:r w:rsidRPr="00C81924">
        <w:rPr>
          <w:rFonts w:cs="Times New Roman"/>
          <w:szCs w:val="24"/>
        </w:rPr>
        <w:t>Vandenbroucke-Grauls</w:t>
      </w:r>
      <w:proofErr w:type="spellEnd"/>
      <w:r w:rsidRPr="00C81924">
        <w:rPr>
          <w:rFonts w:cs="Times New Roman"/>
          <w:szCs w:val="24"/>
        </w:rPr>
        <w:t>, C. M., De Boer, M. G., &amp; Pedersen, A. B. (2019). Choice of therapeutic interventions and outcomes for the treatment of infections caused by multidrug-resistant gram-negative pathogens: a systematic review. </w:t>
      </w:r>
      <w:r w:rsidRPr="00C81924">
        <w:rPr>
          <w:rFonts w:cs="Times New Roman"/>
          <w:i/>
          <w:iCs/>
          <w:szCs w:val="24"/>
        </w:rPr>
        <w:t>Antimicrobial Resistance &amp; Infection Control</w:t>
      </w:r>
      <w:r w:rsidRPr="00C81924">
        <w:rPr>
          <w:rFonts w:cs="Times New Roman"/>
          <w:szCs w:val="24"/>
        </w:rPr>
        <w:t>, </w:t>
      </w:r>
      <w:r w:rsidRPr="00C81924">
        <w:rPr>
          <w:rFonts w:cs="Times New Roman"/>
          <w:i/>
          <w:iCs/>
          <w:szCs w:val="24"/>
        </w:rPr>
        <w:t>8</w:t>
      </w:r>
      <w:r w:rsidRPr="00C81924">
        <w:rPr>
          <w:rFonts w:cs="Times New Roman"/>
          <w:szCs w:val="24"/>
        </w:rPr>
        <w:t>, 1-13.</w:t>
      </w:r>
    </w:p>
    <w:p w14:paraId="797EC8D0"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9" w:name="_Hlk137384398"/>
      <w:proofErr w:type="spellStart"/>
      <w:r w:rsidRPr="00C81924">
        <w:rPr>
          <w:rFonts w:cs="Times New Roman"/>
          <w:szCs w:val="24"/>
        </w:rPr>
        <w:t>Odoyo</w:t>
      </w:r>
      <w:bookmarkEnd w:id="79"/>
      <w:proofErr w:type="spellEnd"/>
      <w:r w:rsidRPr="00C81924">
        <w:rPr>
          <w:rFonts w:cs="Times New Roman"/>
          <w:szCs w:val="24"/>
        </w:rPr>
        <w:t xml:space="preserve">, E., </w:t>
      </w:r>
      <w:proofErr w:type="spellStart"/>
      <w:r w:rsidRPr="00C81924">
        <w:rPr>
          <w:rFonts w:cs="Times New Roman"/>
          <w:szCs w:val="24"/>
        </w:rPr>
        <w:t>Matano</w:t>
      </w:r>
      <w:proofErr w:type="spellEnd"/>
      <w:r w:rsidRPr="00C81924">
        <w:rPr>
          <w:rFonts w:cs="Times New Roman"/>
          <w:szCs w:val="24"/>
        </w:rPr>
        <w:t xml:space="preserve">, D., </w:t>
      </w:r>
      <w:proofErr w:type="spellStart"/>
      <w:r w:rsidRPr="00C81924">
        <w:rPr>
          <w:rFonts w:cs="Times New Roman"/>
          <w:szCs w:val="24"/>
        </w:rPr>
        <w:t>Tiria</w:t>
      </w:r>
      <w:proofErr w:type="spellEnd"/>
      <w:r w:rsidRPr="00C81924">
        <w:rPr>
          <w:rFonts w:cs="Times New Roman"/>
          <w:szCs w:val="24"/>
        </w:rPr>
        <w:t xml:space="preserve">, F., Georges, M., </w:t>
      </w:r>
      <w:proofErr w:type="spellStart"/>
      <w:r w:rsidRPr="00C81924">
        <w:rPr>
          <w:rFonts w:cs="Times New Roman"/>
          <w:szCs w:val="24"/>
        </w:rPr>
        <w:t>Kyanya</w:t>
      </w:r>
      <w:proofErr w:type="spellEnd"/>
      <w:r w:rsidRPr="00C81924">
        <w:rPr>
          <w:rFonts w:cs="Times New Roman"/>
          <w:szCs w:val="24"/>
        </w:rPr>
        <w:t xml:space="preserve">, C., </w:t>
      </w:r>
      <w:proofErr w:type="spellStart"/>
      <w:r w:rsidRPr="00C81924">
        <w:rPr>
          <w:rFonts w:cs="Times New Roman"/>
          <w:szCs w:val="24"/>
        </w:rPr>
        <w:t>Wahome</w:t>
      </w:r>
      <w:proofErr w:type="spellEnd"/>
      <w:r w:rsidRPr="00C81924">
        <w:rPr>
          <w:rFonts w:cs="Times New Roman"/>
          <w:szCs w:val="24"/>
        </w:rPr>
        <w:t xml:space="preserve">, S., ... &amp; </w:t>
      </w:r>
      <w:proofErr w:type="spellStart"/>
      <w:r w:rsidRPr="00C81924">
        <w:rPr>
          <w:rFonts w:cs="Times New Roman"/>
          <w:szCs w:val="24"/>
        </w:rPr>
        <w:t>Musila</w:t>
      </w:r>
      <w:proofErr w:type="spellEnd"/>
      <w:r w:rsidRPr="00C81924">
        <w:rPr>
          <w:rFonts w:cs="Times New Roman"/>
          <w:szCs w:val="24"/>
        </w:rPr>
        <w:t>, L. (2023). Environmental contamination across multiple hospital departments with multidrug-resistant bacteria pose an elevated risk of healthcare-associated infections in Kenyan hospitals. </w:t>
      </w:r>
      <w:r w:rsidRPr="00C81924">
        <w:rPr>
          <w:rFonts w:cs="Times New Roman"/>
          <w:i/>
          <w:iCs/>
          <w:szCs w:val="24"/>
        </w:rPr>
        <w:t>Antimicrobial Resistance &amp; Infection Control</w:t>
      </w:r>
      <w:r w:rsidRPr="00C81924">
        <w:rPr>
          <w:rFonts w:cs="Times New Roman"/>
          <w:szCs w:val="24"/>
        </w:rPr>
        <w:t>, </w:t>
      </w:r>
      <w:r w:rsidRPr="00C81924">
        <w:rPr>
          <w:rFonts w:cs="Times New Roman"/>
          <w:i/>
          <w:iCs/>
          <w:szCs w:val="24"/>
        </w:rPr>
        <w:t>12</w:t>
      </w:r>
      <w:r w:rsidRPr="00C81924">
        <w:rPr>
          <w:rFonts w:cs="Times New Roman"/>
          <w:szCs w:val="24"/>
        </w:rPr>
        <w:t>(1), 1-9.</w:t>
      </w:r>
    </w:p>
    <w:p w14:paraId="3F8B864A"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80" w:name="_Hlk137384434"/>
      <w:proofErr w:type="spellStart"/>
      <w:r w:rsidRPr="00C81924">
        <w:rPr>
          <w:rFonts w:cs="Times New Roman"/>
          <w:szCs w:val="24"/>
        </w:rPr>
        <w:t>Olowo-Okere</w:t>
      </w:r>
      <w:bookmarkEnd w:id="80"/>
      <w:proofErr w:type="spellEnd"/>
      <w:r w:rsidRPr="00C81924">
        <w:rPr>
          <w:rFonts w:cs="Times New Roman"/>
          <w:szCs w:val="24"/>
        </w:rPr>
        <w:t xml:space="preserve">, A., Ibrahim, Y. K. E., </w:t>
      </w:r>
      <w:proofErr w:type="spellStart"/>
      <w:r w:rsidRPr="00C81924">
        <w:rPr>
          <w:rFonts w:cs="Times New Roman"/>
          <w:szCs w:val="24"/>
        </w:rPr>
        <w:t>Nabti</w:t>
      </w:r>
      <w:proofErr w:type="spellEnd"/>
      <w:r w:rsidRPr="00C81924">
        <w:rPr>
          <w:rFonts w:cs="Times New Roman"/>
          <w:szCs w:val="24"/>
        </w:rPr>
        <w:t>, L. Z., &amp; Olayinka, B. O. (2020). High prevalence of multidrug-resistant Gram-negative bacterial infections in Northwest Nigeria. </w:t>
      </w:r>
      <w:r w:rsidRPr="00C81924">
        <w:rPr>
          <w:rFonts w:cs="Times New Roman"/>
          <w:i/>
          <w:iCs/>
          <w:szCs w:val="24"/>
        </w:rPr>
        <w:t>Germs</w:t>
      </w:r>
      <w:r w:rsidRPr="00C81924">
        <w:rPr>
          <w:rFonts w:cs="Times New Roman"/>
          <w:szCs w:val="24"/>
        </w:rPr>
        <w:t>, </w:t>
      </w:r>
      <w:r w:rsidRPr="00C81924">
        <w:rPr>
          <w:rFonts w:cs="Times New Roman"/>
          <w:i/>
          <w:iCs/>
          <w:szCs w:val="24"/>
        </w:rPr>
        <w:t>10</w:t>
      </w:r>
      <w:r w:rsidRPr="00C81924">
        <w:rPr>
          <w:rFonts w:cs="Times New Roman"/>
          <w:szCs w:val="24"/>
        </w:rPr>
        <w:t>(4), 310.</w:t>
      </w:r>
    </w:p>
    <w:p w14:paraId="66AB949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proofErr w:type="spellStart"/>
      <w:r w:rsidRPr="00C81924">
        <w:rPr>
          <w:rFonts w:cs="Times New Roman"/>
          <w:szCs w:val="24"/>
        </w:rPr>
        <w:t>Onanuga</w:t>
      </w:r>
      <w:proofErr w:type="spellEnd"/>
      <w:r w:rsidRPr="00C81924">
        <w:rPr>
          <w:rFonts w:cs="Times New Roman"/>
          <w:szCs w:val="24"/>
        </w:rPr>
        <w:t xml:space="preserve">, A., </w:t>
      </w:r>
      <w:proofErr w:type="spellStart"/>
      <w:r w:rsidRPr="00C81924">
        <w:rPr>
          <w:rFonts w:cs="Times New Roman"/>
          <w:szCs w:val="24"/>
        </w:rPr>
        <w:t>Mahindroo</w:t>
      </w:r>
      <w:proofErr w:type="spellEnd"/>
      <w:r w:rsidRPr="00C81924">
        <w:rPr>
          <w:rFonts w:cs="Times New Roman"/>
          <w:szCs w:val="24"/>
        </w:rPr>
        <w:t>, J., Singh, S., &amp; Taneja, N. (2019). Phenotypic and molecular characterization of antimicrobial resistant </w:t>
      </w:r>
      <w:r w:rsidRPr="00C81924">
        <w:rPr>
          <w:rFonts w:cs="Times New Roman"/>
          <w:i/>
          <w:iCs/>
          <w:szCs w:val="24"/>
        </w:rPr>
        <w:t>Escherichia coli</w:t>
      </w:r>
      <w:r w:rsidRPr="00C81924">
        <w:rPr>
          <w:rFonts w:cs="Times New Roman"/>
          <w:szCs w:val="24"/>
        </w:rPr>
        <w:t> from urinary tract infections in Port-Harcourt, Nigeria. </w:t>
      </w:r>
      <w:r w:rsidRPr="00C81924">
        <w:rPr>
          <w:rFonts w:cs="Times New Roman"/>
          <w:i/>
          <w:iCs/>
          <w:szCs w:val="24"/>
        </w:rPr>
        <w:t>The Pan African Medical Journal</w:t>
      </w:r>
      <w:r w:rsidRPr="00C81924">
        <w:rPr>
          <w:rFonts w:cs="Times New Roman"/>
          <w:szCs w:val="24"/>
        </w:rPr>
        <w:t>, </w:t>
      </w:r>
      <w:r w:rsidRPr="00C81924">
        <w:rPr>
          <w:rFonts w:cs="Times New Roman"/>
          <w:i/>
          <w:iCs/>
          <w:szCs w:val="24"/>
        </w:rPr>
        <w:t>34</w:t>
      </w:r>
      <w:r w:rsidRPr="00C81924">
        <w:rPr>
          <w:rFonts w:cs="Times New Roman"/>
          <w:szCs w:val="24"/>
        </w:rPr>
        <w:t>, 144.</w:t>
      </w:r>
    </w:p>
    <w:p w14:paraId="2CC491D7"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81" w:name="_Hlk137492561"/>
      <w:proofErr w:type="spellStart"/>
      <w:r w:rsidRPr="00C81924">
        <w:rPr>
          <w:rFonts w:cs="Times New Roman"/>
          <w:szCs w:val="24"/>
        </w:rPr>
        <w:lastRenderedPageBreak/>
        <w:t>Oroboghae</w:t>
      </w:r>
      <w:bookmarkEnd w:id="81"/>
      <w:proofErr w:type="spellEnd"/>
      <w:r w:rsidRPr="00C81924">
        <w:rPr>
          <w:rFonts w:cs="Times New Roman"/>
          <w:szCs w:val="24"/>
        </w:rPr>
        <w:t xml:space="preserve">, O. </w:t>
      </w:r>
      <w:proofErr w:type="gramStart"/>
      <w:r w:rsidRPr="00C81924">
        <w:rPr>
          <w:rFonts w:cs="Times New Roman"/>
          <w:szCs w:val="24"/>
        </w:rPr>
        <w:t>H. .</w:t>
      </w:r>
      <w:proofErr w:type="gramEnd"/>
      <w:r w:rsidRPr="00C81924">
        <w:rPr>
          <w:rFonts w:cs="Times New Roman"/>
          <w:szCs w:val="24"/>
        </w:rPr>
        <w:t xml:space="preserve">, Ephraim, I. E. ., &amp; </w:t>
      </w:r>
      <w:proofErr w:type="spellStart"/>
      <w:r w:rsidRPr="00C81924">
        <w:rPr>
          <w:rFonts w:cs="Times New Roman"/>
          <w:szCs w:val="24"/>
        </w:rPr>
        <w:t>Ogie</w:t>
      </w:r>
      <w:proofErr w:type="spellEnd"/>
      <w:r w:rsidRPr="00C81924">
        <w:rPr>
          <w:rFonts w:cs="Times New Roman"/>
          <w:szCs w:val="24"/>
        </w:rPr>
        <w:t>, E. T. (2018). Prevalence and risk factors of extended spectrum beta-lactamase producing bacteria among patients with lower respiratory tract infections in Benin City, Nigeria. </w:t>
      </w:r>
      <w:r w:rsidRPr="00C81924">
        <w:rPr>
          <w:rFonts w:cs="Times New Roman"/>
          <w:i/>
          <w:iCs/>
          <w:szCs w:val="24"/>
        </w:rPr>
        <w:t>Nigerian Journal of Pharmaceutical and Applied Science Research</w:t>
      </w:r>
      <w:r w:rsidRPr="00C81924">
        <w:rPr>
          <w:rFonts w:cs="Times New Roman"/>
          <w:szCs w:val="24"/>
        </w:rPr>
        <w:t>, </w:t>
      </w:r>
      <w:r w:rsidRPr="00C81924">
        <w:rPr>
          <w:rFonts w:cs="Times New Roman"/>
          <w:i/>
          <w:iCs/>
          <w:szCs w:val="24"/>
        </w:rPr>
        <w:t>7</w:t>
      </w:r>
      <w:r w:rsidRPr="00C81924">
        <w:rPr>
          <w:rFonts w:cs="Times New Roman"/>
          <w:szCs w:val="24"/>
        </w:rPr>
        <w:t>(3), 1–6.</w:t>
      </w:r>
    </w:p>
    <w:p w14:paraId="0C1BBFEC"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2" w:name="_Hlk163580089"/>
      <w:r w:rsidRPr="00C81924">
        <w:rPr>
          <w:rFonts w:cs="Times New Roman"/>
          <w:szCs w:val="24"/>
        </w:rPr>
        <w:t>Padmini</w:t>
      </w:r>
      <w:bookmarkEnd w:id="82"/>
      <w:r w:rsidRPr="00C81924">
        <w:rPr>
          <w:rFonts w:cs="Times New Roman"/>
          <w:szCs w:val="24"/>
        </w:rPr>
        <w:t xml:space="preserve">, N., </w:t>
      </w:r>
      <w:proofErr w:type="spellStart"/>
      <w:r w:rsidRPr="00C81924">
        <w:rPr>
          <w:rFonts w:cs="Times New Roman"/>
          <w:szCs w:val="24"/>
        </w:rPr>
        <w:t>Ajilda</w:t>
      </w:r>
      <w:proofErr w:type="spellEnd"/>
      <w:r w:rsidRPr="00C81924">
        <w:rPr>
          <w:rFonts w:cs="Times New Roman"/>
          <w:szCs w:val="24"/>
        </w:rPr>
        <w:t xml:space="preserve">, A. A. K., Sivakumar, N., &amp; </w:t>
      </w:r>
      <w:proofErr w:type="spellStart"/>
      <w:r w:rsidRPr="00C81924">
        <w:rPr>
          <w:rFonts w:cs="Times New Roman"/>
          <w:szCs w:val="24"/>
        </w:rPr>
        <w:t>Selvakumar</w:t>
      </w:r>
      <w:proofErr w:type="spellEnd"/>
      <w:r w:rsidRPr="00C81924">
        <w:rPr>
          <w:rFonts w:cs="Times New Roman"/>
          <w:szCs w:val="24"/>
        </w:rPr>
        <w:t xml:space="preserve">, G. (2017). Extended spectrum β‐lactamase producing </w:t>
      </w:r>
      <w:r w:rsidRPr="00C81924">
        <w:rPr>
          <w:rFonts w:cs="Times New Roman"/>
          <w:i/>
          <w:iCs/>
          <w:szCs w:val="24"/>
        </w:rPr>
        <w:t>Escherichia coli</w:t>
      </w:r>
      <w:r w:rsidRPr="00C81924">
        <w:rPr>
          <w:rFonts w:cs="Times New Roman"/>
          <w:szCs w:val="24"/>
        </w:rPr>
        <w:t xml:space="preserve"> and Klebsiella pneumoniae: critical tools for antibiotic resistance pattern. </w:t>
      </w:r>
      <w:r w:rsidRPr="00C81924">
        <w:rPr>
          <w:rFonts w:cs="Times New Roman"/>
          <w:i/>
          <w:iCs/>
          <w:szCs w:val="24"/>
        </w:rPr>
        <w:t>Journal of Basic Microbiology</w:t>
      </w:r>
      <w:r w:rsidRPr="00C81924">
        <w:rPr>
          <w:rFonts w:cs="Times New Roman"/>
          <w:szCs w:val="24"/>
        </w:rPr>
        <w:t>, </w:t>
      </w:r>
      <w:r w:rsidRPr="00C81924">
        <w:rPr>
          <w:rFonts w:cs="Times New Roman"/>
          <w:i/>
          <w:iCs/>
          <w:szCs w:val="24"/>
        </w:rPr>
        <w:t>57</w:t>
      </w:r>
      <w:r w:rsidRPr="00C81924">
        <w:rPr>
          <w:rFonts w:cs="Times New Roman"/>
          <w:szCs w:val="24"/>
        </w:rPr>
        <w:t>(6), 460-470.</w:t>
      </w:r>
    </w:p>
    <w:p w14:paraId="1F9E79E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83" w:name="_Hlk137387347"/>
      <w:r w:rsidRPr="00C81924">
        <w:rPr>
          <w:rFonts w:cs="Times New Roman"/>
          <w:szCs w:val="24"/>
        </w:rPr>
        <w:t>Pandit</w:t>
      </w:r>
      <w:bookmarkEnd w:id="83"/>
      <w:r w:rsidRPr="00C81924">
        <w:rPr>
          <w:rFonts w:cs="Times New Roman"/>
          <w:szCs w:val="24"/>
        </w:rPr>
        <w:t xml:space="preserve">, R., </w:t>
      </w:r>
      <w:proofErr w:type="spellStart"/>
      <w:r w:rsidRPr="00C81924">
        <w:rPr>
          <w:rFonts w:cs="Times New Roman"/>
          <w:szCs w:val="24"/>
        </w:rPr>
        <w:t>Awal</w:t>
      </w:r>
      <w:proofErr w:type="spellEnd"/>
      <w:r w:rsidRPr="00C81924">
        <w:rPr>
          <w:rFonts w:cs="Times New Roman"/>
          <w:szCs w:val="24"/>
        </w:rPr>
        <w:t xml:space="preserve">, B., Shrestha, S. S., Joshi, G., </w:t>
      </w:r>
      <w:proofErr w:type="spellStart"/>
      <w:r w:rsidRPr="00C81924">
        <w:rPr>
          <w:rFonts w:cs="Times New Roman"/>
          <w:szCs w:val="24"/>
        </w:rPr>
        <w:t>Rijal</w:t>
      </w:r>
      <w:proofErr w:type="spellEnd"/>
      <w:r w:rsidRPr="00C81924">
        <w:rPr>
          <w:rFonts w:cs="Times New Roman"/>
          <w:szCs w:val="24"/>
        </w:rPr>
        <w:t xml:space="preserve">, B. P., &amp; </w:t>
      </w:r>
      <w:proofErr w:type="spellStart"/>
      <w:r w:rsidRPr="00C81924">
        <w:rPr>
          <w:rFonts w:cs="Times New Roman"/>
          <w:szCs w:val="24"/>
        </w:rPr>
        <w:t>Parajuli</w:t>
      </w:r>
      <w:proofErr w:type="spellEnd"/>
      <w:r w:rsidRPr="00C81924">
        <w:rPr>
          <w:rFonts w:cs="Times New Roman"/>
          <w:szCs w:val="24"/>
        </w:rPr>
        <w:t xml:space="preserve">, N. P. (2020). Extended-spectrum β-lactamase (ESBL) genotypes among multidrug-resistant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Escherichia coli</w:t>
      </w:r>
      <w:r w:rsidRPr="00C81924">
        <w:rPr>
          <w:rFonts w:cs="Times New Roman"/>
          <w:szCs w:val="24"/>
        </w:rPr>
        <w:t xml:space="preserve"> clinical isolates from a teaching hospital of Nepal. </w:t>
      </w:r>
      <w:r w:rsidRPr="00C81924">
        <w:rPr>
          <w:rFonts w:cs="Times New Roman"/>
          <w:i/>
          <w:iCs/>
          <w:szCs w:val="24"/>
        </w:rPr>
        <w:t>Interdisciplinary perspectives on infectious diseases</w:t>
      </w:r>
      <w:r w:rsidRPr="00C81924">
        <w:rPr>
          <w:rFonts w:cs="Times New Roman"/>
          <w:szCs w:val="24"/>
        </w:rPr>
        <w:t>, </w:t>
      </w:r>
      <w:r w:rsidRPr="00C81924">
        <w:rPr>
          <w:rFonts w:cs="Times New Roman"/>
          <w:i/>
          <w:iCs/>
          <w:szCs w:val="24"/>
        </w:rPr>
        <w:t>2020</w:t>
      </w:r>
      <w:r w:rsidRPr="00C81924">
        <w:rPr>
          <w:rFonts w:cs="Times New Roman"/>
          <w:szCs w:val="24"/>
        </w:rPr>
        <w:t>, 6525826.</w:t>
      </w:r>
    </w:p>
    <w:p w14:paraId="0A398012"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Phipps, E. C., Flores, K., &amp; Hancock, E. B. (2019). 538. Extended-Spectrum β-Lactamase (ESBL): Producing Enterobacteriaceae Surveillance Pilot, New Mexico, 2017. </w:t>
      </w:r>
      <w:r w:rsidRPr="00C81924">
        <w:rPr>
          <w:rFonts w:cs="Times New Roman"/>
          <w:i/>
          <w:iCs/>
          <w:szCs w:val="24"/>
        </w:rPr>
        <w:t>Open Forum Infectious Diseases</w:t>
      </w:r>
      <w:r w:rsidRPr="00C81924">
        <w:rPr>
          <w:rFonts w:cs="Times New Roman"/>
          <w:szCs w:val="24"/>
        </w:rPr>
        <w:t>, </w:t>
      </w:r>
      <w:r w:rsidRPr="00C81924">
        <w:rPr>
          <w:rFonts w:cs="Times New Roman"/>
          <w:i/>
          <w:iCs/>
          <w:szCs w:val="24"/>
        </w:rPr>
        <w:t>6</w:t>
      </w:r>
      <w:r w:rsidRPr="00C81924">
        <w:rPr>
          <w:rFonts w:cs="Times New Roman"/>
          <w:szCs w:val="24"/>
        </w:rPr>
        <w:t>(2), S257.</w:t>
      </w:r>
    </w:p>
    <w:p w14:paraId="058FD72E"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84" w:name="_Hlk137387097"/>
      <w:proofErr w:type="spellStart"/>
      <w:r w:rsidRPr="00C81924">
        <w:rPr>
          <w:rFonts w:cs="Times New Roman"/>
          <w:szCs w:val="24"/>
        </w:rPr>
        <w:t>Puvača</w:t>
      </w:r>
      <w:proofErr w:type="spellEnd"/>
      <w:r w:rsidRPr="00C81924">
        <w:rPr>
          <w:rFonts w:cs="Times New Roman"/>
          <w:szCs w:val="24"/>
        </w:rPr>
        <w:t xml:space="preserve">, N., &amp; de Llanos </w:t>
      </w:r>
      <w:proofErr w:type="spellStart"/>
      <w:r w:rsidRPr="00C81924">
        <w:rPr>
          <w:rFonts w:cs="Times New Roman"/>
          <w:szCs w:val="24"/>
        </w:rPr>
        <w:t>Frutos</w:t>
      </w:r>
      <w:bookmarkEnd w:id="84"/>
      <w:proofErr w:type="spellEnd"/>
      <w:r w:rsidRPr="00C81924">
        <w:rPr>
          <w:rFonts w:cs="Times New Roman"/>
          <w:szCs w:val="24"/>
        </w:rPr>
        <w:t>, R. (2021). Antimicrobial Resistance in </w:t>
      </w:r>
      <w:r w:rsidRPr="00C81924">
        <w:rPr>
          <w:rFonts w:cs="Times New Roman"/>
          <w:i/>
          <w:iCs/>
          <w:szCs w:val="24"/>
        </w:rPr>
        <w:t>Escherichia coli</w:t>
      </w:r>
      <w:r w:rsidRPr="00C81924">
        <w:rPr>
          <w:rFonts w:cs="Times New Roman"/>
          <w:szCs w:val="24"/>
        </w:rPr>
        <w:t> Strains Isolated from Humans and Pet Animals. </w:t>
      </w:r>
      <w:r w:rsidRPr="00C81924">
        <w:rPr>
          <w:rFonts w:cs="Times New Roman"/>
          <w:i/>
          <w:iCs/>
          <w:szCs w:val="24"/>
        </w:rPr>
        <w:t>Antibiotics</w:t>
      </w:r>
      <w:r w:rsidRPr="00C81924">
        <w:rPr>
          <w:rFonts w:cs="Times New Roman"/>
          <w:szCs w:val="24"/>
        </w:rPr>
        <w:t>, </w:t>
      </w:r>
      <w:r w:rsidRPr="00C81924">
        <w:rPr>
          <w:rFonts w:cs="Times New Roman"/>
          <w:i/>
          <w:iCs/>
          <w:szCs w:val="24"/>
        </w:rPr>
        <w:t>10</w:t>
      </w:r>
      <w:r w:rsidRPr="00C81924">
        <w:rPr>
          <w:rFonts w:cs="Times New Roman"/>
          <w:szCs w:val="24"/>
        </w:rPr>
        <w:t>(1), 69.</w:t>
      </w:r>
    </w:p>
    <w:p w14:paraId="5011654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Quan, J., Zhao, D., Liu, L., Chen, Y., Zhou, J., Jiang, Y., ... &amp; Yu, Y. (2016). High prevalence of ESBL-producing </w:t>
      </w:r>
      <w:r w:rsidRPr="00C81924">
        <w:rPr>
          <w:rFonts w:cs="Times New Roman"/>
          <w:i/>
          <w:iCs/>
          <w:szCs w:val="24"/>
        </w:rPr>
        <w:t>Escherichia coli</w:t>
      </w:r>
      <w:r w:rsidRPr="00C81924">
        <w:rPr>
          <w:rFonts w:cs="Times New Roman"/>
          <w:szCs w:val="24"/>
        </w:rPr>
        <w:t xml:space="preserve"> and Klebsiella pneumoniae in community-onset bloodstream infections in China. </w:t>
      </w:r>
      <w:r w:rsidRPr="00C81924">
        <w:rPr>
          <w:rFonts w:cs="Times New Roman"/>
          <w:i/>
          <w:iCs/>
          <w:szCs w:val="24"/>
        </w:rPr>
        <w:t>Journal of Antimicrobial Chemotherapy</w:t>
      </w:r>
      <w:r w:rsidRPr="00C81924">
        <w:rPr>
          <w:rFonts w:cs="Times New Roman"/>
          <w:szCs w:val="24"/>
        </w:rPr>
        <w:t>, </w:t>
      </w:r>
      <w:r w:rsidRPr="00C81924">
        <w:rPr>
          <w:rFonts w:cs="Times New Roman"/>
          <w:i/>
          <w:iCs/>
          <w:szCs w:val="24"/>
        </w:rPr>
        <w:t>72</w:t>
      </w:r>
      <w:r w:rsidRPr="00C81924">
        <w:rPr>
          <w:rFonts w:cs="Times New Roman"/>
          <w:szCs w:val="24"/>
        </w:rPr>
        <w:t>(1), 273-280.</w:t>
      </w:r>
    </w:p>
    <w:p w14:paraId="2BBC362B"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5" w:name="_Hlk163577161"/>
      <w:r w:rsidRPr="00C81924">
        <w:rPr>
          <w:rFonts w:cs="Times New Roman"/>
          <w:szCs w:val="24"/>
        </w:rPr>
        <w:t>Redgrave</w:t>
      </w:r>
      <w:bookmarkEnd w:id="85"/>
      <w:r w:rsidRPr="00C81924">
        <w:rPr>
          <w:rFonts w:cs="Times New Roman"/>
          <w:szCs w:val="24"/>
        </w:rPr>
        <w:t>, L. S., Sutton, S. B., Webber, M. A., &amp; Piddock, L. J. (2014). Fluoroquinolone resistance: mechanisms, impact on bacteria, and role in evolutionary success. </w:t>
      </w:r>
      <w:r w:rsidRPr="00C81924">
        <w:rPr>
          <w:rFonts w:cs="Times New Roman"/>
          <w:i/>
          <w:iCs/>
          <w:szCs w:val="24"/>
        </w:rPr>
        <w:t>Trends in Microbiology</w:t>
      </w:r>
      <w:r w:rsidRPr="00C81924">
        <w:rPr>
          <w:rFonts w:cs="Times New Roman"/>
          <w:szCs w:val="24"/>
        </w:rPr>
        <w:t>, </w:t>
      </w:r>
      <w:r w:rsidRPr="00C81924">
        <w:rPr>
          <w:rFonts w:cs="Times New Roman"/>
          <w:i/>
          <w:iCs/>
          <w:szCs w:val="24"/>
        </w:rPr>
        <w:t>22</w:t>
      </w:r>
      <w:r w:rsidRPr="00C81924">
        <w:rPr>
          <w:rFonts w:cs="Times New Roman"/>
          <w:szCs w:val="24"/>
        </w:rPr>
        <w:t>(8), 438-445.</w:t>
      </w:r>
    </w:p>
    <w:p w14:paraId="5DCB4061"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proofErr w:type="spellStart"/>
      <w:r w:rsidRPr="00C81924">
        <w:rPr>
          <w:rFonts w:cs="Times New Roman"/>
          <w:szCs w:val="24"/>
        </w:rPr>
        <w:t>Ried</w:t>
      </w:r>
      <w:proofErr w:type="spellEnd"/>
      <w:r w:rsidRPr="00C81924">
        <w:rPr>
          <w:rFonts w:cs="Times New Roman"/>
          <w:szCs w:val="24"/>
        </w:rPr>
        <w:t xml:space="preserve"> W. (2011). On the economic impact of a regional management of multidrug-resistant bacteria. </w:t>
      </w:r>
      <w:r w:rsidRPr="00C81924">
        <w:rPr>
          <w:rFonts w:cs="Times New Roman"/>
          <w:i/>
          <w:iCs/>
          <w:szCs w:val="24"/>
        </w:rPr>
        <w:t xml:space="preserve">GMS </w:t>
      </w:r>
      <w:proofErr w:type="spellStart"/>
      <w:r w:rsidRPr="00C81924">
        <w:rPr>
          <w:rFonts w:cs="Times New Roman"/>
          <w:i/>
          <w:iCs/>
          <w:szCs w:val="24"/>
        </w:rPr>
        <w:t>Krankenhaushygiene</w:t>
      </w:r>
      <w:proofErr w:type="spellEnd"/>
      <w:r w:rsidRPr="00C81924">
        <w:rPr>
          <w:rFonts w:cs="Times New Roman"/>
          <w:i/>
          <w:iCs/>
          <w:szCs w:val="24"/>
        </w:rPr>
        <w:t xml:space="preserve"> </w:t>
      </w:r>
      <w:proofErr w:type="spellStart"/>
      <w:r w:rsidRPr="00C81924">
        <w:rPr>
          <w:rFonts w:cs="Times New Roman"/>
          <w:i/>
          <w:iCs/>
          <w:szCs w:val="24"/>
        </w:rPr>
        <w:t>interdisziplinar</w:t>
      </w:r>
      <w:proofErr w:type="spellEnd"/>
      <w:r w:rsidRPr="00C81924">
        <w:rPr>
          <w:rFonts w:cs="Times New Roman"/>
          <w:szCs w:val="24"/>
        </w:rPr>
        <w:t>, </w:t>
      </w:r>
      <w:r w:rsidRPr="00C81924">
        <w:rPr>
          <w:rFonts w:cs="Times New Roman"/>
          <w:i/>
          <w:iCs/>
          <w:szCs w:val="24"/>
        </w:rPr>
        <w:t>6</w:t>
      </w:r>
      <w:r w:rsidRPr="00C81924">
        <w:rPr>
          <w:rFonts w:cs="Times New Roman"/>
          <w:szCs w:val="24"/>
        </w:rPr>
        <w:t>(1), Doc23.</w:t>
      </w:r>
    </w:p>
    <w:p w14:paraId="5971C458"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Rizwan, M., Akhtar, M., </w:t>
      </w:r>
      <w:proofErr w:type="spellStart"/>
      <w:r w:rsidRPr="00C81924">
        <w:rPr>
          <w:rFonts w:cs="Times New Roman"/>
          <w:szCs w:val="24"/>
        </w:rPr>
        <w:t>Najmi</w:t>
      </w:r>
      <w:proofErr w:type="spellEnd"/>
      <w:r w:rsidRPr="00C81924">
        <w:rPr>
          <w:rFonts w:cs="Times New Roman"/>
          <w:szCs w:val="24"/>
        </w:rPr>
        <w:t xml:space="preserve">, A. K., &amp; Singh, K. (2018). </w:t>
      </w:r>
      <w:r w:rsidRPr="00C81924">
        <w:rPr>
          <w:rFonts w:cs="Times New Roman"/>
          <w:i/>
          <w:iCs/>
          <w:szCs w:val="24"/>
        </w:rPr>
        <w:t>Escherichia coli</w:t>
      </w:r>
      <w:r w:rsidRPr="00C81924">
        <w:rPr>
          <w:rFonts w:cs="Times New Roman"/>
          <w:szCs w:val="24"/>
        </w:rPr>
        <w:t xml:space="preserve"> and Klebsiella pneumoniae sensitivity/resistance pattern towards antimicrobial agents in primary and simple urinary tract infection patients visiting university hospital of Jamia Hamdard New Delhi. </w:t>
      </w:r>
      <w:r w:rsidRPr="00C81924">
        <w:rPr>
          <w:rFonts w:cs="Times New Roman"/>
          <w:i/>
          <w:iCs/>
          <w:szCs w:val="24"/>
        </w:rPr>
        <w:t>Drug research</w:t>
      </w:r>
      <w:r w:rsidRPr="00C81924">
        <w:rPr>
          <w:rFonts w:cs="Times New Roman"/>
          <w:szCs w:val="24"/>
        </w:rPr>
        <w:t>, </w:t>
      </w:r>
      <w:r w:rsidRPr="00C81924">
        <w:rPr>
          <w:rFonts w:cs="Times New Roman"/>
          <w:i/>
          <w:iCs/>
          <w:szCs w:val="24"/>
        </w:rPr>
        <w:t>68</w:t>
      </w:r>
      <w:r w:rsidRPr="00C81924">
        <w:rPr>
          <w:rFonts w:cs="Times New Roman"/>
          <w:szCs w:val="24"/>
        </w:rPr>
        <w:t>(07), 415-420.</w:t>
      </w:r>
    </w:p>
    <w:p w14:paraId="7C864E83"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6" w:name="_Hlk163579946"/>
      <w:r w:rsidRPr="00C81924">
        <w:rPr>
          <w:rFonts w:cs="Times New Roman"/>
          <w:szCs w:val="24"/>
        </w:rPr>
        <w:t>Rodríguez-</w:t>
      </w:r>
      <w:proofErr w:type="spellStart"/>
      <w:r w:rsidRPr="00C81924">
        <w:rPr>
          <w:rFonts w:cs="Times New Roman"/>
          <w:szCs w:val="24"/>
        </w:rPr>
        <w:t>Baño</w:t>
      </w:r>
      <w:bookmarkEnd w:id="86"/>
      <w:proofErr w:type="spellEnd"/>
      <w:r w:rsidRPr="00C81924">
        <w:rPr>
          <w:rFonts w:cs="Times New Roman"/>
          <w:szCs w:val="24"/>
        </w:rPr>
        <w:t xml:space="preserve">, J., Navarro, M. D., Romero, L., </w:t>
      </w:r>
      <w:proofErr w:type="spellStart"/>
      <w:r w:rsidRPr="00C81924">
        <w:rPr>
          <w:rFonts w:cs="Times New Roman"/>
          <w:szCs w:val="24"/>
        </w:rPr>
        <w:t>Muniain</w:t>
      </w:r>
      <w:proofErr w:type="spellEnd"/>
      <w:r w:rsidRPr="00C81924">
        <w:rPr>
          <w:rFonts w:cs="Times New Roman"/>
          <w:szCs w:val="24"/>
        </w:rPr>
        <w:t xml:space="preserve">, M. A., Cueto, M. D., Ríos, M. J., ... &amp; Pascual, A. (2006). Bacteremia due to extended-spectrum β-lactamase–producing </w:t>
      </w:r>
      <w:r w:rsidRPr="00C81924">
        <w:rPr>
          <w:rFonts w:cs="Times New Roman"/>
          <w:i/>
          <w:iCs/>
          <w:szCs w:val="24"/>
        </w:rPr>
        <w:t>Escherichia coli</w:t>
      </w:r>
      <w:r w:rsidRPr="00C81924">
        <w:rPr>
          <w:rFonts w:cs="Times New Roman"/>
          <w:szCs w:val="24"/>
        </w:rPr>
        <w:t xml:space="preserve"> in the CTX-M era: a new clinical challenge. </w:t>
      </w:r>
      <w:r w:rsidRPr="00C81924">
        <w:rPr>
          <w:rFonts w:cs="Times New Roman"/>
          <w:i/>
          <w:iCs/>
          <w:szCs w:val="24"/>
        </w:rPr>
        <w:t>Clinical Infectious Diseases</w:t>
      </w:r>
      <w:r w:rsidRPr="00C81924">
        <w:rPr>
          <w:rFonts w:cs="Times New Roman"/>
          <w:szCs w:val="24"/>
        </w:rPr>
        <w:t>, </w:t>
      </w:r>
      <w:r w:rsidRPr="00C81924">
        <w:rPr>
          <w:rFonts w:cs="Times New Roman"/>
          <w:i/>
          <w:iCs/>
          <w:szCs w:val="24"/>
        </w:rPr>
        <w:t>43</w:t>
      </w:r>
      <w:r w:rsidRPr="00C81924">
        <w:rPr>
          <w:rFonts w:cs="Times New Roman"/>
          <w:szCs w:val="24"/>
        </w:rPr>
        <w:t>(11), 1407-1414.</w:t>
      </w:r>
    </w:p>
    <w:p w14:paraId="6EA42517"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Rossi, E., </w:t>
      </w:r>
      <w:proofErr w:type="spellStart"/>
      <w:r w:rsidRPr="00C81924">
        <w:rPr>
          <w:rFonts w:cs="Times New Roman"/>
          <w:szCs w:val="24"/>
        </w:rPr>
        <w:t>Cimdins</w:t>
      </w:r>
      <w:proofErr w:type="spellEnd"/>
      <w:r w:rsidRPr="00C81924">
        <w:rPr>
          <w:rFonts w:cs="Times New Roman"/>
          <w:szCs w:val="24"/>
        </w:rPr>
        <w:t xml:space="preserve">, A., </w:t>
      </w:r>
      <w:proofErr w:type="spellStart"/>
      <w:r w:rsidRPr="00C81924">
        <w:rPr>
          <w:rFonts w:cs="Times New Roman"/>
          <w:szCs w:val="24"/>
        </w:rPr>
        <w:t>Lüthje</w:t>
      </w:r>
      <w:proofErr w:type="spellEnd"/>
      <w:r w:rsidRPr="00C81924">
        <w:rPr>
          <w:rFonts w:cs="Times New Roman"/>
          <w:szCs w:val="24"/>
        </w:rPr>
        <w:t xml:space="preserve">, P., </w:t>
      </w:r>
      <w:proofErr w:type="spellStart"/>
      <w:r w:rsidRPr="00C81924">
        <w:rPr>
          <w:rFonts w:cs="Times New Roman"/>
          <w:szCs w:val="24"/>
        </w:rPr>
        <w:t>Brauner</w:t>
      </w:r>
      <w:proofErr w:type="spellEnd"/>
      <w:r w:rsidRPr="00C81924">
        <w:rPr>
          <w:rFonts w:cs="Times New Roman"/>
          <w:szCs w:val="24"/>
        </w:rPr>
        <w:t xml:space="preserve">, A., </w:t>
      </w:r>
      <w:proofErr w:type="spellStart"/>
      <w:r w:rsidRPr="00C81924">
        <w:rPr>
          <w:rFonts w:cs="Times New Roman"/>
          <w:szCs w:val="24"/>
        </w:rPr>
        <w:t>Sjöling</w:t>
      </w:r>
      <w:proofErr w:type="spellEnd"/>
      <w:r w:rsidRPr="00C81924">
        <w:rPr>
          <w:rFonts w:cs="Times New Roman"/>
          <w:szCs w:val="24"/>
        </w:rPr>
        <w:t xml:space="preserve">, Å., </w:t>
      </w:r>
      <w:proofErr w:type="spellStart"/>
      <w:r w:rsidRPr="00C81924">
        <w:rPr>
          <w:rFonts w:cs="Times New Roman"/>
          <w:szCs w:val="24"/>
        </w:rPr>
        <w:t>Landini</w:t>
      </w:r>
      <w:proofErr w:type="spellEnd"/>
      <w:r w:rsidRPr="00C81924">
        <w:rPr>
          <w:rFonts w:cs="Times New Roman"/>
          <w:szCs w:val="24"/>
        </w:rPr>
        <w:t xml:space="preserve">, P., &amp; </w:t>
      </w:r>
      <w:proofErr w:type="spellStart"/>
      <w:r w:rsidRPr="00C81924">
        <w:rPr>
          <w:rFonts w:cs="Times New Roman"/>
          <w:szCs w:val="24"/>
        </w:rPr>
        <w:t>Römling</w:t>
      </w:r>
      <w:proofErr w:type="spellEnd"/>
      <w:r w:rsidRPr="00C81924">
        <w:rPr>
          <w:rFonts w:cs="Times New Roman"/>
          <w:szCs w:val="24"/>
        </w:rPr>
        <w:t>, U. (2018). “</w:t>
      </w:r>
      <w:proofErr w:type="spellStart"/>
      <w:r w:rsidRPr="00C81924">
        <w:rPr>
          <w:rFonts w:cs="Times New Roman"/>
          <w:szCs w:val="24"/>
        </w:rPr>
        <w:t>It’sa</w:t>
      </w:r>
      <w:proofErr w:type="spellEnd"/>
      <w:r w:rsidRPr="00C81924">
        <w:rPr>
          <w:rFonts w:cs="Times New Roman"/>
          <w:szCs w:val="24"/>
        </w:rPr>
        <w:t xml:space="preserve"> gut feeling”–</w:t>
      </w:r>
      <w:r w:rsidRPr="00C81924">
        <w:rPr>
          <w:rFonts w:cs="Times New Roman"/>
          <w:i/>
          <w:iCs/>
          <w:szCs w:val="24"/>
        </w:rPr>
        <w:t>Escherichia coli</w:t>
      </w:r>
      <w:r w:rsidRPr="00C81924">
        <w:rPr>
          <w:rFonts w:cs="Times New Roman"/>
          <w:szCs w:val="24"/>
        </w:rPr>
        <w:t xml:space="preserve"> biofilm formation in the gastrointestinal tract environment. </w:t>
      </w:r>
      <w:r w:rsidRPr="00C81924">
        <w:rPr>
          <w:rFonts w:cs="Times New Roman"/>
          <w:i/>
          <w:iCs/>
          <w:szCs w:val="24"/>
        </w:rPr>
        <w:t>Critical Reviews in Microbiology</w:t>
      </w:r>
      <w:r w:rsidRPr="00C81924">
        <w:rPr>
          <w:rFonts w:cs="Times New Roman"/>
          <w:szCs w:val="24"/>
        </w:rPr>
        <w:t>, </w:t>
      </w:r>
      <w:r w:rsidRPr="00C81924">
        <w:rPr>
          <w:rFonts w:cs="Times New Roman"/>
          <w:i/>
          <w:iCs/>
          <w:szCs w:val="24"/>
        </w:rPr>
        <w:t>44</w:t>
      </w:r>
      <w:r w:rsidRPr="00C81924">
        <w:rPr>
          <w:rFonts w:cs="Times New Roman"/>
          <w:szCs w:val="24"/>
        </w:rPr>
        <w:t>(1), 1-30.</w:t>
      </w:r>
    </w:p>
    <w:p w14:paraId="520935B0"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7" w:name="_Hlk163581048"/>
      <w:proofErr w:type="spellStart"/>
      <w:r w:rsidRPr="00C81924">
        <w:rPr>
          <w:rFonts w:cs="Times New Roman"/>
          <w:szCs w:val="24"/>
        </w:rPr>
        <w:t>Scheuerman</w:t>
      </w:r>
      <w:bookmarkEnd w:id="87"/>
      <w:proofErr w:type="spellEnd"/>
      <w:r w:rsidRPr="00C81924">
        <w:rPr>
          <w:rFonts w:cs="Times New Roman"/>
          <w:szCs w:val="24"/>
        </w:rPr>
        <w:t xml:space="preserve">, O., </w:t>
      </w:r>
      <w:proofErr w:type="spellStart"/>
      <w:r w:rsidRPr="00C81924">
        <w:rPr>
          <w:rFonts w:cs="Times New Roman"/>
          <w:szCs w:val="24"/>
        </w:rPr>
        <w:t>Schechner</w:t>
      </w:r>
      <w:proofErr w:type="spellEnd"/>
      <w:r w:rsidRPr="00C81924">
        <w:rPr>
          <w:rFonts w:cs="Times New Roman"/>
          <w:szCs w:val="24"/>
        </w:rPr>
        <w:t xml:space="preserve">, V., </w:t>
      </w:r>
      <w:proofErr w:type="spellStart"/>
      <w:r w:rsidRPr="00C81924">
        <w:rPr>
          <w:rFonts w:cs="Times New Roman"/>
          <w:szCs w:val="24"/>
        </w:rPr>
        <w:t>Carmeli</w:t>
      </w:r>
      <w:proofErr w:type="spellEnd"/>
      <w:r w:rsidRPr="00C81924">
        <w:rPr>
          <w:rFonts w:cs="Times New Roman"/>
          <w:szCs w:val="24"/>
        </w:rPr>
        <w:t xml:space="preserve">, Y., Gutierrez-Gutierrez, B., </w:t>
      </w:r>
      <w:proofErr w:type="spellStart"/>
      <w:r w:rsidRPr="00C81924">
        <w:rPr>
          <w:rFonts w:cs="Times New Roman"/>
          <w:szCs w:val="24"/>
        </w:rPr>
        <w:t>Calbo</w:t>
      </w:r>
      <w:proofErr w:type="spellEnd"/>
      <w:r w:rsidRPr="00C81924">
        <w:rPr>
          <w:rFonts w:cs="Times New Roman"/>
          <w:szCs w:val="24"/>
        </w:rPr>
        <w:t>, E., Almirante, B., ... &amp; Rodriguez-</w:t>
      </w:r>
      <w:proofErr w:type="spellStart"/>
      <w:r w:rsidRPr="00C81924">
        <w:rPr>
          <w:rFonts w:cs="Times New Roman"/>
          <w:szCs w:val="24"/>
        </w:rPr>
        <w:t>Bano</w:t>
      </w:r>
      <w:proofErr w:type="spellEnd"/>
      <w:r w:rsidRPr="00C81924">
        <w:rPr>
          <w:rFonts w:cs="Times New Roman"/>
          <w:szCs w:val="24"/>
        </w:rPr>
        <w:t xml:space="preserve">, J. (2018). Comparison of predictors and mortality between bloodstream infections caused by ESBL-producing </w:t>
      </w:r>
      <w:r w:rsidRPr="00C81924">
        <w:rPr>
          <w:rFonts w:cs="Times New Roman"/>
          <w:i/>
          <w:iCs/>
          <w:szCs w:val="24"/>
        </w:rPr>
        <w:t>Escherichia coli</w:t>
      </w:r>
      <w:r w:rsidRPr="00C81924">
        <w:rPr>
          <w:rFonts w:cs="Times New Roman"/>
          <w:szCs w:val="24"/>
        </w:rPr>
        <w:t xml:space="preserve"> and ESBL-producing Klebsiella pneumoniae. </w:t>
      </w:r>
      <w:r w:rsidRPr="00C81924">
        <w:rPr>
          <w:rFonts w:cs="Times New Roman"/>
          <w:i/>
          <w:iCs/>
          <w:szCs w:val="24"/>
        </w:rPr>
        <w:t>infection Control &amp; Hospital Epidemiology</w:t>
      </w:r>
      <w:r w:rsidRPr="00C81924">
        <w:rPr>
          <w:rFonts w:cs="Times New Roman"/>
          <w:szCs w:val="24"/>
        </w:rPr>
        <w:t>, </w:t>
      </w:r>
      <w:r w:rsidRPr="00C81924">
        <w:rPr>
          <w:rFonts w:cs="Times New Roman"/>
          <w:i/>
          <w:iCs/>
          <w:szCs w:val="24"/>
        </w:rPr>
        <w:t>39</w:t>
      </w:r>
      <w:r w:rsidRPr="00C81924">
        <w:rPr>
          <w:rFonts w:cs="Times New Roman"/>
          <w:szCs w:val="24"/>
        </w:rPr>
        <w:t>(6), 660-667.</w:t>
      </w:r>
    </w:p>
    <w:p w14:paraId="465D8FE8"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8" w:name="_Hlk163596299"/>
      <w:proofErr w:type="spellStart"/>
      <w:r w:rsidRPr="00C81924">
        <w:rPr>
          <w:rFonts w:cs="Times New Roman"/>
          <w:szCs w:val="24"/>
        </w:rPr>
        <w:lastRenderedPageBreak/>
        <w:t>Shilpakar</w:t>
      </w:r>
      <w:bookmarkEnd w:id="88"/>
      <w:proofErr w:type="spellEnd"/>
      <w:r w:rsidRPr="00C81924">
        <w:rPr>
          <w:rFonts w:cs="Times New Roman"/>
          <w:szCs w:val="24"/>
        </w:rPr>
        <w:t>, A., Ansari, M., Rai, K. R., Rai, G., &amp; Rai, S. K. (2021). Prevalence of multidrug-resistant and extended-spectrum beta-lactamase producing Gram-negative isolates from clinical samples in a tertiary care hospital of Nepal. </w:t>
      </w:r>
      <w:r w:rsidRPr="00C81924">
        <w:rPr>
          <w:rFonts w:cs="Times New Roman"/>
          <w:i/>
          <w:iCs/>
          <w:szCs w:val="24"/>
        </w:rPr>
        <w:t>Tropical Medicine and Health</w:t>
      </w:r>
      <w:r w:rsidRPr="00C81924">
        <w:rPr>
          <w:rFonts w:cs="Times New Roman"/>
          <w:szCs w:val="24"/>
        </w:rPr>
        <w:t>, </w:t>
      </w:r>
      <w:r w:rsidRPr="00C81924">
        <w:rPr>
          <w:rFonts w:cs="Times New Roman"/>
          <w:i/>
          <w:iCs/>
          <w:szCs w:val="24"/>
        </w:rPr>
        <w:t>49</w:t>
      </w:r>
      <w:r w:rsidRPr="00C81924">
        <w:rPr>
          <w:rFonts w:cs="Times New Roman"/>
          <w:szCs w:val="24"/>
        </w:rPr>
        <w:t>, 1-9.</w:t>
      </w:r>
    </w:p>
    <w:p w14:paraId="660172AA"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Singh, N., </w:t>
      </w:r>
      <w:proofErr w:type="spellStart"/>
      <w:r w:rsidRPr="00C81924">
        <w:rPr>
          <w:rFonts w:cs="Times New Roman"/>
          <w:szCs w:val="24"/>
        </w:rPr>
        <w:t>Pattnaik</w:t>
      </w:r>
      <w:proofErr w:type="spellEnd"/>
      <w:r w:rsidRPr="00C81924">
        <w:rPr>
          <w:rFonts w:cs="Times New Roman"/>
          <w:szCs w:val="24"/>
        </w:rPr>
        <w:t xml:space="preserve">, D., </w:t>
      </w:r>
      <w:proofErr w:type="spellStart"/>
      <w:r w:rsidRPr="00C81924">
        <w:rPr>
          <w:rFonts w:cs="Times New Roman"/>
          <w:szCs w:val="24"/>
        </w:rPr>
        <w:t>Neogi</w:t>
      </w:r>
      <w:proofErr w:type="spellEnd"/>
      <w:r w:rsidRPr="00C81924">
        <w:rPr>
          <w:rFonts w:cs="Times New Roman"/>
          <w:szCs w:val="24"/>
        </w:rPr>
        <w:t xml:space="preserve">, D. K., Jena, J., &amp; Mallick, B. (2016). Prevalence of ESBL in </w:t>
      </w:r>
      <w:r w:rsidRPr="00C81924">
        <w:rPr>
          <w:rFonts w:cs="Times New Roman"/>
          <w:i/>
          <w:iCs/>
          <w:szCs w:val="24"/>
        </w:rPr>
        <w:t>Escherichia coli</w:t>
      </w:r>
      <w:r w:rsidRPr="00C81924">
        <w:rPr>
          <w:rFonts w:cs="Times New Roman"/>
          <w:szCs w:val="24"/>
        </w:rPr>
        <w:t xml:space="preserve"> isolates among ICU patients in a tertiary care hospital. </w:t>
      </w:r>
      <w:r w:rsidRPr="00C81924">
        <w:rPr>
          <w:rFonts w:cs="Times New Roman"/>
          <w:i/>
          <w:iCs/>
          <w:szCs w:val="24"/>
        </w:rPr>
        <w:t>Journal of Clinical and Diagnostic Research</w:t>
      </w:r>
      <w:r w:rsidRPr="00C81924">
        <w:rPr>
          <w:rFonts w:cs="Times New Roman"/>
          <w:szCs w:val="24"/>
        </w:rPr>
        <w:t>, </w:t>
      </w:r>
      <w:r w:rsidRPr="00C81924">
        <w:rPr>
          <w:rFonts w:cs="Times New Roman"/>
          <w:i/>
          <w:iCs/>
          <w:szCs w:val="24"/>
        </w:rPr>
        <w:t>10</w:t>
      </w:r>
      <w:r w:rsidRPr="00C81924">
        <w:rPr>
          <w:rFonts w:cs="Times New Roman"/>
          <w:szCs w:val="24"/>
        </w:rPr>
        <w:t>(9), DC19.</w:t>
      </w:r>
    </w:p>
    <w:p w14:paraId="6724AF27"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 xml:space="preserve">Suresh, M., Nithya, N., </w:t>
      </w:r>
      <w:proofErr w:type="spellStart"/>
      <w:r w:rsidRPr="00C81924">
        <w:rPr>
          <w:rFonts w:cs="Times New Roman"/>
          <w:szCs w:val="24"/>
        </w:rPr>
        <w:t>Jayasree</w:t>
      </w:r>
      <w:proofErr w:type="spellEnd"/>
      <w:r w:rsidRPr="00C81924">
        <w:rPr>
          <w:rFonts w:cs="Times New Roman"/>
          <w:szCs w:val="24"/>
        </w:rPr>
        <w:t xml:space="preserve">, P.R., &amp; Kumar, P.R. (2016). Detection and prevalence of efflux pump-mediated drug resistance in clinical isolates of multidrug-resistant gram-negative bacteria from north </w:t>
      </w:r>
      <w:proofErr w:type="spellStart"/>
      <w:r w:rsidRPr="00C81924">
        <w:rPr>
          <w:rFonts w:cs="Times New Roman"/>
          <w:szCs w:val="24"/>
        </w:rPr>
        <w:t>kerala</w:t>
      </w:r>
      <w:proofErr w:type="spellEnd"/>
      <w:r w:rsidRPr="00C81924">
        <w:rPr>
          <w:rFonts w:cs="Times New Roman"/>
          <w:szCs w:val="24"/>
        </w:rPr>
        <w:t xml:space="preserve">, </w:t>
      </w:r>
      <w:proofErr w:type="spellStart"/>
      <w:r w:rsidRPr="00C81924">
        <w:rPr>
          <w:rFonts w:cs="Times New Roman"/>
          <w:szCs w:val="24"/>
        </w:rPr>
        <w:t>india</w:t>
      </w:r>
      <w:proofErr w:type="spellEnd"/>
      <w:r w:rsidRPr="00C81924">
        <w:rPr>
          <w:rFonts w:cs="Times New Roman"/>
          <w:szCs w:val="24"/>
        </w:rPr>
        <w:t>. </w:t>
      </w:r>
      <w:r w:rsidRPr="00C81924">
        <w:rPr>
          <w:rFonts w:cs="Times New Roman"/>
          <w:i/>
          <w:iCs/>
          <w:szCs w:val="24"/>
        </w:rPr>
        <w:t>Asian Journal of Pharmaceutical and Clinical Research, 9</w:t>
      </w:r>
      <w:r w:rsidRPr="00C81924">
        <w:rPr>
          <w:rFonts w:cs="Times New Roman"/>
          <w:szCs w:val="24"/>
        </w:rPr>
        <w:t>, 324-327.</w:t>
      </w:r>
    </w:p>
    <w:p w14:paraId="056063CE"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9" w:name="_Hlk163575397"/>
      <w:proofErr w:type="spellStart"/>
      <w:r w:rsidRPr="00C81924">
        <w:rPr>
          <w:rFonts w:cs="Times New Roman"/>
          <w:szCs w:val="24"/>
        </w:rPr>
        <w:t>Tajbakhsh</w:t>
      </w:r>
      <w:bookmarkEnd w:id="89"/>
      <w:proofErr w:type="spellEnd"/>
      <w:r w:rsidRPr="00C81924">
        <w:rPr>
          <w:rFonts w:cs="Times New Roman"/>
          <w:szCs w:val="24"/>
        </w:rPr>
        <w:t xml:space="preserve">, E., Ahmadi, P., </w:t>
      </w:r>
      <w:proofErr w:type="spellStart"/>
      <w:r w:rsidRPr="00C81924">
        <w:rPr>
          <w:rFonts w:cs="Times New Roman"/>
          <w:szCs w:val="24"/>
        </w:rPr>
        <w:t>Abedpour-Dehkordi</w:t>
      </w:r>
      <w:proofErr w:type="spellEnd"/>
      <w:r w:rsidRPr="00C81924">
        <w:rPr>
          <w:rFonts w:cs="Times New Roman"/>
          <w:szCs w:val="24"/>
        </w:rPr>
        <w:t xml:space="preserve">, E., </w:t>
      </w:r>
      <w:proofErr w:type="spellStart"/>
      <w:r w:rsidRPr="00C81924">
        <w:rPr>
          <w:rFonts w:cs="Times New Roman"/>
          <w:szCs w:val="24"/>
        </w:rPr>
        <w:t>Arbab</w:t>
      </w:r>
      <w:proofErr w:type="spellEnd"/>
      <w:r w:rsidRPr="00C81924">
        <w:rPr>
          <w:rFonts w:cs="Times New Roman"/>
          <w:szCs w:val="24"/>
        </w:rPr>
        <w:t xml:space="preserve">-Soleimani, N., &amp; </w:t>
      </w:r>
      <w:proofErr w:type="spellStart"/>
      <w:r w:rsidRPr="00C81924">
        <w:rPr>
          <w:rFonts w:cs="Times New Roman"/>
          <w:szCs w:val="24"/>
        </w:rPr>
        <w:t>Khamesipour</w:t>
      </w:r>
      <w:proofErr w:type="spellEnd"/>
      <w:r w:rsidRPr="00C81924">
        <w:rPr>
          <w:rFonts w:cs="Times New Roman"/>
          <w:szCs w:val="24"/>
        </w:rPr>
        <w:t xml:space="preserve">, F. (2016). Biofilm formation, antimicrobial susceptibility, serogroups and virulence genes of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 coli</w:t>
      </w:r>
      <w:r w:rsidRPr="00C81924">
        <w:rPr>
          <w:rFonts w:cs="Times New Roman"/>
          <w:szCs w:val="24"/>
        </w:rPr>
        <w:t xml:space="preserve"> isolated from clinical samples in Iran. </w:t>
      </w:r>
      <w:r w:rsidRPr="00C81924">
        <w:rPr>
          <w:rFonts w:cs="Times New Roman"/>
          <w:i/>
          <w:iCs/>
          <w:szCs w:val="24"/>
        </w:rPr>
        <w:t>Antimicrobial Resistance &amp; Infection Control</w:t>
      </w:r>
      <w:r w:rsidRPr="00C81924">
        <w:rPr>
          <w:rFonts w:cs="Times New Roman"/>
          <w:szCs w:val="24"/>
        </w:rPr>
        <w:t>, </w:t>
      </w:r>
      <w:r w:rsidRPr="00C81924">
        <w:rPr>
          <w:rFonts w:cs="Times New Roman"/>
          <w:i/>
          <w:iCs/>
          <w:szCs w:val="24"/>
        </w:rPr>
        <w:t>5</w:t>
      </w:r>
      <w:r w:rsidRPr="00C81924">
        <w:rPr>
          <w:rFonts w:cs="Times New Roman"/>
          <w:szCs w:val="24"/>
        </w:rPr>
        <w:t>, 1-8.</w:t>
      </w:r>
    </w:p>
    <w:p w14:paraId="2FB2BA8E"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0" w:name="_Hlk163577731"/>
      <w:proofErr w:type="spellStart"/>
      <w:r w:rsidRPr="00C81924">
        <w:rPr>
          <w:rFonts w:cs="Times New Roman"/>
          <w:szCs w:val="24"/>
        </w:rPr>
        <w:t>Tilahun</w:t>
      </w:r>
      <w:bookmarkEnd w:id="90"/>
      <w:proofErr w:type="spellEnd"/>
      <w:r w:rsidRPr="00C81924">
        <w:rPr>
          <w:rFonts w:cs="Times New Roman"/>
          <w:szCs w:val="24"/>
        </w:rPr>
        <w:t xml:space="preserve">, M., </w:t>
      </w:r>
      <w:proofErr w:type="spellStart"/>
      <w:r w:rsidRPr="00C81924">
        <w:rPr>
          <w:rFonts w:cs="Times New Roman"/>
          <w:szCs w:val="24"/>
        </w:rPr>
        <w:t>Kassa</w:t>
      </w:r>
      <w:proofErr w:type="spellEnd"/>
      <w:r w:rsidRPr="00C81924">
        <w:rPr>
          <w:rFonts w:cs="Times New Roman"/>
          <w:szCs w:val="24"/>
        </w:rPr>
        <w:t xml:space="preserve">, Y., </w:t>
      </w:r>
      <w:proofErr w:type="spellStart"/>
      <w:r w:rsidRPr="00C81924">
        <w:rPr>
          <w:rFonts w:cs="Times New Roman"/>
          <w:szCs w:val="24"/>
        </w:rPr>
        <w:t>Gedefie</w:t>
      </w:r>
      <w:proofErr w:type="spellEnd"/>
      <w:r w:rsidRPr="00C81924">
        <w:rPr>
          <w:rFonts w:cs="Times New Roman"/>
          <w:szCs w:val="24"/>
        </w:rPr>
        <w:t xml:space="preserve">, A., &amp; </w:t>
      </w:r>
      <w:proofErr w:type="spellStart"/>
      <w:r w:rsidRPr="00C81924">
        <w:rPr>
          <w:rFonts w:cs="Times New Roman"/>
          <w:szCs w:val="24"/>
        </w:rPr>
        <w:t>Ashagire</w:t>
      </w:r>
      <w:proofErr w:type="spellEnd"/>
      <w:r w:rsidRPr="00C81924">
        <w:rPr>
          <w:rFonts w:cs="Times New Roman"/>
          <w:szCs w:val="24"/>
        </w:rPr>
        <w:t>, M. (2021). Emerging carbapenem-resistant Enterobacteriaceae infection, its epidemiology and novel treatment options: a review. </w:t>
      </w:r>
      <w:r w:rsidRPr="00C81924">
        <w:rPr>
          <w:rFonts w:cs="Times New Roman"/>
          <w:i/>
          <w:iCs/>
          <w:szCs w:val="24"/>
        </w:rPr>
        <w:t>Infection and Drug Resistance</w:t>
      </w:r>
      <w:r w:rsidRPr="00C81924">
        <w:rPr>
          <w:rFonts w:cs="Times New Roman"/>
          <w:szCs w:val="24"/>
        </w:rPr>
        <w:t>, 4363-4374.</w:t>
      </w:r>
    </w:p>
    <w:p w14:paraId="31D8E7B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1" w:name="_Hlk163576909"/>
      <w:proofErr w:type="spellStart"/>
      <w:r w:rsidRPr="00C81924">
        <w:rPr>
          <w:rFonts w:cs="Times New Roman"/>
          <w:szCs w:val="24"/>
        </w:rPr>
        <w:t>Upmanyu</w:t>
      </w:r>
      <w:proofErr w:type="spellEnd"/>
      <w:r w:rsidRPr="00C81924">
        <w:rPr>
          <w:rFonts w:cs="Times New Roman"/>
          <w:szCs w:val="24"/>
        </w:rPr>
        <w:t>, N., &amp; Malviya, V. N. (2020)</w:t>
      </w:r>
      <w:bookmarkEnd w:id="91"/>
      <w:r w:rsidRPr="00C81924">
        <w:rPr>
          <w:rFonts w:cs="Times New Roman"/>
          <w:szCs w:val="24"/>
        </w:rPr>
        <w:t>. Antibiotics: Mechanisms of action and modern challenges. In </w:t>
      </w:r>
      <w:r w:rsidRPr="00C81924">
        <w:rPr>
          <w:rFonts w:cs="Times New Roman"/>
          <w:i/>
          <w:iCs/>
          <w:szCs w:val="24"/>
        </w:rPr>
        <w:t>Microorganisms for Sustainable Environment and Health</w:t>
      </w:r>
      <w:r w:rsidRPr="00C81924">
        <w:rPr>
          <w:rFonts w:cs="Times New Roman"/>
          <w:szCs w:val="24"/>
        </w:rPr>
        <w:t> (pp. 367-382). Elsevier.</w:t>
      </w:r>
    </w:p>
    <w:p w14:paraId="40D50CA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92" w:name="_Hlk137492281"/>
      <w:r w:rsidRPr="00C81924">
        <w:rPr>
          <w:rFonts w:cs="Times New Roman"/>
          <w:szCs w:val="24"/>
        </w:rPr>
        <w:t>Vanstone</w:t>
      </w:r>
      <w:bookmarkEnd w:id="92"/>
      <w:r w:rsidRPr="00C81924">
        <w:rPr>
          <w:rFonts w:cs="Times New Roman"/>
          <w:szCs w:val="24"/>
        </w:rPr>
        <w:t xml:space="preserve">, G.L., Dilley, R.L., </w:t>
      </w:r>
      <w:proofErr w:type="spellStart"/>
      <w:r w:rsidRPr="00C81924">
        <w:rPr>
          <w:rFonts w:cs="Times New Roman"/>
          <w:szCs w:val="24"/>
        </w:rPr>
        <w:t>Schwenk</w:t>
      </w:r>
      <w:proofErr w:type="spellEnd"/>
      <w:r w:rsidRPr="00C81924">
        <w:rPr>
          <w:rFonts w:cs="Times New Roman"/>
          <w:szCs w:val="24"/>
        </w:rPr>
        <w:t xml:space="preserve">, S., Williams, A., &amp; Balakrishnan, I. (2013). Prevalence of extended-spectrum-b-lactamase-producing </w:t>
      </w:r>
      <w:r w:rsidRPr="00C81924">
        <w:rPr>
          <w:rFonts w:cs="Times New Roman"/>
          <w:i/>
          <w:iCs/>
          <w:szCs w:val="24"/>
        </w:rPr>
        <w:t>Escherichia coli</w:t>
      </w:r>
      <w:r w:rsidRPr="00C81924">
        <w:rPr>
          <w:rFonts w:cs="Times New Roman"/>
          <w:szCs w:val="24"/>
        </w:rPr>
        <w:t xml:space="preserve"> and spread of the epidemic clonal lineage ST 131 in nursing homes in </w:t>
      </w:r>
      <w:proofErr w:type="gramStart"/>
      <w:r w:rsidRPr="00C81924">
        <w:rPr>
          <w:rFonts w:cs="Times New Roman"/>
          <w:szCs w:val="24"/>
        </w:rPr>
        <w:t>Hesse ,</w:t>
      </w:r>
      <w:proofErr w:type="gramEnd"/>
      <w:r w:rsidRPr="00C81924">
        <w:rPr>
          <w:rFonts w:cs="Times New Roman"/>
          <w:szCs w:val="24"/>
        </w:rPr>
        <w:t xml:space="preserve"> Germany.</w:t>
      </w:r>
    </w:p>
    <w:p w14:paraId="3FC5F08D"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3" w:name="_Hlk163581407"/>
      <w:proofErr w:type="spellStart"/>
      <w:r w:rsidRPr="00C81924">
        <w:rPr>
          <w:rFonts w:cs="Times New Roman"/>
          <w:szCs w:val="24"/>
        </w:rPr>
        <w:t>Viale</w:t>
      </w:r>
      <w:bookmarkEnd w:id="93"/>
      <w:proofErr w:type="spellEnd"/>
      <w:r w:rsidRPr="00C81924">
        <w:rPr>
          <w:rFonts w:cs="Times New Roman"/>
          <w:szCs w:val="24"/>
        </w:rPr>
        <w:t xml:space="preserve">, P., </w:t>
      </w:r>
      <w:proofErr w:type="spellStart"/>
      <w:r w:rsidRPr="00C81924">
        <w:rPr>
          <w:rFonts w:cs="Times New Roman"/>
          <w:szCs w:val="24"/>
        </w:rPr>
        <w:t>Giannella</w:t>
      </w:r>
      <w:proofErr w:type="spellEnd"/>
      <w:r w:rsidRPr="00C81924">
        <w:rPr>
          <w:rFonts w:cs="Times New Roman"/>
          <w:szCs w:val="24"/>
        </w:rPr>
        <w:t xml:space="preserve">, M., </w:t>
      </w:r>
      <w:proofErr w:type="spellStart"/>
      <w:r w:rsidRPr="00C81924">
        <w:rPr>
          <w:rFonts w:cs="Times New Roman"/>
          <w:szCs w:val="24"/>
        </w:rPr>
        <w:t>Bartoletti</w:t>
      </w:r>
      <w:proofErr w:type="spellEnd"/>
      <w:r w:rsidRPr="00C81924">
        <w:rPr>
          <w:rFonts w:cs="Times New Roman"/>
          <w:szCs w:val="24"/>
        </w:rPr>
        <w:t>, M., Tedeschi, S., &amp; Lewis, R. (2015). Considerations about antimicrobial stewardship in settings with epidemic extended-spectrum β-lactamase-producing or carbapenem-resistant Enterobacteriaceae. </w:t>
      </w:r>
      <w:r w:rsidRPr="00C81924">
        <w:rPr>
          <w:rFonts w:cs="Times New Roman"/>
          <w:i/>
          <w:iCs/>
          <w:szCs w:val="24"/>
        </w:rPr>
        <w:t>Infectious Diseases and Therapy</w:t>
      </w:r>
      <w:r w:rsidRPr="00C81924">
        <w:rPr>
          <w:rFonts w:cs="Times New Roman"/>
          <w:szCs w:val="24"/>
        </w:rPr>
        <w:t>, </w:t>
      </w:r>
      <w:r w:rsidRPr="00C81924">
        <w:rPr>
          <w:rFonts w:cs="Times New Roman"/>
          <w:i/>
          <w:iCs/>
          <w:szCs w:val="24"/>
        </w:rPr>
        <w:t>4</w:t>
      </w:r>
      <w:r w:rsidRPr="00C81924">
        <w:rPr>
          <w:rFonts w:cs="Times New Roman"/>
          <w:szCs w:val="24"/>
        </w:rPr>
        <w:t>, 65-83.</w:t>
      </w:r>
    </w:p>
    <w:p w14:paraId="27AA16D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4" w:name="_Hlk163574850"/>
      <w:proofErr w:type="spellStart"/>
      <w:r w:rsidRPr="00C81924">
        <w:rPr>
          <w:rFonts w:cs="Times New Roman"/>
          <w:szCs w:val="24"/>
        </w:rPr>
        <w:t>Vihta</w:t>
      </w:r>
      <w:bookmarkEnd w:id="94"/>
      <w:proofErr w:type="spellEnd"/>
      <w:r w:rsidRPr="00C81924">
        <w:rPr>
          <w:rFonts w:cs="Times New Roman"/>
          <w:szCs w:val="24"/>
        </w:rPr>
        <w:t xml:space="preserve">, K. D., </w:t>
      </w:r>
      <w:proofErr w:type="spellStart"/>
      <w:r w:rsidRPr="00C81924">
        <w:rPr>
          <w:rFonts w:cs="Times New Roman"/>
          <w:szCs w:val="24"/>
        </w:rPr>
        <w:t>Stoesser</w:t>
      </w:r>
      <w:proofErr w:type="spellEnd"/>
      <w:r w:rsidRPr="00C81924">
        <w:rPr>
          <w:rFonts w:cs="Times New Roman"/>
          <w:szCs w:val="24"/>
        </w:rPr>
        <w:t xml:space="preserve">, N., Llewelyn, M. J., Quan, T. P., Davies, T., Fawcett, N. J., ... &amp; Walker, A. S. (2018). Trends over time in </w:t>
      </w:r>
      <w:r w:rsidRPr="00C81924">
        <w:rPr>
          <w:rFonts w:cs="Times New Roman"/>
          <w:i/>
          <w:iCs/>
          <w:szCs w:val="24"/>
        </w:rPr>
        <w:t>Escherichia coli</w:t>
      </w:r>
      <w:r w:rsidRPr="00C81924">
        <w:rPr>
          <w:rFonts w:cs="Times New Roman"/>
          <w:szCs w:val="24"/>
        </w:rPr>
        <w:t xml:space="preserve"> bloodstream infections, urinary tract infections, and antibiotic susceptibilities in </w:t>
      </w:r>
      <w:proofErr w:type="spellStart"/>
      <w:r w:rsidRPr="00C81924">
        <w:rPr>
          <w:rFonts w:cs="Times New Roman"/>
          <w:szCs w:val="24"/>
        </w:rPr>
        <w:t>Oxfordshire</w:t>
      </w:r>
      <w:proofErr w:type="spellEnd"/>
      <w:r w:rsidRPr="00C81924">
        <w:rPr>
          <w:rFonts w:cs="Times New Roman"/>
          <w:szCs w:val="24"/>
        </w:rPr>
        <w:t>, UK, 1998–2016: a study of electronic health records. </w:t>
      </w:r>
      <w:r w:rsidRPr="00C81924">
        <w:rPr>
          <w:rFonts w:cs="Times New Roman"/>
          <w:i/>
          <w:iCs/>
          <w:szCs w:val="24"/>
        </w:rPr>
        <w:t>The Lancet Infectious Diseases</w:t>
      </w:r>
      <w:r w:rsidRPr="00C81924">
        <w:rPr>
          <w:rFonts w:cs="Times New Roman"/>
          <w:szCs w:val="24"/>
        </w:rPr>
        <w:t>, </w:t>
      </w:r>
      <w:r w:rsidRPr="00C81924">
        <w:rPr>
          <w:rFonts w:cs="Times New Roman"/>
          <w:i/>
          <w:iCs/>
          <w:szCs w:val="24"/>
        </w:rPr>
        <w:t>18</w:t>
      </w:r>
      <w:r w:rsidRPr="00C81924">
        <w:rPr>
          <w:rFonts w:cs="Times New Roman"/>
          <w:szCs w:val="24"/>
        </w:rPr>
        <w:t>(10), 1138-1149.</w:t>
      </w:r>
    </w:p>
    <w:p w14:paraId="0BA7447C" w14:textId="7E7E3580" w:rsidR="0058304E" w:rsidRPr="00C81924" w:rsidRDefault="0058304E" w:rsidP="00134D20">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5" w:name="_Hlk163576627"/>
      <w:r w:rsidRPr="00C81924">
        <w:rPr>
          <w:rFonts w:cs="Times New Roman"/>
          <w:szCs w:val="24"/>
        </w:rPr>
        <w:t>Villegas</w:t>
      </w:r>
      <w:bookmarkEnd w:id="95"/>
      <w:r w:rsidRPr="00C81924">
        <w:rPr>
          <w:rFonts w:cs="Times New Roman"/>
          <w:szCs w:val="24"/>
        </w:rPr>
        <w:t xml:space="preserve">, J. A. A., Reyes, H. M., Sánchez, M. A., Rosas, M. F. C., Monroy, R. S., Zamudio, J. E. B., &amp; Rodriguez, A. P. P. (2021). Identification of </w:t>
      </w:r>
      <w:r w:rsidRPr="00C81924">
        <w:rPr>
          <w:rFonts w:cs="Times New Roman"/>
          <w:i/>
          <w:iCs/>
          <w:szCs w:val="24"/>
        </w:rPr>
        <w:t>Escherichia coli</w:t>
      </w:r>
      <w:r w:rsidRPr="00C81924">
        <w:rPr>
          <w:rFonts w:cs="Times New Roman"/>
          <w:szCs w:val="24"/>
        </w:rPr>
        <w:t xml:space="preserve"> strains in the vaginal cultures of healthy women and their patterns of antibiotic resistance. </w:t>
      </w:r>
      <w:r w:rsidRPr="00C81924">
        <w:rPr>
          <w:rFonts w:cs="Times New Roman"/>
          <w:i/>
          <w:iCs/>
          <w:szCs w:val="24"/>
        </w:rPr>
        <w:t>Medical Science Pulse</w:t>
      </w:r>
      <w:r w:rsidRPr="00C81924">
        <w:rPr>
          <w:rFonts w:cs="Times New Roman"/>
          <w:szCs w:val="24"/>
        </w:rPr>
        <w:t>, </w:t>
      </w:r>
      <w:r w:rsidRPr="00C81924">
        <w:rPr>
          <w:rFonts w:cs="Times New Roman"/>
          <w:i/>
          <w:iCs/>
          <w:szCs w:val="24"/>
        </w:rPr>
        <w:t>15</w:t>
      </w:r>
      <w:r w:rsidRPr="00C81924">
        <w:rPr>
          <w:rFonts w:cs="Times New Roman"/>
          <w:szCs w:val="24"/>
        </w:rPr>
        <w:t>(3), 4-9.</w:t>
      </w:r>
    </w:p>
    <w:p w14:paraId="79A53320"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 xml:space="preserve">Walker, M. M., Roberts, J. A., Rogers, B. A., Harris, P. N., &amp; Sime, F. B. (2022). Current and Emerging Treatment Options for Multidrug Resistant </w:t>
      </w:r>
      <w:r w:rsidRPr="00C81924">
        <w:rPr>
          <w:rFonts w:cs="Times New Roman"/>
          <w:i/>
          <w:iCs/>
          <w:szCs w:val="24"/>
        </w:rPr>
        <w:t>Escherichia coli</w:t>
      </w:r>
      <w:r w:rsidRPr="00C81924">
        <w:rPr>
          <w:rFonts w:cs="Times New Roman"/>
          <w:szCs w:val="24"/>
        </w:rPr>
        <w:t xml:space="preserve"> Urosepsis: A Review. </w:t>
      </w:r>
      <w:r w:rsidRPr="00C81924">
        <w:rPr>
          <w:rFonts w:cs="Times New Roman"/>
          <w:i/>
          <w:iCs/>
          <w:szCs w:val="24"/>
        </w:rPr>
        <w:t>Antibiotics</w:t>
      </w:r>
      <w:r w:rsidRPr="00C81924">
        <w:rPr>
          <w:rFonts w:cs="Times New Roman"/>
          <w:szCs w:val="24"/>
        </w:rPr>
        <w:t>, </w:t>
      </w:r>
      <w:r w:rsidRPr="00C81924">
        <w:rPr>
          <w:rFonts w:cs="Times New Roman"/>
          <w:i/>
          <w:iCs/>
          <w:szCs w:val="24"/>
        </w:rPr>
        <w:t>11</w:t>
      </w:r>
      <w:r w:rsidRPr="00C81924">
        <w:rPr>
          <w:rFonts w:cs="Times New Roman"/>
          <w:szCs w:val="24"/>
        </w:rPr>
        <w:t>(12), 1821.</w:t>
      </w:r>
    </w:p>
    <w:p w14:paraId="51B9E819"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lastRenderedPageBreak/>
        <w:t xml:space="preserve">Yehia, F.A., </w:t>
      </w:r>
      <w:proofErr w:type="spellStart"/>
      <w:r w:rsidRPr="00C81924">
        <w:rPr>
          <w:rFonts w:cs="Times New Roman"/>
          <w:szCs w:val="24"/>
        </w:rPr>
        <w:t>Serry</w:t>
      </w:r>
      <w:proofErr w:type="spellEnd"/>
      <w:r w:rsidRPr="00C81924">
        <w:rPr>
          <w:rFonts w:cs="Times New Roman"/>
          <w:szCs w:val="24"/>
        </w:rPr>
        <w:t>, F.M., Abdullatif, H.K., &amp; El-</w:t>
      </w:r>
      <w:proofErr w:type="spellStart"/>
      <w:r w:rsidRPr="00C81924">
        <w:rPr>
          <w:rFonts w:cs="Times New Roman"/>
          <w:szCs w:val="24"/>
        </w:rPr>
        <w:t>Ganiny</w:t>
      </w:r>
      <w:proofErr w:type="spellEnd"/>
      <w:r w:rsidRPr="00C81924">
        <w:rPr>
          <w:rFonts w:cs="Times New Roman"/>
          <w:szCs w:val="24"/>
        </w:rPr>
        <w:t>, A.M. (2017). Prevalence and antimicrobial susceptibility of bacterial pathogens isolated from ventilator associated pneumonia (VAP) patients.</w:t>
      </w:r>
      <w:r w:rsidRPr="00C81924">
        <w:rPr>
          <w:rFonts w:cs="Times New Roman"/>
          <w:i/>
          <w:iCs/>
          <w:szCs w:val="24"/>
        </w:rPr>
        <w:t xml:space="preserve"> </w:t>
      </w:r>
      <w:proofErr w:type="spellStart"/>
      <w:r w:rsidRPr="00C81924">
        <w:rPr>
          <w:rFonts w:cs="Times New Roman"/>
          <w:i/>
          <w:iCs/>
          <w:szCs w:val="24"/>
        </w:rPr>
        <w:t>Zagazig</w:t>
      </w:r>
      <w:proofErr w:type="spellEnd"/>
      <w:r w:rsidRPr="00C81924">
        <w:rPr>
          <w:rFonts w:cs="Times New Roman"/>
          <w:i/>
          <w:iCs/>
          <w:szCs w:val="24"/>
        </w:rPr>
        <w:t xml:space="preserve"> Journal of Pharmaceutical Sciences</w:t>
      </w:r>
      <w:r w:rsidRPr="00C81924">
        <w:rPr>
          <w:rFonts w:cs="Times New Roman"/>
          <w:szCs w:val="24"/>
        </w:rPr>
        <w:t>, </w:t>
      </w:r>
      <w:r w:rsidRPr="00C81924">
        <w:rPr>
          <w:rFonts w:cs="Times New Roman"/>
          <w:i/>
          <w:iCs/>
          <w:szCs w:val="24"/>
        </w:rPr>
        <w:t>26</w:t>
      </w:r>
      <w:r w:rsidRPr="00C81924">
        <w:rPr>
          <w:rFonts w:cs="Times New Roman"/>
          <w:szCs w:val="24"/>
        </w:rPr>
        <w:t>(1), 39-47.</w:t>
      </w:r>
    </w:p>
    <w:p w14:paraId="6409EEB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6" w:name="_Hlk163581130"/>
      <w:r w:rsidRPr="00C81924">
        <w:rPr>
          <w:rFonts w:cs="Times New Roman"/>
          <w:szCs w:val="24"/>
        </w:rPr>
        <w:t>Zaha</w:t>
      </w:r>
      <w:bookmarkEnd w:id="96"/>
      <w:r w:rsidRPr="00C81924">
        <w:rPr>
          <w:rFonts w:cs="Times New Roman"/>
          <w:szCs w:val="24"/>
        </w:rPr>
        <w:t xml:space="preserve">, D. C., Kiss, R., </w:t>
      </w:r>
      <w:proofErr w:type="spellStart"/>
      <w:r w:rsidRPr="00C81924">
        <w:rPr>
          <w:rFonts w:cs="Times New Roman"/>
          <w:szCs w:val="24"/>
        </w:rPr>
        <w:t>Hegedűs</w:t>
      </w:r>
      <w:proofErr w:type="spellEnd"/>
      <w:r w:rsidRPr="00C81924">
        <w:rPr>
          <w:rFonts w:cs="Times New Roman"/>
          <w:szCs w:val="24"/>
        </w:rPr>
        <w:t xml:space="preserve">, C., </w:t>
      </w:r>
      <w:proofErr w:type="spellStart"/>
      <w:r w:rsidRPr="00C81924">
        <w:rPr>
          <w:rFonts w:cs="Times New Roman"/>
          <w:szCs w:val="24"/>
        </w:rPr>
        <w:t>Gesztelyi</w:t>
      </w:r>
      <w:proofErr w:type="spellEnd"/>
      <w:r w:rsidRPr="00C81924">
        <w:rPr>
          <w:rFonts w:cs="Times New Roman"/>
          <w:szCs w:val="24"/>
        </w:rPr>
        <w:t xml:space="preserve">, R., </w:t>
      </w:r>
      <w:proofErr w:type="spellStart"/>
      <w:r w:rsidRPr="00C81924">
        <w:rPr>
          <w:rFonts w:cs="Times New Roman"/>
          <w:szCs w:val="24"/>
        </w:rPr>
        <w:t>Bombicz</w:t>
      </w:r>
      <w:proofErr w:type="spellEnd"/>
      <w:r w:rsidRPr="00C81924">
        <w:rPr>
          <w:rFonts w:cs="Times New Roman"/>
          <w:szCs w:val="24"/>
        </w:rPr>
        <w:t xml:space="preserve">, M., </w:t>
      </w:r>
      <w:proofErr w:type="spellStart"/>
      <w:r w:rsidRPr="00C81924">
        <w:rPr>
          <w:rFonts w:cs="Times New Roman"/>
          <w:szCs w:val="24"/>
        </w:rPr>
        <w:t>Muresan</w:t>
      </w:r>
      <w:proofErr w:type="spellEnd"/>
      <w:r w:rsidRPr="00C81924">
        <w:rPr>
          <w:rFonts w:cs="Times New Roman"/>
          <w:szCs w:val="24"/>
        </w:rPr>
        <w:t xml:space="preserve">, M., ... &amp; </w:t>
      </w:r>
      <w:proofErr w:type="spellStart"/>
      <w:r w:rsidRPr="00C81924">
        <w:rPr>
          <w:rFonts w:cs="Times New Roman"/>
          <w:szCs w:val="24"/>
        </w:rPr>
        <w:t>Micle</w:t>
      </w:r>
      <w:proofErr w:type="spellEnd"/>
      <w:r w:rsidRPr="00C81924">
        <w:rPr>
          <w:rFonts w:cs="Times New Roman"/>
          <w:szCs w:val="24"/>
        </w:rPr>
        <w:t>, O. (2019). Recent advances in investigation, prevention, and management of healthcare-associated infections (HAIs): resistant multidrug strain colonization and its risk factors in an intensive care unit of a University Hospital. </w:t>
      </w:r>
      <w:r w:rsidRPr="00C81924">
        <w:rPr>
          <w:rFonts w:cs="Times New Roman"/>
          <w:i/>
          <w:iCs/>
          <w:szCs w:val="24"/>
        </w:rPr>
        <w:t>BioMed Research International</w:t>
      </w:r>
      <w:r w:rsidRPr="00C81924">
        <w:rPr>
          <w:rFonts w:cs="Times New Roman"/>
          <w:szCs w:val="24"/>
        </w:rPr>
        <w:t>, </w:t>
      </w:r>
      <w:r w:rsidRPr="00C81924">
        <w:rPr>
          <w:rFonts w:cs="Times New Roman"/>
          <w:i/>
          <w:iCs/>
          <w:szCs w:val="24"/>
        </w:rPr>
        <w:t>2019</w:t>
      </w:r>
      <w:r w:rsidRPr="00C81924">
        <w:rPr>
          <w:rFonts w:cs="Times New Roman"/>
          <w:szCs w:val="24"/>
        </w:rPr>
        <w:t>.</w:t>
      </w:r>
    </w:p>
    <w:p w14:paraId="6B7DC4A9" w14:textId="77777777" w:rsidR="00B633A5" w:rsidRPr="00C81924" w:rsidRDefault="00B633A5" w:rsidP="00FD54F5">
      <w:pPr>
        <w:spacing w:line="240" w:lineRule="auto"/>
      </w:pPr>
    </w:p>
    <w:sectPr w:rsidR="00B633A5" w:rsidRPr="00C81924" w:rsidSect="0058304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83FD" w14:textId="77777777" w:rsidR="00E012A4" w:rsidRDefault="00E012A4">
      <w:pPr>
        <w:spacing w:after="0" w:line="240" w:lineRule="auto"/>
      </w:pPr>
      <w:r>
        <w:separator/>
      </w:r>
    </w:p>
  </w:endnote>
  <w:endnote w:type="continuationSeparator" w:id="0">
    <w:p w14:paraId="7567DB86" w14:textId="77777777" w:rsidR="00E012A4" w:rsidRDefault="00E0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CD8E" w14:textId="77777777" w:rsidR="00960301" w:rsidRDefault="00960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482185"/>
      <w:docPartObj>
        <w:docPartGallery w:val="Page Numbers (Bottom of Page)"/>
        <w:docPartUnique/>
      </w:docPartObj>
    </w:sdtPr>
    <w:sdtEndPr>
      <w:rPr>
        <w:noProof/>
      </w:rPr>
    </w:sdtEndPr>
    <w:sdtContent>
      <w:p w14:paraId="5374A598" w14:textId="77777777" w:rsidR="00904223" w:rsidRDefault="00662BEB">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3D018F23" w14:textId="77777777" w:rsidR="00904223" w:rsidRDefault="00904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B3C9" w14:textId="77777777" w:rsidR="00960301" w:rsidRDefault="0096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67CC" w14:textId="77777777" w:rsidR="00E012A4" w:rsidRDefault="00E012A4">
      <w:pPr>
        <w:spacing w:after="0" w:line="240" w:lineRule="auto"/>
      </w:pPr>
      <w:r>
        <w:separator/>
      </w:r>
    </w:p>
  </w:footnote>
  <w:footnote w:type="continuationSeparator" w:id="0">
    <w:p w14:paraId="4AADD2A2" w14:textId="77777777" w:rsidR="00E012A4" w:rsidRDefault="00E0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971A" w14:textId="3E9686A8" w:rsidR="00960301" w:rsidRDefault="00960301">
    <w:pPr>
      <w:pStyle w:val="Header"/>
    </w:pPr>
    <w:r>
      <w:rPr>
        <w:noProof/>
      </w:rPr>
      <w:pict w14:anchorId="68E1E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1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DB9E" w14:textId="56B0D19E" w:rsidR="00960301" w:rsidRDefault="00960301">
    <w:pPr>
      <w:pStyle w:val="Header"/>
    </w:pPr>
    <w:r>
      <w:rPr>
        <w:noProof/>
      </w:rPr>
      <w:pict w14:anchorId="0E6F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1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0ED0" w14:textId="5DF36AC1" w:rsidR="00960301" w:rsidRDefault="00960301">
    <w:pPr>
      <w:pStyle w:val="Header"/>
    </w:pPr>
    <w:r>
      <w:rPr>
        <w:noProof/>
      </w:rPr>
      <w:pict w14:anchorId="12082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1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4E"/>
    <w:rsid w:val="00050515"/>
    <w:rsid w:val="00061995"/>
    <w:rsid w:val="00083DED"/>
    <w:rsid w:val="000B3F1F"/>
    <w:rsid w:val="0011339D"/>
    <w:rsid w:val="001149BE"/>
    <w:rsid w:val="00123C50"/>
    <w:rsid w:val="00134D20"/>
    <w:rsid w:val="00135198"/>
    <w:rsid w:val="00150B85"/>
    <w:rsid w:val="00157DA5"/>
    <w:rsid w:val="001A3251"/>
    <w:rsid w:val="002050AB"/>
    <w:rsid w:val="0021404B"/>
    <w:rsid w:val="0022020F"/>
    <w:rsid w:val="002313FB"/>
    <w:rsid w:val="002562E9"/>
    <w:rsid w:val="002E6D84"/>
    <w:rsid w:val="00334DD7"/>
    <w:rsid w:val="00363D22"/>
    <w:rsid w:val="00367710"/>
    <w:rsid w:val="00390053"/>
    <w:rsid w:val="003F0E52"/>
    <w:rsid w:val="003F1816"/>
    <w:rsid w:val="0040298B"/>
    <w:rsid w:val="004544AC"/>
    <w:rsid w:val="0046738B"/>
    <w:rsid w:val="004A6297"/>
    <w:rsid w:val="004B0E91"/>
    <w:rsid w:val="004D6307"/>
    <w:rsid w:val="004F40F5"/>
    <w:rsid w:val="005548B7"/>
    <w:rsid w:val="00571169"/>
    <w:rsid w:val="0058304E"/>
    <w:rsid w:val="005D5A49"/>
    <w:rsid w:val="005F0536"/>
    <w:rsid w:val="00643C88"/>
    <w:rsid w:val="0065248D"/>
    <w:rsid w:val="00662BEB"/>
    <w:rsid w:val="00671A4D"/>
    <w:rsid w:val="006F7990"/>
    <w:rsid w:val="00723754"/>
    <w:rsid w:val="00754480"/>
    <w:rsid w:val="00762638"/>
    <w:rsid w:val="007948B6"/>
    <w:rsid w:val="007B78EC"/>
    <w:rsid w:val="007E3A2E"/>
    <w:rsid w:val="007F2004"/>
    <w:rsid w:val="007F7535"/>
    <w:rsid w:val="00806FD2"/>
    <w:rsid w:val="00824961"/>
    <w:rsid w:val="008371A4"/>
    <w:rsid w:val="008B089D"/>
    <w:rsid w:val="008C476B"/>
    <w:rsid w:val="008F73B1"/>
    <w:rsid w:val="00904223"/>
    <w:rsid w:val="00905CDA"/>
    <w:rsid w:val="00910DC2"/>
    <w:rsid w:val="00925B01"/>
    <w:rsid w:val="009271B7"/>
    <w:rsid w:val="0095480A"/>
    <w:rsid w:val="00960301"/>
    <w:rsid w:val="009C49F5"/>
    <w:rsid w:val="009E0AD8"/>
    <w:rsid w:val="00A019EC"/>
    <w:rsid w:val="00A167BA"/>
    <w:rsid w:val="00A43E64"/>
    <w:rsid w:val="00A5054C"/>
    <w:rsid w:val="00A56978"/>
    <w:rsid w:val="00AA7BA1"/>
    <w:rsid w:val="00B15CCA"/>
    <w:rsid w:val="00B203B4"/>
    <w:rsid w:val="00B54ACA"/>
    <w:rsid w:val="00B633A5"/>
    <w:rsid w:val="00BE5B5C"/>
    <w:rsid w:val="00BF0A2A"/>
    <w:rsid w:val="00C05E0B"/>
    <w:rsid w:val="00C81924"/>
    <w:rsid w:val="00D74EF9"/>
    <w:rsid w:val="00DB0763"/>
    <w:rsid w:val="00DB5381"/>
    <w:rsid w:val="00DE0CB7"/>
    <w:rsid w:val="00E012A4"/>
    <w:rsid w:val="00E2241E"/>
    <w:rsid w:val="00E45334"/>
    <w:rsid w:val="00E74E2A"/>
    <w:rsid w:val="00EC4305"/>
    <w:rsid w:val="00ED55A0"/>
    <w:rsid w:val="00ED7740"/>
    <w:rsid w:val="00F60F4F"/>
    <w:rsid w:val="00FD0958"/>
    <w:rsid w:val="00FD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263E64"/>
  <w15:chartTrackingRefBased/>
  <w15:docId w15:val="{31968CEF-214B-468D-8A2C-EB0C02DE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04E"/>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5830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Heading 2 Tablez"/>
    <w:basedOn w:val="Normal"/>
    <w:next w:val="Normal"/>
    <w:link w:val="Heading2Char"/>
    <w:uiPriority w:val="9"/>
    <w:unhideWhenUsed/>
    <w:qFormat/>
    <w:rsid w:val="005830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ing 3 Figurez"/>
    <w:basedOn w:val="Normal"/>
    <w:next w:val="Normal"/>
    <w:link w:val="Heading3Char"/>
    <w:uiPriority w:val="9"/>
    <w:unhideWhenUsed/>
    <w:qFormat/>
    <w:rsid w:val="005830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0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0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4E"/>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Heading 2 Tablez Char"/>
    <w:basedOn w:val="DefaultParagraphFont"/>
    <w:link w:val="Heading2"/>
    <w:uiPriority w:val="9"/>
    <w:rsid w:val="0058304E"/>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ing 3 Figurez Char"/>
    <w:basedOn w:val="DefaultParagraphFont"/>
    <w:link w:val="Heading3"/>
    <w:uiPriority w:val="9"/>
    <w:rsid w:val="005830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0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0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04E"/>
    <w:rPr>
      <w:rFonts w:eastAsiaTheme="majorEastAsia" w:cstheme="majorBidi"/>
      <w:color w:val="272727" w:themeColor="text1" w:themeTint="D8"/>
    </w:rPr>
  </w:style>
  <w:style w:type="paragraph" w:styleId="Title">
    <w:name w:val="Title"/>
    <w:basedOn w:val="Normal"/>
    <w:next w:val="Normal"/>
    <w:link w:val="TitleChar"/>
    <w:uiPriority w:val="10"/>
    <w:qFormat/>
    <w:rsid w:val="00583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04E"/>
    <w:pPr>
      <w:spacing w:before="160"/>
      <w:jc w:val="center"/>
    </w:pPr>
    <w:rPr>
      <w:i/>
      <w:iCs/>
      <w:color w:val="404040" w:themeColor="text1" w:themeTint="BF"/>
    </w:rPr>
  </w:style>
  <w:style w:type="character" w:customStyle="1" w:styleId="QuoteChar">
    <w:name w:val="Quote Char"/>
    <w:basedOn w:val="DefaultParagraphFont"/>
    <w:link w:val="Quote"/>
    <w:uiPriority w:val="29"/>
    <w:rsid w:val="0058304E"/>
    <w:rPr>
      <w:i/>
      <w:iCs/>
      <w:color w:val="404040" w:themeColor="text1" w:themeTint="BF"/>
    </w:rPr>
  </w:style>
  <w:style w:type="paragraph" w:styleId="ListParagraph">
    <w:name w:val="List Paragraph"/>
    <w:basedOn w:val="Normal"/>
    <w:link w:val="ListParagraphChar"/>
    <w:uiPriority w:val="34"/>
    <w:qFormat/>
    <w:rsid w:val="0058304E"/>
    <w:pPr>
      <w:ind w:left="720"/>
      <w:contextualSpacing/>
    </w:pPr>
  </w:style>
  <w:style w:type="character" w:styleId="IntenseEmphasis">
    <w:name w:val="Intense Emphasis"/>
    <w:basedOn w:val="DefaultParagraphFont"/>
    <w:uiPriority w:val="21"/>
    <w:qFormat/>
    <w:rsid w:val="0058304E"/>
    <w:rPr>
      <w:i/>
      <w:iCs/>
      <w:color w:val="2F5496" w:themeColor="accent1" w:themeShade="BF"/>
    </w:rPr>
  </w:style>
  <w:style w:type="paragraph" w:styleId="IntenseQuote">
    <w:name w:val="Intense Quote"/>
    <w:basedOn w:val="Normal"/>
    <w:next w:val="Normal"/>
    <w:link w:val="IntenseQuoteChar"/>
    <w:uiPriority w:val="30"/>
    <w:qFormat/>
    <w:rsid w:val="00583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04E"/>
    <w:rPr>
      <w:i/>
      <w:iCs/>
      <w:color w:val="2F5496" w:themeColor="accent1" w:themeShade="BF"/>
    </w:rPr>
  </w:style>
  <w:style w:type="character" w:styleId="IntenseReference">
    <w:name w:val="Intense Reference"/>
    <w:basedOn w:val="DefaultParagraphFont"/>
    <w:uiPriority w:val="32"/>
    <w:qFormat/>
    <w:rsid w:val="0058304E"/>
    <w:rPr>
      <w:b/>
      <w:bCs/>
      <w:smallCaps/>
      <w:color w:val="2F5496" w:themeColor="accent1" w:themeShade="BF"/>
      <w:spacing w:val="5"/>
    </w:rPr>
  </w:style>
  <w:style w:type="paragraph" w:customStyle="1" w:styleId="ChapterHeading">
    <w:name w:val="Chapter Heading"/>
    <w:basedOn w:val="Heading1"/>
    <w:link w:val="ChapterHeadingChar"/>
    <w:qFormat/>
    <w:rsid w:val="0058304E"/>
    <w:pPr>
      <w:spacing w:before="240" w:after="0"/>
      <w:jc w:val="center"/>
    </w:pPr>
    <w:rPr>
      <w:rFonts w:ascii="Times New Roman" w:hAnsi="Times New Roman" w:cs="Times New Roman"/>
      <w:szCs w:val="32"/>
      <w:lang w:val="en-GB"/>
    </w:rPr>
  </w:style>
  <w:style w:type="character" w:customStyle="1" w:styleId="ChapterHeadingChar">
    <w:name w:val="Chapter Heading Char"/>
    <w:basedOn w:val="Heading1Char"/>
    <w:link w:val="ChapterHeading"/>
    <w:rsid w:val="0058304E"/>
    <w:rPr>
      <w:rFonts w:ascii="Times New Roman" w:eastAsiaTheme="majorEastAsia" w:hAnsi="Times New Roman" w:cs="Times New Roman"/>
      <w:color w:val="2F5496" w:themeColor="accent1" w:themeShade="BF"/>
      <w:kern w:val="0"/>
      <w:sz w:val="40"/>
      <w:szCs w:val="32"/>
      <w:lang w:val="en-GB"/>
      <w14:ligatures w14:val="none"/>
    </w:rPr>
  </w:style>
  <w:style w:type="paragraph" w:customStyle="1" w:styleId="Level1">
    <w:name w:val="Level 1"/>
    <w:basedOn w:val="Heading1"/>
    <w:link w:val="Level1Char"/>
    <w:qFormat/>
    <w:rsid w:val="0058304E"/>
    <w:pPr>
      <w:spacing w:before="240" w:after="0" w:line="480" w:lineRule="auto"/>
      <w:jc w:val="center"/>
    </w:pPr>
    <w:rPr>
      <w:rFonts w:ascii="Times New Roman" w:hAnsi="Times New Roman"/>
      <w:b/>
      <w:color w:val="000000" w:themeColor="text1"/>
      <w:szCs w:val="28"/>
    </w:rPr>
  </w:style>
  <w:style w:type="character" w:customStyle="1" w:styleId="Level1Char">
    <w:name w:val="Level 1 Char"/>
    <w:basedOn w:val="Heading1Char"/>
    <w:link w:val="Level1"/>
    <w:rsid w:val="0058304E"/>
    <w:rPr>
      <w:rFonts w:ascii="Times New Roman" w:eastAsiaTheme="majorEastAsia" w:hAnsi="Times New Roman" w:cstheme="majorBidi"/>
      <w:b/>
      <w:color w:val="000000" w:themeColor="text1"/>
      <w:kern w:val="0"/>
      <w:sz w:val="40"/>
      <w:szCs w:val="28"/>
      <w14:ligatures w14:val="none"/>
    </w:rPr>
  </w:style>
  <w:style w:type="paragraph" w:customStyle="1" w:styleId="Level2">
    <w:name w:val="Level 2"/>
    <w:basedOn w:val="Heading2"/>
    <w:link w:val="Level2Char"/>
    <w:qFormat/>
    <w:rsid w:val="0058304E"/>
    <w:pPr>
      <w:spacing w:before="40" w:after="0" w:line="480" w:lineRule="auto"/>
      <w:jc w:val="both"/>
    </w:pPr>
    <w:rPr>
      <w:rFonts w:ascii="Times New Roman" w:hAnsi="Times New Roman"/>
      <w:b/>
      <w:color w:val="000000" w:themeColor="text1"/>
      <w:szCs w:val="26"/>
    </w:rPr>
  </w:style>
  <w:style w:type="character" w:customStyle="1" w:styleId="Level2Char">
    <w:name w:val="Level 2 Char"/>
    <w:basedOn w:val="Heading2Char"/>
    <w:link w:val="Level2"/>
    <w:rsid w:val="0058304E"/>
    <w:rPr>
      <w:rFonts w:ascii="Times New Roman" w:eastAsiaTheme="majorEastAsia" w:hAnsi="Times New Roman" w:cstheme="majorBidi"/>
      <w:b/>
      <w:color w:val="000000" w:themeColor="text1"/>
      <w:kern w:val="0"/>
      <w:sz w:val="32"/>
      <w:szCs w:val="26"/>
      <w14:ligatures w14:val="none"/>
    </w:rPr>
  </w:style>
  <w:style w:type="paragraph" w:customStyle="1" w:styleId="Level3">
    <w:name w:val="Level 3"/>
    <w:basedOn w:val="Heading3"/>
    <w:link w:val="Level3Char"/>
    <w:qFormat/>
    <w:rsid w:val="0058304E"/>
    <w:pPr>
      <w:spacing w:before="40" w:after="0" w:line="480" w:lineRule="auto"/>
      <w:jc w:val="both"/>
    </w:pPr>
    <w:rPr>
      <w:b/>
      <w:color w:val="000000" w:themeColor="text1"/>
    </w:rPr>
  </w:style>
  <w:style w:type="character" w:customStyle="1" w:styleId="Level3Char">
    <w:name w:val="Level 3 Char"/>
    <w:basedOn w:val="Heading3Char"/>
    <w:link w:val="Level3"/>
    <w:rsid w:val="0058304E"/>
    <w:rPr>
      <w:rFonts w:ascii="Times New Roman" w:eastAsiaTheme="majorEastAsia" w:hAnsi="Times New Roman" w:cstheme="majorBidi"/>
      <w:b/>
      <w:color w:val="000000" w:themeColor="text1"/>
      <w:kern w:val="0"/>
      <w:sz w:val="28"/>
      <w:szCs w:val="28"/>
      <w14:ligatures w14:val="none"/>
    </w:rPr>
  </w:style>
  <w:style w:type="paragraph" w:customStyle="1" w:styleId="Normal1">
    <w:name w:val="Normal 1"/>
    <w:basedOn w:val="Normal"/>
    <w:link w:val="Normal1Char"/>
    <w:autoRedefine/>
    <w:qFormat/>
    <w:rsid w:val="0058304E"/>
    <w:pPr>
      <w:spacing w:after="200" w:line="276" w:lineRule="auto"/>
      <w:jc w:val="center"/>
    </w:pPr>
    <w:rPr>
      <w:rFonts w:eastAsia="Calibri" w:cs="Times New Roman"/>
      <w:b/>
      <w:bCs/>
      <w:sz w:val="28"/>
      <w:szCs w:val="28"/>
    </w:rPr>
  </w:style>
  <w:style w:type="character" w:customStyle="1" w:styleId="Normal1Char">
    <w:name w:val="Normal 1 Char"/>
    <w:basedOn w:val="DefaultParagraphFont"/>
    <w:link w:val="Normal1"/>
    <w:rsid w:val="0058304E"/>
    <w:rPr>
      <w:rFonts w:ascii="Times New Roman" w:eastAsia="Calibri" w:hAnsi="Times New Roman" w:cs="Times New Roman"/>
      <w:b/>
      <w:bCs/>
      <w:kern w:val="0"/>
      <w:sz w:val="28"/>
      <w:szCs w:val="28"/>
      <w14:ligatures w14:val="none"/>
    </w:rPr>
  </w:style>
  <w:style w:type="paragraph" w:styleId="Header">
    <w:name w:val="header"/>
    <w:basedOn w:val="Normal"/>
    <w:link w:val="HeaderChar"/>
    <w:uiPriority w:val="99"/>
    <w:unhideWhenUsed/>
    <w:rsid w:val="0058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4E"/>
    <w:rPr>
      <w:rFonts w:ascii="Times New Roman" w:hAnsi="Times New Roman"/>
      <w:kern w:val="0"/>
      <w:szCs w:val="22"/>
      <w14:ligatures w14:val="none"/>
    </w:rPr>
  </w:style>
  <w:style w:type="paragraph" w:styleId="Footer">
    <w:name w:val="footer"/>
    <w:basedOn w:val="Normal"/>
    <w:link w:val="FooterChar"/>
    <w:uiPriority w:val="99"/>
    <w:unhideWhenUsed/>
    <w:rsid w:val="0058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4E"/>
    <w:rPr>
      <w:rFonts w:ascii="Times New Roman" w:hAnsi="Times New Roman"/>
      <w:kern w:val="0"/>
      <w:szCs w:val="22"/>
      <w14:ligatures w14:val="none"/>
    </w:rPr>
  </w:style>
  <w:style w:type="character" w:customStyle="1" w:styleId="ListParagraphChar">
    <w:name w:val="List Paragraph Char"/>
    <w:basedOn w:val="DefaultParagraphFont"/>
    <w:link w:val="ListParagraph"/>
    <w:uiPriority w:val="34"/>
    <w:rsid w:val="0058304E"/>
  </w:style>
  <w:style w:type="paragraph" w:styleId="BalloonText">
    <w:name w:val="Balloon Text"/>
    <w:basedOn w:val="Normal"/>
    <w:link w:val="BalloonTextChar"/>
    <w:uiPriority w:val="99"/>
    <w:semiHidden/>
    <w:unhideWhenUsed/>
    <w:rsid w:val="0058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04E"/>
    <w:rPr>
      <w:rFonts w:ascii="Segoe UI" w:hAnsi="Segoe UI" w:cs="Segoe UI"/>
      <w:kern w:val="0"/>
      <w:sz w:val="18"/>
      <w:szCs w:val="18"/>
      <w14:ligatures w14:val="none"/>
    </w:rPr>
  </w:style>
  <w:style w:type="character" w:styleId="Hyperlink">
    <w:name w:val="Hyperlink"/>
    <w:basedOn w:val="DefaultParagraphFont"/>
    <w:uiPriority w:val="99"/>
    <w:unhideWhenUsed/>
    <w:rsid w:val="0058304E"/>
    <w:rPr>
      <w:color w:val="0563C1" w:themeColor="hyperlink"/>
      <w:u w:val="single"/>
    </w:rPr>
  </w:style>
  <w:style w:type="table" w:styleId="TableGrid">
    <w:name w:val="Table Grid"/>
    <w:basedOn w:val="TableNormal"/>
    <w:uiPriority w:val="39"/>
    <w:rsid w:val="005830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8304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58304E"/>
  </w:style>
  <w:style w:type="character" w:customStyle="1" w:styleId="pubyear">
    <w:name w:val="pubyear"/>
    <w:basedOn w:val="DefaultParagraphFont"/>
    <w:rsid w:val="0058304E"/>
  </w:style>
  <w:style w:type="character" w:customStyle="1" w:styleId="articletitle">
    <w:name w:val="articletitle"/>
    <w:basedOn w:val="DefaultParagraphFont"/>
    <w:rsid w:val="0058304E"/>
  </w:style>
  <w:style w:type="character" w:customStyle="1" w:styleId="vol">
    <w:name w:val="vol"/>
    <w:basedOn w:val="DefaultParagraphFont"/>
    <w:rsid w:val="0058304E"/>
  </w:style>
  <w:style w:type="character" w:customStyle="1" w:styleId="pagefirst">
    <w:name w:val="pagefirst"/>
    <w:basedOn w:val="DefaultParagraphFont"/>
    <w:rsid w:val="0058304E"/>
  </w:style>
  <w:style w:type="character" w:customStyle="1" w:styleId="pagelast">
    <w:name w:val="pagelast"/>
    <w:basedOn w:val="DefaultParagraphFont"/>
    <w:rsid w:val="0058304E"/>
  </w:style>
  <w:style w:type="character" w:customStyle="1" w:styleId="citation">
    <w:name w:val="citation"/>
    <w:basedOn w:val="DefaultParagraphFont"/>
    <w:rsid w:val="0058304E"/>
  </w:style>
  <w:style w:type="character" w:customStyle="1" w:styleId="ref-journal">
    <w:name w:val="ref-journal"/>
    <w:basedOn w:val="DefaultParagraphFont"/>
    <w:rsid w:val="0058304E"/>
  </w:style>
  <w:style w:type="character" w:customStyle="1" w:styleId="ref-vol">
    <w:name w:val="ref-vol"/>
    <w:basedOn w:val="DefaultParagraphFont"/>
    <w:rsid w:val="0058304E"/>
  </w:style>
  <w:style w:type="character" w:customStyle="1" w:styleId="nowrap">
    <w:name w:val="nowrap"/>
    <w:basedOn w:val="DefaultParagraphFont"/>
    <w:rsid w:val="0058304E"/>
  </w:style>
  <w:style w:type="character" w:customStyle="1" w:styleId="a">
    <w:name w:val="_"/>
    <w:basedOn w:val="DefaultParagraphFont"/>
    <w:rsid w:val="0058304E"/>
  </w:style>
  <w:style w:type="character" w:customStyle="1" w:styleId="ff3">
    <w:name w:val="ff3"/>
    <w:basedOn w:val="DefaultParagraphFont"/>
    <w:rsid w:val="0058304E"/>
  </w:style>
  <w:style w:type="character" w:customStyle="1" w:styleId="ff2">
    <w:name w:val="ff2"/>
    <w:basedOn w:val="DefaultParagraphFont"/>
    <w:rsid w:val="0058304E"/>
  </w:style>
  <w:style w:type="character" w:customStyle="1" w:styleId="ffb">
    <w:name w:val="ffb"/>
    <w:basedOn w:val="DefaultParagraphFont"/>
    <w:rsid w:val="0058304E"/>
  </w:style>
  <w:style w:type="paragraph" w:styleId="NormalWeb">
    <w:name w:val="Normal (Web)"/>
    <w:basedOn w:val="Normal"/>
    <w:uiPriority w:val="99"/>
    <w:unhideWhenUsed/>
    <w:rsid w:val="0058304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8304E"/>
    <w:rPr>
      <w:i/>
      <w:iCs/>
    </w:rPr>
  </w:style>
  <w:style w:type="paragraph" w:customStyle="1" w:styleId="p">
    <w:name w:val="p"/>
    <w:basedOn w:val="Normal"/>
    <w:rsid w:val="0058304E"/>
    <w:pPr>
      <w:spacing w:before="100" w:beforeAutospacing="1" w:after="100" w:afterAutospacing="1" w:line="240" w:lineRule="auto"/>
    </w:pPr>
    <w:rPr>
      <w:rFonts w:eastAsia="Times New Roman" w:cs="Times New Roman"/>
      <w:szCs w:val="24"/>
    </w:rPr>
  </w:style>
  <w:style w:type="character" w:customStyle="1" w:styleId="element-citation">
    <w:name w:val="element-citation"/>
    <w:basedOn w:val="DefaultParagraphFont"/>
    <w:rsid w:val="0058304E"/>
  </w:style>
  <w:style w:type="paragraph" w:customStyle="1" w:styleId="Default">
    <w:name w:val="Default"/>
    <w:rsid w:val="0058304E"/>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ellipsis">
    <w:name w:val="ellipsis"/>
    <w:basedOn w:val="DefaultParagraphFont"/>
    <w:rsid w:val="0058304E"/>
  </w:style>
  <w:style w:type="paragraph" w:styleId="BodyText">
    <w:name w:val="Body Text"/>
    <w:basedOn w:val="Normal"/>
    <w:link w:val="BodyTextChar"/>
    <w:uiPriority w:val="1"/>
    <w:qFormat/>
    <w:rsid w:val="0058304E"/>
    <w:pPr>
      <w:autoSpaceDE w:val="0"/>
      <w:autoSpaceDN w:val="0"/>
      <w:adjustRightInd w:val="0"/>
      <w:spacing w:after="0" w:line="240" w:lineRule="auto"/>
      <w:ind w:left="39"/>
    </w:pPr>
    <w:rPr>
      <w:rFonts w:ascii="Book Antiqua" w:hAnsi="Book Antiqua" w:cs="Book Antiqua"/>
      <w:sz w:val="20"/>
      <w:szCs w:val="20"/>
      <w:lang w:val="en-GB"/>
    </w:rPr>
  </w:style>
  <w:style w:type="character" w:customStyle="1" w:styleId="BodyTextChar">
    <w:name w:val="Body Text Char"/>
    <w:basedOn w:val="DefaultParagraphFont"/>
    <w:link w:val="BodyText"/>
    <w:uiPriority w:val="1"/>
    <w:rsid w:val="0058304E"/>
    <w:rPr>
      <w:rFonts w:ascii="Book Antiqua" w:hAnsi="Book Antiqua" w:cs="Book Antiqua"/>
      <w:kern w:val="0"/>
      <w:sz w:val="20"/>
      <w:szCs w:val="20"/>
      <w:lang w:val="en-GB"/>
      <w14:ligatures w14:val="none"/>
    </w:rPr>
  </w:style>
  <w:style w:type="numbering" w:customStyle="1" w:styleId="NoList1">
    <w:name w:val="No List1"/>
    <w:next w:val="NoList"/>
    <w:uiPriority w:val="99"/>
    <w:semiHidden/>
    <w:unhideWhenUsed/>
    <w:rsid w:val="0058304E"/>
  </w:style>
  <w:style w:type="paragraph" w:customStyle="1" w:styleId="TableParagraph">
    <w:name w:val="Table Paragraph"/>
    <w:basedOn w:val="Normal"/>
    <w:uiPriority w:val="1"/>
    <w:qFormat/>
    <w:rsid w:val="0058304E"/>
    <w:pPr>
      <w:autoSpaceDE w:val="0"/>
      <w:autoSpaceDN w:val="0"/>
      <w:adjustRightInd w:val="0"/>
      <w:spacing w:after="0" w:line="240" w:lineRule="auto"/>
    </w:pPr>
    <w:rPr>
      <w:rFonts w:cs="Times New Roman"/>
      <w:szCs w:val="24"/>
      <w:lang w:val="en-GB"/>
    </w:rPr>
  </w:style>
  <w:style w:type="numbering" w:customStyle="1" w:styleId="NoList2">
    <w:name w:val="No List2"/>
    <w:next w:val="NoList"/>
    <w:uiPriority w:val="99"/>
    <w:semiHidden/>
    <w:unhideWhenUsed/>
    <w:rsid w:val="0058304E"/>
  </w:style>
  <w:style w:type="character" w:customStyle="1" w:styleId="UnresolvedMention1">
    <w:name w:val="Unresolved Mention1"/>
    <w:basedOn w:val="DefaultParagraphFont"/>
    <w:uiPriority w:val="99"/>
    <w:semiHidden/>
    <w:unhideWhenUsed/>
    <w:rsid w:val="0058304E"/>
    <w:rPr>
      <w:color w:val="605E5C"/>
      <w:shd w:val="clear" w:color="auto" w:fill="E1DFDD"/>
    </w:rPr>
  </w:style>
  <w:style w:type="character" w:styleId="PlaceholderText">
    <w:name w:val="Placeholder Text"/>
    <w:basedOn w:val="DefaultParagraphFont"/>
    <w:uiPriority w:val="99"/>
    <w:semiHidden/>
    <w:rsid w:val="0058304E"/>
    <w:rPr>
      <w:color w:val="808080"/>
    </w:rPr>
  </w:style>
  <w:style w:type="table" w:customStyle="1" w:styleId="TableGrid2">
    <w:name w:val="Table Grid2"/>
    <w:basedOn w:val="TableNormal"/>
    <w:next w:val="TableGrid"/>
    <w:uiPriority w:val="39"/>
    <w:rsid w:val="005830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304E"/>
    <w:pPr>
      <w:spacing w:before="240" w:after="0"/>
      <w:outlineLvl w:val="9"/>
    </w:pPr>
    <w:rPr>
      <w:sz w:val="32"/>
      <w:szCs w:val="32"/>
    </w:rPr>
  </w:style>
  <w:style w:type="paragraph" w:styleId="TOC1">
    <w:name w:val="toc 1"/>
    <w:basedOn w:val="Normal"/>
    <w:next w:val="Normal"/>
    <w:autoRedefine/>
    <w:uiPriority w:val="39"/>
    <w:unhideWhenUsed/>
    <w:rsid w:val="0058304E"/>
    <w:pPr>
      <w:tabs>
        <w:tab w:val="right" w:leader="dot" w:pos="9017"/>
      </w:tabs>
      <w:spacing w:after="100" w:line="360" w:lineRule="auto"/>
    </w:pPr>
    <w:rPr>
      <w:b/>
      <w:bCs/>
      <w:noProof/>
    </w:rPr>
  </w:style>
  <w:style w:type="paragraph" w:styleId="TOC2">
    <w:name w:val="toc 2"/>
    <w:basedOn w:val="Normal"/>
    <w:next w:val="Normal"/>
    <w:autoRedefine/>
    <w:uiPriority w:val="39"/>
    <w:unhideWhenUsed/>
    <w:rsid w:val="0058304E"/>
    <w:pPr>
      <w:tabs>
        <w:tab w:val="left" w:pos="880"/>
        <w:tab w:val="right" w:leader="dot" w:pos="9017"/>
      </w:tabs>
      <w:spacing w:after="100" w:line="360" w:lineRule="auto"/>
      <w:ind w:left="240"/>
    </w:pPr>
    <w:rPr>
      <w:rFonts w:eastAsiaTheme="majorEastAsia" w:cstheme="majorBidi"/>
      <w:noProof/>
    </w:rPr>
  </w:style>
  <w:style w:type="character" w:styleId="UnresolvedMention">
    <w:name w:val="Unresolved Mention"/>
    <w:basedOn w:val="DefaultParagraphFont"/>
    <w:uiPriority w:val="99"/>
    <w:semiHidden/>
    <w:unhideWhenUsed/>
    <w:rsid w:val="0058304E"/>
    <w:rPr>
      <w:color w:val="605E5C"/>
      <w:shd w:val="clear" w:color="auto" w:fill="E1DFDD"/>
    </w:rPr>
  </w:style>
  <w:style w:type="table" w:customStyle="1" w:styleId="TableGrid22">
    <w:name w:val="Table Grid22"/>
    <w:basedOn w:val="TableNormal"/>
    <w:next w:val="TableGrid"/>
    <w:uiPriority w:val="39"/>
    <w:rsid w:val="0058304E"/>
    <w:pPr>
      <w:spacing w:after="0" w:line="240" w:lineRule="auto"/>
    </w:pPr>
    <w:rPr>
      <w:rFonts w:ascii="Calibri" w:eastAsia="Calibri" w:hAnsi="Calibri" w:cs="Times New Roman"/>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8304E"/>
    <w:pPr>
      <w:spacing w:after="100"/>
      <w:ind w:left="480"/>
    </w:pPr>
  </w:style>
  <w:style w:type="paragraph" w:styleId="NoSpacing">
    <w:name w:val="No Spacing"/>
    <w:link w:val="NoSpacingChar"/>
    <w:uiPriority w:val="1"/>
    <w:qFormat/>
    <w:rsid w:val="0058304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58304E"/>
    <w:rPr>
      <w:rFonts w:eastAsiaTheme="minorEastAsia"/>
      <w:kern w:val="0"/>
      <w:sz w:val="22"/>
      <w:szCs w:val="22"/>
      <w14:ligatures w14:val="none"/>
    </w:rPr>
  </w:style>
  <w:style w:type="character" w:customStyle="1" w:styleId="markedcontent">
    <w:name w:val="markedcontent"/>
    <w:basedOn w:val="DefaultParagraphFont"/>
    <w:rsid w:val="0058304E"/>
  </w:style>
  <w:style w:type="character" w:customStyle="1" w:styleId="mixed-citation">
    <w:name w:val="mixed-citation"/>
    <w:basedOn w:val="DefaultParagraphFont"/>
    <w:rsid w:val="0058304E"/>
  </w:style>
  <w:style w:type="character" w:customStyle="1" w:styleId="ref-title">
    <w:name w:val="ref-title"/>
    <w:basedOn w:val="DefaultParagraphFont"/>
    <w:rsid w:val="0058304E"/>
  </w:style>
  <w:style w:type="paragraph" w:customStyle="1" w:styleId="mb15">
    <w:name w:val="mb15"/>
    <w:basedOn w:val="Normal"/>
    <w:rsid w:val="0058304E"/>
    <w:pPr>
      <w:spacing w:before="100" w:beforeAutospacing="1" w:after="100" w:afterAutospacing="1" w:line="240" w:lineRule="auto"/>
    </w:pPr>
    <w:rPr>
      <w:rFonts w:eastAsia="Times New Roman" w:cs="Times New Roman"/>
      <w:szCs w:val="24"/>
      <w:lang w:val="en-GB"/>
    </w:rPr>
  </w:style>
  <w:style w:type="paragraph" w:customStyle="1" w:styleId="chapter-para">
    <w:name w:val="chapter-para"/>
    <w:basedOn w:val="Normal"/>
    <w:rsid w:val="0058304E"/>
    <w:pPr>
      <w:spacing w:before="100" w:beforeAutospacing="1" w:after="100" w:afterAutospacing="1" w:line="240" w:lineRule="auto"/>
    </w:pPr>
    <w:rPr>
      <w:rFonts w:eastAsia="Times New Roman" w:cs="Times New Roman"/>
      <w:szCs w:val="24"/>
      <w:lang w:val="en-GB"/>
    </w:rPr>
  </w:style>
  <w:style w:type="character" w:styleId="Strong">
    <w:name w:val="Strong"/>
    <w:basedOn w:val="DefaultParagraphFont"/>
    <w:uiPriority w:val="22"/>
    <w:qFormat/>
    <w:rsid w:val="0058304E"/>
    <w:rPr>
      <w:b/>
      <w:bCs/>
    </w:rPr>
  </w:style>
  <w:style w:type="table" w:customStyle="1" w:styleId="TableGrid21">
    <w:name w:val="Table Grid21"/>
    <w:basedOn w:val="TableNormal"/>
    <w:next w:val="TableGrid"/>
    <w:uiPriority w:val="39"/>
    <w:rsid w:val="0058304E"/>
    <w:pPr>
      <w:spacing w:after="0" w:line="240" w:lineRule="auto"/>
    </w:pPr>
    <w:rPr>
      <w:rFonts w:eastAsia="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rsid w:val="0058304E"/>
    <w:pPr>
      <w:spacing w:after="0" w:line="240" w:lineRule="auto"/>
    </w:pPr>
    <w:rPr>
      <w:rFonts w:eastAsiaTheme="minorEastAsia"/>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83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617D-DD9B-428D-A5CB-A50B7ECA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Pages>
  <Words>8139</Words>
  <Characters>46395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77</cp:revision>
  <dcterms:created xsi:type="dcterms:W3CDTF">2025-07-18T23:43:00Z</dcterms:created>
  <dcterms:modified xsi:type="dcterms:W3CDTF">2025-07-21T11:42:00Z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069d10b5-7acb-4a72-b402-49def6c1f420</vt:lpwstr>
  </property>
</Properties>
</file>