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7A0" w:rsidRDefault="00F937A0" w:rsidP="00907F80">
      <w:pPr>
        <w:jc w:val="center"/>
        <w:rPr>
          <w:b/>
          <w:color w:val="000000"/>
          <w:sz w:val="28"/>
          <w:szCs w:val="28"/>
        </w:rPr>
      </w:pPr>
      <w:r w:rsidRPr="00F937A0">
        <w:rPr>
          <w:b/>
          <w:color w:val="000000"/>
          <w:sz w:val="28"/>
          <w:szCs w:val="28"/>
        </w:rPr>
        <w:t>Original Research Article</w:t>
      </w:r>
    </w:p>
    <w:p w:rsidR="00C43599" w:rsidRPr="00F937A0" w:rsidRDefault="00C43599" w:rsidP="00907F80">
      <w:pPr>
        <w:jc w:val="center"/>
        <w:rPr>
          <w:b/>
          <w:color w:val="000000"/>
          <w:sz w:val="28"/>
          <w:szCs w:val="28"/>
        </w:rPr>
      </w:pPr>
    </w:p>
    <w:p w:rsidR="00B5345D" w:rsidRPr="0071044D" w:rsidRDefault="00B5345D" w:rsidP="00907F80">
      <w:pPr>
        <w:jc w:val="center"/>
        <w:rPr>
          <w:b/>
          <w:bCs/>
          <w:sz w:val="28"/>
          <w:szCs w:val="28"/>
        </w:rPr>
      </w:pPr>
      <w:r w:rsidRPr="0071044D">
        <w:rPr>
          <w:color w:val="000000"/>
          <w:sz w:val="28"/>
          <w:szCs w:val="28"/>
        </w:rPr>
        <w:t xml:space="preserve">Effect of transplanting density on leaf yield and pest tolerance of amaranth </w:t>
      </w:r>
      <w:r w:rsidRPr="0071044D">
        <w:rPr>
          <w:rStyle w:val="Emphasis"/>
          <w:rFonts w:eastAsiaTheme="majorEastAsia"/>
          <w:color w:val="000000"/>
          <w:sz w:val="28"/>
          <w:szCs w:val="28"/>
        </w:rPr>
        <w:t>(</w:t>
      </w:r>
      <w:r w:rsidRPr="0071044D">
        <w:rPr>
          <w:i/>
          <w:iCs/>
          <w:color w:val="000000"/>
          <w:sz w:val="28"/>
          <w:szCs w:val="28"/>
        </w:rPr>
        <w:t>Amaranthus cruentus)</w:t>
      </w:r>
      <w:r w:rsidRPr="0071044D">
        <w:rPr>
          <w:color w:val="000000"/>
          <w:sz w:val="28"/>
          <w:szCs w:val="28"/>
        </w:rPr>
        <w:t xml:space="preserve"> in the tropics</w:t>
      </w:r>
    </w:p>
    <w:p w:rsidR="0063372F" w:rsidRDefault="0063372F" w:rsidP="000B5249">
      <w:pPr>
        <w:autoSpaceDE w:val="0"/>
        <w:autoSpaceDN w:val="0"/>
        <w:adjustRightInd w:val="0"/>
        <w:spacing w:before="120" w:after="120"/>
        <w:jc w:val="both"/>
        <w:rPr>
          <w:b/>
          <w:bCs/>
          <w:color w:val="000000" w:themeColor="text1"/>
        </w:rPr>
      </w:pPr>
    </w:p>
    <w:p w:rsidR="0063372F" w:rsidRDefault="0063372F" w:rsidP="000B5249">
      <w:pPr>
        <w:autoSpaceDE w:val="0"/>
        <w:autoSpaceDN w:val="0"/>
        <w:adjustRightInd w:val="0"/>
        <w:spacing w:before="120" w:after="120"/>
        <w:jc w:val="both"/>
        <w:rPr>
          <w:b/>
          <w:bCs/>
          <w:color w:val="000000" w:themeColor="text1"/>
        </w:rPr>
      </w:pPr>
    </w:p>
    <w:p w:rsidR="00B5345D" w:rsidRPr="00EF2353" w:rsidRDefault="00B5345D" w:rsidP="000B5249">
      <w:pPr>
        <w:autoSpaceDE w:val="0"/>
        <w:autoSpaceDN w:val="0"/>
        <w:adjustRightInd w:val="0"/>
        <w:spacing w:before="120" w:after="120"/>
        <w:jc w:val="both"/>
        <w:rPr>
          <w:b/>
          <w:bCs/>
          <w:color w:val="000000" w:themeColor="text1"/>
          <w:lang w:val="en-GB"/>
        </w:rPr>
      </w:pPr>
      <w:bookmarkStart w:id="0" w:name="_GoBack"/>
      <w:bookmarkEnd w:id="0"/>
      <w:r>
        <w:rPr>
          <w:b/>
          <w:bCs/>
          <w:color w:val="000000" w:themeColor="text1"/>
        </w:rPr>
        <w:t>ABSTRACT</w:t>
      </w:r>
    </w:p>
    <w:p w:rsidR="00827D26" w:rsidRDefault="00827D26" w:rsidP="00827D26">
      <w:pPr>
        <w:autoSpaceDE w:val="0"/>
        <w:autoSpaceDN w:val="0"/>
        <w:adjustRightInd w:val="0"/>
        <w:spacing w:line="276" w:lineRule="auto"/>
        <w:jc w:val="both"/>
        <w:rPr>
          <w:color w:val="000000"/>
        </w:rPr>
      </w:pPr>
      <w:r w:rsidRPr="00827D26">
        <w:rPr>
          <w:color w:val="000000"/>
        </w:rPr>
        <w:t>Amaranth, a food crop with a high nutritional value, stands out for its great adaptability to environmental conditions. From a sustainable agriculture perspective, adjusting the transplanting density is an essential lever for improving plant productivity and health. This study aims to evaluate the impact of transplanting density on leaf yield and tolerance to pests of amaranth. It was carried out in the south of Côte d'Ivoire, a region with a bimodal equatorial climate alternating rainy and dry seasons favourable to this crop. The trial was conducted using a randomized full block design with three transplanting densities</w:t>
      </w:r>
      <w:r w:rsidR="007015E9">
        <w:rPr>
          <w:color w:val="000000"/>
        </w:rPr>
        <w:t xml:space="preserve"> </w:t>
      </w:r>
      <w:r w:rsidRPr="00827D26">
        <w:rPr>
          <w:color w:val="000000"/>
        </w:rPr>
        <w:t>: D1 (20 × 20 cm), D2 (10 × 20 cm) and D3 (5 × 20 cm), with three replicates. Amaranth plants were transplanted onto 16 m² boards, previously ploughed. The observations focused on the number of branches, the flowering time, the leaf yield (t/ha) and the sensitivity to pests, evaluated on a scale of 1 (very tolerant) to 5 (very sensitive). The data were subjected to an ANOVA, followed by the Tukey test at the 5% level. The results indicate that transplanting density positively influences the number of twigs and leaf yield. Density D2 (10 × 20 cm) produced the highest number of twigs (686 ± 20) and the highest leaf yield (16.0 ± 0.9 t/ha). Better tolerance to stem necrosis was also observed at this density (score 3.3), compared to a higher sensitivity (score 4.3) at density D1 (20 × 20 cm). In contrast, the spike density did not have a significant effect on the degree of attack of the caterpillar. Similarly, the flowering time remained stable, around 45 days after transplanting. These results highlight the importance of choosing an optimal transplanting density to improve productivity and resistance to pests without disrupting the phenological cycle. In this respect, the D2 density appears to be the best compromise, combining high productivity with better plant health.</w:t>
      </w:r>
    </w:p>
    <w:p w:rsidR="00B5345D" w:rsidRDefault="00B5345D" w:rsidP="00827D26">
      <w:pPr>
        <w:autoSpaceDE w:val="0"/>
        <w:autoSpaceDN w:val="0"/>
        <w:adjustRightInd w:val="0"/>
        <w:spacing w:before="120"/>
        <w:jc w:val="both"/>
        <w:rPr>
          <w:color w:val="000000"/>
        </w:rPr>
      </w:pPr>
      <w:r w:rsidRPr="00F5754E">
        <w:rPr>
          <w:b/>
          <w:bCs/>
        </w:rPr>
        <w:t>Keywords</w:t>
      </w:r>
      <w:r w:rsidR="00423633">
        <w:rPr>
          <w:b/>
          <w:bCs/>
        </w:rPr>
        <w:t xml:space="preserve"> </w:t>
      </w:r>
      <w:r w:rsidRPr="00F5754E">
        <w:rPr>
          <w:b/>
          <w:bCs/>
        </w:rPr>
        <w:t xml:space="preserve">: </w:t>
      </w:r>
      <w:r w:rsidRPr="00F5754E">
        <w:rPr>
          <w:i/>
          <w:iCs/>
          <w:color w:val="000000"/>
        </w:rPr>
        <w:t>Amaranthus cruentus</w:t>
      </w:r>
      <w:r w:rsidRPr="00F5754E">
        <w:rPr>
          <w:color w:val="000000"/>
        </w:rPr>
        <w:t>, Transplanting density, Leaf yield, Resilience, Tropical zone</w:t>
      </w:r>
    </w:p>
    <w:p w:rsidR="00885E0C" w:rsidRPr="00F5754E" w:rsidRDefault="00885E0C" w:rsidP="00827D26">
      <w:pPr>
        <w:autoSpaceDE w:val="0"/>
        <w:autoSpaceDN w:val="0"/>
        <w:adjustRightInd w:val="0"/>
        <w:spacing w:before="120"/>
        <w:jc w:val="both"/>
        <w:rPr>
          <w:b/>
          <w:bCs/>
          <w:lang w:val="en-GB"/>
        </w:rPr>
      </w:pPr>
    </w:p>
    <w:p w:rsidR="00B5345D" w:rsidRPr="00827D26" w:rsidRDefault="00B5345D" w:rsidP="00827D26">
      <w:pPr>
        <w:pStyle w:val="ListParagraph"/>
        <w:numPr>
          <w:ilvl w:val="0"/>
          <w:numId w:val="29"/>
        </w:numPr>
        <w:spacing w:before="120" w:after="120"/>
        <w:outlineLvl w:val="1"/>
        <w:rPr>
          <w:b/>
          <w:bCs/>
          <w:color w:val="000000"/>
        </w:rPr>
      </w:pPr>
      <w:r w:rsidRPr="00827D26">
        <w:rPr>
          <w:b/>
          <w:bCs/>
          <w:color w:val="000000"/>
        </w:rPr>
        <w:t>INTRODUCTION</w:t>
      </w:r>
    </w:p>
    <w:p w:rsidR="00B5345D" w:rsidRPr="00D344C8" w:rsidRDefault="00B5345D" w:rsidP="00567B9A">
      <w:pPr>
        <w:autoSpaceDE w:val="0"/>
        <w:autoSpaceDN w:val="0"/>
        <w:adjustRightInd w:val="0"/>
        <w:spacing w:line="360" w:lineRule="auto"/>
        <w:jc w:val="both"/>
        <w:rPr>
          <w:color w:val="000000"/>
        </w:rPr>
      </w:pPr>
      <w:r w:rsidRPr="00D344C8">
        <w:rPr>
          <w:color w:val="000000"/>
        </w:rPr>
        <w:t>Amaranth (</w:t>
      </w:r>
      <w:r w:rsidRPr="00D344C8">
        <w:rPr>
          <w:i/>
          <w:iCs/>
          <w:color w:val="000000"/>
        </w:rPr>
        <w:t>Amaranthus cruentus</w:t>
      </w:r>
      <w:r w:rsidRPr="00D344C8">
        <w:rPr>
          <w:color w:val="000000"/>
        </w:rPr>
        <w:t>), a tropical leafy vegetable, is a vegetable plant widely grown and consumed in Côte d'Ivoire. It plays a pivotal role in the food and nutrition security of populations (</w:t>
      </w:r>
      <w:r w:rsidRPr="00D344C8">
        <w:rPr>
          <w:b/>
          <w:bCs/>
          <w:color w:val="000000"/>
        </w:rPr>
        <w:t>Koné et al., 2017</w:t>
      </w:r>
      <w:r w:rsidRPr="00D344C8">
        <w:rPr>
          <w:color w:val="000000"/>
        </w:rPr>
        <w:t>). Rich in proteins, vitamins (A, C, K), essential minerals (iron, calcium, magnesium) and antioxidants, amaranth is known for its high nutritional value. Thus, it contributes to the fight against malnutrition, particularly among children and pregnant women (</w:t>
      </w:r>
      <w:r w:rsidRPr="00D344C8">
        <w:rPr>
          <w:b/>
          <w:bCs/>
          <w:color w:val="000000"/>
        </w:rPr>
        <w:t>Shukla et al., 2021</w:t>
      </w:r>
      <w:r w:rsidRPr="00D344C8">
        <w:rPr>
          <w:color w:val="000000"/>
        </w:rPr>
        <w:t>). In addition to its nutritional contribution, its cultivation provides substantial income for smallholder farmers, especially women, thus contributing to rural economic development and poverty reduction (</w:t>
      </w:r>
      <w:r w:rsidRPr="00D344C8">
        <w:rPr>
          <w:b/>
          <w:bCs/>
          <w:color w:val="000000"/>
        </w:rPr>
        <w:t>Ajao and Ilukor, 2020</w:t>
      </w:r>
      <w:r w:rsidRPr="00D344C8">
        <w:rPr>
          <w:color w:val="000000"/>
        </w:rPr>
        <w:t>).</w:t>
      </w:r>
    </w:p>
    <w:p w:rsidR="00B5345D" w:rsidRPr="00D344C8" w:rsidRDefault="00B5345D" w:rsidP="00EC19F3">
      <w:pPr>
        <w:autoSpaceDE w:val="0"/>
        <w:autoSpaceDN w:val="0"/>
        <w:adjustRightInd w:val="0"/>
        <w:spacing w:line="360" w:lineRule="auto"/>
        <w:jc w:val="both"/>
        <w:rPr>
          <w:color w:val="000000"/>
        </w:rPr>
      </w:pPr>
      <w:r w:rsidRPr="00D344C8">
        <w:rPr>
          <w:color w:val="000000"/>
        </w:rPr>
        <w:lastRenderedPageBreak/>
        <w:t>In a global context marked by rapid population growth and the disruptive effects of climate change, the need to sustainably intensify agricultural production has become a top priority (</w:t>
      </w:r>
      <w:r w:rsidRPr="00D344C8">
        <w:rPr>
          <w:b/>
          <w:bCs/>
          <w:color w:val="000000"/>
        </w:rPr>
        <w:t>Pretty, 2008</w:t>
      </w:r>
      <w:r>
        <w:rPr>
          <w:b/>
          <w:bCs/>
          <w:color w:val="000000"/>
        </w:rPr>
        <w:t xml:space="preserve"> </w:t>
      </w:r>
      <w:r w:rsidRPr="00D344C8">
        <w:rPr>
          <w:b/>
          <w:bCs/>
          <w:color w:val="000000"/>
        </w:rPr>
        <w:t>; FAO, 2020</w:t>
      </w:r>
      <w:r w:rsidRPr="00D344C8">
        <w:rPr>
          <w:color w:val="000000"/>
        </w:rPr>
        <w:t>). Côte d'Ivoire, like many countries in sub-Saharan Africa, is facing growing challenges related to land degradation, water scarcity and climate variability, which threaten agricultural productivity (</w:t>
      </w:r>
      <w:r w:rsidRPr="00D344C8">
        <w:rPr>
          <w:b/>
          <w:bCs/>
          <w:color w:val="000000"/>
        </w:rPr>
        <w:t>Traoré et al., 2018</w:t>
      </w:r>
      <w:r w:rsidRPr="00D344C8">
        <w:rPr>
          <w:color w:val="000000"/>
        </w:rPr>
        <w:t>). To meet these challenges, the optimization of cultivation practices is an essential strategy to maximize the yield of food crops while minimizing the environmental footprint. Among the key agronomic factors, planting density is a major determinant of amaranth productivity, directly influencing inter-plant competition and resource use efficiency (</w:t>
      </w:r>
      <w:r w:rsidRPr="00D344C8">
        <w:rPr>
          <w:b/>
          <w:bCs/>
          <w:color w:val="000000"/>
        </w:rPr>
        <w:t>Bello et al., 2022</w:t>
      </w:r>
      <w:r w:rsidRPr="00D344C8">
        <w:rPr>
          <w:color w:val="000000"/>
        </w:rPr>
        <w:t>).</w:t>
      </w:r>
    </w:p>
    <w:p w:rsidR="00B5345D" w:rsidRPr="00D344C8" w:rsidRDefault="00B5345D" w:rsidP="00790E7B">
      <w:pPr>
        <w:autoSpaceDE w:val="0"/>
        <w:autoSpaceDN w:val="0"/>
        <w:adjustRightInd w:val="0"/>
        <w:spacing w:line="360" w:lineRule="auto"/>
        <w:jc w:val="both"/>
        <w:rPr>
          <w:color w:val="000000"/>
        </w:rPr>
      </w:pPr>
      <w:r w:rsidRPr="00D344C8">
        <w:rPr>
          <w:color w:val="000000"/>
        </w:rPr>
        <w:t>Inappropriate seeding or transplanting densities can have harmful consequences on the development of amaranth. Planting densities that are too low can lead to underutilization of available land and, consequently, low production per unit area. Conversely, excessive density causes intense competition between plants for light, water, nutrients, and space, which can result in reduced leaf size, elongation of stems, and decreased individual biomass (</w:t>
      </w:r>
      <w:r w:rsidRPr="00D344C8">
        <w:rPr>
          <w:b/>
          <w:bCs/>
          <w:color w:val="000000"/>
        </w:rPr>
        <w:t>Adepoju et al., 2018</w:t>
      </w:r>
      <w:r w:rsidRPr="00D344C8">
        <w:rPr>
          <w:color w:val="000000"/>
        </w:rPr>
        <w:t>). Ultimately, this increased competition can increase the vulnerability of plants to diseases and pests, and ultimately significantly decrease yield and crop quality (</w:t>
      </w:r>
      <w:r w:rsidRPr="00D344C8">
        <w:rPr>
          <w:b/>
          <w:bCs/>
          <w:color w:val="000000"/>
        </w:rPr>
        <w:t>Gbadamosi et al., 2015</w:t>
      </w:r>
      <w:r w:rsidRPr="00D344C8">
        <w:rPr>
          <w:color w:val="000000"/>
        </w:rPr>
        <w:t>). Several studies on other vegetable crops have shown that the precise adjustment of planting density is crucial to achieve an optimal balance between the number of plants per unit area and their individual performance. This maximizes total biomass and marketable yield (</w:t>
      </w:r>
      <w:r w:rsidRPr="00D344C8">
        <w:rPr>
          <w:b/>
          <w:bCs/>
          <w:color w:val="000000"/>
        </w:rPr>
        <w:t>Okpe et al., 2020</w:t>
      </w:r>
      <w:r w:rsidRPr="00D344C8">
        <w:rPr>
          <w:color w:val="000000"/>
        </w:rPr>
        <w:t>).</w:t>
      </w:r>
    </w:p>
    <w:p w:rsidR="00B5345D" w:rsidRPr="00D344C8" w:rsidRDefault="00B5345D" w:rsidP="009809EA">
      <w:pPr>
        <w:autoSpaceDE w:val="0"/>
        <w:autoSpaceDN w:val="0"/>
        <w:adjustRightInd w:val="0"/>
        <w:spacing w:line="360" w:lineRule="auto"/>
        <w:jc w:val="both"/>
        <w:rPr>
          <w:color w:val="000000"/>
        </w:rPr>
      </w:pPr>
      <w:r w:rsidRPr="00D344C8">
        <w:rPr>
          <w:color w:val="000000"/>
        </w:rPr>
        <w:t>Despite the socio-economic and nutritional importance of amaranth in Côte d'Ivoire, specific scientific data regarding optimal planting densities under local pedoclimatic conditions remain limited. Current farmers' practices are often based on ancestral traditions or empirical observations, which can lead to suboptimal yields and inefficient use of inputs (</w:t>
      </w:r>
      <w:r w:rsidRPr="00D344C8">
        <w:rPr>
          <w:b/>
          <w:bCs/>
          <w:color w:val="000000"/>
        </w:rPr>
        <w:t>Kouadio et al., 2019</w:t>
      </w:r>
      <w:r w:rsidRPr="00D344C8">
        <w:rPr>
          <w:color w:val="000000"/>
        </w:rPr>
        <w:t>). In addition, well-managed planting density can not only improve productivity, but also contribute to more sustainable crop management by reducing weed growth (through shading) and optimizing irrigation and fertilization efficiency (</w:t>
      </w:r>
      <w:r w:rsidRPr="00D344C8">
        <w:rPr>
          <w:b/>
          <w:bCs/>
          <w:color w:val="000000"/>
        </w:rPr>
        <w:t xml:space="preserve">Gwandu et al., </w:t>
      </w:r>
      <w:r w:rsidRPr="00261EA4">
        <w:rPr>
          <w:b/>
          <w:bCs/>
          <w:color w:val="000000" w:themeColor="text1"/>
        </w:rPr>
        <w:t>2021</w:t>
      </w:r>
      <w:r w:rsidRPr="00D344C8">
        <w:rPr>
          <w:color w:val="000000"/>
        </w:rPr>
        <w:t>).</w:t>
      </w:r>
    </w:p>
    <w:p w:rsidR="00B5345D" w:rsidRPr="00D344C8" w:rsidRDefault="00B5345D" w:rsidP="008A2A03">
      <w:pPr>
        <w:autoSpaceDE w:val="0"/>
        <w:autoSpaceDN w:val="0"/>
        <w:adjustRightInd w:val="0"/>
        <w:spacing w:line="360" w:lineRule="auto"/>
        <w:jc w:val="both"/>
        <w:rPr>
          <w:color w:val="000000"/>
        </w:rPr>
      </w:pPr>
      <w:r w:rsidRPr="00D344C8">
        <w:rPr>
          <w:color w:val="000000"/>
        </w:rPr>
        <w:t>This study aims to evaluate the impact of different planting densities on growth parameters (height, number of leaves, biomass), yield characteristics (fresh leaf weight) and efficiency of the use of amaranth (</w:t>
      </w:r>
      <w:r w:rsidRPr="00D344C8">
        <w:rPr>
          <w:i/>
          <w:iCs/>
          <w:color w:val="000000"/>
        </w:rPr>
        <w:t>Amaranthus cruentus</w:t>
      </w:r>
      <w:r w:rsidRPr="00D344C8">
        <w:rPr>
          <w:color w:val="000000"/>
        </w:rPr>
        <w:t xml:space="preserve">) resources in the specific agro-ecological conditions of Côte d'Ivoire. The objective is to determine the optimal planting density that will allow Ivorian producers to maximize the yield and profitability of amaranth, while being part of a sustainable and resilient agricultural production approach in the face of current environmental and socio-economic challenges. The results of this research will provide evidence-based </w:t>
      </w:r>
      <w:r w:rsidRPr="00D344C8">
        <w:rPr>
          <w:color w:val="000000"/>
        </w:rPr>
        <w:lastRenderedPageBreak/>
        <w:t>technical recommendations to improve the productivity and sustainability of amaranth cultivation, and by extension, the food security and livelihoods of rural Ivorian populations.</w:t>
      </w:r>
    </w:p>
    <w:p w:rsidR="00B5345D" w:rsidRPr="00827D26" w:rsidRDefault="00827D26" w:rsidP="00827D26">
      <w:pPr>
        <w:pStyle w:val="ListParagraph"/>
        <w:numPr>
          <w:ilvl w:val="0"/>
          <w:numId w:val="29"/>
        </w:numPr>
        <w:autoSpaceDE w:val="0"/>
        <w:autoSpaceDN w:val="0"/>
        <w:adjustRightInd w:val="0"/>
        <w:spacing w:before="120" w:line="360" w:lineRule="auto"/>
        <w:jc w:val="both"/>
        <w:rPr>
          <w:b/>
          <w:bCs/>
        </w:rPr>
      </w:pPr>
      <w:r w:rsidRPr="00827D26">
        <w:rPr>
          <w:b/>
          <w:bCs/>
        </w:rPr>
        <w:t>MATERIALS AND METHODS</w:t>
      </w:r>
    </w:p>
    <w:p w:rsidR="00B5345D" w:rsidRPr="00827D26" w:rsidRDefault="00827D26" w:rsidP="00827D26">
      <w:pPr>
        <w:pStyle w:val="ListParagraph"/>
        <w:numPr>
          <w:ilvl w:val="1"/>
          <w:numId w:val="29"/>
        </w:numPr>
        <w:autoSpaceDE w:val="0"/>
        <w:autoSpaceDN w:val="0"/>
        <w:adjustRightInd w:val="0"/>
        <w:spacing w:before="120" w:line="360" w:lineRule="auto"/>
        <w:jc w:val="both"/>
        <w:rPr>
          <w:b/>
          <w:bCs/>
        </w:rPr>
      </w:pPr>
      <w:r>
        <w:rPr>
          <w:b/>
          <w:bCs/>
        </w:rPr>
        <w:t xml:space="preserve"> </w:t>
      </w:r>
      <w:r w:rsidR="00B5345D" w:rsidRPr="00827D26">
        <w:rPr>
          <w:b/>
          <w:bCs/>
        </w:rPr>
        <w:t>Study site</w:t>
      </w:r>
    </w:p>
    <w:p w:rsidR="00B5345D" w:rsidRPr="005F4AAB" w:rsidRDefault="00B5345D" w:rsidP="00945B81">
      <w:pPr>
        <w:autoSpaceDE w:val="0"/>
        <w:autoSpaceDN w:val="0"/>
        <w:adjustRightInd w:val="0"/>
        <w:spacing w:line="360" w:lineRule="auto"/>
        <w:jc w:val="both"/>
      </w:pPr>
      <w:r w:rsidRPr="005F4AAB">
        <w:rPr>
          <w:color w:val="000000"/>
        </w:rPr>
        <w:t>The study was carried out in the south of Côte d'Ivoire, characterized by an equatorial climate with a bimodal regime, with two rainy seasons (March to June and September to November) and two dry seasons (July to August, then December to February). During the experimental period, monthly temperatures ranged from 27°C to 31°C, while the mean relative humidity was around 73.6%. The soil of the experimental plot was ferrallitic, sandy-textured, with an acidic pH of 4.5 and a carbon/nitrogen (C/N) ratio of 10.5.</w:t>
      </w:r>
    </w:p>
    <w:p w:rsidR="00B5345D" w:rsidRPr="00827D26" w:rsidRDefault="00827D26" w:rsidP="00827D26">
      <w:pPr>
        <w:pStyle w:val="ListParagraph"/>
        <w:numPr>
          <w:ilvl w:val="1"/>
          <w:numId w:val="29"/>
        </w:numPr>
        <w:spacing w:before="120" w:line="360" w:lineRule="auto"/>
        <w:rPr>
          <w:b/>
          <w:bCs/>
        </w:rPr>
      </w:pPr>
      <w:r>
        <w:rPr>
          <w:b/>
          <w:bCs/>
        </w:rPr>
        <w:t xml:space="preserve"> </w:t>
      </w:r>
      <w:r w:rsidR="00B5345D" w:rsidRPr="00827D26">
        <w:rPr>
          <w:b/>
          <w:bCs/>
        </w:rPr>
        <w:t>Plant material</w:t>
      </w:r>
    </w:p>
    <w:p w:rsidR="00B5345D" w:rsidRPr="005F4AAB" w:rsidRDefault="00B5345D" w:rsidP="006605E5">
      <w:pPr>
        <w:spacing w:line="360" w:lineRule="auto"/>
        <w:jc w:val="both"/>
        <w:rPr>
          <w:color w:val="000000"/>
        </w:rPr>
      </w:pPr>
      <w:r w:rsidRPr="005F4AAB">
        <w:rPr>
          <w:color w:val="000000"/>
        </w:rPr>
        <w:t>The plant material used for this study consisted of amaranth seeds (</w:t>
      </w:r>
      <w:r w:rsidRPr="005F4AAB">
        <w:rPr>
          <w:rStyle w:val="Emphasis"/>
          <w:rFonts w:eastAsiaTheme="majorEastAsia"/>
          <w:color w:val="000000"/>
        </w:rPr>
        <w:t xml:space="preserve">Amaranthus </w:t>
      </w:r>
      <w:r w:rsidRPr="005F4AAB">
        <w:rPr>
          <w:i/>
          <w:iCs/>
          <w:color w:val="000000"/>
        </w:rPr>
        <w:t>cruentus</w:t>
      </w:r>
      <w:r w:rsidRPr="005F4AAB">
        <w:rPr>
          <w:color w:val="000000"/>
        </w:rPr>
        <w:t>), obtained from market gardeners specializing in the cultivation of leafy greens in the urban areas of Abidjan. The choice of these local seeds is explained by their adaptation to the agroecological conditions of the Ivorian urban environment, their availability among producers, as well as their relevance for the study of agronomic variability in a real production context. In addition, the use of plant material from the farmers' circuit allows a better representativeness of local cultivation practices and promotes the transposability of the results to the operational scale.</w:t>
      </w:r>
    </w:p>
    <w:p w:rsidR="00B5345D" w:rsidRPr="00827D26" w:rsidRDefault="00827D26" w:rsidP="00827D26">
      <w:pPr>
        <w:pStyle w:val="ListParagraph"/>
        <w:numPr>
          <w:ilvl w:val="1"/>
          <w:numId w:val="29"/>
        </w:numPr>
        <w:spacing w:before="120" w:line="360" w:lineRule="auto"/>
        <w:jc w:val="both"/>
        <w:rPr>
          <w:b/>
          <w:bCs/>
          <w:color w:val="000000" w:themeColor="text1"/>
        </w:rPr>
      </w:pPr>
      <w:r>
        <w:rPr>
          <w:b/>
          <w:bCs/>
          <w:color w:val="000000" w:themeColor="text1"/>
        </w:rPr>
        <w:t xml:space="preserve"> </w:t>
      </w:r>
      <w:r w:rsidR="00B5345D" w:rsidRPr="00827D26">
        <w:rPr>
          <w:b/>
          <w:bCs/>
          <w:color w:val="000000" w:themeColor="text1"/>
        </w:rPr>
        <w:t>Setting up the trial</w:t>
      </w:r>
    </w:p>
    <w:p w:rsidR="00B5345D" w:rsidRPr="00F03728" w:rsidRDefault="00B5345D" w:rsidP="00590742">
      <w:pPr>
        <w:spacing w:line="360" w:lineRule="auto"/>
        <w:jc w:val="both"/>
        <w:rPr>
          <w:color w:val="000000" w:themeColor="text1"/>
        </w:rPr>
      </w:pPr>
      <w:r w:rsidRPr="00F03728">
        <w:rPr>
          <w:color w:val="000000" w:themeColor="text1"/>
        </w:rPr>
        <w:t>To better conduct this study, a nursery was set up in August. To this end, a 5 m long and 1 m wide cultivation bed was created, following manual ploughing of the soil. In order to disinfect the substrate, a Furadan treatment was applied at a rate of 50 g/m², followed by an organic amendment by incorporating poultry manure at a dose of 4 kg/m². The amaranth seeds were then sown in rows, spaced 10 cm apart.</w:t>
      </w:r>
      <w:r w:rsidR="00F03728">
        <w:rPr>
          <w:color w:val="000000" w:themeColor="text1"/>
        </w:rPr>
        <w:t xml:space="preserve"> </w:t>
      </w:r>
      <w:r w:rsidRPr="00F03728">
        <w:rPr>
          <w:color w:val="000000" w:themeColor="text1"/>
        </w:rPr>
        <w:t xml:space="preserve">After sowing, the board was covered with palm leaves placed directly on the ground to maintain moisture and promote emergence. These leaves were removed as soon as the seedlings appeared. A temporary shade was then erected at a height of 80 cm to protect the young shoots from direct sunlight. This was gradually lightened one week before transplanting, by partial removal of the palm leaves, and then completely removed two days before transplanting. For transplanting in the field, a second manual ploughing of the soil was carried out. Plant spacings were defined based on the expected seeding densities of the experimental treatments. The control of the caterpillars required two phytosanitary interventions, carried out at the fifth and seventh week after transplanting, using a mixture of </w:t>
      </w:r>
      <w:r w:rsidRPr="00F03728">
        <w:rPr>
          <w:color w:val="000000" w:themeColor="text1"/>
        </w:rPr>
        <w:lastRenderedPageBreak/>
        <w:t>Callidim (dimethoate 400 g/l) and Stork 50 EC (cypermethrin 50 g/l). At the same time, weeding operations have been carried out regularly in order to limit competition from weeds.</w:t>
      </w:r>
    </w:p>
    <w:p w:rsidR="00B5345D" w:rsidRPr="00827D26" w:rsidRDefault="00827D26" w:rsidP="00827D26">
      <w:pPr>
        <w:pStyle w:val="ListParagraph"/>
        <w:numPr>
          <w:ilvl w:val="1"/>
          <w:numId w:val="29"/>
        </w:numPr>
        <w:spacing w:before="120" w:line="360" w:lineRule="auto"/>
        <w:jc w:val="both"/>
        <w:rPr>
          <w:b/>
          <w:color w:val="000000" w:themeColor="text1"/>
        </w:rPr>
      </w:pPr>
      <w:r>
        <w:rPr>
          <w:b/>
          <w:color w:val="000000" w:themeColor="text1"/>
        </w:rPr>
        <w:t xml:space="preserve"> </w:t>
      </w:r>
      <w:r w:rsidR="00B5345D" w:rsidRPr="00827D26">
        <w:rPr>
          <w:b/>
          <w:color w:val="000000" w:themeColor="text1"/>
        </w:rPr>
        <w:t>Experimental design</w:t>
      </w:r>
    </w:p>
    <w:p w:rsidR="00B5345D" w:rsidRPr="00F03728" w:rsidRDefault="00B5345D" w:rsidP="00A5758E">
      <w:pPr>
        <w:spacing w:line="360" w:lineRule="auto"/>
        <w:jc w:val="both"/>
        <w:rPr>
          <w:color w:val="000000" w:themeColor="text1"/>
        </w:rPr>
      </w:pPr>
      <w:r w:rsidRPr="00F03728">
        <w:rPr>
          <w:color w:val="000000" w:themeColor="text1"/>
        </w:rPr>
        <w:t>The test was conducted using a split-plot design, with three replicates for each of the three transplant densit</w:t>
      </w:r>
      <w:r w:rsidR="00A7489F">
        <w:rPr>
          <w:color w:val="000000" w:themeColor="text1"/>
        </w:rPr>
        <w:t>ies</w:t>
      </w:r>
      <w:r w:rsidRPr="00F03728">
        <w:rPr>
          <w:color w:val="000000" w:themeColor="text1"/>
        </w:rPr>
        <w:t>. Each repeating block consisted of two ridges, each measuring 4 m long by 1 m wide, representing a total area of 16 m². The ridges were spaced 0.5 m apart, while a distance of 0.75 m separated the blocks. In each block, one ridge was dedicated to yield evaluation, while the others were used for experimental measurements. Three transplanting densit</w:t>
      </w:r>
      <w:r w:rsidR="00A7489F">
        <w:rPr>
          <w:color w:val="000000" w:themeColor="text1"/>
        </w:rPr>
        <w:t>ies</w:t>
      </w:r>
      <w:r w:rsidRPr="00F03728">
        <w:rPr>
          <w:color w:val="000000" w:themeColor="text1"/>
        </w:rPr>
        <w:t xml:space="preserve"> were tested within the repeating blocks</w:t>
      </w:r>
      <w:r w:rsidR="00423633">
        <w:rPr>
          <w:color w:val="000000" w:themeColor="text1"/>
        </w:rPr>
        <w:t xml:space="preserve"> </w:t>
      </w:r>
      <w:r w:rsidRPr="00F03728">
        <w:rPr>
          <w:color w:val="000000" w:themeColor="text1"/>
        </w:rPr>
        <w:t>:</w:t>
      </w:r>
    </w:p>
    <w:p w:rsidR="00B5345D" w:rsidRPr="00F03728" w:rsidRDefault="00B5345D" w:rsidP="00B5345D">
      <w:pPr>
        <w:pStyle w:val="NormalWeb"/>
        <w:numPr>
          <w:ilvl w:val="0"/>
          <w:numId w:val="26"/>
        </w:numPr>
        <w:spacing w:before="0" w:beforeAutospacing="0" w:line="360" w:lineRule="auto"/>
        <w:ind w:left="284" w:hanging="284"/>
        <w:jc w:val="both"/>
        <w:rPr>
          <w:color w:val="000000" w:themeColor="text1"/>
        </w:rPr>
      </w:pPr>
      <w:r w:rsidRPr="00F03728">
        <w:rPr>
          <w:b/>
          <w:bCs/>
          <w:color w:val="000000" w:themeColor="text1"/>
        </w:rPr>
        <w:t>D1</w:t>
      </w:r>
      <w:r w:rsidRPr="00F03728">
        <w:rPr>
          <w:color w:val="000000" w:themeColor="text1"/>
        </w:rPr>
        <w:t xml:space="preserve"> : 20 cm × 20 cm, i.e. 25 plants/m² (equivalent to 250,000 vines/ha), considered as the standard control</w:t>
      </w:r>
      <w:r w:rsidR="00423633">
        <w:rPr>
          <w:color w:val="000000" w:themeColor="text1"/>
        </w:rPr>
        <w:t xml:space="preserve"> </w:t>
      </w:r>
      <w:r w:rsidRPr="00F03728">
        <w:rPr>
          <w:color w:val="000000" w:themeColor="text1"/>
        </w:rPr>
        <w:t>;</w:t>
      </w:r>
    </w:p>
    <w:p w:rsidR="00B5345D" w:rsidRPr="00F03728" w:rsidRDefault="00B5345D" w:rsidP="00B5345D">
      <w:pPr>
        <w:pStyle w:val="NormalWeb"/>
        <w:numPr>
          <w:ilvl w:val="0"/>
          <w:numId w:val="26"/>
        </w:numPr>
        <w:spacing w:line="360" w:lineRule="auto"/>
        <w:ind w:left="284" w:hanging="284"/>
        <w:jc w:val="both"/>
        <w:rPr>
          <w:color w:val="000000" w:themeColor="text1"/>
        </w:rPr>
      </w:pPr>
      <w:r w:rsidRPr="00F03728">
        <w:rPr>
          <w:b/>
          <w:bCs/>
          <w:color w:val="000000" w:themeColor="text1"/>
        </w:rPr>
        <w:t>D2</w:t>
      </w:r>
      <w:r w:rsidRPr="00F03728">
        <w:rPr>
          <w:color w:val="000000" w:themeColor="text1"/>
        </w:rPr>
        <w:t xml:space="preserve"> : 10 cm × 20 cm, i.e. 50 plants/m² (500,000 vines/ha);</w:t>
      </w:r>
    </w:p>
    <w:p w:rsidR="00B5345D" w:rsidRPr="00F03728" w:rsidRDefault="00B5345D" w:rsidP="00B5345D">
      <w:pPr>
        <w:pStyle w:val="NormalWeb"/>
        <w:numPr>
          <w:ilvl w:val="0"/>
          <w:numId w:val="26"/>
        </w:numPr>
        <w:spacing w:before="0" w:beforeAutospacing="0" w:after="120" w:afterAutospacing="0" w:line="360" w:lineRule="auto"/>
        <w:ind w:left="284" w:hanging="284"/>
        <w:jc w:val="both"/>
        <w:rPr>
          <w:color w:val="000000" w:themeColor="text1"/>
        </w:rPr>
      </w:pPr>
      <w:r w:rsidRPr="00F03728">
        <w:rPr>
          <w:b/>
          <w:bCs/>
          <w:color w:val="000000" w:themeColor="text1"/>
        </w:rPr>
        <w:t>D3</w:t>
      </w:r>
      <w:r w:rsidRPr="00F03728">
        <w:rPr>
          <w:color w:val="000000" w:themeColor="text1"/>
        </w:rPr>
        <w:t xml:space="preserve"> : 20 cm × 10 cm, i.e. also 50 plants/m² (500,000 vines/ha).</w:t>
      </w:r>
    </w:p>
    <w:p w:rsidR="00B5345D" w:rsidRPr="00827D26" w:rsidRDefault="00827D26" w:rsidP="00827D26">
      <w:pPr>
        <w:pStyle w:val="ListParagraph"/>
        <w:numPr>
          <w:ilvl w:val="1"/>
          <w:numId w:val="29"/>
        </w:numPr>
        <w:spacing w:line="360" w:lineRule="auto"/>
        <w:jc w:val="both"/>
        <w:rPr>
          <w:b/>
          <w:color w:val="000000" w:themeColor="text1"/>
        </w:rPr>
      </w:pPr>
      <w:r>
        <w:rPr>
          <w:b/>
          <w:color w:val="000000" w:themeColor="text1"/>
        </w:rPr>
        <w:t xml:space="preserve"> </w:t>
      </w:r>
      <w:r w:rsidR="00B5345D" w:rsidRPr="00827D26">
        <w:rPr>
          <w:b/>
          <w:color w:val="000000" w:themeColor="text1"/>
        </w:rPr>
        <w:t>Observations and measurements</w:t>
      </w:r>
    </w:p>
    <w:p w:rsidR="00B5345D" w:rsidRPr="00F03728" w:rsidRDefault="00B5345D" w:rsidP="00EF1DE2">
      <w:pPr>
        <w:pStyle w:val="NormalWeb"/>
        <w:spacing w:before="0" w:beforeAutospacing="0" w:after="0" w:afterAutospacing="0" w:line="360" w:lineRule="auto"/>
        <w:jc w:val="both"/>
        <w:rPr>
          <w:color w:val="000000"/>
        </w:rPr>
      </w:pPr>
      <w:r w:rsidRPr="00F03728">
        <w:rPr>
          <w:color w:val="000000"/>
        </w:rPr>
        <w:t>The observations and measurements focused on several agronomic and phenological parameters</w:t>
      </w:r>
      <w:r w:rsidR="00423633">
        <w:rPr>
          <w:color w:val="000000"/>
        </w:rPr>
        <w:t xml:space="preserve"> </w:t>
      </w:r>
      <w:r w:rsidRPr="00F03728">
        <w:rPr>
          <w:color w:val="000000"/>
        </w:rPr>
        <w:t>:</w:t>
      </w:r>
    </w:p>
    <w:p w:rsidR="00B5345D" w:rsidRPr="00F22556" w:rsidRDefault="00B5345D" w:rsidP="00B5345D">
      <w:pPr>
        <w:pStyle w:val="NormalWeb"/>
        <w:numPr>
          <w:ilvl w:val="0"/>
          <w:numId w:val="27"/>
        </w:numPr>
        <w:spacing w:before="0" w:beforeAutospacing="0" w:line="360" w:lineRule="auto"/>
        <w:ind w:left="284" w:hanging="284"/>
        <w:jc w:val="both"/>
        <w:rPr>
          <w:color w:val="000000" w:themeColor="text1"/>
        </w:rPr>
      </w:pPr>
      <w:r w:rsidRPr="00F03728">
        <w:rPr>
          <w:rStyle w:val="Strong"/>
          <w:rFonts w:eastAsiaTheme="majorEastAsia"/>
          <w:color w:val="000000"/>
        </w:rPr>
        <w:t>Vegetative development</w:t>
      </w:r>
      <w:r w:rsidRPr="00F03728">
        <w:rPr>
          <w:color w:val="000000"/>
        </w:rPr>
        <w:t xml:space="preserve">: noted at 30 days after transplanting (JAR) according to a scale of appreciation from </w:t>
      </w:r>
      <w:r w:rsidRPr="00F22556">
        <w:rPr>
          <w:color w:val="000000" w:themeColor="text1"/>
        </w:rPr>
        <w:t>1 to 5 (Table 1).</w:t>
      </w:r>
    </w:p>
    <w:p w:rsidR="00B5345D" w:rsidRPr="00F03728" w:rsidRDefault="00B5345D" w:rsidP="00B5345D">
      <w:pPr>
        <w:pStyle w:val="NormalWeb"/>
        <w:numPr>
          <w:ilvl w:val="0"/>
          <w:numId w:val="27"/>
        </w:numPr>
        <w:spacing w:before="0" w:beforeAutospacing="0" w:line="360" w:lineRule="auto"/>
        <w:ind w:left="284" w:hanging="284"/>
        <w:jc w:val="both"/>
        <w:rPr>
          <w:color w:val="000000"/>
        </w:rPr>
      </w:pPr>
      <w:r w:rsidRPr="00F03728">
        <w:rPr>
          <w:rStyle w:val="Strong"/>
          <w:rFonts w:eastAsiaTheme="majorEastAsia"/>
          <w:color w:val="000000"/>
        </w:rPr>
        <w:t>Morphological characteristics</w:t>
      </w:r>
      <w:r w:rsidRPr="00F03728">
        <w:rPr>
          <w:color w:val="000000"/>
        </w:rPr>
        <w:t>: the height of the plants, the diameter of the stems at the flowering stage and the length of the inflorescences were measured using a tape measure.</w:t>
      </w:r>
    </w:p>
    <w:p w:rsidR="00B5345D" w:rsidRPr="00F22556" w:rsidRDefault="00B5345D" w:rsidP="00B5345D">
      <w:pPr>
        <w:pStyle w:val="NormalWeb"/>
        <w:numPr>
          <w:ilvl w:val="0"/>
          <w:numId w:val="27"/>
        </w:numPr>
        <w:spacing w:before="0" w:beforeAutospacing="0" w:line="360" w:lineRule="auto"/>
        <w:ind w:left="284" w:hanging="284"/>
        <w:jc w:val="both"/>
        <w:rPr>
          <w:color w:val="000000" w:themeColor="text1"/>
        </w:rPr>
      </w:pPr>
      <w:r w:rsidRPr="00F03728">
        <w:rPr>
          <w:rStyle w:val="Strong"/>
          <w:rFonts w:eastAsiaTheme="majorEastAsia"/>
          <w:color w:val="000000"/>
        </w:rPr>
        <w:t>Susceptibility to pests</w:t>
      </w:r>
      <w:r w:rsidRPr="00F03728">
        <w:rPr>
          <w:color w:val="000000"/>
        </w:rPr>
        <w:t xml:space="preserve">: assessed at 30 JARs based on the intensity of damage caused by diseases and pests, using </w:t>
      </w:r>
      <w:r w:rsidRPr="001C6EE8">
        <w:rPr>
          <w:color w:val="000000" w:themeColor="text1"/>
        </w:rPr>
        <w:t>an assessment scale of 1 to 5 (Table 1).</w:t>
      </w:r>
    </w:p>
    <w:p w:rsidR="00B5345D" w:rsidRPr="00F03728" w:rsidRDefault="00B5345D" w:rsidP="00B5345D">
      <w:pPr>
        <w:pStyle w:val="NormalWeb"/>
        <w:numPr>
          <w:ilvl w:val="0"/>
          <w:numId w:val="27"/>
        </w:numPr>
        <w:spacing w:before="0" w:beforeAutospacing="0" w:line="360" w:lineRule="auto"/>
        <w:ind w:left="284" w:hanging="284"/>
        <w:jc w:val="both"/>
        <w:rPr>
          <w:color w:val="000000"/>
        </w:rPr>
      </w:pPr>
      <w:r w:rsidRPr="00F03728">
        <w:rPr>
          <w:rStyle w:val="Strong"/>
          <w:rFonts w:eastAsiaTheme="majorEastAsia"/>
          <w:color w:val="000000"/>
        </w:rPr>
        <w:t>Phenology</w:t>
      </w:r>
      <w:r w:rsidRPr="00F03728">
        <w:rPr>
          <w:color w:val="000000"/>
        </w:rPr>
        <w:t>: Flowering, first harvest and last harvest dates were systematically recorded for each treatment.</w:t>
      </w:r>
    </w:p>
    <w:p w:rsidR="00B5345D" w:rsidRPr="00F03728" w:rsidRDefault="00B5345D" w:rsidP="00B5345D">
      <w:pPr>
        <w:pStyle w:val="NormalWeb"/>
        <w:numPr>
          <w:ilvl w:val="0"/>
          <w:numId w:val="27"/>
        </w:numPr>
        <w:spacing w:before="0" w:beforeAutospacing="0" w:line="360" w:lineRule="auto"/>
        <w:ind w:left="284" w:hanging="284"/>
        <w:jc w:val="both"/>
        <w:rPr>
          <w:color w:val="000000"/>
        </w:rPr>
      </w:pPr>
      <w:r w:rsidRPr="00F03728">
        <w:rPr>
          <w:rStyle w:val="Strong"/>
          <w:rFonts w:eastAsiaTheme="majorEastAsia"/>
          <w:color w:val="000000"/>
        </w:rPr>
        <w:t>Plant productivity</w:t>
      </w:r>
      <w:r w:rsidRPr="00F03728">
        <w:rPr>
          <w:color w:val="000000"/>
        </w:rPr>
        <w:t>: assessed through two indicators:</w:t>
      </w:r>
    </w:p>
    <w:p w:rsidR="00B5345D" w:rsidRDefault="00B5345D" w:rsidP="00B5345D">
      <w:pPr>
        <w:pStyle w:val="NormalWeb"/>
        <w:numPr>
          <w:ilvl w:val="0"/>
          <w:numId w:val="28"/>
        </w:numPr>
        <w:spacing w:before="0" w:beforeAutospacing="0" w:line="360" w:lineRule="auto"/>
        <w:ind w:left="993" w:hanging="426"/>
        <w:jc w:val="both"/>
        <w:rPr>
          <w:color w:val="000000"/>
        </w:rPr>
      </w:pPr>
      <w:proofErr w:type="gramStart"/>
      <w:r w:rsidRPr="00F03728">
        <w:rPr>
          <w:color w:val="000000"/>
        </w:rPr>
        <w:t>the</w:t>
      </w:r>
      <w:proofErr w:type="gramEnd"/>
      <w:r w:rsidRPr="00F03728">
        <w:rPr>
          <w:color w:val="000000"/>
        </w:rPr>
        <w:t xml:space="preserve"> </w:t>
      </w:r>
      <w:r w:rsidRPr="00F03728">
        <w:rPr>
          <w:rStyle w:val="Strong"/>
          <w:rFonts w:eastAsiaTheme="majorEastAsia"/>
          <w:color w:val="000000"/>
        </w:rPr>
        <w:t xml:space="preserve">number of branches </w:t>
      </w:r>
      <w:r w:rsidRPr="00F03728">
        <w:rPr>
          <w:color w:val="000000"/>
        </w:rPr>
        <w:t>per elementary plot;</w:t>
      </w:r>
    </w:p>
    <w:p w:rsidR="00B5345D" w:rsidRPr="00373FF7" w:rsidRDefault="00B5345D" w:rsidP="00B5345D">
      <w:pPr>
        <w:pStyle w:val="NormalWeb"/>
        <w:numPr>
          <w:ilvl w:val="0"/>
          <w:numId w:val="28"/>
        </w:numPr>
        <w:spacing w:before="0" w:beforeAutospacing="0" w:line="360" w:lineRule="auto"/>
        <w:ind w:left="993" w:hanging="426"/>
        <w:jc w:val="both"/>
        <w:rPr>
          <w:color w:val="000000"/>
        </w:rPr>
      </w:pPr>
      <w:proofErr w:type="gramStart"/>
      <w:r w:rsidRPr="00373FF7">
        <w:rPr>
          <w:color w:val="000000"/>
        </w:rPr>
        <w:t>the</w:t>
      </w:r>
      <w:proofErr w:type="gramEnd"/>
      <w:r w:rsidRPr="00373FF7">
        <w:rPr>
          <w:color w:val="000000"/>
        </w:rPr>
        <w:t xml:space="preserve"> </w:t>
      </w:r>
      <w:r w:rsidRPr="00373FF7">
        <w:rPr>
          <w:rStyle w:val="Strong"/>
          <w:rFonts w:eastAsiaTheme="majorEastAsia"/>
          <w:color w:val="000000"/>
        </w:rPr>
        <w:t>total weight of harvested leaves</w:t>
      </w:r>
      <w:r w:rsidRPr="00373FF7">
        <w:rPr>
          <w:color w:val="000000"/>
        </w:rPr>
        <w:t>, used to estimate leaf yield expressed in tonnes per hectare (t/ha).</w:t>
      </w:r>
    </w:p>
    <w:p w:rsidR="00F22556" w:rsidRDefault="00B5345D" w:rsidP="00F22556">
      <w:pPr>
        <w:spacing w:before="120" w:after="120" w:line="276" w:lineRule="auto"/>
        <w:jc w:val="both"/>
        <w:rPr>
          <w:rStyle w:val="Strong"/>
          <w:rFonts w:eastAsiaTheme="majorEastAsia"/>
          <w:b w:val="0"/>
          <w:bCs w:val="0"/>
          <w:color w:val="000000"/>
        </w:rPr>
      </w:pPr>
      <w:r w:rsidRPr="00B5345D">
        <w:rPr>
          <w:b/>
          <w:color w:val="000000" w:themeColor="text1"/>
        </w:rPr>
        <w:t xml:space="preserve">Table </w:t>
      </w:r>
      <w:r w:rsidR="00885E0C">
        <w:rPr>
          <w:b/>
          <w:color w:val="000000" w:themeColor="text1"/>
        </w:rPr>
        <w:t>1.</w:t>
      </w:r>
      <w:r w:rsidRPr="00B5345D">
        <w:rPr>
          <w:b/>
          <w:color w:val="000000" w:themeColor="text1"/>
        </w:rPr>
        <w:t xml:space="preserve"> </w:t>
      </w:r>
      <w:r w:rsidRPr="00B5345D">
        <w:rPr>
          <w:bCs/>
          <w:color w:val="000000" w:themeColor="text1"/>
        </w:rPr>
        <w:t>Vegetative development and biotic sensitivity of amaranth</w:t>
      </w:r>
      <w:r>
        <w:rPr>
          <w:b/>
          <w:color w:val="000000" w:themeColor="text1"/>
        </w:rPr>
        <w:t xml:space="preserve"> </w:t>
      </w:r>
    </w:p>
    <w:tbl>
      <w:tblPr>
        <w:tblStyle w:val="PlainTable2"/>
        <w:tblW w:w="9322" w:type="dxa"/>
        <w:tblLook w:val="04A0" w:firstRow="1" w:lastRow="0" w:firstColumn="1" w:lastColumn="0" w:noHBand="0" w:noVBand="1"/>
      </w:tblPr>
      <w:tblGrid>
        <w:gridCol w:w="745"/>
        <w:gridCol w:w="1675"/>
        <w:gridCol w:w="2035"/>
        <w:gridCol w:w="1465"/>
        <w:gridCol w:w="2126"/>
        <w:gridCol w:w="1276"/>
      </w:tblGrid>
      <w:tr w:rsidR="00B5345D" w:rsidRPr="005666C2" w:rsidTr="00CC5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vAlign w:val="center"/>
          </w:tcPr>
          <w:p w:rsidR="00B5345D" w:rsidRPr="005666C2" w:rsidRDefault="00B5345D" w:rsidP="00423633">
            <w:pPr>
              <w:spacing w:line="200" w:lineRule="exact"/>
              <w:rPr>
                <w:sz w:val="22"/>
                <w:szCs w:val="22"/>
              </w:rPr>
            </w:pPr>
            <w:r w:rsidRPr="005666C2">
              <w:rPr>
                <w:sz w:val="22"/>
                <w:szCs w:val="22"/>
              </w:rPr>
              <w:t>Score</w:t>
            </w:r>
          </w:p>
        </w:tc>
        <w:tc>
          <w:tcPr>
            <w:tcW w:w="1675" w:type="dxa"/>
            <w:vAlign w:val="center"/>
          </w:tcPr>
          <w:p w:rsidR="00B5345D" w:rsidRPr="005666C2" w:rsidRDefault="00B5345D" w:rsidP="00423633">
            <w:pPr>
              <w:spacing w:line="200" w:lineRule="exact"/>
              <w:cnfStyle w:val="100000000000" w:firstRow="1" w:lastRow="0" w:firstColumn="0" w:lastColumn="0" w:oddVBand="0" w:evenVBand="0" w:oddHBand="0" w:evenHBand="0" w:firstRowFirstColumn="0" w:firstRowLastColumn="0" w:lastRowFirstColumn="0" w:lastRowLastColumn="0"/>
              <w:rPr>
                <w:sz w:val="22"/>
                <w:szCs w:val="22"/>
              </w:rPr>
            </w:pPr>
            <w:r w:rsidRPr="005666C2">
              <w:rPr>
                <w:sz w:val="22"/>
                <w:szCs w:val="22"/>
              </w:rPr>
              <w:t>Vegetative development</w:t>
            </w:r>
          </w:p>
        </w:tc>
        <w:tc>
          <w:tcPr>
            <w:tcW w:w="2035" w:type="dxa"/>
            <w:vAlign w:val="center"/>
          </w:tcPr>
          <w:p w:rsidR="00B5345D" w:rsidRPr="005666C2" w:rsidRDefault="00B5345D" w:rsidP="00423633">
            <w:pPr>
              <w:spacing w:line="200" w:lineRule="exact"/>
              <w:cnfStyle w:val="100000000000" w:firstRow="1" w:lastRow="0" w:firstColumn="0" w:lastColumn="0" w:oddVBand="0" w:evenVBand="0" w:oddHBand="0" w:evenHBand="0" w:firstRowFirstColumn="0" w:firstRowLastColumn="0" w:lastRowFirstColumn="0" w:lastRowLastColumn="0"/>
              <w:rPr>
                <w:sz w:val="22"/>
                <w:szCs w:val="22"/>
              </w:rPr>
            </w:pPr>
            <w:r w:rsidRPr="005666C2">
              <w:rPr>
                <w:sz w:val="22"/>
                <w:szCs w:val="22"/>
              </w:rPr>
              <w:t>Description des plants</w:t>
            </w:r>
          </w:p>
        </w:tc>
        <w:tc>
          <w:tcPr>
            <w:tcW w:w="1465" w:type="dxa"/>
            <w:vAlign w:val="center"/>
          </w:tcPr>
          <w:p w:rsidR="00B5345D" w:rsidRPr="005666C2" w:rsidRDefault="00B5345D" w:rsidP="00423633">
            <w:pPr>
              <w:spacing w:line="200" w:lineRule="exact"/>
              <w:cnfStyle w:val="100000000000" w:firstRow="1" w:lastRow="0" w:firstColumn="0" w:lastColumn="0" w:oddVBand="0" w:evenVBand="0" w:oddHBand="0" w:evenHBand="0" w:firstRowFirstColumn="0" w:firstRowLastColumn="0" w:lastRowFirstColumn="0" w:lastRowLastColumn="0"/>
              <w:rPr>
                <w:b w:val="0"/>
                <w:bCs w:val="0"/>
                <w:sz w:val="22"/>
                <w:szCs w:val="22"/>
              </w:rPr>
            </w:pPr>
            <w:r w:rsidRPr="005666C2">
              <w:rPr>
                <w:sz w:val="22"/>
                <w:szCs w:val="22"/>
              </w:rPr>
              <w:t>Biotic sensitivity (caterpillar + necrosis)</w:t>
            </w:r>
          </w:p>
        </w:tc>
        <w:tc>
          <w:tcPr>
            <w:tcW w:w="2126" w:type="dxa"/>
            <w:vAlign w:val="center"/>
          </w:tcPr>
          <w:p w:rsidR="00B5345D" w:rsidRPr="005666C2" w:rsidRDefault="00B5345D" w:rsidP="00423633">
            <w:pPr>
              <w:spacing w:line="200" w:lineRule="exact"/>
              <w:cnfStyle w:val="100000000000" w:firstRow="1" w:lastRow="0" w:firstColumn="0" w:lastColumn="0" w:oddVBand="0" w:evenVBand="0" w:oddHBand="0" w:evenHBand="0" w:firstRowFirstColumn="0" w:firstRowLastColumn="0" w:lastRowFirstColumn="0" w:lastRowLastColumn="0"/>
              <w:rPr>
                <w:sz w:val="22"/>
                <w:szCs w:val="22"/>
              </w:rPr>
            </w:pPr>
            <w:r w:rsidRPr="005666C2">
              <w:rPr>
                <w:sz w:val="22"/>
                <w:szCs w:val="22"/>
              </w:rPr>
              <w:t>Description of symptoms</w:t>
            </w:r>
          </w:p>
        </w:tc>
        <w:tc>
          <w:tcPr>
            <w:tcW w:w="1276" w:type="dxa"/>
            <w:vAlign w:val="center"/>
          </w:tcPr>
          <w:p w:rsidR="00B5345D" w:rsidRPr="005666C2" w:rsidRDefault="00B5345D" w:rsidP="00423633">
            <w:pPr>
              <w:spacing w:line="200" w:lineRule="exact"/>
              <w:cnfStyle w:val="100000000000" w:firstRow="1" w:lastRow="0" w:firstColumn="0" w:lastColumn="0" w:oddVBand="0" w:evenVBand="0" w:oddHBand="0" w:evenHBand="0" w:firstRowFirstColumn="0" w:firstRowLastColumn="0" w:lastRowFirstColumn="0" w:lastRowLastColumn="0"/>
              <w:rPr>
                <w:sz w:val="22"/>
                <w:szCs w:val="22"/>
              </w:rPr>
            </w:pPr>
            <w:r w:rsidRPr="005666C2">
              <w:rPr>
                <w:sz w:val="22"/>
                <w:szCs w:val="22"/>
              </w:rPr>
              <w:t>References</w:t>
            </w:r>
          </w:p>
        </w:tc>
      </w:tr>
      <w:tr w:rsidR="00B5345D" w:rsidRPr="005666C2" w:rsidTr="00CC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vAlign w:val="center"/>
          </w:tcPr>
          <w:p w:rsidR="00B5345D" w:rsidRPr="005666C2" w:rsidRDefault="00B5345D" w:rsidP="00CC52A7">
            <w:pPr>
              <w:spacing w:line="200" w:lineRule="exact"/>
              <w:rPr>
                <w:sz w:val="22"/>
                <w:szCs w:val="22"/>
              </w:rPr>
            </w:pPr>
            <w:r w:rsidRPr="005666C2">
              <w:rPr>
                <w:sz w:val="22"/>
                <w:szCs w:val="22"/>
              </w:rPr>
              <w:lastRenderedPageBreak/>
              <w:t>1</w:t>
            </w:r>
          </w:p>
        </w:tc>
        <w:tc>
          <w:tcPr>
            <w:tcW w:w="1675" w:type="dxa"/>
            <w:vAlign w:val="center"/>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Very Low</w:t>
            </w:r>
          </w:p>
        </w:tc>
        <w:tc>
          <w:tcPr>
            <w:tcW w:w="2035" w:type="dxa"/>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Stunted, poorly developed, weak green colouration, few leaves</w:t>
            </w:r>
          </w:p>
        </w:tc>
        <w:tc>
          <w:tcPr>
            <w:tcW w:w="1465" w:type="dxa"/>
            <w:vAlign w:val="center"/>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Very low (or absent)</w:t>
            </w:r>
          </w:p>
        </w:tc>
        <w:tc>
          <w:tcPr>
            <w:tcW w:w="2126" w:type="dxa"/>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Stems healthy, no necrosis; Little to no track attack</w:t>
            </w:r>
          </w:p>
        </w:tc>
        <w:tc>
          <w:tcPr>
            <w:tcW w:w="1276" w:type="dxa"/>
          </w:tcPr>
          <w:p w:rsidR="00B5345D" w:rsidRPr="0032283D" w:rsidRDefault="00C05AFE" w:rsidP="00CC52A7">
            <w:pPr>
              <w:spacing w:line="200" w:lineRule="exact"/>
              <w:cnfStyle w:val="000000100000" w:firstRow="0" w:lastRow="0" w:firstColumn="0" w:lastColumn="0" w:oddVBand="0" w:evenVBand="0" w:oddHBand="1" w:evenHBand="0" w:firstRowFirstColumn="0" w:firstRowLastColumn="0" w:lastRowFirstColumn="0" w:lastRowLastColumn="0"/>
              <w:rPr>
                <w:b/>
                <w:bCs/>
                <w:sz w:val="22"/>
                <w:szCs w:val="22"/>
              </w:rPr>
            </w:pPr>
            <w:r w:rsidRPr="0032283D">
              <w:rPr>
                <w:b/>
                <w:bCs/>
                <w:sz w:val="22"/>
                <w:szCs w:val="22"/>
              </w:rPr>
              <w:t xml:space="preserve">Yao </w:t>
            </w:r>
            <w:r w:rsidRPr="00B2430A">
              <w:rPr>
                <w:b/>
                <w:bCs/>
                <w:color w:val="000000"/>
                <w:sz w:val="22"/>
                <w:szCs w:val="22"/>
              </w:rPr>
              <w:t>&amp;</w:t>
            </w:r>
            <w:r>
              <w:rPr>
                <w:color w:val="000000"/>
                <w:sz w:val="22"/>
                <w:szCs w:val="22"/>
              </w:rPr>
              <w:t xml:space="preserve"> </w:t>
            </w:r>
            <w:r w:rsidRPr="0032283D">
              <w:rPr>
                <w:b/>
                <w:bCs/>
                <w:sz w:val="22"/>
                <w:szCs w:val="22"/>
              </w:rPr>
              <w:t>Koffi (2021)</w:t>
            </w:r>
          </w:p>
        </w:tc>
      </w:tr>
      <w:tr w:rsidR="00B5345D" w:rsidRPr="005666C2" w:rsidTr="00CC52A7">
        <w:tc>
          <w:tcPr>
            <w:cnfStyle w:val="001000000000" w:firstRow="0" w:lastRow="0" w:firstColumn="1" w:lastColumn="0" w:oddVBand="0" w:evenVBand="0" w:oddHBand="0" w:evenHBand="0" w:firstRowFirstColumn="0" w:firstRowLastColumn="0" w:lastRowFirstColumn="0" w:lastRowLastColumn="0"/>
            <w:tcW w:w="745" w:type="dxa"/>
            <w:vAlign w:val="center"/>
          </w:tcPr>
          <w:p w:rsidR="00B5345D" w:rsidRPr="005666C2" w:rsidRDefault="00B5345D" w:rsidP="00CC52A7">
            <w:pPr>
              <w:spacing w:line="200" w:lineRule="exact"/>
              <w:rPr>
                <w:sz w:val="22"/>
                <w:szCs w:val="22"/>
              </w:rPr>
            </w:pPr>
            <w:r w:rsidRPr="005666C2">
              <w:rPr>
                <w:sz w:val="22"/>
                <w:szCs w:val="22"/>
              </w:rPr>
              <w:t>2</w:t>
            </w:r>
          </w:p>
        </w:tc>
        <w:tc>
          <w:tcPr>
            <w:tcW w:w="1675" w:type="dxa"/>
            <w:vAlign w:val="center"/>
          </w:tcPr>
          <w:p w:rsidR="00B5345D" w:rsidRPr="005666C2" w:rsidRDefault="00B5345D" w:rsidP="00CC52A7">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Weak</w:t>
            </w:r>
          </w:p>
        </w:tc>
        <w:tc>
          <w:tcPr>
            <w:tcW w:w="2035" w:type="dxa"/>
          </w:tcPr>
          <w:p w:rsidR="00B5345D" w:rsidRPr="005666C2" w:rsidRDefault="00B5345D" w:rsidP="00CC52A7">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Slow development, thin stems, sparse foliage</w:t>
            </w:r>
          </w:p>
        </w:tc>
        <w:tc>
          <w:tcPr>
            <w:tcW w:w="1465" w:type="dxa"/>
            <w:vAlign w:val="center"/>
          </w:tcPr>
          <w:p w:rsidR="00B5345D" w:rsidRPr="005666C2" w:rsidRDefault="00B5345D" w:rsidP="00CC52A7">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Weak</w:t>
            </w:r>
          </w:p>
        </w:tc>
        <w:tc>
          <w:tcPr>
            <w:tcW w:w="2126" w:type="dxa"/>
          </w:tcPr>
          <w:p w:rsidR="00B5345D" w:rsidRPr="005666C2" w:rsidRDefault="00B5345D" w:rsidP="00CC52A7">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 xml:space="preserve">Some superficial necrosis at the base; </w:t>
            </w:r>
          </w:p>
          <w:p w:rsidR="00B5345D" w:rsidRPr="005666C2" w:rsidRDefault="00B5345D" w:rsidP="00CC52A7">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Slight bites or caterpillar galleries</w:t>
            </w:r>
          </w:p>
        </w:tc>
        <w:tc>
          <w:tcPr>
            <w:tcW w:w="1276" w:type="dxa"/>
          </w:tcPr>
          <w:p w:rsidR="00B5345D" w:rsidRPr="0032283D" w:rsidRDefault="00B5345D" w:rsidP="00CC52A7">
            <w:pPr>
              <w:spacing w:line="200" w:lineRule="exact"/>
              <w:cnfStyle w:val="000000000000" w:firstRow="0" w:lastRow="0" w:firstColumn="0" w:lastColumn="0" w:oddVBand="0" w:evenVBand="0" w:oddHBand="0" w:evenHBand="0" w:firstRowFirstColumn="0" w:firstRowLastColumn="0" w:lastRowFirstColumn="0" w:lastRowLastColumn="0"/>
              <w:rPr>
                <w:b/>
                <w:bCs/>
                <w:sz w:val="22"/>
                <w:szCs w:val="22"/>
              </w:rPr>
            </w:pPr>
            <w:r w:rsidRPr="0032283D">
              <w:rPr>
                <w:b/>
                <w:bCs/>
                <w:sz w:val="22"/>
                <w:szCs w:val="22"/>
              </w:rPr>
              <w:t xml:space="preserve">Yao </w:t>
            </w:r>
            <w:r w:rsidR="00C05AFE" w:rsidRPr="00B2430A">
              <w:rPr>
                <w:b/>
                <w:bCs/>
                <w:color w:val="000000"/>
                <w:sz w:val="22"/>
                <w:szCs w:val="22"/>
              </w:rPr>
              <w:t>&amp;</w:t>
            </w:r>
            <w:r w:rsidR="00C05AFE">
              <w:rPr>
                <w:color w:val="000000"/>
                <w:sz w:val="22"/>
                <w:szCs w:val="22"/>
              </w:rPr>
              <w:t xml:space="preserve"> </w:t>
            </w:r>
            <w:r w:rsidRPr="0032283D">
              <w:rPr>
                <w:b/>
                <w:bCs/>
                <w:sz w:val="22"/>
                <w:szCs w:val="22"/>
              </w:rPr>
              <w:t>Koffi (2021)</w:t>
            </w:r>
          </w:p>
        </w:tc>
      </w:tr>
      <w:tr w:rsidR="00B5345D" w:rsidRPr="005666C2" w:rsidTr="00CC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vAlign w:val="center"/>
          </w:tcPr>
          <w:p w:rsidR="00B5345D" w:rsidRPr="005666C2" w:rsidRDefault="00B5345D" w:rsidP="00CC52A7">
            <w:pPr>
              <w:spacing w:line="200" w:lineRule="exact"/>
              <w:rPr>
                <w:sz w:val="22"/>
                <w:szCs w:val="22"/>
              </w:rPr>
            </w:pPr>
            <w:r w:rsidRPr="005666C2">
              <w:rPr>
                <w:sz w:val="22"/>
                <w:szCs w:val="22"/>
              </w:rPr>
              <w:t>3</w:t>
            </w:r>
          </w:p>
        </w:tc>
        <w:tc>
          <w:tcPr>
            <w:tcW w:w="1675" w:type="dxa"/>
            <w:vAlign w:val="center"/>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Medium</w:t>
            </w:r>
          </w:p>
        </w:tc>
        <w:tc>
          <w:tcPr>
            <w:tcW w:w="2035" w:type="dxa"/>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Moderate growth, balanced habit, medium-dense foliage</w:t>
            </w:r>
          </w:p>
        </w:tc>
        <w:tc>
          <w:tcPr>
            <w:tcW w:w="1465" w:type="dxa"/>
            <w:vAlign w:val="center"/>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Moderate</w:t>
            </w:r>
          </w:p>
        </w:tc>
        <w:tc>
          <w:tcPr>
            <w:tcW w:w="2126" w:type="dxa"/>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Necrosis on several stems; Visible presence of tracks without major damage</w:t>
            </w:r>
          </w:p>
        </w:tc>
        <w:tc>
          <w:tcPr>
            <w:tcW w:w="1276" w:type="dxa"/>
          </w:tcPr>
          <w:p w:rsidR="00B5345D" w:rsidRPr="0032283D"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b/>
                <w:bCs/>
                <w:sz w:val="22"/>
                <w:szCs w:val="22"/>
              </w:rPr>
            </w:pPr>
            <w:r w:rsidRPr="0032283D">
              <w:rPr>
                <w:b/>
                <w:bCs/>
                <w:sz w:val="22"/>
                <w:szCs w:val="22"/>
              </w:rPr>
              <w:t>Traoré et al. (2020)</w:t>
            </w:r>
          </w:p>
        </w:tc>
      </w:tr>
      <w:tr w:rsidR="00B5345D" w:rsidRPr="005666C2" w:rsidTr="00CC52A7">
        <w:tc>
          <w:tcPr>
            <w:cnfStyle w:val="001000000000" w:firstRow="0" w:lastRow="0" w:firstColumn="1" w:lastColumn="0" w:oddVBand="0" w:evenVBand="0" w:oddHBand="0" w:evenHBand="0" w:firstRowFirstColumn="0" w:firstRowLastColumn="0" w:lastRowFirstColumn="0" w:lastRowLastColumn="0"/>
            <w:tcW w:w="745" w:type="dxa"/>
            <w:vAlign w:val="center"/>
          </w:tcPr>
          <w:p w:rsidR="00B5345D" w:rsidRPr="005666C2" w:rsidRDefault="00B5345D" w:rsidP="00CC52A7">
            <w:pPr>
              <w:spacing w:line="200" w:lineRule="exact"/>
              <w:rPr>
                <w:sz w:val="22"/>
                <w:szCs w:val="22"/>
              </w:rPr>
            </w:pPr>
            <w:r w:rsidRPr="005666C2">
              <w:rPr>
                <w:sz w:val="22"/>
                <w:szCs w:val="22"/>
              </w:rPr>
              <w:t>4</w:t>
            </w:r>
          </w:p>
        </w:tc>
        <w:tc>
          <w:tcPr>
            <w:tcW w:w="1675" w:type="dxa"/>
            <w:vAlign w:val="center"/>
          </w:tcPr>
          <w:p w:rsidR="00B5345D" w:rsidRPr="005666C2" w:rsidRDefault="00B5345D" w:rsidP="00CC52A7">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Good</w:t>
            </w:r>
          </w:p>
        </w:tc>
        <w:tc>
          <w:tcPr>
            <w:tcW w:w="2035" w:type="dxa"/>
          </w:tcPr>
          <w:p w:rsidR="00B5345D" w:rsidRPr="005666C2" w:rsidRDefault="00B5345D" w:rsidP="00CC52A7">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Visible vigour, strong stems, numerous and well-formed leaves</w:t>
            </w:r>
          </w:p>
        </w:tc>
        <w:tc>
          <w:tcPr>
            <w:tcW w:w="1465" w:type="dxa"/>
            <w:vAlign w:val="center"/>
          </w:tcPr>
          <w:p w:rsidR="00B5345D" w:rsidRPr="005666C2" w:rsidRDefault="00B5345D" w:rsidP="00CC52A7">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High</w:t>
            </w:r>
          </w:p>
        </w:tc>
        <w:tc>
          <w:tcPr>
            <w:tcW w:w="2126" w:type="dxa"/>
          </w:tcPr>
          <w:p w:rsidR="00B5345D" w:rsidRPr="005666C2" w:rsidRDefault="00B5345D" w:rsidP="00CC52A7">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 xml:space="preserve">Extensive necrosis with local wilting; </w:t>
            </w:r>
          </w:p>
          <w:p w:rsidR="00B5345D" w:rsidRPr="005666C2" w:rsidRDefault="00B5345D" w:rsidP="00CC52A7">
            <w:pPr>
              <w:spacing w:line="200" w:lineRule="exact"/>
              <w:cnfStyle w:val="000000000000" w:firstRow="0" w:lastRow="0" w:firstColumn="0" w:lastColumn="0" w:oddVBand="0" w:evenVBand="0" w:oddHBand="0" w:evenHBand="0" w:firstRowFirstColumn="0" w:firstRowLastColumn="0" w:lastRowFirstColumn="0" w:lastRowLastColumn="0"/>
              <w:rPr>
                <w:sz w:val="22"/>
                <w:szCs w:val="22"/>
              </w:rPr>
            </w:pPr>
            <w:r w:rsidRPr="005666C2">
              <w:rPr>
                <w:sz w:val="22"/>
                <w:szCs w:val="22"/>
              </w:rPr>
              <w:t>More frequent attacks by caterpillars</w:t>
            </w:r>
          </w:p>
        </w:tc>
        <w:tc>
          <w:tcPr>
            <w:tcW w:w="1276" w:type="dxa"/>
          </w:tcPr>
          <w:p w:rsidR="00B5345D" w:rsidRPr="0032283D" w:rsidRDefault="00B5345D" w:rsidP="00CC52A7">
            <w:pPr>
              <w:spacing w:line="200" w:lineRule="exact"/>
              <w:cnfStyle w:val="000000000000" w:firstRow="0" w:lastRow="0" w:firstColumn="0" w:lastColumn="0" w:oddVBand="0" w:evenVBand="0" w:oddHBand="0" w:evenHBand="0" w:firstRowFirstColumn="0" w:firstRowLastColumn="0" w:lastRowFirstColumn="0" w:lastRowLastColumn="0"/>
              <w:rPr>
                <w:b/>
                <w:bCs/>
                <w:sz w:val="22"/>
                <w:szCs w:val="22"/>
              </w:rPr>
            </w:pPr>
            <w:r w:rsidRPr="0032283D">
              <w:rPr>
                <w:b/>
                <w:bCs/>
                <w:sz w:val="22"/>
                <w:szCs w:val="22"/>
              </w:rPr>
              <w:t>Coulibaly et al. (2023)</w:t>
            </w:r>
          </w:p>
        </w:tc>
      </w:tr>
      <w:tr w:rsidR="00B5345D" w:rsidRPr="005666C2" w:rsidTr="00CC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vAlign w:val="center"/>
          </w:tcPr>
          <w:p w:rsidR="00B5345D" w:rsidRPr="005666C2" w:rsidRDefault="00B5345D" w:rsidP="00CC52A7">
            <w:pPr>
              <w:spacing w:line="200" w:lineRule="exact"/>
              <w:rPr>
                <w:sz w:val="22"/>
                <w:szCs w:val="22"/>
              </w:rPr>
            </w:pPr>
            <w:r w:rsidRPr="005666C2">
              <w:rPr>
                <w:sz w:val="22"/>
                <w:szCs w:val="22"/>
              </w:rPr>
              <w:t>5</w:t>
            </w:r>
          </w:p>
        </w:tc>
        <w:tc>
          <w:tcPr>
            <w:tcW w:w="1675" w:type="dxa"/>
            <w:vAlign w:val="center"/>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Very good</w:t>
            </w:r>
          </w:p>
        </w:tc>
        <w:tc>
          <w:tcPr>
            <w:tcW w:w="2035" w:type="dxa"/>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Vigorous growth, dense foliage, well-structured habit, intense green colouration</w:t>
            </w:r>
          </w:p>
        </w:tc>
        <w:tc>
          <w:tcPr>
            <w:tcW w:w="1465" w:type="dxa"/>
            <w:vAlign w:val="center"/>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Very high</w:t>
            </w:r>
          </w:p>
        </w:tc>
        <w:tc>
          <w:tcPr>
            <w:tcW w:w="2126" w:type="dxa"/>
          </w:tcPr>
          <w:p w:rsidR="00B5345D" w:rsidRPr="005666C2"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sz w:val="22"/>
                <w:szCs w:val="22"/>
              </w:rPr>
            </w:pPr>
            <w:r w:rsidRPr="005666C2">
              <w:rPr>
                <w:sz w:val="22"/>
                <w:szCs w:val="22"/>
              </w:rPr>
              <w:t>Generalized necrosis and desiccation; Severe infestation of caterpillars</w:t>
            </w:r>
          </w:p>
        </w:tc>
        <w:tc>
          <w:tcPr>
            <w:tcW w:w="1276" w:type="dxa"/>
          </w:tcPr>
          <w:p w:rsidR="00B5345D" w:rsidRPr="0032283D" w:rsidRDefault="00B5345D" w:rsidP="00CC52A7">
            <w:pPr>
              <w:spacing w:line="200" w:lineRule="exact"/>
              <w:cnfStyle w:val="000000100000" w:firstRow="0" w:lastRow="0" w:firstColumn="0" w:lastColumn="0" w:oddVBand="0" w:evenVBand="0" w:oddHBand="1" w:evenHBand="0" w:firstRowFirstColumn="0" w:firstRowLastColumn="0" w:lastRowFirstColumn="0" w:lastRowLastColumn="0"/>
              <w:rPr>
                <w:b/>
                <w:bCs/>
                <w:sz w:val="22"/>
                <w:szCs w:val="22"/>
              </w:rPr>
            </w:pPr>
            <w:r w:rsidRPr="0032283D">
              <w:rPr>
                <w:b/>
                <w:bCs/>
                <w:sz w:val="22"/>
                <w:szCs w:val="22"/>
              </w:rPr>
              <w:t>N'Guessan et al. (2022)</w:t>
            </w:r>
          </w:p>
        </w:tc>
      </w:tr>
    </w:tbl>
    <w:p w:rsidR="00827D26" w:rsidRDefault="00827D26" w:rsidP="00827D26">
      <w:pPr>
        <w:spacing w:before="240" w:after="120"/>
        <w:outlineLvl w:val="2"/>
        <w:rPr>
          <w:b/>
          <w:bCs/>
          <w:color w:val="000000"/>
        </w:rPr>
      </w:pPr>
    </w:p>
    <w:p w:rsidR="00B5345D" w:rsidRPr="00827D26" w:rsidRDefault="00827D26" w:rsidP="00827D26">
      <w:pPr>
        <w:pStyle w:val="ListParagraph"/>
        <w:numPr>
          <w:ilvl w:val="1"/>
          <w:numId w:val="29"/>
        </w:numPr>
        <w:spacing w:before="240" w:after="120"/>
        <w:outlineLvl w:val="2"/>
        <w:rPr>
          <w:b/>
          <w:bCs/>
          <w:color w:val="000000"/>
        </w:rPr>
      </w:pPr>
      <w:r w:rsidRPr="00827D26">
        <w:rPr>
          <w:b/>
          <w:bCs/>
          <w:color w:val="000000"/>
        </w:rPr>
        <w:t xml:space="preserve"> </w:t>
      </w:r>
      <w:r w:rsidR="00B5345D" w:rsidRPr="00827D26">
        <w:rPr>
          <w:b/>
          <w:bCs/>
          <w:color w:val="000000"/>
        </w:rPr>
        <w:t>Statistical analysis of the data</w:t>
      </w:r>
    </w:p>
    <w:p w:rsidR="00B5345D" w:rsidRPr="005542C8" w:rsidRDefault="00B5345D" w:rsidP="00A6141A">
      <w:pPr>
        <w:spacing w:line="360" w:lineRule="auto"/>
        <w:jc w:val="both"/>
        <w:rPr>
          <w:color w:val="000000" w:themeColor="text1"/>
        </w:rPr>
      </w:pPr>
      <w:r w:rsidRPr="00373FF7">
        <w:rPr>
          <w:color w:val="000000"/>
        </w:rPr>
        <w:t>The data collected were subjected to a one-factor analysis of variance (ANOVA), according to the experimental design model in subdivided plots (split-plot). The objective was to evaluate the effect of different transplanting densit</w:t>
      </w:r>
      <w:r w:rsidR="00AF33AE">
        <w:rPr>
          <w:color w:val="000000"/>
        </w:rPr>
        <w:t>y</w:t>
      </w:r>
      <w:r w:rsidRPr="00373FF7">
        <w:rPr>
          <w:color w:val="000000"/>
        </w:rPr>
        <w:t xml:space="preserve"> on the measured agronomic parameters. When ANOVA revealed significant differences between treatments, a comparison of means was performed using the </w:t>
      </w:r>
      <w:r w:rsidRPr="00373FF7">
        <w:rPr>
          <w:color w:val="000000" w:themeColor="text1"/>
        </w:rPr>
        <w:t>Tukey</w:t>
      </w:r>
      <w:r w:rsidRPr="00373FF7">
        <w:rPr>
          <w:color w:val="000000"/>
        </w:rPr>
        <w:t xml:space="preserve"> test at the 5% significance level (</w:t>
      </w:r>
      <w:r w:rsidRPr="00423633">
        <w:rPr>
          <w:i/>
          <w:iCs/>
          <w:color w:val="000000"/>
        </w:rPr>
        <w:t>p</w:t>
      </w:r>
      <w:r w:rsidRPr="00373FF7">
        <w:rPr>
          <w:color w:val="000000"/>
        </w:rPr>
        <w:t xml:space="preserve"> &lt; 0.05). All statistical analyses were performed using R software</w:t>
      </w:r>
      <w:r w:rsidRPr="00373FF7">
        <w:rPr>
          <w:color w:val="000000" w:themeColor="text1"/>
        </w:rPr>
        <w:t>, version 4.2.</w:t>
      </w:r>
    </w:p>
    <w:p w:rsidR="00B5345D" w:rsidRDefault="00B5345D" w:rsidP="00940A82">
      <w:pPr>
        <w:spacing w:before="120" w:line="360" w:lineRule="auto"/>
        <w:jc w:val="both"/>
        <w:rPr>
          <w:b/>
          <w:color w:val="000000" w:themeColor="text1"/>
        </w:rPr>
      </w:pPr>
    </w:p>
    <w:p w:rsidR="00B5345D" w:rsidRDefault="00B5345D" w:rsidP="00940A82">
      <w:pPr>
        <w:spacing w:before="120" w:line="360" w:lineRule="auto"/>
        <w:jc w:val="both"/>
        <w:rPr>
          <w:b/>
          <w:color w:val="000000" w:themeColor="text1"/>
        </w:rPr>
      </w:pPr>
    </w:p>
    <w:p w:rsidR="00B5345D" w:rsidRDefault="00B5345D" w:rsidP="00940A82">
      <w:pPr>
        <w:spacing w:before="120" w:line="360" w:lineRule="auto"/>
        <w:jc w:val="both"/>
        <w:rPr>
          <w:b/>
          <w:color w:val="000000" w:themeColor="text1"/>
        </w:rPr>
      </w:pPr>
    </w:p>
    <w:p w:rsidR="00B5345D" w:rsidRDefault="00B5345D" w:rsidP="00940A82">
      <w:pPr>
        <w:spacing w:before="120" w:line="360" w:lineRule="auto"/>
        <w:jc w:val="both"/>
        <w:rPr>
          <w:b/>
          <w:color w:val="000000" w:themeColor="text1"/>
        </w:rPr>
      </w:pPr>
    </w:p>
    <w:p w:rsidR="00B5345D" w:rsidRDefault="00B5345D" w:rsidP="00940A82">
      <w:pPr>
        <w:spacing w:before="120" w:line="360" w:lineRule="auto"/>
        <w:jc w:val="both"/>
        <w:rPr>
          <w:b/>
          <w:color w:val="000000" w:themeColor="text1"/>
        </w:rPr>
      </w:pPr>
    </w:p>
    <w:p w:rsidR="00B5345D" w:rsidRPr="00827D26" w:rsidRDefault="00B5345D" w:rsidP="00827D26">
      <w:pPr>
        <w:pStyle w:val="ListParagraph"/>
        <w:numPr>
          <w:ilvl w:val="0"/>
          <w:numId w:val="29"/>
        </w:numPr>
        <w:spacing w:before="120" w:line="360" w:lineRule="auto"/>
        <w:jc w:val="both"/>
        <w:rPr>
          <w:b/>
          <w:color w:val="000000" w:themeColor="text1"/>
        </w:rPr>
      </w:pPr>
      <w:bookmarkStart w:id="1" w:name="OLE_LINK17"/>
      <w:bookmarkStart w:id="2" w:name="OLE_LINK18"/>
      <w:r w:rsidRPr="00827D26">
        <w:rPr>
          <w:b/>
          <w:color w:val="000000" w:themeColor="text1"/>
        </w:rPr>
        <w:t>RESULTS</w:t>
      </w:r>
    </w:p>
    <w:p w:rsidR="00B5345D" w:rsidRPr="00827D26" w:rsidRDefault="00827D26" w:rsidP="00827D26">
      <w:pPr>
        <w:pStyle w:val="ListParagraph"/>
        <w:numPr>
          <w:ilvl w:val="1"/>
          <w:numId w:val="29"/>
        </w:numPr>
        <w:spacing w:line="360" w:lineRule="auto"/>
        <w:jc w:val="both"/>
        <w:rPr>
          <w:b/>
          <w:bCs/>
          <w:color w:val="000000" w:themeColor="text1"/>
        </w:rPr>
      </w:pPr>
      <w:r w:rsidRPr="00827D26">
        <w:rPr>
          <w:b/>
          <w:bCs/>
          <w:color w:val="000000" w:themeColor="text1"/>
        </w:rPr>
        <w:t xml:space="preserve"> </w:t>
      </w:r>
      <w:r w:rsidR="00B5345D" w:rsidRPr="00827D26">
        <w:rPr>
          <w:b/>
          <w:bCs/>
          <w:color w:val="000000" w:themeColor="text1"/>
        </w:rPr>
        <w:t>Effect of Transplanting Density on Vegetative Growth of Plants</w:t>
      </w:r>
    </w:p>
    <w:p w:rsidR="00B5345D" w:rsidRDefault="00B5345D" w:rsidP="00380261">
      <w:pPr>
        <w:spacing w:line="360" w:lineRule="auto"/>
        <w:jc w:val="both"/>
        <w:rPr>
          <w:color w:val="000000"/>
        </w:rPr>
      </w:pPr>
      <w:r w:rsidRPr="009D2C12">
        <w:rPr>
          <w:color w:val="000000"/>
        </w:rPr>
        <w:t xml:space="preserve">Analysis of the results presented in Table 2 reveals a significant influence of transplanting density on </w:t>
      </w:r>
      <w:r w:rsidRPr="009D2C12">
        <w:rPr>
          <w:rStyle w:val="Strong"/>
          <w:rFonts w:eastAsiaTheme="majorEastAsia"/>
          <w:b w:val="0"/>
          <w:bCs w:val="0"/>
          <w:color w:val="000000"/>
        </w:rPr>
        <w:t xml:space="preserve">vegetative state </w:t>
      </w:r>
      <w:r w:rsidRPr="009D2C12">
        <w:rPr>
          <w:color w:val="000000"/>
        </w:rPr>
        <w:t xml:space="preserve">and </w:t>
      </w:r>
      <w:r w:rsidRPr="009D2C12">
        <w:rPr>
          <w:rStyle w:val="Strong"/>
          <w:rFonts w:eastAsiaTheme="majorEastAsia"/>
          <w:b w:val="0"/>
          <w:bCs w:val="0"/>
          <w:color w:val="000000"/>
        </w:rPr>
        <w:t xml:space="preserve">inflorescence length </w:t>
      </w:r>
      <w:r w:rsidRPr="009D2C12">
        <w:rPr>
          <w:color w:val="000000"/>
        </w:rPr>
        <w:t>(</w:t>
      </w:r>
      <w:r w:rsidRPr="00423633">
        <w:rPr>
          <w:i/>
          <w:iCs/>
          <w:color w:val="000000"/>
        </w:rPr>
        <w:t>p</w:t>
      </w:r>
      <w:r w:rsidRPr="009D2C12">
        <w:rPr>
          <w:color w:val="000000"/>
        </w:rPr>
        <w:t xml:space="preserve"> &lt; 0.05), while </w:t>
      </w:r>
      <w:r w:rsidRPr="009D2C12">
        <w:rPr>
          <w:rStyle w:val="Strong"/>
          <w:rFonts w:eastAsiaTheme="majorEastAsia"/>
          <w:b w:val="0"/>
          <w:bCs w:val="0"/>
          <w:color w:val="000000"/>
        </w:rPr>
        <w:t xml:space="preserve">plant height </w:t>
      </w:r>
      <w:r w:rsidRPr="009D2C12">
        <w:rPr>
          <w:color w:val="000000"/>
        </w:rPr>
        <w:t xml:space="preserve">and </w:t>
      </w:r>
      <w:r w:rsidRPr="009D2C12">
        <w:rPr>
          <w:rStyle w:val="Strong"/>
          <w:rFonts w:eastAsiaTheme="majorEastAsia"/>
          <w:b w:val="0"/>
          <w:bCs w:val="0"/>
          <w:color w:val="000000"/>
        </w:rPr>
        <w:t xml:space="preserve">stem diameter </w:t>
      </w:r>
      <w:r w:rsidRPr="009D2C12">
        <w:rPr>
          <w:color w:val="000000"/>
        </w:rPr>
        <w:t xml:space="preserve">were not significantly affected. Plants grown at the D1 density (20 × 20 cm), corresponding to 250,000 vines/ha, showed a significantly lower vegetative state than the higher densities (D2 and D3), with a low score of 2.00 compared to 3.00 (average score). In contrast, </w:t>
      </w:r>
      <w:r w:rsidRPr="009D2C12">
        <w:rPr>
          <w:rStyle w:val="Strong"/>
          <w:rFonts w:eastAsiaTheme="majorEastAsia"/>
          <w:b w:val="0"/>
          <w:bCs w:val="0"/>
          <w:color w:val="000000"/>
        </w:rPr>
        <w:lastRenderedPageBreak/>
        <w:t xml:space="preserve">inflorescence length </w:t>
      </w:r>
      <w:r w:rsidRPr="009D2C12">
        <w:rPr>
          <w:color w:val="000000"/>
        </w:rPr>
        <w:t xml:space="preserve">was significantly higher in plants grown at density D1 (36.40 cm) compared to D2 (30.20 cm), with an intermediate value for D3 (33.30 cm). Regarding the </w:t>
      </w:r>
      <w:r w:rsidRPr="009D2C12">
        <w:rPr>
          <w:rStyle w:val="Strong"/>
          <w:rFonts w:eastAsiaTheme="majorEastAsia"/>
          <w:b w:val="0"/>
          <w:bCs w:val="0"/>
          <w:color w:val="000000"/>
        </w:rPr>
        <w:t xml:space="preserve">height </w:t>
      </w:r>
      <w:r w:rsidRPr="009D2C12">
        <w:rPr>
          <w:color w:val="000000"/>
        </w:rPr>
        <w:t xml:space="preserve">and </w:t>
      </w:r>
      <w:r w:rsidRPr="009D2C12">
        <w:rPr>
          <w:rStyle w:val="Strong"/>
          <w:rFonts w:eastAsiaTheme="majorEastAsia"/>
          <w:b w:val="0"/>
          <w:bCs w:val="0"/>
          <w:color w:val="000000"/>
        </w:rPr>
        <w:t>diameter of the plants</w:t>
      </w:r>
      <w:r w:rsidRPr="009D2C12">
        <w:rPr>
          <w:color w:val="000000"/>
        </w:rPr>
        <w:t>, no significant difference was observed between the different treatments (</w:t>
      </w:r>
      <w:r w:rsidRPr="00423633">
        <w:rPr>
          <w:i/>
          <w:iCs/>
          <w:color w:val="000000"/>
        </w:rPr>
        <w:t>p</w:t>
      </w:r>
      <w:r w:rsidRPr="009D2C12">
        <w:rPr>
          <w:color w:val="000000"/>
        </w:rPr>
        <w:t xml:space="preserve"> &gt; 0.05).</w:t>
      </w:r>
    </w:p>
    <w:p w:rsidR="007A51AD" w:rsidRPr="00B5345D" w:rsidRDefault="00B5345D" w:rsidP="002E3478">
      <w:pPr>
        <w:spacing w:before="120" w:after="80"/>
        <w:jc w:val="both"/>
      </w:pPr>
      <w:r>
        <w:rPr>
          <w:b/>
          <w:bCs/>
        </w:rPr>
        <w:t>T</w:t>
      </w:r>
      <w:r w:rsidRPr="00B5345D">
        <w:rPr>
          <w:b/>
          <w:bCs/>
        </w:rPr>
        <w:t>able 2</w:t>
      </w:r>
      <w:r w:rsidR="00885E0C">
        <w:rPr>
          <w:b/>
          <w:bCs/>
        </w:rPr>
        <w:t>.</w:t>
      </w:r>
      <w:r w:rsidRPr="00B5345D">
        <w:rPr>
          <w:b/>
          <w:bCs/>
        </w:rPr>
        <w:t xml:space="preserve"> </w:t>
      </w:r>
      <w:r w:rsidRPr="00B5345D">
        <w:t xml:space="preserve">Vegetative development, flower size and diameter according to transplanting density </w:t>
      </w:r>
    </w:p>
    <w:tbl>
      <w:tblPr>
        <w:tblW w:w="9214" w:type="dxa"/>
        <w:tblBorders>
          <w:top w:val="single" w:sz="4" w:space="0" w:color="auto"/>
          <w:bottom w:val="single" w:sz="4" w:space="0" w:color="auto"/>
        </w:tblBorders>
        <w:tblLayout w:type="fixed"/>
        <w:tblLook w:val="01E0" w:firstRow="1" w:lastRow="1" w:firstColumn="1" w:lastColumn="1" w:noHBand="0" w:noVBand="0"/>
      </w:tblPr>
      <w:tblGrid>
        <w:gridCol w:w="1843"/>
        <w:gridCol w:w="1843"/>
        <w:gridCol w:w="1701"/>
        <w:gridCol w:w="1701"/>
        <w:gridCol w:w="2126"/>
      </w:tblGrid>
      <w:tr w:rsidR="00DC2200" w:rsidRPr="009D2C12" w:rsidTr="00E25579">
        <w:tc>
          <w:tcPr>
            <w:tcW w:w="1843" w:type="dxa"/>
            <w:tcBorders>
              <w:top w:val="single" w:sz="4" w:space="0" w:color="auto"/>
              <w:bottom w:val="single" w:sz="4" w:space="0" w:color="auto"/>
            </w:tcBorders>
          </w:tcPr>
          <w:bookmarkEnd w:id="1"/>
          <w:bookmarkEnd w:id="2"/>
          <w:p w:rsidR="00DC2200" w:rsidRPr="009D2C12" w:rsidRDefault="00DC2200" w:rsidP="00D14CFE">
            <w:pPr>
              <w:spacing w:line="276" w:lineRule="auto"/>
            </w:pPr>
            <w:r w:rsidRPr="009D2C12">
              <w:t>Transplanting densit</w:t>
            </w:r>
            <w:r w:rsidR="00E25579">
              <w:t>y</w:t>
            </w:r>
          </w:p>
        </w:tc>
        <w:tc>
          <w:tcPr>
            <w:tcW w:w="1843" w:type="dxa"/>
            <w:tcBorders>
              <w:top w:val="single" w:sz="4" w:space="0" w:color="auto"/>
              <w:bottom w:val="single" w:sz="4" w:space="0" w:color="auto"/>
            </w:tcBorders>
          </w:tcPr>
          <w:p w:rsidR="00DC2200" w:rsidRPr="009D2C12" w:rsidRDefault="00DC2200" w:rsidP="00D14CFE">
            <w:pPr>
              <w:spacing w:line="276" w:lineRule="auto"/>
            </w:pPr>
            <w:r w:rsidRPr="009D2C12">
              <w:rPr>
                <w:color w:val="000000" w:themeColor="text1"/>
              </w:rPr>
              <w:t xml:space="preserve">Vegetative state </w:t>
            </w:r>
            <w:r w:rsidRPr="009D2C12">
              <w:t>(score 1-5)</w:t>
            </w:r>
          </w:p>
        </w:tc>
        <w:tc>
          <w:tcPr>
            <w:tcW w:w="1701" w:type="dxa"/>
            <w:tcBorders>
              <w:top w:val="single" w:sz="4" w:space="0" w:color="auto"/>
              <w:bottom w:val="single" w:sz="4" w:space="0" w:color="auto"/>
            </w:tcBorders>
          </w:tcPr>
          <w:p w:rsidR="00DC2200" w:rsidRPr="009D2C12" w:rsidRDefault="00DC2200" w:rsidP="00D14CFE">
            <w:pPr>
              <w:spacing w:line="276" w:lineRule="auto"/>
            </w:pPr>
            <w:r w:rsidRPr="009D2C12">
              <w:t>Plant height (cm)</w:t>
            </w:r>
          </w:p>
        </w:tc>
        <w:tc>
          <w:tcPr>
            <w:tcW w:w="1701" w:type="dxa"/>
            <w:tcBorders>
              <w:top w:val="single" w:sz="4" w:space="0" w:color="auto"/>
              <w:bottom w:val="single" w:sz="4" w:space="0" w:color="auto"/>
            </w:tcBorders>
          </w:tcPr>
          <w:p w:rsidR="00DC2200" w:rsidRPr="009D2C12" w:rsidRDefault="00DC2200" w:rsidP="00D14CFE">
            <w:pPr>
              <w:spacing w:line="276" w:lineRule="auto"/>
            </w:pPr>
            <w:r w:rsidRPr="009D2C12">
              <w:t>Plant diameter (mm)</w:t>
            </w:r>
          </w:p>
        </w:tc>
        <w:tc>
          <w:tcPr>
            <w:tcW w:w="2126" w:type="dxa"/>
            <w:tcBorders>
              <w:top w:val="single" w:sz="4" w:space="0" w:color="auto"/>
              <w:bottom w:val="single" w:sz="4" w:space="0" w:color="auto"/>
            </w:tcBorders>
          </w:tcPr>
          <w:p w:rsidR="00DC2200" w:rsidRPr="009D2C12" w:rsidRDefault="00DC2200" w:rsidP="00D14CFE">
            <w:pPr>
              <w:spacing w:line="276" w:lineRule="auto"/>
            </w:pPr>
            <w:r w:rsidRPr="009D2C12">
              <w:t>Length of inflorescences (cm)</w:t>
            </w:r>
          </w:p>
        </w:tc>
      </w:tr>
      <w:tr w:rsidR="00DC2200" w:rsidRPr="009D2C12" w:rsidTr="00E25579">
        <w:tc>
          <w:tcPr>
            <w:tcW w:w="1843" w:type="dxa"/>
            <w:tcBorders>
              <w:top w:val="single" w:sz="4" w:space="0" w:color="auto"/>
              <w:bottom w:val="nil"/>
            </w:tcBorders>
          </w:tcPr>
          <w:p w:rsidR="00DC2200" w:rsidRPr="009D2C12" w:rsidRDefault="00DC2200" w:rsidP="00D14CFE">
            <w:pPr>
              <w:spacing w:line="276" w:lineRule="auto"/>
              <w:rPr>
                <w:color w:val="000000" w:themeColor="text1"/>
              </w:rPr>
            </w:pPr>
            <w:r w:rsidRPr="009D2C12">
              <w:rPr>
                <w:color w:val="000000" w:themeColor="text1"/>
              </w:rPr>
              <w:t xml:space="preserve">D1 (20 x 20 cm) </w:t>
            </w:r>
          </w:p>
        </w:tc>
        <w:tc>
          <w:tcPr>
            <w:tcW w:w="1843" w:type="dxa"/>
            <w:tcBorders>
              <w:top w:val="single" w:sz="4" w:space="0" w:color="auto"/>
              <w:bottom w:val="nil"/>
            </w:tcBorders>
          </w:tcPr>
          <w:p w:rsidR="00DC2200" w:rsidRPr="009D2C12" w:rsidRDefault="00DC2200" w:rsidP="00D14CFE">
            <w:pPr>
              <w:spacing w:line="276" w:lineRule="auto"/>
              <w:rPr>
                <w:color w:val="000000" w:themeColor="text1"/>
              </w:rPr>
            </w:pPr>
            <w:r w:rsidRPr="009D2C12">
              <w:rPr>
                <w:color w:val="000000" w:themeColor="text1"/>
              </w:rPr>
              <w:t xml:space="preserve">2 </w:t>
            </w:r>
            <w:r w:rsidRPr="009D2C12">
              <w:rPr>
                <w:color w:val="000000" w:themeColor="text1"/>
              </w:rPr>
              <w:sym w:font="Symbol" w:char="F0B1"/>
            </w:r>
            <w:r w:rsidRPr="009D2C12">
              <w:rPr>
                <w:color w:val="000000" w:themeColor="text1"/>
              </w:rPr>
              <w:t xml:space="preserve"> 0.27 </w:t>
            </w:r>
            <w:r w:rsidR="00E25579">
              <w:rPr>
                <w:color w:val="000000" w:themeColor="text1"/>
              </w:rPr>
              <w:t>b</w:t>
            </w:r>
          </w:p>
        </w:tc>
        <w:tc>
          <w:tcPr>
            <w:tcW w:w="1701" w:type="dxa"/>
            <w:tcBorders>
              <w:top w:val="single" w:sz="4" w:space="0" w:color="auto"/>
              <w:bottom w:val="nil"/>
            </w:tcBorders>
          </w:tcPr>
          <w:p w:rsidR="00DC2200" w:rsidRPr="009D2C12" w:rsidRDefault="00DC2200" w:rsidP="00D14CFE">
            <w:pPr>
              <w:spacing w:line="276" w:lineRule="auto"/>
              <w:rPr>
                <w:color w:val="000000" w:themeColor="text1"/>
              </w:rPr>
            </w:pPr>
            <w:r w:rsidRPr="009D2C12">
              <w:rPr>
                <w:color w:val="000000" w:themeColor="text1"/>
              </w:rPr>
              <w:t xml:space="preserve">22.40 </w:t>
            </w:r>
            <w:r w:rsidRPr="009D2C12">
              <w:rPr>
                <w:color w:val="000000" w:themeColor="text1"/>
              </w:rPr>
              <w:sym w:font="Symbol" w:char="F0B1"/>
            </w:r>
            <w:r w:rsidRPr="009D2C12">
              <w:rPr>
                <w:color w:val="000000" w:themeColor="text1"/>
              </w:rPr>
              <w:t xml:space="preserve"> 8.20 </w:t>
            </w:r>
            <w:r w:rsidR="00E25579">
              <w:rPr>
                <w:color w:val="000000" w:themeColor="text1"/>
              </w:rPr>
              <w:t>a</w:t>
            </w:r>
          </w:p>
        </w:tc>
        <w:tc>
          <w:tcPr>
            <w:tcW w:w="1701" w:type="dxa"/>
            <w:tcBorders>
              <w:top w:val="single" w:sz="4" w:space="0" w:color="auto"/>
              <w:bottom w:val="nil"/>
            </w:tcBorders>
          </w:tcPr>
          <w:p w:rsidR="00DC2200" w:rsidRPr="009D2C12" w:rsidRDefault="00DC2200" w:rsidP="00D14CFE">
            <w:pPr>
              <w:spacing w:line="276" w:lineRule="auto"/>
              <w:rPr>
                <w:color w:val="000000" w:themeColor="text1"/>
              </w:rPr>
            </w:pPr>
            <w:r w:rsidRPr="009D2C12">
              <w:rPr>
                <w:color w:val="000000" w:themeColor="text1"/>
              </w:rPr>
              <w:t xml:space="preserve">7.90 </w:t>
            </w:r>
            <w:r w:rsidRPr="009D2C12">
              <w:rPr>
                <w:color w:val="000000" w:themeColor="text1"/>
              </w:rPr>
              <w:sym w:font="Symbol" w:char="F0B1"/>
            </w:r>
            <w:r w:rsidRPr="009D2C12">
              <w:rPr>
                <w:color w:val="000000" w:themeColor="text1"/>
              </w:rPr>
              <w:t xml:space="preserve"> 0.20 </w:t>
            </w:r>
            <w:r w:rsidR="00E25579">
              <w:rPr>
                <w:color w:val="000000" w:themeColor="text1"/>
              </w:rPr>
              <w:t>a</w:t>
            </w:r>
          </w:p>
        </w:tc>
        <w:tc>
          <w:tcPr>
            <w:tcW w:w="2126" w:type="dxa"/>
            <w:tcBorders>
              <w:top w:val="single" w:sz="4" w:space="0" w:color="auto"/>
              <w:bottom w:val="nil"/>
            </w:tcBorders>
          </w:tcPr>
          <w:p w:rsidR="00DC2200" w:rsidRPr="009D2C12" w:rsidRDefault="00DC2200" w:rsidP="00D14CFE">
            <w:pPr>
              <w:spacing w:line="276" w:lineRule="auto"/>
              <w:rPr>
                <w:color w:val="000000" w:themeColor="text1"/>
              </w:rPr>
            </w:pPr>
            <w:r w:rsidRPr="009D2C12">
              <w:rPr>
                <w:color w:val="000000" w:themeColor="text1"/>
              </w:rPr>
              <w:t xml:space="preserve">36.40 </w:t>
            </w:r>
            <w:r w:rsidRPr="009D2C12">
              <w:rPr>
                <w:color w:val="000000" w:themeColor="text1"/>
              </w:rPr>
              <w:sym w:font="Symbol" w:char="F0B1"/>
            </w:r>
            <w:r w:rsidRPr="009D2C12">
              <w:rPr>
                <w:color w:val="000000" w:themeColor="text1"/>
              </w:rPr>
              <w:t xml:space="preserve"> 3.30 </w:t>
            </w:r>
            <w:r>
              <w:rPr>
                <w:color w:val="000000" w:themeColor="text1"/>
              </w:rPr>
              <w:t>a</w:t>
            </w:r>
          </w:p>
        </w:tc>
      </w:tr>
      <w:tr w:rsidR="00DC2200" w:rsidRPr="009D2C12" w:rsidTr="00E25579">
        <w:tc>
          <w:tcPr>
            <w:tcW w:w="1843" w:type="dxa"/>
            <w:tcBorders>
              <w:top w:val="nil"/>
              <w:bottom w:val="nil"/>
            </w:tcBorders>
          </w:tcPr>
          <w:p w:rsidR="00DC2200" w:rsidRPr="009D2C12" w:rsidRDefault="00DC2200" w:rsidP="00D14CFE">
            <w:pPr>
              <w:spacing w:line="276" w:lineRule="auto"/>
              <w:rPr>
                <w:color w:val="000000" w:themeColor="text1"/>
              </w:rPr>
            </w:pPr>
            <w:r w:rsidRPr="009D2C12">
              <w:rPr>
                <w:color w:val="000000" w:themeColor="text1"/>
              </w:rPr>
              <w:t xml:space="preserve">D2 (10 x 20 cm) </w:t>
            </w:r>
          </w:p>
        </w:tc>
        <w:tc>
          <w:tcPr>
            <w:tcW w:w="1843" w:type="dxa"/>
            <w:tcBorders>
              <w:top w:val="nil"/>
              <w:bottom w:val="nil"/>
            </w:tcBorders>
          </w:tcPr>
          <w:p w:rsidR="00DC2200" w:rsidRPr="009D2C12" w:rsidRDefault="00DC2200" w:rsidP="00D14CFE">
            <w:pPr>
              <w:spacing w:line="276" w:lineRule="auto"/>
              <w:rPr>
                <w:color w:val="000000" w:themeColor="text1"/>
              </w:rPr>
            </w:pPr>
            <w:r w:rsidRPr="009D2C12">
              <w:rPr>
                <w:color w:val="000000" w:themeColor="text1"/>
              </w:rPr>
              <w:t xml:space="preserve">3 </w:t>
            </w:r>
            <w:r w:rsidRPr="009D2C12">
              <w:rPr>
                <w:color w:val="000000" w:themeColor="text1"/>
              </w:rPr>
              <w:sym w:font="Symbol" w:char="F0B1"/>
            </w:r>
            <w:r w:rsidRPr="009D2C12">
              <w:rPr>
                <w:color w:val="000000" w:themeColor="text1"/>
              </w:rPr>
              <w:t xml:space="preserve"> 0.20 </w:t>
            </w:r>
            <w:r w:rsidR="00E25579">
              <w:rPr>
                <w:color w:val="000000" w:themeColor="text1"/>
              </w:rPr>
              <w:t>a</w:t>
            </w:r>
          </w:p>
        </w:tc>
        <w:tc>
          <w:tcPr>
            <w:tcW w:w="1701" w:type="dxa"/>
            <w:tcBorders>
              <w:top w:val="nil"/>
              <w:bottom w:val="nil"/>
            </w:tcBorders>
          </w:tcPr>
          <w:p w:rsidR="00DC2200" w:rsidRPr="009D2C12" w:rsidRDefault="00DC2200" w:rsidP="00D14CFE">
            <w:pPr>
              <w:spacing w:line="276" w:lineRule="auto"/>
              <w:rPr>
                <w:color w:val="000000" w:themeColor="text1"/>
              </w:rPr>
            </w:pPr>
            <w:r w:rsidRPr="009D2C12">
              <w:rPr>
                <w:color w:val="000000" w:themeColor="text1"/>
              </w:rPr>
              <w:t xml:space="preserve">32 </w:t>
            </w:r>
            <w:r w:rsidRPr="009D2C12">
              <w:rPr>
                <w:color w:val="000000" w:themeColor="text1"/>
              </w:rPr>
              <w:sym w:font="Symbol" w:char="F0B1"/>
            </w:r>
            <w:r w:rsidRPr="009D2C12">
              <w:rPr>
                <w:color w:val="000000" w:themeColor="text1"/>
              </w:rPr>
              <w:t xml:space="preserve"> 6.15 </w:t>
            </w:r>
            <w:r w:rsidR="00E25579">
              <w:rPr>
                <w:color w:val="000000" w:themeColor="text1"/>
              </w:rPr>
              <w:t>a</w:t>
            </w:r>
          </w:p>
        </w:tc>
        <w:tc>
          <w:tcPr>
            <w:tcW w:w="1701" w:type="dxa"/>
            <w:tcBorders>
              <w:top w:val="nil"/>
              <w:bottom w:val="nil"/>
            </w:tcBorders>
          </w:tcPr>
          <w:p w:rsidR="00DC2200" w:rsidRPr="009D2C12" w:rsidRDefault="00DC2200" w:rsidP="00D14CFE">
            <w:pPr>
              <w:spacing w:line="276" w:lineRule="auto"/>
              <w:rPr>
                <w:color w:val="000000" w:themeColor="text1"/>
              </w:rPr>
            </w:pPr>
            <w:r w:rsidRPr="009D2C12">
              <w:rPr>
                <w:color w:val="000000" w:themeColor="text1"/>
              </w:rPr>
              <w:t xml:space="preserve">9.10 </w:t>
            </w:r>
            <w:r w:rsidRPr="009D2C12">
              <w:rPr>
                <w:color w:val="000000" w:themeColor="text1"/>
              </w:rPr>
              <w:sym w:font="Symbol" w:char="F0B1"/>
            </w:r>
            <w:r w:rsidRPr="009D2C12">
              <w:rPr>
                <w:color w:val="000000" w:themeColor="text1"/>
              </w:rPr>
              <w:t xml:space="preserve"> 0.40 </w:t>
            </w:r>
            <w:r w:rsidR="00E25579">
              <w:rPr>
                <w:color w:val="000000" w:themeColor="text1"/>
              </w:rPr>
              <w:t>a</w:t>
            </w:r>
          </w:p>
        </w:tc>
        <w:tc>
          <w:tcPr>
            <w:tcW w:w="2126" w:type="dxa"/>
            <w:tcBorders>
              <w:top w:val="nil"/>
              <w:bottom w:val="nil"/>
            </w:tcBorders>
          </w:tcPr>
          <w:p w:rsidR="00DC2200" w:rsidRPr="009D2C12" w:rsidRDefault="00DC2200" w:rsidP="00D14CFE">
            <w:pPr>
              <w:spacing w:line="276" w:lineRule="auto"/>
              <w:rPr>
                <w:color w:val="000000" w:themeColor="text1"/>
              </w:rPr>
            </w:pPr>
            <w:r w:rsidRPr="009D2C12">
              <w:rPr>
                <w:color w:val="000000" w:themeColor="text1"/>
              </w:rPr>
              <w:t xml:space="preserve">30.20 </w:t>
            </w:r>
            <w:r w:rsidRPr="009D2C12">
              <w:rPr>
                <w:color w:val="000000" w:themeColor="text1"/>
              </w:rPr>
              <w:sym w:font="Symbol" w:char="F0B1"/>
            </w:r>
            <w:r w:rsidRPr="009D2C12">
              <w:rPr>
                <w:color w:val="000000" w:themeColor="text1"/>
              </w:rPr>
              <w:t xml:space="preserve"> 3.17 </w:t>
            </w:r>
            <w:r>
              <w:rPr>
                <w:color w:val="000000" w:themeColor="text1"/>
              </w:rPr>
              <w:t>b</w:t>
            </w:r>
          </w:p>
        </w:tc>
      </w:tr>
      <w:tr w:rsidR="00DC2200" w:rsidRPr="009D2C12" w:rsidTr="00E25579">
        <w:trPr>
          <w:trHeight w:val="234"/>
        </w:trPr>
        <w:tc>
          <w:tcPr>
            <w:tcW w:w="1843" w:type="dxa"/>
            <w:tcBorders>
              <w:top w:val="nil"/>
              <w:bottom w:val="single" w:sz="4" w:space="0" w:color="auto"/>
            </w:tcBorders>
          </w:tcPr>
          <w:p w:rsidR="00DC2200" w:rsidRPr="009D2C12" w:rsidRDefault="00DC2200" w:rsidP="00D14CFE">
            <w:pPr>
              <w:spacing w:line="276" w:lineRule="auto"/>
              <w:rPr>
                <w:color w:val="000000" w:themeColor="text1"/>
              </w:rPr>
            </w:pPr>
            <w:r w:rsidRPr="009D2C12">
              <w:rPr>
                <w:color w:val="000000" w:themeColor="text1"/>
              </w:rPr>
              <w:t>D3 (20 x 10 cm)</w:t>
            </w:r>
          </w:p>
        </w:tc>
        <w:tc>
          <w:tcPr>
            <w:tcW w:w="1843" w:type="dxa"/>
            <w:tcBorders>
              <w:top w:val="nil"/>
              <w:bottom w:val="single" w:sz="4" w:space="0" w:color="auto"/>
            </w:tcBorders>
          </w:tcPr>
          <w:p w:rsidR="00DC2200" w:rsidRPr="009D2C12" w:rsidRDefault="00DC2200" w:rsidP="00D14CFE">
            <w:pPr>
              <w:spacing w:line="276" w:lineRule="auto"/>
              <w:rPr>
                <w:color w:val="000000" w:themeColor="text1"/>
              </w:rPr>
            </w:pPr>
            <w:r w:rsidRPr="009D2C12">
              <w:rPr>
                <w:color w:val="000000" w:themeColor="text1"/>
              </w:rPr>
              <w:t xml:space="preserve">3 </w:t>
            </w:r>
            <w:r w:rsidRPr="009D2C12">
              <w:rPr>
                <w:color w:val="000000" w:themeColor="text1"/>
              </w:rPr>
              <w:sym w:font="Symbol" w:char="F0B1"/>
            </w:r>
            <w:r w:rsidRPr="009D2C12">
              <w:rPr>
                <w:color w:val="000000" w:themeColor="text1"/>
              </w:rPr>
              <w:t xml:space="preserve"> 0.17 </w:t>
            </w:r>
            <w:r w:rsidR="00E25579">
              <w:rPr>
                <w:color w:val="000000" w:themeColor="text1"/>
              </w:rPr>
              <w:t>a</w:t>
            </w:r>
          </w:p>
        </w:tc>
        <w:tc>
          <w:tcPr>
            <w:tcW w:w="1701" w:type="dxa"/>
            <w:tcBorders>
              <w:top w:val="nil"/>
              <w:bottom w:val="single" w:sz="4" w:space="0" w:color="auto"/>
            </w:tcBorders>
          </w:tcPr>
          <w:p w:rsidR="00DC2200" w:rsidRPr="009D2C12" w:rsidRDefault="00DC2200" w:rsidP="00D14CFE">
            <w:pPr>
              <w:spacing w:line="276" w:lineRule="auto"/>
              <w:rPr>
                <w:color w:val="000000" w:themeColor="text1"/>
              </w:rPr>
            </w:pPr>
            <w:r w:rsidRPr="009D2C12">
              <w:rPr>
                <w:color w:val="000000" w:themeColor="text1"/>
              </w:rPr>
              <w:t xml:space="preserve">30.20 </w:t>
            </w:r>
            <w:r w:rsidRPr="009D2C12">
              <w:rPr>
                <w:color w:val="000000" w:themeColor="text1"/>
              </w:rPr>
              <w:sym w:font="Symbol" w:char="F0B1"/>
            </w:r>
            <w:r w:rsidRPr="009D2C12">
              <w:rPr>
                <w:color w:val="000000" w:themeColor="text1"/>
              </w:rPr>
              <w:t xml:space="preserve"> 7.12 </w:t>
            </w:r>
            <w:r w:rsidR="00E25579">
              <w:rPr>
                <w:color w:val="000000" w:themeColor="text1"/>
              </w:rPr>
              <w:t>a</w:t>
            </w:r>
          </w:p>
        </w:tc>
        <w:tc>
          <w:tcPr>
            <w:tcW w:w="1701" w:type="dxa"/>
            <w:tcBorders>
              <w:top w:val="nil"/>
              <w:bottom w:val="single" w:sz="4" w:space="0" w:color="auto"/>
            </w:tcBorders>
          </w:tcPr>
          <w:p w:rsidR="00DC2200" w:rsidRPr="009D2C12" w:rsidRDefault="00DC2200" w:rsidP="00D14CFE">
            <w:pPr>
              <w:spacing w:line="276" w:lineRule="auto"/>
              <w:rPr>
                <w:color w:val="000000" w:themeColor="text1"/>
              </w:rPr>
            </w:pPr>
            <w:r w:rsidRPr="009D2C12">
              <w:rPr>
                <w:color w:val="000000" w:themeColor="text1"/>
              </w:rPr>
              <w:t xml:space="preserve">8.40 </w:t>
            </w:r>
            <w:r w:rsidRPr="009D2C12">
              <w:rPr>
                <w:color w:val="000000" w:themeColor="text1"/>
              </w:rPr>
              <w:sym w:font="Symbol" w:char="F0B1"/>
            </w:r>
            <w:r w:rsidRPr="009D2C12">
              <w:rPr>
                <w:color w:val="000000" w:themeColor="text1"/>
              </w:rPr>
              <w:t xml:space="preserve"> 0.30 </w:t>
            </w:r>
            <w:r w:rsidR="00E25579">
              <w:rPr>
                <w:color w:val="000000" w:themeColor="text1"/>
              </w:rPr>
              <w:t>a</w:t>
            </w:r>
          </w:p>
        </w:tc>
        <w:tc>
          <w:tcPr>
            <w:tcW w:w="2126" w:type="dxa"/>
            <w:tcBorders>
              <w:top w:val="nil"/>
              <w:bottom w:val="single" w:sz="4" w:space="0" w:color="auto"/>
            </w:tcBorders>
          </w:tcPr>
          <w:p w:rsidR="00DC2200" w:rsidRPr="009D2C12" w:rsidRDefault="00DC2200" w:rsidP="00D14CFE">
            <w:pPr>
              <w:spacing w:line="276" w:lineRule="auto"/>
              <w:rPr>
                <w:color w:val="000000" w:themeColor="text1"/>
              </w:rPr>
            </w:pPr>
            <w:r w:rsidRPr="009D2C12">
              <w:rPr>
                <w:color w:val="000000" w:themeColor="text1"/>
              </w:rPr>
              <w:t>33</w:t>
            </w:r>
            <w:r>
              <w:rPr>
                <w:color w:val="000000" w:themeColor="text1"/>
              </w:rPr>
              <w:t>.</w:t>
            </w:r>
            <w:r w:rsidRPr="009D2C12">
              <w:rPr>
                <w:color w:val="000000" w:themeColor="text1"/>
              </w:rPr>
              <w:t xml:space="preserve">30 </w:t>
            </w:r>
            <w:r w:rsidRPr="009D2C12">
              <w:rPr>
                <w:color w:val="000000" w:themeColor="text1"/>
              </w:rPr>
              <w:sym w:font="Symbol" w:char="F0B1"/>
            </w:r>
            <w:r w:rsidRPr="009D2C12">
              <w:rPr>
                <w:color w:val="000000" w:themeColor="text1"/>
              </w:rPr>
              <w:t xml:space="preserve"> 3</w:t>
            </w:r>
            <w:r>
              <w:rPr>
                <w:color w:val="000000" w:themeColor="text1"/>
              </w:rPr>
              <w:t>.</w:t>
            </w:r>
            <w:r w:rsidRPr="009D2C12">
              <w:rPr>
                <w:color w:val="000000" w:themeColor="text1"/>
              </w:rPr>
              <w:t xml:space="preserve">10 </w:t>
            </w:r>
            <w:r>
              <w:rPr>
                <w:color w:val="000000" w:themeColor="text1"/>
              </w:rPr>
              <w:t>ab</w:t>
            </w:r>
          </w:p>
        </w:tc>
      </w:tr>
      <w:tr w:rsidR="00DC2200" w:rsidRPr="009D2C12" w:rsidTr="00E25579">
        <w:tc>
          <w:tcPr>
            <w:tcW w:w="1843" w:type="dxa"/>
            <w:tcBorders>
              <w:top w:val="single" w:sz="4" w:space="0" w:color="auto"/>
              <w:bottom w:val="single" w:sz="4" w:space="0" w:color="auto"/>
            </w:tcBorders>
          </w:tcPr>
          <w:p w:rsidR="00DC2200" w:rsidRPr="009D2C12" w:rsidRDefault="00DC2200" w:rsidP="00D14CFE">
            <w:pPr>
              <w:spacing w:line="276" w:lineRule="auto"/>
            </w:pPr>
            <w:r w:rsidRPr="009D2C12">
              <w:t>Average</w:t>
            </w:r>
          </w:p>
          <w:p w:rsidR="00DC2200" w:rsidRPr="00423633" w:rsidRDefault="00DC2200" w:rsidP="00D14CFE">
            <w:pPr>
              <w:spacing w:line="276" w:lineRule="auto"/>
              <w:rPr>
                <w:i/>
                <w:iCs/>
              </w:rPr>
            </w:pPr>
            <w:proofErr w:type="gramStart"/>
            <w:r w:rsidRPr="00423633">
              <w:rPr>
                <w:i/>
                <w:iCs/>
              </w:rPr>
              <w:t>p</w:t>
            </w:r>
            <w:proofErr w:type="gramEnd"/>
          </w:p>
          <w:p w:rsidR="00DC2200" w:rsidRPr="009D2C12" w:rsidRDefault="00DC2200" w:rsidP="00D14CFE">
            <w:pPr>
              <w:spacing w:line="276" w:lineRule="auto"/>
            </w:pPr>
            <w:r w:rsidRPr="009D2C12">
              <w:t>CV (%)</w:t>
            </w:r>
          </w:p>
        </w:tc>
        <w:tc>
          <w:tcPr>
            <w:tcW w:w="1843" w:type="dxa"/>
            <w:tcBorders>
              <w:top w:val="single" w:sz="4" w:space="0" w:color="auto"/>
              <w:bottom w:val="single" w:sz="4" w:space="0" w:color="auto"/>
            </w:tcBorders>
          </w:tcPr>
          <w:p w:rsidR="00DC2200" w:rsidRPr="009D2C12" w:rsidRDefault="00DC2200" w:rsidP="00D14CFE">
            <w:pPr>
              <w:spacing w:line="276" w:lineRule="auto"/>
            </w:pPr>
            <w:r w:rsidRPr="009D2C12">
              <w:t>2</w:t>
            </w:r>
            <w:r>
              <w:t>.</w:t>
            </w:r>
            <w:r w:rsidRPr="009D2C12">
              <w:t>70</w:t>
            </w:r>
          </w:p>
          <w:p w:rsidR="00DC2200" w:rsidRPr="009D2C12" w:rsidRDefault="00DC2200" w:rsidP="00D14CFE">
            <w:pPr>
              <w:spacing w:line="276" w:lineRule="auto"/>
            </w:pPr>
            <w:r w:rsidRPr="009D2C12">
              <w:t>0</w:t>
            </w:r>
            <w:r>
              <w:t>.</w:t>
            </w:r>
            <w:r w:rsidRPr="009D2C12">
              <w:t>0047</w:t>
            </w:r>
          </w:p>
          <w:p w:rsidR="00DC2200" w:rsidRPr="009D2C12" w:rsidRDefault="00DC2200" w:rsidP="00D14CFE">
            <w:pPr>
              <w:spacing w:line="276" w:lineRule="auto"/>
            </w:pPr>
            <w:r w:rsidRPr="009D2C12">
              <w:t>25</w:t>
            </w:r>
            <w:r>
              <w:t>.</w:t>
            </w:r>
            <w:r w:rsidRPr="009D2C12">
              <w:t>40</w:t>
            </w:r>
          </w:p>
        </w:tc>
        <w:tc>
          <w:tcPr>
            <w:tcW w:w="1701" w:type="dxa"/>
            <w:tcBorders>
              <w:top w:val="single" w:sz="4" w:space="0" w:color="auto"/>
              <w:bottom w:val="single" w:sz="4" w:space="0" w:color="auto"/>
            </w:tcBorders>
          </w:tcPr>
          <w:p w:rsidR="00DC2200" w:rsidRPr="009D2C12" w:rsidRDefault="00DC2200" w:rsidP="00D14CFE">
            <w:pPr>
              <w:spacing w:line="276" w:lineRule="auto"/>
            </w:pPr>
            <w:r w:rsidRPr="009D2C12">
              <w:t>28</w:t>
            </w:r>
            <w:r>
              <w:t>.</w:t>
            </w:r>
            <w:r w:rsidRPr="009D2C12">
              <w:t>20</w:t>
            </w:r>
          </w:p>
          <w:p w:rsidR="00DC2200" w:rsidRPr="009D2C12" w:rsidRDefault="00DC2200" w:rsidP="00D14CFE">
            <w:pPr>
              <w:spacing w:line="276" w:lineRule="auto"/>
            </w:pPr>
            <w:r w:rsidRPr="009D2C12">
              <w:t>0</w:t>
            </w:r>
            <w:r>
              <w:t>.</w:t>
            </w:r>
            <w:r w:rsidRPr="009D2C12">
              <w:t>27</w:t>
            </w:r>
          </w:p>
          <w:p w:rsidR="00DC2200" w:rsidRPr="009D2C12" w:rsidRDefault="00DC2200" w:rsidP="00D14CFE">
            <w:pPr>
              <w:spacing w:line="276" w:lineRule="auto"/>
            </w:pPr>
            <w:r w:rsidRPr="009D2C12">
              <w:t>45</w:t>
            </w:r>
            <w:r>
              <w:t>.</w:t>
            </w:r>
            <w:r w:rsidRPr="009D2C12">
              <w:t>00</w:t>
            </w:r>
          </w:p>
        </w:tc>
        <w:tc>
          <w:tcPr>
            <w:tcW w:w="1701" w:type="dxa"/>
            <w:tcBorders>
              <w:top w:val="single" w:sz="4" w:space="0" w:color="auto"/>
              <w:bottom w:val="single" w:sz="4" w:space="0" w:color="auto"/>
            </w:tcBorders>
          </w:tcPr>
          <w:p w:rsidR="00DC2200" w:rsidRPr="009D2C12" w:rsidRDefault="00DC2200" w:rsidP="00D14CFE">
            <w:pPr>
              <w:spacing w:line="276" w:lineRule="auto"/>
            </w:pPr>
            <w:r w:rsidRPr="009D2C12">
              <w:t>8</w:t>
            </w:r>
            <w:r>
              <w:t>.</w:t>
            </w:r>
            <w:r w:rsidRPr="009D2C12">
              <w:t>50</w:t>
            </w:r>
          </w:p>
          <w:p w:rsidR="00DC2200" w:rsidRPr="009D2C12" w:rsidRDefault="00DC2200" w:rsidP="00D14CFE">
            <w:pPr>
              <w:spacing w:line="276" w:lineRule="auto"/>
            </w:pPr>
            <w:r w:rsidRPr="009D2C12">
              <w:t>0</w:t>
            </w:r>
            <w:r>
              <w:t>.</w:t>
            </w:r>
            <w:r w:rsidRPr="009D2C12">
              <w:t>4</w:t>
            </w:r>
          </w:p>
          <w:p w:rsidR="00DC2200" w:rsidRPr="009D2C12" w:rsidRDefault="00DC2200" w:rsidP="00D14CFE">
            <w:pPr>
              <w:spacing w:line="276" w:lineRule="auto"/>
            </w:pPr>
            <w:r w:rsidRPr="009D2C12">
              <w:t>22</w:t>
            </w:r>
            <w:r>
              <w:t>.</w:t>
            </w:r>
            <w:r w:rsidRPr="009D2C12">
              <w:t>70</w:t>
            </w:r>
          </w:p>
        </w:tc>
        <w:tc>
          <w:tcPr>
            <w:tcW w:w="2126" w:type="dxa"/>
            <w:tcBorders>
              <w:top w:val="single" w:sz="4" w:space="0" w:color="auto"/>
              <w:bottom w:val="single" w:sz="4" w:space="0" w:color="auto"/>
            </w:tcBorders>
          </w:tcPr>
          <w:p w:rsidR="00DC2200" w:rsidRPr="009D2C12" w:rsidRDefault="00DC2200" w:rsidP="00D14CFE">
            <w:pPr>
              <w:spacing w:line="276" w:lineRule="auto"/>
            </w:pPr>
            <w:r w:rsidRPr="009D2C12">
              <w:t>33</w:t>
            </w:r>
            <w:r>
              <w:t>.</w:t>
            </w:r>
            <w:r w:rsidRPr="009D2C12">
              <w:t>30</w:t>
            </w:r>
          </w:p>
          <w:p w:rsidR="00DC2200" w:rsidRPr="009D2C12" w:rsidRDefault="00DC2200" w:rsidP="00D14CFE">
            <w:pPr>
              <w:spacing w:line="276" w:lineRule="auto"/>
            </w:pPr>
            <w:r w:rsidRPr="009D2C12">
              <w:t>0</w:t>
            </w:r>
            <w:r>
              <w:t>.</w:t>
            </w:r>
            <w:r w:rsidRPr="009D2C12">
              <w:t>0047</w:t>
            </w:r>
          </w:p>
          <w:p w:rsidR="00DC2200" w:rsidRPr="009D2C12" w:rsidRDefault="00DC2200" w:rsidP="00D14CFE">
            <w:pPr>
              <w:spacing w:line="276" w:lineRule="auto"/>
            </w:pPr>
            <w:r w:rsidRPr="009D2C12">
              <w:t>9</w:t>
            </w:r>
            <w:r>
              <w:t>.</w:t>
            </w:r>
            <w:r w:rsidRPr="009D2C12">
              <w:t>50</w:t>
            </w:r>
          </w:p>
        </w:tc>
      </w:tr>
    </w:tbl>
    <w:p w:rsidR="006B5D1C" w:rsidRDefault="006B5D1C" w:rsidP="00C2178E">
      <w:pPr>
        <w:jc w:val="both"/>
        <w:rPr>
          <w:color w:val="000000"/>
        </w:rPr>
      </w:pPr>
      <w:r w:rsidRPr="009D2C12">
        <w:rPr>
          <w:color w:val="000000"/>
        </w:rPr>
        <w:t xml:space="preserve">Different letters in the same column indicate a significant difference at the 5% threshold according to the </w:t>
      </w:r>
      <w:r w:rsidRPr="009D2C12">
        <w:rPr>
          <w:color w:val="000000" w:themeColor="text1"/>
        </w:rPr>
        <w:t>Tukey test</w:t>
      </w:r>
      <w:r w:rsidRPr="009D2C12">
        <w:rPr>
          <w:color w:val="000000"/>
        </w:rPr>
        <w:t>.</w:t>
      </w:r>
    </w:p>
    <w:p w:rsidR="006B5D1C" w:rsidRPr="006C2B13" w:rsidRDefault="00827D26" w:rsidP="00827D26">
      <w:pPr>
        <w:pStyle w:val="ListParagraph"/>
        <w:numPr>
          <w:ilvl w:val="1"/>
          <w:numId w:val="29"/>
        </w:numPr>
        <w:spacing w:before="240"/>
        <w:jc w:val="both"/>
        <w:rPr>
          <w:rStyle w:val="Strong"/>
          <w:rFonts w:eastAsiaTheme="majorEastAsia"/>
          <w:color w:val="000000"/>
        </w:rPr>
      </w:pPr>
      <w:r>
        <w:rPr>
          <w:rStyle w:val="Strong"/>
          <w:rFonts w:eastAsiaTheme="majorEastAsia"/>
          <w:color w:val="000000"/>
        </w:rPr>
        <w:t xml:space="preserve"> </w:t>
      </w:r>
      <w:r w:rsidR="006B5D1C" w:rsidRPr="006C2B13">
        <w:rPr>
          <w:rStyle w:val="Strong"/>
          <w:rFonts w:eastAsiaTheme="majorEastAsia"/>
          <w:color w:val="000000"/>
        </w:rPr>
        <w:t>Effect of Transplanting Density on Plant Health</w:t>
      </w:r>
    </w:p>
    <w:p w:rsidR="006B5D1C" w:rsidRPr="009D2C12" w:rsidRDefault="006B5D1C" w:rsidP="00F028E9">
      <w:pPr>
        <w:pStyle w:val="NormalWeb"/>
        <w:spacing w:before="120" w:beforeAutospacing="0" w:after="0" w:afterAutospacing="0" w:line="360" w:lineRule="auto"/>
        <w:jc w:val="both"/>
        <w:rPr>
          <w:color w:val="000000"/>
        </w:rPr>
      </w:pPr>
      <w:r>
        <w:rPr>
          <w:color w:val="000000"/>
        </w:rPr>
        <w:t xml:space="preserve">The results regarding the effect </w:t>
      </w:r>
      <w:r w:rsidRPr="0083583F">
        <w:rPr>
          <w:rStyle w:val="Strong"/>
          <w:rFonts w:eastAsiaTheme="majorEastAsia"/>
          <w:b w:val="0"/>
          <w:bCs w:val="0"/>
          <w:color w:val="000000"/>
        </w:rPr>
        <w:t>of transplanting density on plant health</w:t>
      </w:r>
      <w:r>
        <w:rPr>
          <w:color w:val="000000"/>
        </w:rPr>
        <w:t xml:space="preserve"> are presented in Figure 1. The main fungal disease observed in the trial was the appearance of longitudinal necrosis along the stems, usually detected after flowering. Infected plants showed progressive weakening followed by desiccation, compromising their development and potential yield. Regarding pests, no statistically significant difference was found between the different transplant densities for the </w:t>
      </w:r>
      <w:r w:rsidRPr="009D2C12">
        <w:rPr>
          <w:rStyle w:val="Strong"/>
          <w:rFonts w:eastAsiaTheme="majorEastAsia"/>
          <w:b w:val="0"/>
          <w:bCs w:val="0"/>
          <w:color w:val="000000"/>
        </w:rPr>
        <w:t xml:space="preserve">degree of attack of the caterpillar </w:t>
      </w:r>
      <w:r>
        <w:rPr>
          <w:color w:val="000000"/>
        </w:rPr>
        <w:t>(</w:t>
      </w:r>
      <w:r>
        <w:rPr>
          <w:rStyle w:val="Emphasis"/>
          <w:rFonts w:eastAsiaTheme="majorEastAsia"/>
          <w:color w:val="000000"/>
        </w:rPr>
        <w:t xml:space="preserve">p </w:t>
      </w:r>
      <w:r>
        <w:rPr>
          <w:color w:val="000000"/>
        </w:rPr>
        <w:t xml:space="preserve">= 0.17). This parasite pressure remained relatively moderate and constant regardless of the spacing scheme with an average score of 3.5. In contrast, a significant variation was observed in </w:t>
      </w:r>
      <w:r w:rsidRPr="009D2C12">
        <w:rPr>
          <w:rStyle w:val="Strong"/>
          <w:rFonts w:eastAsiaTheme="majorEastAsia"/>
          <w:b w:val="0"/>
          <w:bCs w:val="0"/>
          <w:color w:val="000000"/>
        </w:rPr>
        <w:t xml:space="preserve">susceptibility to stem necrosis </w:t>
      </w:r>
      <w:r>
        <w:rPr>
          <w:color w:val="000000"/>
        </w:rPr>
        <w:t>(</w:t>
      </w:r>
      <w:r>
        <w:rPr>
          <w:rStyle w:val="Emphasis"/>
          <w:rFonts w:eastAsiaTheme="majorEastAsia"/>
          <w:color w:val="000000"/>
        </w:rPr>
        <w:t xml:space="preserve">p </w:t>
      </w:r>
      <w:r>
        <w:rPr>
          <w:color w:val="000000"/>
        </w:rPr>
        <w:t>= 0.008). Density D2 (10 × 20 cm) had the best tolerance with a mean score of 3.3, while control D1 (20 × 20 cm) showed the highest sensitivity (4.3). The density D3 (20 × 10 cm) recorded an intermediate value (3.8). These results suggest that higher planting densities could limit the incidence of the disease, probably by inducing a wetter microclimate or by reducing the period of tissue vulnerability through faster growth.</w:t>
      </w:r>
    </w:p>
    <w:p w:rsidR="006C2B13" w:rsidRPr="007A51AD" w:rsidRDefault="00200012" w:rsidP="0083583F">
      <w:pPr>
        <w:jc w:val="both"/>
      </w:pPr>
      <w:r w:rsidRPr="00200012">
        <w:rPr>
          <w:noProof/>
          <w:lang w:val="en-US" w:eastAsia="en-US"/>
        </w:rPr>
        <w:lastRenderedPageBreak/>
        <w:drawing>
          <wp:inline distT="0" distB="0" distL="0" distR="0" wp14:anchorId="6AC6B5C8" wp14:editId="39DF2AA0">
            <wp:extent cx="5760720" cy="3286760"/>
            <wp:effectExtent l="12700" t="12700" r="17780" b="15240"/>
            <wp:docPr id="7376544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54456" name=""/>
                    <pic:cNvPicPr/>
                  </pic:nvPicPr>
                  <pic:blipFill>
                    <a:blip r:embed="rId7"/>
                    <a:stretch>
                      <a:fillRect/>
                    </a:stretch>
                  </pic:blipFill>
                  <pic:spPr>
                    <a:xfrm>
                      <a:off x="0" y="0"/>
                      <a:ext cx="5760720" cy="3286760"/>
                    </a:xfrm>
                    <a:prstGeom prst="rect">
                      <a:avLst/>
                    </a:prstGeom>
                    <a:ln w="3175">
                      <a:solidFill>
                        <a:schemeClr val="tx1"/>
                      </a:solidFill>
                    </a:ln>
                  </pic:spPr>
                </pic:pic>
              </a:graphicData>
            </a:graphic>
          </wp:inline>
        </w:drawing>
      </w:r>
    </w:p>
    <w:p w:rsidR="006B5D1C" w:rsidRDefault="006B5D1C" w:rsidP="00E6260B">
      <w:pPr>
        <w:jc w:val="both"/>
        <w:rPr>
          <w:color w:val="000000"/>
        </w:rPr>
      </w:pPr>
      <w:r w:rsidRPr="00725AB4">
        <w:rPr>
          <w:b/>
        </w:rPr>
        <w:t>Fig</w:t>
      </w:r>
      <w:r w:rsidR="00885E0C">
        <w:rPr>
          <w:b/>
        </w:rPr>
        <w:t>.</w:t>
      </w:r>
      <w:r w:rsidRPr="00725AB4">
        <w:rPr>
          <w:b/>
        </w:rPr>
        <w:t xml:space="preserve"> 1</w:t>
      </w:r>
      <w:r w:rsidR="00885E0C">
        <w:rPr>
          <w:b/>
        </w:rPr>
        <w:t>.</w:t>
      </w:r>
      <w:r w:rsidRPr="00725AB4">
        <w:rPr>
          <w:b/>
        </w:rPr>
        <w:t xml:space="preserve"> </w:t>
      </w:r>
      <w:r w:rsidRPr="00725AB4">
        <w:rPr>
          <w:color w:val="000000"/>
        </w:rPr>
        <w:t>Susceptibility of pigweed to caterpillar and stem necrosis by transplanting density</w:t>
      </w:r>
    </w:p>
    <w:p w:rsidR="002E3478" w:rsidRDefault="002E3478" w:rsidP="00725AB4">
      <w:pPr>
        <w:jc w:val="both"/>
        <w:rPr>
          <w:color w:val="000000"/>
        </w:rPr>
      </w:pPr>
    </w:p>
    <w:p w:rsidR="002E3478" w:rsidRDefault="002E3478" w:rsidP="00725AB4">
      <w:pPr>
        <w:jc w:val="both"/>
        <w:rPr>
          <w:color w:val="000000"/>
        </w:rPr>
      </w:pPr>
    </w:p>
    <w:p w:rsidR="006B5D1C" w:rsidRPr="00827D26" w:rsidRDefault="00827D26" w:rsidP="00827D26">
      <w:pPr>
        <w:pStyle w:val="ListParagraph"/>
        <w:numPr>
          <w:ilvl w:val="1"/>
          <w:numId w:val="29"/>
        </w:numPr>
        <w:jc w:val="both"/>
        <w:rPr>
          <w:b/>
        </w:rPr>
      </w:pPr>
      <w:r>
        <w:rPr>
          <w:b/>
          <w:color w:val="000000"/>
        </w:rPr>
        <w:t xml:space="preserve"> </w:t>
      </w:r>
      <w:r w:rsidR="006B5D1C" w:rsidRPr="00827D26">
        <w:rPr>
          <w:b/>
          <w:color w:val="000000"/>
        </w:rPr>
        <w:t>Effect of transplanting density on floral earliness</w:t>
      </w:r>
    </w:p>
    <w:p w:rsidR="006B5D1C" w:rsidRPr="0083583F" w:rsidRDefault="006B5D1C" w:rsidP="003E1492">
      <w:pPr>
        <w:spacing w:before="120" w:line="360" w:lineRule="auto"/>
        <w:jc w:val="both"/>
        <w:rPr>
          <w:color w:val="000000"/>
        </w:rPr>
      </w:pPr>
      <w:r w:rsidRPr="0083583F">
        <w:rPr>
          <w:color w:val="000000"/>
        </w:rPr>
        <w:t xml:space="preserve">The data presented in Table </w:t>
      </w:r>
      <w:r>
        <w:rPr>
          <w:color w:val="000000" w:themeColor="text1"/>
        </w:rPr>
        <w:t xml:space="preserve">3 </w:t>
      </w:r>
      <w:r w:rsidRPr="0083583F">
        <w:rPr>
          <w:color w:val="000000"/>
        </w:rPr>
        <w:t xml:space="preserve">indicate that there are no </w:t>
      </w:r>
      <w:r w:rsidRPr="0083583F">
        <w:rPr>
          <w:rStyle w:val="Strong"/>
          <w:rFonts w:eastAsiaTheme="majorEastAsia"/>
          <w:b w:val="0"/>
          <w:bCs w:val="0"/>
          <w:color w:val="000000"/>
        </w:rPr>
        <w:t xml:space="preserve">significant differences </w:t>
      </w:r>
      <w:r w:rsidRPr="0083583F">
        <w:rPr>
          <w:color w:val="000000"/>
        </w:rPr>
        <w:t xml:space="preserve">between the different transplant densities in the </w:t>
      </w:r>
      <w:r w:rsidRPr="0083583F">
        <w:rPr>
          <w:rStyle w:val="Strong"/>
          <w:rFonts w:eastAsiaTheme="majorEastAsia"/>
          <w:b w:val="0"/>
          <w:bCs w:val="0"/>
          <w:color w:val="000000"/>
        </w:rPr>
        <w:t xml:space="preserve">flowering time </w:t>
      </w:r>
      <w:r w:rsidRPr="0083583F">
        <w:rPr>
          <w:color w:val="000000"/>
        </w:rPr>
        <w:t>of pigweed plants (</w:t>
      </w:r>
      <w:r w:rsidRPr="0083583F">
        <w:rPr>
          <w:rStyle w:val="Emphasis"/>
          <w:rFonts w:eastAsiaTheme="majorEastAsia"/>
          <w:color w:val="000000"/>
        </w:rPr>
        <w:t xml:space="preserve">p </w:t>
      </w:r>
      <w:r w:rsidRPr="0083583F">
        <w:rPr>
          <w:color w:val="000000"/>
        </w:rPr>
        <w:t xml:space="preserve">= 0.40). On average, plants started flowering </w:t>
      </w:r>
      <w:r w:rsidRPr="0083583F">
        <w:rPr>
          <w:rStyle w:val="Strong"/>
          <w:rFonts w:eastAsiaTheme="majorEastAsia"/>
          <w:b w:val="0"/>
          <w:bCs w:val="0"/>
          <w:color w:val="000000"/>
        </w:rPr>
        <w:t>45 days after transplanting (JAR),</w:t>
      </w:r>
      <w:r w:rsidRPr="0083583F">
        <w:rPr>
          <w:color w:val="000000"/>
        </w:rPr>
        <w:t xml:space="preserve"> with slight non-significant variations between treatments</w:t>
      </w:r>
      <w:r w:rsidR="00A7489F">
        <w:rPr>
          <w:color w:val="000000"/>
        </w:rPr>
        <w:t xml:space="preserve"> </w:t>
      </w:r>
      <w:r w:rsidRPr="0083583F">
        <w:rPr>
          <w:color w:val="000000"/>
        </w:rPr>
        <w:t>: 46 JAR for D1 (20 × 20 cm), 45 JAR for D2 (10 × 20 cm) and 44 JAR for D3 (20 × 10 cm).</w:t>
      </w:r>
    </w:p>
    <w:p w:rsidR="007A51AD" w:rsidRPr="004C3486" w:rsidRDefault="006B5D1C" w:rsidP="0083583F">
      <w:pPr>
        <w:spacing w:before="120" w:after="120"/>
        <w:jc w:val="both"/>
      </w:pPr>
      <w:r w:rsidRPr="006B5D1C">
        <w:rPr>
          <w:b/>
          <w:bCs/>
        </w:rPr>
        <w:t>Table 3</w:t>
      </w:r>
      <w:r w:rsidR="00885E0C">
        <w:rPr>
          <w:b/>
          <w:bCs/>
        </w:rPr>
        <w:t>.</w:t>
      </w:r>
      <w:r w:rsidRPr="006B5D1C">
        <w:rPr>
          <w:b/>
          <w:bCs/>
        </w:rPr>
        <w:t xml:space="preserve"> </w:t>
      </w:r>
      <w:r w:rsidRPr="006B5D1C">
        <w:t>Flowering of 50% of plants by transplanting density</w:t>
      </w:r>
      <w:r>
        <w:rPr>
          <w:b/>
          <w:bCs/>
        </w:rPr>
        <w:t xml:space="preserve"> </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5104"/>
        <w:gridCol w:w="2693"/>
      </w:tblGrid>
      <w:tr w:rsidR="006B5D1C" w:rsidRPr="0083583F" w:rsidTr="00AC011F">
        <w:tc>
          <w:tcPr>
            <w:tcW w:w="5104" w:type="dxa"/>
            <w:tcBorders>
              <w:top w:val="single" w:sz="4" w:space="0" w:color="auto"/>
              <w:bottom w:val="single" w:sz="4" w:space="0" w:color="auto"/>
            </w:tcBorders>
          </w:tcPr>
          <w:p w:rsidR="006B5D1C" w:rsidRPr="0083583F" w:rsidRDefault="006B5D1C" w:rsidP="00AC011F">
            <w:pPr>
              <w:spacing w:line="276" w:lineRule="auto"/>
              <w:jc w:val="both"/>
            </w:pPr>
            <w:r w:rsidRPr="0083583F">
              <w:t>Transplanting densit</w:t>
            </w:r>
            <w:r w:rsidR="00E25579">
              <w:t>y</w:t>
            </w:r>
          </w:p>
        </w:tc>
        <w:tc>
          <w:tcPr>
            <w:tcW w:w="2693" w:type="dxa"/>
            <w:tcBorders>
              <w:top w:val="single" w:sz="4" w:space="0" w:color="auto"/>
              <w:bottom w:val="single" w:sz="4" w:space="0" w:color="auto"/>
            </w:tcBorders>
          </w:tcPr>
          <w:p w:rsidR="006B5D1C" w:rsidRPr="0083583F" w:rsidRDefault="006B5D1C" w:rsidP="00AC011F">
            <w:pPr>
              <w:spacing w:line="276" w:lineRule="auto"/>
              <w:jc w:val="both"/>
            </w:pPr>
            <w:r w:rsidRPr="0083583F">
              <w:t>Flowering Time (JAR)</w:t>
            </w:r>
          </w:p>
        </w:tc>
      </w:tr>
      <w:tr w:rsidR="006B5D1C" w:rsidRPr="0083583F" w:rsidTr="00AC011F">
        <w:trPr>
          <w:trHeight w:val="296"/>
        </w:trPr>
        <w:tc>
          <w:tcPr>
            <w:tcW w:w="5104" w:type="dxa"/>
            <w:tcBorders>
              <w:top w:val="single" w:sz="4" w:space="0" w:color="auto"/>
              <w:bottom w:val="nil"/>
            </w:tcBorders>
          </w:tcPr>
          <w:p w:rsidR="006B5D1C" w:rsidRPr="0083583F" w:rsidRDefault="006B5D1C" w:rsidP="00AC011F">
            <w:pPr>
              <w:spacing w:line="276" w:lineRule="auto"/>
            </w:pPr>
            <w:r w:rsidRPr="0083583F">
              <w:t>D1 (20 x 20</w:t>
            </w:r>
            <w:r w:rsidRPr="0083583F">
              <w:rPr>
                <w:color w:val="000000" w:themeColor="text1"/>
              </w:rPr>
              <w:t xml:space="preserve"> cm</w:t>
            </w:r>
            <w:r w:rsidRPr="0083583F">
              <w:t>)</w:t>
            </w:r>
          </w:p>
        </w:tc>
        <w:tc>
          <w:tcPr>
            <w:tcW w:w="2693" w:type="dxa"/>
            <w:tcBorders>
              <w:top w:val="single" w:sz="4" w:space="0" w:color="auto"/>
              <w:bottom w:val="nil"/>
            </w:tcBorders>
          </w:tcPr>
          <w:p w:rsidR="006B5D1C" w:rsidRPr="0083583F" w:rsidRDefault="006B5D1C" w:rsidP="00AC011F">
            <w:pPr>
              <w:spacing w:line="276" w:lineRule="auto"/>
              <w:jc w:val="both"/>
            </w:pPr>
            <w:r w:rsidRPr="0083583F">
              <w:t>46 ± 1</w:t>
            </w:r>
            <w:r>
              <w:t>.</w:t>
            </w:r>
            <w:r w:rsidRPr="0083583F">
              <w:t>21 a</w:t>
            </w:r>
          </w:p>
        </w:tc>
      </w:tr>
      <w:tr w:rsidR="006B5D1C" w:rsidRPr="0083583F" w:rsidTr="00AC011F">
        <w:trPr>
          <w:trHeight w:val="272"/>
        </w:trPr>
        <w:tc>
          <w:tcPr>
            <w:tcW w:w="5104" w:type="dxa"/>
            <w:tcBorders>
              <w:top w:val="nil"/>
              <w:bottom w:val="nil"/>
            </w:tcBorders>
          </w:tcPr>
          <w:p w:rsidR="006B5D1C" w:rsidRPr="0083583F" w:rsidRDefault="006B5D1C" w:rsidP="00AC011F">
            <w:pPr>
              <w:spacing w:line="276" w:lineRule="auto"/>
            </w:pPr>
            <w:r w:rsidRPr="0083583F">
              <w:t xml:space="preserve">D2 (10 x 20 </w:t>
            </w:r>
            <w:r w:rsidRPr="0083583F">
              <w:rPr>
                <w:color w:val="000000" w:themeColor="text1"/>
              </w:rPr>
              <w:t>cm</w:t>
            </w:r>
            <w:r w:rsidRPr="0083583F">
              <w:t xml:space="preserve">) </w:t>
            </w:r>
          </w:p>
        </w:tc>
        <w:tc>
          <w:tcPr>
            <w:tcW w:w="2693" w:type="dxa"/>
            <w:tcBorders>
              <w:top w:val="nil"/>
              <w:bottom w:val="nil"/>
            </w:tcBorders>
          </w:tcPr>
          <w:p w:rsidR="006B5D1C" w:rsidRPr="0083583F" w:rsidRDefault="006B5D1C" w:rsidP="00AC011F">
            <w:pPr>
              <w:spacing w:line="276" w:lineRule="auto"/>
              <w:jc w:val="both"/>
            </w:pPr>
            <w:r w:rsidRPr="0083583F">
              <w:t>45 ± 0</w:t>
            </w:r>
            <w:r>
              <w:t>.</w:t>
            </w:r>
            <w:r w:rsidRPr="0083583F">
              <w:t>90 a</w:t>
            </w:r>
          </w:p>
        </w:tc>
      </w:tr>
      <w:tr w:rsidR="006B5D1C" w:rsidRPr="0083583F" w:rsidTr="00AC011F">
        <w:trPr>
          <w:trHeight w:val="275"/>
        </w:trPr>
        <w:tc>
          <w:tcPr>
            <w:tcW w:w="5104" w:type="dxa"/>
            <w:tcBorders>
              <w:top w:val="nil"/>
              <w:bottom w:val="single" w:sz="4" w:space="0" w:color="auto"/>
            </w:tcBorders>
          </w:tcPr>
          <w:p w:rsidR="006B5D1C" w:rsidRPr="0083583F" w:rsidRDefault="006B5D1C" w:rsidP="00AC011F">
            <w:pPr>
              <w:spacing w:line="276" w:lineRule="auto"/>
            </w:pPr>
            <w:r w:rsidRPr="0083583F">
              <w:t xml:space="preserve">D3 (20 x 10 </w:t>
            </w:r>
            <w:r w:rsidRPr="0083583F">
              <w:rPr>
                <w:color w:val="000000" w:themeColor="text1"/>
              </w:rPr>
              <w:t>cm</w:t>
            </w:r>
            <w:r w:rsidRPr="0083583F">
              <w:t>)</w:t>
            </w:r>
          </w:p>
        </w:tc>
        <w:tc>
          <w:tcPr>
            <w:tcW w:w="2693" w:type="dxa"/>
            <w:tcBorders>
              <w:top w:val="nil"/>
              <w:bottom w:val="single" w:sz="4" w:space="0" w:color="auto"/>
            </w:tcBorders>
          </w:tcPr>
          <w:p w:rsidR="006B5D1C" w:rsidRPr="0083583F" w:rsidRDefault="006B5D1C" w:rsidP="00AC011F">
            <w:pPr>
              <w:spacing w:line="276" w:lineRule="auto"/>
              <w:jc w:val="both"/>
            </w:pPr>
            <w:r w:rsidRPr="0083583F">
              <w:t>44 ± 1</w:t>
            </w:r>
            <w:r>
              <w:t>.</w:t>
            </w:r>
            <w:r w:rsidRPr="0083583F">
              <w:t>10 a</w:t>
            </w:r>
          </w:p>
        </w:tc>
      </w:tr>
      <w:tr w:rsidR="006B5D1C" w:rsidRPr="0083583F" w:rsidTr="00AC011F">
        <w:tc>
          <w:tcPr>
            <w:tcW w:w="5104" w:type="dxa"/>
            <w:tcBorders>
              <w:top w:val="single" w:sz="4" w:space="0" w:color="auto"/>
            </w:tcBorders>
          </w:tcPr>
          <w:p w:rsidR="006B5D1C" w:rsidRPr="0083583F" w:rsidRDefault="006B5D1C" w:rsidP="00AC011F">
            <w:pPr>
              <w:spacing w:line="276" w:lineRule="auto"/>
              <w:jc w:val="both"/>
            </w:pPr>
            <w:r w:rsidRPr="0083583F">
              <w:t>Average</w:t>
            </w:r>
          </w:p>
          <w:p w:rsidR="006B5D1C" w:rsidRPr="00A71B36" w:rsidRDefault="006B5D1C" w:rsidP="00AC011F">
            <w:pPr>
              <w:spacing w:line="276" w:lineRule="auto"/>
              <w:jc w:val="both"/>
              <w:rPr>
                <w:i/>
                <w:iCs/>
              </w:rPr>
            </w:pPr>
            <w:proofErr w:type="gramStart"/>
            <w:r w:rsidRPr="00A71B36">
              <w:rPr>
                <w:i/>
                <w:iCs/>
              </w:rPr>
              <w:t>p</w:t>
            </w:r>
            <w:proofErr w:type="gramEnd"/>
          </w:p>
          <w:p w:rsidR="006B5D1C" w:rsidRPr="0083583F" w:rsidRDefault="006B5D1C" w:rsidP="00AC011F">
            <w:pPr>
              <w:spacing w:line="276" w:lineRule="auto"/>
              <w:jc w:val="both"/>
            </w:pPr>
            <w:r w:rsidRPr="0083583F">
              <w:t>CV (%)</w:t>
            </w:r>
          </w:p>
        </w:tc>
        <w:tc>
          <w:tcPr>
            <w:tcW w:w="2693" w:type="dxa"/>
            <w:tcBorders>
              <w:top w:val="single" w:sz="4" w:space="0" w:color="auto"/>
            </w:tcBorders>
          </w:tcPr>
          <w:p w:rsidR="006B5D1C" w:rsidRPr="0083583F" w:rsidRDefault="006B5D1C" w:rsidP="00AC011F">
            <w:pPr>
              <w:spacing w:line="276" w:lineRule="auto"/>
              <w:jc w:val="both"/>
            </w:pPr>
            <w:r w:rsidRPr="0083583F">
              <w:t>45</w:t>
            </w:r>
            <w:r>
              <w:t>.</w:t>
            </w:r>
            <w:r w:rsidRPr="0083583F">
              <w:t>00</w:t>
            </w:r>
          </w:p>
          <w:p w:rsidR="006B5D1C" w:rsidRPr="0083583F" w:rsidRDefault="006B5D1C" w:rsidP="00AC011F">
            <w:pPr>
              <w:spacing w:line="276" w:lineRule="auto"/>
              <w:jc w:val="both"/>
            </w:pPr>
            <w:r w:rsidRPr="0083583F">
              <w:t>0</w:t>
            </w:r>
            <w:r>
              <w:t>.</w:t>
            </w:r>
            <w:r w:rsidRPr="0083583F">
              <w:t>40</w:t>
            </w:r>
          </w:p>
          <w:p w:rsidR="006B5D1C" w:rsidRPr="0083583F" w:rsidRDefault="006B5D1C" w:rsidP="00AC011F">
            <w:pPr>
              <w:spacing w:line="276" w:lineRule="auto"/>
              <w:jc w:val="both"/>
            </w:pPr>
            <w:r w:rsidRPr="0083583F">
              <w:t>4</w:t>
            </w:r>
            <w:r>
              <w:t>.</w:t>
            </w:r>
            <w:r w:rsidRPr="0083583F">
              <w:t>70</w:t>
            </w:r>
          </w:p>
        </w:tc>
      </w:tr>
    </w:tbl>
    <w:p w:rsidR="006B5D1C" w:rsidRDefault="006B5D1C" w:rsidP="006B7B6E">
      <w:pPr>
        <w:jc w:val="both"/>
        <w:rPr>
          <w:color w:val="000000"/>
        </w:rPr>
      </w:pPr>
      <w:r w:rsidRPr="009D2C12">
        <w:rPr>
          <w:color w:val="000000"/>
        </w:rPr>
        <w:t xml:space="preserve">Different letters in the same column indicate a significant difference at the 5% threshold according to the </w:t>
      </w:r>
      <w:r w:rsidRPr="009D2C12">
        <w:rPr>
          <w:color w:val="000000" w:themeColor="text1"/>
        </w:rPr>
        <w:t>Tukey test</w:t>
      </w:r>
      <w:r w:rsidRPr="009D2C12">
        <w:rPr>
          <w:color w:val="000000"/>
        </w:rPr>
        <w:t>.</w:t>
      </w:r>
    </w:p>
    <w:p w:rsidR="006B5D1C" w:rsidRDefault="006B5D1C" w:rsidP="006B7B6E">
      <w:pPr>
        <w:jc w:val="both"/>
        <w:rPr>
          <w:color w:val="000000"/>
        </w:rPr>
      </w:pPr>
    </w:p>
    <w:p w:rsidR="006B5D1C" w:rsidRDefault="006B5D1C" w:rsidP="006B7B6E">
      <w:pPr>
        <w:jc w:val="both"/>
        <w:rPr>
          <w:color w:val="000000"/>
        </w:rPr>
      </w:pPr>
    </w:p>
    <w:p w:rsidR="006B5D1C" w:rsidRDefault="006B5D1C" w:rsidP="006B7B6E">
      <w:pPr>
        <w:jc w:val="both"/>
        <w:rPr>
          <w:color w:val="000000"/>
        </w:rPr>
      </w:pPr>
    </w:p>
    <w:p w:rsidR="006B5D1C" w:rsidRDefault="006B5D1C" w:rsidP="006B7B6E">
      <w:pPr>
        <w:jc w:val="both"/>
        <w:rPr>
          <w:color w:val="000000"/>
        </w:rPr>
      </w:pPr>
    </w:p>
    <w:p w:rsidR="006B5D1C" w:rsidRPr="00827D26" w:rsidRDefault="00827D26" w:rsidP="00827D26">
      <w:pPr>
        <w:pStyle w:val="ListParagraph"/>
        <w:numPr>
          <w:ilvl w:val="1"/>
          <w:numId w:val="29"/>
        </w:numPr>
        <w:spacing w:after="120"/>
        <w:jc w:val="both"/>
        <w:rPr>
          <w:b/>
        </w:rPr>
      </w:pPr>
      <w:r>
        <w:rPr>
          <w:b/>
          <w:color w:val="000000"/>
        </w:rPr>
        <w:t xml:space="preserve"> </w:t>
      </w:r>
      <w:r w:rsidR="006B5D1C" w:rsidRPr="00827D26">
        <w:rPr>
          <w:b/>
          <w:color w:val="000000"/>
        </w:rPr>
        <w:t>Effect of Transplanting Density on Twig Number and Leaf Yield</w:t>
      </w:r>
    </w:p>
    <w:p w:rsidR="006B5D1C" w:rsidRPr="005D212B" w:rsidRDefault="006B5D1C" w:rsidP="00390468">
      <w:pPr>
        <w:pStyle w:val="NormalWeb"/>
        <w:spacing w:before="0" w:beforeAutospacing="0" w:after="0" w:afterAutospacing="0" w:line="360" w:lineRule="auto"/>
        <w:jc w:val="both"/>
        <w:rPr>
          <w:color w:val="000000"/>
        </w:rPr>
      </w:pPr>
      <w:r w:rsidRPr="005D212B">
        <w:rPr>
          <w:color w:val="000000"/>
        </w:rPr>
        <w:lastRenderedPageBreak/>
        <w:t xml:space="preserve">The results presented in Figure 2 show a highly significant influence of transplanting density on the </w:t>
      </w:r>
      <w:r w:rsidRPr="005D212B">
        <w:rPr>
          <w:rStyle w:val="Strong"/>
          <w:rFonts w:eastAsiaTheme="majorEastAsia"/>
          <w:b w:val="0"/>
          <w:bCs w:val="0"/>
          <w:color w:val="000000"/>
        </w:rPr>
        <w:t xml:space="preserve">number of branches </w:t>
      </w:r>
      <w:r w:rsidRPr="005D212B">
        <w:rPr>
          <w:color w:val="000000"/>
        </w:rPr>
        <w:t>produced per elementary plot (</w:t>
      </w:r>
      <w:r w:rsidRPr="005D212B">
        <w:rPr>
          <w:rStyle w:val="Emphasis"/>
          <w:rFonts w:eastAsiaTheme="majorEastAsia"/>
          <w:color w:val="000000"/>
        </w:rPr>
        <w:t xml:space="preserve">p </w:t>
      </w:r>
      <w:r w:rsidRPr="005D212B">
        <w:rPr>
          <w:color w:val="000000"/>
        </w:rPr>
        <w:t xml:space="preserve">= 0.02). Density D2 (10 × 20 cm) generated the highest number of twigs (686 ± 20), followed by D3 (20 × 10 cm) with 483 ± 18, while control density D1 (20 × 20 cm) recorded the lowest value (298 ± 15). This trend suggests that higher densities promote increased branching, likely due to more intense competition that stimulates secondary stem production. Regarding </w:t>
      </w:r>
      <w:r w:rsidRPr="005D212B">
        <w:rPr>
          <w:rStyle w:val="Strong"/>
          <w:rFonts w:eastAsiaTheme="majorEastAsia"/>
          <w:b w:val="0"/>
          <w:bCs w:val="0"/>
          <w:color w:val="000000"/>
        </w:rPr>
        <w:t>leaf yield</w:t>
      </w:r>
      <w:r w:rsidRPr="005D212B">
        <w:rPr>
          <w:color w:val="000000"/>
        </w:rPr>
        <w:t>, a significant difference was also observed (</w:t>
      </w:r>
      <w:r w:rsidRPr="005D212B">
        <w:rPr>
          <w:rStyle w:val="Emphasis"/>
          <w:rFonts w:eastAsiaTheme="majorEastAsia"/>
          <w:color w:val="000000"/>
        </w:rPr>
        <w:t xml:space="preserve">p </w:t>
      </w:r>
      <w:r w:rsidRPr="005D212B">
        <w:rPr>
          <w:color w:val="000000"/>
        </w:rPr>
        <w:t>= 0.03). D2 and D3 yields were significantly higher (16.0 ± 0.9 t/ha and 14.0 ± 0.7 t/ha respectively) compared to D1 (8.1 ± 0.6 t/ha). This indicates that increasing planting density can improve leaf productivity, likely by maximizing space occupancy and vegetation cover.</w:t>
      </w:r>
    </w:p>
    <w:p w:rsidR="00F03503" w:rsidRDefault="006B76B9" w:rsidP="00C3558B">
      <w:pPr>
        <w:jc w:val="center"/>
        <w:rPr>
          <w:sz w:val="18"/>
          <w:szCs w:val="18"/>
        </w:rPr>
      </w:pPr>
      <w:r w:rsidRPr="006B76B9">
        <w:rPr>
          <w:noProof/>
          <w:sz w:val="18"/>
          <w:szCs w:val="18"/>
          <w:lang w:val="en-US" w:eastAsia="en-US"/>
        </w:rPr>
        <w:drawing>
          <wp:inline distT="0" distB="0" distL="0" distR="0" wp14:anchorId="713190E6" wp14:editId="5C1719F9">
            <wp:extent cx="5760720" cy="3289935"/>
            <wp:effectExtent l="12700" t="12700" r="17780" b="12065"/>
            <wp:docPr id="1624792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9247" name=""/>
                    <pic:cNvPicPr/>
                  </pic:nvPicPr>
                  <pic:blipFill>
                    <a:blip r:embed="rId8"/>
                    <a:stretch>
                      <a:fillRect/>
                    </a:stretch>
                  </pic:blipFill>
                  <pic:spPr>
                    <a:xfrm>
                      <a:off x="0" y="0"/>
                      <a:ext cx="5760720" cy="3289935"/>
                    </a:xfrm>
                    <a:prstGeom prst="rect">
                      <a:avLst/>
                    </a:prstGeom>
                    <a:ln w="3175">
                      <a:solidFill>
                        <a:schemeClr val="tx1"/>
                      </a:solidFill>
                    </a:ln>
                  </pic:spPr>
                </pic:pic>
              </a:graphicData>
            </a:graphic>
          </wp:inline>
        </w:drawing>
      </w:r>
    </w:p>
    <w:p w:rsidR="006B5D1C" w:rsidRPr="0032358E" w:rsidRDefault="006B5D1C" w:rsidP="0046416A">
      <w:pPr>
        <w:jc w:val="both"/>
      </w:pPr>
      <w:r w:rsidRPr="001C17A2">
        <w:rPr>
          <w:b/>
          <w:bCs/>
        </w:rPr>
        <w:t>Fig</w:t>
      </w:r>
      <w:r w:rsidR="00885E0C">
        <w:rPr>
          <w:b/>
          <w:bCs/>
        </w:rPr>
        <w:t xml:space="preserve">. </w:t>
      </w:r>
      <w:r w:rsidRPr="001C17A2">
        <w:rPr>
          <w:b/>
          <w:bCs/>
        </w:rPr>
        <w:t>2</w:t>
      </w:r>
      <w:r w:rsidR="00885E0C">
        <w:t>.</w:t>
      </w:r>
      <w:r w:rsidRPr="0032358E">
        <w:t xml:space="preserve"> Number of twigs produced and leaf yield by transplanting density</w:t>
      </w:r>
    </w:p>
    <w:p w:rsidR="00F03503" w:rsidRDefault="00F03503" w:rsidP="007A51AD">
      <w:pPr>
        <w:jc w:val="both"/>
        <w:rPr>
          <w:sz w:val="18"/>
          <w:szCs w:val="18"/>
        </w:rPr>
      </w:pPr>
    </w:p>
    <w:p w:rsidR="006B5D1C" w:rsidRPr="00827D26" w:rsidRDefault="006B5D1C" w:rsidP="00827D26">
      <w:pPr>
        <w:pStyle w:val="ListParagraph"/>
        <w:numPr>
          <w:ilvl w:val="0"/>
          <w:numId w:val="29"/>
        </w:numPr>
        <w:spacing w:before="240" w:line="360" w:lineRule="auto"/>
        <w:jc w:val="both"/>
        <w:rPr>
          <w:b/>
          <w:bCs/>
          <w:color w:val="000000" w:themeColor="text1"/>
        </w:rPr>
      </w:pPr>
      <w:r w:rsidRPr="00827D26">
        <w:rPr>
          <w:b/>
          <w:bCs/>
          <w:color w:val="000000" w:themeColor="text1"/>
        </w:rPr>
        <w:t>DISCUSSION</w:t>
      </w:r>
    </w:p>
    <w:p w:rsidR="006B5D1C" w:rsidRPr="006E224E" w:rsidRDefault="00827D26" w:rsidP="00827D26">
      <w:pPr>
        <w:pStyle w:val="NormalWeb"/>
        <w:numPr>
          <w:ilvl w:val="1"/>
          <w:numId w:val="29"/>
        </w:numPr>
        <w:spacing w:before="0" w:beforeAutospacing="0" w:after="120" w:afterAutospacing="0" w:line="276" w:lineRule="auto"/>
        <w:jc w:val="both"/>
        <w:rPr>
          <w:b/>
          <w:bCs/>
          <w:color w:val="000000" w:themeColor="text1"/>
        </w:rPr>
      </w:pPr>
      <w:r>
        <w:rPr>
          <w:b/>
          <w:bCs/>
          <w:color w:val="000000" w:themeColor="text1"/>
        </w:rPr>
        <w:t xml:space="preserve"> </w:t>
      </w:r>
      <w:r w:rsidR="006B5D1C" w:rsidRPr="006E224E">
        <w:rPr>
          <w:b/>
          <w:bCs/>
          <w:color w:val="000000" w:themeColor="text1"/>
        </w:rPr>
        <w:t>Impact of transplanting density on vegetative status and inflorescence length</w:t>
      </w:r>
    </w:p>
    <w:p w:rsidR="009722CD" w:rsidRDefault="006B5D1C" w:rsidP="006B5D1C">
      <w:pPr>
        <w:pStyle w:val="NormalWeb"/>
        <w:spacing w:before="0" w:beforeAutospacing="0" w:after="0" w:afterAutospacing="0" w:line="360" w:lineRule="auto"/>
        <w:jc w:val="both"/>
        <w:rPr>
          <w:color w:val="000000"/>
        </w:rPr>
      </w:pPr>
      <w:r w:rsidRPr="00CC2D41">
        <w:rPr>
          <w:color w:val="000000"/>
        </w:rPr>
        <w:t xml:space="preserve">The results obtained confirm that transplanting density plays a decisive role in the expression of certain vegetative growth parameters, in particular </w:t>
      </w:r>
      <w:r w:rsidRPr="00DA31AF">
        <w:rPr>
          <w:rStyle w:val="Strong"/>
          <w:rFonts w:eastAsiaTheme="majorEastAsia"/>
          <w:b w:val="0"/>
          <w:bCs w:val="0"/>
          <w:color w:val="000000"/>
        </w:rPr>
        <w:t xml:space="preserve">the general vegetative state </w:t>
      </w:r>
      <w:r w:rsidRPr="00DA31AF">
        <w:rPr>
          <w:color w:val="000000"/>
        </w:rPr>
        <w:t xml:space="preserve">and </w:t>
      </w:r>
      <w:r w:rsidRPr="00DA31AF">
        <w:rPr>
          <w:rStyle w:val="Strong"/>
          <w:rFonts w:eastAsiaTheme="majorEastAsia"/>
          <w:b w:val="0"/>
          <w:bCs w:val="0"/>
          <w:color w:val="000000"/>
        </w:rPr>
        <w:t>the length of the inflorescences</w:t>
      </w:r>
      <w:r w:rsidRPr="00CC2D41">
        <w:rPr>
          <w:color w:val="000000"/>
        </w:rPr>
        <w:t xml:space="preserve">, while </w:t>
      </w:r>
      <w:r w:rsidRPr="00DA31AF">
        <w:rPr>
          <w:rStyle w:val="Strong"/>
          <w:rFonts w:eastAsiaTheme="majorEastAsia"/>
          <w:b w:val="0"/>
          <w:bCs w:val="0"/>
          <w:color w:val="000000"/>
        </w:rPr>
        <w:t xml:space="preserve">the height of the plants </w:t>
      </w:r>
      <w:r w:rsidRPr="00CC2D41">
        <w:rPr>
          <w:color w:val="000000"/>
        </w:rPr>
        <w:t xml:space="preserve">and </w:t>
      </w:r>
      <w:r w:rsidRPr="00DA31AF">
        <w:rPr>
          <w:rStyle w:val="Strong"/>
          <w:rFonts w:eastAsiaTheme="majorEastAsia"/>
          <w:b w:val="0"/>
          <w:bCs w:val="0"/>
          <w:color w:val="000000"/>
        </w:rPr>
        <w:t xml:space="preserve">the diameter of the stems </w:t>
      </w:r>
      <w:r w:rsidRPr="00CC2D41">
        <w:rPr>
          <w:color w:val="000000"/>
        </w:rPr>
        <w:t>seem to be less influenced.</w:t>
      </w:r>
      <w:r w:rsidR="009722CD">
        <w:rPr>
          <w:color w:val="000000"/>
        </w:rPr>
        <w:t xml:space="preserve"> </w:t>
      </w:r>
      <w:r w:rsidRPr="00CC2D41">
        <w:rPr>
          <w:color w:val="000000"/>
        </w:rPr>
        <w:t xml:space="preserve">The observation of a </w:t>
      </w:r>
      <w:r w:rsidRPr="00DA31AF">
        <w:rPr>
          <w:rStyle w:val="Strong"/>
          <w:rFonts w:eastAsiaTheme="majorEastAsia"/>
          <w:b w:val="0"/>
          <w:bCs w:val="0"/>
          <w:color w:val="000000"/>
        </w:rPr>
        <w:t xml:space="preserve">lower vegetative state </w:t>
      </w:r>
      <w:r w:rsidRPr="00CC2D41">
        <w:rPr>
          <w:color w:val="000000"/>
        </w:rPr>
        <w:t xml:space="preserve">at the D1 density (20 × 20 cm; 250,000 plants/ha) compared to the higher densities (D2 and D3 at 500,000 plants/ha) is consistent with the work of </w:t>
      </w:r>
      <w:r w:rsidRPr="00CC2D41">
        <w:rPr>
          <w:rStyle w:val="Strong"/>
          <w:rFonts w:eastAsiaTheme="majorEastAsia"/>
          <w:color w:val="000000"/>
        </w:rPr>
        <w:t xml:space="preserve">Mwangi et al. (2021) </w:t>
      </w:r>
      <w:r w:rsidRPr="00CC2D41">
        <w:rPr>
          <w:color w:val="000000"/>
        </w:rPr>
        <w:t xml:space="preserve">who emphasize that low-density crops tend to favor more aerated but less vigorous growth, due to a less competitive use of resources such </w:t>
      </w:r>
      <w:r w:rsidRPr="00CC2D41">
        <w:rPr>
          <w:color w:val="000000"/>
        </w:rPr>
        <w:lastRenderedPageBreak/>
        <w:t xml:space="preserve">as light and nutrients. Indeed, according to </w:t>
      </w:r>
      <w:r w:rsidRPr="00260A41">
        <w:rPr>
          <w:b/>
          <w:bCs/>
          <w:color w:val="000000"/>
        </w:rPr>
        <w:t>Ali et al., 2020</w:t>
      </w:r>
      <w:r>
        <w:rPr>
          <w:color w:val="000000"/>
        </w:rPr>
        <w:t>, higher density can induce beneficial moderate competition, stimulating lateral growth and the formation of vegetative structures such as twigs.</w:t>
      </w:r>
      <w:r w:rsidR="009722CD">
        <w:rPr>
          <w:color w:val="000000"/>
        </w:rPr>
        <w:t xml:space="preserve"> </w:t>
      </w:r>
      <w:r w:rsidRPr="00CC2D41">
        <w:rPr>
          <w:color w:val="000000"/>
        </w:rPr>
        <w:t xml:space="preserve">Paradoxically, </w:t>
      </w:r>
      <w:r w:rsidRPr="00383E1E">
        <w:rPr>
          <w:rStyle w:val="Strong"/>
          <w:rFonts w:eastAsiaTheme="majorEastAsia"/>
          <w:b w:val="0"/>
          <w:bCs w:val="0"/>
          <w:color w:val="000000"/>
        </w:rPr>
        <w:t xml:space="preserve">inflorescence length </w:t>
      </w:r>
      <w:r w:rsidRPr="00CC2D41">
        <w:rPr>
          <w:color w:val="000000"/>
        </w:rPr>
        <w:t xml:space="preserve">was significantly greater in the lowest density (D1), which can be explained by </w:t>
      </w:r>
      <w:r w:rsidRPr="00383E1E">
        <w:rPr>
          <w:rStyle w:val="Strong"/>
          <w:rFonts w:eastAsiaTheme="majorEastAsia"/>
          <w:b w:val="0"/>
          <w:bCs w:val="0"/>
          <w:color w:val="000000"/>
        </w:rPr>
        <w:t xml:space="preserve">better light exposure </w:t>
      </w:r>
      <w:r w:rsidRPr="00CC2D41">
        <w:rPr>
          <w:color w:val="000000"/>
        </w:rPr>
        <w:t xml:space="preserve">and </w:t>
      </w:r>
      <w:r w:rsidRPr="00383E1E">
        <w:rPr>
          <w:rStyle w:val="Strong"/>
          <w:rFonts w:eastAsiaTheme="majorEastAsia"/>
          <w:b w:val="0"/>
          <w:bCs w:val="0"/>
          <w:color w:val="000000"/>
        </w:rPr>
        <w:t xml:space="preserve">less interplant competition </w:t>
      </w:r>
      <w:r w:rsidRPr="00CC2D41">
        <w:rPr>
          <w:color w:val="000000"/>
        </w:rPr>
        <w:t>in this configuration (</w:t>
      </w:r>
      <w:r w:rsidRPr="00383E1E">
        <w:rPr>
          <w:b/>
          <w:bCs/>
          <w:color w:val="000000"/>
        </w:rPr>
        <w:t>Zhang et al. 2022</w:t>
      </w:r>
      <w:r w:rsidRPr="00CC2D41">
        <w:rPr>
          <w:color w:val="000000"/>
        </w:rPr>
        <w:t>). A low density could therefore promote the elongation of reproductive structures, without necessarily increasing the total number of inflorescences per area, which remains a common trade-off in crop production.</w:t>
      </w:r>
      <w:r w:rsidR="009722CD">
        <w:rPr>
          <w:color w:val="000000"/>
        </w:rPr>
        <w:t xml:space="preserve"> </w:t>
      </w:r>
    </w:p>
    <w:p w:rsidR="006B5D1C" w:rsidRPr="00CC2D41" w:rsidRDefault="006B5D1C" w:rsidP="006B5D1C">
      <w:pPr>
        <w:pStyle w:val="NormalWeb"/>
        <w:spacing w:before="0" w:beforeAutospacing="0" w:after="0" w:afterAutospacing="0" w:line="360" w:lineRule="auto"/>
        <w:jc w:val="both"/>
        <w:rPr>
          <w:color w:val="000000"/>
        </w:rPr>
      </w:pPr>
      <w:r w:rsidRPr="00CC2D41">
        <w:rPr>
          <w:color w:val="000000"/>
        </w:rPr>
        <w:t xml:space="preserve">On the other hand, </w:t>
      </w:r>
      <w:r w:rsidRPr="00383E1E">
        <w:rPr>
          <w:rStyle w:val="Strong"/>
          <w:rFonts w:eastAsiaTheme="majorEastAsia"/>
          <w:b w:val="0"/>
          <w:bCs w:val="0"/>
          <w:color w:val="000000"/>
        </w:rPr>
        <w:t xml:space="preserve">the height and diameter of the stems </w:t>
      </w:r>
      <w:r w:rsidRPr="00CC2D41">
        <w:rPr>
          <w:color w:val="000000"/>
        </w:rPr>
        <w:t xml:space="preserve">were not significantly affected, suggesting that these traits are less sensitive to transplanting density under the experimental conditions considered. This finding is consistent with the observations of </w:t>
      </w:r>
      <w:r w:rsidRPr="00CC2D41">
        <w:rPr>
          <w:rStyle w:val="Strong"/>
          <w:rFonts w:eastAsiaTheme="majorEastAsia"/>
          <w:color w:val="000000"/>
        </w:rPr>
        <w:t>Yao et al. (2020),</w:t>
      </w:r>
      <w:r w:rsidRPr="00CC2D41">
        <w:rPr>
          <w:color w:val="000000"/>
        </w:rPr>
        <w:t xml:space="preserve"> who found that certain morphological variables such as height may be more strongly influenced by pedoclimatic conditions or variety than by plant spacing. Overall, these results highlight the importance of a trade-off between </w:t>
      </w:r>
      <w:r w:rsidRPr="00383E1E">
        <w:rPr>
          <w:rStyle w:val="Strong"/>
          <w:rFonts w:eastAsiaTheme="majorEastAsia"/>
          <w:b w:val="0"/>
          <w:bCs w:val="0"/>
          <w:color w:val="000000"/>
        </w:rPr>
        <w:t xml:space="preserve">optimal density </w:t>
      </w:r>
      <w:r w:rsidRPr="00CC2D41">
        <w:rPr>
          <w:color w:val="000000"/>
        </w:rPr>
        <w:t xml:space="preserve">and </w:t>
      </w:r>
      <w:r w:rsidRPr="00383E1E">
        <w:rPr>
          <w:rStyle w:val="Strong"/>
          <w:rFonts w:eastAsiaTheme="majorEastAsia"/>
          <w:b w:val="0"/>
          <w:bCs w:val="0"/>
          <w:color w:val="000000"/>
        </w:rPr>
        <w:t>agronomic objectives</w:t>
      </w:r>
      <w:r w:rsidRPr="00CC2D41">
        <w:rPr>
          <w:color w:val="000000"/>
        </w:rPr>
        <w:t>. A lower density (such as D1) may improve some qualitative components (such as inflorescence size), while a higher density promotes better overall vegetative vigour, which may result in higher productivity at the plot level.</w:t>
      </w:r>
    </w:p>
    <w:p w:rsidR="006B5D1C" w:rsidRPr="00713975" w:rsidRDefault="00827D26" w:rsidP="00827D26">
      <w:pPr>
        <w:pStyle w:val="ListParagraph"/>
        <w:numPr>
          <w:ilvl w:val="1"/>
          <w:numId w:val="29"/>
        </w:numPr>
        <w:spacing w:before="120" w:after="120" w:line="276" w:lineRule="auto"/>
        <w:jc w:val="both"/>
        <w:rPr>
          <w:b/>
          <w:bCs/>
          <w:color w:val="000000" w:themeColor="text1"/>
        </w:rPr>
      </w:pPr>
      <w:r>
        <w:rPr>
          <w:b/>
          <w:bCs/>
          <w:color w:val="000000" w:themeColor="text1"/>
        </w:rPr>
        <w:t xml:space="preserve"> </w:t>
      </w:r>
      <w:r w:rsidR="006B5D1C" w:rsidRPr="00713975">
        <w:rPr>
          <w:b/>
          <w:bCs/>
          <w:color w:val="000000" w:themeColor="text1"/>
        </w:rPr>
        <w:t>Impact of Transplanting Density on Susceptibility to Stem Necrosis and Larcater Attack</w:t>
      </w:r>
    </w:p>
    <w:p w:rsidR="006B5D1C" w:rsidRPr="00CC2D41" w:rsidRDefault="006B5D1C" w:rsidP="006B5D1C">
      <w:pPr>
        <w:pStyle w:val="NormalWeb"/>
        <w:spacing w:before="0" w:beforeAutospacing="0" w:after="0" w:afterAutospacing="0" w:line="360" w:lineRule="auto"/>
        <w:jc w:val="both"/>
        <w:rPr>
          <w:color w:val="000000"/>
        </w:rPr>
      </w:pPr>
      <w:r w:rsidRPr="00BD5067">
        <w:rPr>
          <w:color w:val="000000"/>
        </w:rPr>
        <w:t xml:space="preserve">The appearance of longitudinal necrosis on the stems, observed after flowering, is likely consistent with a systemic fungal disease. According to observations </w:t>
      </w:r>
      <w:r w:rsidRPr="00BD5067">
        <w:rPr>
          <w:b/>
          <w:bCs/>
          <w:color w:val="000000"/>
        </w:rPr>
        <w:t>by Singh et al., 2023</w:t>
      </w:r>
      <w:r>
        <w:rPr>
          <w:color w:val="000000"/>
        </w:rPr>
        <w:t xml:space="preserve">, this is typical of many pathogenic species of the genus </w:t>
      </w:r>
      <w:r w:rsidRPr="00BD5067">
        <w:rPr>
          <w:i/>
          <w:iCs/>
          <w:color w:val="000000"/>
        </w:rPr>
        <w:t xml:space="preserve">Fusarium </w:t>
      </w:r>
      <w:r w:rsidRPr="00BD5067">
        <w:rPr>
          <w:color w:val="000000"/>
        </w:rPr>
        <w:t xml:space="preserve">or </w:t>
      </w:r>
      <w:r w:rsidRPr="00BD5067">
        <w:rPr>
          <w:i/>
          <w:iCs/>
          <w:color w:val="000000"/>
        </w:rPr>
        <w:t>Phoma</w:t>
      </w:r>
      <w:r w:rsidRPr="00BD5067">
        <w:rPr>
          <w:color w:val="000000"/>
        </w:rPr>
        <w:t xml:space="preserve">, which affect vascular tissues and induce progressive weakening of plants. For </w:t>
      </w:r>
      <w:r w:rsidRPr="00BD5067">
        <w:rPr>
          <w:b/>
          <w:bCs/>
          <w:color w:val="000000"/>
        </w:rPr>
        <w:t>Tchatchoua et al., 2020</w:t>
      </w:r>
      <w:r>
        <w:rPr>
          <w:color w:val="000000"/>
        </w:rPr>
        <w:t>, this type of pathology is often favored by mechanical injuries, water stress or excessive leaf density, which create conditions conducive to the penetration and development of the pathogen.</w:t>
      </w:r>
      <w:r w:rsidR="009722CD">
        <w:rPr>
          <w:color w:val="000000"/>
        </w:rPr>
        <w:t xml:space="preserve"> </w:t>
      </w:r>
      <w:r w:rsidRPr="00CC2D41">
        <w:rPr>
          <w:color w:val="000000"/>
        </w:rPr>
        <w:t xml:space="preserve">The absence of a significant difference in </w:t>
      </w:r>
      <w:r w:rsidRPr="00BD5067">
        <w:rPr>
          <w:rStyle w:val="Strong"/>
          <w:rFonts w:eastAsiaTheme="majorEastAsia"/>
          <w:b w:val="0"/>
          <w:bCs w:val="0"/>
          <w:color w:val="000000"/>
        </w:rPr>
        <w:t xml:space="preserve">the degree of attack of the caterpillar </w:t>
      </w:r>
      <w:r w:rsidRPr="00CC2D41">
        <w:rPr>
          <w:color w:val="000000"/>
        </w:rPr>
        <w:t xml:space="preserve">suggests that </w:t>
      </w:r>
      <w:r w:rsidRPr="00BD5067">
        <w:rPr>
          <w:rStyle w:val="Strong"/>
          <w:rFonts w:eastAsiaTheme="majorEastAsia"/>
          <w:b w:val="0"/>
          <w:bCs w:val="0"/>
          <w:color w:val="000000"/>
        </w:rPr>
        <w:t xml:space="preserve">the transplanting density did not influence the entomological pressure </w:t>
      </w:r>
      <w:r w:rsidRPr="00CC2D41">
        <w:rPr>
          <w:color w:val="000000"/>
        </w:rPr>
        <w:t xml:space="preserve">in this specific case. This is in line with the observations of </w:t>
      </w:r>
      <w:r w:rsidRPr="00CC2D41">
        <w:rPr>
          <w:rStyle w:val="Strong"/>
          <w:rFonts w:eastAsiaTheme="majorEastAsia"/>
          <w:color w:val="000000"/>
        </w:rPr>
        <w:t>Nyembo et al. (2022),</w:t>
      </w:r>
      <w:r w:rsidRPr="00CC2D41">
        <w:rPr>
          <w:color w:val="000000"/>
        </w:rPr>
        <w:t xml:space="preserve"> who showed that populations of pests such as </w:t>
      </w:r>
      <w:r w:rsidRPr="00CC2D41">
        <w:rPr>
          <w:rStyle w:val="Emphasis"/>
          <w:rFonts w:eastAsiaTheme="majorEastAsia"/>
          <w:color w:val="000000"/>
        </w:rPr>
        <w:t xml:space="preserve">Spodoptera </w:t>
      </w:r>
      <w:r w:rsidRPr="00CC2D41">
        <w:rPr>
          <w:color w:val="000000"/>
        </w:rPr>
        <w:t xml:space="preserve">or </w:t>
      </w:r>
      <w:r w:rsidRPr="00CC2D41">
        <w:rPr>
          <w:rStyle w:val="Emphasis"/>
          <w:rFonts w:eastAsiaTheme="majorEastAsia"/>
          <w:color w:val="000000"/>
        </w:rPr>
        <w:t xml:space="preserve">Helicoverpa caterpillars </w:t>
      </w:r>
      <w:r w:rsidRPr="00CC2D41">
        <w:rPr>
          <w:color w:val="000000"/>
        </w:rPr>
        <w:t>are more correlated with climatic conditions and the cycle of vegetative development than with the spatial configuration of the plants.</w:t>
      </w:r>
    </w:p>
    <w:p w:rsidR="006B5D1C" w:rsidRPr="00CC2D41" w:rsidRDefault="006B5D1C" w:rsidP="006B5D1C">
      <w:pPr>
        <w:pStyle w:val="NormalWeb"/>
        <w:spacing w:before="0" w:beforeAutospacing="0" w:after="0" w:afterAutospacing="0" w:line="360" w:lineRule="auto"/>
        <w:jc w:val="both"/>
        <w:rPr>
          <w:color w:val="000000"/>
        </w:rPr>
      </w:pPr>
      <w:r w:rsidRPr="00CC2D41">
        <w:rPr>
          <w:color w:val="000000"/>
        </w:rPr>
        <w:t xml:space="preserve">On the other hand, </w:t>
      </w:r>
      <w:r w:rsidRPr="00713975">
        <w:rPr>
          <w:rStyle w:val="Strong"/>
          <w:rFonts w:eastAsiaTheme="majorEastAsia"/>
          <w:b w:val="0"/>
          <w:bCs w:val="0"/>
          <w:color w:val="000000"/>
        </w:rPr>
        <w:t xml:space="preserve">the susceptibility to stem necrosis </w:t>
      </w:r>
      <w:r w:rsidRPr="00CC2D41">
        <w:rPr>
          <w:color w:val="000000"/>
        </w:rPr>
        <w:t xml:space="preserve">was significantly affected by the planting density, with a </w:t>
      </w:r>
      <w:r w:rsidRPr="00713975">
        <w:rPr>
          <w:rStyle w:val="Strong"/>
          <w:rFonts w:eastAsiaTheme="majorEastAsia"/>
          <w:b w:val="0"/>
          <w:bCs w:val="0"/>
          <w:color w:val="000000"/>
        </w:rPr>
        <w:t>better tolerance observed at the D2 density (10 × 20 cm).</w:t>
      </w:r>
      <w:r w:rsidRPr="00713975">
        <w:rPr>
          <w:color w:val="000000"/>
        </w:rPr>
        <w:t xml:space="preserve"> This result is particularly interesting because it suggests that optimal</w:t>
      </w:r>
      <w:r w:rsidRPr="00713975">
        <w:rPr>
          <w:rStyle w:val="Strong"/>
          <w:rFonts w:eastAsiaTheme="majorEastAsia"/>
          <w:b w:val="0"/>
          <w:bCs w:val="0"/>
          <w:color w:val="000000"/>
        </w:rPr>
        <w:t xml:space="preserve"> spacing </w:t>
      </w:r>
      <w:r w:rsidRPr="00CC2D41">
        <w:rPr>
          <w:color w:val="000000"/>
        </w:rPr>
        <w:t xml:space="preserve">could induce changes in the microclimate or the vegetative cycle with an </w:t>
      </w:r>
      <w:r w:rsidRPr="00713975">
        <w:rPr>
          <w:rStyle w:val="Strong"/>
          <w:rFonts w:eastAsiaTheme="majorEastAsia"/>
          <w:b w:val="0"/>
          <w:bCs w:val="0"/>
          <w:color w:val="000000"/>
        </w:rPr>
        <w:t xml:space="preserve">indirect protective effect </w:t>
      </w:r>
      <w:r w:rsidRPr="00CC2D41">
        <w:rPr>
          <w:color w:val="000000"/>
        </w:rPr>
        <w:t>against fungal diseases.</w:t>
      </w:r>
      <w:r w:rsidR="00F7211F" w:rsidRPr="00CC2D41">
        <w:rPr>
          <w:color w:val="000000"/>
        </w:rPr>
        <w:t xml:space="preserve"> </w:t>
      </w:r>
      <w:r w:rsidRPr="00CC2D41">
        <w:rPr>
          <w:color w:val="000000"/>
        </w:rPr>
        <w:t xml:space="preserve">Indeed, </w:t>
      </w:r>
      <w:r w:rsidRPr="00713975">
        <w:rPr>
          <w:b/>
          <w:bCs/>
          <w:color w:val="000000"/>
        </w:rPr>
        <w:t xml:space="preserve">Fagbemigun et al., 2021 </w:t>
      </w:r>
      <w:r>
        <w:rPr>
          <w:color w:val="000000"/>
        </w:rPr>
        <w:t xml:space="preserve">showed that moderate density can accelerate vegetation cover, </w:t>
      </w:r>
      <w:r>
        <w:rPr>
          <w:color w:val="000000"/>
        </w:rPr>
        <w:lastRenderedPageBreak/>
        <w:t>reduce prolonged exposure of young tissues and limit overelongation injuries, conditions often linked to fungal infection.</w:t>
      </w:r>
      <w:r w:rsidR="009722CD">
        <w:rPr>
          <w:color w:val="000000"/>
        </w:rPr>
        <w:t xml:space="preserve"> </w:t>
      </w:r>
      <w:r w:rsidRPr="00CC2D41">
        <w:rPr>
          <w:color w:val="000000"/>
        </w:rPr>
        <w:t xml:space="preserve">Conversely, the density D1 (20 × 20 cm), which is more widely spaced, recorded the </w:t>
      </w:r>
      <w:r w:rsidRPr="00713975">
        <w:rPr>
          <w:rStyle w:val="Strong"/>
          <w:rFonts w:eastAsiaTheme="majorEastAsia"/>
          <w:b w:val="0"/>
          <w:bCs w:val="0"/>
          <w:color w:val="000000"/>
        </w:rPr>
        <w:t>highest sensitivity</w:t>
      </w:r>
      <w:r w:rsidRPr="00CC2D41">
        <w:rPr>
          <w:color w:val="000000"/>
        </w:rPr>
        <w:t xml:space="preserve">. This could be attributed to slower growth, keeping young tissue vulnerable for an extended period of time, thus promoting opportunities for infection. This phenomenon has been highlighted by </w:t>
      </w:r>
      <w:r w:rsidRPr="00CC2D41">
        <w:rPr>
          <w:rStyle w:val="Strong"/>
          <w:rFonts w:eastAsiaTheme="majorEastAsia"/>
          <w:color w:val="000000"/>
        </w:rPr>
        <w:t xml:space="preserve">Aidoo et al. (2020) </w:t>
      </w:r>
      <w:r w:rsidRPr="00CC2D41">
        <w:rPr>
          <w:color w:val="000000"/>
        </w:rPr>
        <w:t xml:space="preserve">in vegetable trials, where too wide spacing has been associated with increased stress on seedlings. These results support the hypothesis that </w:t>
      </w:r>
      <w:r w:rsidRPr="00713975">
        <w:rPr>
          <w:rStyle w:val="Strong"/>
          <w:rFonts w:eastAsiaTheme="majorEastAsia"/>
          <w:b w:val="0"/>
          <w:bCs w:val="0"/>
          <w:color w:val="000000"/>
        </w:rPr>
        <w:t>the management of transplanting density is not limited to yield optimization</w:t>
      </w:r>
      <w:r w:rsidRPr="00CC2D41">
        <w:rPr>
          <w:color w:val="000000"/>
        </w:rPr>
        <w:t xml:space="preserve">, but also represents an </w:t>
      </w:r>
      <w:r w:rsidRPr="00713975">
        <w:rPr>
          <w:rStyle w:val="Strong"/>
          <w:rFonts w:eastAsiaTheme="majorEastAsia"/>
          <w:b w:val="0"/>
          <w:bCs w:val="0"/>
          <w:color w:val="000000"/>
        </w:rPr>
        <w:t>agronomic lever for disease prevention</w:t>
      </w:r>
      <w:r w:rsidRPr="00CC2D41">
        <w:rPr>
          <w:color w:val="000000"/>
        </w:rPr>
        <w:t>, by indirectly acting on the conditions of pathogen development and the physiology of the plant.</w:t>
      </w:r>
    </w:p>
    <w:p w:rsidR="006B5D1C" w:rsidRPr="000179A6" w:rsidRDefault="00827D26" w:rsidP="00827D26">
      <w:pPr>
        <w:pStyle w:val="NormalWeb"/>
        <w:numPr>
          <w:ilvl w:val="1"/>
          <w:numId w:val="29"/>
        </w:numPr>
        <w:spacing w:before="120" w:beforeAutospacing="0" w:after="120" w:afterAutospacing="0" w:line="360" w:lineRule="auto"/>
        <w:jc w:val="both"/>
        <w:rPr>
          <w:b/>
          <w:bCs/>
          <w:color w:val="000000" w:themeColor="text1"/>
        </w:rPr>
      </w:pPr>
      <w:r>
        <w:rPr>
          <w:b/>
          <w:bCs/>
          <w:color w:val="000000" w:themeColor="text1"/>
        </w:rPr>
        <w:t xml:space="preserve"> </w:t>
      </w:r>
      <w:r w:rsidR="006B5D1C" w:rsidRPr="000179A6">
        <w:rPr>
          <w:b/>
          <w:bCs/>
          <w:color w:val="000000" w:themeColor="text1"/>
        </w:rPr>
        <w:t>Influence of plant spacing on amaranth flowering</w:t>
      </w:r>
    </w:p>
    <w:p w:rsidR="006B5D1C" w:rsidRPr="00CC2D41" w:rsidRDefault="006B5D1C" w:rsidP="006B5D1C">
      <w:pPr>
        <w:pStyle w:val="NormalWeb"/>
        <w:spacing w:before="0" w:beforeAutospacing="0" w:after="0" w:afterAutospacing="0" w:line="360" w:lineRule="auto"/>
        <w:jc w:val="both"/>
        <w:rPr>
          <w:color w:val="000000"/>
        </w:rPr>
      </w:pPr>
      <w:r w:rsidRPr="00CC2D41">
        <w:rPr>
          <w:color w:val="000000"/>
        </w:rPr>
        <w:t xml:space="preserve">The results indicate that transplanting density does not have a significant effect on the flowering time of amaranth plants, with an average start to flowering around 45 days after transplanting regardless of the spacing pattern. This lack of difference suggests that, under the experimental conditions of the study, planting density does not influence the physiological mechanisms regulating the vegetative transition to the reproductive phase. This observation is consistent with the work of </w:t>
      </w:r>
      <w:r w:rsidRPr="00CC2D41">
        <w:rPr>
          <w:rStyle w:val="Strong"/>
          <w:rFonts w:eastAsiaTheme="majorEastAsia"/>
          <w:color w:val="000000"/>
        </w:rPr>
        <w:t>Khan et al. (2021),</w:t>
      </w:r>
      <w:r w:rsidRPr="00CC2D41">
        <w:rPr>
          <w:color w:val="000000"/>
        </w:rPr>
        <w:t xml:space="preserve"> who showed that flowering in some herbaceous species remains relatively stable in the face of moderate variations in density, provided that light, water and nutrient resources are adequately available. In addition, </w:t>
      </w:r>
      <w:r w:rsidRPr="00CC2D41">
        <w:rPr>
          <w:rStyle w:val="Strong"/>
          <w:rFonts w:eastAsiaTheme="majorEastAsia"/>
          <w:color w:val="000000"/>
        </w:rPr>
        <w:t xml:space="preserve">Smith et al. (2022) </w:t>
      </w:r>
      <w:r w:rsidRPr="00CC2D41">
        <w:rPr>
          <w:color w:val="000000"/>
        </w:rPr>
        <w:t>reported that in amaranth, the length of the growing cycle is determined more by genetic factors and environmental conditions than by planting density.</w:t>
      </w:r>
    </w:p>
    <w:p w:rsidR="006B5D1C" w:rsidRPr="00CC2D41" w:rsidRDefault="006B5D1C" w:rsidP="006B5D1C">
      <w:pPr>
        <w:pStyle w:val="NormalWeb"/>
        <w:spacing w:before="0" w:beforeAutospacing="0" w:after="0" w:afterAutospacing="0" w:line="360" w:lineRule="auto"/>
        <w:jc w:val="both"/>
        <w:rPr>
          <w:color w:val="000000"/>
        </w:rPr>
      </w:pPr>
      <w:r w:rsidRPr="00CC2D41">
        <w:rPr>
          <w:color w:val="000000"/>
        </w:rPr>
        <w:t>On the other hand, the similarity in flowering times between densities can be explained by a</w:t>
      </w:r>
      <w:r w:rsidR="00A71B36">
        <w:rPr>
          <w:color w:val="000000"/>
        </w:rPr>
        <w:t xml:space="preserve"> </w:t>
      </w:r>
      <w:r w:rsidRPr="00CC2D41">
        <w:rPr>
          <w:color w:val="000000"/>
        </w:rPr>
        <w:t xml:space="preserve">balance between competition and available space, where the effect of higher density on growth is offset by physiological adaptation of plants, as highlighted by </w:t>
      </w:r>
      <w:r w:rsidRPr="00CC2D41">
        <w:rPr>
          <w:rStyle w:val="Strong"/>
          <w:rFonts w:eastAsiaTheme="majorEastAsia"/>
          <w:color w:val="000000"/>
        </w:rPr>
        <w:t>Lopez et al. (2020).</w:t>
      </w:r>
      <w:r w:rsidRPr="00CC2D41">
        <w:rPr>
          <w:color w:val="000000"/>
        </w:rPr>
        <w:t xml:space="preserve"> In particular, they showed that amaranth exhibits a phenotypic plasticity that allows it to maintain its phenological phases despite space constraints. These results suggest that for the management of amaranth crops, the transplanting density can be chosen mainly according to other agronomic criteria (yield, plant health) without fear of delaying flowering.</w:t>
      </w:r>
    </w:p>
    <w:p w:rsidR="006B5D1C" w:rsidRPr="00E120DD" w:rsidRDefault="009722CD" w:rsidP="009722CD">
      <w:pPr>
        <w:pStyle w:val="ListParagraph"/>
        <w:numPr>
          <w:ilvl w:val="1"/>
          <w:numId w:val="29"/>
        </w:numPr>
        <w:spacing w:before="120" w:after="120" w:line="360" w:lineRule="auto"/>
        <w:jc w:val="both"/>
        <w:rPr>
          <w:b/>
          <w:bCs/>
          <w:color w:val="000000" w:themeColor="text1"/>
        </w:rPr>
      </w:pPr>
      <w:r>
        <w:rPr>
          <w:b/>
          <w:bCs/>
          <w:color w:val="000000" w:themeColor="text1"/>
        </w:rPr>
        <w:t xml:space="preserve"> </w:t>
      </w:r>
      <w:r w:rsidR="006B5D1C" w:rsidRPr="00E120DD">
        <w:rPr>
          <w:b/>
          <w:bCs/>
          <w:color w:val="000000" w:themeColor="text1"/>
        </w:rPr>
        <w:t>Impact of transplanting density on twig number and leaf yield</w:t>
      </w:r>
    </w:p>
    <w:p w:rsidR="006B5D1C" w:rsidRPr="00CC2D41" w:rsidRDefault="006B5D1C" w:rsidP="006B5D1C">
      <w:pPr>
        <w:pStyle w:val="NormalWeb"/>
        <w:spacing w:before="0" w:beforeAutospacing="0" w:after="0" w:afterAutospacing="0" w:line="360" w:lineRule="auto"/>
        <w:jc w:val="both"/>
        <w:rPr>
          <w:color w:val="000000"/>
        </w:rPr>
      </w:pPr>
      <w:r w:rsidRPr="00CC2D41">
        <w:rPr>
          <w:color w:val="000000"/>
        </w:rPr>
        <w:t>The results highlight a significant influence of transplanting density on plant branching and leaf yield, which is in line with numerous studies showing that planting density is a key factor in optimizing vegetative production (</w:t>
      </w:r>
      <w:r w:rsidRPr="00D3638E">
        <w:rPr>
          <w:b/>
          <w:bCs/>
          <w:color w:val="000000"/>
        </w:rPr>
        <w:t>Chen et al., 2021</w:t>
      </w:r>
      <w:r w:rsidRPr="00CC2D41">
        <w:rPr>
          <w:color w:val="000000"/>
        </w:rPr>
        <w:t xml:space="preserve">). Density D2 (10 × 20 cm) favoured the highest twig production, followed by D3, while the lowest density (D1) recorded a significantly lower number. This increase in branching with density can be explained by a phenomenon of </w:t>
      </w:r>
      <w:r w:rsidRPr="00CC2D41">
        <w:rPr>
          <w:color w:val="000000"/>
        </w:rPr>
        <w:lastRenderedPageBreak/>
        <w:t>competition between plants, which stimulates the production of secondary stems to maximize access to light and resources (</w:t>
      </w:r>
      <w:r w:rsidRPr="00D3638E">
        <w:rPr>
          <w:b/>
          <w:bCs/>
          <w:color w:val="000000"/>
        </w:rPr>
        <w:t>Liang et al., 2020</w:t>
      </w:r>
      <w:r w:rsidRPr="00CC2D41">
        <w:rPr>
          <w:color w:val="000000"/>
        </w:rPr>
        <w:t xml:space="preserve">). Indeed, according to </w:t>
      </w:r>
      <w:r w:rsidRPr="00D3638E">
        <w:rPr>
          <w:b/>
          <w:bCs/>
          <w:color w:val="000000"/>
        </w:rPr>
        <w:t>Gomez et al., 2019</w:t>
      </w:r>
      <w:r>
        <w:rPr>
          <w:color w:val="000000"/>
        </w:rPr>
        <w:t>, plants subjected to a higher density develop morphological adaptations to optimize light capture and increase their photosynthetic capacity.</w:t>
      </w:r>
      <w:r w:rsidR="00A71B36">
        <w:rPr>
          <w:color w:val="000000"/>
        </w:rPr>
        <w:t xml:space="preserve"> </w:t>
      </w:r>
      <w:r w:rsidRPr="00CC2D41">
        <w:rPr>
          <w:color w:val="000000"/>
        </w:rPr>
        <w:t xml:space="preserve">In addition, leaf yield follows the same trend, with significantly higher values for densities D2 and D3. This confirms that maximizing vegetation cover through increased density improves total production, a result consistent with the work of </w:t>
      </w:r>
      <w:r w:rsidRPr="00D3638E">
        <w:rPr>
          <w:b/>
          <w:bCs/>
          <w:color w:val="000000"/>
        </w:rPr>
        <w:t>Zhang et al. (2022),</w:t>
      </w:r>
      <w:r w:rsidRPr="00CC2D41">
        <w:rPr>
          <w:color w:val="000000"/>
        </w:rPr>
        <w:t xml:space="preserve"> who showed that efficient land use reduces bare ground areas and promotes better biomass yield. However, it is important to note that densities that are too high could lead to excessive competition, which can limit leaf quality or increase susceptibility to disease, as pointed out by </w:t>
      </w:r>
      <w:r w:rsidRPr="00D3638E">
        <w:rPr>
          <w:b/>
          <w:bCs/>
          <w:color w:val="000000"/>
        </w:rPr>
        <w:t>Khan et al., 2021</w:t>
      </w:r>
      <w:r w:rsidRPr="00CC2D41">
        <w:rPr>
          <w:color w:val="000000"/>
        </w:rPr>
        <w:t>. In this context, densities D2 and D3 appear to be an optimal compromise between productivity and plant health. Future research could explore the impact of these densities on leaf nutritional quality and adaptation to varied abiotic conditions.</w:t>
      </w:r>
    </w:p>
    <w:p w:rsidR="006B5D1C" w:rsidRPr="00CF396A" w:rsidRDefault="006B5D1C" w:rsidP="00CF396A">
      <w:pPr>
        <w:pStyle w:val="ListParagraph"/>
        <w:numPr>
          <w:ilvl w:val="0"/>
          <w:numId w:val="29"/>
        </w:numPr>
        <w:spacing w:before="120" w:after="120" w:line="360" w:lineRule="auto"/>
        <w:jc w:val="both"/>
        <w:rPr>
          <w:b/>
          <w:bCs/>
          <w:color w:val="000000" w:themeColor="text1"/>
        </w:rPr>
      </w:pPr>
      <w:r w:rsidRPr="00CF396A">
        <w:rPr>
          <w:b/>
          <w:bCs/>
          <w:color w:val="000000" w:themeColor="text1"/>
        </w:rPr>
        <w:t>CONCLUSION</w:t>
      </w:r>
    </w:p>
    <w:p w:rsidR="006B5D1C" w:rsidRPr="00CC2D41" w:rsidRDefault="006B5D1C" w:rsidP="006B5D1C">
      <w:pPr>
        <w:pStyle w:val="NormalWeb"/>
        <w:spacing w:before="0" w:beforeAutospacing="0" w:after="0" w:afterAutospacing="0" w:line="360" w:lineRule="auto"/>
        <w:jc w:val="both"/>
        <w:rPr>
          <w:color w:val="000000"/>
        </w:rPr>
      </w:pPr>
      <w:r w:rsidRPr="00CC2D41">
        <w:rPr>
          <w:color w:val="000000"/>
        </w:rPr>
        <w:t>The study shows that transplanting density has a significant influence on plant vegetative growth, particularly on the number of shoots produced and leaf yield. Higher densities, especially the D2 configuration (10 × 20 cm), promote increased branching and better leaf production, which translates into a more efficient occupation of the cultivated space. On the other hand, densities that are too low limit vegetative vigour and productivity. In addition, transplanting density also influences susceptibility to certain diseases, as well as phenological characteristics such as inflorescence length, without affecting flowering time. These results underscore the importance of choosing optimal spacing to reconcile productivity, plant health, and morphological quality. In short, the D2 density appears to be an effective agronomic compromise, maximizing both yield and tolerance to biotic stresses. This study thus provides a solid basis for the optimization of cultivation practices in plantation development, contributing to a more sustainable and efficient agriculture.</w:t>
      </w:r>
    </w:p>
    <w:p w:rsidR="008677BE" w:rsidRPr="009722CD" w:rsidRDefault="008677BE" w:rsidP="00CC2D41">
      <w:pPr>
        <w:spacing w:line="360" w:lineRule="auto"/>
        <w:jc w:val="both"/>
        <w:rPr>
          <w:b/>
          <w:bCs/>
          <w:sz w:val="15"/>
          <w:szCs w:val="15"/>
        </w:rPr>
      </w:pPr>
    </w:p>
    <w:p w:rsidR="009722CD" w:rsidRPr="009722CD" w:rsidRDefault="009722CD" w:rsidP="009722CD">
      <w:pPr>
        <w:jc w:val="both"/>
        <w:rPr>
          <w:b/>
          <w:bCs/>
        </w:rPr>
      </w:pPr>
      <w:r w:rsidRPr="009722CD">
        <w:rPr>
          <w:b/>
          <w:bCs/>
        </w:rPr>
        <w:t>DISCLAIMER (ARTIFICIAL INTELLIGENCE)</w:t>
      </w:r>
    </w:p>
    <w:p w:rsidR="008677BE" w:rsidRPr="009722CD" w:rsidRDefault="009722CD" w:rsidP="009722CD">
      <w:pPr>
        <w:spacing w:before="120" w:line="360" w:lineRule="auto"/>
        <w:jc w:val="both"/>
      </w:pPr>
      <w:r w:rsidRPr="009722CD">
        <w:t>Author(s) hereby declare that NO generative AI technologies such as Large Language Models (ChatGPT, COPILOT, etc.) and text-to-image generators have been used during the writing or editing of this manuscript.</w:t>
      </w:r>
    </w:p>
    <w:p w:rsidR="00B2154F" w:rsidRDefault="00B2154F" w:rsidP="007A51AD">
      <w:pPr>
        <w:jc w:val="both"/>
        <w:rPr>
          <w:b/>
          <w:bCs/>
        </w:rPr>
      </w:pPr>
    </w:p>
    <w:p w:rsidR="002B6EEE" w:rsidRDefault="002B6EEE" w:rsidP="007A51AD">
      <w:pPr>
        <w:jc w:val="both"/>
        <w:rPr>
          <w:b/>
          <w:bCs/>
        </w:rPr>
      </w:pPr>
    </w:p>
    <w:p w:rsidR="00CF396A" w:rsidRPr="00CF396A" w:rsidRDefault="00CF396A" w:rsidP="00CF396A">
      <w:pPr>
        <w:jc w:val="both"/>
        <w:rPr>
          <w:b/>
          <w:bCs/>
        </w:rPr>
      </w:pPr>
      <w:r w:rsidRPr="00CF396A">
        <w:rPr>
          <w:b/>
          <w:bCs/>
        </w:rPr>
        <w:t>COMPETING INTERESTS</w:t>
      </w:r>
    </w:p>
    <w:p w:rsidR="002B6EEE" w:rsidRPr="00CF396A" w:rsidRDefault="00CF396A" w:rsidP="00CF396A">
      <w:pPr>
        <w:spacing w:before="120" w:line="360" w:lineRule="auto"/>
        <w:jc w:val="both"/>
      </w:pPr>
      <w:r w:rsidRPr="00CF396A">
        <w:lastRenderedPageBreak/>
        <w:t>Authors have declared that no competing interests exist.</w:t>
      </w:r>
    </w:p>
    <w:p w:rsidR="00B2154F" w:rsidRDefault="00B2154F" w:rsidP="007A51AD">
      <w:pPr>
        <w:jc w:val="both"/>
        <w:rPr>
          <w:b/>
          <w:bCs/>
        </w:rPr>
      </w:pPr>
    </w:p>
    <w:p w:rsidR="006B5D1C" w:rsidRPr="004C0B57" w:rsidRDefault="006B5D1C" w:rsidP="00932B28">
      <w:pPr>
        <w:jc w:val="both"/>
        <w:rPr>
          <w:b/>
          <w:bCs/>
          <w:color w:val="000000" w:themeColor="text1"/>
        </w:rPr>
      </w:pPr>
      <w:r w:rsidRPr="004C0B57">
        <w:rPr>
          <w:b/>
          <w:bCs/>
          <w:color w:val="000000" w:themeColor="text1"/>
        </w:rPr>
        <w:t>REFERENCES</w:t>
      </w:r>
    </w:p>
    <w:p w:rsidR="009D5F1E" w:rsidRP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Adepoju, S., Jimoh, K.A., &amp; Ogunniyi, D.S. (2018). Influence of planting density on the growth and yield of</w:t>
      </w:r>
      <w:r w:rsidR="00A71B36">
        <w:rPr>
          <w:color w:val="000000"/>
          <w:sz w:val="22"/>
          <w:szCs w:val="22"/>
        </w:rPr>
        <w:t xml:space="preserve"> </w:t>
      </w:r>
      <w:r w:rsidRPr="009D5F1E">
        <w:rPr>
          <w:i/>
          <w:iCs/>
          <w:color w:val="000000"/>
          <w:sz w:val="22"/>
          <w:szCs w:val="22"/>
        </w:rPr>
        <w:t>Amaranthus hybridus</w:t>
      </w:r>
      <w:r w:rsidRPr="009D5F1E">
        <w:rPr>
          <w:color w:val="000000"/>
          <w:sz w:val="22"/>
          <w:szCs w:val="22"/>
        </w:rPr>
        <w:t>.</w:t>
      </w:r>
      <w:r w:rsidR="00A71B36">
        <w:rPr>
          <w:color w:val="000000"/>
          <w:sz w:val="22"/>
          <w:szCs w:val="22"/>
        </w:rPr>
        <w:t xml:space="preserve"> </w:t>
      </w:r>
      <w:r w:rsidRPr="009D5F1E">
        <w:rPr>
          <w:i/>
          <w:iCs/>
          <w:color w:val="000000"/>
          <w:sz w:val="22"/>
          <w:szCs w:val="22"/>
        </w:rPr>
        <w:t>Journal of Applied Agricultural Research</w:t>
      </w:r>
      <w:r w:rsidRPr="009D5F1E">
        <w:rPr>
          <w:color w:val="000000"/>
          <w:sz w:val="22"/>
          <w:szCs w:val="22"/>
        </w:rPr>
        <w:t>,</w:t>
      </w:r>
      <w:r w:rsidR="00A71B36">
        <w:rPr>
          <w:color w:val="000000"/>
          <w:sz w:val="22"/>
          <w:szCs w:val="22"/>
        </w:rPr>
        <w:t xml:space="preserve"> </w:t>
      </w:r>
      <w:r w:rsidRPr="009D5F1E">
        <w:rPr>
          <w:i/>
          <w:iCs/>
          <w:color w:val="000000"/>
          <w:sz w:val="22"/>
          <w:szCs w:val="22"/>
        </w:rPr>
        <w:t>10</w:t>
      </w:r>
      <w:r w:rsidRPr="009D5F1E">
        <w:rPr>
          <w:color w:val="000000"/>
          <w:sz w:val="22"/>
          <w:szCs w:val="22"/>
        </w:rPr>
        <w:t>(1), 80-86.</w:t>
      </w:r>
      <w:r w:rsidR="00B84ED6">
        <w:rPr>
          <w:color w:val="000000"/>
          <w:sz w:val="22"/>
          <w:szCs w:val="22"/>
        </w:rPr>
        <w:t xml:space="preserve"> </w:t>
      </w:r>
      <w:r w:rsidRPr="009D5F1E">
        <w:rPr>
          <w:color w:val="000000"/>
          <w:sz w:val="22"/>
          <w:szCs w:val="22"/>
        </w:rPr>
        <w:t>Aidoo, R., Boateng, E., &amp; Mensah, J. (2020). Plant spacing and its influence on growth and pest pressure in vegetable crops.</w:t>
      </w:r>
      <w:r w:rsidR="00A71B36">
        <w:rPr>
          <w:color w:val="000000"/>
          <w:sz w:val="22"/>
          <w:szCs w:val="22"/>
        </w:rPr>
        <w:t xml:space="preserve"> </w:t>
      </w:r>
      <w:r w:rsidRPr="009D5F1E">
        <w:rPr>
          <w:i/>
          <w:iCs/>
          <w:color w:val="000000"/>
          <w:sz w:val="22"/>
          <w:szCs w:val="22"/>
        </w:rPr>
        <w:t>International Journal of Horticultural Science</w:t>
      </w:r>
      <w:r w:rsidRPr="009D5F1E">
        <w:rPr>
          <w:color w:val="000000"/>
          <w:sz w:val="22"/>
          <w:szCs w:val="22"/>
        </w:rPr>
        <w:t>,</w:t>
      </w:r>
      <w:r w:rsidR="00A71B36">
        <w:rPr>
          <w:color w:val="000000"/>
          <w:sz w:val="22"/>
          <w:szCs w:val="22"/>
        </w:rPr>
        <w:t xml:space="preserve"> </w:t>
      </w:r>
      <w:r w:rsidRPr="009D5F1E">
        <w:rPr>
          <w:i/>
          <w:iCs/>
          <w:color w:val="000000"/>
          <w:sz w:val="22"/>
          <w:szCs w:val="22"/>
        </w:rPr>
        <w:t>25</w:t>
      </w:r>
      <w:r w:rsidRPr="009D5F1E">
        <w:rPr>
          <w:color w:val="000000"/>
          <w:sz w:val="22"/>
          <w:szCs w:val="22"/>
        </w:rPr>
        <w:t>(3), 112-119.</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Ajao, A.O., &amp; Ilukor, J. (2020). Women's participation in African indigenous vegetable value chains: Evidence from Amaranth in Uganda and Nigeria.</w:t>
      </w:r>
      <w:r w:rsidR="00A71B36">
        <w:rPr>
          <w:color w:val="000000"/>
          <w:sz w:val="22"/>
          <w:szCs w:val="22"/>
        </w:rPr>
        <w:t xml:space="preserve"> </w:t>
      </w:r>
      <w:r w:rsidRPr="009D5F1E">
        <w:rPr>
          <w:i/>
          <w:iCs/>
          <w:color w:val="000000"/>
          <w:sz w:val="22"/>
          <w:szCs w:val="22"/>
        </w:rPr>
        <w:t>African Journal of Rural Development</w:t>
      </w:r>
      <w:r w:rsidRPr="009D5F1E">
        <w:rPr>
          <w:color w:val="000000"/>
          <w:sz w:val="22"/>
          <w:szCs w:val="22"/>
        </w:rPr>
        <w:t>,</w:t>
      </w:r>
      <w:r w:rsidR="00A71B36">
        <w:rPr>
          <w:color w:val="000000"/>
          <w:sz w:val="22"/>
          <w:szCs w:val="22"/>
        </w:rPr>
        <w:t xml:space="preserve"> </w:t>
      </w:r>
      <w:r w:rsidRPr="009D5F1E">
        <w:rPr>
          <w:i/>
          <w:iCs/>
          <w:color w:val="000000"/>
          <w:sz w:val="22"/>
          <w:szCs w:val="22"/>
        </w:rPr>
        <w:t>5</w:t>
      </w:r>
      <w:r w:rsidRPr="009D5F1E">
        <w:rPr>
          <w:color w:val="000000"/>
          <w:sz w:val="22"/>
          <w:szCs w:val="22"/>
        </w:rPr>
        <w:t>(4), 57-66.</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Ali, M., Khan, A., &amp; Bashir, S. (2020). Plant density and its impact on vegetative growth and yield parameters: A review.</w:t>
      </w:r>
      <w:r w:rsidR="00A71B36">
        <w:rPr>
          <w:color w:val="000000"/>
          <w:sz w:val="22"/>
          <w:szCs w:val="22"/>
        </w:rPr>
        <w:t xml:space="preserve"> </w:t>
      </w:r>
      <w:r w:rsidRPr="009D5F1E">
        <w:rPr>
          <w:i/>
          <w:iCs/>
          <w:color w:val="000000"/>
          <w:sz w:val="22"/>
          <w:szCs w:val="22"/>
        </w:rPr>
        <w:t>Journal of Agronomic Research</w:t>
      </w:r>
      <w:r w:rsidRPr="009D5F1E">
        <w:rPr>
          <w:color w:val="000000"/>
          <w:sz w:val="22"/>
          <w:szCs w:val="22"/>
        </w:rPr>
        <w:t>,</w:t>
      </w:r>
      <w:r w:rsidR="00A71B36">
        <w:rPr>
          <w:color w:val="000000"/>
          <w:sz w:val="22"/>
          <w:szCs w:val="22"/>
        </w:rPr>
        <w:t xml:space="preserve"> </w:t>
      </w:r>
      <w:r w:rsidRPr="009D5F1E">
        <w:rPr>
          <w:i/>
          <w:iCs/>
          <w:color w:val="000000"/>
          <w:sz w:val="22"/>
          <w:szCs w:val="22"/>
        </w:rPr>
        <w:t>9</w:t>
      </w:r>
      <w:r w:rsidRPr="009D5F1E">
        <w:rPr>
          <w:color w:val="000000"/>
          <w:sz w:val="22"/>
          <w:szCs w:val="22"/>
        </w:rPr>
        <w:t>(2), 135-142.</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Bello, R.S., Musa, M., &amp; Umaru, I. (2022). Effect of spacing on the growth and yield of</w:t>
      </w:r>
      <w:r w:rsidR="00A71B36">
        <w:rPr>
          <w:color w:val="000000"/>
          <w:sz w:val="22"/>
          <w:szCs w:val="22"/>
        </w:rPr>
        <w:t xml:space="preserve"> </w:t>
      </w:r>
      <w:r w:rsidRPr="009D5F1E">
        <w:rPr>
          <w:i/>
          <w:iCs/>
          <w:color w:val="000000"/>
          <w:sz w:val="22"/>
          <w:szCs w:val="22"/>
        </w:rPr>
        <w:t>Amaranthus cruentus</w:t>
      </w:r>
      <w:r w:rsidR="00A71B36">
        <w:rPr>
          <w:color w:val="000000"/>
          <w:sz w:val="22"/>
          <w:szCs w:val="22"/>
        </w:rPr>
        <w:t xml:space="preserve"> </w:t>
      </w:r>
      <w:r w:rsidRPr="009D5F1E">
        <w:rPr>
          <w:color w:val="000000"/>
          <w:sz w:val="22"/>
          <w:szCs w:val="22"/>
        </w:rPr>
        <w:t>in northern Nigeria.</w:t>
      </w:r>
      <w:r w:rsidR="00A71B36">
        <w:rPr>
          <w:color w:val="000000"/>
          <w:sz w:val="22"/>
          <w:szCs w:val="22"/>
        </w:rPr>
        <w:t xml:space="preserve"> </w:t>
      </w:r>
      <w:r w:rsidRPr="009D5F1E">
        <w:rPr>
          <w:i/>
          <w:iCs/>
          <w:color w:val="000000"/>
          <w:sz w:val="22"/>
          <w:szCs w:val="22"/>
        </w:rPr>
        <w:t>Journal of Agricultural Sciences and Practice</w:t>
      </w:r>
      <w:r w:rsidRPr="009D5F1E">
        <w:rPr>
          <w:color w:val="000000"/>
          <w:sz w:val="22"/>
          <w:szCs w:val="22"/>
        </w:rPr>
        <w:t>,</w:t>
      </w:r>
      <w:r w:rsidR="00A71B36">
        <w:rPr>
          <w:color w:val="000000"/>
          <w:sz w:val="22"/>
          <w:szCs w:val="22"/>
        </w:rPr>
        <w:t xml:space="preserve"> </w:t>
      </w:r>
      <w:r w:rsidRPr="009D5F1E">
        <w:rPr>
          <w:i/>
          <w:iCs/>
          <w:color w:val="000000"/>
          <w:sz w:val="22"/>
          <w:szCs w:val="22"/>
        </w:rPr>
        <w:t>7</w:t>
      </w:r>
      <w:r w:rsidRPr="009D5F1E">
        <w:rPr>
          <w:color w:val="000000"/>
          <w:sz w:val="22"/>
          <w:szCs w:val="22"/>
        </w:rPr>
        <w:t>(1), 34-40.</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Chen, L., Zhang, H., &amp; Zhao, Y. (2021). Density-dependent modulation of branching and yield components in leafy vegetables.</w:t>
      </w:r>
      <w:r w:rsidR="00A71B36">
        <w:rPr>
          <w:color w:val="000000"/>
          <w:sz w:val="22"/>
          <w:szCs w:val="22"/>
        </w:rPr>
        <w:t xml:space="preserve"> </w:t>
      </w:r>
      <w:r w:rsidRPr="009D5F1E">
        <w:rPr>
          <w:i/>
          <w:iCs/>
          <w:color w:val="000000"/>
          <w:sz w:val="22"/>
          <w:szCs w:val="22"/>
        </w:rPr>
        <w:t>Agricultural Science and Technology</w:t>
      </w:r>
      <w:r w:rsidRPr="009D5F1E">
        <w:rPr>
          <w:color w:val="000000"/>
          <w:sz w:val="22"/>
          <w:szCs w:val="22"/>
        </w:rPr>
        <w:t>,</w:t>
      </w:r>
      <w:r w:rsidR="00A71B36">
        <w:rPr>
          <w:color w:val="000000"/>
          <w:sz w:val="22"/>
          <w:szCs w:val="22"/>
        </w:rPr>
        <w:t xml:space="preserve"> </w:t>
      </w:r>
      <w:r w:rsidRPr="009D5F1E">
        <w:rPr>
          <w:i/>
          <w:iCs/>
          <w:color w:val="000000"/>
          <w:sz w:val="22"/>
          <w:szCs w:val="22"/>
        </w:rPr>
        <w:t>22</w:t>
      </w:r>
      <w:r w:rsidRPr="009D5F1E">
        <w:rPr>
          <w:color w:val="000000"/>
          <w:sz w:val="22"/>
          <w:szCs w:val="22"/>
        </w:rPr>
        <w:t>(4), 275-282.</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Coulibaly, K., Diomandé, S., &amp; N’Diaye, T. (2023). Évaluation comparative de la sensibilité biotique des plantes maraîchères.</w:t>
      </w:r>
      <w:r w:rsidR="00A71B36">
        <w:rPr>
          <w:color w:val="000000"/>
          <w:sz w:val="22"/>
          <w:szCs w:val="22"/>
        </w:rPr>
        <w:t xml:space="preserve"> </w:t>
      </w:r>
      <w:r w:rsidRPr="009D5F1E">
        <w:rPr>
          <w:i/>
          <w:iCs/>
          <w:color w:val="000000"/>
          <w:sz w:val="22"/>
          <w:szCs w:val="22"/>
        </w:rPr>
        <w:t>Cahiers Agricoles Africains</w:t>
      </w:r>
      <w:r w:rsidRPr="009D5F1E">
        <w:rPr>
          <w:color w:val="000000"/>
          <w:sz w:val="22"/>
          <w:szCs w:val="22"/>
        </w:rPr>
        <w:t>,</w:t>
      </w:r>
      <w:r w:rsidR="00A71B36">
        <w:rPr>
          <w:color w:val="000000"/>
          <w:sz w:val="22"/>
          <w:szCs w:val="22"/>
        </w:rPr>
        <w:t xml:space="preserve"> </w:t>
      </w:r>
      <w:r w:rsidRPr="009D5F1E">
        <w:rPr>
          <w:i/>
          <w:iCs/>
          <w:color w:val="000000"/>
          <w:sz w:val="22"/>
          <w:szCs w:val="22"/>
        </w:rPr>
        <w:t>12</w:t>
      </w:r>
      <w:r w:rsidRPr="009D5F1E">
        <w:rPr>
          <w:color w:val="000000"/>
          <w:sz w:val="22"/>
          <w:szCs w:val="22"/>
        </w:rPr>
        <w:t>(1), 55-66.</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FAO (2020).</w:t>
      </w:r>
      <w:r w:rsidR="00A71B36">
        <w:rPr>
          <w:color w:val="000000"/>
          <w:sz w:val="22"/>
          <w:szCs w:val="22"/>
        </w:rPr>
        <w:t xml:space="preserve"> </w:t>
      </w:r>
      <w:r w:rsidRPr="00A71B36">
        <w:rPr>
          <w:color w:val="000000"/>
          <w:sz w:val="22"/>
          <w:szCs w:val="22"/>
        </w:rPr>
        <w:t>The State of Food and Agriculture 2020</w:t>
      </w:r>
      <w:r w:rsidR="00CF396A">
        <w:rPr>
          <w:color w:val="000000"/>
          <w:sz w:val="22"/>
          <w:szCs w:val="22"/>
        </w:rPr>
        <w:t xml:space="preserve"> </w:t>
      </w:r>
      <w:r w:rsidRPr="00A71B36">
        <w:rPr>
          <w:color w:val="000000"/>
          <w:sz w:val="22"/>
          <w:szCs w:val="22"/>
        </w:rPr>
        <w:t>: Overcoming water challenges in agriculture.</w:t>
      </w:r>
      <w:r w:rsidRPr="009D5F1E">
        <w:rPr>
          <w:color w:val="000000"/>
          <w:sz w:val="22"/>
          <w:szCs w:val="22"/>
        </w:rPr>
        <w:t xml:space="preserve"> Rome, Italy, 484 p.</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Fagbemigun, T.K., Adeoye, G.O., &amp; Kolawole, A.O. (2021). Influence of plant population on disease development and yield performance in tropical vegetable systems.</w:t>
      </w:r>
      <w:r w:rsidR="00A71B36">
        <w:rPr>
          <w:color w:val="000000"/>
          <w:sz w:val="22"/>
          <w:szCs w:val="22"/>
        </w:rPr>
        <w:t xml:space="preserve"> </w:t>
      </w:r>
      <w:r w:rsidRPr="009D5F1E">
        <w:rPr>
          <w:i/>
          <w:iCs/>
          <w:color w:val="000000"/>
          <w:sz w:val="22"/>
          <w:szCs w:val="22"/>
        </w:rPr>
        <w:t>African Journal of Agricultural Research</w:t>
      </w:r>
      <w:r w:rsidRPr="009D5F1E">
        <w:rPr>
          <w:color w:val="000000"/>
          <w:sz w:val="22"/>
          <w:szCs w:val="22"/>
        </w:rPr>
        <w:t>,</w:t>
      </w:r>
      <w:r w:rsidR="00A71B36">
        <w:rPr>
          <w:color w:val="000000"/>
          <w:sz w:val="22"/>
          <w:szCs w:val="22"/>
        </w:rPr>
        <w:t xml:space="preserve"> </w:t>
      </w:r>
      <w:r w:rsidRPr="009D5F1E">
        <w:rPr>
          <w:i/>
          <w:iCs/>
          <w:color w:val="000000"/>
          <w:sz w:val="22"/>
          <w:szCs w:val="22"/>
        </w:rPr>
        <w:t>16</w:t>
      </w:r>
      <w:r w:rsidRPr="009D5F1E">
        <w:rPr>
          <w:color w:val="000000"/>
          <w:sz w:val="22"/>
          <w:szCs w:val="22"/>
        </w:rPr>
        <w:t>(12), 1518-1525.</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Gbadamosi, A.E., Akinrinde, E.A., &amp; Adeniyan, O.N. (2015). The effect of spacing and fertilizer on weed suppression and yield of</w:t>
      </w:r>
      <w:r w:rsidR="00A71B36">
        <w:rPr>
          <w:color w:val="000000"/>
          <w:sz w:val="22"/>
          <w:szCs w:val="22"/>
        </w:rPr>
        <w:t xml:space="preserve"> </w:t>
      </w:r>
      <w:r w:rsidRPr="009D5F1E">
        <w:rPr>
          <w:i/>
          <w:iCs/>
          <w:color w:val="000000"/>
          <w:sz w:val="22"/>
          <w:szCs w:val="22"/>
        </w:rPr>
        <w:t>Amaranthus cruentus</w:t>
      </w:r>
      <w:r w:rsidRPr="009D5F1E">
        <w:rPr>
          <w:color w:val="000000"/>
          <w:sz w:val="22"/>
          <w:szCs w:val="22"/>
        </w:rPr>
        <w:t>.</w:t>
      </w:r>
      <w:r w:rsidR="00A71B36">
        <w:rPr>
          <w:color w:val="000000"/>
          <w:sz w:val="22"/>
          <w:szCs w:val="22"/>
        </w:rPr>
        <w:t xml:space="preserve"> </w:t>
      </w:r>
      <w:r w:rsidRPr="009D5F1E">
        <w:rPr>
          <w:i/>
          <w:iCs/>
          <w:color w:val="000000"/>
          <w:sz w:val="22"/>
          <w:szCs w:val="22"/>
        </w:rPr>
        <w:t>Nigerian Journal of Weed Science</w:t>
      </w:r>
      <w:r w:rsidRPr="009D5F1E">
        <w:rPr>
          <w:color w:val="000000"/>
          <w:sz w:val="22"/>
          <w:szCs w:val="22"/>
        </w:rPr>
        <w:t>,</w:t>
      </w:r>
      <w:r w:rsidR="00A71B36">
        <w:rPr>
          <w:color w:val="000000"/>
          <w:sz w:val="22"/>
          <w:szCs w:val="22"/>
        </w:rPr>
        <w:t xml:space="preserve"> </w:t>
      </w:r>
      <w:r w:rsidRPr="009D5F1E">
        <w:rPr>
          <w:i/>
          <w:iCs/>
          <w:color w:val="000000"/>
          <w:sz w:val="22"/>
          <w:szCs w:val="22"/>
        </w:rPr>
        <w:t>28</w:t>
      </w:r>
      <w:r w:rsidRPr="009D5F1E">
        <w:rPr>
          <w:color w:val="000000"/>
          <w:sz w:val="22"/>
          <w:szCs w:val="22"/>
        </w:rPr>
        <w:t>, 1-10.</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Gomez, P., Martins, C., &amp; Silva, R. (2019). Effects of canopy structure and density on photosynthetic efficiency and biomass production.</w:t>
      </w:r>
      <w:r w:rsidR="00A71B36">
        <w:rPr>
          <w:color w:val="000000"/>
          <w:sz w:val="22"/>
          <w:szCs w:val="22"/>
        </w:rPr>
        <w:t xml:space="preserve"> </w:t>
      </w:r>
      <w:r w:rsidRPr="009D5F1E">
        <w:rPr>
          <w:i/>
          <w:iCs/>
          <w:color w:val="000000"/>
          <w:sz w:val="22"/>
          <w:szCs w:val="22"/>
        </w:rPr>
        <w:t>Journal of Plant Physiology</w:t>
      </w:r>
      <w:r w:rsidRPr="009D5F1E">
        <w:rPr>
          <w:color w:val="000000"/>
          <w:sz w:val="22"/>
          <w:szCs w:val="22"/>
        </w:rPr>
        <w:t>,</w:t>
      </w:r>
      <w:r w:rsidR="00A71B36">
        <w:rPr>
          <w:color w:val="000000"/>
          <w:sz w:val="22"/>
          <w:szCs w:val="22"/>
        </w:rPr>
        <w:t xml:space="preserve"> </w:t>
      </w:r>
      <w:r w:rsidRPr="009D5F1E">
        <w:rPr>
          <w:i/>
          <w:iCs/>
          <w:color w:val="000000"/>
          <w:sz w:val="22"/>
          <w:szCs w:val="22"/>
        </w:rPr>
        <w:t>234</w:t>
      </w:r>
      <w:r w:rsidRPr="009D5F1E">
        <w:rPr>
          <w:color w:val="000000"/>
          <w:sz w:val="22"/>
          <w:szCs w:val="22"/>
        </w:rPr>
        <w:t>, 65-73.</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Gwandu, J.H., Musa, A.B., &amp; Usman, M.A. (2021). Integrated weed management and water use efficiency under different planting densities in vegetable cropping systems.</w:t>
      </w:r>
      <w:r w:rsidR="00A71B36">
        <w:rPr>
          <w:color w:val="000000"/>
          <w:sz w:val="22"/>
          <w:szCs w:val="22"/>
        </w:rPr>
        <w:t xml:space="preserve"> </w:t>
      </w:r>
      <w:r w:rsidRPr="009D5F1E">
        <w:rPr>
          <w:i/>
          <w:iCs/>
          <w:color w:val="000000"/>
          <w:sz w:val="22"/>
          <w:szCs w:val="22"/>
        </w:rPr>
        <w:t>International Journal of Agronomy and Agricultural Research</w:t>
      </w:r>
      <w:r w:rsidRPr="009D5F1E">
        <w:rPr>
          <w:color w:val="000000"/>
          <w:sz w:val="22"/>
          <w:szCs w:val="22"/>
        </w:rPr>
        <w:t>,</w:t>
      </w:r>
      <w:r w:rsidR="00A71B36">
        <w:rPr>
          <w:color w:val="000000"/>
          <w:sz w:val="22"/>
          <w:szCs w:val="22"/>
        </w:rPr>
        <w:t xml:space="preserve"> </w:t>
      </w:r>
      <w:r w:rsidRPr="009D5F1E">
        <w:rPr>
          <w:i/>
          <w:iCs/>
          <w:color w:val="000000"/>
          <w:sz w:val="22"/>
          <w:szCs w:val="22"/>
        </w:rPr>
        <w:t>19</w:t>
      </w:r>
      <w:r w:rsidRPr="009D5F1E">
        <w:rPr>
          <w:color w:val="000000"/>
          <w:sz w:val="22"/>
          <w:szCs w:val="22"/>
        </w:rPr>
        <w:t>(4), 58-66.</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Khan, M.A., Rahman, M., &amp; Bibi, A. (2021). Phenological responses of leafy vegetables to plant spacing under varying environmental conditions.</w:t>
      </w:r>
      <w:r w:rsidR="00A71B36">
        <w:rPr>
          <w:color w:val="000000"/>
          <w:sz w:val="22"/>
          <w:szCs w:val="22"/>
        </w:rPr>
        <w:t xml:space="preserve"> </w:t>
      </w:r>
      <w:r w:rsidRPr="009D5F1E">
        <w:rPr>
          <w:i/>
          <w:iCs/>
          <w:color w:val="000000"/>
          <w:sz w:val="22"/>
          <w:szCs w:val="22"/>
        </w:rPr>
        <w:t>Journal of Crop Science and Biotechnology</w:t>
      </w:r>
      <w:r w:rsidRPr="009D5F1E">
        <w:rPr>
          <w:color w:val="000000"/>
          <w:sz w:val="22"/>
          <w:szCs w:val="22"/>
        </w:rPr>
        <w:t>,</w:t>
      </w:r>
      <w:r w:rsidR="00A71B36">
        <w:rPr>
          <w:color w:val="000000"/>
          <w:sz w:val="22"/>
          <w:szCs w:val="22"/>
        </w:rPr>
        <w:t xml:space="preserve"> </w:t>
      </w:r>
      <w:r w:rsidRPr="009D5F1E">
        <w:rPr>
          <w:i/>
          <w:iCs/>
          <w:color w:val="000000"/>
          <w:sz w:val="22"/>
          <w:szCs w:val="22"/>
        </w:rPr>
        <w:t>24</w:t>
      </w:r>
      <w:r w:rsidRPr="009D5F1E">
        <w:rPr>
          <w:color w:val="000000"/>
          <w:sz w:val="22"/>
          <w:szCs w:val="22"/>
        </w:rPr>
        <w:t>(1), 54-62.</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Koné, M., Kati-Coulibaly, S., &amp; Kouamé, L.P. (2017). Contribution des légumes-feuilles à la sécurité alimentaire des ménages urbains à Abidjan (Côte d’Ivoire).</w:t>
      </w:r>
      <w:r w:rsidR="00A71B36">
        <w:rPr>
          <w:color w:val="000000"/>
          <w:sz w:val="22"/>
          <w:szCs w:val="22"/>
        </w:rPr>
        <w:t xml:space="preserve"> </w:t>
      </w:r>
      <w:r w:rsidRPr="009D5F1E">
        <w:rPr>
          <w:i/>
          <w:iCs/>
          <w:color w:val="000000"/>
          <w:sz w:val="22"/>
          <w:szCs w:val="22"/>
        </w:rPr>
        <w:t>Cahiers Agricultures</w:t>
      </w:r>
      <w:r w:rsidRPr="009D5F1E">
        <w:rPr>
          <w:color w:val="000000"/>
          <w:sz w:val="22"/>
          <w:szCs w:val="22"/>
        </w:rPr>
        <w:t>,</w:t>
      </w:r>
      <w:r w:rsidR="00A71B36">
        <w:rPr>
          <w:color w:val="000000"/>
          <w:sz w:val="22"/>
          <w:szCs w:val="22"/>
        </w:rPr>
        <w:t xml:space="preserve"> </w:t>
      </w:r>
      <w:r w:rsidRPr="009D5F1E">
        <w:rPr>
          <w:i/>
          <w:iCs/>
          <w:color w:val="000000"/>
          <w:sz w:val="22"/>
          <w:szCs w:val="22"/>
        </w:rPr>
        <w:t>26</w:t>
      </w:r>
      <w:r w:rsidRPr="009D5F1E">
        <w:rPr>
          <w:color w:val="000000"/>
          <w:sz w:val="22"/>
          <w:szCs w:val="22"/>
        </w:rPr>
        <w:t>(4), 45003.</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Kouadio, K.A., Kouamé, F.N., &amp; N’guessan, B.A. (2019). Analyse des pratiques culturales des maraîchers dans les zones périurbaines de Yamoussoukro.</w:t>
      </w:r>
      <w:r w:rsidR="00A71B36">
        <w:rPr>
          <w:color w:val="000000"/>
          <w:sz w:val="22"/>
          <w:szCs w:val="22"/>
        </w:rPr>
        <w:t xml:space="preserve"> </w:t>
      </w:r>
      <w:r w:rsidRPr="009D5F1E">
        <w:rPr>
          <w:i/>
          <w:iCs/>
          <w:color w:val="000000"/>
          <w:sz w:val="22"/>
          <w:szCs w:val="22"/>
        </w:rPr>
        <w:t>Revue Ivoirienne des Sciences et Technologies</w:t>
      </w:r>
      <w:r w:rsidRPr="009D5F1E">
        <w:rPr>
          <w:color w:val="000000"/>
          <w:sz w:val="22"/>
          <w:szCs w:val="22"/>
        </w:rPr>
        <w:t>,</w:t>
      </w:r>
      <w:r w:rsidR="00A71B36">
        <w:rPr>
          <w:color w:val="000000"/>
          <w:sz w:val="22"/>
          <w:szCs w:val="22"/>
        </w:rPr>
        <w:t xml:space="preserve"> </w:t>
      </w:r>
      <w:r w:rsidRPr="009D5F1E">
        <w:rPr>
          <w:i/>
          <w:iCs/>
          <w:color w:val="000000"/>
          <w:sz w:val="22"/>
          <w:szCs w:val="22"/>
        </w:rPr>
        <w:t>33</w:t>
      </w:r>
      <w:r w:rsidRPr="009D5F1E">
        <w:rPr>
          <w:color w:val="000000"/>
          <w:sz w:val="22"/>
          <w:szCs w:val="22"/>
        </w:rPr>
        <w:t>, 67-77.</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Liang, X., Zhou, Y., &amp; Zhang, J. (2020). Influence of planting density on shoot architecture and leaf development in amaranth.</w:t>
      </w:r>
      <w:r w:rsidR="00A71B36">
        <w:rPr>
          <w:color w:val="000000"/>
          <w:sz w:val="22"/>
          <w:szCs w:val="22"/>
        </w:rPr>
        <w:t xml:space="preserve"> </w:t>
      </w:r>
      <w:r w:rsidRPr="009D5F1E">
        <w:rPr>
          <w:i/>
          <w:iCs/>
          <w:color w:val="000000"/>
          <w:sz w:val="22"/>
          <w:szCs w:val="22"/>
        </w:rPr>
        <w:t>Agronomy</w:t>
      </w:r>
      <w:r w:rsidRPr="009D5F1E">
        <w:rPr>
          <w:color w:val="000000"/>
          <w:sz w:val="22"/>
          <w:szCs w:val="22"/>
        </w:rPr>
        <w:t>,</w:t>
      </w:r>
      <w:r w:rsidR="00A71B36">
        <w:rPr>
          <w:color w:val="000000"/>
          <w:sz w:val="22"/>
          <w:szCs w:val="22"/>
        </w:rPr>
        <w:t xml:space="preserve"> </w:t>
      </w:r>
      <w:r w:rsidRPr="009D5F1E">
        <w:rPr>
          <w:i/>
          <w:iCs/>
          <w:color w:val="000000"/>
          <w:sz w:val="22"/>
          <w:szCs w:val="22"/>
        </w:rPr>
        <w:t>10</w:t>
      </w:r>
      <w:r w:rsidRPr="009D5F1E">
        <w:rPr>
          <w:color w:val="000000"/>
          <w:sz w:val="22"/>
          <w:szCs w:val="22"/>
        </w:rPr>
        <w:t>(10), 1506.</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Lopez, A.R., Diallo, K., &amp; Traoré, S. (2020). Phenotypic plasticity and reproductive stability of</w:t>
      </w:r>
      <w:r w:rsidR="00A71B36">
        <w:rPr>
          <w:color w:val="000000"/>
          <w:sz w:val="22"/>
          <w:szCs w:val="22"/>
        </w:rPr>
        <w:t xml:space="preserve"> </w:t>
      </w:r>
      <w:r w:rsidRPr="009D5F1E">
        <w:rPr>
          <w:i/>
          <w:iCs/>
          <w:color w:val="000000"/>
          <w:sz w:val="22"/>
          <w:szCs w:val="22"/>
        </w:rPr>
        <w:t>Amaranthus</w:t>
      </w:r>
      <w:r w:rsidR="00A71B36">
        <w:rPr>
          <w:color w:val="000000"/>
          <w:sz w:val="22"/>
          <w:szCs w:val="22"/>
        </w:rPr>
        <w:t xml:space="preserve"> </w:t>
      </w:r>
      <w:r w:rsidRPr="009D5F1E">
        <w:rPr>
          <w:color w:val="000000"/>
          <w:sz w:val="22"/>
          <w:szCs w:val="22"/>
        </w:rPr>
        <w:t xml:space="preserve">spp. </w:t>
      </w:r>
      <w:proofErr w:type="gramStart"/>
      <w:r w:rsidRPr="009D5F1E">
        <w:rPr>
          <w:color w:val="000000"/>
          <w:sz w:val="22"/>
          <w:szCs w:val="22"/>
        </w:rPr>
        <w:t>under</w:t>
      </w:r>
      <w:proofErr w:type="gramEnd"/>
      <w:r w:rsidRPr="009D5F1E">
        <w:rPr>
          <w:color w:val="000000"/>
          <w:sz w:val="22"/>
          <w:szCs w:val="22"/>
        </w:rPr>
        <w:t xml:space="preserve"> different planting configurations.</w:t>
      </w:r>
      <w:r w:rsidR="00A71B36">
        <w:rPr>
          <w:color w:val="000000"/>
          <w:sz w:val="22"/>
          <w:szCs w:val="22"/>
        </w:rPr>
        <w:t xml:space="preserve"> </w:t>
      </w:r>
      <w:r w:rsidRPr="009D5F1E">
        <w:rPr>
          <w:i/>
          <w:iCs/>
          <w:color w:val="000000"/>
          <w:sz w:val="22"/>
          <w:szCs w:val="22"/>
        </w:rPr>
        <w:t>Tropical Crop Science Journal</w:t>
      </w:r>
      <w:r w:rsidRPr="009D5F1E">
        <w:rPr>
          <w:color w:val="000000"/>
          <w:sz w:val="22"/>
          <w:szCs w:val="22"/>
        </w:rPr>
        <w:t>,</w:t>
      </w:r>
      <w:r w:rsidR="00A71B36">
        <w:rPr>
          <w:color w:val="000000"/>
          <w:sz w:val="22"/>
          <w:szCs w:val="22"/>
        </w:rPr>
        <w:t xml:space="preserve"> </w:t>
      </w:r>
      <w:r w:rsidRPr="009D5F1E">
        <w:rPr>
          <w:i/>
          <w:iCs/>
          <w:color w:val="000000"/>
          <w:sz w:val="22"/>
          <w:szCs w:val="22"/>
        </w:rPr>
        <w:t>18</w:t>
      </w:r>
      <w:r w:rsidRPr="009D5F1E">
        <w:rPr>
          <w:color w:val="000000"/>
          <w:sz w:val="22"/>
          <w:szCs w:val="22"/>
        </w:rPr>
        <w:t>(2), 87-95.</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Mwangi, P., Omondi, W., &amp; Chebet, D. (2021). Influence of spacing on growth performance of leafy vegetables in East African farming systems.</w:t>
      </w:r>
      <w:r w:rsidR="00A71B36">
        <w:rPr>
          <w:color w:val="000000"/>
          <w:sz w:val="22"/>
          <w:szCs w:val="22"/>
        </w:rPr>
        <w:t xml:space="preserve"> </w:t>
      </w:r>
      <w:r w:rsidRPr="009D5F1E">
        <w:rPr>
          <w:i/>
          <w:iCs/>
          <w:color w:val="000000"/>
          <w:sz w:val="22"/>
          <w:szCs w:val="22"/>
        </w:rPr>
        <w:t>African Journal of Horticultural Science</w:t>
      </w:r>
      <w:r w:rsidRPr="009D5F1E">
        <w:rPr>
          <w:color w:val="000000"/>
          <w:sz w:val="22"/>
          <w:szCs w:val="22"/>
        </w:rPr>
        <w:t>,</w:t>
      </w:r>
      <w:r w:rsidR="00A71B36">
        <w:rPr>
          <w:color w:val="000000"/>
          <w:sz w:val="22"/>
          <w:szCs w:val="22"/>
        </w:rPr>
        <w:t xml:space="preserve"> </w:t>
      </w:r>
      <w:r w:rsidRPr="009D5F1E">
        <w:rPr>
          <w:i/>
          <w:iCs/>
          <w:color w:val="000000"/>
          <w:sz w:val="22"/>
          <w:szCs w:val="22"/>
        </w:rPr>
        <w:t>29</w:t>
      </w:r>
      <w:r w:rsidRPr="009D5F1E">
        <w:rPr>
          <w:color w:val="000000"/>
          <w:sz w:val="22"/>
          <w:szCs w:val="22"/>
        </w:rPr>
        <w:t>, 44-53.</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N’Guessan, K.M., Yapi, A. &amp; N’Dri, A. (2022). Impact des infestations de</w:t>
      </w:r>
      <w:r w:rsidR="00A71B36">
        <w:rPr>
          <w:color w:val="000000"/>
          <w:sz w:val="22"/>
          <w:szCs w:val="22"/>
        </w:rPr>
        <w:t xml:space="preserve"> </w:t>
      </w:r>
      <w:r w:rsidRPr="009D5F1E">
        <w:rPr>
          <w:i/>
          <w:iCs/>
          <w:color w:val="000000"/>
          <w:sz w:val="22"/>
          <w:szCs w:val="22"/>
        </w:rPr>
        <w:t>Spodoptera</w:t>
      </w:r>
      <w:r w:rsidR="00A71B36">
        <w:rPr>
          <w:color w:val="000000"/>
          <w:sz w:val="22"/>
          <w:szCs w:val="22"/>
        </w:rPr>
        <w:t xml:space="preserve"> </w:t>
      </w:r>
      <w:r w:rsidRPr="009D5F1E">
        <w:rPr>
          <w:color w:val="000000"/>
          <w:sz w:val="22"/>
          <w:szCs w:val="22"/>
        </w:rPr>
        <w:t>sur la productivité maraîchère en Côte d’Ivoire.</w:t>
      </w:r>
      <w:r w:rsidR="00A71B36">
        <w:rPr>
          <w:color w:val="000000"/>
          <w:sz w:val="22"/>
          <w:szCs w:val="22"/>
        </w:rPr>
        <w:t xml:space="preserve"> </w:t>
      </w:r>
      <w:r w:rsidRPr="009D5F1E">
        <w:rPr>
          <w:i/>
          <w:iCs/>
          <w:color w:val="000000"/>
          <w:sz w:val="22"/>
          <w:szCs w:val="22"/>
        </w:rPr>
        <w:t>Afrique Verte</w:t>
      </w:r>
      <w:r w:rsidRPr="009D5F1E">
        <w:rPr>
          <w:color w:val="000000"/>
          <w:sz w:val="22"/>
          <w:szCs w:val="22"/>
        </w:rPr>
        <w:t>,</w:t>
      </w:r>
      <w:r w:rsidR="00A71B36">
        <w:rPr>
          <w:color w:val="000000"/>
          <w:sz w:val="22"/>
          <w:szCs w:val="22"/>
        </w:rPr>
        <w:t xml:space="preserve"> </w:t>
      </w:r>
      <w:r w:rsidRPr="009D5F1E">
        <w:rPr>
          <w:i/>
          <w:iCs/>
          <w:color w:val="000000"/>
          <w:sz w:val="22"/>
          <w:szCs w:val="22"/>
        </w:rPr>
        <w:t>11</w:t>
      </w:r>
      <w:r w:rsidRPr="009D5F1E">
        <w:rPr>
          <w:color w:val="000000"/>
          <w:sz w:val="22"/>
          <w:szCs w:val="22"/>
        </w:rPr>
        <w:t>(4), 101-115.</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Nyembo, K., Lukusa, B., &amp; Mufuta, A. (2022). Factors influencing pest incidence in field-grown vegetables in Central Africa.</w:t>
      </w:r>
      <w:r w:rsidR="00A71B36">
        <w:rPr>
          <w:color w:val="000000"/>
          <w:sz w:val="22"/>
          <w:szCs w:val="22"/>
        </w:rPr>
        <w:t xml:space="preserve"> </w:t>
      </w:r>
      <w:r w:rsidRPr="009D5F1E">
        <w:rPr>
          <w:i/>
          <w:iCs/>
          <w:color w:val="000000"/>
          <w:sz w:val="22"/>
          <w:szCs w:val="22"/>
        </w:rPr>
        <w:t>Journal of Tropical Entomology</w:t>
      </w:r>
      <w:r w:rsidRPr="009D5F1E">
        <w:rPr>
          <w:color w:val="000000"/>
          <w:sz w:val="22"/>
          <w:szCs w:val="22"/>
        </w:rPr>
        <w:t>,</w:t>
      </w:r>
      <w:r w:rsidR="00A71B36">
        <w:rPr>
          <w:color w:val="000000"/>
          <w:sz w:val="22"/>
          <w:szCs w:val="22"/>
        </w:rPr>
        <w:t xml:space="preserve"> </w:t>
      </w:r>
      <w:r w:rsidRPr="009D5F1E">
        <w:rPr>
          <w:i/>
          <w:iCs/>
          <w:color w:val="000000"/>
          <w:sz w:val="22"/>
          <w:szCs w:val="22"/>
        </w:rPr>
        <w:t>11</w:t>
      </w:r>
      <w:r w:rsidRPr="009D5F1E">
        <w:rPr>
          <w:color w:val="000000"/>
          <w:sz w:val="22"/>
          <w:szCs w:val="22"/>
        </w:rPr>
        <w:t>(2), 103-111.</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lastRenderedPageBreak/>
        <w:t>Okpe, O.O., Ezeaku, P.I., &amp; Ukwueze, S.C. (2020). Effects of plant spacing on the yield of</w:t>
      </w:r>
      <w:r w:rsidR="00A71B36">
        <w:rPr>
          <w:color w:val="000000"/>
          <w:sz w:val="22"/>
          <w:szCs w:val="22"/>
        </w:rPr>
        <w:t xml:space="preserve"> </w:t>
      </w:r>
      <w:r w:rsidRPr="009D5F1E">
        <w:rPr>
          <w:i/>
          <w:iCs/>
          <w:color w:val="000000"/>
          <w:sz w:val="22"/>
          <w:szCs w:val="22"/>
        </w:rPr>
        <w:t>Amaranthus</w:t>
      </w:r>
      <w:r w:rsidR="00A71B36">
        <w:rPr>
          <w:color w:val="000000"/>
          <w:sz w:val="22"/>
          <w:szCs w:val="22"/>
        </w:rPr>
        <w:t xml:space="preserve"> </w:t>
      </w:r>
      <w:r w:rsidRPr="009D5F1E">
        <w:rPr>
          <w:color w:val="000000"/>
          <w:sz w:val="22"/>
          <w:szCs w:val="22"/>
        </w:rPr>
        <w:t>species in a sandy loam soil.</w:t>
      </w:r>
      <w:r w:rsidR="00A71B36">
        <w:rPr>
          <w:color w:val="000000"/>
          <w:sz w:val="22"/>
          <w:szCs w:val="22"/>
        </w:rPr>
        <w:t xml:space="preserve"> </w:t>
      </w:r>
      <w:r w:rsidRPr="009D5F1E">
        <w:rPr>
          <w:i/>
          <w:iCs/>
          <w:color w:val="000000"/>
          <w:sz w:val="22"/>
          <w:szCs w:val="22"/>
        </w:rPr>
        <w:t>Nigerian Agricultural Journal</w:t>
      </w:r>
      <w:r w:rsidRPr="009D5F1E">
        <w:rPr>
          <w:color w:val="000000"/>
          <w:sz w:val="22"/>
          <w:szCs w:val="22"/>
        </w:rPr>
        <w:t>,</w:t>
      </w:r>
      <w:r w:rsidR="00A71B36">
        <w:rPr>
          <w:color w:val="000000"/>
          <w:sz w:val="22"/>
          <w:szCs w:val="22"/>
        </w:rPr>
        <w:t xml:space="preserve"> </w:t>
      </w:r>
      <w:r w:rsidRPr="009D5F1E">
        <w:rPr>
          <w:i/>
          <w:iCs/>
          <w:color w:val="000000"/>
          <w:sz w:val="22"/>
          <w:szCs w:val="22"/>
        </w:rPr>
        <w:t>51</w:t>
      </w:r>
      <w:r w:rsidRPr="009D5F1E">
        <w:rPr>
          <w:color w:val="000000"/>
          <w:sz w:val="22"/>
          <w:szCs w:val="22"/>
        </w:rPr>
        <w:t>(2), 112-118.</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Pretty, J. (2008). Agricultural sustainability: Concepts, principles and evidence.</w:t>
      </w:r>
      <w:r w:rsidR="00A71B36">
        <w:rPr>
          <w:color w:val="000000"/>
          <w:sz w:val="22"/>
          <w:szCs w:val="22"/>
        </w:rPr>
        <w:t xml:space="preserve"> </w:t>
      </w:r>
      <w:r w:rsidRPr="009D5F1E">
        <w:rPr>
          <w:i/>
          <w:iCs/>
          <w:color w:val="000000"/>
          <w:sz w:val="22"/>
          <w:szCs w:val="22"/>
        </w:rPr>
        <w:t>Philosophical Transactions of the Royal Society B: Biological Sciences</w:t>
      </w:r>
      <w:r w:rsidRPr="009D5F1E">
        <w:rPr>
          <w:color w:val="000000"/>
          <w:sz w:val="22"/>
          <w:szCs w:val="22"/>
        </w:rPr>
        <w:t>,</w:t>
      </w:r>
      <w:r w:rsidR="00A71B36">
        <w:rPr>
          <w:color w:val="000000"/>
          <w:sz w:val="22"/>
          <w:szCs w:val="22"/>
        </w:rPr>
        <w:t xml:space="preserve"> </w:t>
      </w:r>
      <w:r w:rsidRPr="009D5F1E">
        <w:rPr>
          <w:i/>
          <w:iCs/>
          <w:color w:val="000000"/>
          <w:sz w:val="22"/>
          <w:szCs w:val="22"/>
        </w:rPr>
        <w:t>363</w:t>
      </w:r>
      <w:r w:rsidRPr="009D5F1E">
        <w:rPr>
          <w:color w:val="000000"/>
          <w:sz w:val="22"/>
          <w:szCs w:val="22"/>
        </w:rPr>
        <w:t>(1491), 447-465.</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Shukla, S., Bhargava, A., &amp; Chatterjee, A. (2021). Amaranth: A promising crop of nutraceutical importance. In</w:t>
      </w:r>
      <w:r w:rsidR="00A71B36">
        <w:rPr>
          <w:color w:val="000000"/>
          <w:sz w:val="22"/>
          <w:szCs w:val="22"/>
        </w:rPr>
        <w:t xml:space="preserve"> </w:t>
      </w:r>
      <w:r w:rsidRPr="009D5F1E">
        <w:rPr>
          <w:i/>
          <w:iCs/>
          <w:color w:val="000000"/>
          <w:sz w:val="22"/>
          <w:szCs w:val="22"/>
        </w:rPr>
        <w:t>Functional Foods and Nutraceuticals</w:t>
      </w:r>
      <w:r w:rsidR="00B84ED6">
        <w:rPr>
          <w:color w:val="000000"/>
          <w:sz w:val="22"/>
          <w:szCs w:val="22"/>
        </w:rPr>
        <w:t xml:space="preserve">, </w:t>
      </w:r>
      <w:r w:rsidRPr="009D5F1E">
        <w:rPr>
          <w:color w:val="000000"/>
          <w:sz w:val="22"/>
          <w:szCs w:val="22"/>
        </w:rPr>
        <w:t>pp. 303-322</w:t>
      </w:r>
      <w:r w:rsidR="00B84ED6">
        <w:rPr>
          <w:color w:val="000000"/>
          <w:sz w:val="22"/>
          <w:szCs w:val="22"/>
        </w:rPr>
        <w:t>.</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Singh, D., Kumar, R., &amp; Yadav, S. (2023). Emerging fungal threats in vegetable production and strategies for control.</w:t>
      </w:r>
      <w:r w:rsidR="00A71B36">
        <w:rPr>
          <w:color w:val="000000"/>
          <w:sz w:val="22"/>
          <w:szCs w:val="22"/>
        </w:rPr>
        <w:t xml:space="preserve"> </w:t>
      </w:r>
      <w:r w:rsidRPr="009D5F1E">
        <w:rPr>
          <w:i/>
          <w:iCs/>
          <w:color w:val="000000"/>
          <w:sz w:val="22"/>
          <w:szCs w:val="22"/>
        </w:rPr>
        <w:t>International Journal of Plant Health</w:t>
      </w:r>
      <w:r w:rsidRPr="009D5F1E">
        <w:rPr>
          <w:color w:val="000000"/>
          <w:sz w:val="22"/>
          <w:szCs w:val="22"/>
        </w:rPr>
        <w:t>,</w:t>
      </w:r>
      <w:r w:rsidR="00A71B36">
        <w:rPr>
          <w:color w:val="000000"/>
          <w:sz w:val="22"/>
          <w:szCs w:val="22"/>
        </w:rPr>
        <w:t xml:space="preserve"> </w:t>
      </w:r>
      <w:r w:rsidRPr="009D5F1E">
        <w:rPr>
          <w:i/>
          <w:iCs/>
          <w:color w:val="000000"/>
          <w:sz w:val="22"/>
          <w:szCs w:val="22"/>
        </w:rPr>
        <w:t>15</w:t>
      </w:r>
      <w:r w:rsidRPr="009D5F1E">
        <w:rPr>
          <w:color w:val="000000"/>
          <w:sz w:val="22"/>
          <w:szCs w:val="22"/>
        </w:rPr>
        <w:t>(1), 45-60.</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Smith, L., Boateng, P., &amp; Atieno, M. (2022). Floraison et stabilité phénologique chez l’amarante en fonction des conditions agroécologiques.</w:t>
      </w:r>
      <w:r w:rsidR="00A71B36">
        <w:rPr>
          <w:color w:val="000000"/>
          <w:sz w:val="22"/>
          <w:szCs w:val="22"/>
        </w:rPr>
        <w:t xml:space="preserve"> </w:t>
      </w:r>
      <w:r w:rsidRPr="009D5F1E">
        <w:rPr>
          <w:i/>
          <w:iCs/>
          <w:color w:val="000000"/>
          <w:sz w:val="22"/>
          <w:szCs w:val="22"/>
        </w:rPr>
        <w:t>Revue Africaine d’Agronomie</w:t>
      </w:r>
      <w:r w:rsidRPr="009D5F1E">
        <w:rPr>
          <w:color w:val="000000"/>
          <w:sz w:val="22"/>
          <w:szCs w:val="22"/>
        </w:rPr>
        <w:t>,</w:t>
      </w:r>
      <w:r w:rsidR="00A71B36">
        <w:rPr>
          <w:color w:val="000000"/>
          <w:sz w:val="22"/>
          <w:szCs w:val="22"/>
        </w:rPr>
        <w:t xml:space="preserve"> </w:t>
      </w:r>
      <w:r w:rsidRPr="009D5F1E">
        <w:rPr>
          <w:i/>
          <w:iCs/>
          <w:color w:val="000000"/>
          <w:sz w:val="22"/>
          <w:szCs w:val="22"/>
        </w:rPr>
        <w:t>40</w:t>
      </w:r>
      <w:r w:rsidRPr="009D5F1E">
        <w:rPr>
          <w:color w:val="000000"/>
          <w:sz w:val="22"/>
          <w:szCs w:val="22"/>
        </w:rPr>
        <w:t>(2), 123-130.</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Tchatchoua, T.M., Ngatchou, F.A., &amp; Mbarga, S.A. (2020). Épidémiologie des maladies fongiques dans les systèmes de culture maraîchère.</w:t>
      </w:r>
      <w:r w:rsidR="00A71B36">
        <w:rPr>
          <w:color w:val="000000"/>
          <w:sz w:val="22"/>
          <w:szCs w:val="22"/>
        </w:rPr>
        <w:t xml:space="preserve"> </w:t>
      </w:r>
      <w:r w:rsidRPr="009D5F1E">
        <w:rPr>
          <w:i/>
          <w:iCs/>
          <w:color w:val="000000"/>
          <w:sz w:val="22"/>
          <w:szCs w:val="22"/>
        </w:rPr>
        <w:t>Bulletin de Recherche Agronomique du Cameroun</w:t>
      </w:r>
      <w:r w:rsidRPr="009D5F1E">
        <w:rPr>
          <w:color w:val="000000"/>
          <w:sz w:val="22"/>
          <w:szCs w:val="22"/>
        </w:rPr>
        <w:t>,</w:t>
      </w:r>
      <w:r w:rsidR="00A71B36">
        <w:rPr>
          <w:color w:val="000000"/>
          <w:sz w:val="22"/>
          <w:szCs w:val="22"/>
        </w:rPr>
        <w:t xml:space="preserve"> </w:t>
      </w:r>
      <w:r w:rsidRPr="009D5F1E">
        <w:rPr>
          <w:i/>
          <w:iCs/>
          <w:color w:val="000000"/>
          <w:sz w:val="22"/>
          <w:szCs w:val="22"/>
        </w:rPr>
        <w:t>16</w:t>
      </w:r>
      <w:r w:rsidRPr="009D5F1E">
        <w:rPr>
          <w:color w:val="000000"/>
          <w:sz w:val="22"/>
          <w:szCs w:val="22"/>
        </w:rPr>
        <w:t>(1), 39</w:t>
      </w:r>
      <w:r w:rsidR="00A71B36">
        <w:rPr>
          <w:color w:val="000000"/>
          <w:sz w:val="22"/>
          <w:szCs w:val="22"/>
        </w:rPr>
        <w:t>-</w:t>
      </w:r>
      <w:r w:rsidRPr="009D5F1E">
        <w:rPr>
          <w:color w:val="000000"/>
          <w:sz w:val="22"/>
          <w:szCs w:val="22"/>
        </w:rPr>
        <w:t>47.</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Traoré, K., Yéo, N., &amp; Bamba, I. (2018). Changements climatiques et agriculture vivrière en Côte d'Ivoire</w:t>
      </w:r>
      <w:r w:rsidR="00CF396A">
        <w:rPr>
          <w:color w:val="000000"/>
          <w:sz w:val="22"/>
          <w:szCs w:val="22"/>
        </w:rPr>
        <w:t xml:space="preserve"> </w:t>
      </w:r>
      <w:r w:rsidRPr="009D5F1E">
        <w:rPr>
          <w:color w:val="000000"/>
          <w:sz w:val="22"/>
          <w:szCs w:val="22"/>
        </w:rPr>
        <w:t>: Impacts et stratégies d’adaptation.</w:t>
      </w:r>
      <w:r w:rsidR="00A71B36">
        <w:rPr>
          <w:color w:val="000000"/>
          <w:sz w:val="22"/>
          <w:szCs w:val="22"/>
        </w:rPr>
        <w:t xml:space="preserve"> </w:t>
      </w:r>
      <w:r w:rsidRPr="009D5F1E">
        <w:rPr>
          <w:i/>
          <w:iCs/>
          <w:color w:val="000000"/>
          <w:sz w:val="22"/>
          <w:szCs w:val="22"/>
        </w:rPr>
        <w:t>Revue de Géographie Tropicale</w:t>
      </w:r>
      <w:r w:rsidRPr="009D5F1E">
        <w:rPr>
          <w:color w:val="000000"/>
          <w:sz w:val="22"/>
          <w:szCs w:val="22"/>
        </w:rPr>
        <w:t>,</w:t>
      </w:r>
      <w:r w:rsidR="00A71B36">
        <w:rPr>
          <w:color w:val="000000"/>
          <w:sz w:val="22"/>
          <w:szCs w:val="22"/>
        </w:rPr>
        <w:t xml:space="preserve"> </w:t>
      </w:r>
      <w:r w:rsidRPr="009D5F1E">
        <w:rPr>
          <w:i/>
          <w:iCs/>
          <w:color w:val="000000"/>
          <w:sz w:val="22"/>
          <w:szCs w:val="22"/>
        </w:rPr>
        <w:t>15</w:t>
      </w:r>
      <w:r w:rsidRPr="009D5F1E">
        <w:rPr>
          <w:color w:val="000000"/>
          <w:sz w:val="22"/>
          <w:szCs w:val="22"/>
        </w:rPr>
        <w:t>(2), 77-90.</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Traoré, A., Koné, D., &amp; Bamba, F. (2020). Croissance végétative et attaque des chenilles sur les cultures maraîchères.</w:t>
      </w:r>
      <w:r w:rsidR="00A71B36">
        <w:rPr>
          <w:color w:val="000000"/>
          <w:sz w:val="22"/>
          <w:szCs w:val="22"/>
        </w:rPr>
        <w:t xml:space="preserve"> </w:t>
      </w:r>
      <w:r w:rsidRPr="009D5F1E">
        <w:rPr>
          <w:i/>
          <w:iCs/>
          <w:color w:val="000000"/>
          <w:sz w:val="22"/>
          <w:szCs w:val="22"/>
        </w:rPr>
        <w:t>Sciences et Développement Durable</w:t>
      </w:r>
      <w:r w:rsidRPr="009D5F1E">
        <w:rPr>
          <w:color w:val="000000"/>
          <w:sz w:val="22"/>
          <w:szCs w:val="22"/>
        </w:rPr>
        <w:t>,</w:t>
      </w:r>
      <w:r w:rsidR="00A71B36">
        <w:rPr>
          <w:color w:val="000000"/>
          <w:sz w:val="22"/>
          <w:szCs w:val="22"/>
        </w:rPr>
        <w:t xml:space="preserve"> </w:t>
      </w:r>
      <w:r w:rsidRPr="009D5F1E">
        <w:rPr>
          <w:i/>
          <w:iCs/>
          <w:color w:val="000000"/>
          <w:sz w:val="22"/>
          <w:szCs w:val="22"/>
        </w:rPr>
        <w:t>18</w:t>
      </w:r>
      <w:r w:rsidRPr="009D5F1E">
        <w:rPr>
          <w:color w:val="000000"/>
          <w:sz w:val="22"/>
          <w:szCs w:val="22"/>
        </w:rPr>
        <w:t>(1), 67-79.</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Yao, A. &amp; Koffi, E. (2021). Nécroses foliaires et développement des légumes-feuilles en zone tropicale.</w:t>
      </w:r>
      <w:r w:rsidR="00A71B36">
        <w:rPr>
          <w:color w:val="000000"/>
          <w:sz w:val="22"/>
          <w:szCs w:val="22"/>
        </w:rPr>
        <w:t xml:space="preserve"> </w:t>
      </w:r>
      <w:r w:rsidRPr="009D5F1E">
        <w:rPr>
          <w:i/>
          <w:iCs/>
          <w:color w:val="000000"/>
          <w:sz w:val="22"/>
          <w:szCs w:val="22"/>
        </w:rPr>
        <w:t>Journal Ouest-Africain de Biologie Appliquée</w:t>
      </w:r>
      <w:r w:rsidRPr="009D5F1E">
        <w:rPr>
          <w:color w:val="000000"/>
          <w:sz w:val="22"/>
          <w:szCs w:val="22"/>
        </w:rPr>
        <w:t>,</w:t>
      </w:r>
      <w:r w:rsidR="00A71B36">
        <w:rPr>
          <w:color w:val="000000"/>
          <w:sz w:val="22"/>
          <w:szCs w:val="22"/>
        </w:rPr>
        <w:t xml:space="preserve"> </w:t>
      </w:r>
      <w:r w:rsidRPr="009D5F1E">
        <w:rPr>
          <w:i/>
          <w:iCs/>
          <w:color w:val="000000"/>
          <w:sz w:val="22"/>
          <w:szCs w:val="22"/>
        </w:rPr>
        <w:t>6</w:t>
      </w:r>
      <w:r w:rsidRPr="009D5F1E">
        <w:rPr>
          <w:color w:val="000000"/>
          <w:sz w:val="22"/>
          <w:szCs w:val="22"/>
        </w:rPr>
        <w:t>(3), 22-30.</w:t>
      </w:r>
    </w:p>
    <w:p w:rsid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Yao, K., Kouassi, J., &amp; Amani, A. (2020). Influence des densités de semis sur la morphologie de cultures vivrières en zone tropicale humide.</w:t>
      </w:r>
      <w:r w:rsidR="00A71B36">
        <w:rPr>
          <w:color w:val="000000"/>
          <w:sz w:val="22"/>
          <w:szCs w:val="22"/>
        </w:rPr>
        <w:t xml:space="preserve"> </w:t>
      </w:r>
      <w:r w:rsidRPr="009D5F1E">
        <w:rPr>
          <w:i/>
          <w:iCs/>
          <w:color w:val="000000"/>
          <w:sz w:val="22"/>
          <w:szCs w:val="22"/>
        </w:rPr>
        <w:t>Agronomie Africaine</w:t>
      </w:r>
      <w:r w:rsidRPr="009D5F1E">
        <w:rPr>
          <w:color w:val="000000"/>
          <w:sz w:val="22"/>
          <w:szCs w:val="22"/>
        </w:rPr>
        <w:t>,</w:t>
      </w:r>
      <w:r w:rsidR="00A71B36">
        <w:rPr>
          <w:color w:val="000000"/>
          <w:sz w:val="22"/>
          <w:szCs w:val="22"/>
        </w:rPr>
        <w:t xml:space="preserve"> </w:t>
      </w:r>
      <w:r w:rsidRPr="009D5F1E">
        <w:rPr>
          <w:i/>
          <w:iCs/>
          <w:color w:val="000000"/>
          <w:sz w:val="22"/>
          <w:szCs w:val="22"/>
        </w:rPr>
        <w:t>32</w:t>
      </w:r>
      <w:r w:rsidRPr="009D5F1E">
        <w:rPr>
          <w:color w:val="000000"/>
          <w:sz w:val="22"/>
          <w:szCs w:val="22"/>
        </w:rPr>
        <w:t>(4), 213-221.</w:t>
      </w:r>
    </w:p>
    <w:p w:rsidR="00B7627A" w:rsidRPr="009D5F1E" w:rsidRDefault="009D5F1E" w:rsidP="00AE728C">
      <w:pPr>
        <w:pStyle w:val="NormalWeb"/>
        <w:spacing w:before="60" w:beforeAutospacing="0" w:after="60" w:afterAutospacing="0"/>
        <w:ind w:left="284" w:hanging="284"/>
        <w:jc w:val="both"/>
        <w:rPr>
          <w:color w:val="000000"/>
          <w:sz w:val="22"/>
          <w:szCs w:val="22"/>
        </w:rPr>
      </w:pPr>
      <w:r w:rsidRPr="009D5F1E">
        <w:rPr>
          <w:color w:val="000000"/>
          <w:sz w:val="22"/>
          <w:szCs w:val="22"/>
        </w:rPr>
        <w:t>Zhang, Q., Liu, H., &amp; Wang, Y. (2022). Plant spacing strategies for optimizing inflorescence architecture and yield components in leafy vegetables.</w:t>
      </w:r>
      <w:r w:rsidR="00A71B36">
        <w:rPr>
          <w:color w:val="000000"/>
          <w:sz w:val="22"/>
          <w:szCs w:val="22"/>
        </w:rPr>
        <w:t xml:space="preserve"> </w:t>
      </w:r>
      <w:r w:rsidRPr="009D5F1E">
        <w:rPr>
          <w:i/>
          <w:iCs/>
          <w:color w:val="000000"/>
          <w:sz w:val="22"/>
          <w:szCs w:val="22"/>
        </w:rPr>
        <w:t>Journal of Horticultural Science</w:t>
      </w:r>
      <w:r w:rsidRPr="009D5F1E">
        <w:rPr>
          <w:color w:val="000000"/>
          <w:sz w:val="22"/>
          <w:szCs w:val="22"/>
        </w:rPr>
        <w:t>,</w:t>
      </w:r>
      <w:r w:rsidR="00A71B36">
        <w:rPr>
          <w:color w:val="000000"/>
          <w:sz w:val="22"/>
          <w:szCs w:val="22"/>
        </w:rPr>
        <w:t xml:space="preserve"> </w:t>
      </w:r>
      <w:r w:rsidRPr="009D5F1E">
        <w:rPr>
          <w:i/>
          <w:iCs/>
          <w:color w:val="000000"/>
          <w:sz w:val="22"/>
          <w:szCs w:val="22"/>
        </w:rPr>
        <w:t>57</w:t>
      </w:r>
      <w:r w:rsidRPr="009D5F1E">
        <w:rPr>
          <w:color w:val="000000"/>
          <w:sz w:val="22"/>
          <w:szCs w:val="22"/>
        </w:rPr>
        <w:t>(1), 77-88.</w:t>
      </w:r>
    </w:p>
    <w:p w:rsidR="007A0425" w:rsidRPr="007A0425" w:rsidRDefault="007A0425" w:rsidP="007A0425">
      <w:pPr>
        <w:tabs>
          <w:tab w:val="left" w:pos="503"/>
        </w:tabs>
      </w:pPr>
    </w:p>
    <w:sectPr w:rsidR="007A0425" w:rsidRPr="007A042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6B2" w:rsidRDefault="006776B2" w:rsidP="00CF396A">
      <w:r>
        <w:separator/>
      </w:r>
    </w:p>
  </w:endnote>
  <w:endnote w:type="continuationSeparator" w:id="0">
    <w:p w:rsidR="006776B2" w:rsidRDefault="006776B2" w:rsidP="00CF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526547"/>
      <w:docPartObj>
        <w:docPartGallery w:val="Page Numbers (Bottom of Page)"/>
        <w:docPartUnique/>
      </w:docPartObj>
    </w:sdtPr>
    <w:sdtEndPr>
      <w:rPr>
        <w:rStyle w:val="PageNumber"/>
      </w:rPr>
    </w:sdtEndPr>
    <w:sdtContent>
      <w:p w:rsidR="00CF396A" w:rsidRDefault="00CF396A" w:rsidP="002A0D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F396A" w:rsidRDefault="00CF396A" w:rsidP="00CF39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3886549"/>
      <w:docPartObj>
        <w:docPartGallery w:val="Page Numbers (Bottom of Page)"/>
        <w:docPartUnique/>
      </w:docPartObj>
    </w:sdtPr>
    <w:sdtEndPr>
      <w:rPr>
        <w:rStyle w:val="PageNumber"/>
      </w:rPr>
    </w:sdtEndPr>
    <w:sdtContent>
      <w:p w:rsidR="00CF396A" w:rsidRDefault="00CF396A" w:rsidP="002A0D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43599">
          <w:rPr>
            <w:rStyle w:val="PageNumber"/>
            <w:noProof/>
          </w:rPr>
          <w:t>10</w:t>
        </w:r>
        <w:r>
          <w:rPr>
            <w:rStyle w:val="PageNumber"/>
          </w:rPr>
          <w:fldChar w:fldCharType="end"/>
        </w:r>
      </w:p>
    </w:sdtContent>
  </w:sdt>
  <w:p w:rsidR="00CF396A" w:rsidRDefault="00CF396A" w:rsidP="00CF39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72F" w:rsidRDefault="0063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6B2" w:rsidRDefault="006776B2" w:rsidP="00CF396A">
      <w:r>
        <w:separator/>
      </w:r>
    </w:p>
  </w:footnote>
  <w:footnote w:type="continuationSeparator" w:id="0">
    <w:p w:rsidR="006776B2" w:rsidRDefault="006776B2" w:rsidP="00CF3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72F" w:rsidRDefault="006337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601985"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72F" w:rsidRDefault="006337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601986"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72F" w:rsidRDefault="006337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601984"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8E08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7D7787"/>
    <w:multiLevelType w:val="multilevel"/>
    <w:tmpl w:val="9E14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616F0"/>
    <w:multiLevelType w:val="hybridMultilevel"/>
    <w:tmpl w:val="8E4A31CC"/>
    <w:lvl w:ilvl="0" w:tplc="C7DA971E">
      <w:numFmt w:val="bullet"/>
      <w:lvlText w:val="-"/>
      <w:lvlJc w:val="left"/>
      <w:pPr>
        <w:tabs>
          <w:tab w:val="num" w:pos="900"/>
        </w:tabs>
        <w:ind w:left="900" w:hanging="360"/>
      </w:pPr>
      <w:rPr>
        <w:rFonts w:ascii="Arial" w:eastAsia="Times New Roman" w:hAnsi="Arial" w:cs="Arial" w:hint="default"/>
      </w:rPr>
    </w:lvl>
    <w:lvl w:ilvl="1" w:tplc="D666BE14">
      <w:start w:val="279"/>
      <w:numFmt w:val="bullet"/>
      <w:lvlText w:val=""/>
      <w:lvlJc w:val="left"/>
      <w:pPr>
        <w:tabs>
          <w:tab w:val="num" w:pos="360"/>
        </w:tabs>
        <w:ind w:left="360" w:hanging="360"/>
      </w:pPr>
      <w:rPr>
        <w:rFonts w:ascii="Symbol" w:eastAsia="MS Mincho" w:hAnsi="Symbol" w:cs="Times New Roman" w:hint="default"/>
        <w:sz w:val="24"/>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594554"/>
    <w:multiLevelType w:val="multilevel"/>
    <w:tmpl w:val="B822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E6A20"/>
    <w:multiLevelType w:val="hybridMultilevel"/>
    <w:tmpl w:val="80EA0138"/>
    <w:lvl w:ilvl="0" w:tplc="040C0001">
      <w:start w:val="1"/>
      <w:numFmt w:val="bullet"/>
      <w:lvlText w:val=""/>
      <w:lvlJc w:val="left"/>
      <w:pPr>
        <w:tabs>
          <w:tab w:val="num" w:pos="720"/>
        </w:tabs>
        <w:ind w:left="720" w:hanging="360"/>
      </w:pPr>
      <w:rPr>
        <w:rFonts w:ascii="Symbol" w:hAnsi="Symbol" w:hint="default"/>
      </w:rPr>
    </w:lvl>
    <w:lvl w:ilvl="1" w:tplc="8B188F9E">
      <w:numFmt w:val="bullet"/>
      <w:lvlText w:val="-"/>
      <w:lvlJc w:val="left"/>
      <w:pPr>
        <w:tabs>
          <w:tab w:val="num" w:pos="1080"/>
        </w:tabs>
        <w:ind w:left="1080" w:hanging="360"/>
      </w:pPr>
      <w:rPr>
        <w:rFonts w:ascii="Helv" w:eastAsia="Helv" w:hAnsi="Helv" w:cs="Helv"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D4905"/>
    <w:multiLevelType w:val="multilevel"/>
    <w:tmpl w:val="A93AC9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BA5742"/>
    <w:multiLevelType w:val="multilevel"/>
    <w:tmpl w:val="82D6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D377E"/>
    <w:multiLevelType w:val="hybridMultilevel"/>
    <w:tmpl w:val="4C9E9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796027"/>
    <w:multiLevelType w:val="hybridMultilevel"/>
    <w:tmpl w:val="A9D02B3C"/>
    <w:lvl w:ilvl="0" w:tplc="E84C5638">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9C3477F"/>
    <w:multiLevelType w:val="multilevel"/>
    <w:tmpl w:val="452AD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D46143C"/>
    <w:multiLevelType w:val="multilevel"/>
    <w:tmpl w:val="452AD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E28003A"/>
    <w:multiLevelType w:val="multilevel"/>
    <w:tmpl w:val="C8BA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55E65"/>
    <w:multiLevelType w:val="hybridMultilevel"/>
    <w:tmpl w:val="3B72D3AE"/>
    <w:lvl w:ilvl="0" w:tplc="359044E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720B2D"/>
    <w:multiLevelType w:val="hybridMultilevel"/>
    <w:tmpl w:val="D812ABAE"/>
    <w:lvl w:ilvl="0" w:tplc="C12405FE">
      <w:numFmt w:val="bullet"/>
      <w:lvlText w:val="-"/>
      <w:lvlJc w:val="left"/>
      <w:pPr>
        <w:tabs>
          <w:tab w:val="num" w:pos="1080"/>
        </w:tabs>
        <w:ind w:left="1080" w:hanging="360"/>
      </w:pPr>
      <w:rPr>
        <w:rFonts w:ascii="Arial" w:eastAsia="Times New Roman" w:hAnsi="Arial" w:cs="Arial" w:hint="default"/>
        <w:b w:val="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5C0455D"/>
    <w:multiLevelType w:val="multilevel"/>
    <w:tmpl w:val="88FC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D40DF"/>
    <w:multiLevelType w:val="hybridMultilevel"/>
    <w:tmpl w:val="9A8EB5B0"/>
    <w:lvl w:ilvl="0" w:tplc="B4E4180E">
      <w:start w:val="1"/>
      <w:numFmt w:val="decimal"/>
      <w:lvlText w:val="%1."/>
      <w:lvlJc w:val="left"/>
      <w:pPr>
        <w:tabs>
          <w:tab w:val="num" w:pos="720"/>
        </w:tabs>
        <w:ind w:left="720" w:hanging="360"/>
      </w:pPr>
      <w:rPr>
        <w:rFonts w:hint="default"/>
      </w:rPr>
    </w:lvl>
    <w:lvl w:ilvl="1" w:tplc="2C7CE868">
      <w:numFmt w:val="none"/>
      <w:lvlText w:val=""/>
      <w:lvlJc w:val="left"/>
      <w:pPr>
        <w:tabs>
          <w:tab w:val="num" w:pos="360"/>
        </w:tabs>
      </w:pPr>
    </w:lvl>
    <w:lvl w:ilvl="2" w:tplc="A0E277A0">
      <w:numFmt w:val="none"/>
      <w:lvlText w:val=""/>
      <w:lvlJc w:val="left"/>
      <w:pPr>
        <w:tabs>
          <w:tab w:val="num" w:pos="360"/>
        </w:tabs>
      </w:pPr>
    </w:lvl>
    <w:lvl w:ilvl="3" w:tplc="B4BC1C4A">
      <w:numFmt w:val="none"/>
      <w:lvlText w:val=""/>
      <w:lvlJc w:val="left"/>
      <w:pPr>
        <w:tabs>
          <w:tab w:val="num" w:pos="360"/>
        </w:tabs>
      </w:pPr>
    </w:lvl>
    <w:lvl w:ilvl="4" w:tplc="BF3ACBD4">
      <w:numFmt w:val="none"/>
      <w:lvlText w:val=""/>
      <w:lvlJc w:val="left"/>
      <w:pPr>
        <w:tabs>
          <w:tab w:val="num" w:pos="360"/>
        </w:tabs>
      </w:pPr>
    </w:lvl>
    <w:lvl w:ilvl="5" w:tplc="1220D992">
      <w:numFmt w:val="none"/>
      <w:lvlText w:val=""/>
      <w:lvlJc w:val="left"/>
      <w:pPr>
        <w:tabs>
          <w:tab w:val="num" w:pos="360"/>
        </w:tabs>
      </w:pPr>
    </w:lvl>
    <w:lvl w:ilvl="6" w:tplc="44525EFE">
      <w:numFmt w:val="none"/>
      <w:lvlText w:val=""/>
      <w:lvlJc w:val="left"/>
      <w:pPr>
        <w:tabs>
          <w:tab w:val="num" w:pos="360"/>
        </w:tabs>
      </w:pPr>
    </w:lvl>
    <w:lvl w:ilvl="7" w:tplc="A2C4E7FA">
      <w:numFmt w:val="none"/>
      <w:lvlText w:val=""/>
      <w:lvlJc w:val="left"/>
      <w:pPr>
        <w:tabs>
          <w:tab w:val="num" w:pos="360"/>
        </w:tabs>
      </w:pPr>
    </w:lvl>
    <w:lvl w:ilvl="8" w:tplc="16087E32">
      <w:numFmt w:val="none"/>
      <w:lvlText w:val=""/>
      <w:lvlJc w:val="left"/>
      <w:pPr>
        <w:tabs>
          <w:tab w:val="num" w:pos="360"/>
        </w:tabs>
      </w:pPr>
    </w:lvl>
  </w:abstractNum>
  <w:abstractNum w:abstractNumId="16" w15:restartNumberingAfterBreak="0">
    <w:nsid w:val="3E88261F"/>
    <w:multiLevelType w:val="multilevel"/>
    <w:tmpl w:val="452AD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E487404"/>
    <w:multiLevelType w:val="hybridMultilevel"/>
    <w:tmpl w:val="1F7076C2"/>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FC61962"/>
    <w:multiLevelType w:val="multilevel"/>
    <w:tmpl w:val="E64A4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42B45"/>
    <w:multiLevelType w:val="hybridMultilevel"/>
    <w:tmpl w:val="82FCA066"/>
    <w:lvl w:ilvl="0" w:tplc="8B188F9E">
      <w:numFmt w:val="bullet"/>
      <w:lvlText w:val="-"/>
      <w:lvlJc w:val="left"/>
      <w:pPr>
        <w:ind w:left="567" w:hanging="360"/>
      </w:pPr>
      <w:rPr>
        <w:rFonts w:ascii="Helv" w:eastAsia="Helv" w:hAnsi="Helv" w:cs="Helv" w:hint="default"/>
      </w:rPr>
    </w:lvl>
    <w:lvl w:ilvl="1" w:tplc="040C0003" w:tentative="1">
      <w:start w:val="1"/>
      <w:numFmt w:val="bullet"/>
      <w:lvlText w:val="o"/>
      <w:lvlJc w:val="left"/>
      <w:pPr>
        <w:ind w:left="1287" w:hanging="360"/>
      </w:pPr>
      <w:rPr>
        <w:rFonts w:ascii="Courier New" w:hAnsi="Courier New" w:cs="Courier New" w:hint="default"/>
      </w:rPr>
    </w:lvl>
    <w:lvl w:ilvl="2" w:tplc="040C0005" w:tentative="1">
      <w:start w:val="1"/>
      <w:numFmt w:val="bullet"/>
      <w:lvlText w:val=""/>
      <w:lvlJc w:val="left"/>
      <w:pPr>
        <w:ind w:left="2007" w:hanging="360"/>
      </w:pPr>
      <w:rPr>
        <w:rFonts w:ascii="Wingdings" w:hAnsi="Wingdings" w:hint="default"/>
      </w:rPr>
    </w:lvl>
    <w:lvl w:ilvl="3" w:tplc="040C0001" w:tentative="1">
      <w:start w:val="1"/>
      <w:numFmt w:val="bullet"/>
      <w:lvlText w:val=""/>
      <w:lvlJc w:val="left"/>
      <w:pPr>
        <w:ind w:left="2727" w:hanging="360"/>
      </w:pPr>
      <w:rPr>
        <w:rFonts w:ascii="Symbol" w:hAnsi="Symbol" w:hint="default"/>
      </w:rPr>
    </w:lvl>
    <w:lvl w:ilvl="4" w:tplc="040C0003" w:tentative="1">
      <w:start w:val="1"/>
      <w:numFmt w:val="bullet"/>
      <w:lvlText w:val="o"/>
      <w:lvlJc w:val="left"/>
      <w:pPr>
        <w:ind w:left="3447" w:hanging="360"/>
      </w:pPr>
      <w:rPr>
        <w:rFonts w:ascii="Courier New" w:hAnsi="Courier New" w:cs="Courier New" w:hint="default"/>
      </w:rPr>
    </w:lvl>
    <w:lvl w:ilvl="5" w:tplc="040C0005" w:tentative="1">
      <w:start w:val="1"/>
      <w:numFmt w:val="bullet"/>
      <w:lvlText w:val=""/>
      <w:lvlJc w:val="left"/>
      <w:pPr>
        <w:ind w:left="4167" w:hanging="360"/>
      </w:pPr>
      <w:rPr>
        <w:rFonts w:ascii="Wingdings" w:hAnsi="Wingdings" w:hint="default"/>
      </w:rPr>
    </w:lvl>
    <w:lvl w:ilvl="6" w:tplc="040C0001" w:tentative="1">
      <w:start w:val="1"/>
      <w:numFmt w:val="bullet"/>
      <w:lvlText w:val=""/>
      <w:lvlJc w:val="left"/>
      <w:pPr>
        <w:ind w:left="4887" w:hanging="360"/>
      </w:pPr>
      <w:rPr>
        <w:rFonts w:ascii="Symbol" w:hAnsi="Symbol" w:hint="default"/>
      </w:rPr>
    </w:lvl>
    <w:lvl w:ilvl="7" w:tplc="040C0003" w:tentative="1">
      <w:start w:val="1"/>
      <w:numFmt w:val="bullet"/>
      <w:lvlText w:val="o"/>
      <w:lvlJc w:val="left"/>
      <w:pPr>
        <w:ind w:left="5607" w:hanging="360"/>
      </w:pPr>
      <w:rPr>
        <w:rFonts w:ascii="Courier New" w:hAnsi="Courier New" w:cs="Courier New" w:hint="default"/>
      </w:rPr>
    </w:lvl>
    <w:lvl w:ilvl="8" w:tplc="040C0005" w:tentative="1">
      <w:start w:val="1"/>
      <w:numFmt w:val="bullet"/>
      <w:lvlText w:val=""/>
      <w:lvlJc w:val="left"/>
      <w:pPr>
        <w:ind w:left="6327" w:hanging="360"/>
      </w:pPr>
      <w:rPr>
        <w:rFonts w:ascii="Wingdings" w:hAnsi="Wingdings" w:hint="default"/>
      </w:rPr>
    </w:lvl>
  </w:abstractNum>
  <w:abstractNum w:abstractNumId="20" w15:restartNumberingAfterBreak="0">
    <w:nsid w:val="623A2565"/>
    <w:multiLevelType w:val="hybridMultilevel"/>
    <w:tmpl w:val="74A8E0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B034E8"/>
    <w:multiLevelType w:val="hybridMultilevel"/>
    <w:tmpl w:val="D1F8A958"/>
    <w:lvl w:ilvl="0" w:tplc="3EFA7740">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78142E"/>
    <w:multiLevelType w:val="hybridMultilevel"/>
    <w:tmpl w:val="C6B6EF60"/>
    <w:lvl w:ilvl="0" w:tplc="C6B466F6">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F7A6F25"/>
    <w:multiLevelType w:val="multilevel"/>
    <w:tmpl w:val="5684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B77867"/>
    <w:multiLevelType w:val="multilevel"/>
    <w:tmpl w:val="A52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5C25F3"/>
    <w:multiLevelType w:val="multilevel"/>
    <w:tmpl w:val="168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C18CF"/>
    <w:multiLevelType w:val="multilevel"/>
    <w:tmpl w:val="452AD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782048C5"/>
    <w:multiLevelType w:val="multilevel"/>
    <w:tmpl w:val="452AD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787447D0"/>
    <w:multiLevelType w:val="hybridMultilevel"/>
    <w:tmpl w:val="7EC0F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
  </w:num>
  <w:num w:numId="4">
    <w:abstractNumId w:val="15"/>
  </w:num>
  <w:num w:numId="5">
    <w:abstractNumId w:val="16"/>
  </w:num>
  <w:num w:numId="6">
    <w:abstractNumId w:val="26"/>
  </w:num>
  <w:num w:numId="7">
    <w:abstractNumId w:val="27"/>
  </w:num>
  <w:num w:numId="8">
    <w:abstractNumId w:val="10"/>
  </w:num>
  <w:num w:numId="9">
    <w:abstractNumId w:val="9"/>
  </w:num>
  <w:num w:numId="10">
    <w:abstractNumId w:val="22"/>
  </w:num>
  <w:num w:numId="11">
    <w:abstractNumId w:val="20"/>
  </w:num>
  <w:num w:numId="12">
    <w:abstractNumId w:val="17"/>
  </w:num>
  <w:num w:numId="13">
    <w:abstractNumId w:val="24"/>
  </w:num>
  <w:num w:numId="14">
    <w:abstractNumId w:val="3"/>
  </w:num>
  <w:num w:numId="15">
    <w:abstractNumId w:val="23"/>
  </w:num>
  <w:num w:numId="16">
    <w:abstractNumId w:val="18"/>
  </w:num>
  <w:num w:numId="17">
    <w:abstractNumId w:val="8"/>
  </w:num>
  <w:num w:numId="18">
    <w:abstractNumId w:val="6"/>
  </w:num>
  <w:num w:numId="19">
    <w:abstractNumId w:val="11"/>
  </w:num>
  <w:num w:numId="20">
    <w:abstractNumId w:val="25"/>
  </w:num>
  <w:num w:numId="21">
    <w:abstractNumId w:val="12"/>
  </w:num>
  <w:num w:numId="22">
    <w:abstractNumId w:val="14"/>
  </w:num>
  <w:num w:numId="23">
    <w:abstractNumId w:val="21"/>
  </w:num>
  <w:num w:numId="24">
    <w:abstractNumId w:val="0"/>
  </w:num>
  <w:num w:numId="25">
    <w:abstractNumId w:val="1"/>
  </w:num>
  <w:num w:numId="26">
    <w:abstractNumId w:val="7"/>
  </w:num>
  <w:num w:numId="27">
    <w:abstractNumId w:val="28"/>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E45"/>
    <w:rsid w:val="000005E0"/>
    <w:rsid w:val="000011B3"/>
    <w:rsid w:val="00016A49"/>
    <w:rsid w:val="000179A6"/>
    <w:rsid w:val="00020821"/>
    <w:rsid w:val="00023CBF"/>
    <w:rsid w:val="000267E4"/>
    <w:rsid w:val="0003176B"/>
    <w:rsid w:val="00035F54"/>
    <w:rsid w:val="000732E7"/>
    <w:rsid w:val="00080A1A"/>
    <w:rsid w:val="000855EA"/>
    <w:rsid w:val="00093BCD"/>
    <w:rsid w:val="00095BF7"/>
    <w:rsid w:val="000B5210"/>
    <w:rsid w:val="000C0114"/>
    <w:rsid w:val="000F4DEE"/>
    <w:rsid w:val="00134265"/>
    <w:rsid w:val="00150831"/>
    <w:rsid w:val="001520A6"/>
    <w:rsid w:val="00154B2E"/>
    <w:rsid w:val="00164BA6"/>
    <w:rsid w:val="00184C21"/>
    <w:rsid w:val="00193FCE"/>
    <w:rsid w:val="001A51C0"/>
    <w:rsid w:val="001B2BF7"/>
    <w:rsid w:val="001C17A2"/>
    <w:rsid w:val="001C6EE8"/>
    <w:rsid w:val="001F1D75"/>
    <w:rsid w:val="001F2AAA"/>
    <w:rsid w:val="001F3253"/>
    <w:rsid w:val="00200012"/>
    <w:rsid w:val="002142D9"/>
    <w:rsid w:val="002146E3"/>
    <w:rsid w:val="0022361E"/>
    <w:rsid w:val="00224956"/>
    <w:rsid w:val="00233952"/>
    <w:rsid w:val="0023631C"/>
    <w:rsid w:val="00243755"/>
    <w:rsid w:val="00253630"/>
    <w:rsid w:val="00260A41"/>
    <w:rsid w:val="00261EA4"/>
    <w:rsid w:val="00284E22"/>
    <w:rsid w:val="002A77DE"/>
    <w:rsid w:val="002B372F"/>
    <w:rsid w:val="002B3A0E"/>
    <w:rsid w:val="002B6EEE"/>
    <w:rsid w:val="002B7355"/>
    <w:rsid w:val="002C0132"/>
    <w:rsid w:val="002C15D8"/>
    <w:rsid w:val="002C7A47"/>
    <w:rsid w:val="002D7EAB"/>
    <w:rsid w:val="002E3478"/>
    <w:rsid w:val="002F30A6"/>
    <w:rsid w:val="0032283D"/>
    <w:rsid w:val="0032358E"/>
    <w:rsid w:val="00327C8D"/>
    <w:rsid w:val="00350C78"/>
    <w:rsid w:val="003550C8"/>
    <w:rsid w:val="00373FF7"/>
    <w:rsid w:val="00383E1E"/>
    <w:rsid w:val="003926A6"/>
    <w:rsid w:val="003B0776"/>
    <w:rsid w:val="003B2B6C"/>
    <w:rsid w:val="003C39DC"/>
    <w:rsid w:val="003C3D4F"/>
    <w:rsid w:val="003F06EA"/>
    <w:rsid w:val="003F116A"/>
    <w:rsid w:val="003F6DCA"/>
    <w:rsid w:val="004064EF"/>
    <w:rsid w:val="00421DC4"/>
    <w:rsid w:val="00423633"/>
    <w:rsid w:val="0042741A"/>
    <w:rsid w:val="004423B4"/>
    <w:rsid w:val="0045034C"/>
    <w:rsid w:val="004503C2"/>
    <w:rsid w:val="00455075"/>
    <w:rsid w:val="00455438"/>
    <w:rsid w:val="004618F6"/>
    <w:rsid w:val="0046345E"/>
    <w:rsid w:val="00491514"/>
    <w:rsid w:val="00493564"/>
    <w:rsid w:val="00497907"/>
    <w:rsid w:val="004C0B57"/>
    <w:rsid w:val="004C16CC"/>
    <w:rsid w:val="004D3912"/>
    <w:rsid w:val="004F087C"/>
    <w:rsid w:val="005022C9"/>
    <w:rsid w:val="005320C1"/>
    <w:rsid w:val="00543098"/>
    <w:rsid w:val="005542C8"/>
    <w:rsid w:val="00561B27"/>
    <w:rsid w:val="00562B26"/>
    <w:rsid w:val="005730AE"/>
    <w:rsid w:val="005B1545"/>
    <w:rsid w:val="005B5EE7"/>
    <w:rsid w:val="005D212B"/>
    <w:rsid w:val="005D2468"/>
    <w:rsid w:val="005F23B5"/>
    <w:rsid w:val="005F4AAB"/>
    <w:rsid w:val="00604D1B"/>
    <w:rsid w:val="00606D5D"/>
    <w:rsid w:val="0063372F"/>
    <w:rsid w:val="00655021"/>
    <w:rsid w:val="006776B2"/>
    <w:rsid w:val="00680418"/>
    <w:rsid w:val="00681BA4"/>
    <w:rsid w:val="00684402"/>
    <w:rsid w:val="006962BD"/>
    <w:rsid w:val="00697C2F"/>
    <w:rsid w:val="006B5D1C"/>
    <w:rsid w:val="006B76B9"/>
    <w:rsid w:val="006C2B13"/>
    <w:rsid w:val="006E224E"/>
    <w:rsid w:val="007015E9"/>
    <w:rsid w:val="00703B80"/>
    <w:rsid w:val="00704F4C"/>
    <w:rsid w:val="00707E8D"/>
    <w:rsid w:val="0071044D"/>
    <w:rsid w:val="007117CC"/>
    <w:rsid w:val="00713653"/>
    <w:rsid w:val="00713975"/>
    <w:rsid w:val="007140B7"/>
    <w:rsid w:val="00725AB4"/>
    <w:rsid w:val="00737DDC"/>
    <w:rsid w:val="00741532"/>
    <w:rsid w:val="00744C9E"/>
    <w:rsid w:val="00754F85"/>
    <w:rsid w:val="007647CD"/>
    <w:rsid w:val="00764AEF"/>
    <w:rsid w:val="007707B3"/>
    <w:rsid w:val="00794FC1"/>
    <w:rsid w:val="007A0425"/>
    <w:rsid w:val="007A51AD"/>
    <w:rsid w:val="007A5A55"/>
    <w:rsid w:val="007B5A0A"/>
    <w:rsid w:val="007B5CD3"/>
    <w:rsid w:val="007B5D19"/>
    <w:rsid w:val="007E1922"/>
    <w:rsid w:val="007E48FF"/>
    <w:rsid w:val="00804E78"/>
    <w:rsid w:val="00807D21"/>
    <w:rsid w:val="00820B90"/>
    <w:rsid w:val="00825A1D"/>
    <w:rsid w:val="00827257"/>
    <w:rsid w:val="00827D26"/>
    <w:rsid w:val="00830731"/>
    <w:rsid w:val="00833F7C"/>
    <w:rsid w:val="0083432E"/>
    <w:rsid w:val="0083583F"/>
    <w:rsid w:val="00862AD5"/>
    <w:rsid w:val="008677BE"/>
    <w:rsid w:val="00871896"/>
    <w:rsid w:val="00877AD6"/>
    <w:rsid w:val="00885E0C"/>
    <w:rsid w:val="0089557C"/>
    <w:rsid w:val="008B6645"/>
    <w:rsid w:val="008B6FE7"/>
    <w:rsid w:val="008C1889"/>
    <w:rsid w:val="008D1FC7"/>
    <w:rsid w:val="008E4C42"/>
    <w:rsid w:val="008E5EFF"/>
    <w:rsid w:val="008E68D0"/>
    <w:rsid w:val="008E6E03"/>
    <w:rsid w:val="008E7B78"/>
    <w:rsid w:val="008E7E61"/>
    <w:rsid w:val="008F68C8"/>
    <w:rsid w:val="009276BE"/>
    <w:rsid w:val="00940A82"/>
    <w:rsid w:val="00951F2F"/>
    <w:rsid w:val="009722CD"/>
    <w:rsid w:val="00987C8C"/>
    <w:rsid w:val="009A113C"/>
    <w:rsid w:val="009C7DF9"/>
    <w:rsid w:val="009D191B"/>
    <w:rsid w:val="009D2C12"/>
    <w:rsid w:val="009D3447"/>
    <w:rsid w:val="009D3FB9"/>
    <w:rsid w:val="009D4AAD"/>
    <w:rsid w:val="009D5F1E"/>
    <w:rsid w:val="009F2730"/>
    <w:rsid w:val="009F7C85"/>
    <w:rsid w:val="00A23C56"/>
    <w:rsid w:val="00A24E06"/>
    <w:rsid w:val="00A25A4B"/>
    <w:rsid w:val="00A4532E"/>
    <w:rsid w:val="00A50AB8"/>
    <w:rsid w:val="00A524FF"/>
    <w:rsid w:val="00A644EE"/>
    <w:rsid w:val="00A71B36"/>
    <w:rsid w:val="00A73B7A"/>
    <w:rsid w:val="00A7489F"/>
    <w:rsid w:val="00A83C77"/>
    <w:rsid w:val="00A86BFC"/>
    <w:rsid w:val="00A91672"/>
    <w:rsid w:val="00A97BC8"/>
    <w:rsid w:val="00AC3F25"/>
    <w:rsid w:val="00AE1489"/>
    <w:rsid w:val="00AE3EBC"/>
    <w:rsid w:val="00AE728C"/>
    <w:rsid w:val="00AF1BBB"/>
    <w:rsid w:val="00AF33AE"/>
    <w:rsid w:val="00B023DE"/>
    <w:rsid w:val="00B066FB"/>
    <w:rsid w:val="00B2154F"/>
    <w:rsid w:val="00B2430A"/>
    <w:rsid w:val="00B26FEB"/>
    <w:rsid w:val="00B4086F"/>
    <w:rsid w:val="00B51F45"/>
    <w:rsid w:val="00B5345D"/>
    <w:rsid w:val="00B5640D"/>
    <w:rsid w:val="00B7627A"/>
    <w:rsid w:val="00B76D77"/>
    <w:rsid w:val="00B84E45"/>
    <w:rsid w:val="00B84ED6"/>
    <w:rsid w:val="00B85E08"/>
    <w:rsid w:val="00B96E11"/>
    <w:rsid w:val="00BA4EEB"/>
    <w:rsid w:val="00BB5D5F"/>
    <w:rsid w:val="00BD05B8"/>
    <w:rsid w:val="00BD5067"/>
    <w:rsid w:val="00BF0C04"/>
    <w:rsid w:val="00BF4F99"/>
    <w:rsid w:val="00C05AFE"/>
    <w:rsid w:val="00C147AF"/>
    <w:rsid w:val="00C210E1"/>
    <w:rsid w:val="00C31AF0"/>
    <w:rsid w:val="00C3558B"/>
    <w:rsid w:val="00C43599"/>
    <w:rsid w:val="00C568B6"/>
    <w:rsid w:val="00C726E5"/>
    <w:rsid w:val="00C75FD2"/>
    <w:rsid w:val="00C93113"/>
    <w:rsid w:val="00CA1D2B"/>
    <w:rsid w:val="00CA5B46"/>
    <w:rsid w:val="00CA63E1"/>
    <w:rsid w:val="00CA6BF6"/>
    <w:rsid w:val="00CC2D41"/>
    <w:rsid w:val="00CC69ED"/>
    <w:rsid w:val="00CD1209"/>
    <w:rsid w:val="00CD1A07"/>
    <w:rsid w:val="00CD38B3"/>
    <w:rsid w:val="00CF396A"/>
    <w:rsid w:val="00D00390"/>
    <w:rsid w:val="00D17132"/>
    <w:rsid w:val="00D213DE"/>
    <w:rsid w:val="00D344C8"/>
    <w:rsid w:val="00D3638E"/>
    <w:rsid w:val="00D522D9"/>
    <w:rsid w:val="00D5718F"/>
    <w:rsid w:val="00D72BCB"/>
    <w:rsid w:val="00DA1496"/>
    <w:rsid w:val="00DA307E"/>
    <w:rsid w:val="00DA31AF"/>
    <w:rsid w:val="00DA480D"/>
    <w:rsid w:val="00DC2200"/>
    <w:rsid w:val="00DC4D1E"/>
    <w:rsid w:val="00DE0759"/>
    <w:rsid w:val="00DE75FD"/>
    <w:rsid w:val="00E05268"/>
    <w:rsid w:val="00E115CA"/>
    <w:rsid w:val="00E120DD"/>
    <w:rsid w:val="00E12240"/>
    <w:rsid w:val="00E1414D"/>
    <w:rsid w:val="00E1701C"/>
    <w:rsid w:val="00E25579"/>
    <w:rsid w:val="00E33102"/>
    <w:rsid w:val="00E55E39"/>
    <w:rsid w:val="00E64D8B"/>
    <w:rsid w:val="00E666B2"/>
    <w:rsid w:val="00E66A6F"/>
    <w:rsid w:val="00E93A61"/>
    <w:rsid w:val="00EA370F"/>
    <w:rsid w:val="00ED1784"/>
    <w:rsid w:val="00EE285F"/>
    <w:rsid w:val="00EF2353"/>
    <w:rsid w:val="00F03503"/>
    <w:rsid w:val="00F03728"/>
    <w:rsid w:val="00F046D2"/>
    <w:rsid w:val="00F22556"/>
    <w:rsid w:val="00F31C5A"/>
    <w:rsid w:val="00F35B91"/>
    <w:rsid w:val="00F40A23"/>
    <w:rsid w:val="00F41DC3"/>
    <w:rsid w:val="00F43211"/>
    <w:rsid w:val="00F539D9"/>
    <w:rsid w:val="00F5754E"/>
    <w:rsid w:val="00F635C8"/>
    <w:rsid w:val="00F662E1"/>
    <w:rsid w:val="00F7211F"/>
    <w:rsid w:val="00F75174"/>
    <w:rsid w:val="00F7529D"/>
    <w:rsid w:val="00F84BB1"/>
    <w:rsid w:val="00F937A0"/>
    <w:rsid w:val="00FA4776"/>
    <w:rsid w:val="00FA6FD4"/>
    <w:rsid w:val="00FB1B52"/>
    <w:rsid w:val="00FE28BE"/>
    <w:rsid w:val="00FE56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C08747"/>
  <w15:chartTrackingRefBased/>
  <w15:docId w15:val="{8D25D7E5-6E94-5449-AF14-06210972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257"/>
    <w:pPr>
      <w:spacing w:after="0" w:line="240" w:lineRule="auto"/>
    </w:pPr>
    <w:rPr>
      <w:rFonts w:ascii="Times New Roman" w:eastAsia="Times New Roman" w:hAnsi="Times New Roman" w:cs="Times New Roman"/>
      <w:kern w:val="0"/>
      <w:lang w:eastAsia="fr-FR"/>
      <w14:ligatures w14:val="none"/>
    </w:rPr>
  </w:style>
  <w:style w:type="paragraph" w:styleId="Heading1">
    <w:name w:val="heading 1"/>
    <w:basedOn w:val="Normal"/>
    <w:next w:val="Normal"/>
    <w:link w:val="Heading1Char"/>
    <w:uiPriority w:val="9"/>
    <w:qFormat/>
    <w:rsid w:val="00B84E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84E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E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E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E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E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E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E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E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E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84E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E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E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E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E45"/>
    <w:rPr>
      <w:rFonts w:eastAsiaTheme="majorEastAsia" w:cstheme="majorBidi"/>
      <w:color w:val="272727" w:themeColor="text1" w:themeTint="D8"/>
    </w:rPr>
  </w:style>
  <w:style w:type="paragraph" w:styleId="Title">
    <w:name w:val="Title"/>
    <w:basedOn w:val="Normal"/>
    <w:next w:val="Normal"/>
    <w:link w:val="TitleChar"/>
    <w:uiPriority w:val="10"/>
    <w:qFormat/>
    <w:rsid w:val="00B84E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E45"/>
    <w:pPr>
      <w:spacing w:before="160"/>
      <w:jc w:val="center"/>
    </w:pPr>
    <w:rPr>
      <w:i/>
      <w:iCs/>
      <w:color w:val="404040" w:themeColor="text1" w:themeTint="BF"/>
    </w:rPr>
  </w:style>
  <w:style w:type="character" w:customStyle="1" w:styleId="QuoteChar">
    <w:name w:val="Quote Char"/>
    <w:basedOn w:val="DefaultParagraphFont"/>
    <w:link w:val="Quote"/>
    <w:uiPriority w:val="29"/>
    <w:rsid w:val="00B84E45"/>
    <w:rPr>
      <w:i/>
      <w:iCs/>
      <w:color w:val="404040" w:themeColor="text1" w:themeTint="BF"/>
    </w:rPr>
  </w:style>
  <w:style w:type="paragraph" w:styleId="ListParagraph">
    <w:name w:val="List Paragraph"/>
    <w:basedOn w:val="Normal"/>
    <w:uiPriority w:val="34"/>
    <w:qFormat/>
    <w:rsid w:val="00B84E45"/>
    <w:pPr>
      <w:ind w:left="720"/>
      <w:contextualSpacing/>
    </w:pPr>
  </w:style>
  <w:style w:type="character" w:styleId="IntenseEmphasis">
    <w:name w:val="Intense Emphasis"/>
    <w:basedOn w:val="DefaultParagraphFont"/>
    <w:uiPriority w:val="21"/>
    <w:qFormat/>
    <w:rsid w:val="00B84E45"/>
    <w:rPr>
      <w:i/>
      <w:iCs/>
      <w:color w:val="2F5496" w:themeColor="accent1" w:themeShade="BF"/>
    </w:rPr>
  </w:style>
  <w:style w:type="paragraph" w:styleId="IntenseQuote">
    <w:name w:val="Intense Quote"/>
    <w:basedOn w:val="Normal"/>
    <w:next w:val="Normal"/>
    <w:link w:val="IntenseQuoteChar"/>
    <w:uiPriority w:val="30"/>
    <w:qFormat/>
    <w:rsid w:val="00B84E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E45"/>
    <w:rPr>
      <w:i/>
      <w:iCs/>
      <w:color w:val="2F5496" w:themeColor="accent1" w:themeShade="BF"/>
    </w:rPr>
  </w:style>
  <w:style w:type="character" w:styleId="IntenseReference">
    <w:name w:val="Intense Reference"/>
    <w:basedOn w:val="DefaultParagraphFont"/>
    <w:uiPriority w:val="32"/>
    <w:qFormat/>
    <w:rsid w:val="00B84E45"/>
    <w:rPr>
      <w:b/>
      <w:bCs/>
      <w:smallCaps/>
      <w:color w:val="2F5496" w:themeColor="accent1" w:themeShade="BF"/>
      <w:spacing w:val="5"/>
    </w:rPr>
  </w:style>
  <w:style w:type="character" w:styleId="Strong">
    <w:name w:val="Strong"/>
    <w:basedOn w:val="DefaultParagraphFont"/>
    <w:uiPriority w:val="22"/>
    <w:qFormat/>
    <w:rsid w:val="00B84E45"/>
    <w:rPr>
      <w:b/>
      <w:bCs/>
    </w:rPr>
  </w:style>
  <w:style w:type="character" w:customStyle="1" w:styleId="apple-converted-space">
    <w:name w:val="apple-converted-space"/>
    <w:basedOn w:val="DefaultParagraphFont"/>
    <w:rsid w:val="00B84E45"/>
  </w:style>
  <w:style w:type="character" w:styleId="Hyperlink">
    <w:name w:val="Hyperlink"/>
    <w:uiPriority w:val="99"/>
    <w:unhideWhenUsed/>
    <w:rsid w:val="001520A6"/>
    <w:rPr>
      <w:color w:val="0000FF"/>
      <w:u w:val="single"/>
    </w:rPr>
  </w:style>
  <w:style w:type="character" w:customStyle="1" w:styleId="ts-alignment-element">
    <w:name w:val="ts-alignment-element"/>
    <w:basedOn w:val="DefaultParagraphFont"/>
    <w:rsid w:val="009276BE"/>
  </w:style>
  <w:style w:type="paragraph" w:styleId="NormalWeb">
    <w:name w:val="Normal (Web)"/>
    <w:basedOn w:val="Normal"/>
    <w:uiPriority w:val="99"/>
    <w:unhideWhenUsed/>
    <w:rsid w:val="002146E3"/>
    <w:pPr>
      <w:spacing w:before="100" w:beforeAutospacing="1" w:after="100" w:afterAutospacing="1"/>
    </w:pPr>
  </w:style>
  <w:style w:type="character" w:styleId="Emphasis">
    <w:name w:val="Emphasis"/>
    <w:basedOn w:val="DefaultParagraphFont"/>
    <w:uiPriority w:val="20"/>
    <w:qFormat/>
    <w:rsid w:val="002146E3"/>
    <w:rPr>
      <w:i/>
      <w:iCs/>
    </w:rPr>
  </w:style>
  <w:style w:type="table" w:styleId="TableGrid">
    <w:name w:val="Table Grid"/>
    <w:basedOn w:val="TableNormal"/>
    <w:uiPriority w:val="59"/>
    <w:rsid w:val="00C75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99"/>
    <w:rsid w:val="002B3A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Bullet">
    <w:name w:val="List Bullet"/>
    <w:basedOn w:val="Normal"/>
    <w:uiPriority w:val="99"/>
    <w:unhideWhenUsed/>
    <w:rsid w:val="00B7627A"/>
    <w:pPr>
      <w:numPr>
        <w:numId w:val="24"/>
      </w:numPr>
      <w:spacing w:after="200" w:line="276" w:lineRule="auto"/>
      <w:contextualSpacing/>
    </w:pPr>
    <w:rPr>
      <w:rFonts w:asciiTheme="minorHAnsi" w:eastAsiaTheme="minorEastAsia" w:hAnsiTheme="minorHAnsi" w:cstheme="minorBidi"/>
      <w:sz w:val="22"/>
      <w:szCs w:val="22"/>
      <w:lang w:val="en-US" w:eastAsia="en-US"/>
    </w:rPr>
  </w:style>
  <w:style w:type="character" w:styleId="CommentReference">
    <w:name w:val="annotation reference"/>
    <w:basedOn w:val="DefaultParagraphFont"/>
    <w:uiPriority w:val="99"/>
    <w:semiHidden/>
    <w:unhideWhenUsed/>
    <w:rsid w:val="007707B3"/>
    <w:rPr>
      <w:sz w:val="16"/>
      <w:szCs w:val="16"/>
    </w:rPr>
  </w:style>
  <w:style w:type="paragraph" w:styleId="CommentText">
    <w:name w:val="annotation text"/>
    <w:basedOn w:val="Normal"/>
    <w:link w:val="CommentTextChar"/>
    <w:uiPriority w:val="99"/>
    <w:semiHidden/>
    <w:unhideWhenUsed/>
    <w:rsid w:val="007707B3"/>
    <w:rPr>
      <w:sz w:val="20"/>
      <w:szCs w:val="20"/>
    </w:rPr>
  </w:style>
  <w:style w:type="character" w:customStyle="1" w:styleId="CommentTextChar">
    <w:name w:val="Comment Text Char"/>
    <w:basedOn w:val="DefaultParagraphFont"/>
    <w:link w:val="CommentText"/>
    <w:uiPriority w:val="99"/>
    <w:semiHidden/>
    <w:rsid w:val="007707B3"/>
    <w:rPr>
      <w:rFonts w:ascii="Times New Roman" w:eastAsia="Times New Roman" w:hAnsi="Times New Roman" w:cs="Times New Roman"/>
      <w:kern w:val="0"/>
      <w:sz w:val="20"/>
      <w:szCs w:val="20"/>
      <w:lang w:eastAsia="fr-FR"/>
      <w14:ligatures w14:val="none"/>
    </w:rPr>
  </w:style>
  <w:style w:type="character" w:customStyle="1" w:styleId="UnresolvedMention1">
    <w:name w:val="Unresolved Mention1"/>
    <w:basedOn w:val="DefaultParagraphFont"/>
    <w:uiPriority w:val="99"/>
    <w:semiHidden/>
    <w:unhideWhenUsed/>
    <w:rsid w:val="00C31AF0"/>
    <w:rPr>
      <w:color w:val="605E5C"/>
      <w:shd w:val="clear" w:color="auto" w:fill="E1DFDD"/>
    </w:rPr>
  </w:style>
  <w:style w:type="paragraph" w:styleId="Header">
    <w:name w:val="header"/>
    <w:basedOn w:val="Normal"/>
    <w:link w:val="HeaderChar"/>
    <w:uiPriority w:val="99"/>
    <w:unhideWhenUsed/>
    <w:rsid w:val="00CF396A"/>
    <w:pPr>
      <w:tabs>
        <w:tab w:val="center" w:pos="4536"/>
        <w:tab w:val="right" w:pos="9072"/>
      </w:tabs>
    </w:pPr>
  </w:style>
  <w:style w:type="character" w:customStyle="1" w:styleId="HeaderChar">
    <w:name w:val="Header Char"/>
    <w:basedOn w:val="DefaultParagraphFont"/>
    <w:link w:val="Header"/>
    <w:uiPriority w:val="99"/>
    <w:rsid w:val="00CF396A"/>
    <w:rPr>
      <w:rFonts w:ascii="Times New Roman" w:eastAsia="Times New Roman" w:hAnsi="Times New Roman" w:cs="Times New Roman"/>
      <w:kern w:val="0"/>
      <w:lang w:eastAsia="fr-FR"/>
      <w14:ligatures w14:val="none"/>
    </w:rPr>
  </w:style>
  <w:style w:type="paragraph" w:styleId="Footer">
    <w:name w:val="footer"/>
    <w:basedOn w:val="Normal"/>
    <w:link w:val="FooterChar"/>
    <w:uiPriority w:val="99"/>
    <w:unhideWhenUsed/>
    <w:rsid w:val="00CF396A"/>
    <w:pPr>
      <w:tabs>
        <w:tab w:val="center" w:pos="4536"/>
        <w:tab w:val="right" w:pos="9072"/>
      </w:tabs>
    </w:pPr>
  </w:style>
  <w:style w:type="character" w:customStyle="1" w:styleId="FooterChar">
    <w:name w:val="Footer Char"/>
    <w:basedOn w:val="DefaultParagraphFont"/>
    <w:link w:val="Footer"/>
    <w:uiPriority w:val="99"/>
    <w:rsid w:val="00CF396A"/>
    <w:rPr>
      <w:rFonts w:ascii="Times New Roman" w:eastAsia="Times New Roman" w:hAnsi="Times New Roman" w:cs="Times New Roman"/>
      <w:kern w:val="0"/>
      <w:lang w:eastAsia="fr-FR"/>
      <w14:ligatures w14:val="none"/>
    </w:rPr>
  </w:style>
  <w:style w:type="character" w:styleId="PageNumber">
    <w:name w:val="page number"/>
    <w:basedOn w:val="DefaultParagraphFont"/>
    <w:uiPriority w:val="99"/>
    <w:semiHidden/>
    <w:unhideWhenUsed/>
    <w:rsid w:val="00CF3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3681">
      <w:bodyDiv w:val="1"/>
      <w:marLeft w:val="0"/>
      <w:marRight w:val="0"/>
      <w:marTop w:val="0"/>
      <w:marBottom w:val="0"/>
      <w:divBdr>
        <w:top w:val="none" w:sz="0" w:space="0" w:color="auto"/>
        <w:left w:val="none" w:sz="0" w:space="0" w:color="auto"/>
        <w:bottom w:val="none" w:sz="0" w:space="0" w:color="auto"/>
        <w:right w:val="none" w:sz="0" w:space="0" w:color="auto"/>
      </w:divBdr>
    </w:div>
    <w:div w:id="116222012">
      <w:bodyDiv w:val="1"/>
      <w:marLeft w:val="0"/>
      <w:marRight w:val="0"/>
      <w:marTop w:val="0"/>
      <w:marBottom w:val="0"/>
      <w:divBdr>
        <w:top w:val="none" w:sz="0" w:space="0" w:color="auto"/>
        <w:left w:val="none" w:sz="0" w:space="0" w:color="auto"/>
        <w:bottom w:val="none" w:sz="0" w:space="0" w:color="auto"/>
        <w:right w:val="none" w:sz="0" w:space="0" w:color="auto"/>
      </w:divBdr>
    </w:div>
    <w:div w:id="117532656">
      <w:bodyDiv w:val="1"/>
      <w:marLeft w:val="0"/>
      <w:marRight w:val="0"/>
      <w:marTop w:val="0"/>
      <w:marBottom w:val="0"/>
      <w:divBdr>
        <w:top w:val="none" w:sz="0" w:space="0" w:color="auto"/>
        <w:left w:val="none" w:sz="0" w:space="0" w:color="auto"/>
        <w:bottom w:val="none" w:sz="0" w:space="0" w:color="auto"/>
        <w:right w:val="none" w:sz="0" w:space="0" w:color="auto"/>
      </w:divBdr>
    </w:div>
    <w:div w:id="171183089">
      <w:bodyDiv w:val="1"/>
      <w:marLeft w:val="0"/>
      <w:marRight w:val="0"/>
      <w:marTop w:val="0"/>
      <w:marBottom w:val="0"/>
      <w:divBdr>
        <w:top w:val="none" w:sz="0" w:space="0" w:color="auto"/>
        <w:left w:val="none" w:sz="0" w:space="0" w:color="auto"/>
        <w:bottom w:val="none" w:sz="0" w:space="0" w:color="auto"/>
        <w:right w:val="none" w:sz="0" w:space="0" w:color="auto"/>
      </w:divBdr>
    </w:div>
    <w:div w:id="257711611">
      <w:bodyDiv w:val="1"/>
      <w:marLeft w:val="0"/>
      <w:marRight w:val="0"/>
      <w:marTop w:val="0"/>
      <w:marBottom w:val="0"/>
      <w:divBdr>
        <w:top w:val="none" w:sz="0" w:space="0" w:color="auto"/>
        <w:left w:val="none" w:sz="0" w:space="0" w:color="auto"/>
        <w:bottom w:val="none" w:sz="0" w:space="0" w:color="auto"/>
        <w:right w:val="none" w:sz="0" w:space="0" w:color="auto"/>
      </w:divBdr>
    </w:div>
    <w:div w:id="380254676">
      <w:bodyDiv w:val="1"/>
      <w:marLeft w:val="0"/>
      <w:marRight w:val="0"/>
      <w:marTop w:val="0"/>
      <w:marBottom w:val="0"/>
      <w:divBdr>
        <w:top w:val="none" w:sz="0" w:space="0" w:color="auto"/>
        <w:left w:val="none" w:sz="0" w:space="0" w:color="auto"/>
        <w:bottom w:val="none" w:sz="0" w:space="0" w:color="auto"/>
        <w:right w:val="none" w:sz="0" w:space="0" w:color="auto"/>
      </w:divBdr>
    </w:div>
    <w:div w:id="399405354">
      <w:bodyDiv w:val="1"/>
      <w:marLeft w:val="0"/>
      <w:marRight w:val="0"/>
      <w:marTop w:val="0"/>
      <w:marBottom w:val="0"/>
      <w:divBdr>
        <w:top w:val="none" w:sz="0" w:space="0" w:color="auto"/>
        <w:left w:val="none" w:sz="0" w:space="0" w:color="auto"/>
        <w:bottom w:val="none" w:sz="0" w:space="0" w:color="auto"/>
        <w:right w:val="none" w:sz="0" w:space="0" w:color="auto"/>
      </w:divBdr>
    </w:div>
    <w:div w:id="414979777">
      <w:bodyDiv w:val="1"/>
      <w:marLeft w:val="0"/>
      <w:marRight w:val="0"/>
      <w:marTop w:val="0"/>
      <w:marBottom w:val="0"/>
      <w:divBdr>
        <w:top w:val="none" w:sz="0" w:space="0" w:color="auto"/>
        <w:left w:val="none" w:sz="0" w:space="0" w:color="auto"/>
        <w:bottom w:val="none" w:sz="0" w:space="0" w:color="auto"/>
        <w:right w:val="none" w:sz="0" w:space="0" w:color="auto"/>
      </w:divBdr>
    </w:div>
    <w:div w:id="475991961">
      <w:bodyDiv w:val="1"/>
      <w:marLeft w:val="0"/>
      <w:marRight w:val="0"/>
      <w:marTop w:val="0"/>
      <w:marBottom w:val="0"/>
      <w:divBdr>
        <w:top w:val="none" w:sz="0" w:space="0" w:color="auto"/>
        <w:left w:val="none" w:sz="0" w:space="0" w:color="auto"/>
        <w:bottom w:val="none" w:sz="0" w:space="0" w:color="auto"/>
        <w:right w:val="none" w:sz="0" w:space="0" w:color="auto"/>
      </w:divBdr>
    </w:div>
    <w:div w:id="497500927">
      <w:bodyDiv w:val="1"/>
      <w:marLeft w:val="0"/>
      <w:marRight w:val="0"/>
      <w:marTop w:val="0"/>
      <w:marBottom w:val="0"/>
      <w:divBdr>
        <w:top w:val="none" w:sz="0" w:space="0" w:color="auto"/>
        <w:left w:val="none" w:sz="0" w:space="0" w:color="auto"/>
        <w:bottom w:val="none" w:sz="0" w:space="0" w:color="auto"/>
        <w:right w:val="none" w:sz="0" w:space="0" w:color="auto"/>
      </w:divBdr>
    </w:div>
    <w:div w:id="568266697">
      <w:bodyDiv w:val="1"/>
      <w:marLeft w:val="0"/>
      <w:marRight w:val="0"/>
      <w:marTop w:val="0"/>
      <w:marBottom w:val="0"/>
      <w:divBdr>
        <w:top w:val="none" w:sz="0" w:space="0" w:color="auto"/>
        <w:left w:val="none" w:sz="0" w:space="0" w:color="auto"/>
        <w:bottom w:val="none" w:sz="0" w:space="0" w:color="auto"/>
        <w:right w:val="none" w:sz="0" w:space="0" w:color="auto"/>
      </w:divBdr>
    </w:div>
    <w:div w:id="587038330">
      <w:bodyDiv w:val="1"/>
      <w:marLeft w:val="0"/>
      <w:marRight w:val="0"/>
      <w:marTop w:val="0"/>
      <w:marBottom w:val="0"/>
      <w:divBdr>
        <w:top w:val="none" w:sz="0" w:space="0" w:color="auto"/>
        <w:left w:val="none" w:sz="0" w:space="0" w:color="auto"/>
        <w:bottom w:val="none" w:sz="0" w:space="0" w:color="auto"/>
        <w:right w:val="none" w:sz="0" w:space="0" w:color="auto"/>
      </w:divBdr>
    </w:div>
    <w:div w:id="597300130">
      <w:bodyDiv w:val="1"/>
      <w:marLeft w:val="0"/>
      <w:marRight w:val="0"/>
      <w:marTop w:val="0"/>
      <w:marBottom w:val="0"/>
      <w:divBdr>
        <w:top w:val="none" w:sz="0" w:space="0" w:color="auto"/>
        <w:left w:val="none" w:sz="0" w:space="0" w:color="auto"/>
        <w:bottom w:val="none" w:sz="0" w:space="0" w:color="auto"/>
        <w:right w:val="none" w:sz="0" w:space="0" w:color="auto"/>
      </w:divBdr>
    </w:div>
    <w:div w:id="641078703">
      <w:bodyDiv w:val="1"/>
      <w:marLeft w:val="0"/>
      <w:marRight w:val="0"/>
      <w:marTop w:val="0"/>
      <w:marBottom w:val="0"/>
      <w:divBdr>
        <w:top w:val="none" w:sz="0" w:space="0" w:color="auto"/>
        <w:left w:val="none" w:sz="0" w:space="0" w:color="auto"/>
        <w:bottom w:val="none" w:sz="0" w:space="0" w:color="auto"/>
        <w:right w:val="none" w:sz="0" w:space="0" w:color="auto"/>
      </w:divBdr>
    </w:div>
    <w:div w:id="658459763">
      <w:bodyDiv w:val="1"/>
      <w:marLeft w:val="0"/>
      <w:marRight w:val="0"/>
      <w:marTop w:val="0"/>
      <w:marBottom w:val="0"/>
      <w:divBdr>
        <w:top w:val="none" w:sz="0" w:space="0" w:color="auto"/>
        <w:left w:val="none" w:sz="0" w:space="0" w:color="auto"/>
        <w:bottom w:val="none" w:sz="0" w:space="0" w:color="auto"/>
        <w:right w:val="none" w:sz="0" w:space="0" w:color="auto"/>
      </w:divBdr>
      <w:divsChild>
        <w:div w:id="1523857386">
          <w:marLeft w:val="0"/>
          <w:marRight w:val="0"/>
          <w:marTop w:val="0"/>
          <w:marBottom w:val="0"/>
          <w:divBdr>
            <w:top w:val="none" w:sz="0" w:space="0" w:color="auto"/>
            <w:left w:val="none" w:sz="0" w:space="0" w:color="auto"/>
            <w:bottom w:val="none" w:sz="0" w:space="0" w:color="auto"/>
            <w:right w:val="none" w:sz="0" w:space="0" w:color="auto"/>
          </w:divBdr>
          <w:divsChild>
            <w:div w:id="1027757448">
              <w:marLeft w:val="0"/>
              <w:marRight w:val="0"/>
              <w:marTop w:val="0"/>
              <w:marBottom w:val="0"/>
              <w:divBdr>
                <w:top w:val="none" w:sz="0" w:space="0" w:color="auto"/>
                <w:left w:val="none" w:sz="0" w:space="0" w:color="auto"/>
                <w:bottom w:val="none" w:sz="0" w:space="0" w:color="auto"/>
                <w:right w:val="none" w:sz="0" w:space="0" w:color="auto"/>
              </w:divBdr>
              <w:divsChild>
                <w:div w:id="2093500102">
                  <w:marLeft w:val="0"/>
                  <w:marRight w:val="0"/>
                  <w:marTop w:val="0"/>
                  <w:marBottom w:val="0"/>
                  <w:divBdr>
                    <w:top w:val="none" w:sz="0" w:space="0" w:color="auto"/>
                    <w:left w:val="none" w:sz="0" w:space="0" w:color="auto"/>
                    <w:bottom w:val="none" w:sz="0" w:space="0" w:color="auto"/>
                    <w:right w:val="none" w:sz="0" w:space="0" w:color="auto"/>
                  </w:divBdr>
                  <w:divsChild>
                    <w:div w:id="956105801">
                      <w:marLeft w:val="0"/>
                      <w:marRight w:val="0"/>
                      <w:marTop w:val="0"/>
                      <w:marBottom w:val="0"/>
                      <w:divBdr>
                        <w:top w:val="single" w:sz="6" w:space="0" w:color="CCCCCC"/>
                        <w:left w:val="single" w:sz="6" w:space="0" w:color="CCCCCC"/>
                        <w:bottom w:val="single" w:sz="6" w:space="0" w:color="CCCCCC"/>
                        <w:right w:val="single" w:sz="6" w:space="0" w:color="CCCCCC"/>
                      </w:divBdr>
                      <w:divsChild>
                        <w:div w:id="16924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91762">
      <w:bodyDiv w:val="1"/>
      <w:marLeft w:val="0"/>
      <w:marRight w:val="0"/>
      <w:marTop w:val="0"/>
      <w:marBottom w:val="0"/>
      <w:divBdr>
        <w:top w:val="none" w:sz="0" w:space="0" w:color="auto"/>
        <w:left w:val="none" w:sz="0" w:space="0" w:color="auto"/>
        <w:bottom w:val="none" w:sz="0" w:space="0" w:color="auto"/>
        <w:right w:val="none" w:sz="0" w:space="0" w:color="auto"/>
      </w:divBdr>
    </w:div>
    <w:div w:id="728458624">
      <w:bodyDiv w:val="1"/>
      <w:marLeft w:val="0"/>
      <w:marRight w:val="0"/>
      <w:marTop w:val="0"/>
      <w:marBottom w:val="0"/>
      <w:divBdr>
        <w:top w:val="none" w:sz="0" w:space="0" w:color="auto"/>
        <w:left w:val="none" w:sz="0" w:space="0" w:color="auto"/>
        <w:bottom w:val="none" w:sz="0" w:space="0" w:color="auto"/>
        <w:right w:val="none" w:sz="0" w:space="0" w:color="auto"/>
      </w:divBdr>
    </w:div>
    <w:div w:id="739136095">
      <w:bodyDiv w:val="1"/>
      <w:marLeft w:val="0"/>
      <w:marRight w:val="0"/>
      <w:marTop w:val="0"/>
      <w:marBottom w:val="0"/>
      <w:divBdr>
        <w:top w:val="none" w:sz="0" w:space="0" w:color="auto"/>
        <w:left w:val="none" w:sz="0" w:space="0" w:color="auto"/>
        <w:bottom w:val="none" w:sz="0" w:space="0" w:color="auto"/>
        <w:right w:val="none" w:sz="0" w:space="0" w:color="auto"/>
      </w:divBdr>
    </w:div>
    <w:div w:id="793642921">
      <w:bodyDiv w:val="1"/>
      <w:marLeft w:val="0"/>
      <w:marRight w:val="0"/>
      <w:marTop w:val="0"/>
      <w:marBottom w:val="0"/>
      <w:divBdr>
        <w:top w:val="none" w:sz="0" w:space="0" w:color="auto"/>
        <w:left w:val="none" w:sz="0" w:space="0" w:color="auto"/>
        <w:bottom w:val="none" w:sz="0" w:space="0" w:color="auto"/>
        <w:right w:val="none" w:sz="0" w:space="0" w:color="auto"/>
      </w:divBdr>
    </w:div>
    <w:div w:id="894583463">
      <w:bodyDiv w:val="1"/>
      <w:marLeft w:val="0"/>
      <w:marRight w:val="0"/>
      <w:marTop w:val="0"/>
      <w:marBottom w:val="0"/>
      <w:divBdr>
        <w:top w:val="none" w:sz="0" w:space="0" w:color="auto"/>
        <w:left w:val="none" w:sz="0" w:space="0" w:color="auto"/>
        <w:bottom w:val="none" w:sz="0" w:space="0" w:color="auto"/>
        <w:right w:val="none" w:sz="0" w:space="0" w:color="auto"/>
      </w:divBdr>
    </w:div>
    <w:div w:id="932476771">
      <w:bodyDiv w:val="1"/>
      <w:marLeft w:val="0"/>
      <w:marRight w:val="0"/>
      <w:marTop w:val="0"/>
      <w:marBottom w:val="0"/>
      <w:divBdr>
        <w:top w:val="none" w:sz="0" w:space="0" w:color="auto"/>
        <w:left w:val="none" w:sz="0" w:space="0" w:color="auto"/>
        <w:bottom w:val="none" w:sz="0" w:space="0" w:color="auto"/>
        <w:right w:val="none" w:sz="0" w:space="0" w:color="auto"/>
      </w:divBdr>
    </w:div>
    <w:div w:id="951402309">
      <w:bodyDiv w:val="1"/>
      <w:marLeft w:val="0"/>
      <w:marRight w:val="0"/>
      <w:marTop w:val="0"/>
      <w:marBottom w:val="0"/>
      <w:divBdr>
        <w:top w:val="none" w:sz="0" w:space="0" w:color="auto"/>
        <w:left w:val="none" w:sz="0" w:space="0" w:color="auto"/>
        <w:bottom w:val="none" w:sz="0" w:space="0" w:color="auto"/>
        <w:right w:val="none" w:sz="0" w:space="0" w:color="auto"/>
      </w:divBdr>
    </w:div>
    <w:div w:id="1057972116">
      <w:bodyDiv w:val="1"/>
      <w:marLeft w:val="0"/>
      <w:marRight w:val="0"/>
      <w:marTop w:val="0"/>
      <w:marBottom w:val="0"/>
      <w:divBdr>
        <w:top w:val="none" w:sz="0" w:space="0" w:color="auto"/>
        <w:left w:val="none" w:sz="0" w:space="0" w:color="auto"/>
        <w:bottom w:val="none" w:sz="0" w:space="0" w:color="auto"/>
        <w:right w:val="none" w:sz="0" w:space="0" w:color="auto"/>
      </w:divBdr>
    </w:div>
    <w:div w:id="1075860126">
      <w:bodyDiv w:val="1"/>
      <w:marLeft w:val="0"/>
      <w:marRight w:val="0"/>
      <w:marTop w:val="0"/>
      <w:marBottom w:val="0"/>
      <w:divBdr>
        <w:top w:val="none" w:sz="0" w:space="0" w:color="auto"/>
        <w:left w:val="none" w:sz="0" w:space="0" w:color="auto"/>
        <w:bottom w:val="none" w:sz="0" w:space="0" w:color="auto"/>
        <w:right w:val="none" w:sz="0" w:space="0" w:color="auto"/>
      </w:divBdr>
    </w:div>
    <w:div w:id="1093865124">
      <w:bodyDiv w:val="1"/>
      <w:marLeft w:val="0"/>
      <w:marRight w:val="0"/>
      <w:marTop w:val="0"/>
      <w:marBottom w:val="0"/>
      <w:divBdr>
        <w:top w:val="none" w:sz="0" w:space="0" w:color="auto"/>
        <w:left w:val="none" w:sz="0" w:space="0" w:color="auto"/>
        <w:bottom w:val="none" w:sz="0" w:space="0" w:color="auto"/>
        <w:right w:val="none" w:sz="0" w:space="0" w:color="auto"/>
      </w:divBdr>
    </w:div>
    <w:div w:id="1128087529">
      <w:bodyDiv w:val="1"/>
      <w:marLeft w:val="0"/>
      <w:marRight w:val="0"/>
      <w:marTop w:val="0"/>
      <w:marBottom w:val="0"/>
      <w:divBdr>
        <w:top w:val="none" w:sz="0" w:space="0" w:color="auto"/>
        <w:left w:val="none" w:sz="0" w:space="0" w:color="auto"/>
        <w:bottom w:val="none" w:sz="0" w:space="0" w:color="auto"/>
        <w:right w:val="none" w:sz="0" w:space="0" w:color="auto"/>
      </w:divBdr>
    </w:div>
    <w:div w:id="1433473521">
      <w:bodyDiv w:val="1"/>
      <w:marLeft w:val="0"/>
      <w:marRight w:val="0"/>
      <w:marTop w:val="0"/>
      <w:marBottom w:val="0"/>
      <w:divBdr>
        <w:top w:val="none" w:sz="0" w:space="0" w:color="auto"/>
        <w:left w:val="none" w:sz="0" w:space="0" w:color="auto"/>
        <w:bottom w:val="none" w:sz="0" w:space="0" w:color="auto"/>
        <w:right w:val="none" w:sz="0" w:space="0" w:color="auto"/>
      </w:divBdr>
    </w:div>
    <w:div w:id="1584073424">
      <w:bodyDiv w:val="1"/>
      <w:marLeft w:val="0"/>
      <w:marRight w:val="0"/>
      <w:marTop w:val="0"/>
      <w:marBottom w:val="0"/>
      <w:divBdr>
        <w:top w:val="none" w:sz="0" w:space="0" w:color="auto"/>
        <w:left w:val="none" w:sz="0" w:space="0" w:color="auto"/>
        <w:bottom w:val="none" w:sz="0" w:space="0" w:color="auto"/>
        <w:right w:val="none" w:sz="0" w:space="0" w:color="auto"/>
      </w:divBdr>
    </w:div>
    <w:div w:id="1639068679">
      <w:bodyDiv w:val="1"/>
      <w:marLeft w:val="0"/>
      <w:marRight w:val="0"/>
      <w:marTop w:val="0"/>
      <w:marBottom w:val="0"/>
      <w:divBdr>
        <w:top w:val="none" w:sz="0" w:space="0" w:color="auto"/>
        <w:left w:val="none" w:sz="0" w:space="0" w:color="auto"/>
        <w:bottom w:val="none" w:sz="0" w:space="0" w:color="auto"/>
        <w:right w:val="none" w:sz="0" w:space="0" w:color="auto"/>
      </w:divBdr>
    </w:div>
    <w:div w:id="1685596013">
      <w:bodyDiv w:val="1"/>
      <w:marLeft w:val="0"/>
      <w:marRight w:val="0"/>
      <w:marTop w:val="0"/>
      <w:marBottom w:val="0"/>
      <w:divBdr>
        <w:top w:val="none" w:sz="0" w:space="0" w:color="auto"/>
        <w:left w:val="none" w:sz="0" w:space="0" w:color="auto"/>
        <w:bottom w:val="none" w:sz="0" w:space="0" w:color="auto"/>
        <w:right w:val="none" w:sz="0" w:space="0" w:color="auto"/>
      </w:divBdr>
    </w:div>
    <w:div w:id="1726445252">
      <w:bodyDiv w:val="1"/>
      <w:marLeft w:val="0"/>
      <w:marRight w:val="0"/>
      <w:marTop w:val="0"/>
      <w:marBottom w:val="0"/>
      <w:divBdr>
        <w:top w:val="none" w:sz="0" w:space="0" w:color="auto"/>
        <w:left w:val="none" w:sz="0" w:space="0" w:color="auto"/>
        <w:bottom w:val="none" w:sz="0" w:space="0" w:color="auto"/>
        <w:right w:val="none" w:sz="0" w:space="0" w:color="auto"/>
      </w:divBdr>
    </w:div>
    <w:div w:id="1910113588">
      <w:bodyDiv w:val="1"/>
      <w:marLeft w:val="0"/>
      <w:marRight w:val="0"/>
      <w:marTop w:val="0"/>
      <w:marBottom w:val="0"/>
      <w:divBdr>
        <w:top w:val="none" w:sz="0" w:space="0" w:color="auto"/>
        <w:left w:val="none" w:sz="0" w:space="0" w:color="auto"/>
        <w:bottom w:val="none" w:sz="0" w:space="0" w:color="auto"/>
        <w:right w:val="none" w:sz="0" w:space="0" w:color="auto"/>
      </w:divBdr>
    </w:div>
    <w:div w:id="1938442580">
      <w:bodyDiv w:val="1"/>
      <w:marLeft w:val="0"/>
      <w:marRight w:val="0"/>
      <w:marTop w:val="0"/>
      <w:marBottom w:val="0"/>
      <w:divBdr>
        <w:top w:val="none" w:sz="0" w:space="0" w:color="auto"/>
        <w:left w:val="none" w:sz="0" w:space="0" w:color="auto"/>
        <w:bottom w:val="none" w:sz="0" w:space="0" w:color="auto"/>
        <w:right w:val="none" w:sz="0" w:space="0" w:color="auto"/>
      </w:divBdr>
    </w:div>
    <w:div w:id="1994723209">
      <w:bodyDiv w:val="1"/>
      <w:marLeft w:val="0"/>
      <w:marRight w:val="0"/>
      <w:marTop w:val="0"/>
      <w:marBottom w:val="0"/>
      <w:divBdr>
        <w:top w:val="none" w:sz="0" w:space="0" w:color="auto"/>
        <w:left w:val="none" w:sz="0" w:space="0" w:color="auto"/>
        <w:bottom w:val="none" w:sz="0" w:space="0" w:color="auto"/>
        <w:right w:val="none" w:sz="0" w:space="0" w:color="auto"/>
      </w:divBdr>
    </w:div>
    <w:div w:id="20237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759</TotalTime>
  <Pages>13</Pages>
  <Words>4703</Words>
  <Characters>26811</Characters>
  <Application>Microsoft Office Word</Application>
  <DocSecurity>0</DocSecurity>
  <Lines>223</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513</cp:revision>
  <dcterms:created xsi:type="dcterms:W3CDTF">2025-02-07T13:08:00Z</dcterms:created>
  <dcterms:modified xsi:type="dcterms:W3CDTF">2025-08-02T13:11:00Z</dcterms:modified>
</cp:coreProperties>
</file>