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3375A" w14:textId="77777777" w:rsidR="00A258C3" w:rsidRPr="00B710B0" w:rsidRDefault="00D822D6" w:rsidP="00D822D6">
      <w:pPr>
        <w:pStyle w:val="Title"/>
        <w:spacing w:after="0"/>
        <w:rPr>
          <w:rFonts w:ascii="Arial" w:hAnsi="Arial" w:cs="Arial"/>
          <w:bCs/>
          <w:lang w:val="en"/>
        </w:rPr>
      </w:pPr>
      <w:r w:rsidRPr="00B710B0">
        <w:rPr>
          <w:rFonts w:ascii="Arial" w:hAnsi="Arial" w:cs="Arial"/>
          <w:bCs/>
          <w:lang w:val="en"/>
        </w:rPr>
        <w:t xml:space="preserve">Risk Factors and Antimicrobial Sensitivity Profiles of Bacteria Isolated from Gut of Chicken to Common Antibiotics and Chitosan-Encapsulated Neem Oil </w:t>
      </w:r>
    </w:p>
    <w:p w14:paraId="4FBF7101" w14:textId="77777777" w:rsidR="00D822D6" w:rsidRPr="00B710B0" w:rsidRDefault="00D822D6" w:rsidP="00D822D6">
      <w:pPr>
        <w:pStyle w:val="Title"/>
        <w:spacing w:after="0"/>
        <w:rPr>
          <w:rFonts w:ascii="Arial" w:hAnsi="Arial" w:cs="Arial"/>
          <w:bCs/>
          <w:lang w:val="en"/>
        </w:rPr>
      </w:pPr>
    </w:p>
    <w:p w14:paraId="62D83564" w14:textId="77777777" w:rsidR="00B01FCD" w:rsidRPr="00B710B0" w:rsidRDefault="00D9141F" w:rsidP="00441B6F">
      <w:pPr>
        <w:pStyle w:val="Copyright"/>
        <w:spacing w:after="0" w:line="240" w:lineRule="auto"/>
        <w:jc w:val="both"/>
        <w:rPr>
          <w:rFonts w:ascii="Arial" w:hAnsi="Arial" w:cs="Arial"/>
        </w:rPr>
        <w:sectPr w:rsidR="00B01FCD" w:rsidRPr="00B710B0" w:rsidSect="00C673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710B0">
        <w:rPr>
          <w:rFonts w:ascii="Arial" w:hAnsi="Arial" w:cs="Arial"/>
          <w:noProof/>
        </w:rPr>
        <mc:AlternateContent>
          <mc:Choice Requires="wps">
            <w:drawing>
              <wp:inline distT="0" distB="0" distL="0" distR="0" wp14:anchorId="7BA3F066" wp14:editId="5B4A7848">
                <wp:extent cx="5303520" cy="635"/>
                <wp:effectExtent l="13335" t="10160" r="17145"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1990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B710B0">
        <w:rPr>
          <w:rFonts w:ascii="Arial" w:hAnsi="Arial" w:cs="Arial"/>
        </w:rPr>
        <w:t>.</w:t>
      </w:r>
    </w:p>
    <w:p w14:paraId="1B853B6F" w14:textId="77777777" w:rsidR="00B01FCD" w:rsidRPr="00B710B0" w:rsidRDefault="00B01FCD" w:rsidP="00441B6F">
      <w:pPr>
        <w:pStyle w:val="AbstHead"/>
        <w:spacing w:after="0"/>
        <w:jc w:val="both"/>
        <w:rPr>
          <w:rFonts w:ascii="Arial" w:hAnsi="Arial" w:cs="Arial"/>
        </w:rPr>
      </w:pPr>
      <w:r w:rsidRPr="00B710B0">
        <w:rPr>
          <w:rFonts w:ascii="Arial" w:hAnsi="Arial" w:cs="Arial"/>
        </w:rPr>
        <w:t>ABSTRACT</w:t>
      </w:r>
    </w:p>
    <w:p w14:paraId="6145DFB3" w14:textId="77777777" w:rsidR="00790ADA" w:rsidRPr="00B710B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710B0" w14:paraId="3298E994" w14:textId="77777777" w:rsidTr="001E44FE">
        <w:tc>
          <w:tcPr>
            <w:tcW w:w="9576" w:type="dxa"/>
            <w:shd w:val="clear" w:color="auto" w:fill="F2F2F2"/>
          </w:tcPr>
          <w:p w14:paraId="50A3AFB7" w14:textId="37189D0A" w:rsidR="00505F06" w:rsidRPr="00B710B0" w:rsidRDefault="00D822D6" w:rsidP="00441B6F">
            <w:pPr>
              <w:pStyle w:val="Body"/>
              <w:spacing w:after="0"/>
              <w:rPr>
                <w:rFonts w:ascii="Arial" w:eastAsia="Calibri" w:hAnsi="Arial" w:cs="Arial"/>
                <w:iCs/>
                <w:szCs w:val="22"/>
                <w:lang w:val="en"/>
              </w:rPr>
            </w:pPr>
            <w:r w:rsidRPr="00B710B0">
              <w:rPr>
                <w:rFonts w:ascii="Arial" w:eastAsia="Calibri" w:hAnsi="Arial" w:cs="Arial"/>
                <w:szCs w:val="22"/>
                <w:lang w:val="en"/>
              </w:rPr>
              <w:t>Globally, the indiscriminate use of antibiotics has increased antimicrobial resistance and reduced stability of commensal microbiota in chicken gut. This has called for surveillance of the burden of AMR in chicken and development of alternative plant-based products such as neem (</w:t>
            </w:r>
            <w:r w:rsidRPr="00B710B0">
              <w:rPr>
                <w:rFonts w:ascii="Arial" w:eastAsia="Calibri" w:hAnsi="Arial" w:cs="Arial"/>
                <w:i/>
                <w:iCs/>
                <w:szCs w:val="22"/>
                <w:lang w:val="en"/>
              </w:rPr>
              <w:t>Azadirachta indica</w:t>
            </w:r>
            <w:r w:rsidRPr="00B710B0">
              <w:rPr>
                <w:rFonts w:ascii="Arial" w:eastAsia="Calibri" w:hAnsi="Arial" w:cs="Arial"/>
                <w:szCs w:val="22"/>
                <w:lang w:val="en"/>
              </w:rPr>
              <w:t xml:space="preserve">) oil as antimicrobial applications. This study investigated the prevalence, risk factors and antimicrobial sensitivity profiles of bacteria isolated from gut of chicken against common antibiotics and chitosan-encapsulated neem oil (CENO). The cross-sectional study was conducted in Thika East Sub-County, where cloacal swabs of 200 mature chickens from 40 farms were sampled. Risk factors associated with prevalence of bacteria were assessed using structured questionnaires. The cloacal swabs were subjected to bacterial culture, isolation and identification while antimicrobial sensitivity testing was conducted using Kirby </w:t>
            </w:r>
            <w:r w:rsidRPr="00B710B0">
              <w:rPr>
                <w:rFonts w:ascii="Arial" w:eastAsia="Calibri" w:hAnsi="Arial" w:cs="Arial"/>
                <w:szCs w:val="22"/>
              </w:rPr>
              <w:t>Bauer</w:t>
            </w:r>
            <w:r w:rsidRPr="00B710B0">
              <w:rPr>
                <w:rFonts w:ascii="Arial" w:eastAsia="Calibri" w:hAnsi="Arial" w:cs="Arial"/>
                <w:szCs w:val="22"/>
                <w:lang w:val="en"/>
              </w:rPr>
              <w:t xml:space="preserve"> disc diffusion technique. The overall prevalence of bacterial infections in the chicken was 88.5% (177/200). </w:t>
            </w:r>
            <w:r w:rsidRPr="00B710B0">
              <w:rPr>
                <w:rFonts w:ascii="Arial" w:eastAsia="Calibri" w:hAnsi="Arial" w:cs="Arial"/>
                <w:bCs/>
                <w:szCs w:val="22"/>
                <w:lang w:val="en"/>
              </w:rPr>
              <w:t>Among the bacterial isolates,</w:t>
            </w:r>
            <w:r w:rsidRPr="00B710B0">
              <w:rPr>
                <w:rFonts w:ascii="Arial" w:eastAsia="Calibri" w:hAnsi="Arial" w:cs="Arial"/>
                <w:b/>
                <w:bCs/>
                <w:szCs w:val="22"/>
                <w:lang w:val="en"/>
              </w:rPr>
              <w:t xml:space="preserve"> </w:t>
            </w:r>
            <w:r w:rsidRPr="00B710B0">
              <w:rPr>
                <w:rFonts w:ascii="Arial" w:eastAsia="Calibri" w:hAnsi="Arial" w:cs="Arial"/>
                <w:i/>
                <w:iCs/>
                <w:szCs w:val="22"/>
                <w:lang w:val="en"/>
              </w:rPr>
              <w:t xml:space="preserve">Salmonella </w:t>
            </w:r>
            <w:r w:rsidRPr="00B710B0">
              <w:rPr>
                <w:rFonts w:ascii="Arial" w:eastAsia="Calibri" w:hAnsi="Arial" w:cs="Arial"/>
                <w:iCs/>
                <w:szCs w:val="22"/>
                <w:lang w:val="en"/>
              </w:rPr>
              <w:t>spp</w:t>
            </w:r>
            <w:r w:rsidRPr="00B710B0">
              <w:rPr>
                <w:rFonts w:ascii="Arial" w:eastAsia="Calibri" w:hAnsi="Arial" w:cs="Arial"/>
                <w:i/>
                <w:iCs/>
                <w:szCs w:val="22"/>
                <w:lang w:val="en"/>
              </w:rPr>
              <w:t xml:space="preserve">. </w:t>
            </w:r>
            <w:r w:rsidRPr="00B710B0">
              <w:rPr>
                <w:rFonts w:ascii="Arial" w:eastAsia="Calibri" w:hAnsi="Arial" w:cs="Arial"/>
                <w:szCs w:val="22"/>
                <w:lang w:val="en"/>
              </w:rPr>
              <w:t>was the most preva</w:t>
            </w:r>
            <w:r w:rsidR="001D560E" w:rsidRPr="00B710B0">
              <w:rPr>
                <w:rFonts w:ascii="Arial" w:eastAsia="Calibri" w:hAnsi="Arial" w:cs="Arial"/>
                <w:szCs w:val="22"/>
                <w:lang w:val="en"/>
              </w:rPr>
              <w:t xml:space="preserve">lent </w:t>
            </w:r>
            <w:r w:rsidRPr="00B710B0">
              <w:rPr>
                <w:rFonts w:ascii="Arial" w:eastAsia="Calibri" w:hAnsi="Arial" w:cs="Arial"/>
                <w:szCs w:val="22"/>
                <w:lang w:val="en"/>
              </w:rPr>
              <w:t xml:space="preserve">(66.5%) bacteria, followed by </w:t>
            </w:r>
            <w:r w:rsidRPr="00B710B0">
              <w:rPr>
                <w:rFonts w:ascii="Arial" w:eastAsia="Calibri" w:hAnsi="Arial" w:cs="Arial"/>
                <w:i/>
                <w:iCs/>
                <w:szCs w:val="22"/>
                <w:lang w:val="en"/>
              </w:rPr>
              <w:t xml:space="preserve">Escherichia coli </w:t>
            </w:r>
            <w:r w:rsidRPr="00B710B0">
              <w:rPr>
                <w:rFonts w:ascii="Arial" w:eastAsia="Calibri" w:hAnsi="Arial" w:cs="Arial"/>
                <w:szCs w:val="22"/>
                <w:lang w:val="en"/>
              </w:rPr>
              <w:t>(61.0%),</w:t>
            </w:r>
            <w:r w:rsidRPr="00B710B0">
              <w:rPr>
                <w:rFonts w:ascii="Arial" w:eastAsia="Calibri" w:hAnsi="Arial" w:cs="Arial"/>
                <w:i/>
                <w:iCs/>
                <w:szCs w:val="22"/>
                <w:lang w:val="en"/>
              </w:rPr>
              <w:t xml:space="preserve"> Staphylococcus aureus </w:t>
            </w:r>
            <w:r w:rsidRPr="00B710B0">
              <w:rPr>
                <w:rFonts w:ascii="Arial" w:eastAsia="Calibri" w:hAnsi="Arial" w:cs="Arial"/>
                <w:szCs w:val="22"/>
                <w:lang w:val="en"/>
              </w:rPr>
              <w:t xml:space="preserve">(24.0%) and </w:t>
            </w:r>
            <w:r w:rsidRPr="00B710B0">
              <w:rPr>
                <w:rFonts w:ascii="Arial" w:eastAsia="Calibri" w:hAnsi="Arial" w:cs="Arial"/>
                <w:i/>
                <w:szCs w:val="22"/>
                <w:lang w:val="en"/>
              </w:rPr>
              <w:t>Enterococcus</w:t>
            </w:r>
            <w:r w:rsidRPr="00B710B0">
              <w:rPr>
                <w:rFonts w:ascii="Arial" w:eastAsia="Calibri" w:hAnsi="Arial" w:cs="Arial"/>
                <w:szCs w:val="22"/>
                <w:lang w:val="en"/>
              </w:rPr>
              <w:t xml:space="preserve"> spp. (14.5%). Chicken from farms which </w:t>
            </w:r>
            <w:r w:rsidRPr="00B710B0">
              <w:rPr>
                <w:rFonts w:ascii="Arial" w:eastAsia="Calibri" w:hAnsi="Arial" w:cs="Arial"/>
                <w:szCs w:val="22"/>
              </w:rPr>
              <w:t xml:space="preserve">lacked foot bath had </w:t>
            </w:r>
            <w:r w:rsidR="007205F6" w:rsidRPr="00B710B0">
              <w:rPr>
                <w:rFonts w:ascii="Arial" w:eastAsia="Calibri" w:hAnsi="Arial" w:cs="Arial"/>
                <w:szCs w:val="22"/>
              </w:rPr>
              <w:t>significantly (</w:t>
            </w:r>
            <w:r w:rsidR="007205F6" w:rsidRPr="00B710B0">
              <w:rPr>
                <w:rFonts w:ascii="Arial" w:eastAsia="Calibri" w:hAnsi="Arial" w:cs="Arial"/>
                <w:i/>
                <w:szCs w:val="22"/>
              </w:rPr>
              <w:t>P</w:t>
            </w:r>
            <w:r w:rsidR="002A2816" w:rsidRPr="00B710B0">
              <w:rPr>
                <w:rFonts w:ascii="Arial" w:eastAsia="Calibri" w:hAnsi="Arial" w:cs="Arial"/>
                <w:szCs w:val="22"/>
              </w:rPr>
              <w:t>&lt;</w:t>
            </w:r>
            <w:r w:rsidR="003A0378" w:rsidRPr="00B710B0">
              <w:rPr>
                <w:rFonts w:ascii="Arial" w:eastAsia="Calibri" w:hAnsi="Arial" w:cs="Arial"/>
                <w:szCs w:val="22"/>
              </w:rPr>
              <w:t>0</w:t>
            </w:r>
            <w:r w:rsidRPr="00B710B0">
              <w:rPr>
                <w:rFonts w:ascii="Arial" w:eastAsia="Calibri" w:hAnsi="Arial" w:cs="Arial"/>
                <w:szCs w:val="22"/>
              </w:rPr>
              <w:t xml:space="preserve">.05) higher prevalence (92.0%) of bacteria compared to those from farms with a foot bath (87.3%). Additionally, chickens from farms that did not practice vaccinations had </w:t>
            </w:r>
            <w:r w:rsidR="007205F6" w:rsidRPr="00B710B0">
              <w:rPr>
                <w:rFonts w:ascii="Arial" w:eastAsia="Calibri" w:hAnsi="Arial" w:cs="Arial"/>
                <w:szCs w:val="22"/>
              </w:rPr>
              <w:t>significantly (</w:t>
            </w:r>
            <w:r w:rsidR="007205F6" w:rsidRPr="00B710B0">
              <w:rPr>
                <w:rFonts w:ascii="Arial" w:eastAsia="Calibri" w:hAnsi="Arial" w:cs="Arial"/>
                <w:i/>
                <w:szCs w:val="22"/>
              </w:rPr>
              <w:t>P</w:t>
            </w:r>
            <w:r w:rsidR="002A2816" w:rsidRPr="00B710B0">
              <w:rPr>
                <w:rFonts w:ascii="Arial" w:eastAsia="Calibri" w:hAnsi="Arial" w:cs="Arial"/>
                <w:szCs w:val="22"/>
              </w:rPr>
              <w:t>&lt;</w:t>
            </w:r>
            <w:r w:rsidR="003A0378" w:rsidRPr="00B710B0">
              <w:rPr>
                <w:rFonts w:ascii="Arial" w:eastAsia="Calibri" w:hAnsi="Arial" w:cs="Arial"/>
                <w:szCs w:val="22"/>
              </w:rPr>
              <w:t>0</w:t>
            </w:r>
            <w:r w:rsidR="007205F6" w:rsidRPr="00B710B0">
              <w:rPr>
                <w:rFonts w:ascii="Arial" w:eastAsia="Calibri" w:hAnsi="Arial" w:cs="Arial"/>
                <w:szCs w:val="22"/>
              </w:rPr>
              <w:t>.001</w:t>
            </w:r>
            <w:r w:rsidRPr="00B710B0">
              <w:rPr>
                <w:rFonts w:ascii="Arial" w:eastAsia="Calibri" w:hAnsi="Arial" w:cs="Arial"/>
                <w:szCs w:val="22"/>
              </w:rPr>
              <w:t>) higher prevalence of gut bacteria (90.8%) compared to those which were vaccinated (87.4%)</w:t>
            </w:r>
            <w:r w:rsidRPr="00B710B0">
              <w:rPr>
                <w:rFonts w:ascii="Arial" w:eastAsia="Calibri" w:hAnsi="Arial" w:cs="Arial"/>
                <w:szCs w:val="22"/>
                <w:lang w:val="en"/>
              </w:rPr>
              <w:t xml:space="preserve">. </w:t>
            </w:r>
            <w:r w:rsidRPr="00B710B0">
              <w:rPr>
                <w:rFonts w:ascii="Arial" w:eastAsia="Calibri" w:hAnsi="Arial" w:cs="Arial"/>
                <w:i/>
                <w:iCs/>
                <w:szCs w:val="22"/>
                <w:lang w:val="en"/>
              </w:rPr>
              <w:t>E</w:t>
            </w:r>
            <w:r w:rsidRPr="00B710B0">
              <w:rPr>
                <w:rFonts w:ascii="Arial" w:eastAsia="Calibri" w:hAnsi="Arial" w:cs="Arial"/>
                <w:i/>
                <w:szCs w:val="22"/>
                <w:lang w:val="en"/>
              </w:rPr>
              <w:t>scherichia coli</w:t>
            </w:r>
            <w:r w:rsidRPr="00B710B0">
              <w:rPr>
                <w:rFonts w:ascii="Arial" w:eastAsia="Calibri" w:hAnsi="Arial" w:cs="Arial"/>
                <w:szCs w:val="22"/>
                <w:lang w:val="en"/>
              </w:rPr>
              <w:t xml:space="preserve"> and </w:t>
            </w:r>
            <w:r w:rsidRPr="00B710B0">
              <w:rPr>
                <w:rFonts w:ascii="Arial" w:eastAsia="Calibri" w:hAnsi="Arial" w:cs="Arial"/>
                <w:i/>
                <w:szCs w:val="22"/>
                <w:lang w:val="en"/>
              </w:rPr>
              <w:t>Salmonella</w:t>
            </w:r>
            <w:r w:rsidRPr="00B710B0">
              <w:rPr>
                <w:rFonts w:ascii="Arial" w:eastAsia="Calibri" w:hAnsi="Arial" w:cs="Arial"/>
                <w:szCs w:val="22"/>
                <w:lang w:val="en"/>
              </w:rPr>
              <w:t xml:space="preserve"> spp. isolates were more resistant to penicillin (56.4%; 43.6%) and ciprofloxacin (43.6%; 30.8%) compared to other antibiotics. Further, </w:t>
            </w:r>
            <w:r w:rsidRPr="00B710B0">
              <w:rPr>
                <w:rFonts w:ascii="Arial" w:eastAsia="Calibri" w:hAnsi="Arial" w:cs="Arial"/>
                <w:i/>
                <w:szCs w:val="22"/>
                <w:lang w:val="en"/>
              </w:rPr>
              <w:t>S. aureus</w:t>
            </w:r>
            <w:r w:rsidRPr="00B710B0">
              <w:rPr>
                <w:rFonts w:ascii="Arial" w:eastAsia="Calibri" w:hAnsi="Arial" w:cs="Arial"/>
                <w:szCs w:val="22"/>
                <w:lang w:val="en"/>
              </w:rPr>
              <w:t xml:space="preserve"> and </w:t>
            </w:r>
            <w:r w:rsidRPr="00B710B0">
              <w:rPr>
                <w:rFonts w:ascii="Arial" w:eastAsia="Calibri" w:hAnsi="Arial" w:cs="Arial"/>
                <w:i/>
                <w:szCs w:val="22"/>
                <w:lang w:val="en"/>
              </w:rPr>
              <w:t>Enterococcus</w:t>
            </w:r>
            <w:r w:rsidRPr="00B710B0">
              <w:rPr>
                <w:rFonts w:ascii="Arial" w:eastAsia="Calibri" w:hAnsi="Arial" w:cs="Arial"/>
                <w:szCs w:val="22"/>
                <w:lang w:val="en"/>
              </w:rPr>
              <w:t xml:space="preserve"> spp. were more resistant to penicillin (50.0%; 50.0%) and tetracycline (46.7%; 53.8%). At 0.3g/mL, laboratory </w:t>
            </w:r>
            <w:r w:rsidR="001D560E" w:rsidRPr="00B710B0">
              <w:rPr>
                <w:rFonts w:ascii="Arial" w:eastAsia="Calibri" w:hAnsi="Arial" w:cs="Arial"/>
                <w:szCs w:val="22"/>
                <w:lang w:val="en"/>
              </w:rPr>
              <w:t xml:space="preserve">extracted </w:t>
            </w:r>
            <w:r w:rsidRPr="00B710B0">
              <w:rPr>
                <w:rFonts w:ascii="Arial" w:eastAsia="Calibri" w:hAnsi="Arial" w:cs="Arial"/>
                <w:szCs w:val="22"/>
                <w:lang w:val="en"/>
              </w:rPr>
              <w:t xml:space="preserve">CENO exhibited antibacterial activity against </w:t>
            </w:r>
            <w:r w:rsidRPr="00B710B0">
              <w:rPr>
                <w:rFonts w:ascii="Arial" w:eastAsia="Calibri" w:hAnsi="Arial" w:cs="Arial"/>
                <w:i/>
                <w:szCs w:val="22"/>
                <w:lang w:val="en"/>
              </w:rPr>
              <w:t xml:space="preserve">S. aureus </w:t>
            </w:r>
            <w:r w:rsidRPr="00B710B0">
              <w:rPr>
                <w:rFonts w:ascii="Arial" w:eastAsia="Calibri" w:hAnsi="Arial" w:cs="Arial"/>
                <w:szCs w:val="22"/>
                <w:lang w:val="en"/>
              </w:rPr>
              <w:t xml:space="preserve">(30.8%), </w:t>
            </w:r>
            <w:r w:rsidRPr="00B710B0">
              <w:rPr>
                <w:rFonts w:ascii="Arial" w:eastAsia="Calibri" w:hAnsi="Arial" w:cs="Arial"/>
                <w:i/>
                <w:iCs/>
                <w:szCs w:val="22"/>
                <w:lang w:val="en"/>
              </w:rPr>
              <w:t xml:space="preserve">E. coli </w:t>
            </w:r>
            <w:r w:rsidRPr="00B710B0">
              <w:rPr>
                <w:rFonts w:ascii="Arial" w:eastAsia="Calibri" w:hAnsi="Arial" w:cs="Arial"/>
                <w:iCs/>
                <w:szCs w:val="22"/>
                <w:lang w:val="en"/>
              </w:rPr>
              <w:t>(</w:t>
            </w:r>
            <w:r w:rsidRPr="00B710B0">
              <w:rPr>
                <w:rFonts w:ascii="Arial" w:eastAsia="Calibri" w:hAnsi="Arial" w:cs="Arial"/>
                <w:szCs w:val="22"/>
                <w:lang w:val="en"/>
              </w:rPr>
              <w:t xml:space="preserve">33.3%), and </w:t>
            </w:r>
            <w:r w:rsidRPr="00B710B0">
              <w:rPr>
                <w:rFonts w:ascii="Arial" w:eastAsia="Calibri" w:hAnsi="Arial" w:cs="Arial"/>
                <w:i/>
                <w:iCs/>
                <w:szCs w:val="22"/>
                <w:lang w:val="en"/>
              </w:rPr>
              <w:t xml:space="preserve">Salmonella </w:t>
            </w:r>
            <w:r w:rsidRPr="00B710B0">
              <w:rPr>
                <w:rFonts w:ascii="Arial" w:eastAsia="Calibri" w:hAnsi="Arial" w:cs="Arial"/>
                <w:iCs/>
                <w:szCs w:val="22"/>
                <w:lang w:val="en"/>
              </w:rPr>
              <w:t>spp.</w:t>
            </w:r>
            <w:r w:rsidRPr="00B710B0">
              <w:rPr>
                <w:rFonts w:ascii="Arial" w:eastAsia="Calibri" w:hAnsi="Arial" w:cs="Arial"/>
                <w:i/>
                <w:iCs/>
                <w:szCs w:val="22"/>
                <w:lang w:val="en"/>
              </w:rPr>
              <w:t xml:space="preserve"> </w:t>
            </w:r>
            <w:r w:rsidRPr="00B710B0">
              <w:rPr>
                <w:rFonts w:ascii="Arial" w:eastAsia="Calibri" w:hAnsi="Arial" w:cs="Arial"/>
                <w:iCs/>
                <w:szCs w:val="22"/>
                <w:lang w:val="en"/>
              </w:rPr>
              <w:t>(</w:t>
            </w:r>
            <w:r w:rsidRPr="00B710B0">
              <w:rPr>
                <w:rFonts w:ascii="Arial" w:eastAsia="Calibri" w:hAnsi="Arial" w:cs="Arial"/>
                <w:szCs w:val="22"/>
                <w:lang w:val="en"/>
              </w:rPr>
              <w:t xml:space="preserve">30.8%) </w:t>
            </w:r>
            <w:r w:rsidRPr="00B710B0">
              <w:rPr>
                <w:rFonts w:ascii="Arial" w:eastAsia="Calibri" w:hAnsi="Arial" w:cs="Arial"/>
                <w:iCs/>
                <w:szCs w:val="22"/>
                <w:lang w:val="en"/>
              </w:rPr>
              <w:t xml:space="preserve">and </w:t>
            </w:r>
            <w:r w:rsidRPr="00B710B0">
              <w:rPr>
                <w:rFonts w:ascii="Arial" w:eastAsia="Calibri" w:hAnsi="Arial" w:cs="Arial"/>
                <w:i/>
                <w:iCs/>
                <w:szCs w:val="22"/>
                <w:lang w:val="en"/>
              </w:rPr>
              <w:t>Enterococcu</w:t>
            </w:r>
            <w:r w:rsidRPr="00B710B0">
              <w:rPr>
                <w:rFonts w:ascii="Arial" w:eastAsia="Calibri" w:hAnsi="Arial" w:cs="Arial"/>
                <w:iCs/>
                <w:szCs w:val="22"/>
                <w:lang w:val="en"/>
              </w:rPr>
              <w:t>s spp.</w:t>
            </w:r>
            <w:r w:rsidRPr="00B710B0">
              <w:rPr>
                <w:rFonts w:ascii="Arial" w:eastAsia="Calibri" w:hAnsi="Arial" w:cs="Arial"/>
                <w:szCs w:val="22"/>
                <w:lang w:val="en"/>
              </w:rPr>
              <w:t xml:space="preserve"> (23.1%)</w:t>
            </w:r>
            <w:r w:rsidRPr="00B710B0">
              <w:rPr>
                <w:rFonts w:ascii="Arial" w:eastAsia="Calibri" w:hAnsi="Arial" w:cs="Arial"/>
                <w:iCs/>
                <w:szCs w:val="22"/>
                <w:lang w:val="en"/>
              </w:rPr>
              <w:t xml:space="preserve">. Commercial CENO at the same concentration (0.3g/mL) showed antibacterial activity against </w:t>
            </w:r>
            <w:r w:rsidRPr="00B710B0">
              <w:rPr>
                <w:rFonts w:ascii="Arial" w:eastAsia="Calibri" w:hAnsi="Arial" w:cs="Arial"/>
                <w:i/>
                <w:iCs/>
                <w:szCs w:val="22"/>
                <w:lang w:val="en"/>
              </w:rPr>
              <w:t>S. aureus</w:t>
            </w:r>
            <w:r w:rsidRPr="00B710B0">
              <w:rPr>
                <w:rFonts w:ascii="Arial" w:eastAsia="Calibri" w:hAnsi="Arial" w:cs="Arial"/>
                <w:iCs/>
                <w:szCs w:val="22"/>
                <w:lang w:val="en"/>
              </w:rPr>
              <w:t xml:space="preserve"> (30%), </w:t>
            </w:r>
            <w:r w:rsidRPr="00B710B0">
              <w:rPr>
                <w:rFonts w:ascii="Arial" w:eastAsia="Calibri" w:hAnsi="Arial" w:cs="Arial"/>
                <w:i/>
                <w:iCs/>
                <w:szCs w:val="22"/>
                <w:lang w:val="en"/>
              </w:rPr>
              <w:t xml:space="preserve">E. coli </w:t>
            </w:r>
            <w:r w:rsidRPr="00B710B0">
              <w:rPr>
                <w:rFonts w:ascii="Arial" w:eastAsia="Calibri" w:hAnsi="Arial" w:cs="Arial"/>
                <w:iCs/>
                <w:szCs w:val="22"/>
                <w:lang w:val="en"/>
              </w:rPr>
              <w:t xml:space="preserve">(23.1%), </w:t>
            </w:r>
            <w:r w:rsidRPr="00B710B0">
              <w:rPr>
                <w:rFonts w:ascii="Arial" w:eastAsia="Calibri" w:hAnsi="Arial" w:cs="Arial"/>
                <w:i/>
                <w:iCs/>
                <w:szCs w:val="22"/>
                <w:lang w:val="en"/>
              </w:rPr>
              <w:t>Salmonella</w:t>
            </w:r>
            <w:r w:rsidRPr="00B710B0">
              <w:rPr>
                <w:rFonts w:ascii="Arial" w:eastAsia="Calibri" w:hAnsi="Arial" w:cs="Arial"/>
                <w:iCs/>
                <w:szCs w:val="22"/>
                <w:lang w:val="en"/>
              </w:rPr>
              <w:t xml:space="preserve"> spp. (17.9%), and </w:t>
            </w:r>
            <w:r w:rsidRPr="00B710B0">
              <w:rPr>
                <w:rFonts w:ascii="Arial" w:eastAsia="Calibri" w:hAnsi="Arial" w:cs="Arial"/>
                <w:i/>
                <w:iCs/>
                <w:szCs w:val="22"/>
                <w:lang w:val="en"/>
              </w:rPr>
              <w:t>Enterococcus</w:t>
            </w:r>
            <w:r w:rsidRPr="00B710B0">
              <w:rPr>
                <w:rFonts w:ascii="Arial" w:eastAsia="Calibri" w:hAnsi="Arial" w:cs="Arial"/>
                <w:iCs/>
                <w:szCs w:val="22"/>
                <w:lang w:val="en"/>
              </w:rPr>
              <w:t xml:space="preserve"> spp. (15.4%). In conclusion, t</w:t>
            </w:r>
            <w:r w:rsidRPr="00B710B0">
              <w:rPr>
                <w:rFonts w:ascii="Arial" w:eastAsia="Calibri" w:hAnsi="Arial" w:cs="Arial"/>
                <w:szCs w:val="22"/>
                <w:lang w:val="en"/>
              </w:rPr>
              <w:t xml:space="preserve">his study demonstrated a high prevalence of bacteria in chickens from the study area, with </w:t>
            </w:r>
            <w:r w:rsidRPr="00B710B0">
              <w:rPr>
                <w:rFonts w:ascii="Arial" w:eastAsia="Calibri" w:hAnsi="Arial" w:cs="Arial"/>
                <w:i/>
                <w:szCs w:val="22"/>
                <w:lang w:val="en"/>
              </w:rPr>
              <w:t>Salmonella</w:t>
            </w:r>
            <w:r w:rsidRPr="00B710B0">
              <w:rPr>
                <w:rFonts w:ascii="Arial" w:eastAsia="Calibri" w:hAnsi="Arial" w:cs="Arial"/>
                <w:szCs w:val="22"/>
                <w:lang w:val="en"/>
              </w:rPr>
              <w:t xml:space="preserve"> spp. and </w:t>
            </w:r>
            <w:r w:rsidRPr="00B710B0">
              <w:rPr>
                <w:rFonts w:ascii="Arial" w:eastAsia="Calibri" w:hAnsi="Arial" w:cs="Arial"/>
                <w:i/>
                <w:iCs/>
                <w:szCs w:val="22"/>
                <w:lang w:val="en"/>
              </w:rPr>
              <w:t>E. coli</w:t>
            </w:r>
            <w:r w:rsidRPr="00B710B0">
              <w:rPr>
                <w:rFonts w:ascii="Arial" w:eastAsia="Calibri" w:hAnsi="Arial" w:cs="Arial"/>
                <w:szCs w:val="22"/>
                <w:lang w:val="en"/>
              </w:rPr>
              <w:t xml:space="preserve"> being the most prevalent. The observed antimicrobial activity of neem oil should be investigated further with an aim for coming up with alternative antibiotics for use in management of pathogenic gut infections in poultry.</w:t>
            </w:r>
          </w:p>
        </w:tc>
      </w:tr>
    </w:tbl>
    <w:p w14:paraId="2F45B466" w14:textId="77777777" w:rsidR="00636EB2" w:rsidRPr="00B710B0" w:rsidRDefault="00636EB2" w:rsidP="00441B6F">
      <w:pPr>
        <w:pStyle w:val="Body"/>
        <w:spacing w:after="0"/>
        <w:rPr>
          <w:rFonts w:ascii="Arial" w:hAnsi="Arial" w:cs="Arial"/>
          <w:i/>
        </w:rPr>
      </w:pPr>
    </w:p>
    <w:p w14:paraId="20267A88" w14:textId="35980253" w:rsidR="00B52896" w:rsidRPr="00B710B0" w:rsidRDefault="00A24E7E" w:rsidP="00D822D6">
      <w:pPr>
        <w:pStyle w:val="Body"/>
        <w:spacing w:after="0"/>
        <w:rPr>
          <w:rFonts w:ascii="Arial" w:hAnsi="Arial" w:cs="Arial"/>
          <w:i/>
        </w:rPr>
      </w:pPr>
      <w:r w:rsidRPr="00B710B0">
        <w:rPr>
          <w:rFonts w:ascii="Arial" w:hAnsi="Arial" w:cs="Arial"/>
          <w:i/>
        </w:rPr>
        <w:t xml:space="preserve">Keywords: </w:t>
      </w:r>
      <w:r w:rsidR="00D822D6" w:rsidRPr="00B710B0">
        <w:rPr>
          <w:rFonts w:ascii="Arial" w:hAnsi="Arial" w:cs="Arial"/>
          <w:i/>
          <w:lang w:val="en"/>
        </w:rPr>
        <w:t>Encapsulated neem oil, risk factors, bacteria, antibiotics</w:t>
      </w:r>
      <w:r w:rsidR="001D560E" w:rsidRPr="00B710B0">
        <w:rPr>
          <w:rFonts w:ascii="Arial" w:hAnsi="Arial" w:cs="Arial"/>
          <w:i/>
          <w:lang w:val="en"/>
        </w:rPr>
        <w:t>, Thika East, Kenya</w:t>
      </w:r>
    </w:p>
    <w:p w14:paraId="7F378633" w14:textId="77777777" w:rsidR="00D25912" w:rsidRPr="00B710B0" w:rsidRDefault="00D25912" w:rsidP="00441B6F">
      <w:pPr>
        <w:pStyle w:val="Body"/>
        <w:spacing w:after="0"/>
        <w:rPr>
          <w:rFonts w:ascii="Arial" w:hAnsi="Arial" w:cs="Arial"/>
          <w:i/>
        </w:rPr>
      </w:pPr>
    </w:p>
    <w:p w14:paraId="102447B8" w14:textId="77777777" w:rsidR="004A72E1" w:rsidRPr="00B710B0" w:rsidRDefault="00902823" w:rsidP="004A72E1">
      <w:pPr>
        <w:pStyle w:val="AbstHead"/>
        <w:spacing w:after="0"/>
        <w:jc w:val="both"/>
        <w:rPr>
          <w:rFonts w:ascii="Arial" w:hAnsi="Arial" w:cs="Arial"/>
        </w:rPr>
      </w:pPr>
      <w:r w:rsidRPr="00B710B0">
        <w:rPr>
          <w:rFonts w:ascii="Arial" w:hAnsi="Arial" w:cs="Arial"/>
        </w:rPr>
        <w:t xml:space="preserve">1. </w:t>
      </w:r>
      <w:r w:rsidR="00B01FCD" w:rsidRPr="00B710B0">
        <w:rPr>
          <w:rFonts w:ascii="Arial" w:hAnsi="Arial" w:cs="Arial"/>
        </w:rPr>
        <w:t>INTRODUCTION</w:t>
      </w:r>
    </w:p>
    <w:p w14:paraId="5AE0149D" w14:textId="77777777" w:rsidR="00D25912" w:rsidRPr="00B710B0" w:rsidRDefault="00D25912" w:rsidP="004A72E1">
      <w:pPr>
        <w:pStyle w:val="AbstHead"/>
        <w:spacing w:after="0"/>
        <w:jc w:val="both"/>
        <w:rPr>
          <w:rFonts w:ascii="Arial" w:hAnsi="Arial" w:cs="Arial"/>
        </w:rPr>
      </w:pPr>
    </w:p>
    <w:p w14:paraId="6183C2C5" w14:textId="7C2B5148" w:rsidR="004A72E1" w:rsidRPr="00B710B0" w:rsidRDefault="004A72E1" w:rsidP="004A72E1">
      <w:pPr>
        <w:pStyle w:val="Body"/>
        <w:spacing w:after="0"/>
        <w:rPr>
          <w:rFonts w:ascii="Arial" w:hAnsi="Arial" w:cs="Arial"/>
          <w:lang w:val="en"/>
        </w:rPr>
      </w:pPr>
      <w:r w:rsidRPr="00B710B0">
        <w:rPr>
          <w:rFonts w:ascii="Arial" w:hAnsi="Arial" w:cs="Arial"/>
          <w:lang w:val="en"/>
        </w:rPr>
        <w:t>Poultry farming represents one of the rapidly thriving sectors as nations shift from subsistence to intensive farming in order to meet the rapidly growing population (</w:t>
      </w:r>
      <w:proofErr w:type="spellStart"/>
      <w:r w:rsidRPr="00B710B0">
        <w:rPr>
          <w:rFonts w:ascii="Arial" w:hAnsi="Arial" w:cs="Arial"/>
        </w:rPr>
        <w:t>Magothe</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2012</w:t>
      </w:r>
      <w:r w:rsidRPr="00B710B0">
        <w:rPr>
          <w:rFonts w:ascii="Arial" w:hAnsi="Arial" w:cs="Arial"/>
          <w:lang w:val="en"/>
        </w:rPr>
        <w:t>). Farmers prefer poultry to other animals due to their relatively small body size, short life cycle, robust adaptability to environmental conditions and high energy uptake efficiency (</w:t>
      </w:r>
      <w:r w:rsidRPr="00B710B0">
        <w:rPr>
          <w:rFonts w:ascii="Arial" w:hAnsi="Arial" w:cs="Arial"/>
        </w:rPr>
        <w:t xml:space="preserve">Nawaz </w:t>
      </w:r>
      <w:r w:rsidRPr="00B710B0">
        <w:rPr>
          <w:rFonts w:ascii="Arial" w:hAnsi="Arial" w:cs="Arial"/>
          <w:i/>
        </w:rPr>
        <w:t>et al</w:t>
      </w:r>
      <w:r w:rsidRPr="00B710B0">
        <w:rPr>
          <w:rFonts w:ascii="Arial" w:hAnsi="Arial" w:cs="Arial"/>
        </w:rPr>
        <w:t>., 2021)</w:t>
      </w:r>
      <w:r w:rsidRPr="00B710B0">
        <w:rPr>
          <w:rFonts w:ascii="Arial" w:hAnsi="Arial" w:cs="Arial"/>
          <w:lang w:val="en"/>
        </w:rPr>
        <w:t>. While agriculture in Kenya contribute about 25% of gross domestic product (GDP), the poultry farming contributes approximately 30% of th</w:t>
      </w:r>
      <w:r w:rsidR="001D560E" w:rsidRPr="00B710B0">
        <w:rPr>
          <w:rFonts w:ascii="Arial" w:hAnsi="Arial" w:cs="Arial"/>
          <w:lang w:val="en"/>
        </w:rPr>
        <w:t>e</w:t>
      </w:r>
      <w:r w:rsidRPr="00B710B0">
        <w:rPr>
          <w:rFonts w:ascii="Arial" w:hAnsi="Arial" w:cs="Arial"/>
          <w:lang w:val="en"/>
        </w:rPr>
        <w:t xml:space="preserve"> production (KNBS, 2019)</w:t>
      </w:r>
      <w:r w:rsidRPr="00B710B0">
        <w:rPr>
          <w:rFonts w:ascii="Arial" w:hAnsi="Arial" w:cs="Arial"/>
        </w:rPr>
        <w:t>.</w:t>
      </w:r>
      <w:r w:rsidRPr="00B710B0">
        <w:rPr>
          <w:rFonts w:ascii="Arial" w:hAnsi="Arial" w:cs="Arial"/>
          <w:lang w:val="en"/>
        </w:rPr>
        <w:t xml:space="preserve"> In recent years, farmers in the country have adopted commercial rearing of broilers and layers under intensive management system in order to</w:t>
      </w:r>
      <w:r w:rsidRPr="00B710B0">
        <w:rPr>
          <w:rFonts w:ascii="Arial" w:hAnsi="Arial" w:cs="Arial"/>
          <w:b/>
          <w:bCs/>
          <w:lang w:val="en"/>
        </w:rPr>
        <w:t xml:space="preserve"> </w:t>
      </w:r>
      <w:r w:rsidRPr="00B710B0">
        <w:rPr>
          <w:rFonts w:ascii="Arial" w:hAnsi="Arial" w:cs="Arial"/>
          <w:lang w:val="en"/>
        </w:rPr>
        <w:t>satisfy the increasing consumers demand for poultry products. However, gut diseases and parasites are some of the main challenges hindering poultry farming in Kenya (</w:t>
      </w:r>
      <w:r w:rsidRPr="00B710B0">
        <w:rPr>
          <w:rFonts w:ascii="Arial" w:hAnsi="Arial" w:cs="Arial"/>
        </w:rPr>
        <w:t>Mohamed, 2024</w:t>
      </w:r>
      <w:r w:rsidRPr="00B710B0">
        <w:rPr>
          <w:rFonts w:ascii="Arial" w:hAnsi="Arial" w:cs="Arial"/>
          <w:lang w:val="en"/>
        </w:rPr>
        <w:t>). Poultry farmers opt for antibiotics and other drugs to manage these diseases, prophylaxis and growth promotion (</w:t>
      </w:r>
      <w:r w:rsidRPr="00B710B0">
        <w:rPr>
          <w:rFonts w:ascii="Arial" w:hAnsi="Arial" w:cs="Arial"/>
        </w:rPr>
        <w:t xml:space="preserve">Rafiq </w:t>
      </w:r>
      <w:r w:rsidRPr="00B710B0">
        <w:rPr>
          <w:rFonts w:ascii="Arial" w:hAnsi="Arial" w:cs="Arial"/>
          <w:i/>
        </w:rPr>
        <w:t>et al</w:t>
      </w:r>
      <w:r w:rsidRPr="00B710B0">
        <w:rPr>
          <w:rFonts w:ascii="Arial" w:hAnsi="Arial" w:cs="Arial"/>
        </w:rPr>
        <w:t>., 2022</w:t>
      </w:r>
      <w:r w:rsidRPr="00B710B0">
        <w:rPr>
          <w:rFonts w:ascii="Arial" w:hAnsi="Arial" w:cs="Arial"/>
          <w:lang w:val="en"/>
        </w:rPr>
        <w:t xml:space="preserve">). </w:t>
      </w:r>
    </w:p>
    <w:p w14:paraId="16D3E373" w14:textId="546B2F5A" w:rsidR="004A72E1" w:rsidRPr="00B710B0" w:rsidRDefault="004A72E1" w:rsidP="004A72E1">
      <w:pPr>
        <w:pStyle w:val="Body"/>
        <w:spacing w:after="0"/>
        <w:rPr>
          <w:rFonts w:ascii="Arial" w:hAnsi="Arial" w:cs="Arial"/>
          <w:lang w:val="en"/>
        </w:rPr>
      </w:pPr>
      <w:r w:rsidRPr="00B710B0">
        <w:rPr>
          <w:rFonts w:ascii="Arial" w:hAnsi="Arial" w:cs="Arial"/>
          <w:lang w:val="en"/>
        </w:rPr>
        <w:lastRenderedPageBreak/>
        <w:t xml:space="preserve">In recent decades, the haphazard use of these antibiotics has led to development of antibiotic resistant bugs and presence of antimicrobial residues in animal products causing detrimental effects to consumer’s wellbeing. In studies conducted in Nairobi and Kajiado counties, Deng </w:t>
      </w:r>
      <w:r w:rsidRPr="00B710B0">
        <w:rPr>
          <w:rFonts w:ascii="Arial" w:hAnsi="Arial" w:cs="Arial"/>
          <w:i/>
          <w:lang w:val="en"/>
        </w:rPr>
        <w:t>et al</w:t>
      </w:r>
      <w:r w:rsidRPr="00B710B0">
        <w:rPr>
          <w:rFonts w:ascii="Arial" w:hAnsi="Arial" w:cs="Arial"/>
          <w:lang w:val="en"/>
        </w:rPr>
        <w:t xml:space="preserve">. (2024) and Wanja </w:t>
      </w:r>
      <w:r w:rsidRPr="00B710B0">
        <w:rPr>
          <w:rFonts w:ascii="Arial" w:hAnsi="Arial" w:cs="Arial"/>
          <w:i/>
          <w:lang w:val="en"/>
        </w:rPr>
        <w:t>et al</w:t>
      </w:r>
      <w:r w:rsidRPr="00B710B0">
        <w:rPr>
          <w:rFonts w:ascii="Arial" w:hAnsi="Arial" w:cs="Arial"/>
          <w:lang w:val="en"/>
        </w:rPr>
        <w:t xml:space="preserve">. (2023) report a high (ranging between 81.5% and 96.1%) multidrug resistance among </w:t>
      </w:r>
      <w:r w:rsidRPr="00B710B0">
        <w:rPr>
          <w:rFonts w:ascii="Arial" w:hAnsi="Arial" w:cs="Arial"/>
          <w:i/>
          <w:lang w:val="en"/>
        </w:rPr>
        <w:t xml:space="preserve">E. coli </w:t>
      </w:r>
      <w:r w:rsidRPr="00B710B0">
        <w:rPr>
          <w:rFonts w:ascii="Arial" w:hAnsi="Arial" w:cs="Arial"/>
          <w:lang w:val="en"/>
        </w:rPr>
        <w:t xml:space="preserve">and </w:t>
      </w:r>
      <w:r w:rsidRPr="00B710B0">
        <w:rPr>
          <w:rFonts w:ascii="Arial" w:hAnsi="Arial" w:cs="Arial"/>
          <w:i/>
          <w:lang w:val="en"/>
        </w:rPr>
        <w:t>Campylobacter</w:t>
      </w:r>
      <w:r w:rsidRPr="00B710B0">
        <w:rPr>
          <w:rFonts w:ascii="Arial" w:hAnsi="Arial" w:cs="Arial"/>
          <w:lang w:val="en"/>
        </w:rPr>
        <w:t xml:space="preserve"> spp. </w:t>
      </w:r>
      <w:r w:rsidR="001D560E" w:rsidRPr="00B710B0">
        <w:rPr>
          <w:rFonts w:ascii="Arial" w:hAnsi="Arial" w:cs="Arial"/>
          <w:lang w:val="en"/>
        </w:rPr>
        <w:t>I</w:t>
      </w:r>
      <w:r w:rsidRPr="00B710B0">
        <w:rPr>
          <w:rFonts w:ascii="Arial" w:hAnsi="Arial" w:cs="Arial"/>
          <w:lang w:val="en"/>
        </w:rPr>
        <w:t>solates</w:t>
      </w:r>
      <w:r w:rsidR="001D560E" w:rsidRPr="00B710B0">
        <w:rPr>
          <w:rFonts w:ascii="Arial" w:hAnsi="Arial" w:cs="Arial"/>
          <w:lang w:val="en"/>
        </w:rPr>
        <w:t xml:space="preserve"> from chicken</w:t>
      </w:r>
      <w:r w:rsidRPr="00B710B0">
        <w:rPr>
          <w:rFonts w:ascii="Arial" w:hAnsi="Arial" w:cs="Arial"/>
          <w:lang w:val="en"/>
        </w:rPr>
        <w:t xml:space="preserve">, respectively. Other studies in Kenya by </w:t>
      </w:r>
      <w:proofErr w:type="spellStart"/>
      <w:r w:rsidRPr="00B710B0">
        <w:rPr>
          <w:rFonts w:ascii="Arial" w:hAnsi="Arial" w:cs="Arial"/>
          <w:lang w:val="en"/>
        </w:rPr>
        <w:t>Muthuma</w:t>
      </w:r>
      <w:proofErr w:type="spellEnd"/>
      <w:r w:rsidRPr="00B710B0">
        <w:rPr>
          <w:rFonts w:ascii="Arial" w:hAnsi="Arial" w:cs="Arial"/>
          <w:lang w:val="en"/>
        </w:rPr>
        <w:t xml:space="preserve"> </w:t>
      </w:r>
      <w:r w:rsidRPr="00B710B0">
        <w:rPr>
          <w:rFonts w:ascii="Arial" w:hAnsi="Arial" w:cs="Arial"/>
          <w:i/>
          <w:lang w:val="en"/>
        </w:rPr>
        <w:t>et al</w:t>
      </w:r>
      <w:r w:rsidRPr="00B710B0">
        <w:rPr>
          <w:rFonts w:ascii="Arial" w:hAnsi="Arial" w:cs="Arial"/>
          <w:lang w:val="en"/>
        </w:rPr>
        <w:t>. (2018)</w:t>
      </w:r>
      <w:r w:rsidRPr="00B710B0">
        <w:rPr>
          <w:rFonts w:ascii="Arial" w:hAnsi="Arial" w:cs="Arial"/>
        </w:rPr>
        <w:t xml:space="preserve"> and </w:t>
      </w:r>
      <w:proofErr w:type="spellStart"/>
      <w:r w:rsidRPr="00B710B0">
        <w:rPr>
          <w:rFonts w:ascii="Arial" w:hAnsi="Arial" w:cs="Arial"/>
        </w:rPr>
        <w:t>Odundo</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(2023)</w:t>
      </w:r>
      <w:r w:rsidRPr="00B710B0">
        <w:rPr>
          <w:rFonts w:ascii="Arial" w:hAnsi="Arial" w:cs="Arial"/>
          <w:lang w:val="en"/>
        </w:rPr>
        <w:t xml:space="preserve">, documented high prevalence (57.7%) of sulphonamides and </w:t>
      </w:r>
      <w:r w:rsidRPr="00B710B0">
        <w:rPr>
          <w:rFonts w:ascii="Arial" w:hAnsi="Arial" w:cs="Arial"/>
        </w:rPr>
        <w:t xml:space="preserve">β-lactam antibiotic </w:t>
      </w:r>
      <w:r w:rsidRPr="00B710B0">
        <w:rPr>
          <w:rFonts w:ascii="Arial" w:hAnsi="Arial" w:cs="Arial"/>
          <w:lang w:val="en"/>
        </w:rPr>
        <w:t>residues among of the broiler meat from farms in Nairobi County, Kenya. The overuse of antibiotics in broilers also reduces the stability of commensal gut microbiota and their population by eliminating non-targeted beneficial microorganisms (</w:t>
      </w:r>
      <w:proofErr w:type="spellStart"/>
      <w:r w:rsidRPr="00B710B0">
        <w:rPr>
          <w:rFonts w:ascii="Arial" w:hAnsi="Arial" w:cs="Arial"/>
        </w:rPr>
        <w:t>Ghimpețeanu</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2022</w:t>
      </w:r>
      <w:r w:rsidRPr="00B710B0">
        <w:rPr>
          <w:rFonts w:ascii="Arial" w:hAnsi="Arial" w:cs="Arial"/>
          <w:lang w:val="en"/>
        </w:rPr>
        <w:t>). The common commensals in chicken gut include lactobacillus, enterococcus and bifidobacteria which produce vitamins, organic acids, bacteriocins and other products which are important for the body and for maintenance of gut health (</w:t>
      </w:r>
      <w:r w:rsidRPr="00B710B0">
        <w:rPr>
          <w:rFonts w:ascii="Arial" w:hAnsi="Arial" w:cs="Arial"/>
        </w:rPr>
        <w:t xml:space="preserve">Fathima </w:t>
      </w:r>
      <w:r w:rsidRPr="00B710B0">
        <w:rPr>
          <w:rFonts w:ascii="Arial" w:hAnsi="Arial" w:cs="Arial"/>
          <w:i/>
        </w:rPr>
        <w:t>et al</w:t>
      </w:r>
      <w:r w:rsidRPr="00B710B0">
        <w:rPr>
          <w:rFonts w:ascii="Arial" w:hAnsi="Arial" w:cs="Arial"/>
        </w:rPr>
        <w:t>., 2022)</w:t>
      </w:r>
      <w:r w:rsidRPr="00B710B0">
        <w:rPr>
          <w:rFonts w:ascii="Arial" w:hAnsi="Arial" w:cs="Arial"/>
          <w:lang w:val="en"/>
        </w:rPr>
        <w:t>. Due to the emergence of AMR and presence of drug residues in animal products, there has been global restriction of prophylactic antibiotic use in food animals</w:t>
      </w:r>
      <w:r w:rsidRPr="00B710B0">
        <w:rPr>
          <w:rFonts w:ascii="Arial" w:hAnsi="Arial" w:cs="Arial"/>
          <w:lang w:val="en-GB"/>
        </w:rPr>
        <w:t xml:space="preserve"> (</w:t>
      </w:r>
      <w:proofErr w:type="spellStart"/>
      <w:r w:rsidR="00D25912" w:rsidRPr="00B710B0">
        <w:rPr>
          <w:rFonts w:ascii="Arial" w:hAnsi="Arial" w:cs="Arial"/>
          <w:shd w:val="clear" w:color="auto" w:fill="FFFFFF"/>
        </w:rPr>
        <w:t>Ghimpețeanu</w:t>
      </w:r>
      <w:proofErr w:type="spellEnd"/>
      <w:r w:rsidR="00D25912" w:rsidRPr="00B710B0">
        <w:rPr>
          <w:rFonts w:ascii="Arial" w:hAnsi="Arial" w:cs="Arial"/>
          <w:shd w:val="clear" w:color="auto" w:fill="FFFFFF"/>
        </w:rPr>
        <w:t xml:space="preserve"> </w:t>
      </w:r>
      <w:r w:rsidR="00D25912" w:rsidRPr="00B710B0">
        <w:rPr>
          <w:rFonts w:ascii="Arial" w:hAnsi="Arial" w:cs="Arial"/>
          <w:i/>
          <w:shd w:val="clear" w:color="auto" w:fill="FFFFFF"/>
        </w:rPr>
        <w:t>et al</w:t>
      </w:r>
      <w:r w:rsidR="00D25912" w:rsidRPr="00B710B0">
        <w:rPr>
          <w:rFonts w:ascii="Arial" w:hAnsi="Arial" w:cs="Arial"/>
          <w:shd w:val="clear" w:color="auto" w:fill="FFFFFF"/>
        </w:rPr>
        <w:t>., 2022</w:t>
      </w:r>
      <w:r w:rsidRPr="00B710B0">
        <w:rPr>
          <w:rFonts w:ascii="Arial" w:hAnsi="Arial" w:cs="Arial"/>
          <w:lang w:val="en-GB"/>
        </w:rPr>
        <w:t xml:space="preserve">). </w:t>
      </w:r>
      <w:r w:rsidRPr="00B710B0">
        <w:rPr>
          <w:rFonts w:ascii="Arial" w:hAnsi="Arial" w:cs="Arial"/>
          <w:lang w:val="en"/>
        </w:rPr>
        <w:t xml:space="preserve">This has contributed to exploration of other measures to sustain animal production and reduced intestinal diseases in the post-antibiotic growth promotion era. Such alternatives include use of </w:t>
      </w:r>
      <w:proofErr w:type="spellStart"/>
      <w:r w:rsidRPr="00B710B0">
        <w:rPr>
          <w:rFonts w:ascii="Arial" w:hAnsi="Arial" w:cs="Arial"/>
          <w:lang w:val="en"/>
        </w:rPr>
        <w:t>phytobiotics</w:t>
      </w:r>
      <w:proofErr w:type="spellEnd"/>
      <w:r w:rsidRPr="00B710B0">
        <w:rPr>
          <w:rFonts w:ascii="Arial" w:hAnsi="Arial" w:cs="Arial"/>
          <w:lang w:val="en"/>
        </w:rPr>
        <w:t xml:space="preserve"> which contain antimicrobial activity (</w:t>
      </w:r>
      <w:r w:rsidRPr="00B710B0">
        <w:rPr>
          <w:rFonts w:ascii="Arial" w:hAnsi="Arial" w:cs="Arial"/>
        </w:rPr>
        <w:t xml:space="preserve">Oladokun </w:t>
      </w:r>
      <w:r w:rsidRPr="00B710B0">
        <w:rPr>
          <w:rFonts w:ascii="Arial" w:hAnsi="Arial" w:cs="Arial"/>
          <w:i/>
        </w:rPr>
        <w:t>et al</w:t>
      </w:r>
      <w:r w:rsidRPr="00B710B0">
        <w:rPr>
          <w:rFonts w:ascii="Arial" w:hAnsi="Arial" w:cs="Arial"/>
        </w:rPr>
        <w:t>., 2022)</w:t>
      </w:r>
      <w:r w:rsidRPr="00B710B0">
        <w:rPr>
          <w:rFonts w:ascii="Arial" w:hAnsi="Arial" w:cs="Arial"/>
          <w:lang w:val="en"/>
        </w:rPr>
        <w:t>.</w:t>
      </w:r>
    </w:p>
    <w:p w14:paraId="59C96B1F" w14:textId="77777777" w:rsidR="004A72E1" w:rsidRPr="00B710B0" w:rsidRDefault="004A72E1" w:rsidP="004A72E1">
      <w:pPr>
        <w:pStyle w:val="Body"/>
        <w:spacing w:after="0"/>
        <w:rPr>
          <w:rFonts w:ascii="Arial" w:hAnsi="Arial" w:cs="Arial"/>
          <w:lang w:val="en"/>
        </w:rPr>
      </w:pPr>
      <w:r w:rsidRPr="00B710B0">
        <w:rPr>
          <w:rFonts w:ascii="Arial" w:hAnsi="Arial" w:cs="Arial"/>
          <w:lang w:val="en"/>
        </w:rPr>
        <w:t>Neem plant (</w:t>
      </w:r>
      <w:r w:rsidRPr="00B710B0">
        <w:rPr>
          <w:rFonts w:ascii="Arial" w:hAnsi="Arial" w:cs="Arial"/>
          <w:i/>
          <w:iCs/>
          <w:lang w:val="en"/>
        </w:rPr>
        <w:t>Azadirachta</w:t>
      </w:r>
      <w:r w:rsidRPr="00B710B0">
        <w:rPr>
          <w:rFonts w:ascii="Arial" w:hAnsi="Arial" w:cs="Arial"/>
          <w:lang w:val="en"/>
        </w:rPr>
        <w:t xml:space="preserve"> </w:t>
      </w:r>
      <w:r w:rsidRPr="00B710B0">
        <w:rPr>
          <w:rFonts w:ascii="Arial" w:hAnsi="Arial" w:cs="Arial"/>
          <w:i/>
          <w:iCs/>
          <w:lang w:val="en"/>
        </w:rPr>
        <w:t>indica</w:t>
      </w:r>
      <w:r w:rsidRPr="00B710B0">
        <w:rPr>
          <w:rFonts w:ascii="Arial" w:hAnsi="Arial" w:cs="Arial"/>
          <w:lang w:val="en"/>
        </w:rPr>
        <w:t>) has for a long time regarded as plant with bioactive compounds of medicinal and nutritional importance (</w:t>
      </w:r>
      <w:proofErr w:type="spellStart"/>
      <w:r w:rsidRPr="00B710B0">
        <w:rPr>
          <w:rFonts w:ascii="Arial" w:hAnsi="Arial" w:cs="Arial"/>
        </w:rPr>
        <w:t>Alzohairy</w:t>
      </w:r>
      <w:proofErr w:type="spellEnd"/>
      <w:r w:rsidRPr="00B710B0">
        <w:rPr>
          <w:rFonts w:ascii="Arial" w:hAnsi="Arial" w:cs="Arial"/>
        </w:rPr>
        <w:t>, 2016</w:t>
      </w:r>
      <w:r w:rsidRPr="00B710B0">
        <w:rPr>
          <w:rFonts w:ascii="Arial" w:hAnsi="Arial" w:cs="Arial"/>
          <w:lang w:val="en"/>
        </w:rPr>
        <w:t>). Neem is an evergreen tree with fragrance foliage and tasty fruits possessing ant-inflammation, immunological and anti-ulcer properties which have made it widely employed for various medicinal purposes (</w:t>
      </w:r>
      <w:proofErr w:type="spellStart"/>
      <w:r w:rsidRPr="00B710B0">
        <w:rPr>
          <w:rFonts w:ascii="Arial" w:hAnsi="Arial" w:cs="Arial"/>
        </w:rPr>
        <w:t>Alzohairy</w:t>
      </w:r>
      <w:proofErr w:type="spellEnd"/>
      <w:r w:rsidRPr="00B710B0">
        <w:rPr>
          <w:rFonts w:ascii="Arial" w:hAnsi="Arial" w:cs="Arial"/>
        </w:rPr>
        <w:t>, 2016</w:t>
      </w:r>
      <w:r w:rsidRPr="00B710B0">
        <w:rPr>
          <w:rFonts w:ascii="Arial" w:hAnsi="Arial" w:cs="Arial"/>
          <w:lang w:val="en"/>
        </w:rPr>
        <w:t xml:space="preserve">; </w:t>
      </w:r>
      <w:proofErr w:type="spellStart"/>
      <w:r w:rsidRPr="00B710B0">
        <w:rPr>
          <w:rFonts w:ascii="Arial" w:hAnsi="Arial" w:cs="Arial"/>
        </w:rPr>
        <w:t>Atawodi</w:t>
      </w:r>
      <w:proofErr w:type="spellEnd"/>
      <w:r w:rsidRPr="00B710B0">
        <w:rPr>
          <w:rFonts w:ascii="Arial" w:hAnsi="Arial" w:cs="Arial"/>
        </w:rPr>
        <w:t>, 2009</w:t>
      </w:r>
      <w:r w:rsidRPr="00B710B0">
        <w:rPr>
          <w:rFonts w:ascii="Arial" w:hAnsi="Arial" w:cs="Arial"/>
          <w:lang w:val="en"/>
        </w:rPr>
        <w:t>). Poultry farmers often use it to manage gut infections. However, to make neem oil stable in the chicken gut there is need for encapsulation with nanomaterials such as chitosan.</w:t>
      </w:r>
      <w:r w:rsidRPr="00B710B0">
        <w:rPr>
          <w:rFonts w:ascii="Arial" w:hAnsi="Arial" w:cs="Arial"/>
          <w:b/>
          <w:bCs/>
          <w:lang w:val="en"/>
        </w:rPr>
        <w:t xml:space="preserve"> </w:t>
      </w:r>
      <w:r w:rsidRPr="00B710B0">
        <w:rPr>
          <w:rFonts w:ascii="Arial" w:hAnsi="Arial" w:cs="Arial"/>
          <w:lang w:val="en"/>
        </w:rPr>
        <w:t>The interest of chitosan also arises from numerous studies documenting its antimicrobial and anti-oxidative properties on foods (</w:t>
      </w:r>
      <w:proofErr w:type="spellStart"/>
      <w:r w:rsidRPr="00B710B0">
        <w:rPr>
          <w:rFonts w:ascii="Arial" w:hAnsi="Arial" w:cs="Arial"/>
        </w:rPr>
        <w:t>Sirsat</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2018</w:t>
      </w:r>
      <w:r w:rsidRPr="00B710B0">
        <w:rPr>
          <w:rFonts w:ascii="Arial" w:hAnsi="Arial" w:cs="Arial"/>
          <w:lang w:val="en"/>
        </w:rPr>
        <w:t>). Chitosan is a biocompatible polymer obtained by deacetylation of chitin from invertebrates and is used in food science, agricultural industry and biomedical field (</w:t>
      </w:r>
      <w:proofErr w:type="spellStart"/>
      <w:r w:rsidRPr="00B710B0">
        <w:rPr>
          <w:rFonts w:ascii="Arial" w:hAnsi="Arial" w:cs="Arial"/>
        </w:rPr>
        <w:t>Sirsat</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2018).</w:t>
      </w:r>
    </w:p>
    <w:p w14:paraId="1F1F74E2" w14:textId="0EFD4525" w:rsidR="00790ADA" w:rsidRPr="00B710B0" w:rsidRDefault="004A72E1" w:rsidP="00441B6F">
      <w:pPr>
        <w:pStyle w:val="Body"/>
        <w:spacing w:after="0"/>
        <w:rPr>
          <w:rFonts w:ascii="Arial" w:hAnsi="Arial" w:cs="Arial"/>
        </w:rPr>
      </w:pPr>
      <w:r w:rsidRPr="00B710B0">
        <w:rPr>
          <w:rFonts w:ascii="Arial" w:hAnsi="Arial" w:cs="Arial"/>
          <w:lang w:val="en"/>
        </w:rPr>
        <w:t xml:space="preserve">The susceptibility of gut bacteria to commonly used antibiotics has not been widely reported among chicken kept in many parts of Kenya, including Thika Sub-County. The latter has a </w:t>
      </w:r>
      <w:proofErr w:type="gramStart"/>
      <w:r w:rsidRPr="00B710B0">
        <w:rPr>
          <w:rFonts w:ascii="Arial" w:hAnsi="Arial" w:cs="Arial"/>
          <w:lang w:val="en"/>
        </w:rPr>
        <w:t>substantial number</w:t>
      </w:r>
      <w:proofErr w:type="gramEnd"/>
      <w:r w:rsidRPr="00B710B0">
        <w:rPr>
          <w:rFonts w:ascii="Arial" w:hAnsi="Arial" w:cs="Arial"/>
          <w:lang w:val="en"/>
        </w:rPr>
        <w:t xml:space="preserve"> people keeping poultry in urban and peri-urban set-up. The current study was geared towards the investigation of prevalence of gut bacteria in chicken reared by farmers in Thika </w:t>
      </w:r>
      <w:r w:rsidR="001D560E" w:rsidRPr="00B710B0">
        <w:rPr>
          <w:rFonts w:ascii="Arial" w:hAnsi="Arial" w:cs="Arial"/>
          <w:lang w:val="en"/>
        </w:rPr>
        <w:t xml:space="preserve">East </w:t>
      </w:r>
      <w:r w:rsidRPr="00B710B0">
        <w:rPr>
          <w:rFonts w:ascii="Arial" w:hAnsi="Arial" w:cs="Arial"/>
          <w:lang w:val="en"/>
        </w:rPr>
        <w:t xml:space="preserve">Sub-County, Kenya; and sensitivity of the bacteria to common antibiotics. Further, the </w:t>
      </w:r>
      <w:r w:rsidRPr="00B710B0">
        <w:rPr>
          <w:rFonts w:ascii="Arial" w:hAnsi="Arial" w:cs="Arial"/>
          <w:i/>
          <w:iCs/>
          <w:lang w:val="en"/>
        </w:rPr>
        <w:t>in vitro</w:t>
      </w:r>
      <w:r w:rsidRPr="00B710B0">
        <w:rPr>
          <w:rFonts w:ascii="Arial" w:hAnsi="Arial" w:cs="Arial"/>
          <w:lang w:val="en"/>
        </w:rPr>
        <w:t xml:space="preserve"> activity of chitosan encapsulated neem oil extract against the common gut bacteria of chicken was investigated. </w:t>
      </w:r>
    </w:p>
    <w:p w14:paraId="14D3B5CE" w14:textId="77777777" w:rsidR="00D822D6" w:rsidRPr="00B710B0" w:rsidRDefault="00D822D6" w:rsidP="00441B6F">
      <w:pPr>
        <w:pStyle w:val="Body"/>
        <w:spacing w:after="0"/>
        <w:rPr>
          <w:rFonts w:ascii="Arial" w:hAnsi="Arial" w:cs="Arial"/>
        </w:rPr>
      </w:pPr>
    </w:p>
    <w:p w14:paraId="18F2600D" w14:textId="77777777" w:rsidR="00D822D6" w:rsidRPr="00B710B0" w:rsidRDefault="00902823" w:rsidP="00D822D6">
      <w:pPr>
        <w:pStyle w:val="AbstHead"/>
        <w:spacing w:after="0"/>
        <w:jc w:val="both"/>
        <w:rPr>
          <w:rFonts w:ascii="Arial" w:hAnsi="Arial" w:cs="Arial"/>
        </w:rPr>
      </w:pPr>
      <w:r w:rsidRPr="00B710B0">
        <w:rPr>
          <w:rFonts w:ascii="Arial" w:hAnsi="Arial" w:cs="Arial"/>
        </w:rPr>
        <w:t>2. material and method</w:t>
      </w:r>
      <w:r w:rsidR="00D25912" w:rsidRPr="00B710B0">
        <w:rPr>
          <w:rFonts w:ascii="Arial" w:hAnsi="Arial" w:cs="Arial"/>
        </w:rPr>
        <w:t>s</w:t>
      </w:r>
    </w:p>
    <w:p w14:paraId="255B9FC0" w14:textId="77777777" w:rsidR="00D822D6" w:rsidRPr="00B710B0" w:rsidRDefault="00D822D6" w:rsidP="00D822D6">
      <w:pPr>
        <w:pStyle w:val="AbstHead"/>
        <w:spacing w:after="0"/>
        <w:jc w:val="both"/>
        <w:rPr>
          <w:rFonts w:ascii="Arial" w:hAnsi="Arial" w:cs="Arial"/>
        </w:rPr>
      </w:pPr>
    </w:p>
    <w:p w14:paraId="470C5819" w14:textId="77777777" w:rsidR="00D822D6" w:rsidRPr="00B710B0" w:rsidRDefault="007205F6" w:rsidP="00D822D6">
      <w:pPr>
        <w:pStyle w:val="Body"/>
        <w:spacing w:after="0"/>
        <w:rPr>
          <w:rFonts w:ascii="Arial" w:hAnsi="Arial" w:cs="Arial"/>
          <w:b/>
          <w:bCs/>
          <w:lang w:val="en"/>
        </w:rPr>
      </w:pPr>
      <w:r w:rsidRPr="00B710B0">
        <w:rPr>
          <w:rFonts w:ascii="Arial" w:hAnsi="Arial" w:cs="Arial"/>
          <w:b/>
          <w:bCs/>
          <w:lang w:val="en"/>
        </w:rPr>
        <w:t xml:space="preserve">2.1 </w:t>
      </w:r>
      <w:r w:rsidR="00D822D6" w:rsidRPr="00B710B0">
        <w:rPr>
          <w:rFonts w:ascii="Arial" w:hAnsi="Arial" w:cs="Arial"/>
          <w:b/>
          <w:bCs/>
          <w:lang w:val="en"/>
        </w:rPr>
        <w:t>Study area</w:t>
      </w:r>
    </w:p>
    <w:p w14:paraId="3F9C9EA2" w14:textId="77777777" w:rsidR="00D25912" w:rsidRPr="00B710B0" w:rsidRDefault="00D25912" w:rsidP="00D822D6">
      <w:pPr>
        <w:pStyle w:val="Body"/>
        <w:spacing w:after="0"/>
        <w:rPr>
          <w:rFonts w:ascii="Arial" w:hAnsi="Arial" w:cs="Arial"/>
          <w:b/>
          <w:bCs/>
          <w:i/>
          <w:iCs/>
          <w:lang w:val="en"/>
        </w:rPr>
      </w:pPr>
    </w:p>
    <w:p w14:paraId="767E87BD" w14:textId="6F533328" w:rsidR="00D822D6" w:rsidRPr="00B710B0" w:rsidRDefault="00D822D6" w:rsidP="002A2816">
      <w:pPr>
        <w:pStyle w:val="Body"/>
        <w:rPr>
          <w:rFonts w:ascii="Arial" w:hAnsi="Arial" w:cs="Arial"/>
          <w:b/>
          <w:bCs/>
          <w:lang w:val="en"/>
        </w:rPr>
      </w:pPr>
      <w:r w:rsidRPr="00B710B0">
        <w:rPr>
          <w:rFonts w:ascii="Arial" w:hAnsi="Arial" w:cs="Arial"/>
          <w:lang w:val="en"/>
        </w:rPr>
        <w:t>The study was undertaken in Thika East Sub</w:t>
      </w:r>
      <w:r w:rsidR="001D560E" w:rsidRPr="00B710B0">
        <w:rPr>
          <w:rFonts w:ascii="Arial" w:hAnsi="Arial" w:cs="Arial"/>
          <w:lang w:val="en"/>
        </w:rPr>
        <w:t>-C</w:t>
      </w:r>
      <w:r w:rsidRPr="00B710B0">
        <w:rPr>
          <w:rFonts w:ascii="Arial" w:hAnsi="Arial" w:cs="Arial"/>
          <w:lang w:val="en"/>
        </w:rPr>
        <w:t xml:space="preserve">ounty, Kiambu County, Kenya, which is located approximately 42 </w:t>
      </w:r>
      <w:r w:rsidRPr="00B710B0">
        <w:rPr>
          <w:rFonts w:ascii="Arial" w:hAnsi="Arial" w:cs="Arial"/>
        </w:rPr>
        <w:t>km</w:t>
      </w:r>
      <w:r w:rsidRPr="00B710B0">
        <w:rPr>
          <w:rFonts w:ascii="Arial" w:hAnsi="Arial" w:cs="Arial"/>
          <w:lang w:val="en"/>
        </w:rPr>
        <w:t xml:space="preserve"> north of Nairobi City. It lies between latitude 1⁰01'59.74''S and longitude 37⁰04'9.59''E of the equator. The area experiences a subtropical highland climate, receiving average annual rainfall of 1,100mm (range: 900–1250mm) and average temperatures of 19.6°C. Although most of the study area is residential in nature, peri-urban livestock farming is prevalent. The number of chickens, cattle, sheep, goats kept by farmers in the study area were 151,380, 9,620, 7,733 and 36,333, respectively in the latest census (KNBS, 2019).</w:t>
      </w:r>
    </w:p>
    <w:p w14:paraId="6F2A4429" w14:textId="77777777" w:rsidR="00D822D6" w:rsidRPr="00B710B0" w:rsidRDefault="007205F6" w:rsidP="002A2816">
      <w:pPr>
        <w:pStyle w:val="Body"/>
        <w:spacing w:after="0"/>
        <w:rPr>
          <w:rFonts w:ascii="Arial" w:hAnsi="Arial" w:cs="Arial"/>
          <w:b/>
          <w:bCs/>
          <w:lang w:val="en"/>
        </w:rPr>
      </w:pPr>
      <w:r w:rsidRPr="00B710B0">
        <w:rPr>
          <w:rFonts w:ascii="Arial" w:hAnsi="Arial" w:cs="Arial"/>
          <w:b/>
          <w:bCs/>
          <w:lang w:val="en"/>
        </w:rPr>
        <w:t xml:space="preserve">2.2 </w:t>
      </w:r>
      <w:r w:rsidR="00D822D6" w:rsidRPr="00B710B0">
        <w:rPr>
          <w:rFonts w:ascii="Arial" w:hAnsi="Arial" w:cs="Arial"/>
          <w:b/>
          <w:bCs/>
          <w:lang w:val="en"/>
        </w:rPr>
        <w:t>Study design, sampling strategy and sample size determination</w:t>
      </w:r>
    </w:p>
    <w:p w14:paraId="4385C551" w14:textId="77777777" w:rsidR="00D25912" w:rsidRPr="00B710B0" w:rsidRDefault="00D25912" w:rsidP="002A2816">
      <w:pPr>
        <w:pStyle w:val="Body"/>
        <w:spacing w:after="0"/>
        <w:rPr>
          <w:rFonts w:ascii="Arial" w:hAnsi="Arial" w:cs="Arial"/>
          <w:b/>
          <w:bCs/>
          <w:i/>
          <w:iCs/>
          <w:lang w:val="en"/>
        </w:rPr>
      </w:pPr>
    </w:p>
    <w:p w14:paraId="7DEF87F8" w14:textId="7F3B4D31" w:rsidR="00D822D6" w:rsidRPr="00B710B0" w:rsidRDefault="00D822D6" w:rsidP="00D822D6">
      <w:pPr>
        <w:pStyle w:val="Body"/>
        <w:spacing w:after="0"/>
        <w:rPr>
          <w:rFonts w:ascii="Arial" w:hAnsi="Arial" w:cs="Arial"/>
          <w:lang w:val="en"/>
        </w:rPr>
      </w:pPr>
      <w:r w:rsidRPr="00B710B0">
        <w:rPr>
          <w:rFonts w:ascii="Arial" w:hAnsi="Arial" w:cs="Arial"/>
          <w:lang w:val="en"/>
        </w:rPr>
        <w:t xml:space="preserve">A cross-sectional study design was employed to investigate the prevalence of common bacteria present in guts of chicken kept by the farmers. The farms served as the sampling unit. The sample size for this study was calculated following Fisher’s </w:t>
      </w:r>
      <w:r w:rsidRPr="00B710B0">
        <w:rPr>
          <w:rFonts w:ascii="Arial" w:hAnsi="Arial" w:cs="Arial"/>
        </w:rPr>
        <w:t>formula</w:t>
      </w:r>
      <w:r w:rsidRPr="00B710B0">
        <w:rPr>
          <w:rFonts w:ascii="Arial" w:hAnsi="Arial" w:cs="Arial"/>
          <w:lang w:val="en"/>
        </w:rPr>
        <w:t xml:space="preserve"> and adjusted for small populations (</w:t>
      </w:r>
      <w:r w:rsidRPr="00B710B0">
        <w:rPr>
          <w:rFonts w:ascii="Arial" w:hAnsi="Arial" w:cs="Arial"/>
        </w:rPr>
        <w:t xml:space="preserve">Fisher </w:t>
      </w:r>
      <w:r w:rsidRPr="00B710B0">
        <w:rPr>
          <w:rFonts w:ascii="Arial" w:hAnsi="Arial" w:cs="Arial"/>
          <w:i/>
        </w:rPr>
        <w:t>et al</w:t>
      </w:r>
      <w:r w:rsidRPr="00B710B0">
        <w:rPr>
          <w:rFonts w:ascii="Arial" w:hAnsi="Arial" w:cs="Arial"/>
        </w:rPr>
        <w:t>., 1990</w:t>
      </w:r>
      <w:r w:rsidRPr="00B710B0">
        <w:rPr>
          <w:rFonts w:ascii="Arial" w:hAnsi="Arial" w:cs="Arial"/>
          <w:lang w:val="en"/>
        </w:rPr>
        <w:t>)</w:t>
      </w:r>
      <w:r w:rsidRPr="00B710B0">
        <w:rPr>
          <w:rFonts w:ascii="Arial" w:hAnsi="Arial" w:cs="Arial"/>
        </w:rPr>
        <w:t xml:space="preserve">. The expected prevalence of 82% based on a previous study (Carron </w:t>
      </w:r>
      <w:r w:rsidRPr="00B710B0">
        <w:rPr>
          <w:rFonts w:ascii="Arial" w:hAnsi="Arial" w:cs="Arial"/>
          <w:i/>
        </w:rPr>
        <w:t>et al</w:t>
      </w:r>
      <w:r w:rsidRPr="00B710B0">
        <w:rPr>
          <w:rFonts w:ascii="Arial" w:hAnsi="Arial" w:cs="Arial"/>
        </w:rPr>
        <w:t>. 2018) was used in the calculations. The minimum sample size was 196</w:t>
      </w:r>
      <w:r w:rsidR="001D560E" w:rsidRPr="00B710B0">
        <w:rPr>
          <w:rFonts w:ascii="Arial" w:hAnsi="Arial" w:cs="Arial"/>
        </w:rPr>
        <w:t>.</w:t>
      </w:r>
      <w:r w:rsidRPr="00B710B0">
        <w:rPr>
          <w:rFonts w:ascii="Arial" w:hAnsi="Arial" w:cs="Arial"/>
        </w:rPr>
        <w:t xml:space="preserve"> In this study, </w:t>
      </w:r>
      <w:r w:rsidRPr="00B710B0">
        <w:rPr>
          <w:rFonts w:ascii="Arial" w:hAnsi="Arial" w:cs="Arial"/>
          <w:lang w:val="en"/>
        </w:rPr>
        <w:t xml:space="preserve">a total of 200 chickens were sampled. </w:t>
      </w:r>
    </w:p>
    <w:p w14:paraId="6940233C" w14:textId="4D7E8434" w:rsidR="00D822D6" w:rsidRPr="00B710B0" w:rsidRDefault="00D822D6" w:rsidP="00D822D6">
      <w:pPr>
        <w:pStyle w:val="Body"/>
        <w:spacing w:after="0"/>
        <w:rPr>
          <w:rFonts w:ascii="Arial" w:hAnsi="Arial" w:cs="Arial"/>
          <w:lang w:val="en"/>
        </w:rPr>
      </w:pPr>
      <w:r w:rsidRPr="00B710B0">
        <w:rPr>
          <w:rFonts w:ascii="Arial" w:hAnsi="Arial" w:cs="Arial"/>
          <w:lang w:val="en"/>
        </w:rPr>
        <w:t xml:space="preserve">Eight (8) farms were randomly sampled per ward across the five administrative wards in Thika East </w:t>
      </w:r>
      <w:r w:rsidR="001D560E" w:rsidRPr="00B710B0">
        <w:rPr>
          <w:rFonts w:ascii="Arial" w:hAnsi="Arial" w:cs="Arial"/>
          <w:lang w:val="en"/>
        </w:rPr>
        <w:t>S</w:t>
      </w:r>
      <w:r w:rsidRPr="00B710B0">
        <w:rPr>
          <w:rFonts w:ascii="Arial" w:hAnsi="Arial" w:cs="Arial"/>
          <w:lang w:val="en"/>
        </w:rPr>
        <w:t>ub</w:t>
      </w:r>
      <w:r w:rsidR="001D560E" w:rsidRPr="00B710B0">
        <w:rPr>
          <w:rFonts w:ascii="Arial" w:hAnsi="Arial" w:cs="Arial"/>
          <w:lang w:val="en"/>
        </w:rPr>
        <w:t>-C</w:t>
      </w:r>
      <w:r w:rsidRPr="00B710B0">
        <w:rPr>
          <w:rFonts w:ascii="Arial" w:hAnsi="Arial" w:cs="Arial"/>
          <w:lang w:val="en"/>
        </w:rPr>
        <w:t xml:space="preserve">ounty yielding to 40 farms in total. Fourty (40) mature chickens (5 from each farm) were sampled from each of the five wards giving a total of 200 birds in the whole study area. </w:t>
      </w:r>
    </w:p>
    <w:p w14:paraId="5C94B599" w14:textId="77777777" w:rsidR="00D53DFD" w:rsidRPr="00B710B0" w:rsidRDefault="00D53DFD" w:rsidP="00D822D6">
      <w:pPr>
        <w:pStyle w:val="Body"/>
        <w:spacing w:after="0"/>
        <w:rPr>
          <w:rFonts w:ascii="Arial" w:hAnsi="Arial" w:cs="Arial"/>
          <w:lang w:val="el-GR"/>
        </w:rPr>
      </w:pPr>
    </w:p>
    <w:p w14:paraId="500791A3" w14:textId="77777777" w:rsidR="00D822D6" w:rsidRPr="00B710B0" w:rsidRDefault="007205F6" w:rsidP="00D822D6">
      <w:pPr>
        <w:pStyle w:val="Body"/>
        <w:spacing w:after="0"/>
        <w:rPr>
          <w:rFonts w:ascii="Arial" w:hAnsi="Arial" w:cs="Arial"/>
          <w:b/>
          <w:bCs/>
          <w:iCs/>
          <w:lang w:val="en"/>
        </w:rPr>
      </w:pPr>
      <w:r w:rsidRPr="00B710B0">
        <w:rPr>
          <w:rFonts w:ascii="Arial" w:hAnsi="Arial" w:cs="Arial"/>
          <w:b/>
          <w:bCs/>
          <w:iCs/>
          <w:lang w:val="en"/>
        </w:rPr>
        <w:t xml:space="preserve">2.3 </w:t>
      </w:r>
      <w:r w:rsidR="00D822D6" w:rsidRPr="00B710B0">
        <w:rPr>
          <w:rFonts w:ascii="Arial" w:hAnsi="Arial" w:cs="Arial"/>
          <w:b/>
          <w:bCs/>
          <w:iCs/>
          <w:lang w:val="en"/>
        </w:rPr>
        <w:t>Questionnaire administration and risk assessment</w:t>
      </w:r>
    </w:p>
    <w:p w14:paraId="4D6AF900" w14:textId="77777777" w:rsidR="00D25912" w:rsidRPr="00B710B0" w:rsidRDefault="00D25912" w:rsidP="00D822D6">
      <w:pPr>
        <w:pStyle w:val="Body"/>
        <w:spacing w:after="0"/>
        <w:rPr>
          <w:rFonts w:ascii="Arial" w:hAnsi="Arial" w:cs="Arial"/>
          <w:lang w:val="en"/>
        </w:rPr>
      </w:pPr>
    </w:p>
    <w:p w14:paraId="1BDF463A" w14:textId="15774653" w:rsidR="00D822D6" w:rsidRPr="00B710B0" w:rsidRDefault="00D822D6" w:rsidP="00D822D6">
      <w:pPr>
        <w:pStyle w:val="Body"/>
        <w:spacing w:after="0"/>
        <w:rPr>
          <w:rFonts w:ascii="Arial" w:hAnsi="Arial" w:cs="Arial"/>
          <w:lang w:val="en"/>
        </w:rPr>
      </w:pPr>
      <w:r w:rsidRPr="00B710B0">
        <w:rPr>
          <w:rFonts w:ascii="Arial" w:hAnsi="Arial" w:cs="Arial"/>
          <w:lang w:val="en"/>
        </w:rPr>
        <w:t>A structured questionnaire was administered to household head of the farm to gather data on bird's age, production systems, antibiotic use, biosecurity measures and dietary behavior. These variables were analyzed to determine their association with the pr</w:t>
      </w:r>
      <w:r w:rsidR="001D560E" w:rsidRPr="00B710B0">
        <w:rPr>
          <w:rFonts w:ascii="Arial" w:hAnsi="Arial" w:cs="Arial"/>
          <w:lang w:val="en"/>
        </w:rPr>
        <w:t>evalence</w:t>
      </w:r>
      <w:r w:rsidRPr="00B710B0">
        <w:rPr>
          <w:rFonts w:ascii="Arial" w:hAnsi="Arial" w:cs="Arial"/>
          <w:lang w:val="en"/>
        </w:rPr>
        <w:t xml:space="preserve"> of gut bacteria in chickens.</w:t>
      </w:r>
    </w:p>
    <w:p w14:paraId="5F95CEA6" w14:textId="77777777" w:rsidR="00D53DFD" w:rsidRPr="00B710B0" w:rsidRDefault="00D53DFD" w:rsidP="00D822D6">
      <w:pPr>
        <w:pStyle w:val="Body"/>
        <w:spacing w:after="0"/>
        <w:rPr>
          <w:rFonts w:ascii="Arial" w:hAnsi="Arial" w:cs="Arial"/>
          <w:lang w:val="en"/>
        </w:rPr>
      </w:pPr>
    </w:p>
    <w:p w14:paraId="11259D42" w14:textId="77777777" w:rsidR="00D822D6" w:rsidRPr="00B710B0" w:rsidRDefault="007205F6" w:rsidP="00D822D6">
      <w:pPr>
        <w:pStyle w:val="Body"/>
        <w:spacing w:after="0"/>
        <w:rPr>
          <w:rFonts w:ascii="Arial" w:hAnsi="Arial" w:cs="Arial"/>
          <w:b/>
          <w:bCs/>
          <w:iCs/>
          <w:lang w:val="en"/>
        </w:rPr>
      </w:pPr>
      <w:r w:rsidRPr="00B710B0">
        <w:rPr>
          <w:rFonts w:ascii="Arial" w:hAnsi="Arial" w:cs="Arial"/>
          <w:b/>
          <w:bCs/>
          <w:iCs/>
          <w:lang w:val="en"/>
        </w:rPr>
        <w:t xml:space="preserve">2.4 </w:t>
      </w:r>
      <w:r w:rsidR="00D822D6" w:rsidRPr="00B710B0">
        <w:rPr>
          <w:rFonts w:ascii="Arial" w:hAnsi="Arial" w:cs="Arial"/>
          <w:b/>
          <w:bCs/>
          <w:iCs/>
          <w:lang w:val="en"/>
        </w:rPr>
        <w:t>Fecal sample collection and bacterial identification</w:t>
      </w:r>
    </w:p>
    <w:p w14:paraId="6B0EB67B" w14:textId="77777777" w:rsidR="00D25912" w:rsidRPr="00B710B0" w:rsidRDefault="00D25912" w:rsidP="00D822D6">
      <w:pPr>
        <w:pStyle w:val="Body"/>
        <w:spacing w:after="0"/>
        <w:rPr>
          <w:rFonts w:ascii="Arial" w:hAnsi="Arial" w:cs="Arial"/>
          <w:b/>
          <w:bCs/>
          <w:iCs/>
          <w:lang w:val="en"/>
        </w:rPr>
      </w:pPr>
    </w:p>
    <w:p w14:paraId="2E7B6DCB" w14:textId="77777777" w:rsidR="00D822D6" w:rsidRPr="00B710B0" w:rsidRDefault="00D822D6" w:rsidP="00D822D6">
      <w:pPr>
        <w:pStyle w:val="Body"/>
        <w:spacing w:after="0"/>
        <w:rPr>
          <w:rFonts w:ascii="Arial" w:hAnsi="Arial" w:cs="Arial"/>
          <w:lang w:val="en"/>
        </w:rPr>
      </w:pPr>
      <w:r w:rsidRPr="00B710B0">
        <w:rPr>
          <w:rFonts w:ascii="Arial" w:hAnsi="Arial" w:cs="Arial"/>
          <w:lang w:val="en"/>
        </w:rPr>
        <w:t xml:space="preserve">The chicken </w:t>
      </w:r>
      <w:proofErr w:type="gramStart"/>
      <w:r w:rsidRPr="00B710B0">
        <w:rPr>
          <w:rFonts w:ascii="Arial" w:hAnsi="Arial" w:cs="Arial"/>
          <w:lang w:val="en"/>
        </w:rPr>
        <w:t>were</w:t>
      </w:r>
      <w:proofErr w:type="gramEnd"/>
      <w:r w:rsidRPr="00B710B0">
        <w:rPr>
          <w:rFonts w:ascii="Arial" w:hAnsi="Arial" w:cs="Arial"/>
          <w:lang w:val="en"/>
        </w:rPr>
        <w:t xml:space="preserve"> restrained and cloacal swabs collected using the protocols outlined by </w:t>
      </w:r>
      <w:r w:rsidRPr="00B710B0">
        <w:rPr>
          <w:rFonts w:ascii="Arial" w:hAnsi="Arial" w:cs="Arial"/>
        </w:rPr>
        <w:t xml:space="preserve">Soria </w:t>
      </w:r>
      <w:r w:rsidRPr="00B710B0">
        <w:rPr>
          <w:rFonts w:ascii="Arial" w:hAnsi="Arial" w:cs="Arial"/>
          <w:i/>
        </w:rPr>
        <w:t>et al</w:t>
      </w:r>
      <w:r w:rsidRPr="00B710B0">
        <w:rPr>
          <w:rFonts w:ascii="Arial" w:hAnsi="Arial" w:cs="Arial"/>
        </w:rPr>
        <w:t>. (2017)</w:t>
      </w:r>
      <w:r w:rsidRPr="00B710B0">
        <w:rPr>
          <w:rFonts w:ascii="Arial" w:hAnsi="Arial" w:cs="Arial"/>
          <w:lang w:val="en"/>
        </w:rPr>
        <w:t xml:space="preserve">. The bird peri-cloacal area was disinfected with 70% ethanol using sterile cotton wool after which a sterile swab was introduced into the </w:t>
      </w:r>
      <w:r w:rsidRPr="00B710B0">
        <w:rPr>
          <w:rFonts w:ascii="Arial" w:hAnsi="Arial" w:cs="Arial"/>
          <w:lang w:val="en"/>
        </w:rPr>
        <w:lastRenderedPageBreak/>
        <w:t>cloacal cavity and swapped gently. The samples put in sterile containers, labelled, transported in ice-cooled boxes to the JKUAT Microbiology laboratory and where they were store at 4ºC until processing.</w:t>
      </w:r>
    </w:p>
    <w:p w14:paraId="502FC7CE" w14:textId="77777777" w:rsidR="00D822D6" w:rsidRPr="00B710B0" w:rsidRDefault="00D822D6" w:rsidP="00D822D6">
      <w:pPr>
        <w:pStyle w:val="Body"/>
        <w:spacing w:after="0"/>
        <w:rPr>
          <w:rFonts w:ascii="Arial" w:hAnsi="Arial" w:cs="Arial"/>
          <w:lang w:val="en"/>
        </w:rPr>
      </w:pPr>
      <w:r w:rsidRPr="00B710B0">
        <w:rPr>
          <w:rFonts w:ascii="Arial" w:hAnsi="Arial" w:cs="Arial"/>
          <w:lang w:val="en"/>
        </w:rPr>
        <w:t xml:space="preserve">For culture and identification, swabs were streaked onto MacConkey and Blood agar plates, following protocols from </w:t>
      </w:r>
      <w:r w:rsidRPr="00B710B0">
        <w:rPr>
          <w:rFonts w:ascii="Arial" w:hAnsi="Arial" w:cs="Arial"/>
        </w:rPr>
        <w:t xml:space="preserve">McCue and Bishop, (2021) </w:t>
      </w:r>
      <w:r w:rsidRPr="00B710B0">
        <w:rPr>
          <w:rFonts w:ascii="Arial" w:hAnsi="Arial" w:cs="Arial"/>
          <w:lang w:val="en"/>
        </w:rPr>
        <w:t xml:space="preserve">and incubated for 24 hours at 37°C. Colonies were identified on the basis of colony characteristics, Gram stain and biochemical tests. </w:t>
      </w:r>
    </w:p>
    <w:p w14:paraId="5411197A" w14:textId="77777777" w:rsidR="00D25912" w:rsidRPr="00B710B0" w:rsidRDefault="00D25912" w:rsidP="00D822D6">
      <w:pPr>
        <w:pStyle w:val="Body"/>
        <w:spacing w:after="0"/>
        <w:rPr>
          <w:rFonts w:ascii="Arial" w:hAnsi="Arial" w:cs="Arial"/>
          <w:lang w:val="en"/>
        </w:rPr>
      </w:pPr>
    </w:p>
    <w:p w14:paraId="2F0B4FE3" w14:textId="77777777" w:rsidR="00D822D6" w:rsidRPr="00B710B0" w:rsidRDefault="007205F6" w:rsidP="00D822D6">
      <w:pPr>
        <w:pStyle w:val="Body"/>
        <w:spacing w:after="0"/>
        <w:rPr>
          <w:rFonts w:ascii="Arial" w:hAnsi="Arial" w:cs="Arial"/>
          <w:b/>
          <w:bCs/>
          <w:iCs/>
          <w:lang w:val="en"/>
        </w:rPr>
      </w:pPr>
      <w:r w:rsidRPr="00B710B0">
        <w:rPr>
          <w:rFonts w:ascii="Arial" w:hAnsi="Arial" w:cs="Arial"/>
          <w:b/>
          <w:bCs/>
          <w:iCs/>
          <w:lang w:val="en"/>
        </w:rPr>
        <w:t xml:space="preserve">2.5 </w:t>
      </w:r>
      <w:r w:rsidR="00D822D6" w:rsidRPr="00B710B0">
        <w:rPr>
          <w:rFonts w:ascii="Arial" w:hAnsi="Arial" w:cs="Arial"/>
          <w:b/>
          <w:bCs/>
          <w:iCs/>
          <w:lang w:val="en"/>
        </w:rPr>
        <w:t xml:space="preserve">Neem oil preparation and susceptibility test  </w:t>
      </w:r>
    </w:p>
    <w:p w14:paraId="600486E3" w14:textId="77777777" w:rsidR="00D25912" w:rsidRPr="00B710B0" w:rsidRDefault="00D25912" w:rsidP="00D822D6">
      <w:pPr>
        <w:pStyle w:val="Body"/>
        <w:spacing w:after="0"/>
        <w:rPr>
          <w:rFonts w:ascii="Arial" w:hAnsi="Arial" w:cs="Arial"/>
          <w:b/>
          <w:bCs/>
          <w:iCs/>
          <w:lang w:val="en"/>
        </w:rPr>
      </w:pPr>
    </w:p>
    <w:p w14:paraId="28B7A0FC" w14:textId="77777777" w:rsidR="00D822D6" w:rsidRPr="00B710B0" w:rsidRDefault="00D822D6" w:rsidP="00D822D6">
      <w:pPr>
        <w:pStyle w:val="Body"/>
        <w:spacing w:after="0"/>
        <w:rPr>
          <w:rFonts w:ascii="Arial" w:hAnsi="Arial" w:cs="Arial"/>
          <w:lang w:val="en"/>
        </w:rPr>
      </w:pPr>
      <w:r w:rsidRPr="00B710B0">
        <w:rPr>
          <w:rFonts w:ascii="Arial" w:hAnsi="Arial" w:cs="Arial"/>
          <w:lang w:val="en"/>
        </w:rPr>
        <w:t xml:space="preserve">One kilogram of dried neem seeds </w:t>
      </w:r>
      <w:proofErr w:type="gramStart"/>
      <w:r w:rsidRPr="00B710B0">
        <w:rPr>
          <w:rFonts w:ascii="Arial" w:hAnsi="Arial" w:cs="Arial"/>
          <w:lang w:val="en"/>
        </w:rPr>
        <w:t>were</w:t>
      </w:r>
      <w:proofErr w:type="gramEnd"/>
      <w:r w:rsidRPr="00B710B0">
        <w:rPr>
          <w:rFonts w:ascii="Arial" w:hAnsi="Arial" w:cs="Arial"/>
          <w:lang w:val="en"/>
        </w:rPr>
        <w:t xml:space="preserve"> obtained from Kenya Forestry Research Institute (KEFRI). The neem oil was extracted from the seeds using the solvent extraction method by </w:t>
      </w:r>
      <w:r w:rsidRPr="00B710B0">
        <w:rPr>
          <w:rFonts w:ascii="Arial" w:hAnsi="Arial" w:cs="Arial"/>
        </w:rPr>
        <w:t xml:space="preserve">Awolu </w:t>
      </w:r>
      <w:r w:rsidRPr="00B710B0">
        <w:rPr>
          <w:rFonts w:ascii="Arial" w:hAnsi="Arial" w:cs="Arial"/>
          <w:i/>
        </w:rPr>
        <w:t>et al.</w:t>
      </w:r>
      <w:r w:rsidRPr="00B710B0">
        <w:rPr>
          <w:rFonts w:ascii="Arial" w:hAnsi="Arial" w:cs="Arial"/>
        </w:rPr>
        <w:t xml:space="preserve"> (2013). </w:t>
      </w:r>
      <w:r w:rsidRPr="00B710B0">
        <w:rPr>
          <w:rFonts w:ascii="Arial" w:hAnsi="Arial" w:cs="Arial"/>
          <w:lang w:val="en"/>
        </w:rPr>
        <w:t xml:space="preserve">The seeds were ground, soaked in 1L of acetone, filtered and evaporated by use of rotary evaporator to obtain neem oil. The encapsulation process described by </w:t>
      </w:r>
      <w:r w:rsidRPr="00B710B0">
        <w:rPr>
          <w:rFonts w:ascii="Arial" w:hAnsi="Arial" w:cs="Arial"/>
        </w:rPr>
        <w:t>Ghoshal and Sandal, (2024)</w:t>
      </w:r>
      <w:r w:rsidRPr="00B710B0">
        <w:rPr>
          <w:rFonts w:ascii="Arial" w:hAnsi="Arial" w:cs="Arial"/>
          <w:lang w:val="en"/>
        </w:rPr>
        <w:t xml:space="preserve"> was applied in this study. The extracted neem oil was encapsulated with 50 grams of commercially obtained Chitosan which was first dissolved in 1L of 10% acetic acid. Succinic acid (200ml) was added as a cross-linking agent. Two emulsions were prepared</w:t>
      </w:r>
      <w:r w:rsidRPr="00B710B0">
        <w:rPr>
          <w:rFonts w:ascii="Arial" w:hAnsi="Arial" w:cs="Arial"/>
        </w:rPr>
        <w:t xml:space="preserve">, one with </w:t>
      </w:r>
      <w:r w:rsidRPr="00B710B0">
        <w:rPr>
          <w:rFonts w:ascii="Arial" w:hAnsi="Arial" w:cs="Arial"/>
          <w:lang w:val="en"/>
        </w:rPr>
        <w:t>50ml of extracted neem oil</w:t>
      </w:r>
      <w:r w:rsidRPr="00B710B0">
        <w:rPr>
          <w:rFonts w:ascii="Arial" w:hAnsi="Arial" w:cs="Arial"/>
        </w:rPr>
        <w:t xml:space="preserve"> and the other</w:t>
      </w:r>
      <w:r w:rsidRPr="00B710B0">
        <w:rPr>
          <w:rFonts w:ascii="Arial" w:hAnsi="Arial" w:cs="Arial"/>
          <w:lang w:val="en"/>
        </w:rPr>
        <w:t xml:space="preserve"> with 50ml of commercial neem oil (</w:t>
      </w:r>
      <w:proofErr w:type="spellStart"/>
      <w:r w:rsidRPr="00B710B0">
        <w:rPr>
          <w:rFonts w:ascii="Arial" w:hAnsi="Arial" w:cs="Arial"/>
          <w:lang w:val="en"/>
        </w:rPr>
        <w:t>Maraorganics</w:t>
      </w:r>
      <w:proofErr w:type="spellEnd"/>
      <w:r w:rsidRPr="00B710B0">
        <w:rPr>
          <w:rFonts w:ascii="Arial" w:hAnsi="Arial" w:cs="Arial"/>
          <w:lang w:val="en"/>
        </w:rPr>
        <w:t>®) (India). The emulsions were centrifuged to remove unreacted components and dried at 105°C for 72 hours. The dried product was stored at 4°C until use.</w:t>
      </w:r>
    </w:p>
    <w:p w14:paraId="27A7BA51" w14:textId="77777777" w:rsidR="00D822D6" w:rsidRPr="00B710B0" w:rsidRDefault="00D822D6" w:rsidP="00D822D6">
      <w:pPr>
        <w:pStyle w:val="Body"/>
        <w:spacing w:after="0"/>
        <w:rPr>
          <w:rFonts w:ascii="Arial" w:hAnsi="Arial" w:cs="Arial"/>
          <w:lang w:val="en"/>
        </w:rPr>
      </w:pPr>
      <w:r w:rsidRPr="00B710B0">
        <w:rPr>
          <w:rFonts w:ascii="Arial" w:hAnsi="Arial" w:cs="Arial"/>
          <w:lang w:val="en"/>
        </w:rPr>
        <w:t xml:space="preserve">Disc diffusion paper discs were prepared following procedure described by clinical and laboratory standards. Briefly, the </w:t>
      </w:r>
      <w:proofErr w:type="spellStart"/>
      <w:r w:rsidRPr="00B710B0">
        <w:rPr>
          <w:rFonts w:ascii="Arial" w:hAnsi="Arial" w:cs="Arial"/>
          <w:lang w:val="en"/>
        </w:rPr>
        <w:t>Whatmans</w:t>
      </w:r>
      <w:proofErr w:type="spellEnd"/>
      <w:r w:rsidRPr="00B710B0">
        <w:rPr>
          <w:rFonts w:ascii="Arial" w:hAnsi="Arial" w:cs="Arial"/>
          <w:lang w:val="en"/>
        </w:rPr>
        <w:t xml:space="preserve"> filter paper no. 1 was used to make disc of 6mm in circumference which were positioned in a petri dish and sterilized at 105ºC for 15 mins by autoclaving. Three Whatman filter paper discs were positioned marginally and pressed gently onto the surface of Mueller Hinton agar (MHA) inoculated plate (Mehta </w:t>
      </w:r>
      <w:r w:rsidRPr="00B710B0">
        <w:rPr>
          <w:rFonts w:ascii="Arial" w:hAnsi="Arial" w:cs="Arial"/>
          <w:i/>
          <w:lang w:val="en"/>
        </w:rPr>
        <w:t>et al</w:t>
      </w:r>
      <w:r w:rsidRPr="00B710B0">
        <w:rPr>
          <w:rFonts w:ascii="Arial" w:hAnsi="Arial" w:cs="Arial"/>
          <w:lang w:val="en"/>
        </w:rPr>
        <w:t>., 2022). Marking corresponding to the different concentrations, including the controls were marked on the culture plate. The discs were distributed evenly such that they were not close than 24mm from each other.</w:t>
      </w:r>
    </w:p>
    <w:p w14:paraId="68A375F0" w14:textId="77777777" w:rsidR="00D822D6" w:rsidRPr="00B710B0" w:rsidRDefault="00D822D6" w:rsidP="00D822D6">
      <w:pPr>
        <w:pStyle w:val="Body"/>
        <w:spacing w:after="0"/>
        <w:rPr>
          <w:rFonts w:ascii="Arial" w:hAnsi="Arial" w:cs="Arial"/>
          <w:lang w:val="en"/>
        </w:rPr>
      </w:pPr>
      <w:r w:rsidRPr="00B710B0">
        <w:rPr>
          <w:rFonts w:ascii="Arial" w:hAnsi="Arial" w:cs="Arial"/>
          <w:lang w:val="en"/>
        </w:rPr>
        <w:t xml:space="preserve">Using distilled water, CENO was prepared into three varying concentrations of the extract: 0.1, 0.2 and 0.3g/mL, which could be kept in distinct labelled aliquots in the fridge. One drop of the varied concentration (0.1g/mL, 0.2g/mL and 0.3g/mL) of the CENO was placed on the matching disks according to the marking made on the inoculated plate. </w:t>
      </w:r>
    </w:p>
    <w:p w14:paraId="61F06116" w14:textId="77777777" w:rsidR="00D822D6" w:rsidRPr="00B710B0" w:rsidRDefault="00D822D6" w:rsidP="00D822D6">
      <w:pPr>
        <w:pStyle w:val="Body"/>
        <w:spacing w:after="0"/>
        <w:rPr>
          <w:rFonts w:ascii="Arial" w:hAnsi="Arial" w:cs="Arial"/>
          <w:lang w:val="en"/>
        </w:rPr>
      </w:pPr>
      <w:r w:rsidRPr="00B710B0">
        <w:rPr>
          <w:rFonts w:ascii="Arial" w:hAnsi="Arial" w:cs="Arial"/>
          <w:lang w:val="en"/>
        </w:rPr>
        <w:t>The antimicrobial activity of commercial antibiotics (Penicillin (10µg), Tetracycline (30µg), Nalidixic acid (30µg), Ciprofloxacin (30µg)) (</w:t>
      </w:r>
      <w:proofErr w:type="spellStart"/>
      <w:r w:rsidRPr="00B710B0">
        <w:rPr>
          <w:rFonts w:ascii="Arial" w:hAnsi="Arial" w:cs="Arial"/>
          <w:lang w:val="en"/>
        </w:rPr>
        <w:t>HiMedia</w:t>
      </w:r>
      <w:proofErr w:type="spellEnd"/>
      <w:r w:rsidRPr="00B710B0">
        <w:rPr>
          <w:rFonts w:ascii="Arial" w:hAnsi="Arial" w:cs="Arial"/>
          <w:lang w:val="en"/>
        </w:rPr>
        <w:t xml:space="preserve">, India) against pure isolates of </w:t>
      </w:r>
      <w:r w:rsidRPr="00B710B0">
        <w:rPr>
          <w:rFonts w:ascii="Arial" w:hAnsi="Arial" w:cs="Arial"/>
          <w:i/>
          <w:iCs/>
          <w:lang w:val="en"/>
        </w:rPr>
        <w:t xml:space="preserve">E. coli </w:t>
      </w:r>
      <w:r w:rsidRPr="00B710B0">
        <w:rPr>
          <w:rFonts w:ascii="Arial" w:hAnsi="Arial" w:cs="Arial"/>
          <w:lang w:val="en"/>
        </w:rPr>
        <w:t>(39),</w:t>
      </w:r>
      <w:r w:rsidRPr="00B710B0">
        <w:rPr>
          <w:rFonts w:ascii="Arial" w:hAnsi="Arial" w:cs="Arial"/>
          <w:i/>
          <w:iCs/>
          <w:lang w:val="en"/>
        </w:rPr>
        <w:t xml:space="preserve"> Salmonella </w:t>
      </w:r>
      <w:r w:rsidRPr="00B710B0">
        <w:rPr>
          <w:rFonts w:ascii="Arial" w:hAnsi="Arial" w:cs="Arial"/>
          <w:iCs/>
          <w:lang w:val="en"/>
        </w:rPr>
        <w:t>spp</w:t>
      </w:r>
      <w:r w:rsidRPr="00B710B0">
        <w:rPr>
          <w:rFonts w:ascii="Arial" w:hAnsi="Arial" w:cs="Arial"/>
          <w:lang w:val="en"/>
        </w:rPr>
        <w:t xml:space="preserve">. (39), </w:t>
      </w:r>
      <w:r w:rsidRPr="00B710B0">
        <w:rPr>
          <w:rFonts w:ascii="Arial" w:hAnsi="Arial" w:cs="Arial"/>
          <w:i/>
          <w:iCs/>
          <w:lang w:val="en"/>
        </w:rPr>
        <w:t xml:space="preserve">S. aureus </w:t>
      </w:r>
      <w:r w:rsidRPr="00B710B0">
        <w:rPr>
          <w:rFonts w:ascii="Arial" w:hAnsi="Arial" w:cs="Arial"/>
          <w:lang w:val="en"/>
        </w:rPr>
        <w:t xml:space="preserve">(30), and </w:t>
      </w:r>
      <w:r w:rsidRPr="00B710B0">
        <w:rPr>
          <w:rFonts w:ascii="Arial" w:hAnsi="Arial" w:cs="Arial"/>
          <w:i/>
          <w:iCs/>
          <w:lang w:val="en"/>
        </w:rPr>
        <w:t xml:space="preserve">Enterococcus </w:t>
      </w:r>
      <w:r w:rsidRPr="00B710B0">
        <w:rPr>
          <w:rFonts w:ascii="Arial" w:hAnsi="Arial" w:cs="Arial"/>
          <w:iCs/>
          <w:lang w:val="en"/>
        </w:rPr>
        <w:t>spp. (26)</w:t>
      </w:r>
      <w:r w:rsidRPr="00B710B0">
        <w:rPr>
          <w:rFonts w:ascii="Arial" w:hAnsi="Arial" w:cs="Arial"/>
          <w:i/>
          <w:iCs/>
          <w:lang w:val="en"/>
        </w:rPr>
        <w:t>,</w:t>
      </w:r>
      <w:r w:rsidRPr="00B710B0">
        <w:rPr>
          <w:rFonts w:ascii="Arial" w:hAnsi="Arial" w:cs="Arial"/>
          <w:lang w:val="en"/>
        </w:rPr>
        <w:t xml:space="preserve"> was tested using Kirby-Bauer disk diffusion technique (CLSI, 2024). The same method was also used to evaluate the </w:t>
      </w:r>
      <w:r w:rsidRPr="00B710B0">
        <w:rPr>
          <w:rFonts w:ascii="Arial" w:hAnsi="Arial" w:cs="Arial"/>
          <w:i/>
          <w:iCs/>
          <w:lang w:val="en"/>
        </w:rPr>
        <w:t>in vitro</w:t>
      </w:r>
      <w:r w:rsidRPr="00B710B0">
        <w:rPr>
          <w:rFonts w:ascii="Arial" w:hAnsi="Arial" w:cs="Arial"/>
          <w:lang w:val="en"/>
        </w:rPr>
        <w:t xml:space="preserve"> activity of encapsulated neem oil (0.1g/mL, 0.2g/mL, and 0.3g/mL) using the same profile of bacteria. Briefly, Mueller-Hinton agar plates were inoculated with a bacterial inoculation of 0.5 McFarland turbidity and thereafter antibiotics discs and neem oil were incubated at 37ºC for 18 hours. The zone of inhibition bacterial growth was determined using Vernier caliper and was classified as resistant, sensitive and intermediate according to CLSI, (2024) guidelines. </w:t>
      </w:r>
    </w:p>
    <w:p w14:paraId="5DC96E38" w14:textId="77777777" w:rsidR="00D25912" w:rsidRPr="00B710B0" w:rsidRDefault="00D25912" w:rsidP="00D822D6">
      <w:pPr>
        <w:pStyle w:val="Body"/>
        <w:spacing w:after="0"/>
        <w:rPr>
          <w:rFonts w:ascii="Arial" w:hAnsi="Arial" w:cs="Arial"/>
          <w:lang w:val="en"/>
        </w:rPr>
      </w:pPr>
    </w:p>
    <w:p w14:paraId="13964365" w14:textId="77777777" w:rsidR="00D822D6" w:rsidRPr="00B710B0" w:rsidRDefault="007205F6" w:rsidP="00D822D6">
      <w:pPr>
        <w:pStyle w:val="Body"/>
        <w:spacing w:after="0"/>
        <w:rPr>
          <w:rFonts w:ascii="Arial" w:hAnsi="Arial" w:cs="Arial"/>
          <w:b/>
          <w:bCs/>
          <w:lang w:val="en"/>
        </w:rPr>
      </w:pPr>
      <w:r w:rsidRPr="00B710B0">
        <w:rPr>
          <w:rFonts w:ascii="Arial" w:hAnsi="Arial" w:cs="Arial"/>
          <w:b/>
          <w:bCs/>
          <w:lang w:val="en"/>
        </w:rPr>
        <w:t xml:space="preserve">2.6 </w:t>
      </w:r>
      <w:r w:rsidR="00D822D6" w:rsidRPr="00B710B0">
        <w:rPr>
          <w:rFonts w:ascii="Arial" w:hAnsi="Arial" w:cs="Arial"/>
          <w:b/>
          <w:bCs/>
          <w:lang w:val="en"/>
        </w:rPr>
        <w:t>Data analysis</w:t>
      </w:r>
    </w:p>
    <w:p w14:paraId="06A4467F" w14:textId="77777777" w:rsidR="00D25912" w:rsidRPr="00B710B0" w:rsidRDefault="00D25912" w:rsidP="00D822D6">
      <w:pPr>
        <w:pStyle w:val="Body"/>
        <w:spacing w:after="0"/>
        <w:rPr>
          <w:rFonts w:ascii="Arial" w:hAnsi="Arial" w:cs="Arial"/>
          <w:b/>
          <w:bCs/>
          <w:lang w:val="en"/>
        </w:rPr>
      </w:pPr>
    </w:p>
    <w:p w14:paraId="67313094" w14:textId="57F44AF2" w:rsidR="00D822D6" w:rsidRPr="00B710B0" w:rsidRDefault="00D822D6" w:rsidP="00D822D6">
      <w:pPr>
        <w:pStyle w:val="Body"/>
        <w:spacing w:after="0"/>
        <w:rPr>
          <w:rFonts w:ascii="Arial" w:hAnsi="Arial" w:cs="Arial"/>
          <w:lang w:val="en"/>
        </w:rPr>
      </w:pPr>
      <w:r w:rsidRPr="00B710B0">
        <w:rPr>
          <w:rFonts w:ascii="Arial" w:hAnsi="Arial" w:cs="Arial"/>
          <w:lang w:val="en"/>
        </w:rPr>
        <w:t xml:space="preserve">The survey and laboratory </w:t>
      </w:r>
      <w:r w:rsidR="001D560E" w:rsidRPr="00B710B0">
        <w:rPr>
          <w:rFonts w:ascii="Arial" w:hAnsi="Arial" w:cs="Arial"/>
          <w:lang w:val="en"/>
        </w:rPr>
        <w:t xml:space="preserve">data </w:t>
      </w:r>
      <w:r w:rsidRPr="00B710B0">
        <w:rPr>
          <w:rFonts w:ascii="Arial" w:hAnsi="Arial" w:cs="Arial"/>
          <w:lang w:val="en"/>
        </w:rPr>
        <w:t>were coded and entered in Microsoft Excel vs 2019 (Microsoft Corporation, USA) and exported to SPSS software (SPSS vs 2020) (IBM, USA) for statistical analysis. Descriptive statistics were generated and presented in tables and figures. The relationship between risk factors and prevalence of chicken gut bacteria was tested using χ² test at a significance level of p &lt; 0.05.</w:t>
      </w:r>
    </w:p>
    <w:p w14:paraId="652191AE" w14:textId="77777777" w:rsidR="00790ADA" w:rsidRPr="00B710B0" w:rsidRDefault="00790ADA" w:rsidP="00441B6F">
      <w:pPr>
        <w:pStyle w:val="Body"/>
        <w:spacing w:after="0"/>
        <w:rPr>
          <w:rFonts w:ascii="Arial" w:hAnsi="Arial" w:cs="Arial"/>
        </w:rPr>
      </w:pPr>
    </w:p>
    <w:p w14:paraId="53DE99F9" w14:textId="77777777" w:rsidR="00902823" w:rsidRPr="00B710B0" w:rsidRDefault="00000F8F" w:rsidP="00441B6F">
      <w:pPr>
        <w:pStyle w:val="Head1"/>
        <w:spacing w:after="0"/>
        <w:jc w:val="both"/>
        <w:rPr>
          <w:rFonts w:ascii="Arial" w:hAnsi="Arial" w:cs="Arial"/>
        </w:rPr>
      </w:pPr>
      <w:r w:rsidRPr="00B710B0">
        <w:rPr>
          <w:rFonts w:ascii="Arial" w:hAnsi="Arial" w:cs="Arial"/>
        </w:rPr>
        <w:t>3</w:t>
      </w:r>
      <w:r w:rsidR="00902823" w:rsidRPr="00B710B0">
        <w:rPr>
          <w:rFonts w:ascii="Arial" w:hAnsi="Arial" w:cs="Arial"/>
        </w:rPr>
        <w:t xml:space="preserve">. </w:t>
      </w:r>
      <w:r w:rsidR="00062358" w:rsidRPr="00B710B0">
        <w:rPr>
          <w:rFonts w:ascii="Arial" w:hAnsi="Arial" w:cs="Arial"/>
        </w:rPr>
        <w:t>results</w:t>
      </w:r>
    </w:p>
    <w:p w14:paraId="1DC5D687" w14:textId="77777777" w:rsidR="00231374" w:rsidRPr="00B710B0" w:rsidRDefault="00231374" w:rsidP="00231374">
      <w:pPr>
        <w:pStyle w:val="Body"/>
        <w:spacing w:after="0"/>
        <w:rPr>
          <w:rFonts w:ascii="Arial" w:hAnsi="Arial" w:cs="Arial"/>
          <w:b/>
          <w:caps/>
          <w:sz w:val="22"/>
        </w:rPr>
      </w:pPr>
    </w:p>
    <w:p w14:paraId="49C3B031" w14:textId="77777777" w:rsidR="00231374" w:rsidRPr="00B710B0" w:rsidRDefault="00062358" w:rsidP="00231374">
      <w:pPr>
        <w:pStyle w:val="Body"/>
        <w:spacing w:after="0"/>
        <w:rPr>
          <w:rFonts w:ascii="Arial" w:hAnsi="Arial" w:cs="Arial"/>
          <w:b/>
          <w:bCs/>
          <w:lang w:val="en"/>
        </w:rPr>
      </w:pPr>
      <w:r w:rsidRPr="00B710B0">
        <w:rPr>
          <w:rFonts w:ascii="Arial" w:hAnsi="Arial" w:cs="Arial"/>
          <w:b/>
          <w:bCs/>
          <w:lang w:val="en"/>
        </w:rPr>
        <w:t xml:space="preserve">3.1 </w:t>
      </w:r>
      <w:r w:rsidR="00231374" w:rsidRPr="00B710B0">
        <w:rPr>
          <w:rFonts w:ascii="Arial" w:hAnsi="Arial" w:cs="Arial"/>
          <w:b/>
          <w:bCs/>
          <w:lang w:val="en"/>
        </w:rPr>
        <w:t>Prevalence gut bacteria in chicken reared in Thika East subcounty</w:t>
      </w:r>
    </w:p>
    <w:p w14:paraId="734B15A6" w14:textId="77777777" w:rsidR="00D25912" w:rsidRPr="00B710B0" w:rsidRDefault="00D25912" w:rsidP="00231374">
      <w:pPr>
        <w:pStyle w:val="Body"/>
        <w:spacing w:after="0"/>
        <w:rPr>
          <w:rFonts w:ascii="Arial" w:hAnsi="Arial" w:cs="Arial"/>
          <w:b/>
          <w:bCs/>
          <w:lang w:val="en"/>
        </w:rPr>
      </w:pPr>
    </w:p>
    <w:p w14:paraId="228A76F2" w14:textId="77777777" w:rsidR="00231374" w:rsidRPr="00B710B0" w:rsidRDefault="00231374" w:rsidP="0086649F">
      <w:pPr>
        <w:pStyle w:val="Body"/>
        <w:rPr>
          <w:rFonts w:ascii="Arial" w:hAnsi="Arial" w:cs="Arial"/>
          <w:lang w:val="en"/>
        </w:rPr>
      </w:pPr>
      <w:r w:rsidRPr="00B710B0">
        <w:rPr>
          <w:rFonts w:ascii="Arial" w:hAnsi="Arial" w:cs="Arial"/>
          <w:lang w:val="en"/>
        </w:rPr>
        <w:t xml:space="preserve">The overall prevalence of gut bacterial infections in the chicken was 88.5% (177/200). The number of bacteria isolates were 332 and consisted of </w:t>
      </w:r>
      <w:r w:rsidRPr="00B710B0">
        <w:rPr>
          <w:rFonts w:ascii="Arial" w:hAnsi="Arial" w:cs="Arial"/>
          <w:i/>
          <w:lang w:val="en"/>
        </w:rPr>
        <w:t>Salmonella</w:t>
      </w:r>
      <w:r w:rsidRPr="00B710B0">
        <w:rPr>
          <w:rFonts w:ascii="Arial" w:hAnsi="Arial" w:cs="Arial"/>
          <w:lang w:val="en"/>
        </w:rPr>
        <w:t xml:space="preserve"> spp. (66.5%), </w:t>
      </w:r>
      <w:r w:rsidRPr="00B710B0">
        <w:rPr>
          <w:rFonts w:ascii="Arial" w:hAnsi="Arial" w:cs="Arial"/>
          <w:i/>
          <w:lang w:val="en"/>
        </w:rPr>
        <w:t>E. coli</w:t>
      </w:r>
      <w:r w:rsidRPr="00B710B0">
        <w:rPr>
          <w:rFonts w:ascii="Arial" w:hAnsi="Arial" w:cs="Arial"/>
          <w:lang w:val="en"/>
        </w:rPr>
        <w:t xml:space="preserve"> (61.0%), </w:t>
      </w:r>
      <w:r w:rsidRPr="00B710B0">
        <w:rPr>
          <w:rFonts w:ascii="Arial" w:hAnsi="Arial" w:cs="Arial"/>
          <w:i/>
          <w:lang w:val="en"/>
        </w:rPr>
        <w:t>S. aureus</w:t>
      </w:r>
      <w:r w:rsidRPr="00B710B0">
        <w:rPr>
          <w:rFonts w:ascii="Arial" w:hAnsi="Arial" w:cs="Arial"/>
          <w:lang w:val="en"/>
        </w:rPr>
        <w:t xml:space="preserve"> (24.0%) and </w:t>
      </w:r>
      <w:r w:rsidRPr="00B710B0">
        <w:rPr>
          <w:rFonts w:ascii="Arial" w:hAnsi="Arial" w:cs="Arial"/>
          <w:i/>
          <w:lang w:val="en"/>
        </w:rPr>
        <w:t>Enterococcus</w:t>
      </w:r>
      <w:r w:rsidRPr="00B710B0">
        <w:rPr>
          <w:rFonts w:ascii="Arial" w:hAnsi="Arial" w:cs="Arial"/>
          <w:lang w:val="en"/>
        </w:rPr>
        <w:t xml:space="preserve"> spp. (14.5%). Among the gut bacteria isolated from the chicken, </w:t>
      </w:r>
      <w:r w:rsidRPr="00B710B0">
        <w:rPr>
          <w:rFonts w:ascii="Arial" w:hAnsi="Arial" w:cs="Arial"/>
          <w:i/>
          <w:lang w:val="en"/>
        </w:rPr>
        <w:t>Salmonella</w:t>
      </w:r>
      <w:r w:rsidRPr="00B710B0">
        <w:rPr>
          <w:rFonts w:ascii="Arial" w:hAnsi="Arial" w:cs="Arial"/>
          <w:lang w:val="en"/>
        </w:rPr>
        <w:t xml:space="preserve"> spp. were the predominant pathogen in chicken from Hospital (77.5%) and Gatuanyaga (70.7%) wards. The isolation rates for </w:t>
      </w:r>
      <w:r w:rsidRPr="00B710B0">
        <w:rPr>
          <w:rFonts w:ascii="Arial" w:hAnsi="Arial" w:cs="Arial"/>
          <w:i/>
          <w:lang w:val="en"/>
        </w:rPr>
        <w:t>E. coli</w:t>
      </w:r>
      <w:r w:rsidRPr="00B710B0">
        <w:rPr>
          <w:rFonts w:ascii="Arial" w:hAnsi="Arial" w:cs="Arial"/>
          <w:lang w:val="en"/>
        </w:rPr>
        <w:t xml:space="preserve"> and </w:t>
      </w:r>
      <w:r w:rsidRPr="00B710B0">
        <w:rPr>
          <w:rFonts w:ascii="Arial" w:hAnsi="Arial" w:cs="Arial"/>
          <w:i/>
          <w:lang w:val="en"/>
        </w:rPr>
        <w:t>S. aureus</w:t>
      </w:r>
      <w:r w:rsidRPr="00B710B0">
        <w:rPr>
          <w:rFonts w:ascii="Arial" w:hAnsi="Arial" w:cs="Arial"/>
          <w:lang w:val="en"/>
        </w:rPr>
        <w:t xml:space="preserve"> in chicken kept in Gatuanyaga was 65% and 27.5%, respectively. </w:t>
      </w:r>
      <w:r w:rsidRPr="00B710B0">
        <w:rPr>
          <w:rFonts w:ascii="Arial" w:hAnsi="Arial" w:cs="Arial"/>
          <w:i/>
          <w:lang w:val="en"/>
        </w:rPr>
        <w:t>Enterococcus</w:t>
      </w:r>
      <w:r w:rsidRPr="00B710B0">
        <w:rPr>
          <w:rFonts w:ascii="Arial" w:hAnsi="Arial" w:cs="Arial"/>
          <w:lang w:val="en"/>
        </w:rPr>
        <w:t xml:space="preserve"> spp. were highly isolated in chicken f</w:t>
      </w:r>
      <w:r w:rsidR="00CC4046" w:rsidRPr="00B710B0">
        <w:rPr>
          <w:rFonts w:ascii="Arial" w:hAnsi="Arial" w:cs="Arial"/>
          <w:lang w:val="en"/>
        </w:rPr>
        <w:t>rom Goliba Ward at 20.0% (Table</w:t>
      </w:r>
      <w:r w:rsidRPr="00B710B0">
        <w:rPr>
          <w:rFonts w:ascii="Arial" w:hAnsi="Arial" w:cs="Arial"/>
          <w:lang w:val="en"/>
        </w:rPr>
        <w:t>1).</w:t>
      </w:r>
    </w:p>
    <w:p w14:paraId="3501DC49" w14:textId="77777777" w:rsidR="00D25912" w:rsidRPr="00B710B0" w:rsidRDefault="00D25912" w:rsidP="0086649F">
      <w:pPr>
        <w:pStyle w:val="Body"/>
        <w:rPr>
          <w:rFonts w:ascii="Arial" w:hAnsi="Arial" w:cs="Arial"/>
          <w:lang w:val="en"/>
        </w:rPr>
      </w:pPr>
    </w:p>
    <w:p w14:paraId="236CA31B" w14:textId="77777777" w:rsidR="00D25912" w:rsidRPr="00B710B0" w:rsidRDefault="00D25912" w:rsidP="0086649F">
      <w:pPr>
        <w:pStyle w:val="Body"/>
        <w:rPr>
          <w:rFonts w:ascii="Arial" w:hAnsi="Arial" w:cs="Arial"/>
          <w:lang w:val="en"/>
        </w:rPr>
      </w:pPr>
    </w:p>
    <w:p w14:paraId="19B9FA55" w14:textId="77777777" w:rsidR="00D25912" w:rsidRPr="00B710B0" w:rsidRDefault="00D25912" w:rsidP="0086649F">
      <w:pPr>
        <w:pStyle w:val="Body"/>
        <w:rPr>
          <w:rFonts w:ascii="Arial" w:hAnsi="Arial" w:cs="Arial"/>
          <w:lang w:val="en"/>
        </w:rPr>
      </w:pPr>
    </w:p>
    <w:p w14:paraId="0EC55936" w14:textId="77777777" w:rsidR="00231374" w:rsidRPr="00B710B0" w:rsidRDefault="00CC4046" w:rsidP="00231374">
      <w:pPr>
        <w:pStyle w:val="Body"/>
        <w:spacing w:after="0"/>
        <w:rPr>
          <w:rFonts w:ascii="Arial" w:hAnsi="Arial" w:cs="Arial"/>
          <w:b/>
          <w:bCs/>
          <w:lang w:val="en"/>
        </w:rPr>
      </w:pPr>
      <w:r w:rsidRPr="00B710B0">
        <w:rPr>
          <w:rFonts w:ascii="Arial" w:hAnsi="Arial" w:cs="Arial"/>
          <w:b/>
          <w:bCs/>
          <w:lang w:val="en"/>
        </w:rPr>
        <w:t xml:space="preserve">Table </w:t>
      </w:r>
      <w:r w:rsidR="00231374" w:rsidRPr="00B710B0">
        <w:rPr>
          <w:rFonts w:ascii="Arial" w:hAnsi="Arial" w:cs="Arial"/>
          <w:b/>
          <w:bCs/>
          <w:lang w:val="en"/>
        </w:rPr>
        <w:t>1: Prevalence of gut bacteria from chicken of Thika East Sub-County, Kenya</w:t>
      </w:r>
    </w:p>
    <w:p w14:paraId="43FC2749" w14:textId="77777777" w:rsidR="003A0378" w:rsidRPr="00B710B0" w:rsidRDefault="003A0378" w:rsidP="00231374">
      <w:pPr>
        <w:pStyle w:val="Body"/>
        <w:spacing w:after="0"/>
        <w:rPr>
          <w:rFonts w:ascii="Arial" w:hAnsi="Arial" w:cs="Arial"/>
          <w:b/>
          <w:bCs/>
          <w:lang w:val="en"/>
        </w:rPr>
      </w:pPr>
    </w:p>
    <w:tbl>
      <w:tblPr>
        <w:tblW w:w="8658" w:type="dxa"/>
        <w:tblLayout w:type="fixed"/>
        <w:tblLook w:val="0000" w:firstRow="0" w:lastRow="0" w:firstColumn="0" w:lastColumn="0" w:noHBand="0" w:noVBand="0"/>
      </w:tblPr>
      <w:tblGrid>
        <w:gridCol w:w="1548"/>
        <w:gridCol w:w="1440"/>
        <w:gridCol w:w="1260"/>
        <w:gridCol w:w="1170"/>
        <w:gridCol w:w="1080"/>
        <w:gridCol w:w="1080"/>
        <w:gridCol w:w="1080"/>
      </w:tblGrid>
      <w:tr w:rsidR="00231374" w:rsidRPr="00B710B0" w14:paraId="04006252" w14:textId="77777777" w:rsidTr="003A0378">
        <w:trPr>
          <w:trHeight w:val="467"/>
        </w:trPr>
        <w:tc>
          <w:tcPr>
            <w:tcW w:w="1548" w:type="dxa"/>
            <w:vMerge w:val="restart"/>
            <w:tcBorders>
              <w:top w:val="single" w:sz="4" w:space="0" w:color="auto"/>
              <w:bottom w:val="single" w:sz="4" w:space="0" w:color="auto"/>
            </w:tcBorders>
            <w:shd w:val="clear" w:color="auto" w:fill="FFFFFF" w:themeFill="background1"/>
            <w:vAlign w:val="center"/>
          </w:tcPr>
          <w:p w14:paraId="3B7BFDFA" w14:textId="77777777" w:rsidR="00231374" w:rsidRPr="00B710B0" w:rsidRDefault="00231374" w:rsidP="00231374">
            <w:pPr>
              <w:pStyle w:val="Body"/>
              <w:spacing w:after="0"/>
              <w:jc w:val="left"/>
              <w:rPr>
                <w:rFonts w:ascii="Arial" w:hAnsi="Arial" w:cs="Arial"/>
                <w:b/>
                <w:bCs/>
                <w:lang w:val="en"/>
              </w:rPr>
            </w:pPr>
            <w:r w:rsidRPr="00B710B0">
              <w:rPr>
                <w:rFonts w:ascii="Arial" w:hAnsi="Arial" w:cs="Arial"/>
                <w:b/>
                <w:bCs/>
                <w:lang w:val="en"/>
              </w:rPr>
              <w:lastRenderedPageBreak/>
              <w:t xml:space="preserve">Bacterial </w:t>
            </w:r>
          </w:p>
          <w:p w14:paraId="1ECB2D39" w14:textId="77777777" w:rsidR="00231374" w:rsidRPr="00B710B0" w:rsidRDefault="00231374" w:rsidP="00231374">
            <w:pPr>
              <w:pStyle w:val="Body"/>
              <w:spacing w:after="0"/>
              <w:jc w:val="left"/>
              <w:rPr>
                <w:rFonts w:ascii="Arial" w:hAnsi="Arial" w:cs="Arial"/>
                <w:lang w:val="en"/>
              </w:rPr>
            </w:pPr>
            <w:r w:rsidRPr="00B710B0">
              <w:rPr>
                <w:rFonts w:ascii="Arial" w:hAnsi="Arial" w:cs="Arial"/>
                <w:b/>
                <w:bCs/>
                <w:lang w:val="en"/>
              </w:rPr>
              <w:t>species</w:t>
            </w:r>
          </w:p>
        </w:tc>
        <w:tc>
          <w:tcPr>
            <w:tcW w:w="6030" w:type="dxa"/>
            <w:gridSpan w:val="5"/>
            <w:tcBorders>
              <w:top w:val="single" w:sz="4" w:space="0" w:color="auto"/>
              <w:bottom w:val="single" w:sz="4" w:space="0" w:color="auto"/>
            </w:tcBorders>
            <w:shd w:val="clear" w:color="auto" w:fill="FFFFFF" w:themeFill="background1"/>
            <w:vAlign w:val="center"/>
          </w:tcPr>
          <w:p w14:paraId="7392AF88" w14:textId="77777777" w:rsidR="00231374" w:rsidRPr="00B710B0" w:rsidRDefault="00231374" w:rsidP="00231374">
            <w:pPr>
              <w:pStyle w:val="Body"/>
              <w:spacing w:after="0"/>
              <w:jc w:val="center"/>
              <w:rPr>
                <w:rFonts w:ascii="Arial" w:hAnsi="Arial" w:cs="Arial"/>
                <w:lang w:val="en"/>
              </w:rPr>
            </w:pPr>
            <w:r w:rsidRPr="00B710B0">
              <w:rPr>
                <w:rFonts w:ascii="Arial" w:hAnsi="Arial" w:cs="Arial"/>
                <w:b/>
                <w:bCs/>
                <w:lang w:val="en"/>
              </w:rPr>
              <w:t>Wards</w:t>
            </w:r>
          </w:p>
        </w:tc>
        <w:tc>
          <w:tcPr>
            <w:tcW w:w="1080" w:type="dxa"/>
            <w:vMerge w:val="restart"/>
            <w:tcBorders>
              <w:top w:val="single" w:sz="4" w:space="0" w:color="auto"/>
              <w:bottom w:val="single" w:sz="4" w:space="0" w:color="auto"/>
            </w:tcBorders>
            <w:shd w:val="clear" w:color="auto" w:fill="FFFFFF" w:themeFill="background1"/>
          </w:tcPr>
          <w:p w14:paraId="5D64EDB7" w14:textId="77777777" w:rsidR="00231374" w:rsidRPr="00B710B0" w:rsidRDefault="00231374" w:rsidP="00231374">
            <w:pPr>
              <w:pStyle w:val="Body"/>
              <w:spacing w:after="0"/>
              <w:rPr>
                <w:rFonts w:ascii="Arial" w:hAnsi="Arial" w:cs="Arial"/>
                <w:lang w:val="en"/>
              </w:rPr>
            </w:pPr>
            <w:r w:rsidRPr="00B710B0">
              <w:rPr>
                <w:rFonts w:ascii="Arial" w:hAnsi="Arial" w:cs="Arial"/>
                <w:b/>
                <w:bCs/>
                <w:lang w:val="en"/>
              </w:rPr>
              <w:t>Total N (%)</w:t>
            </w:r>
          </w:p>
        </w:tc>
      </w:tr>
      <w:tr w:rsidR="00231374" w:rsidRPr="00B710B0" w14:paraId="6002A1F5" w14:textId="77777777" w:rsidTr="003A0378">
        <w:trPr>
          <w:trHeight w:val="557"/>
        </w:trPr>
        <w:tc>
          <w:tcPr>
            <w:tcW w:w="1548" w:type="dxa"/>
            <w:vMerge/>
            <w:tcBorders>
              <w:top w:val="single" w:sz="4" w:space="0" w:color="auto"/>
              <w:bottom w:val="single" w:sz="4" w:space="0" w:color="auto"/>
            </w:tcBorders>
            <w:shd w:val="clear" w:color="auto" w:fill="FFFFFF" w:themeFill="background1"/>
          </w:tcPr>
          <w:p w14:paraId="1DC8994A" w14:textId="77777777" w:rsidR="00231374" w:rsidRPr="00B710B0" w:rsidRDefault="00231374" w:rsidP="00231374">
            <w:pPr>
              <w:pStyle w:val="Body"/>
              <w:spacing w:after="0"/>
              <w:rPr>
                <w:rFonts w:ascii="Arial" w:hAnsi="Arial" w:cs="Arial"/>
                <w:lang w:val="en"/>
              </w:rPr>
            </w:pPr>
          </w:p>
        </w:tc>
        <w:tc>
          <w:tcPr>
            <w:tcW w:w="1440" w:type="dxa"/>
            <w:tcBorders>
              <w:top w:val="single" w:sz="4" w:space="0" w:color="auto"/>
              <w:bottom w:val="single" w:sz="4" w:space="0" w:color="auto"/>
            </w:tcBorders>
            <w:shd w:val="clear" w:color="auto" w:fill="FFFFFF" w:themeFill="background1"/>
          </w:tcPr>
          <w:p w14:paraId="33AD79E2" w14:textId="77777777" w:rsidR="00231374" w:rsidRPr="00B710B0" w:rsidRDefault="00231374" w:rsidP="00231374">
            <w:pPr>
              <w:pStyle w:val="Body"/>
              <w:spacing w:after="0"/>
              <w:rPr>
                <w:rFonts w:ascii="Arial" w:hAnsi="Arial" w:cs="Arial"/>
                <w:b/>
                <w:bCs/>
                <w:lang w:val="en"/>
              </w:rPr>
            </w:pPr>
            <w:r w:rsidRPr="00B710B0">
              <w:rPr>
                <w:rFonts w:ascii="Arial" w:hAnsi="Arial" w:cs="Arial"/>
                <w:b/>
                <w:bCs/>
                <w:lang w:val="en"/>
              </w:rPr>
              <w:t>Gatuanyaga</w:t>
            </w:r>
          </w:p>
          <w:p w14:paraId="2129B051" w14:textId="77777777" w:rsidR="00231374" w:rsidRPr="00B710B0" w:rsidRDefault="00231374" w:rsidP="00231374">
            <w:pPr>
              <w:pStyle w:val="Body"/>
              <w:spacing w:after="0"/>
              <w:rPr>
                <w:rFonts w:ascii="Arial" w:hAnsi="Arial" w:cs="Arial"/>
                <w:lang w:val="en"/>
              </w:rPr>
            </w:pPr>
            <w:r w:rsidRPr="00B710B0">
              <w:rPr>
                <w:rFonts w:ascii="Arial" w:hAnsi="Arial" w:cs="Arial"/>
                <w:b/>
                <w:bCs/>
                <w:lang w:val="en"/>
              </w:rPr>
              <w:t>n (%)</w:t>
            </w:r>
          </w:p>
        </w:tc>
        <w:tc>
          <w:tcPr>
            <w:tcW w:w="1260" w:type="dxa"/>
            <w:tcBorders>
              <w:top w:val="single" w:sz="4" w:space="0" w:color="auto"/>
              <w:bottom w:val="single" w:sz="4" w:space="0" w:color="auto"/>
            </w:tcBorders>
            <w:shd w:val="clear" w:color="auto" w:fill="FFFFFF" w:themeFill="background1"/>
          </w:tcPr>
          <w:p w14:paraId="575DC567" w14:textId="77777777" w:rsidR="00231374" w:rsidRPr="00B710B0" w:rsidRDefault="00231374" w:rsidP="00231374">
            <w:pPr>
              <w:pStyle w:val="Body"/>
              <w:spacing w:after="0"/>
              <w:rPr>
                <w:rFonts w:ascii="Arial" w:hAnsi="Arial" w:cs="Arial"/>
                <w:b/>
                <w:bCs/>
                <w:lang w:val="en"/>
              </w:rPr>
            </w:pPr>
            <w:r w:rsidRPr="00B710B0">
              <w:rPr>
                <w:rFonts w:ascii="Arial" w:hAnsi="Arial" w:cs="Arial"/>
                <w:b/>
                <w:bCs/>
                <w:lang w:val="en"/>
              </w:rPr>
              <w:t>Township</w:t>
            </w:r>
          </w:p>
          <w:p w14:paraId="436AE02D" w14:textId="77777777" w:rsidR="00231374" w:rsidRPr="00B710B0" w:rsidRDefault="00231374" w:rsidP="00231374">
            <w:pPr>
              <w:pStyle w:val="Body"/>
              <w:spacing w:after="0"/>
              <w:rPr>
                <w:rFonts w:ascii="Arial" w:hAnsi="Arial" w:cs="Arial"/>
                <w:lang w:val="en"/>
              </w:rPr>
            </w:pPr>
            <w:r w:rsidRPr="00B710B0">
              <w:rPr>
                <w:rFonts w:ascii="Arial" w:hAnsi="Arial" w:cs="Arial"/>
                <w:b/>
                <w:bCs/>
                <w:lang w:val="en"/>
              </w:rPr>
              <w:t xml:space="preserve"> n (%)</w:t>
            </w:r>
          </w:p>
        </w:tc>
        <w:tc>
          <w:tcPr>
            <w:tcW w:w="1170" w:type="dxa"/>
            <w:tcBorders>
              <w:top w:val="single" w:sz="4" w:space="0" w:color="auto"/>
              <w:bottom w:val="single" w:sz="4" w:space="0" w:color="auto"/>
            </w:tcBorders>
            <w:shd w:val="clear" w:color="auto" w:fill="FFFFFF" w:themeFill="background1"/>
          </w:tcPr>
          <w:p w14:paraId="7626FD6E" w14:textId="77777777" w:rsidR="00231374" w:rsidRPr="00B710B0" w:rsidRDefault="00231374" w:rsidP="00231374">
            <w:pPr>
              <w:pStyle w:val="Body"/>
              <w:spacing w:after="0"/>
              <w:rPr>
                <w:rFonts w:ascii="Arial" w:hAnsi="Arial" w:cs="Arial"/>
                <w:b/>
                <w:bCs/>
                <w:lang w:val="en"/>
              </w:rPr>
            </w:pPr>
            <w:r w:rsidRPr="00B710B0">
              <w:rPr>
                <w:rFonts w:ascii="Arial" w:hAnsi="Arial" w:cs="Arial"/>
                <w:b/>
                <w:bCs/>
                <w:lang w:val="en"/>
              </w:rPr>
              <w:t>Kamenu</w:t>
            </w:r>
          </w:p>
          <w:p w14:paraId="50D5520E" w14:textId="77777777" w:rsidR="00231374" w:rsidRPr="00B710B0" w:rsidRDefault="00231374" w:rsidP="00231374">
            <w:pPr>
              <w:pStyle w:val="Body"/>
              <w:spacing w:after="0"/>
              <w:rPr>
                <w:rFonts w:ascii="Arial" w:hAnsi="Arial" w:cs="Arial"/>
                <w:lang w:val="en"/>
              </w:rPr>
            </w:pPr>
            <w:r w:rsidRPr="00B710B0">
              <w:rPr>
                <w:rFonts w:ascii="Arial" w:hAnsi="Arial" w:cs="Arial"/>
                <w:b/>
                <w:bCs/>
                <w:lang w:val="en"/>
              </w:rPr>
              <w:t>(n%)</w:t>
            </w:r>
          </w:p>
        </w:tc>
        <w:tc>
          <w:tcPr>
            <w:tcW w:w="1080" w:type="dxa"/>
            <w:tcBorders>
              <w:top w:val="single" w:sz="4" w:space="0" w:color="auto"/>
              <w:bottom w:val="single" w:sz="4" w:space="0" w:color="auto"/>
            </w:tcBorders>
            <w:shd w:val="clear" w:color="auto" w:fill="FFFFFF" w:themeFill="background1"/>
          </w:tcPr>
          <w:p w14:paraId="22B9CEE9" w14:textId="77777777" w:rsidR="00231374" w:rsidRPr="00B710B0" w:rsidRDefault="00231374" w:rsidP="00231374">
            <w:pPr>
              <w:pStyle w:val="Body"/>
              <w:spacing w:after="0"/>
              <w:rPr>
                <w:rFonts w:ascii="Arial" w:hAnsi="Arial" w:cs="Arial"/>
                <w:b/>
                <w:bCs/>
                <w:lang w:val="en"/>
              </w:rPr>
            </w:pPr>
            <w:r w:rsidRPr="00B710B0">
              <w:rPr>
                <w:rFonts w:ascii="Arial" w:hAnsi="Arial" w:cs="Arial"/>
                <w:b/>
                <w:bCs/>
                <w:lang w:val="en"/>
              </w:rPr>
              <w:t>Hospital</w:t>
            </w:r>
          </w:p>
          <w:p w14:paraId="4D4382BB" w14:textId="77777777" w:rsidR="00231374" w:rsidRPr="00B710B0" w:rsidRDefault="00231374" w:rsidP="00231374">
            <w:pPr>
              <w:pStyle w:val="Body"/>
              <w:spacing w:after="0"/>
              <w:rPr>
                <w:rFonts w:ascii="Arial" w:hAnsi="Arial" w:cs="Arial"/>
                <w:lang w:val="en"/>
              </w:rPr>
            </w:pPr>
            <w:r w:rsidRPr="00B710B0">
              <w:rPr>
                <w:rFonts w:ascii="Arial" w:hAnsi="Arial" w:cs="Arial"/>
                <w:b/>
                <w:bCs/>
                <w:lang w:val="en"/>
              </w:rPr>
              <w:t>(n%)</w:t>
            </w:r>
          </w:p>
        </w:tc>
        <w:tc>
          <w:tcPr>
            <w:tcW w:w="1080" w:type="dxa"/>
            <w:tcBorders>
              <w:top w:val="single" w:sz="4" w:space="0" w:color="auto"/>
              <w:bottom w:val="single" w:sz="4" w:space="0" w:color="auto"/>
            </w:tcBorders>
            <w:shd w:val="clear" w:color="auto" w:fill="FFFFFF" w:themeFill="background1"/>
          </w:tcPr>
          <w:p w14:paraId="31FB21B7" w14:textId="77777777" w:rsidR="00231374" w:rsidRPr="00B710B0" w:rsidRDefault="00231374" w:rsidP="00231374">
            <w:pPr>
              <w:pStyle w:val="Body"/>
              <w:spacing w:after="0"/>
              <w:rPr>
                <w:rFonts w:ascii="Arial" w:hAnsi="Arial" w:cs="Arial"/>
                <w:b/>
                <w:bCs/>
                <w:lang w:val="en"/>
              </w:rPr>
            </w:pPr>
            <w:r w:rsidRPr="00B710B0">
              <w:rPr>
                <w:rFonts w:ascii="Arial" w:hAnsi="Arial" w:cs="Arial"/>
                <w:b/>
                <w:bCs/>
                <w:lang w:val="en"/>
              </w:rPr>
              <w:t>Goliba</w:t>
            </w:r>
          </w:p>
          <w:p w14:paraId="0A4944E6" w14:textId="77777777" w:rsidR="00231374" w:rsidRPr="00B710B0" w:rsidRDefault="00231374" w:rsidP="00231374">
            <w:pPr>
              <w:pStyle w:val="Body"/>
              <w:spacing w:after="0"/>
              <w:rPr>
                <w:rFonts w:ascii="Arial" w:hAnsi="Arial" w:cs="Arial"/>
                <w:lang w:val="en"/>
              </w:rPr>
            </w:pPr>
            <w:r w:rsidRPr="00B710B0">
              <w:rPr>
                <w:rFonts w:ascii="Arial" w:hAnsi="Arial" w:cs="Arial"/>
                <w:b/>
                <w:bCs/>
                <w:lang w:val="en"/>
              </w:rPr>
              <w:t>(n%)</w:t>
            </w:r>
          </w:p>
        </w:tc>
        <w:tc>
          <w:tcPr>
            <w:tcW w:w="1080" w:type="dxa"/>
            <w:vMerge/>
            <w:tcBorders>
              <w:top w:val="single" w:sz="4" w:space="0" w:color="auto"/>
              <w:bottom w:val="single" w:sz="4" w:space="0" w:color="auto"/>
            </w:tcBorders>
            <w:shd w:val="clear" w:color="auto" w:fill="FFFFFF" w:themeFill="background1"/>
          </w:tcPr>
          <w:p w14:paraId="37E4CFBF" w14:textId="77777777" w:rsidR="00231374" w:rsidRPr="00B710B0" w:rsidRDefault="00231374" w:rsidP="00231374">
            <w:pPr>
              <w:pStyle w:val="Body"/>
              <w:spacing w:after="0"/>
              <w:rPr>
                <w:rFonts w:ascii="Arial" w:hAnsi="Arial" w:cs="Arial"/>
                <w:lang w:val="en"/>
              </w:rPr>
            </w:pPr>
          </w:p>
        </w:tc>
      </w:tr>
      <w:tr w:rsidR="00231374" w:rsidRPr="00B710B0" w14:paraId="6D7D0A99" w14:textId="77777777" w:rsidTr="003A0378">
        <w:trPr>
          <w:trHeight w:val="1"/>
        </w:trPr>
        <w:tc>
          <w:tcPr>
            <w:tcW w:w="1548" w:type="dxa"/>
            <w:tcBorders>
              <w:top w:val="single" w:sz="4" w:space="0" w:color="auto"/>
            </w:tcBorders>
            <w:shd w:val="clear" w:color="auto" w:fill="FFFFFF" w:themeFill="background1"/>
          </w:tcPr>
          <w:p w14:paraId="600C3075" w14:textId="77777777" w:rsidR="00231374" w:rsidRPr="00B710B0" w:rsidRDefault="00231374" w:rsidP="00231374">
            <w:pPr>
              <w:pStyle w:val="Body"/>
              <w:spacing w:after="0"/>
              <w:rPr>
                <w:rFonts w:ascii="Arial" w:hAnsi="Arial" w:cs="Arial"/>
                <w:lang w:val="en"/>
              </w:rPr>
            </w:pPr>
            <w:r w:rsidRPr="00B710B0">
              <w:rPr>
                <w:rFonts w:ascii="Arial" w:hAnsi="Arial" w:cs="Arial"/>
                <w:i/>
                <w:iCs/>
                <w:lang w:val="en"/>
              </w:rPr>
              <w:t>Salmonella</w:t>
            </w:r>
            <w:r w:rsidRPr="00B710B0">
              <w:rPr>
                <w:rFonts w:ascii="Arial" w:hAnsi="Arial" w:cs="Arial"/>
                <w:lang w:val="en"/>
              </w:rPr>
              <w:t xml:space="preserve"> spp.</w:t>
            </w:r>
          </w:p>
        </w:tc>
        <w:tc>
          <w:tcPr>
            <w:tcW w:w="1440" w:type="dxa"/>
            <w:tcBorders>
              <w:top w:val="single" w:sz="4" w:space="0" w:color="auto"/>
            </w:tcBorders>
            <w:shd w:val="clear" w:color="auto" w:fill="FFFFFF" w:themeFill="background1"/>
          </w:tcPr>
          <w:p w14:paraId="4EABED64"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28 (70.0)</w:t>
            </w:r>
          </w:p>
        </w:tc>
        <w:tc>
          <w:tcPr>
            <w:tcW w:w="1260" w:type="dxa"/>
            <w:tcBorders>
              <w:top w:val="single" w:sz="4" w:space="0" w:color="auto"/>
            </w:tcBorders>
            <w:shd w:val="clear" w:color="auto" w:fill="FFFFFF" w:themeFill="background1"/>
          </w:tcPr>
          <w:p w14:paraId="34BEFCF4"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24 (60.0)</w:t>
            </w:r>
          </w:p>
        </w:tc>
        <w:tc>
          <w:tcPr>
            <w:tcW w:w="1170" w:type="dxa"/>
            <w:tcBorders>
              <w:top w:val="single" w:sz="4" w:space="0" w:color="auto"/>
            </w:tcBorders>
            <w:shd w:val="clear" w:color="auto" w:fill="FFFFFF" w:themeFill="background1"/>
          </w:tcPr>
          <w:p w14:paraId="1DFAFE80"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27 (67.5)</w:t>
            </w:r>
          </w:p>
        </w:tc>
        <w:tc>
          <w:tcPr>
            <w:tcW w:w="1080" w:type="dxa"/>
            <w:tcBorders>
              <w:top w:val="single" w:sz="4" w:space="0" w:color="auto"/>
            </w:tcBorders>
            <w:shd w:val="clear" w:color="auto" w:fill="FFFFFF" w:themeFill="background1"/>
          </w:tcPr>
          <w:p w14:paraId="41023085"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31 (77.5)</w:t>
            </w:r>
          </w:p>
        </w:tc>
        <w:tc>
          <w:tcPr>
            <w:tcW w:w="1080" w:type="dxa"/>
            <w:tcBorders>
              <w:top w:val="single" w:sz="4" w:space="0" w:color="auto"/>
            </w:tcBorders>
            <w:shd w:val="clear" w:color="auto" w:fill="FFFFFF" w:themeFill="background1"/>
          </w:tcPr>
          <w:p w14:paraId="0C0C24C1"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23 (57.5)</w:t>
            </w:r>
          </w:p>
        </w:tc>
        <w:tc>
          <w:tcPr>
            <w:tcW w:w="1080" w:type="dxa"/>
            <w:tcBorders>
              <w:top w:val="single" w:sz="4" w:space="0" w:color="auto"/>
            </w:tcBorders>
            <w:shd w:val="clear" w:color="auto" w:fill="FFFFFF" w:themeFill="background1"/>
          </w:tcPr>
          <w:p w14:paraId="48EAA9B3"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133 (66.5)</w:t>
            </w:r>
          </w:p>
        </w:tc>
      </w:tr>
      <w:tr w:rsidR="00231374" w:rsidRPr="00B710B0" w14:paraId="2FB1D10A" w14:textId="77777777" w:rsidTr="003A0378">
        <w:trPr>
          <w:trHeight w:val="386"/>
        </w:trPr>
        <w:tc>
          <w:tcPr>
            <w:tcW w:w="1548" w:type="dxa"/>
            <w:shd w:val="clear" w:color="auto" w:fill="FFFFFF" w:themeFill="background1"/>
          </w:tcPr>
          <w:p w14:paraId="710C6FDD" w14:textId="77777777" w:rsidR="00231374" w:rsidRPr="00B710B0" w:rsidRDefault="00231374" w:rsidP="00231374">
            <w:pPr>
              <w:pStyle w:val="Body"/>
              <w:spacing w:after="0"/>
              <w:rPr>
                <w:rFonts w:ascii="Arial" w:hAnsi="Arial" w:cs="Arial"/>
                <w:lang w:val="en"/>
              </w:rPr>
            </w:pPr>
            <w:r w:rsidRPr="00B710B0">
              <w:rPr>
                <w:rFonts w:ascii="Arial" w:hAnsi="Arial" w:cs="Arial"/>
                <w:i/>
                <w:iCs/>
                <w:lang w:val="en"/>
              </w:rPr>
              <w:t>E. coli.</w:t>
            </w:r>
          </w:p>
        </w:tc>
        <w:tc>
          <w:tcPr>
            <w:tcW w:w="1440" w:type="dxa"/>
            <w:shd w:val="clear" w:color="auto" w:fill="FFFFFF" w:themeFill="background1"/>
          </w:tcPr>
          <w:p w14:paraId="052C5ADD"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26 (65.0)</w:t>
            </w:r>
          </w:p>
        </w:tc>
        <w:tc>
          <w:tcPr>
            <w:tcW w:w="1260" w:type="dxa"/>
            <w:shd w:val="clear" w:color="auto" w:fill="FFFFFF" w:themeFill="background1"/>
          </w:tcPr>
          <w:p w14:paraId="11A68137"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26 (65.0)</w:t>
            </w:r>
          </w:p>
        </w:tc>
        <w:tc>
          <w:tcPr>
            <w:tcW w:w="1170" w:type="dxa"/>
            <w:shd w:val="clear" w:color="auto" w:fill="FFFFFF" w:themeFill="background1"/>
          </w:tcPr>
          <w:p w14:paraId="3BB7E5E9"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23 (57.5)</w:t>
            </w:r>
          </w:p>
        </w:tc>
        <w:tc>
          <w:tcPr>
            <w:tcW w:w="1080" w:type="dxa"/>
            <w:shd w:val="clear" w:color="auto" w:fill="FFFFFF" w:themeFill="background1"/>
          </w:tcPr>
          <w:p w14:paraId="18FBE7B3"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23 (57.5)</w:t>
            </w:r>
          </w:p>
        </w:tc>
        <w:tc>
          <w:tcPr>
            <w:tcW w:w="1080" w:type="dxa"/>
            <w:shd w:val="clear" w:color="auto" w:fill="FFFFFF" w:themeFill="background1"/>
          </w:tcPr>
          <w:p w14:paraId="12F47F85"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24 (60.0)</w:t>
            </w:r>
          </w:p>
        </w:tc>
        <w:tc>
          <w:tcPr>
            <w:tcW w:w="1080" w:type="dxa"/>
            <w:shd w:val="clear" w:color="auto" w:fill="FFFFFF" w:themeFill="background1"/>
          </w:tcPr>
          <w:p w14:paraId="48CCBB5A" w14:textId="77777777" w:rsidR="003A0378" w:rsidRPr="00B710B0" w:rsidRDefault="003A0378" w:rsidP="00231374">
            <w:pPr>
              <w:pStyle w:val="Body"/>
              <w:spacing w:after="0"/>
              <w:rPr>
                <w:rFonts w:ascii="Arial" w:hAnsi="Arial" w:cs="Arial"/>
                <w:lang w:val="en"/>
              </w:rPr>
            </w:pPr>
            <w:r w:rsidRPr="00B710B0">
              <w:rPr>
                <w:rFonts w:ascii="Arial" w:hAnsi="Arial" w:cs="Arial"/>
                <w:lang w:val="en"/>
              </w:rPr>
              <w:t>122</w:t>
            </w:r>
          </w:p>
          <w:p w14:paraId="713C41B6"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(61.0)</w:t>
            </w:r>
          </w:p>
        </w:tc>
      </w:tr>
      <w:tr w:rsidR="00231374" w:rsidRPr="00B710B0" w14:paraId="0CBE9CB7" w14:textId="77777777" w:rsidTr="003A0378">
        <w:trPr>
          <w:trHeight w:val="1"/>
        </w:trPr>
        <w:tc>
          <w:tcPr>
            <w:tcW w:w="1548" w:type="dxa"/>
            <w:shd w:val="clear" w:color="auto" w:fill="FFFFFF" w:themeFill="background1"/>
          </w:tcPr>
          <w:p w14:paraId="53AD3217" w14:textId="77777777" w:rsidR="00231374" w:rsidRPr="00B710B0" w:rsidRDefault="00231374" w:rsidP="00231374">
            <w:pPr>
              <w:pStyle w:val="Body"/>
              <w:spacing w:after="0"/>
              <w:rPr>
                <w:rFonts w:ascii="Arial" w:hAnsi="Arial" w:cs="Arial"/>
                <w:lang w:val="en"/>
              </w:rPr>
            </w:pPr>
            <w:r w:rsidRPr="00B710B0">
              <w:rPr>
                <w:rFonts w:ascii="Arial" w:hAnsi="Arial" w:cs="Arial"/>
                <w:i/>
                <w:iCs/>
                <w:lang w:val="en"/>
              </w:rPr>
              <w:t xml:space="preserve">S. aureus </w:t>
            </w:r>
          </w:p>
        </w:tc>
        <w:tc>
          <w:tcPr>
            <w:tcW w:w="1440" w:type="dxa"/>
            <w:shd w:val="clear" w:color="auto" w:fill="FFFFFF" w:themeFill="background1"/>
          </w:tcPr>
          <w:p w14:paraId="366784CE"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11 (27.5)</w:t>
            </w:r>
          </w:p>
        </w:tc>
        <w:tc>
          <w:tcPr>
            <w:tcW w:w="1260" w:type="dxa"/>
            <w:shd w:val="clear" w:color="auto" w:fill="FFFFFF" w:themeFill="background1"/>
          </w:tcPr>
          <w:p w14:paraId="3C5EB49E"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11 (25.0)</w:t>
            </w:r>
          </w:p>
        </w:tc>
        <w:tc>
          <w:tcPr>
            <w:tcW w:w="1170" w:type="dxa"/>
            <w:shd w:val="clear" w:color="auto" w:fill="FFFFFF" w:themeFill="background1"/>
          </w:tcPr>
          <w:p w14:paraId="1843ECD0"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8 (20.0)</w:t>
            </w:r>
          </w:p>
        </w:tc>
        <w:tc>
          <w:tcPr>
            <w:tcW w:w="1080" w:type="dxa"/>
            <w:shd w:val="clear" w:color="auto" w:fill="FFFFFF" w:themeFill="background1"/>
          </w:tcPr>
          <w:p w14:paraId="00E0B21F"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12 (30.0)</w:t>
            </w:r>
          </w:p>
        </w:tc>
        <w:tc>
          <w:tcPr>
            <w:tcW w:w="1080" w:type="dxa"/>
            <w:shd w:val="clear" w:color="auto" w:fill="FFFFFF" w:themeFill="background1"/>
          </w:tcPr>
          <w:p w14:paraId="471DF879"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7 (17.5)</w:t>
            </w:r>
          </w:p>
        </w:tc>
        <w:tc>
          <w:tcPr>
            <w:tcW w:w="1080" w:type="dxa"/>
            <w:shd w:val="clear" w:color="auto" w:fill="FFFFFF" w:themeFill="background1"/>
          </w:tcPr>
          <w:p w14:paraId="63D2100D"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48 (24.0)</w:t>
            </w:r>
          </w:p>
        </w:tc>
      </w:tr>
      <w:tr w:rsidR="00231374" w:rsidRPr="00B710B0" w14:paraId="54CE8695" w14:textId="77777777" w:rsidTr="003A0378">
        <w:trPr>
          <w:trHeight w:val="1"/>
        </w:trPr>
        <w:tc>
          <w:tcPr>
            <w:tcW w:w="1548" w:type="dxa"/>
            <w:tcBorders>
              <w:bottom w:val="single" w:sz="4" w:space="0" w:color="auto"/>
            </w:tcBorders>
            <w:shd w:val="clear" w:color="auto" w:fill="FFFFFF" w:themeFill="background1"/>
          </w:tcPr>
          <w:p w14:paraId="078ED1BB" w14:textId="77777777" w:rsidR="00231374" w:rsidRPr="00B710B0" w:rsidRDefault="00231374" w:rsidP="00231374">
            <w:pPr>
              <w:pStyle w:val="Body"/>
              <w:spacing w:after="0"/>
              <w:rPr>
                <w:rFonts w:ascii="Arial" w:hAnsi="Arial" w:cs="Arial"/>
                <w:lang w:val="en"/>
              </w:rPr>
            </w:pPr>
            <w:r w:rsidRPr="00B710B0">
              <w:rPr>
                <w:rFonts w:ascii="Arial" w:hAnsi="Arial" w:cs="Arial"/>
                <w:i/>
                <w:iCs/>
                <w:lang w:val="en"/>
              </w:rPr>
              <w:t>Enterococcus</w:t>
            </w:r>
            <w:r w:rsidRPr="00B710B0">
              <w:rPr>
                <w:rFonts w:ascii="Arial" w:hAnsi="Arial" w:cs="Arial"/>
                <w:lang w:val="en"/>
              </w:rPr>
              <w:t xml:space="preserve"> spp.</w:t>
            </w:r>
          </w:p>
        </w:tc>
        <w:tc>
          <w:tcPr>
            <w:tcW w:w="1440" w:type="dxa"/>
            <w:tcBorders>
              <w:bottom w:val="single" w:sz="4" w:space="0" w:color="auto"/>
            </w:tcBorders>
            <w:shd w:val="clear" w:color="auto" w:fill="FFFFFF" w:themeFill="background1"/>
          </w:tcPr>
          <w:p w14:paraId="0D109DB9"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7 (17.5)</w:t>
            </w:r>
          </w:p>
        </w:tc>
        <w:tc>
          <w:tcPr>
            <w:tcW w:w="1260" w:type="dxa"/>
            <w:tcBorders>
              <w:bottom w:val="single" w:sz="4" w:space="0" w:color="auto"/>
            </w:tcBorders>
            <w:shd w:val="clear" w:color="auto" w:fill="FFFFFF" w:themeFill="background1"/>
          </w:tcPr>
          <w:p w14:paraId="517F6AD1"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4 (10.0)</w:t>
            </w:r>
          </w:p>
        </w:tc>
        <w:tc>
          <w:tcPr>
            <w:tcW w:w="1170" w:type="dxa"/>
            <w:tcBorders>
              <w:bottom w:val="single" w:sz="4" w:space="0" w:color="auto"/>
            </w:tcBorders>
            <w:shd w:val="clear" w:color="auto" w:fill="FFFFFF" w:themeFill="background1"/>
          </w:tcPr>
          <w:p w14:paraId="2031BF00"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6 (15.0)</w:t>
            </w:r>
          </w:p>
        </w:tc>
        <w:tc>
          <w:tcPr>
            <w:tcW w:w="1080" w:type="dxa"/>
            <w:tcBorders>
              <w:bottom w:val="single" w:sz="4" w:space="0" w:color="auto"/>
            </w:tcBorders>
            <w:shd w:val="clear" w:color="auto" w:fill="FFFFFF" w:themeFill="background1"/>
          </w:tcPr>
          <w:p w14:paraId="2F792C22"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4 (10.0)</w:t>
            </w:r>
          </w:p>
        </w:tc>
        <w:tc>
          <w:tcPr>
            <w:tcW w:w="1080" w:type="dxa"/>
            <w:tcBorders>
              <w:bottom w:val="single" w:sz="4" w:space="0" w:color="auto"/>
            </w:tcBorders>
            <w:shd w:val="clear" w:color="auto" w:fill="FFFFFF" w:themeFill="background1"/>
          </w:tcPr>
          <w:p w14:paraId="569ED29E"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8 (20.0)</w:t>
            </w:r>
          </w:p>
        </w:tc>
        <w:tc>
          <w:tcPr>
            <w:tcW w:w="1080" w:type="dxa"/>
            <w:tcBorders>
              <w:bottom w:val="single" w:sz="4" w:space="0" w:color="auto"/>
            </w:tcBorders>
            <w:shd w:val="clear" w:color="auto" w:fill="FFFFFF" w:themeFill="background1"/>
          </w:tcPr>
          <w:p w14:paraId="2602CF11"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29 (14.5)</w:t>
            </w:r>
          </w:p>
        </w:tc>
      </w:tr>
    </w:tbl>
    <w:p w14:paraId="120DDFF1" w14:textId="77777777" w:rsidR="00231374" w:rsidRPr="00B710B0" w:rsidRDefault="00231374" w:rsidP="00231374">
      <w:pPr>
        <w:pStyle w:val="Body"/>
        <w:spacing w:after="0"/>
        <w:rPr>
          <w:rFonts w:ascii="Arial" w:hAnsi="Arial" w:cs="Arial"/>
          <w:iCs/>
          <w:lang w:val="en"/>
        </w:rPr>
      </w:pPr>
      <w:r w:rsidRPr="00B710B0">
        <w:rPr>
          <w:rFonts w:ascii="Arial" w:hAnsi="Arial" w:cs="Arial"/>
          <w:i/>
          <w:iCs/>
          <w:lang w:val="en"/>
        </w:rPr>
        <w:t>E. coli- Escherichia coli; S. aureus- Staphylococcus aureus</w:t>
      </w:r>
    </w:p>
    <w:p w14:paraId="3954E3E9" w14:textId="77777777" w:rsidR="00231374" w:rsidRPr="00B710B0" w:rsidRDefault="00231374" w:rsidP="00231374">
      <w:pPr>
        <w:pStyle w:val="Body"/>
        <w:spacing w:after="0"/>
        <w:rPr>
          <w:rFonts w:ascii="Arial" w:hAnsi="Arial" w:cs="Arial"/>
          <w:i/>
          <w:iCs/>
          <w:lang w:val="en"/>
        </w:rPr>
      </w:pPr>
      <w:r w:rsidRPr="00B710B0">
        <w:rPr>
          <w:rFonts w:ascii="Arial" w:hAnsi="Arial" w:cs="Arial"/>
          <w:iCs/>
          <w:lang w:val="en"/>
        </w:rPr>
        <w:t xml:space="preserve">Number of </w:t>
      </w:r>
      <w:proofErr w:type="gramStart"/>
      <w:r w:rsidRPr="00B710B0">
        <w:rPr>
          <w:rFonts w:ascii="Arial" w:hAnsi="Arial" w:cs="Arial"/>
          <w:iCs/>
          <w:lang w:val="en"/>
        </w:rPr>
        <w:t>chicken</w:t>
      </w:r>
      <w:proofErr w:type="gramEnd"/>
      <w:r w:rsidRPr="00B710B0">
        <w:rPr>
          <w:rFonts w:ascii="Arial" w:hAnsi="Arial" w:cs="Arial"/>
          <w:iCs/>
          <w:lang w:val="en"/>
        </w:rPr>
        <w:t xml:space="preserve"> sampled per ward was 40. Total number of </w:t>
      </w:r>
      <w:proofErr w:type="gramStart"/>
      <w:r w:rsidRPr="00B710B0">
        <w:rPr>
          <w:rFonts w:ascii="Arial" w:hAnsi="Arial" w:cs="Arial"/>
          <w:iCs/>
          <w:lang w:val="en"/>
        </w:rPr>
        <w:t>chicken</w:t>
      </w:r>
      <w:proofErr w:type="gramEnd"/>
      <w:r w:rsidRPr="00B710B0">
        <w:rPr>
          <w:rFonts w:ascii="Arial" w:hAnsi="Arial" w:cs="Arial"/>
          <w:iCs/>
          <w:lang w:val="en"/>
        </w:rPr>
        <w:t xml:space="preserve"> sampled = 200</w:t>
      </w:r>
    </w:p>
    <w:p w14:paraId="08B846CD" w14:textId="77777777" w:rsidR="00231374" w:rsidRPr="00B710B0" w:rsidRDefault="00231374" w:rsidP="00231374">
      <w:pPr>
        <w:pStyle w:val="Body"/>
        <w:spacing w:after="0"/>
        <w:rPr>
          <w:rFonts w:ascii="Arial" w:hAnsi="Arial" w:cs="Arial"/>
          <w:i/>
          <w:iCs/>
          <w:lang w:val="en"/>
        </w:rPr>
      </w:pPr>
    </w:p>
    <w:p w14:paraId="2080E231" w14:textId="77777777" w:rsidR="00D25912" w:rsidRPr="00B710B0" w:rsidRDefault="00062358" w:rsidP="00D25912">
      <w:pPr>
        <w:pStyle w:val="Body"/>
        <w:rPr>
          <w:rFonts w:ascii="Arial" w:hAnsi="Arial" w:cs="Arial"/>
          <w:b/>
          <w:bCs/>
          <w:lang w:val="en"/>
        </w:rPr>
      </w:pPr>
      <w:r w:rsidRPr="00B710B0">
        <w:rPr>
          <w:rFonts w:ascii="Arial" w:hAnsi="Arial" w:cs="Arial"/>
          <w:b/>
          <w:bCs/>
          <w:lang w:val="en"/>
        </w:rPr>
        <w:t xml:space="preserve">3.2 </w:t>
      </w:r>
      <w:r w:rsidR="00231374" w:rsidRPr="00B710B0">
        <w:rPr>
          <w:rFonts w:ascii="Arial" w:hAnsi="Arial" w:cs="Arial"/>
          <w:b/>
          <w:bCs/>
          <w:lang w:val="en"/>
        </w:rPr>
        <w:t xml:space="preserve">Risk factors associated with prevalence of bacteria isolated from chicken </w:t>
      </w:r>
    </w:p>
    <w:p w14:paraId="0B7242BA" w14:textId="77777777" w:rsidR="00231374" w:rsidRPr="00B710B0" w:rsidRDefault="00231374" w:rsidP="00D25912">
      <w:pPr>
        <w:pStyle w:val="Body"/>
        <w:rPr>
          <w:rFonts w:ascii="Arial" w:hAnsi="Arial" w:cs="Arial"/>
          <w:b/>
          <w:bCs/>
          <w:lang w:val="en"/>
        </w:rPr>
      </w:pPr>
      <w:r w:rsidRPr="00B710B0">
        <w:rPr>
          <w:rFonts w:ascii="Arial" w:hAnsi="Arial" w:cs="Arial"/>
          <w:lang w:val="en"/>
        </w:rPr>
        <w:t xml:space="preserve">The biosecurity </w:t>
      </w:r>
      <w:r w:rsidRPr="00B710B0">
        <w:rPr>
          <w:rFonts w:ascii="Arial" w:hAnsi="Arial" w:cs="Arial"/>
        </w:rPr>
        <w:t>measures at farm level and</w:t>
      </w:r>
      <w:r w:rsidRPr="00B710B0">
        <w:rPr>
          <w:rFonts w:ascii="Arial" w:hAnsi="Arial" w:cs="Arial"/>
          <w:lang w:val="en"/>
        </w:rPr>
        <w:t xml:space="preserve"> vaccination status</w:t>
      </w:r>
      <w:r w:rsidRPr="00B710B0">
        <w:rPr>
          <w:rFonts w:ascii="Arial" w:hAnsi="Arial" w:cs="Arial"/>
        </w:rPr>
        <w:t xml:space="preserve"> of the sampled chicken </w:t>
      </w:r>
      <w:r w:rsidRPr="00B710B0">
        <w:rPr>
          <w:rFonts w:ascii="Arial" w:hAnsi="Arial" w:cs="Arial"/>
          <w:lang w:val="en"/>
        </w:rPr>
        <w:t>were significantly (</w:t>
      </w:r>
      <w:r w:rsidRPr="00B710B0">
        <w:rPr>
          <w:rFonts w:ascii="Arial" w:hAnsi="Arial" w:cs="Arial"/>
          <w:i/>
          <w:lang w:val="en"/>
        </w:rPr>
        <w:t>P</w:t>
      </w:r>
      <w:r w:rsidR="00062358" w:rsidRPr="00B710B0">
        <w:rPr>
          <w:rFonts w:ascii="Arial" w:hAnsi="Arial" w:cs="Arial"/>
          <w:lang w:val="en"/>
        </w:rPr>
        <w:t>&lt;</w:t>
      </w:r>
      <w:r w:rsidRPr="00B710B0">
        <w:rPr>
          <w:rFonts w:ascii="Arial" w:hAnsi="Arial" w:cs="Arial"/>
          <w:lang w:val="en"/>
        </w:rPr>
        <w:t xml:space="preserve">.05) associated with overall prevalence of the bacteria. Chicken from farms with poor biosecurity </w:t>
      </w:r>
      <w:r w:rsidRPr="00B710B0">
        <w:rPr>
          <w:rFonts w:ascii="Arial" w:hAnsi="Arial" w:cs="Arial"/>
        </w:rPr>
        <w:t>measures (lack of foot bath) had higher prevalence (92.0%) of bacteria compared to those from farms with a foot bath (87.3%) (X</w:t>
      </w:r>
      <w:r w:rsidRPr="00B710B0">
        <w:rPr>
          <w:rFonts w:ascii="Arial" w:hAnsi="Arial" w:cs="Arial"/>
          <w:vertAlign w:val="superscript"/>
        </w:rPr>
        <w:t>2</w:t>
      </w:r>
      <w:r w:rsidRPr="00B710B0">
        <w:rPr>
          <w:rFonts w:ascii="Arial" w:hAnsi="Arial" w:cs="Arial"/>
        </w:rPr>
        <w:t xml:space="preserve">=9.449, </w:t>
      </w:r>
      <w:r w:rsidRPr="00B710B0">
        <w:rPr>
          <w:rFonts w:ascii="Arial" w:hAnsi="Arial" w:cs="Arial"/>
          <w:i/>
        </w:rPr>
        <w:t>P</w:t>
      </w:r>
      <w:r w:rsidRPr="00B710B0">
        <w:rPr>
          <w:rFonts w:ascii="Arial" w:hAnsi="Arial" w:cs="Arial"/>
        </w:rPr>
        <w:t>=0.002). Additionally, chickens from farms that did not practice vaccinations had higher prevalence of gut bacteria (90.8%) compared to those which were vaccinated (87.4%) (X</w:t>
      </w:r>
      <w:r w:rsidRPr="00B710B0">
        <w:rPr>
          <w:rFonts w:ascii="Arial" w:hAnsi="Arial" w:cs="Arial"/>
          <w:vertAlign w:val="superscript"/>
        </w:rPr>
        <w:t>2</w:t>
      </w:r>
      <w:r w:rsidRPr="00B710B0">
        <w:rPr>
          <w:rFonts w:ascii="Arial" w:hAnsi="Arial" w:cs="Arial"/>
        </w:rPr>
        <w:t xml:space="preserve">=14.22, </w:t>
      </w:r>
      <w:r w:rsidRPr="00B710B0">
        <w:rPr>
          <w:rFonts w:ascii="Arial" w:hAnsi="Arial" w:cs="Arial"/>
          <w:i/>
        </w:rPr>
        <w:t>P</w:t>
      </w:r>
      <w:r w:rsidRPr="00B710B0">
        <w:rPr>
          <w:rFonts w:ascii="Arial" w:hAnsi="Arial" w:cs="Arial"/>
        </w:rPr>
        <w:t>&lt;</w:t>
      </w:r>
      <w:r w:rsidR="003A0378" w:rsidRPr="00B710B0">
        <w:rPr>
          <w:rFonts w:ascii="Arial" w:hAnsi="Arial" w:cs="Arial"/>
        </w:rPr>
        <w:t>0</w:t>
      </w:r>
      <w:r w:rsidRPr="00B710B0">
        <w:rPr>
          <w:rFonts w:ascii="Arial" w:hAnsi="Arial" w:cs="Arial"/>
          <w:lang w:val="en"/>
        </w:rPr>
        <w:t>.001).</w:t>
      </w:r>
      <w:r w:rsidRPr="00B710B0">
        <w:rPr>
          <w:rFonts w:ascii="Arial" w:hAnsi="Arial" w:cs="Arial"/>
        </w:rPr>
        <w:t xml:space="preserve"> There were no statistical significances (</w:t>
      </w:r>
      <w:r w:rsidRPr="00B710B0">
        <w:rPr>
          <w:rFonts w:ascii="Arial" w:hAnsi="Arial" w:cs="Arial"/>
          <w:i/>
        </w:rPr>
        <w:t>P</w:t>
      </w:r>
      <w:r w:rsidR="00062358" w:rsidRPr="00B710B0">
        <w:rPr>
          <w:rFonts w:ascii="Arial" w:hAnsi="Arial" w:cs="Arial"/>
        </w:rPr>
        <w:t>&gt;</w:t>
      </w:r>
      <w:r w:rsidR="003A0378" w:rsidRPr="00B710B0">
        <w:rPr>
          <w:rFonts w:ascii="Arial" w:hAnsi="Arial" w:cs="Arial"/>
        </w:rPr>
        <w:t>0</w:t>
      </w:r>
      <w:r w:rsidRPr="00B710B0">
        <w:rPr>
          <w:rFonts w:ascii="Arial" w:hAnsi="Arial" w:cs="Arial"/>
        </w:rPr>
        <w:t xml:space="preserve">.05) between the other risk factors (age, type of production system, antibiotic use, and ventilation types) and the prevalence of gut bacteria (Table 2). </w:t>
      </w:r>
    </w:p>
    <w:p w14:paraId="397693A4" w14:textId="77777777" w:rsidR="00231374" w:rsidRPr="00B710B0" w:rsidRDefault="00231374" w:rsidP="002A2816">
      <w:pPr>
        <w:pStyle w:val="Body"/>
        <w:rPr>
          <w:rFonts w:ascii="Arial" w:hAnsi="Arial" w:cs="Arial"/>
          <w:lang w:val="en"/>
        </w:rPr>
      </w:pPr>
      <w:r w:rsidRPr="00B710B0">
        <w:rPr>
          <w:rFonts w:ascii="Arial" w:hAnsi="Arial" w:cs="Arial"/>
          <w:b/>
          <w:bCs/>
          <w:lang w:val="en"/>
        </w:rPr>
        <w:t xml:space="preserve">Table 2: </w:t>
      </w:r>
      <w:r w:rsidRPr="00B710B0">
        <w:rPr>
          <w:rFonts w:ascii="Arial" w:hAnsi="Arial" w:cs="Arial"/>
          <w:lang w:val="en"/>
        </w:rPr>
        <w:t xml:space="preserve">Relationship between the risk factors and prevalence of pathogenic and non-pathogenic gut bacteria isolated in Thika East Sub-County, Kenya </w:t>
      </w:r>
    </w:p>
    <w:tbl>
      <w:tblPr>
        <w:tblStyle w:val="TableGrid"/>
        <w:tblW w:w="9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1620"/>
        <w:gridCol w:w="1350"/>
        <w:gridCol w:w="1530"/>
        <w:gridCol w:w="1182"/>
        <w:gridCol w:w="1260"/>
      </w:tblGrid>
      <w:tr w:rsidR="00231374" w:rsidRPr="00B710B0" w14:paraId="6593E4B2" w14:textId="77777777" w:rsidTr="002A2816">
        <w:trPr>
          <w:trHeight w:val="290"/>
        </w:trPr>
        <w:tc>
          <w:tcPr>
            <w:tcW w:w="2718" w:type="dxa"/>
            <w:tcBorders>
              <w:top w:val="single" w:sz="4" w:space="0" w:color="auto"/>
              <w:bottom w:val="single" w:sz="4" w:space="0" w:color="auto"/>
            </w:tcBorders>
            <w:noWrap/>
            <w:hideMark/>
          </w:tcPr>
          <w:p w14:paraId="150ACBA7" w14:textId="77777777" w:rsidR="00231374" w:rsidRPr="00B710B0" w:rsidRDefault="00231374" w:rsidP="00231374">
            <w:pPr>
              <w:pStyle w:val="Body"/>
              <w:spacing w:after="0"/>
              <w:rPr>
                <w:rFonts w:ascii="Arial" w:hAnsi="Arial" w:cs="Arial"/>
                <w:b/>
                <w:sz w:val="20"/>
              </w:rPr>
            </w:pPr>
            <w:r w:rsidRPr="00B710B0">
              <w:rPr>
                <w:rFonts w:ascii="Arial" w:hAnsi="Arial" w:cs="Arial"/>
                <w:b/>
                <w:sz w:val="20"/>
              </w:rPr>
              <w:t xml:space="preserve">Variable </w:t>
            </w:r>
          </w:p>
        </w:tc>
        <w:tc>
          <w:tcPr>
            <w:tcW w:w="1620" w:type="dxa"/>
            <w:tcBorders>
              <w:top w:val="single" w:sz="4" w:space="0" w:color="auto"/>
              <w:bottom w:val="single" w:sz="4" w:space="0" w:color="auto"/>
            </w:tcBorders>
            <w:noWrap/>
            <w:hideMark/>
          </w:tcPr>
          <w:p w14:paraId="5A338DAC" w14:textId="77777777" w:rsidR="00231374" w:rsidRPr="00B710B0" w:rsidRDefault="00231374" w:rsidP="00231374">
            <w:pPr>
              <w:pStyle w:val="Body"/>
              <w:spacing w:after="0"/>
              <w:rPr>
                <w:rFonts w:ascii="Arial" w:hAnsi="Arial" w:cs="Arial"/>
                <w:b/>
                <w:sz w:val="20"/>
              </w:rPr>
            </w:pPr>
            <w:r w:rsidRPr="00B710B0">
              <w:rPr>
                <w:rFonts w:ascii="Arial" w:hAnsi="Arial" w:cs="Arial"/>
                <w:b/>
                <w:sz w:val="20"/>
              </w:rPr>
              <w:t xml:space="preserve">Categories  </w:t>
            </w:r>
          </w:p>
        </w:tc>
        <w:tc>
          <w:tcPr>
            <w:tcW w:w="1350" w:type="dxa"/>
            <w:tcBorders>
              <w:top w:val="single" w:sz="4" w:space="0" w:color="auto"/>
              <w:bottom w:val="single" w:sz="4" w:space="0" w:color="auto"/>
            </w:tcBorders>
            <w:noWrap/>
            <w:hideMark/>
          </w:tcPr>
          <w:p w14:paraId="06CEEEAF" w14:textId="77777777" w:rsidR="00231374" w:rsidRPr="00B710B0" w:rsidRDefault="00231374" w:rsidP="00231374">
            <w:pPr>
              <w:pStyle w:val="Body"/>
              <w:spacing w:after="0"/>
              <w:rPr>
                <w:rFonts w:ascii="Arial" w:hAnsi="Arial" w:cs="Arial"/>
                <w:b/>
                <w:sz w:val="20"/>
              </w:rPr>
            </w:pPr>
            <w:r w:rsidRPr="00B710B0">
              <w:rPr>
                <w:rFonts w:ascii="Arial" w:hAnsi="Arial" w:cs="Arial"/>
                <w:b/>
                <w:sz w:val="20"/>
              </w:rPr>
              <w:t xml:space="preserve">Number examined  </w:t>
            </w:r>
          </w:p>
        </w:tc>
        <w:tc>
          <w:tcPr>
            <w:tcW w:w="1530" w:type="dxa"/>
            <w:tcBorders>
              <w:top w:val="single" w:sz="4" w:space="0" w:color="auto"/>
              <w:bottom w:val="single" w:sz="4" w:space="0" w:color="auto"/>
            </w:tcBorders>
            <w:noWrap/>
            <w:hideMark/>
          </w:tcPr>
          <w:p w14:paraId="4BA751F7" w14:textId="77777777" w:rsidR="00231374" w:rsidRPr="00B710B0" w:rsidRDefault="00231374" w:rsidP="00231374">
            <w:pPr>
              <w:pStyle w:val="Body"/>
              <w:spacing w:after="0"/>
              <w:rPr>
                <w:rFonts w:ascii="Arial" w:hAnsi="Arial" w:cs="Arial"/>
                <w:b/>
                <w:sz w:val="20"/>
              </w:rPr>
            </w:pPr>
            <w:r w:rsidRPr="00B710B0">
              <w:rPr>
                <w:rFonts w:ascii="Arial" w:hAnsi="Arial" w:cs="Arial"/>
                <w:b/>
                <w:sz w:val="20"/>
              </w:rPr>
              <w:t>Positive chicken (</w:t>
            </w:r>
            <w:proofErr w:type="gramStart"/>
            <w:r w:rsidRPr="00B710B0">
              <w:rPr>
                <w:rFonts w:ascii="Arial" w:hAnsi="Arial" w:cs="Arial"/>
                <w:b/>
                <w:sz w:val="20"/>
              </w:rPr>
              <w:t>n,%</w:t>
            </w:r>
            <w:proofErr w:type="gramEnd"/>
            <w:r w:rsidRPr="00B710B0">
              <w:rPr>
                <w:rFonts w:ascii="Arial" w:hAnsi="Arial" w:cs="Arial"/>
                <w:b/>
                <w:sz w:val="20"/>
              </w:rPr>
              <w:t>)</w:t>
            </w:r>
          </w:p>
        </w:tc>
        <w:tc>
          <w:tcPr>
            <w:tcW w:w="1182" w:type="dxa"/>
            <w:tcBorders>
              <w:top w:val="single" w:sz="4" w:space="0" w:color="auto"/>
              <w:bottom w:val="single" w:sz="4" w:space="0" w:color="auto"/>
            </w:tcBorders>
            <w:noWrap/>
            <w:hideMark/>
          </w:tcPr>
          <w:p w14:paraId="6D0058E1" w14:textId="77777777" w:rsidR="00231374" w:rsidRPr="00B710B0" w:rsidRDefault="00231374" w:rsidP="00231374">
            <w:pPr>
              <w:pStyle w:val="Body"/>
              <w:spacing w:after="0"/>
              <w:rPr>
                <w:rFonts w:ascii="Arial" w:hAnsi="Arial" w:cs="Arial"/>
                <w:b/>
                <w:sz w:val="20"/>
              </w:rPr>
            </w:pPr>
            <w:r w:rsidRPr="00B710B0">
              <w:rPr>
                <w:rFonts w:ascii="Arial" w:hAnsi="Arial" w:cs="Arial"/>
                <w:b/>
                <w:sz w:val="20"/>
              </w:rPr>
              <w:t xml:space="preserve">Chi-square </w:t>
            </w:r>
          </w:p>
        </w:tc>
        <w:tc>
          <w:tcPr>
            <w:tcW w:w="1260" w:type="dxa"/>
            <w:tcBorders>
              <w:top w:val="single" w:sz="4" w:space="0" w:color="auto"/>
              <w:bottom w:val="single" w:sz="4" w:space="0" w:color="auto"/>
            </w:tcBorders>
            <w:noWrap/>
            <w:hideMark/>
          </w:tcPr>
          <w:p w14:paraId="415E9C03" w14:textId="77777777" w:rsidR="00231374" w:rsidRPr="00B710B0" w:rsidRDefault="00231374" w:rsidP="00231374">
            <w:pPr>
              <w:pStyle w:val="Body"/>
              <w:spacing w:after="0"/>
              <w:rPr>
                <w:rFonts w:ascii="Arial" w:hAnsi="Arial" w:cs="Arial"/>
                <w:b/>
                <w:sz w:val="20"/>
              </w:rPr>
            </w:pPr>
            <w:r w:rsidRPr="00B710B0">
              <w:rPr>
                <w:rFonts w:ascii="Arial" w:hAnsi="Arial" w:cs="Arial"/>
                <w:b/>
                <w:i/>
                <w:sz w:val="20"/>
              </w:rPr>
              <w:t>P</w:t>
            </w:r>
            <w:r w:rsidRPr="00B710B0">
              <w:rPr>
                <w:rFonts w:ascii="Arial" w:hAnsi="Arial" w:cs="Arial"/>
                <w:b/>
                <w:sz w:val="20"/>
              </w:rPr>
              <w:t>-value</w:t>
            </w:r>
          </w:p>
        </w:tc>
      </w:tr>
      <w:tr w:rsidR="00231374" w:rsidRPr="00B710B0" w14:paraId="4A0060EE" w14:textId="77777777" w:rsidTr="002A2816">
        <w:trPr>
          <w:trHeight w:val="290"/>
        </w:trPr>
        <w:tc>
          <w:tcPr>
            <w:tcW w:w="2718" w:type="dxa"/>
            <w:vMerge w:val="restart"/>
            <w:tcBorders>
              <w:top w:val="single" w:sz="4" w:space="0" w:color="auto"/>
            </w:tcBorders>
            <w:noWrap/>
            <w:vAlign w:val="center"/>
            <w:hideMark/>
          </w:tcPr>
          <w:p w14:paraId="75B9770C"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Age </w:t>
            </w:r>
          </w:p>
        </w:tc>
        <w:tc>
          <w:tcPr>
            <w:tcW w:w="1620" w:type="dxa"/>
            <w:tcBorders>
              <w:top w:val="single" w:sz="4" w:space="0" w:color="auto"/>
            </w:tcBorders>
            <w:noWrap/>
            <w:hideMark/>
          </w:tcPr>
          <w:p w14:paraId="67190743"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Starter </w:t>
            </w:r>
          </w:p>
        </w:tc>
        <w:tc>
          <w:tcPr>
            <w:tcW w:w="1350" w:type="dxa"/>
            <w:tcBorders>
              <w:top w:val="single" w:sz="4" w:space="0" w:color="auto"/>
            </w:tcBorders>
            <w:noWrap/>
            <w:hideMark/>
          </w:tcPr>
          <w:p w14:paraId="46387194" w14:textId="77777777" w:rsidR="00231374" w:rsidRPr="00B710B0" w:rsidRDefault="00231374" w:rsidP="00231374">
            <w:pPr>
              <w:pStyle w:val="Body"/>
              <w:spacing w:after="0"/>
              <w:rPr>
                <w:rFonts w:ascii="Arial" w:hAnsi="Arial" w:cs="Arial"/>
                <w:sz w:val="20"/>
              </w:rPr>
            </w:pPr>
            <w:r w:rsidRPr="00B710B0">
              <w:rPr>
                <w:rFonts w:ascii="Arial" w:hAnsi="Arial" w:cs="Arial"/>
                <w:sz w:val="20"/>
              </w:rPr>
              <w:t>55</w:t>
            </w:r>
          </w:p>
        </w:tc>
        <w:tc>
          <w:tcPr>
            <w:tcW w:w="1530" w:type="dxa"/>
            <w:tcBorders>
              <w:top w:val="single" w:sz="4" w:space="0" w:color="auto"/>
            </w:tcBorders>
            <w:noWrap/>
            <w:hideMark/>
          </w:tcPr>
          <w:p w14:paraId="7E6A053E" w14:textId="77777777" w:rsidR="00231374" w:rsidRPr="00B710B0" w:rsidRDefault="00231374" w:rsidP="00231374">
            <w:pPr>
              <w:pStyle w:val="Body"/>
              <w:spacing w:after="0"/>
              <w:rPr>
                <w:rFonts w:ascii="Arial" w:hAnsi="Arial" w:cs="Arial"/>
                <w:sz w:val="20"/>
              </w:rPr>
            </w:pPr>
            <w:r w:rsidRPr="00B710B0">
              <w:rPr>
                <w:rFonts w:ascii="Arial" w:hAnsi="Arial" w:cs="Arial"/>
                <w:sz w:val="20"/>
              </w:rPr>
              <w:t>49 (89.1)</w:t>
            </w:r>
          </w:p>
        </w:tc>
        <w:tc>
          <w:tcPr>
            <w:tcW w:w="1182" w:type="dxa"/>
            <w:vMerge w:val="restart"/>
            <w:tcBorders>
              <w:top w:val="single" w:sz="4" w:space="0" w:color="auto"/>
            </w:tcBorders>
            <w:noWrap/>
            <w:vAlign w:val="center"/>
            <w:hideMark/>
          </w:tcPr>
          <w:p w14:paraId="44580A7E" w14:textId="77777777" w:rsidR="00231374" w:rsidRPr="00B710B0" w:rsidRDefault="00231374" w:rsidP="00231374">
            <w:pPr>
              <w:pStyle w:val="Body"/>
              <w:spacing w:after="0"/>
              <w:rPr>
                <w:rFonts w:ascii="Arial" w:hAnsi="Arial" w:cs="Arial"/>
                <w:sz w:val="20"/>
              </w:rPr>
            </w:pPr>
            <w:r w:rsidRPr="00B710B0">
              <w:rPr>
                <w:rFonts w:ascii="Arial" w:hAnsi="Arial" w:cs="Arial"/>
                <w:sz w:val="20"/>
              </w:rPr>
              <w:t>0.197</w:t>
            </w:r>
          </w:p>
        </w:tc>
        <w:tc>
          <w:tcPr>
            <w:tcW w:w="1260" w:type="dxa"/>
            <w:vMerge w:val="restart"/>
            <w:tcBorders>
              <w:top w:val="single" w:sz="4" w:space="0" w:color="auto"/>
            </w:tcBorders>
            <w:noWrap/>
            <w:vAlign w:val="center"/>
            <w:hideMark/>
          </w:tcPr>
          <w:p w14:paraId="00975E11" w14:textId="77777777" w:rsidR="00231374" w:rsidRPr="00B710B0" w:rsidRDefault="00CC4046" w:rsidP="00231374">
            <w:pPr>
              <w:pStyle w:val="Body"/>
              <w:spacing w:after="0"/>
              <w:rPr>
                <w:rFonts w:ascii="Arial" w:hAnsi="Arial" w:cs="Arial"/>
                <w:sz w:val="20"/>
              </w:rPr>
            </w:pPr>
            <w:r w:rsidRPr="00B710B0">
              <w:rPr>
                <w:rFonts w:ascii="Arial" w:hAnsi="Arial" w:cs="Arial"/>
                <w:sz w:val="20"/>
              </w:rPr>
              <w:t>0</w:t>
            </w:r>
            <w:r w:rsidR="00231374" w:rsidRPr="00B710B0">
              <w:rPr>
                <w:rFonts w:ascii="Arial" w:hAnsi="Arial" w:cs="Arial"/>
                <w:sz w:val="20"/>
              </w:rPr>
              <w:t>.91</w:t>
            </w:r>
          </w:p>
        </w:tc>
      </w:tr>
      <w:tr w:rsidR="00231374" w:rsidRPr="00B710B0" w14:paraId="6A197BA2" w14:textId="77777777" w:rsidTr="002A2816">
        <w:trPr>
          <w:trHeight w:val="290"/>
        </w:trPr>
        <w:tc>
          <w:tcPr>
            <w:tcW w:w="2718" w:type="dxa"/>
            <w:vMerge/>
            <w:hideMark/>
          </w:tcPr>
          <w:p w14:paraId="0B93717E" w14:textId="77777777" w:rsidR="00231374" w:rsidRPr="00B710B0" w:rsidRDefault="00231374" w:rsidP="00231374">
            <w:pPr>
              <w:pStyle w:val="Body"/>
              <w:spacing w:after="0"/>
              <w:rPr>
                <w:rFonts w:ascii="Arial" w:hAnsi="Arial" w:cs="Arial"/>
                <w:sz w:val="20"/>
              </w:rPr>
            </w:pPr>
          </w:p>
        </w:tc>
        <w:tc>
          <w:tcPr>
            <w:tcW w:w="1620" w:type="dxa"/>
            <w:noWrap/>
            <w:hideMark/>
          </w:tcPr>
          <w:p w14:paraId="3275A459"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Grower </w:t>
            </w:r>
          </w:p>
        </w:tc>
        <w:tc>
          <w:tcPr>
            <w:tcW w:w="1350" w:type="dxa"/>
            <w:noWrap/>
            <w:hideMark/>
          </w:tcPr>
          <w:p w14:paraId="662EBF4C" w14:textId="77777777" w:rsidR="00231374" w:rsidRPr="00B710B0" w:rsidRDefault="00231374" w:rsidP="00231374">
            <w:pPr>
              <w:pStyle w:val="Body"/>
              <w:spacing w:after="0"/>
              <w:rPr>
                <w:rFonts w:ascii="Arial" w:hAnsi="Arial" w:cs="Arial"/>
                <w:sz w:val="20"/>
              </w:rPr>
            </w:pPr>
            <w:r w:rsidRPr="00B710B0">
              <w:rPr>
                <w:rFonts w:ascii="Arial" w:hAnsi="Arial" w:cs="Arial"/>
                <w:sz w:val="20"/>
              </w:rPr>
              <w:t>70</w:t>
            </w:r>
          </w:p>
        </w:tc>
        <w:tc>
          <w:tcPr>
            <w:tcW w:w="1530" w:type="dxa"/>
            <w:noWrap/>
            <w:hideMark/>
          </w:tcPr>
          <w:p w14:paraId="2A6DC610" w14:textId="77777777" w:rsidR="00231374" w:rsidRPr="00B710B0" w:rsidRDefault="00231374" w:rsidP="00231374">
            <w:pPr>
              <w:pStyle w:val="Body"/>
              <w:spacing w:after="0"/>
              <w:rPr>
                <w:rFonts w:ascii="Arial" w:hAnsi="Arial" w:cs="Arial"/>
                <w:sz w:val="20"/>
              </w:rPr>
            </w:pPr>
            <w:r w:rsidRPr="00B710B0">
              <w:rPr>
                <w:rFonts w:ascii="Arial" w:hAnsi="Arial" w:cs="Arial"/>
                <w:sz w:val="20"/>
              </w:rPr>
              <w:t>61 (87.1)</w:t>
            </w:r>
          </w:p>
        </w:tc>
        <w:tc>
          <w:tcPr>
            <w:tcW w:w="0" w:type="auto"/>
            <w:vMerge/>
            <w:hideMark/>
          </w:tcPr>
          <w:p w14:paraId="50542C87" w14:textId="77777777" w:rsidR="00231374" w:rsidRPr="00B710B0" w:rsidRDefault="00231374" w:rsidP="00231374">
            <w:pPr>
              <w:pStyle w:val="Body"/>
              <w:spacing w:after="0"/>
              <w:rPr>
                <w:rFonts w:ascii="Arial" w:hAnsi="Arial" w:cs="Arial"/>
                <w:sz w:val="20"/>
              </w:rPr>
            </w:pPr>
          </w:p>
        </w:tc>
        <w:tc>
          <w:tcPr>
            <w:tcW w:w="0" w:type="auto"/>
            <w:vMerge/>
            <w:hideMark/>
          </w:tcPr>
          <w:p w14:paraId="483D1348" w14:textId="77777777" w:rsidR="00231374" w:rsidRPr="00B710B0" w:rsidRDefault="00231374" w:rsidP="00231374">
            <w:pPr>
              <w:pStyle w:val="Body"/>
              <w:spacing w:after="0"/>
              <w:rPr>
                <w:rFonts w:ascii="Arial" w:hAnsi="Arial" w:cs="Arial"/>
                <w:sz w:val="20"/>
              </w:rPr>
            </w:pPr>
          </w:p>
        </w:tc>
      </w:tr>
      <w:tr w:rsidR="00231374" w:rsidRPr="00B710B0" w14:paraId="2AE2ABF6" w14:textId="77777777" w:rsidTr="002A2816">
        <w:trPr>
          <w:trHeight w:val="290"/>
        </w:trPr>
        <w:tc>
          <w:tcPr>
            <w:tcW w:w="2718" w:type="dxa"/>
            <w:vMerge/>
            <w:hideMark/>
          </w:tcPr>
          <w:p w14:paraId="6EA8E4D1" w14:textId="77777777" w:rsidR="00231374" w:rsidRPr="00B710B0" w:rsidRDefault="00231374" w:rsidP="00231374">
            <w:pPr>
              <w:pStyle w:val="Body"/>
              <w:spacing w:after="0"/>
              <w:rPr>
                <w:rFonts w:ascii="Arial" w:hAnsi="Arial" w:cs="Arial"/>
                <w:sz w:val="20"/>
              </w:rPr>
            </w:pPr>
          </w:p>
        </w:tc>
        <w:tc>
          <w:tcPr>
            <w:tcW w:w="1620" w:type="dxa"/>
            <w:noWrap/>
            <w:hideMark/>
          </w:tcPr>
          <w:p w14:paraId="605F2680"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Finisher </w:t>
            </w:r>
          </w:p>
        </w:tc>
        <w:tc>
          <w:tcPr>
            <w:tcW w:w="1350" w:type="dxa"/>
            <w:noWrap/>
            <w:hideMark/>
          </w:tcPr>
          <w:p w14:paraId="3D54F104" w14:textId="77777777" w:rsidR="00231374" w:rsidRPr="00B710B0" w:rsidRDefault="00231374" w:rsidP="00231374">
            <w:pPr>
              <w:pStyle w:val="Body"/>
              <w:spacing w:after="0"/>
              <w:rPr>
                <w:rFonts w:ascii="Arial" w:hAnsi="Arial" w:cs="Arial"/>
                <w:sz w:val="20"/>
              </w:rPr>
            </w:pPr>
            <w:r w:rsidRPr="00B710B0">
              <w:rPr>
                <w:rFonts w:ascii="Arial" w:hAnsi="Arial" w:cs="Arial"/>
                <w:sz w:val="20"/>
              </w:rPr>
              <w:t>75</w:t>
            </w:r>
          </w:p>
        </w:tc>
        <w:tc>
          <w:tcPr>
            <w:tcW w:w="1530" w:type="dxa"/>
            <w:noWrap/>
            <w:hideMark/>
          </w:tcPr>
          <w:p w14:paraId="7EAEEB3C" w14:textId="77777777" w:rsidR="00231374" w:rsidRPr="00B710B0" w:rsidRDefault="00231374" w:rsidP="00231374">
            <w:pPr>
              <w:pStyle w:val="Body"/>
              <w:spacing w:after="0"/>
              <w:rPr>
                <w:rFonts w:ascii="Arial" w:hAnsi="Arial" w:cs="Arial"/>
                <w:sz w:val="20"/>
              </w:rPr>
            </w:pPr>
            <w:r w:rsidRPr="00B710B0">
              <w:rPr>
                <w:rFonts w:ascii="Arial" w:hAnsi="Arial" w:cs="Arial"/>
                <w:sz w:val="20"/>
              </w:rPr>
              <w:t>67 (89.3)</w:t>
            </w:r>
          </w:p>
        </w:tc>
        <w:tc>
          <w:tcPr>
            <w:tcW w:w="0" w:type="auto"/>
            <w:vMerge/>
            <w:hideMark/>
          </w:tcPr>
          <w:p w14:paraId="17835343" w14:textId="77777777" w:rsidR="00231374" w:rsidRPr="00B710B0" w:rsidRDefault="00231374" w:rsidP="00231374">
            <w:pPr>
              <w:pStyle w:val="Body"/>
              <w:spacing w:after="0"/>
              <w:rPr>
                <w:rFonts w:ascii="Arial" w:hAnsi="Arial" w:cs="Arial"/>
                <w:sz w:val="20"/>
              </w:rPr>
            </w:pPr>
          </w:p>
        </w:tc>
        <w:tc>
          <w:tcPr>
            <w:tcW w:w="0" w:type="auto"/>
            <w:vMerge/>
            <w:hideMark/>
          </w:tcPr>
          <w:p w14:paraId="241DEB90" w14:textId="77777777" w:rsidR="00231374" w:rsidRPr="00B710B0" w:rsidRDefault="00231374" w:rsidP="00231374">
            <w:pPr>
              <w:pStyle w:val="Body"/>
              <w:spacing w:after="0"/>
              <w:rPr>
                <w:rFonts w:ascii="Arial" w:hAnsi="Arial" w:cs="Arial"/>
                <w:sz w:val="20"/>
              </w:rPr>
            </w:pPr>
          </w:p>
        </w:tc>
      </w:tr>
      <w:tr w:rsidR="00231374" w:rsidRPr="00B710B0" w14:paraId="4D861DDF" w14:textId="77777777" w:rsidTr="002A2816">
        <w:trPr>
          <w:trHeight w:val="290"/>
        </w:trPr>
        <w:tc>
          <w:tcPr>
            <w:tcW w:w="2718" w:type="dxa"/>
            <w:vMerge w:val="restart"/>
            <w:noWrap/>
            <w:vAlign w:val="center"/>
            <w:hideMark/>
          </w:tcPr>
          <w:p w14:paraId="54EBBC21"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Type of production system </w:t>
            </w:r>
          </w:p>
        </w:tc>
        <w:tc>
          <w:tcPr>
            <w:tcW w:w="1620" w:type="dxa"/>
            <w:noWrap/>
            <w:hideMark/>
          </w:tcPr>
          <w:p w14:paraId="729D2DEE"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Intensive </w:t>
            </w:r>
          </w:p>
        </w:tc>
        <w:tc>
          <w:tcPr>
            <w:tcW w:w="1350" w:type="dxa"/>
            <w:noWrap/>
            <w:hideMark/>
          </w:tcPr>
          <w:p w14:paraId="12F7EB8A" w14:textId="77777777" w:rsidR="00231374" w:rsidRPr="00B710B0" w:rsidRDefault="00231374" w:rsidP="00231374">
            <w:pPr>
              <w:pStyle w:val="Body"/>
              <w:spacing w:after="0"/>
              <w:rPr>
                <w:rFonts w:ascii="Arial" w:hAnsi="Arial" w:cs="Arial"/>
                <w:sz w:val="20"/>
              </w:rPr>
            </w:pPr>
            <w:r w:rsidRPr="00B710B0">
              <w:rPr>
                <w:rFonts w:ascii="Arial" w:hAnsi="Arial" w:cs="Arial"/>
                <w:sz w:val="20"/>
              </w:rPr>
              <w:t>155</w:t>
            </w:r>
          </w:p>
        </w:tc>
        <w:tc>
          <w:tcPr>
            <w:tcW w:w="1530" w:type="dxa"/>
            <w:noWrap/>
            <w:hideMark/>
          </w:tcPr>
          <w:p w14:paraId="4C13CC26" w14:textId="77777777" w:rsidR="00231374" w:rsidRPr="00B710B0" w:rsidRDefault="00231374" w:rsidP="00231374">
            <w:pPr>
              <w:pStyle w:val="Body"/>
              <w:spacing w:after="0"/>
              <w:rPr>
                <w:rFonts w:ascii="Arial" w:hAnsi="Arial" w:cs="Arial"/>
                <w:sz w:val="20"/>
              </w:rPr>
            </w:pPr>
            <w:r w:rsidRPr="00B710B0">
              <w:rPr>
                <w:rFonts w:ascii="Arial" w:hAnsi="Arial" w:cs="Arial"/>
                <w:sz w:val="20"/>
              </w:rPr>
              <w:t>134 (86.5)</w:t>
            </w:r>
          </w:p>
        </w:tc>
        <w:tc>
          <w:tcPr>
            <w:tcW w:w="1182" w:type="dxa"/>
            <w:vMerge w:val="restart"/>
            <w:noWrap/>
            <w:vAlign w:val="center"/>
            <w:hideMark/>
          </w:tcPr>
          <w:p w14:paraId="2E8B9E6E" w14:textId="77777777" w:rsidR="00231374" w:rsidRPr="00B710B0" w:rsidRDefault="00231374" w:rsidP="00231374">
            <w:pPr>
              <w:pStyle w:val="Body"/>
              <w:spacing w:after="0"/>
              <w:rPr>
                <w:rFonts w:ascii="Arial" w:hAnsi="Arial" w:cs="Arial"/>
                <w:sz w:val="20"/>
              </w:rPr>
            </w:pPr>
            <w:r w:rsidRPr="00B710B0">
              <w:rPr>
                <w:rFonts w:ascii="Arial" w:hAnsi="Arial" w:cs="Arial"/>
                <w:sz w:val="20"/>
              </w:rPr>
              <w:t>2.84</w:t>
            </w:r>
          </w:p>
        </w:tc>
        <w:tc>
          <w:tcPr>
            <w:tcW w:w="1260" w:type="dxa"/>
            <w:vMerge w:val="restart"/>
            <w:noWrap/>
            <w:vAlign w:val="center"/>
            <w:hideMark/>
          </w:tcPr>
          <w:p w14:paraId="3D49A685" w14:textId="77777777" w:rsidR="00231374" w:rsidRPr="00B710B0" w:rsidRDefault="00CC4046" w:rsidP="00231374">
            <w:pPr>
              <w:pStyle w:val="Body"/>
              <w:spacing w:after="0"/>
              <w:rPr>
                <w:rFonts w:ascii="Arial" w:hAnsi="Arial" w:cs="Arial"/>
                <w:sz w:val="20"/>
              </w:rPr>
            </w:pPr>
            <w:r w:rsidRPr="00B710B0">
              <w:rPr>
                <w:rFonts w:ascii="Arial" w:hAnsi="Arial" w:cs="Arial"/>
                <w:sz w:val="20"/>
              </w:rPr>
              <w:t>0</w:t>
            </w:r>
            <w:r w:rsidR="00231374" w:rsidRPr="00B710B0">
              <w:rPr>
                <w:rFonts w:ascii="Arial" w:hAnsi="Arial" w:cs="Arial"/>
                <w:sz w:val="20"/>
              </w:rPr>
              <w:t>.09</w:t>
            </w:r>
          </w:p>
        </w:tc>
      </w:tr>
      <w:tr w:rsidR="00231374" w:rsidRPr="00B710B0" w14:paraId="4614E9C4" w14:textId="77777777" w:rsidTr="002A2816">
        <w:trPr>
          <w:trHeight w:val="290"/>
        </w:trPr>
        <w:tc>
          <w:tcPr>
            <w:tcW w:w="2718" w:type="dxa"/>
            <w:vMerge/>
            <w:hideMark/>
          </w:tcPr>
          <w:p w14:paraId="2D34E0E2" w14:textId="77777777" w:rsidR="00231374" w:rsidRPr="00B710B0" w:rsidRDefault="00231374" w:rsidP="00231374">
            <w:pPr>
              <w:pStyle w:val="Body"/>
              <w:spacing w:after="0"/>
              <w:rPr>
                <w:rFonts w:ascii="Arial" w:hAnsi="Arial" w:cs="Arial"/>
                <w:sz w:val="20"/>
              </w:rPr>
            </w:pPr>
          </w:p>
        </w:tc>
        <w:tc>
          <w:tcPr>
            <w:tcW w:w="1620" w:type="dxa"/>
            <w:noWrap/>
            <w:hideMark/>
          </w:tcPr>
          <w:p w14:paraId="60A41504"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Extensive </w:t>
            </w:r>
          </w:p>
        </w:tc>
        <w:tc>
          <w:tcPr>
            <w:tcW w:w="1350" w:type="dxa"/>
            <w:noWrap/>
            <w:hideMark/>
          </w:tcPr>
          <w:p w14:paraId="11C72F45" w14:textId="77777777" w:rsidR="00231374" w:rsidRPr="00B710B0" w:rsidRDefault="00231374" w:rsidP="00231374">
            <w:pPr>
              <w:pStyle w:val="Body"/>
              <w:spacing w:after="0"/>
              <w:rPr>
                <w:rFonts w:ascii="Arial" w:hAnsi="Arial" w:cs="Arial"/>
                <w:sz w:val="20"/>
              </w:rPr>
            </w:pPr>
            <w:r w:rsidRPr="00B710B0">
              <w:rPr>
                <w:rFonts w:ascii="Arial" w:hAnsi="Arial" w:cs="Arial"/>
                <w:sz w:val="20"/>
              </w:rPr>
              <w:t>45</w:t>
            </w:r>
          </w:p>
        </w:tc>
        <w:tc>
          <w:tcPr>
            <w:tcW w:w="1530" w:type="dxa"/>
            <w:noWrap/>
            <w:hideMark/>
          </w:tcPr>
          <w:p w14:paraId="216D245D" w14:textId="77777777" w:rsidR="00231374" w:rsidRPr="00B710B0" w:rsidRDefault="00231374" w:rsidP="00231374">
            <w:pPr>
              <w:pStyle w:val="Body"/>
              <w:spacing w:after="0"/>
              <w:rPr>
                <w:rFonts w:ascii="Arial" w:hAnsi="Arial" w:cs="Arial"/>
                <w:sz w:val="20"/>
              </w:rPr>
            </w:pPr>
            <w:r w:rsidRPr="00B710B0">
              <w:rPr>
                <w:rFonts w:ascii="Arial" w:hAnsi="Arial" w:cs="Arial"/>
                <w:sz w:val="20"/>
              </w:rPr>
              <w:t>43 (95.6)</w:t>
            </w:r>
          </w:p>
        </w:tc>
        <w:tc>
          <w:tcPr>
            <w:tcW w:w="0" w:type="auto"/>
            <w:vMerge/>
            <w:hideMark/>
          </w:tcPr>
          <w:p w14:paraId="7318C366" w14:textId="77777777" w:rsidR="00231374" w:rsidRPr="00B710B0" w:rsidRDefault="00231374" w:rsidP="00231374">
            <w:pPr>
              <w:pStyle w:val="Body"/>
              <w:spacing w:after="0"/>
              <w:rPr>
                <w:rFonts w:ascii="Arial" w:hAnsi="Arial" w:cs="Arial"/>
                <w:sz w:val="20"/>
              </w:rPr>
            </w:pPr>
          </w:p>
        </w:tc>
        <w:tc>
          <w:tcPr>
            <w:tcW w:w="0" w:type="auto"/>
            <w:vMerge/>
            <w:hideMark/>
          </w:tcPr>
          <w:p w14:paraId="180D0210" w14:textId="77777777" w:rsidR="00231374" w:rsidRPr="00B710B0" w:rsidRDefault="00231374" w:rsidP="00231374">
            <w:pPr>
              <w:pStyle w:val="Body"/>
              <w:spacing w:after="0"/>
              <w:rPr>
                <w:rFonts w:ascii="Arial" w:hAnsi="Arial" w:cs="Arial"/>
                <w:sz w:val="20"/>
              </w:rPr>
            </w:pPr>
          </w:p>
        </w:tc>
      </w:tr>
      <w:tr w:rsidR="00231374" w:rsidRPr="00B710B0" w14:paraId="6A81472B" w14:textId="77777777" w:rsidTr="002A2816">
        <w:trPr>
          <w:trHeight w:val="290"/>
        </w:trPr>
        <w:tc>
          <w:tcPr>
            <w:tcW w:w="2718" w:type="dxa"/>
            <w:vMerge w:val="restart"/>
            <w:noWrap/>
            <w:vAlign w:val="center"/>
            <w:hideMark/>
          </w:tcPr>
          <w:p w14:paraId="2B58E8C2"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Biosecurity measure </w:t>
            </w:r>
          </w:p>
        </w:tc>
        <w:tc>
          <w:tcPr>
            <w:tcW w:w="1620" w:type="dxa"/>
            <w:noWrap/>
            <w:hideMark/>
          </w:tcPr>
          <w:p w14:paraId="0CE62B2E" w14:textId="77777777" w:rsidR="00231374" w:rsidRPr="00B710B0" w:rsidRDefault="00231374" w:rsidP="00231374">
            <w:pPr>
              <w:pStyle w:val="Body"/>
              <w:spacing w:after="0"/>
              <w:rPr>
                <w:rFonts w:ascii="Arial" w:hAnsi="Arial" w:cs="Arial"/>
                <w:sz w:val="20"/>
              </w:rPr>
            </w:pPr>
            <w:r w:rsidRPr="00B710B0">
              <w:rPr>
                <w:rFonts w:ascii="Arial" w:hAnsi="Arial" w:cs="Arial"/>
                <w:sz w:val="20"/>
              </w:rPr>
              <w:t>Have foot bath</w:t>
            </w:r>
          </w:p>
        </w:tc>
        <w:tc>
          <w:tcPr>
            <w:tcW w:w="1350" w:type="dxa"/>
            <w:noWrap/>
            <w:hideMark/>
          </w:tcPr>
          <w:p w14:paraId="751328DF" w14:textId="77777777" w:rsidR="00231374" w:rsidRPr="00B710B0" w:rsidRDefault="00231374" w:rsidP="00231374">
            <w:pPr>
              <w:pStyle w:val="Body"/>
              <w:spacing w:after="0"/>
              <w:rPr>
                <w:rFonts w:ascii="Arial" w:hAnsi="Arial" w:cs="Arial"/>
                <w:sz w:val="20"/>
              </w:rPr>
            </w:pPr>
            <w:r w:rsidRPr="00B710B0">
              <w:rPr>
                <w:rFonts w:ascii="Arial" w:hAnsi="Arial" w:cs="Arial"/>
                <w:sz w:val="20"/>
              </w:rPr>
              <w:t>150</w:t>
            </w:r>
          </w:p>
        </w:tc>
        <w:tc>
          <w:tcPr>
            <w:tcW w:w="1530" w:type="dxa"/>
            <w:noWrap/>
            <w:hideMark/>
          </w:tcPr>
          <w:p w14:paraId="7B13F6CF" w14:textId="77777777" w:rsidR="00231374" w:rsidRPr="00B710B0" w:rsidRDefault="00231374" w:rsidP="00231374">
            <w:pPr>
              <w:pStyle w:val="Body"/>
              <w:spacing w:after="0"/>
              <w:rPr>
                <w:rFonts w:ascii="Arial" w:hAnsi="Arial" w:cs="Arial"/>
                <w:sz w:val="20"/>
              </w:rPr>
            </w:pPr>
            <w:r w:rsidRPr="00B710B0">
              <w:rPr>
                <w:rFonts w:ascii="Arial" w:hAnsi="Arial" w:cs="Arial"/>
                <w:sz w:val="20"/>
              </w:rPr>
              <w:t>131 (87.3)</w:t>
            </w:r>
          </w:p>
        </w:tc>
        <w:tc>
          <w:tcPr>
            <w:tcW w:w="1182" w:type="dxa"/>
            <w:vMerge w:val="restart"/>
            <w:noWrap/>
            <w:vAlign w:val="center"/>
            <w:hideMark/>
          </w:tcPr>
          <w:p w14:paraId="47F05085" w14:textId="77777777" w:rsidR="00231374" w:rsidRPr="00B710B0" w:rsidRDefault="00231374" w:rsidP="00231374">
            <w:pPr>
              <w:pStyle w:val="Body"/>
              <w:spacing w:after="0"/>
              <w:rPr>
                <w:rFonts w:ascii="Arial" w:hAnsi="Arial" w:cs="Arial"/>
                <w:sz w:val="20"/>
              </w:rPr>
            </w:pPr>
            <w:r w:rsidRPr="00B710B0">
              <w:rPr>
                <w:rFonts w:ascii="Arial" w:hAnsi="Arial" w:cs="Arial"/>
                <w:sz w:val="20"/>
              </w:rPr>
              <w:t>9.449</w:t>
            </w:r>
          </w:p>
        </w:tc>
        <w:tc>
          <w:tcPr>
            <w:tcW w:w="1260" w:type="dxa"/>
            <w:vMerge w:val="restart"/>
            <w:noWrap/>
            <w:vAlign w:val="center"/>
            <w:hideMark/>
          </w:tcPr>
          <w:p w14:paraId="694DD8C1" w14:textId="77777777" w:rsidR="00231374" w:rsidRPr="00B710B0" w:rsidRDefault="00CC4046" w:rsidP="00231374">
            <w:pPr>
              <w:pStyle w:val="Body"/>
              <w:spacing w:after="0"/>
              <w:rPr>
                <w:rFonts w:ascii="Arial" w:hAnsi="Arial" w:cs="Arial"/>
                <w:sz w:val="20"/>
              </w:rPr>
            </w:pPr>
            <w:r w:rsidRPr="00B710B0">
              <w:rPr>
                <w:rFonts w:ascii="Arial" w:hAnsi="Arial" w:cs="Arial"/>
                <w:sz w:val="20"/>
              </w:rPr>
              <w:t>0</w:t>
            </w:r>
            <w:r w:rsidR="00231374" w:rsidRPr="00B710B0">
              <w:rPr>
                <w:rFonts w:ascii="Arial" w:hAnsi="Arial" w:cs="Arial"/>
                <w:sz w:val="20"/>
              </w:rPr>
              <w:t>.002</w:t>
            </w:r>
          </w:p>
        </w:tc>
      </w:tr>
      <w:tr w:rsidR="00231374" w:rsidRPr="00B710B0" w14:paraId="73BD77BE" w14:textId="77777777" w:rsidTr="002A2816">
        <w:trPr>
          <w:trHeight w:val="290"/>
        </w:trPr>
        <w:tc>
          <w:tcPr>
            <w:tcW w:w="2718" w:type="dxa"/>
            <w:vMerge/>
            <w:hideMark/>
          </w:tcPr>
          <w:p w14:paraId="7C941B67" w14:textId="77777777" w:rsidR="00231374" w:rsidRPr="00B710B0" w:rsidRDefault="00231374" w:rsidP="00231374">
            <w:pPr>
              <w:pStyle w:val="Body"/>
              <w:spacing w:after="0"/>
              <w:rPr>
                <w:rFonts w:ascii="Arial" w:hAnsi="Arial" w:cs="Arial"/>
                <w:sz w:val="20"/>
              </w:rPr>
            </w:pPr>
          </w:p>
        </w:tc>
        <w:tc>
          <w:tcPr>
            <w:tcW w:w="1620" w:type="dxa"/>
            <w:noWrap/>
            <w:hideMark/>
          </w:tcPr>
          <w:p w14:paraId="58EC3601"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No foot bath </w:t>
            </w:r>
          </w:p>
        </w:tc>
        <w:tc>
          <w:tcPr>
            <w:tcW w:w="1350" w:type="dxa"/>
            <w:noWrap/>
            <w:hideMark/>
          </w:tcPr>
          <w:p w14:paraId="78E09A4E" w14:textId="77777777" w:rsidR="00231374" w:rsidRPr="00B710B0" w:rsidRDefault="00231374" w:rsidP="00231374">
            <w:pPr>
              <w:pStyle w:val="Body"/>
              <w:spacing w:after="0"/>
              <w:rPr>
                <w:rFonts w:ascii="Arial" w:hAnsi="Arial" w:cs="Arial"/>
                <w:sz w:val="20"/>
              </w:rPr>
            </w:pPr>
            <w:r w:rsidRPr="00B710B0">
              <w:rPr>
                <w:rFonts w:ascii="Arial" w:hAnsi="Arial" w:cs="Arial"/>
                <w:sz w:val="20"/>
              </w:rPr>
              <w:t>50</w:t>
            </w:r>
          </w:p>
        </w:tc>
        <w:tc>
          <w:tcPr>
            <w:tcW w:w="1530" w:type="dxa"/>
            <w:noWrap/>
            <w:hideMark/>
          </w:tcPr>
          <w:p w14:paraId="5B8C8949" w14:textId="77777777" w:rsidR="00231374" w:rsidRPr="00B710B0" w:rsidRDefault="00231374" w:rsidP="00231374">
            <w:pPr>
              <w:pStyle w:val="Body"/>
              <w:spacing w:after="0"/>
              <w:rPr>
                <w:rFonts w:ascii="Arial" w:hAnsi="Arial" w:cs="Arial"/>
                <w:sz w:val="20"/>
              </w:rPr>
            </w:pPr>
            <w:r w:rsidRPr="00B710B0">
              <w:rPr>
                <w:rFonts w:ascii="Arial" w:hAnsi="Arial" w:cs="Arial"/>
                <w:sz w:val="20"/>
              </w:rPr>
              <w:t>46 (92.0)</w:t>
            </w:r>
          </w:p>
        </w:tc>
        <w:tc>
          <w:tcPr>
            <w:tcW w:w="0" w:type="auto"/>
            <w:vMerge/>
            <w:hideMark/>
          </w:tcPr>
          <w:p w14:paraId="397BA58A" w14:textId="77777777" w:rsidR="00231374" w:rsidRPr="00B710B0" w:rsidRDefault="00231374" w:rsidP="00231374">
            <w:pPr>
              <w:pStyle w:val="Body"/>
              <w:spacing w:after="0"/>
              <w:rPr>
                <w:rFonts w:ascii="Arial" w:hAnsi="Arial" w:cs="Arial"/>
                <w:sz w:val="20"/>
              </w:rPr>
            </w:pPr>
          </w:p>
        </w:tc>
        <w:tc>
          <w:tcPr>
            <w:tcW w:w="0" w:type="auto"/>
            <w:vMerge/>
            <w:hideMark/>
          </w:tcPr>
          <w:p w14:paraId="578A67D0" w14:textId="77777777" w:rsidR="00231374" w:rsidRPr="00B710B0" w:rsidRDefault="00231374" w:rsidP="00231374">
            <w:pPr>
              <w:pStyle w:val="Body"/>
              <w:spacing w:after="0"/>
              <w:rPr>
                <w:rFonts w:ascii="Arial" w:hAnsi="Arial" w:cs="Arial"/>
                <w:sz w:val="20"/>
              </w:rPr>
            </w:pPr>
          </w:p>
        </w:tc>
      </w:tr>
      <w:tr w:rsidR="00231374" w:rsidRPr="00B710B0" w14:paraId="3CAA6152" w14:textId="77777777" w:rsidTr="002A2816">
        <w:trPr>
          <w:trHeight w:val="290"/>
        </w:trPr>
        <w:tc>
          <w:tcPr>
            <w:tcW w:w="2718" w:type="dxa"/>
            <w:vMerge w:val="restart"/>
            <w:noWrap/>
            <w:vAlign w:val="center"/>
            <w:hideMark/>
          </w:tcPr>
          <w:p w14:paraId="46A7A46A" w14:textId="77777777" w:rsidR="00231374" w:rsidRPr="00B710B0" w:rsidRDefault="00231374" w:rsidP="00231374">
            <w:pPr>
              <w:pStyle w:val="Body"/>
              <w:spacing w:after="0"/>
              <w:rPr>
                <w:rFonts w:ascii="Arial" w:hAnsi="Arial" w:cs="Arial"/>
                <w:sz w:val="20"/>
              </w:rPr>
            </w:pPr>
            <w:r w:rsidRPr="00B710B0">
              <w:rPr>
                <w:rFonts w:ascii="Arial" w:hAnsi="Arial" w:cs="Arial"/>
                <w:sz w:val="20"/>
              </w:rPr>
              <w:t>Chicken vaccination status</w:t>
            </w:r>
          </w:p>
        </w:tc>
        <w:tc>
          <w:tcPr>
            <w:tcW w:w="1620" w:type="dxa"/>
            <w:noWrap/>
            <w:hideMark/>
          </w:tcPr>
          <w:p w14:paraId="285B6208" w14:textId="77777777" w:rsidR="00231374" w:rsidRPr="00B710B0" w:rsidRDefault="00231374" w:rsidP="00231374">
            <w:pPr>
              <w:pStyle w:val="Body"/>
              <w:spacing w:after="0"/>
              <w:rPr>
                <w:rFonts w:ascii="Arial" w:hAnsi="Arial" w:cs="Arial"/>
                <w:sz w:val="20"/>
              </w:rPr>
            </w:pPr>
            <w:r w:rsidRPr="00B710B0">
              <w:rPr>
                <w:rFonts w:ascii="Arial" w:hAnsi="Arial" w:cs="Arial"/>
                <w:sz w:val="20"/>
              </w:rPr>
              <w:t>Vaccinated</w:t>
            </w:r>
          </w:p>
        </w:tc>
        <w:tc>
          <w:tcPr>
            <w:tcW w:w="1350" w:type="dxa"/>
            <w:noWrap/>
            <w:hideMark/>
          </w:tcPr>
          <w:p w14:paraId="54CC997B" w14:textId="77777777" w:rsidR="00231374" w:rsidRPr="00B710B0" w:rsidRDefault="00231374" w:rsidP="00231374">
            <w:pPr>
              <w:pStyle w:val="Body"/>
              <w:spacing w:after="0"/>
              <w:rPr>
                <w:rFonts w:ascii="Arial" w:hAnsi="Arial" w:cs="Arial"/>
                <w:sz w:val="20"/>
              </w:rPr>
            </w:pPr>
            <w:r w:rsidRPr="00B710B0">
              <w:rPr>
                <w:rFonts w:ascii="Arial" w:hAnsi="Arial" w:cs="Arial"/>
                <w:sz w:val="20"/>
              </w:rPr>
              <w:t>135</w:t>
            </w:r>
          </w:p>
        </w:tc>
        <w:tc>
          <w:tcPr>
            <w:tcW w:w="1530" w:type="dxa"/>
            <w:noWrap/>
            <w:hideMark/>
          </w:tcPr>
          <w:p w14:paraId="4828F5F3" w14:textId="77777777" w:rsidR="00231374" w:rsidRPr="00B710B0" w:rsidRDefault="00231374" w:rsidP="00231374">
            <w:pPr>
              <w:pStyle w:val="Body"/>
              <w:spacing w:after="0"/>
              <w:rPr>
                <w:rFonts w:ascii="Arial" w:hAnsi="Arial" w:cs="Arial"/>
                <w:sz w:val="20"/>
              </w:rPr>
            </w:pPr>
            <w:r w:rsidRPr="00B710B0">
              <w:rPr>
                <w:rFonts w:ascii="Arial" w:hAnsi="Arial" w:cs="Arial"/>
                <w:sz w:val="20"/>
              </w:rPr>
              <w:t>118 (87.4)</w:t>
            </w:r>
          </w:p>
        </w:tc>
        <w:tc>
          <w:tcPr>
            <w:tcW w:w="1182" w:type="dxa"/>
            <w:vMerge w:val="restart"/>
            <w:noWrap/>
            <w:vAlign w:val="center"/>
            <w:hideMark/>
          </w:tcPr>
          <w:p w14:paraId="66704530" w14:textId="77777777" w:rsidR="00231374" w:rsidRPr="00B710B0" w:rsidRDefault="00231374" w:rsidP="00231374">
            <w:pPr>
              <w:pStyle w:val="Body"/>
              <w:spacing w:after="0"/>
              <w:rPr>
                <w:rFonts w:ascii="Arial" w:hAnsi="Arial" w:cs="Arial"/>
                <w:sz w:val="20"/>
              </w:rPr>
            </w:pPr>
            <w:r w:rsidRPr="00B710B0">
              <w:rPr>
                <w:rFonts w:ascii="Arial" w:hAnsi="Arial" w:cs="Arial"/>
                <w:sz w:val="20"/>
              </w:rPr>
              <w:t>14.22</w:t>
            </w:r>
          </w:p>
        </w:tc>
        <w:tc>
          <w:tcPr>
            <w:tcW w:w="1260" w:type="dxa"/>
            <w:vMerge w:val="restart"/>
            <w:noWrap/>
            <w:vAlign w:val="center"/>
            <w:hideMark/>
          </w:tcPr>
          <w:p w14:paraId="7C1B4170" w14:textId="77777777" w:rsidR="00231374" w:rsidRPr="00B710B0" w:rsidRDefault="002A2816" w:rsidP="00231374">
            <w:pPr>
              <w:pStyle w:val="Body"/>
              <w:spacing w:after="0"/>
              <w:rPr>
                <w:rFonts w:ascii="Arial" w:hAnsi="Arial" w:cs="Arial"/>
                <w:sz w:val="20"/>
              </w:rPr>
            </w:pPr>
            <w:r w:rsidRPr="00B710B0">
              <w:rPr>
                <w:rFonts w:ascii="Arial" w:hAnsi="Arial" w:cs="Arial"/>
                <w:sz w:val="20"/>
              </w:rPr>
              <w:t>&lt;</w:t>
            </w:r>
            <w:r w:rsidR="00CC4046" w:rsidRPr="00B710B0">
              <w:rPr>
                <w:rFonts w:ascii="Arial" w:hAnsi="Arial" w:cs="Arial"/>
                <w:sz w:val="20"/>
              </w:rPr>
              <w:t>0</w:t>
            </w:r>
            <w:r w:rsidR="00231374" w:rsidRPr="00B710B0">
              <w:rPr>
                <w:rFonts w:ascii="Arial" w:hAnsi="Arial" w:cs="Arial"/>
                <w:sz w:val="20"/>
              </w:rPr>
              <w:t>.001</w:t>
            </w:r>
          </w:p>
        </w:tc>
      </w:tr>
      <w:tr w:rsidR="00231374" w:rsidRPr="00B710B0" w14:paraId="03573021" w14:textId="77777777" w:rsidTr="002A2816">
        <w:trPr>
          <w:trHeight w:val="290"/>
        </w:trPr>
        <w:tc>
          <w:tcPr>
            <w:tcW w:w="2718" w:type="dxa"/>
            <w:vMerge/>
            <w:hideMark/>
          </w:tcPr>
          <w:p w14:paraId="6F645589" w14:textId="77777777" w:rsidR="00231374" w:rsidRPr="00B710B0" w:rsidRDefault="00231374" w:rsidP="00231374">
            <w:pPr>
              <w:pStyle w:val="Body"/>
              <w:spacing w:after="0"/>
              <w:rPr>
                <w:rFonts w:ascii="Arial" w:hAnsi="Arial" w:cs="Arial"/>
                <w:sz w:val="20"/>
              </w:rPr>
            </w:pPr>
          </w:p>
        </w:tc>
        <w:tc>
          <w:tcPr>
            <w:tcW w:w="1620" w:type="dxa"/>
            <w:noWrap/>
            <w:hideMark/>
          </w:tcPr>
          <w:p w14:paraId="7732654C"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Not vaccinated </w:t>
            </w:r>
          </w:p>
        </w:tc>
        <w:tc>
          <w:tcPr>
            <w:tcW w:w="1350" w:type="dxa"/>
            <w:noWrap/>
            <w:hideMark/>
          </w:tcPr>
          <w:p w14:paraId="6365109D" w14:textId="77777777" w:rsidR="00231374" w:rsidRPr="00B710B0" w:rsidRDefault="00231374" w:rsidP="00231374">
            <w:pPr>
              <w:pStyle w:val="Body"/>
              <w:spacing w:after="0"/>
              <w:rPr>
                <w:rFonts w:ascii="Arial" w:hAnsi="Arial" w:cs="Arial"/>
                <w:sz w:val="20"/>
              </w:rPr>
            </w:pPr>
            <w:r w:rsidRPr="00B710B0">
              <w:rPr>
                <w:rFonts w:ascii="Arial" w:hAnsi="Arial" w:cs="Arial"/>
                <w:sz w:val="20"/>
              </w:rPr>
              <w:t>65</w:t>
            </w:r>
          </w:p>
        </w:tc>
        <w:tc>
          <w:tcPr>
            <w:tcW w:w="1530" w:type="dxa"/>
            <w:noWrap/>
            <w:hideMark/>
          </w:tcPr>
          <w:p w14:paraId="373B488D" w14:textId="77777777" w:rsidR="00231374" w:rsidRPr="00B710B0" w:rsidRDefault="00231374" w:rsidP="00231374">
            <w:pPr>
              <w:pStyle w:val="Body"/>
              <w:spacing w:after="0"/>
              <w:rPr>
                <w:rFonts w:ascii="Arial" w:hAnsi="Arial" w:cs="Arial"/>
                <w:sz w:val="20"/>
              </w:rPr>
            </w:pPr>
            <w:r w:rsidRPr="00B710B0">
              <w:rPr>
                <w:rFonts w:ascii="Arial" w:hAnsi="Arial" w:cs="Arial"/>
                <w:sz w:val="20"/>
              </w:rPr>
              <w:t>59 (90.8)</w:t>
            </w:r>
          </w:p>
        </w:tc>
        <w:tc>
          <w:tcPr>
            <w:tcW w:w="0" w:type="auto"/>
            <w:vMerge/>
            <w:hideMark/>
          </w:tcPr>
          <w:p w14:paraId="785B2A2D" w14:textId="77777777" w:rsidR="00231374" w:rsidRPr="00B710B0" w:rsidRDefault="00231374" w:rsidP="00231374">
            <w:pPr>
              <w:pStyle w:val="Body"/>
              <w:spacing w:after="0"/>
              <w:rPr>
                <w:rFonts w:ascii="Arial" w:hAnsi="Arial" w:cs="Arial"/>
                <w:sz w:val="20"/>
              </w:rPr>
            </w:pPr>
          </w:p>
        </w:tc>
        <w:tc>
          <w:tcPr>
            <w:tcW w:w="0" w:type="auto"/>
            <w:vMerge/>
            <w:hideMark/>
          </w:tcPr>
          <w:p w14:paraId="5C6E0232" w14:textId="77777777" w:rsidR="00231374" w:rsidRPr="00B710B0" w:rsidRDefault="00231374" w:rsidP="00231374">
            <w:pPr>
              <w:pStyle w:val="Body"/>
              <w:spacing w:after="0"/>
              <w:rPr>
                <w:rFonts w:ascii="Arial" w:hAnsi="Arial" w:cs="Arial"/>
                <w:sz w:val="20"/>
              </w:rPr>
            </w:pPr>
          </w:p>
        </w:tc>
      </w:tr>
      <w:tr w:rsidR="00231374" w:rsidRPr="00B710B0" w14:paraId="7506EB77" w14:textId="77777777" w:rsidTr="002A2816">
        <w:trPr>
          <w:trHeight w:val="290"/>
        </w:trPr>
        <w:tc>
          <w:tcPr>
            <w:tcW w:w="2718" w:type="dxa"/>
            <w:vMerge w:val="restart"/>
            <w:noWrap/>
            <w:vAlign w:val="center"/>
            <w:hideMark/>
          </w:tcPr>
          <w:p w14:paraId="42DE0E0C"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Antibiotic use </w:t>
            </w:r>
          </w:p>
        </w:tc>
        <w:tc>
          <w:tcPr>
            <w:tcW w:w="1620" w:type="dxa"/>
            <w:noWrap/>
            <w:hideMark/>
          </w:tcPr>
          <w:p w14:paraId="5BCDB4B4"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Treatment </w:t>
            </w:r>
          </w:p>
        </w:tc>
        <w:tc>
          <w:tcPr>
            <w:tcW w:w="1350" w:type="dxa"/>
            <w:noWrap/>
            <w:hideMark/>
          </w:tcPr>
          <w:p w14:paraId="7D9A4F21" w14:textId="77777777" w:rsidR="00231374" w:rsidRPr="00B710B0" w:rsidRDefault="00231374" w:rsidP="00231374">
            <w:pPr>
              <w:pStyle w:val="Body"/>
              <w:spacing w:after="0"/>
              <w:rPr>
                <w:rFonts w:ascii="Arial" w:hAnsi="Arial" w:cs="Arial"/>
                <w:sz w:val="20"/>
              </w:rPr>
            </w:pPr>
            <w:r w:rsidRPr="00B710B0">
              <w:rPr>
                <w:rFonts w:ascii="Arial" w:hAnsi="Arial" w:cs="Arial"/>
                <w:sz w:val="20"/>
              </w:rPr>
              <w:t>90</w:t>
            </w:r>
          </w:p>
        </w:tc>
        <w:tc>
          <w:tcPr>
            <w:tcW w:w="1530" w:type="dxa"/>
            <w:noWrap/>
            <w:hideMark/>
          </w:tcPr>
          <w:p w14:paraId="23DA9ADA" w14:textId="77777777" w:rsidR="00231374" w:rsidRPr="00B710B0" w:rsidRDefault="00231374" w:rsidP="00231374">
            <w:pPr>
              <w:pStyle w:val="Body"/>
              <w:spacing w:after="0"/>
              <w:rPr>
                <w:rFonts w:ascii="Arial" w:hAnsi="Arial" w:cs="Arial"/>
                <w:sz w:val="20"/>
              </w:rPr>
            </w:pPr>
            <w:r w:rsidRPr="00B710B0">
              <w:rPr>
                <w:rFonts w:ascii="Arial" w:hAnsi="Arial" w:cs="Arial"/>
                <w:sz w:val="20"/>
              </w:rPr>
              <w:t>78 (86.7)</w:t>
            </w:r>
          </w:p>
        </w:tc>
        <w:tc>
          <w:tcPr>
            <w:tcW w:w="1182" w:type="dxa"/>
            <w:vMerge w:val="restart"/>
            <w:noWrap/>
            <w:vAlign w:val="center"/>
            <w:hideMark/>
          </w:tcPr>
          <w:p w14:paraId="14736C66" w14:textId="77777777" w:rsidR="00231374" w:rsidRPr="00B710B0" w:rsidRDefault="00231374" w:rsidP="002A2816">
            <w:pPr>
              <w:pStyle w:val="Body"/>
              <w:spacing w:after="0"/>
              <w:jc w:val="left"/>
              <w:rPr>
                <w:rFonts w:ascii="Arial" w:hAnsi="Arial" w:cs="Arial"/>
                <w:sz w:val="20"/>
              </w:rPr>
            </w:pPr>
            <w:r w:rsidRPr="00B710B0">
              <w:rPr>
                <w:rFonts w:ascii="Arial" w:hAnsi="Arial" w:cs="Arial"/>
                <w:sz w:val="20"/>
              </w:rPr>
              <w:t>3.114</w:t>
            </w:r>
          </w:p>
        </w:tc>
        <w:tc>
          <w:tcPr>
            <w:tcW w:w="1260" w:type="dxa"/>
            <w:vMerge w:val="restart"/>
            <w:noWrap/>
            <w:vAlign w:val="center"/>
            <w:hideMark/>
          </w:tcPr>
          <w:p w14:paraId="2B12384F" w14:textId="77777777" w:rsidR="00231374" w:rsidRPr="00B710B0" w:rsidRDefault="00CC4046" w:rsidP="00231374">
            <w:pPr>
              <w:pStyle w:val="Body"/>
              <w:spacing w:after="0"/>
              <w:rPr>
                <w:rFonts w:ascii="Arial" w:hAnsi="Arial" w:cs="Arial"/>
                <w:sz w:val="20"/>
              </w:rPr>
            </w:pPr>
            <w:r w:rsidRPr="00B710B0">
              <w:rPr>
                <w:rFonts w:ascii="Arial" w:hAnsi="Arial" w:cs="Arial"/>
                <w:sz w:val="20"/>
              </w:rPr>
              <w:t>0</w:t>
            </w:r>
            <w:r w:rsidR="00231374" w:rsidRPr="00B710B0">
              <w:rPr>
                <w:rFonts w:ascii="Arial" w:hAnsi="Arial" w:cs="Arial"/>
                <w:sz w:val="20"/>
              </w:rPr>
              <w:t>.21</w:t>
            </w:r>
          </w:p>
        </w:tc>
      </w:tr>
      <w:tr w:rsidR="00231374" w:rsidRPr="00B710B0" w14:paraId="4B30E660" w14:textId="77777777" w:rsidTr="002A2816">
        <w:trPr>
          <w:trHeight w:val="290"/>
        </w:trPr>
        <w:tc>
          <w:tcPr>
            <w:tcW w:w="2718" w:type="dxa"/>
            <w:vMerge/>
            <w:hideMark/>
          </w:tcPr>
          <w:p w14:paraId="258419FC" w14:textId="77777777" w:rsidR="00231374" w:rsidRPr="00B710B0" w:rsidRDefault="00231374" w:rsidP="00231374">
            <w:pPr>
              <w:pStyle w:val="Body"/>
              <w:spacing w:after="0"/>
              <w:rPr>
                <w:rFonts w:ascii="Arial" w:hAnsi="Arial" w:cs="Arial"/>
                <w:sz w:val="20"/>
              </w:rPr>
            </w:pPr>
          </w:p>
        </w:tc>
        <w:tc>
          <w:tcPr>
            <w:tcW w:w="1620" w:type="dxa"/>
            <w:noWrap/>
            <w:hideMark/>
          </w:tcPr>
          <w:p w14:paraId="57E5A5CC"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Prevention </w:t>
            </w:r>
          </w:p>
        </w:tc>
        <w:tc>
          <w:tcPr>
            <w:tcW w:w="1350" w:type="dxa"/>
            <w:noWrap/>
            <w:hideMark/>
          </w:tcPr>
          <w:p w14:paraId="2016675E" w14:textId="77777777" w:rsidR="00231374" w:rsidRPr="00B710B0" w:rsidRDefault="00231374" w:rsidP="00231374">
            <w:pPr>
              <w:pStyle w:val="Body"/>
              <w:spacing w:after="0"/>
              <w:rPr>
                <w:rFonts w:ascii="Arial" w:hAnsi="Arial" w:cs="Arial"/>
                <w:sz w:val="20"/>
              </w:rPr>
            </w:pPr>
            <w:r w:rsidRPr="00B710B0">
              <w:rPr>
                <w:rFonts w:ascii="Arial" w:hAnsi="Arial" w:cs="Arial"/>
                <w:sz w:val="20"/>
              </w:rPr>
              <w:t>75</w:t>
            </w:r>
          </w:p>
        </w:tc>
        <w:tc>
          <w:tcPr>
            <w:tcW w:w="1530" w:type="dxa"/>
            <w:noWrap/>
            <w:hideMark/>
          </w:tcPr>
          <w:p w14:paraId="168835FA" w14:textId="77777777" w:rsidR="00231374" w:rsidRPr="00B710B0" w:rsidRDefault="00231374" w:rsidP="00231374">
            <w:pPr>
              <w:pStyle w:val="Body"/>
              <w:spacing w:after="0"/>
              <w:rPr>
                <w:rFonts w:ascii="Arial" w:hAnsi="Arial" w:cs="Arial"/>
                <w:sz w:val="20"/>
              </w:rPr>
            </w:pPr>
            <w:r w:rsidRPr="00B710B0">
              <w:rPr>
                <w:rFonts w:ascii="Arial" w:hAnsi="Arial" w:cs="Arial"/>
                <w:sz w:val="20"/>
              </w:rPr>
              <w:t>70 (93.3)</w:t>
            </w:r>
          </w:p>
        </w:tc>
        <w:tc>
          <w:tcPr>
            <w:tcW w:w="0" w:type="auto"/>
            <w:vMerge/>
            <w:hideMark/>
          </w:tcPr>
          <w:p w14:paraId="028B6D79" w14:textId="77777777" w:rsidR="00231374" w:rsidRPr="00B710B0" w:rsidRDefault="00231374" w:rsidP="00231374">
            <w:pPr>
              <w:pStyle w:val="Body"/>
              <w:spacing w:after="0"/>
              <w:rPr>
                <w:rFonts w:ascii="Arial" w:hAnsi="Arial" w:cs="Arial"/>
                <w:sz w:val="20"/>
              </w:rPr>
            </w:pPr>
          </w:p>
        </w:tc>
        <w:tc>
          <w:tcPr>
            <w:tcW w:w="0" w:type="auto"/>
            <w:vMerge/>
            <w:hideMark/>
          </w:tcPr>
          <w:p w14:paraId="39F37088" w14:textId="77777777" w:rsidR="00231374" w:rsidRPr="00B710B0" w:rsidRDefault="00231374" w:rsidP="00231374">
            <w:pPr>
              <w:pStyle w:val="Body"/>
              <w:spacing w:after="0"/>
              <w:rPr>
                <w:rFonts w:ascii="Arial" w:hAnsi="Arial" w:cs="Arial"/>
                <w:sz w:val="20"/>
              </w:rPr>
            </w:pPr>
          </w:p>
        </w:tc>
      </w:tr>
      <w:tr w:rsidR="00231374" w:rsidRPr="00B710B0" w14:paraId="5EF371FD" w14:textId="77777777" w:rsidTr="002A2816">
        <w:trPr>
          <w:trHeight w:val="290"/>
        </w:trPr>
        <w:tc>
          <w:tcPr>
            <w:tcW w:w="2718" w:type="dxa"/>
            <w:vMerge/>
            <w:hideMark/>
          </w:tcPr>
          <w:p w14:paraId="2E02E0F8" w14:textId="77777777" w:rsidR="00231374" w:rsidRPr="00B710B0" w:rsidRDefault="00231374" w:rsidP="00231374">
            <w:pPr>
              <w:pStyle w:val="Body"/>
              <w:spacing w:after="0"/>
              <w:rPr>
                <w:rFonts w:ascii="Arial" w:hAnsi="Arial" w:cs="Arial"/>
                <w:sz w:val="20"/>
              </w:rPr>
            </w:pPr>
          </w:p>
        </w:tc>
        <w:tc>
          <w:tcPr>
            <w:tcW w:w="1620" w:type="dxa"/>
            <w:noWrap/>
            <w:hideMark/>
          </w:tcPr>
          <w:p w14:paraId="3F7D59BE"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Both </w:t>
            </w:r>
          </w:p>
        </w:tc>
        <w:tc>
          <w:tcPr>
            <w:tcW w:w="1350" w:type="dxa"/>
            <w:noWrap/>
            <w:hideMark/>
          </w:tcPr>
          <w:p w14:paraId="46E8AB16" w14:textId="77777777" w:rsidR="00231374" w:rsidRPr="00B710B0" w:rsidRDefault="00231374" w:rsidP="00231374">
            <w:pPr>
              <w:pStyle w:val="Body"/>
              <w:spacing w:after="0"/>
              <w:rPr>
                <w:rFonts w:ascii="Arial" w:hAnsi="Arial" w:cs="Arial"/>
                <w:sz w:val="20"/>
              </w:rPr>
            </w:pPr>
            <w:r w:rsidRPr="00B710B0">
              <w:rPr>
                <w:rFonts w:ascii="Arial" w:hAnsi="Arial" w:cs="Arial"/>
                <w:sz w:val="20"/>
              </w:rPr>
              <w:t>35</w:t>
            </w:r>
          </w:p>
        </w:tc>
        <w:tc>
          <w:tcPr>
            <w:tcW w:w="1530" w:type="dxa"/>
            <w:noWrap/>
            <w:hideMark/>
          </w:tcPr>
          <w:p w14:paraId="66F83565" w14:textId="77777777" w:rsidR="00231374" w:rsidRPr="00B710B0" w:rsidRDefault="00231374" w:rsidP="00231374">
            <w:pPr>
              <w:pStyle w:val="Body"/>
              <w:spacing w:after="0"/>
              <w:rPr>
                <w:rFonts w:ascii="Arial" w:hAnsi="Arial" w:cs="Arial"/>
                <w:sz w:val="20"/>
              </w:rPr>
            </w:pPr>
            <w:r w:rsidRPr="00B710B0">
              <w:rPr>
                <w:rFonts w:ascii="Arial" w:hAnsi="Arial" w:cs="Arial"/>
                <w:sz w:val="20"/>
              </w:rPr>
              <w:t>29 (82.9)</w:t>
            </w:r>
          </w:p>
        </w:tc>
        <w:tc>
          <w:tcPr>
            <w:tcW w:w="0" w:type="auto"/>
            <w:vMerge/>
            <w:hideMark/>
          </w:tcPr>
          <w:p w14:paraId="5B254BB1" w14:textId="77777777" w:rsidR="00231374" w:rsidRPr="00B710B0" w:rsidRDefault="00231374" w:rsidP="00231374">
            <w:pPr>
              <w:pStyle w:val="Body"/>
              <w:spacing w:after="0"/>
              <w:rPr>
                <w:rFonts w:ascii="Arial" w:hAnsi="Arial" w:cs="Arial"/>
                <w:sz w:val="20"/>
              </w:rPr>
            </w:pPr>
          </w:p>
        </w:tc>
        <w:tc>
          <w:tcPr>
            <w:tcW w:w="0" w:type="auto"/>
            <w:vMerge/>
            <w:hideMark/>
          </w:tcPr>
          <w:p w14:paraId="40D5A3A3" w14:textId="77777777" w:rsidR="00231374" w:rsidRPr="00B710B0" w:rsidRDefault="00231374" w:rsidP="00231374">
            <w:pPr>
              <w:pStyle w:val="Body"/>
              <w:spacing w:after="0"/>
              <w:rPr>
                <w:rFonts w:ascii="Arial" w:hAnsi="Arial" w:cs="Arial"/>
                <w:sz w:val="20"/>
              </w:rPr>
            </w:pPr>
          </w:p>
        </w:tc>
      </w:tr>
      <w:tr w:rsidR="00231374" w:rsidRPr="00B710B0" w14:paraId="57F415EF" w14:textId="77777777" w:rsidTr="002A2816">
        <w:trPr>
          <w:trHeight w:val="290"/>
        </w:trPr>
        <w:tc>
          <w:tcPr>
            <w:tcW w:w="2718" w:type="dxa"/>
            <w:vMerge w:val="restart"/>
            <w:noWrap/>
            <w:vAlign w:val="center"/>
            <w:hideMark/>
          </w:tcPr>
          <w:p w14:paraId="3C68E594" w14:textId="77777777" w:rsidR="00231374" w:rsidRPr="00B710B0" w:rsidRDefault="00231374" w:rsidP="00231374">
            <w:pPr>
              <w:pStyle w:val="Body"/>
              <w:spacing w:after="0"/>
              <w:rPr>
                <w:rFonts w:ascii="Arial" w:hAnsi="Arial" w:cs="Arial"/>
                <w:sz w:val="20"/>
              </w:rPr>
            </w:pPr>
            <w:r w:rsidRPr="00B710B0">
              <w:rPr>
                <w:rFonts w:ascii="Arial" w:hAnsi="Arial" w:cs="Arial"/>
                <w:sz w:val="20"/>
              </w:rPr>
              <w:t>Ventilation type</w:t>
            </w:r>
          </w:p>
        </w:tc>
        <w:tc>
          <w:tcPr>
            <w:tcW w:w="1620" w:type="dxa"/>
            <w:noWrap/>
            <w:hideMark/>
          </w:tcPr>
          <w:p w14:paraId="1F3C4379"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Natural </w:t>
            </w:r>
          </w:p>
        </w:tc>
        <w:tc>
          <w:tcPr>
            <w:tcW w:w="1350" w:type="dxa"/>
            <w:noWrap/>
            <w:hideMark/>
          </w:tcPr>
          <w:p w14:paraId="65F5313A" w14:textId="77777777" w:rsidR="00231374" w:rsidRPr="00B710B0" w:rsidRDefault="00231374" w:rsidP="00231374">
            <w:pPr>
              <w:pStyle w:val="Body"/>
              <w:spacing w:after="0"/>
              <w:rPr>
                <w:rFonts w:ascii="Arial" w:hAnsi="Arial" w:cs="Arial"/>
                <w:sz w:val="20"/>
              </w:rPr>
            </w:pPr>
            <w:r w:rsidRPr="00B710B0">
              <w:rPr>
                <w:rFonts w:ascii="Arial" w:hAnsi="Arial" w:cs="Arial"/>
                <w:sz w:val="20"/>
              </w:rPr>
              <w:t>135</w:t>
            </w:r>
          </w:p>
        </w:tc>
        <w:tc>
          <w:tcPr>
            <w:tcW w:w="1530" w:type="dxa"/>
            <w:noWrap/>
            <w:hideMark/>
          </w:tcPr>
          <w:p w14:paraId="0A6E67B9" w14:textId="77777777" w:rsidR="00231374" w:rsidRPr="00B710B0" w:rsidRDefault="00231374" w:rsidP="00231374">
            <w:pPr>
              <w:pStyle w:val="Body"/>
              <w:spacing w:after="0"/>
              <w:rPr>
                <w:rFonts w:ascii="Arial" w:hAnsi="Arial" w:cs="Arial"/>
                <w:sz w:val="20"/>
              </w:rPr>
            </w:pPr>
            <w:r w:rsidRPr="00B710B0">
              <w:rPr>
                <w:rFonts w:ascii="Arial" w:hAnsi="Arial" w:cs="Arial"/>
                <w:sz w:val="20"/>
              </w:rPr>
              <w:t>119 (88.1)</w:t>
            </w:r>
          </w:p>
        </w:tc>
        <w:tc>
          <w:tcPr>
            <w:tcW w:w="1182" w:type="dxa"/>
            <w:vMerge w:val="restart"/>
            <w:tcBorders>
              <w:bottom w:val="single" w:sz="4" w:space="0" w:color="auto"/>
            </w:tcBorders>
            <w:noWrap/>
            <w:vAlign w:val="center"/>
            <w:hideMark/>
          </w:tcPr>
          <w:p w14:paraId="488DDC07" w14:textId="77777777" w:rsidR="00231374" w:rsidRPr="00B710B0" w:rsidRDefault="00231374" w:rsidP="00231374">
            <w:pPr>
              <w:pStyle w:val="Body"/>
              <w:spacing w:after="0"/>
              <w:rPr>
                <w:rFonts w:ascii="Arial" w:hAnsi="Arial" w:cs="Arial"/>
                <w:sz w:val="20"/>
              </w:rPr>
            </w:pPr>
            <w:r w:rsidRPr="00B710B0">
              <w:rPr>
                <w:rFonts w:ascii="Arial" w:hAnsi="Arial" w:cs="Arial"/>
                <w:sz w:val="20"/>
              </w:rPr>
              <w:t>0.051</w:t>
            </w:r>
          </w:p>
        </w:tc>
        <w:tc>
          <w:tcPr>
            <w:tcW w:w="1260" w:type="dxa"/>
            <w:vMerge w:val="restart"/>
            <w:tcBorders>
              <w:bottom w:val="single" w:sz="4" w:space="0" w:color="auto"/>
            </w:tcBorders>
            <w:noWrap/>
            <w:vAlign w:val="center"/>
            <w:hideMark/>
          </w:tcPr>
          <w:p w14:paraId="053EDEC0" w14:textId="77777777" w:rsidR="00231374" w:rsidRPr="00B710B0" w:rsidRDefault="003A0378" w:rsidP="00231374">
            <w:pPr>
              <w:pStyle w:val="Body"/>
              <w:spacing w:after="0"/>
              <w:rPr>
                <w:rFonts w:ascii="Arial" w:hAnsi="Arial" w:cs="Arial"/>
                <w:sz w:val="20"/>
              </w:rPr>
            </w:pPr>
            <w:r w:rsidRPr="00B710B0">
              <w:rPr>
                <w:rFonts w:ascii="Arial" w:hAnsi="Arial" w:cs="Arial"/>
                <w:sz w:val="20"/>
              </w:rPr>
              <w:t>0</w:t>
            </w:r>
            <w:r w:rsidR="00231374" w:rsidRPr="00B710B0">
              <w:rPr>
                <w:rFonts w:ascii="Arial" w:hAnsi="Arial" w:cs="Arial"/>
                <w:sz w:val="20"/>
              </w:rPr>
              <w:t>.82</w:t>
            </w:r>
          </w:p>
        </w:tc>
      </w:tr>
      <w:tr w:rsidR="00231374" w:rsidRPr="00B710B0" w14:paraId="7201E0C5" w14:textId="77777777" w:rsidTr="002A2816">
        <w:trPr>
          <w:trHeight w:val="290"/>
        </w:trPr>
        <w:tc>
          <w:tcPr>
            <w:tcW w:w="2718" w:type="dxa"/>
            <w:vMerge/>
            <w:tcBorders>
              <w:bottom w:val="single" w:sz="4" w:space="0" w:color="auto"/>
            </w:tcBorders>
            <w:hideMark/>
          </w:tcPr>
          <w:p w14:paraId="49FA55C7" w14:textId="77777777" w:rsidR="00231374" w:rsidRPr="00B710B0" w:rsidRDefault="00231374" w:rsidP="00231374">
            <w:pPr>
              <w:pStyle w:val="Body"/>
              <w:spacing w:after="0"/>
              <w:rPr>
                <w:rFonts w:ascii="Arial" w:hAnsi="Arial" w:cs="Arial"/>
                <w:sz w:val="20"/>
              </w:rPr>
            </w:pPr>
          </w:p>
        </w:tc>
        <w:tc>
          <w:tcPr>
            <w:tcW w:w="1620" w:type="dxa"/>
            <w:tcBorders>
              <w:bottom w:val="single" w:sz="4" w:space="0" w:color="auto"/>
            </w:tcBorders>
            <w:noWrap/>
            <w:hideMark/>
          </w:tcPr>
          <w:p w14:paraId="23B998F9" w14:textId="77777777" w:rsidR="00231374" w:rsidRPr="00B710B0" w:rsidRDefault="00231374" w:rsidP="00231374">
            <w:pPr>
              <w:pStyle w:val="Body"/>
              <w:spacing w:after="0"/>
              <w:rPr>
                <w:rFonts w:ascii="Arial" w:hAnsi="Arial" w:cs="Arial"/>
                <w:sz w:val="20"/>
              </w:rPr>
            </w:pPr>
            <w:r w:rsidRPr="00B710B0">
              <w:rPr>
                <w:rFonts w:ascii="Arial" w:hAnsi="Arial" w:cs="Arial"/>
                <w:sz w:val="20"/>
              </w:rPr>
              <w:t xml:space="preserve">mechanical </w:t>
            </w:r>
          </w:p>
        </w:tc>
        <w:tc>
          <w:tcPr>
            <w:tcW w:w="1350" w:type="dxa"/>
            <w:tcBorders>
              <w:bottom w:val="single" w:sz="4" w:space="0" w:color="auto"/>
            </w:tcBorders>
            <w:noWrap/>
            <w:hideMark/>
          </w:tcPr>
          <w:p w14:paraId="222E4E98" w14:textId="77777777" w:rsidR="00231374" w:rsidRPr="00B710B0" w:rsidRDefault="00231374" w:rsidP="00231374">
            <w:pPr>
              <w:pStyle w:val="Body"/>
              <w:spacing w:after="0"/>
              <w:rPr>
                <w:rFonts w:ascii="Arial" w:hAnsi="Arial" w:cs="Arial"/>
                <w:sz w:val="20"/>
              </w:rPr>
            </w:pPr>
            <w:r w:rsidRPr="00B710B0">
              <w:rPr>
                <w:rFonts w:ascii="Arial" w:hAnsi="Arial" w:cs="Arial"/>
                <w:sz w:val="20"/>
              </w:rPr>
              <w:t>65</w:t>
            </w:r>
          </w:p>
        </w:tc>
        <w:tc>
          <w:tcPr>
            <w:tcW w:w="1530" w:type="dxa"/>
            <w:tcBorders>
              <w:bottom w:val="single" w:sz="4" w:space="0" w:color="auto"/>
            </w:tcBorders>
            <w:noWrap/>
            <w:hideMark/>
          </w:tcPr>
          <w:p w14:paraId="6589D14B" w14:textId="77777777" w:rsidR="00231374" w:rsidRPr="00B710B0" w:rsidRDefault="00231374" w:rsidP="00231374">
            <w:pPr>
              <w:pStyle w:val="Body"/>
              <w:spacing w:after="0"/>
              <w:rPr>
                <w:rFonts w:ascii="Arial" w:hAnsi="Arial" w:cs="Arial"/>
                <w:sz w:val="20"/>
              </w:rPr>
            </w:pPr>
            <w:r w:rsidRPr="00B710B0">
              <w:rPr>
                <w:rFonts w:ascii="Arial" w:hAnsi="Arial" w:cs="Arial"/>
                <w:sz w:val="20"/>
              </w:rPr>
              <w:t>58 (89.2)</w:t>
            </w:r>
          </w:p>
        </w:tc>
        <w:tc>
          <w:tcPr>
            <w:tcW w:w="0" w:type="auto"/>
            <w:vMerge/>
            <w:tcBorders>
              <w:bottom w:val="single" w:sz="4" w:space="0" w:color="auto"/>
            </w:tcBorders>
            <w:hideMark/>
          </w:tcPr>
          <w:p w14:paraId="732F0D4C" w14:textId="77777777" w:rsidR="00231374" w:rsidRPr="00B710B0" w:rsidRDefault="00231374" w:rsidP="00231374">
            <w:pPr>
              <w:pStyle w:val="Body"/>
              <w:spacing w:after="0"/>
              <w:rPr>
                <w:rFonts w:ascii="Arial" w:hAnsi="Arial" w:cs="Arial"/>
                <w:sz w:val="20"/>
              </w:rPr>
            </w:pPr>
          </w:p>
        </w:tc>
        <w:tc>
          <w:tcPr>
            <w:tcW w:w="0" w:type="auto"/>
            <w:vMerge/>
            <w:tcBorders>
              <w:bottom w:val="single" w:sz="4" w:space="0" w:color="auto"/>
            </w:tcBorders>
            <w:hideMark/>
          </w:tcPr>
          <w:p w14:paraId="6F1E21C1" w14:textId="77777777" w:rsidR="00231374" w:rsidRPr="00B710B0" w:rsidRDefault="00231374" w:rsidP="00231374">
            <w:pPr>
              <w:pStyle w:val="Body"/>
              <w:spacing w:after="0"/>
              <w:rPr>
                <w:rFonts w:ascii="Arial" w:hAnsi="Arial" w:cs="Arial"/>
                <w:sz w:val="20"/>
              </w:rPr>
            </w:pPr>
          </w:p>
        </w:tc>
      </w:tr>
    </w:tbl>
    <w:p w14:paraId="4D18E8EA" w14:textId="77777777" w:rsidR="00231374" w:rsidRPr="00B710B0" w:rsidRDefault="00062358" w:rsidP="002A2816">
      <w:pPr>
        <w:pStyle w:val="Body"/>
        <w:spacing w:before="240"/>
        <w:rPr>
          <w:rFonts w:ascii="Arial" w:hAnsi="Arial" w:cs="Arial"/>
          <w:b/>
          <w:bCs/>
          <w:lang w:val="en"/>
        </w:rPr>
      </w:pPr>
      <w:r w:rsidRPr="00B710B0">
        <w:rPr>
          <w:rFonts w:ascii="Arial" w:hAnsi="Arial" w:cs="Arial"/>
          <w:b/>
          <w:bCs/>
          <w:lang w:val="en"/>
        </w:rPr>
        <w:t xml:space="preserve">3.3 </w:t>
      </w:r>
      <w:r w:rsidR="00231374" w:rsidRPr="00B710B0">
        <w:rPr>
          <w:rFonts w:ascii="Arial" w:hAnsi="Arial" w:cs="Arial"/>
          <w:b/>
          <w:bCs/>
          <w:lang w:val="en"/>
        </w:rPr>
        <w:t>Antimicrobial susceptibility profiles of bacteria isolated from chicken of Thika East Sub-County</w:t>
      </w:r>
    </w:p>
    <w:p w14:paraId="4FAC42E1"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 xml:space="preserve">A total of 134 isolates were randomly selected from the 332 bacteria obtained from the chicken. Among the isolates, </w:t>
      </w:r>
      <w:r w:rsidRPr="00B710B0">
        <w:rPr>
          <w:rFonts w:ascii="Arial" w:hAnsi="Arial" w:cs="Arial"/>
          <w:i/>
          <w:lang w:val="en"/>
        </w:rPr>
        <w:t>E. coli</w:t>
      </w:r>
      <w:r w:rsidRPr="00B710B0">
        <w:rPr>
          <w:rFonts w:ascii="Arial" w:hAnsi="Arial" w:cs="Arial"/>
          <w:lang w:val="en"/>
        </w:rPr>
        <w:t xml:space="preserve"> exhibited the highest resistance to penicillin (56.4%) and ciprofloxacin (43.6%). </w:t>
      </w:r>
      <w:r w:rsidRPr="00B710B0">
        <w:rPr>
          <w:rFonts w:ascii="Arial" w:hAnsi="Arial" w:cs="Arial"/>
          <w:i/>
          <w:lang w:val="en"/>
        </w:rPr>
        <w:t>Salmonella</w:t>
      </w:r>
      <w:r w:rsidRPr="00B710B0">
        <w:rPr>
          <w:rFonts w:ascii="Arial" w:hAnsi="Arial" w:cs="Arial"/>
          <w:lang w:val="en"/>
        </w:rPr>
        <w:t xml:space="preserve"> spp., exhibited highest resistance to penicillin (43.6%) and nalidixic acid (43.6%) while </w:t>
      </w:r>
      <w:r w:rsidRPr="00B710B0">
        <w:rPr>
          <w:rFonts w:ascii="Arial" w:hAnsi="Arial" w:cs="Arial"/>
          <w:i/>
          <w:lang w:val="en"/>
        </w:rPr>
        <w:t>S. aureus</w:t>
      </w:r>
      <w:r w:rsidRPr="00B710B0">
        <w:rPr>
          <w:rFonts w:ascii="Arial" w:hAnsi="Arial" w:cs="Arial"/>
          <w:lang w:val="en"/>
        </w:rPr>
        <w:t xml:space="preserve"> showed higher resistance to penicillin (50.0%) and tetracycline (46.7%). On the other hand, </w:t>
      </w:r>
      <w:r w:rsidRPr="00B710B0">
        <w:rPr>
          <w:rFonts w:ascii="Arial" w:hAnsi="Arial" w:cs="Arial"/>
          <w:i/>
          <w:lang w:val="en"/>
        </w:rPr>
        <w:t xml:space="preserve">Enterococcus </w:t>
      </w:r>
      <w:r w:rsidRPr="00B710B0">
        <w:rPr>
          <w:rFonts w:ascii="Arial" w:hAnsi="Arial" w:cs="Arial"/>
          <w:lang w:val="en"/>
        </w:rPr>
        <w:t xml:space="preserve">spp. displayed dominant resistance to penicillin (50.0%) and tetracycline (53.8%). Notably, </w:t>
      </w:r>
      <w:r w:rsidRPr="00B710B0">
        <w:rPr>
          <w:rFonts w:ascii="Arial" w:hAnsi="Arial" w:cs="Arial"/>
          <w:i/>
          <w:iCs/>
          <w:lang w:val="en"/>
        </w:rPr>
        <w:t xml:space="preserve">E. coli </w:t>
      </w:r>
      <w:r w:rsidRPr="00B710B0">
        <w:rPr>
          <w:rFonts w:ascii="Arial" w:hAnsi="Arial" w:cs="Arial"/>
          <w:lang w:val="en"/>
        </w:rPr>
        <w:t xml:space="preserve">and </w:t>
      </w:r>
      <w:r w:rsidRPr="00B710B0">
        <w:rPr>
          <w:rFonts w:ascii="Arial" w:hAnsi="Arial" w:cs="Arial"/>
          <w:i/>
          <w:iCs/>
          <w:lang w:val="en"/>
        </w:rPr>
        <w:t xml:space="preserve">Salmonella </w:t>
      </w:r>
      <w:r w:rsidRPr="00B710B0">
        <w:rPr>
          <w:rFonts w:ascii="Arial" w:hAnsi="Arial" w:cs="Arial"/>
          <w:iCs/>
          <w:lang w:val="en"/>
        </w:rPr>
        <w:t>spp</w:t>
      </w:r>
      <w:r w:rsidRPr="00B710B0">
        <w:rPr>
          <w:rFonts w:ascii="Arial" w:hAnsi="Arial" w:cs="Arial"/>
          <w:i/>
          <w:iCs/>
          <w:lang w:val="en"/>
        </w:rPr>
        <w:t xml:space="preserve">. </w:t>
      </w:r>
      <w:r w:rsidRPr="00B710B0">
        <w:rPr>
          <w:rFonts w:ascii="Arial" w:hAnsi="Arial" w:cs="Arial"/>
          <w:lang w:val="en"/>
        </w:rPr>
        <w:t xml:space="preserve">isolates had low sensitivity to tetracycline at 10.3% and 15.4%, respectively. For </w:t>
      </w:r>
      <w:r w:rsidRPr="00B710B0">
        <w:rPr>
          <w:rFonts w:ascii="Arial" w:hAnsi="Arial" w:cs="Arial"/>
          <w:i/>
          <w:iCs/>
          <w:lang w:val="en"/>
        </w:rPr>
        <w:t>E. coli</w:t>
      </w:r>
      <w:r w:rsidRPr="00B710B0">
        <w:rPr>
          <w:rFonts w:ascii="Arial" w:hAnsi="Arial" w:cs="Arial"/>
          <w:lang w:val="en"/>
        </w:rPr>
        <w:t xml:space="preserve"> and </w:t>
      </w:r>
      <w:r w:rsidRPr="00B710B0">
        <w:rPr>
          <w:rFonts w:ascii="Arial" w:hAnsi="Arial" w:cs="Arial"/>
          <w:i/>
          <w:iCs/>
          <w:lang w:val="en"/>
        </w:rPr>
        <w:t xml:space="preserve">Salmonella </w:t>
      </w:r>
      <w:r w:rsidRPr="00B710B0">
        <w:rPr>
          <w:rFonts w:ascii="Arial" w:hAnsi="Arial" w:cs="Arial"/>
          <w:lang w:val="en"/>
        </w:rPr>
        <w:t xml:space="preserve">spp., the isolates were sensitive to nalidixic acid (35.9%) and ciprofloxacin (38.4%), respectively. The sensitivity of </w:t>
      </w:r>
      <w:r w:rsidRPr="00B710B0">
        <w:rPr>
          <w:rFonts w:ascii="Arial" w:hAnsi="Arial" w:cs="Arial"/>
          <w:i/>
          <w:lang w:val="en"/>
        </w:rPr>
        <w:t>S. aureus</w:t>
      </w:r>
      <w:r w:rsidRPr="00B710B0">
        <w:rPr>
          <w:rFonts w:ascii="Arial" w:hAnsi="Arial" w:cs="Arial"/>
          <w:lang w:val="en"/>
        </w:rPr>
        <w:t xml:space="preserve"> and </w:t>
      </w:r>
      <w:r w:rsidRPr="00B710B0">
        <w:rPr>
          <w:rFonts w:ascii="Arial" w:hAnsi="Arial" w:cs="Arial"/>
          <w:i/>
          <w:lang w:val="en"/>
        </w:rPr>
        <w:t>Enterococcus</w:t>
      </w:r>
      <w:r w:rsidRPr="00B710B0">
        <w:rPr>
          <w:rFonts w:ascii="Arial" w:hAnsi="Arial" w:cs="Arial"/>
          <w:lang w:val="en"/>
        </w:rPr>
        <w:t xml:space="preserve"> spp. to penicill</w:t>
      </w:r>
      <w:r w:rsidR="00CC4046" w:rsidRPr="00B710B0">
        <w:rPr>
          <w:rFonts w:ascii="Arial" w:hAnsi="Arial" w:cs="Arial"/>
          <w:lang w:val="en"/>
        </w:rPr>
        <w:t xml:space="preserve">in was low (20%, 15.4%) (Table </w:t>
      </w:r>
      <w:r w:rsidR="00062358" w:rsidRPr="00B710B0">
        <w:rPr>
          <w:rFonts w:ascii="Arial" w:hAnsi="Arial" w:cs="Arial"/>
          <w:lang w:val="en"/>
        </w:rPr>
        <w:t>3</w:t>
      </w:r>
      <w:r w:rsidRPr="00B710B0">
        <w:rPr>
          <w:rFonts w:ascii="Arial" w:hAnsi="Arial" w:cs="Arial"/>
          <w:lang w:val="en"/>
        </w:rPr>
        <w:t>).</w:t>
      </w:r>
    </w:p>
    <w:p w14:paraId="1E8EA4D5" w14:textId="77777777" w:rsidR="00D25912" w:rsidRPr="00B710B0" w:rsidRDefault="00D25912" w:rsidP="00231374">
      <w:pPr>
        <w:pStyle w:val="Body"/>
        <w:spacing w:after="0"/>
        <w:rPr>
          <w:rFonts w:ascii="Arial" w:hAnsi="Arial" w:cs="Arial"/>
          <w:lang w:val="en"/>
        </w:rPr>
      </w:pPr>
    </w:p>
    <w:p w14:paraId="615632DA" w14:textId="77777777" w:rsidR="00D25912" w:rsidRPr="00B710B0" w:rsidRDefault="00D25912" w:rsidP="00231374">
      <w:pPr>
        <w:pStyle w:val="Body"/>
        <w:spacing w:after="0"/>
        <w:rPr>
          <w:rFonts w:ascii="Arial" w:hAnsi="Arial" w:cs="Arial"/>
          <w:lang w:val="en"/>
        </w:rPr>
      </w:pPr>
    </w:p>
    <w:p w14:paraId="42E9CD3B" w14:textId="77777777" w:rsidR="00231374" w:rsidRPr="00B710B0" w:rsidRDefault="00231374" w:rsidP="00231374">
      <w:pPr>
        <w:pStyle w:val="Body"/>
        <w:spacing w:after="0"/>
        <w:rPr>
          <w:rFonts w:ascii="Arial" w:hAnsi="Arial" w:cs="Arial"/>
          <w:b/>
          <w:lang w:val="en"/>
        </w:rPr>
      </w:pPr>
      <w:r w:rsidRPr="00B710B0">
        <w:rPr>
          <w:rFonts w:ascii="Arial" w:hAnsi="Arial" w:cs="Arial"/>
          <w:b/>
          <w:bCs/>
          <w:lang w:val="en"/>
        </w:rPr>
        <w:lastRenderedPageBreak/>
        <w:t xml:space="preserve">Table 3: Antibiotic activity against </w:t>
      </w:r>
      <w:r w:rsidRPr="00B710B0">
        <w:rPr>
          <w:rFonts w:ascii="Arial" w:hAnsi="Arial" w:cs="Arial"/>
          <w:b/>
          <w:bCs/>
          <w:i/>
          <w:iCs/>
          <w:lang w:val="en"/>
        </w:rPr>
        <w:t>E. coli</w:t>
      </w:r>
      <w:r w:rsidRPr="00B710B0">
        <w:rPr>
          <w:rFonts w:ascii="Arial" w:hAnsi="Arial" w:cs="Arial"/>
          <w:b/>
          <w:bCs/>
          <w:lang w:val="en"/>
        </w:rPr>
        <w:t xml:space="preserve"> and </w:t>
      </w:r>
      <w:r w:rsidRPr="00B710B0">
        <w:rPr>
          <w:rFonts w:ascii="Arial" w:hAnsi="Arial" w:cs="Arial"/>
          <w:b/>
          <w:bCs/>
          <w:i/>
          <w:iCs/>
          <w:lang w:val="en"/>
        </w:rPr>
        <w:t xml:space="preserve">Salmonella </w:t>
      </w:r>
      <w:r w:rsidRPr="00B710B0">
        <w:rPr>
          <w:rFonts w:ascii="Arial" w:hAnsi="Arial" w:cs="Arial"/>
          <w:b/>
          <w:bCs/>
          <w:lang w:val="en"/>
        </w:rPr>
        <w:t xml:space="preserve">spp., </w:t>
      </w:r>
      <w:r w:rsidRPr="00B710B0">
        <w:rPr>
          <w:rFonts w:ascii="Arial" w:hAnsi="Arial" w:cs="Arial"/>
          <w:b/>
          <w:i/>
          <w:iCs/>
          <w:lang w:val="en"/>
        </w:rPr>
        <w:t>S. aureus</w:t>
      </w:r>
      <w:r w:rsidRPr="00B710B0">
        <w:rPr>
          <w:rFonts w:ascii="Arial" w:hAnsi="Arial" w:cs="Arial"/>
          <w:b/>
          <w:lang w:val="en"/>
        </w:rPr>
        <w:t xml:space="preserve"> and </w:t>
      </w:r>
      <w:r w:rsidRPr="00B710B0">
        <w:rPr>
          <w:rFonts w:ascii="Arial" w:hAnsi="Arial" w:cs="Arial"/>
          <w:b/>
          <w:i/>
          <w:iCs/>
          <w:lang w:val="en"/>
        </w:rPr>
        <w:t>Enterococcus</w:t>
      </w:r>
      <w:r w:rsidRPr="00B710B0">
        <w:rPr>
          <w:rFonts w:ascii="Arial" w:hAnsi="Arial" w:cs="Arial"/>
          <w:lang w:val="en"/>
        </w:rPr>
        <w:t xml:space="preserve"> </w:t>
      </w:r>
      <w:r w:rsidRPr="00B710B0">
        <w:rPr>
          <w:rFonts w:ascii="Arial" w:hAnsi="Arial" w:cs="Arial"/>
          <w:b/>
          <w:lang w:val="en"/>
        </w:rPr>
        <w:t>sp</w:t>
      </w:r>
      <w:r w:rsidRPr="00B710B0">
        <w:rPr>
          <w:rFonts w:ascii="Arial" w:hAnsi="Arial" w:cs="Arial"/>
          <w:b/>
          <w:bCs/>
          <w:lang w:val="en"/>
        </w:rPr>
        <w:t>p.</w:t>
      </w:r>
    </w:p>
    <w:tbl>
      <w:tblPr>
        <w:tblW w:w="0" w:type="auto"/>
        <w:tblLook w:val="0000" w:firstRow="0" w:lastRow="0" w:firstColumn="0" w:lastColumn="0" w:noHBand="0" w:noVBand="0"/>
      </w:tblPr>
      <w:tblGrid>
        <w:gridCol w:w="1054"/>
        <w:gridCol w:w="893"/>
        <w:gridCol w:w="892"/>
        <w:gridCol w:w="690"/>
        <w:gridCol w:w="892"/>
        <w:gridCol w:w="690"/>
        <w:gridCol w:w="690"/>
        <w:gridCol w:w="741"/>
        <w:gridCol w:w="892"/>
        <w:gridCol w:w="892"/>
        <w:gridCol w:w="892"/>
        <w:gridCol w:w="791"/>
        <w:gridCol w:w="791"/>
      </w:tblGrid>
      <w:tr w:rsidR="00231374" w:rsidRPr="00B710B0" w14:paraId="7033EE71" w14:textId="77777777" w:rsidTr="00CC4046">
        <w:trPr>
          <w:cantSplit/>
          <w:trHeight w:val="571"/>
        </w:trPr>
        <w:tc>
          <w:tcPr>
            <w:tcW w:w="0" w:type="auto"/>
            <w:vMerge w:val="restart"/>
            <w:tcBorders>
              <w:top w:val="single" w:sz="4" w:space="0" w:color="auto"/>
              <w:bottom w:val="single" w:sz="4" w:space="0" w:color="auto"/>
            </w:tcBorders>
            <w:shd w:val="clear" w:color="000000" w:fill="FFFFFF"/>
          </w:tcPr>
          <w:p w14:paraId="1E7329D3" w14:textId="77777777" w:rsidR="00231374" w:rsidRPr="00B710B0" w:rsidRDefault="00231374" w:rsidP="00231374">
            <w:pPr>
              <w:pStyle w:val="Body"/>
              <w:rPr>
                <w:rFonts w:ascii="Arial" w:hAnsi="Arial" w:cs="Arial"/>
                <w:lang w:val="en"/>
              </w:rPr>
            </w:pPr>
            <w:r w:rsidRPr="00B710B0">
              <w:rPr>
                <w:rFonts w:ascii="Arial" w:hAnsi="Arial" w:cs="Arial"/>
                <w:b/>
                <w:bCs/>
                <w:lang w:val="en"/>
              </w:rPr>
              <w:t xml:space="preserve">Antibiotic </w:t>
            </w:r>
          </w:p>
        </w:tc>
        <w:tc>
          <w:tcPr>
            <w:tcW w:w="0" w:type="auto"/>
            <w:gridSpan w:val="3"/>
            <w:tcBorders>
              <w:top w:val="single" w:sz="4" w:space="0" w:color="auto"/>
              <w:bottom w:val="single" w:sz="4" w:space="0" w:color="auto"/>
            </w:tcBorders>
            <w:shd w:val="clear" w:color="000000" w:fill="FFFFFF"/>
          </w:tcPr>
          <w:p w14:paraId="431851E1" w14:textId="77777777" w:rsidR="00231374" w:rsidRPr="00B710B0" w:rsidRDefault="00231374" w:rsidP="00231374">
            <w:pPr>
              <w:pStyle w:val="Body"/>
              <w:rPr>
                <w:rFonts w:ascii="Arial" w:hAnsi="Arial" w:cs="Arial"/>
                <w:lang w:val="en"/>
              </w:rPr>
            </w:pPr>
            <w:r w:rsidRPr="00B710B0">
              <w:rPr>
                <w:rFonts w:ascii="Arial" w:hAnsi="Arial" w:cs="Arial"/>
                <w:b/>
                <w:bCs/>
                <w:i/>
                <w:iCs/>
                <w:lang w:val="en"/>
              </w:rPr>
              <w:t xml:space="preserve">Escherichia coli </w:t>
            </w:r>
            <w:r w:rsidRPr="00B710B0">
              <w:rPr>
                <w:rFonts w:ascii="Arial" w:hAnsi="Arial" w:cs="Arial"/>
                <w:b/>
                <w:bCs/>
                <w:lang w:val="en"/>
              </w:rPr>
              <w:t>(n=39)</w:t>
            </w:r>
          </w:p>
        </w:tc>
        <w:tc>
          <w:tcPr>
            <w:tcW w:w="0" w:type="auto"/>
            <w:gridSpan w:val="3"/>
            <w:tcBorders>
              <w:top w:val="single" w:sz="4" w:space="0" w:color="auto"/>
              <w:bottom w:val="single" w:sz="4" w:space="0" w:color="auto"/>
            </w:tcBorders>
            <w:shd w:val="clear" w:color="000000" w:fill="FFFFFF"/>
          </w:tcPr>
          <w:p w14:paraId="1709F07E" w14:textId="77777777" w:rsidR="00231374" w:rsidRPr="00B710B0" w:rsidRDefault="00231374" w:rsidP="00231374">
            <w:pPr>
              <w:pStyle w:val="Body"/>
              <w:rPr>
                <w:rFonts w:ascii="Arial" w:hAnsi="Arial" w:cs="Arial"/>
                <w:lang w:val="en"/>
              </w:rPr>
            </w:pPr>
            <w:r w:rsidRPr="00B710B0">
              <w:rPr>
                <w:rFonts w:ascii="Arial" w:hAnsi="Arial" w:cs="Arial"/>
                <w:b/>
                <w:bCs/>
                <w:i/>
                <w:iCs/>
                <w:lang w:val="en"/>
              </w:rPr>
              <w:t>Salmonella</w:t>
            </w:r>
            <w:r w:rsidRPr="00B710B0">
              <w:rPr>
                <w:rFonts w:ascii="Arial" w:hAnsi="Arial" w:cs="Arial"/>
                <w:b/>
                <w:bCs/>
                <w:lang w:val="en"/>
              </w:rPr>
              <w:t xml:space="preserve"> spp. (n=39)</w:t>
            </w:r>
          </w:p>
        </w:tc>
        <w:tc>
          <w:tcPr>
            <w:tcW w:w="0" w:type="auto"/>
            <w:gridSpan w:val="3"/>
            <w:tcBorders>
              <w:top w:val="single" w:sz="4" w:space="0" w:color="auto"/>
              <w:bottom w:val="single" w:sz="4" w:space="0" w:color="auto"/>
            </w:tcBorders>
            <w:shd w:val="clear" w:color="000000" w:fill="FFFFFF"/>
          </w:tcPr>
          <w:p w14:paraId="735BDDBF" w14:textId="77777777" w:rsidR="00231374" w:rsidRPr="00B710B0" w:rsidRDefault="00231374" w:rsidP="00231374">
            <w:pPr>
              <w:pStyle w:val="Body"/>
              <w:rPr>
                <w:rFonts w:ascii="Arial" w:hAnsi="Arial" w:cs="Arial"/>
                <w:b/>
                <w:bCs/>
                <w:i/>
                <w:iCs/>
                <w:lang w:val="en"/>
              </w:rPr>
            </w:pPr>
            <w:r w:rsidRPr="00B710B0">
              <w:rPr>
                <w:rFonts w:ascii="Arial" w:hAnsi="Arial" w:cs="Arial"/>
                <w:b/>
                <w:bCs/>
                <w:i/>
                <w:iCs/>
                <w:lang w:val="en"/>
              </w:rPr>
              <w:t xml:space="preserve">S. aureus </w:t>
            </w:r>
            <w:r w:rsidRPr="00B710B0">
              <w:rPr>
                <w:rFonts w:ascii="Arial" w:hAnsi="Arial" w:cs="Arial"/>
                <w:b/>
                <w:bCs/>
                <w:lang w:val="en"/>
              </w:rPr>
              <w:t>(n=30)</w:t>
            </w:r>
          </w:p>
        </w:tc>
        <w:tc>
          <w:tcPr>
            <w:tcW w:w="0" w:type="auto"/>
            <w:gridSpan w:val="3"/>
            <w:tcBorders>
              <w:top w:val="single" w:sz="4" w:space="0" w:color="auto"/>
              <w:bottom w:val="single" w:sz="4" w:space="0" w:color="auto"/>
            </w:tcBorders>
            <w:shd w:val="clear" w:color="000000" w:fill="FFFFFF"/>
          </w:tcPr>
          <w:p w14:paraId="2656EFA2" w14:textId="77777777" w:rsidR="00231374" w:rsidRPr="00B710B0" w:rsidRDefault="00231374" w:rsidP="00231374">
            <w:pPr>
              <w:pStyle w:val="Body"/>
              <w:rPr>
                <w:rFonts w:ascii="Arial" w:hAnsi="Arial" w:cs="Arial"/>
                <w:b/>
                <w:bCs/>
                <w:i/>
                <w:iCs/>
                <w:lang w:val="en"/>
              </w:rPr>
            </w:pPr>
            <w:r w:rsidRPr="00B710B0">
              <w:rPr>
                <w:rFonts w:ascii="Arial" w:hAnsi="Arial" w:cs="Arial"/>
                <w:b/>
                <w:bCs/>
                <w:i/>
                <w:iCs/>
                <w:lang w:val="en"/>
              </w:rPr>
              <w:t>Enterococcus</w:t>
            </w:r>
            <w:r w:rsidRPr="00B710B0">
              <w:rPr>
                <w:rFonts w:ascii="Arial" w:hAnsi="Arial" w:cs="Arial"/>
                <w:b/>
                <w:bCs/>
                <w:lang w:val="en"/>
              </w:rPr>
              <w:t xml:space="preserve"> spp. (n=26)</w:t>
            </w:r>
          </w:p>
        </w:tc>
      </w:tr>
      <w:tr w:rsidR="00231374" w:rsidRPr="00B710B0" w14:paraId="3E127125" w14:textId="77777777" w:rsidTr="00CC4046">
        <w:trPr>
          <w:cantSplit/>
          <w:trHeight w:val="85"/>
        </w:trPr>
        <w:tc>
          <w:tcPr>
            <w:tcW w:w="0" w:type="auto"/>
            <w:vMerge/>
            <w:tcBorders>
              <w:top w:val="single" w:sz="4" w:space="0" w:color="auto"/>
              <w:bottom w:val="single" w:sz="4" w:space="0" w:color="auto"/>
            </w:tcBorders>
            <w:shd w:val="clear" w:color="000000" w:fill="FFFFFF"/>
          </w:tcPr>
          <w:p w14:paraId="134F6807" w14:textId="77777777" w:rsidR="00231374" w:rsidRPr="00B710B0" w:rsidRDefault="00231374" w:rsidP="00231374">
            <w:pPr>
              <w:pStyle w:val="Body"/>
              <w:rPr>
                <w:rFonts w:ascii="Arial" w:hAnsi="Arial" w:cs="Arial"/>
                <w:lang w:val="en"/>
              </w:rPr>
            </w:pPr>
          </w:p>
        </w:tc>
        <w:tc>
          <w:tcPr>
            <w:tcW w:w="0" w:type="auto"/>
            <w:tcBorders>
              <w:top w:val="single" w:sz="4" w:space="0" w:color="auto"/>
              <w:bottom w:val="single" w:sz="4" w:space="0" w:color="auto"/>
            </w:tcBorders>
            <w:shd w:val="clear" w:color="000000" w:fill="FFFFFF"/>
          </w:tcPr>
          <w:p w14:paraId="68569B7F" w14:textId="77777777" w:rsidR="00231374" w:rsidRPr="00B710B0" w:rsidRDefault="00231374" w:rsidP="00231374">
            <w:pPr>
              <w:pStyle w:val="Body"/>
              <w:rPr>
                <w:rFonts w:ascii="Arial" w:hAnsi="Arial" w:cs="Arial"/>
                <w:lang w:val="en"/>
              </w:rPr>
            </w:pPr>
            <w:r w:rsidRPr="00B710B0">
              <w:rPr>
                <w:rFonts w:ascii="Arial" w:hAnsi="Arial" w:cs="Arial"/>
                <w:lang w:val="en"/>
              </w:rPr>
              <w:t>R (n%)</w:t>
            </w:r>
          </w:p>
        </w:tc>
        <w:tc>
          <w:tcPr>
            <w:tcW w:w="0" w:type="auto"/>
            <w:tcBorders>
              <w:top w:val="single" w:sz="4" w:space="0" w:color="auto"/>
              <w:bottom w:val="single" w:sz="4" w:space="0" w:color="auto"/>
            </w:tcBorders>
            <w:shd w:val="clear" w:color="000000" w:fill="FFFFFF"/>
          </w:tcPr>
          <w:p w14:paraId="5D9857DD" w14:textId="77777777" w:rsidR="00231374" w:rsidRPr="00B710B0" w:rsidRDefault="00231374" w:rsidP="00231374">
            <w:pPr>
              <w:pStyle w:val="Body"/>
              <w:rPr>
                <w:rFonts w:ascii="Arial" w:hAnsi="Arial" w:cs="Arial"/>
                <w:lang w:val="en"/>
              </w:rPr>
            </w:pPr>
            <w:r w:rsidRPr="00B710B0">
              <w:rPr>
                <w:rFonts w:ascii="Arial" w:hAnsi="Arial" w:cs="Arial"/>
                <w:lang w:val="en"/>
              </w:rPr>
              <w:t>I (n%)</w:t>
            </w:r>
          </w:p>
        </w:tc>
        <w:tc>
          <w:tcPr>
            <w:tcW w:w="0" w:type="auto"/>
            <w:tcBorders>
              <w:top w:val="single" w:sz="4" w:space="0" w:color="auto"/>
              <w:bottom w:val="single" w:sz="4" w:space="0" w:color="auto"/>
            </w:tcBorders>
            <w:shd w:val="clear" w:color="000000" w:fill="FFFFFF"/>
          </w:tcPr>
          <w:p w14:paraId="386F955F" w14:textId="77777777" w:rsidR="00231374" w:rsidRPr="00B710B0" w:rsidRDefault="00231374" w:rsidP="00231374">
            <w:pPr>
              <w:pStyle w:val="Body"/>
              <w:rPr>
                <w:rFonts w:ascii="Arial" w:hAnsi="Arial" w:cs="Arial"/>
                <w:lang w:val="en"/>
              </w:rPr>
            </w:pPr>
            <w:r w:rsidRPr="00B710B0">
              <w:rPr>
                <w:rFonts w:ascii="Arial" w:hAnsi="Arial" w:cs="Arial"/>
                <w:lang w:val="en"/>
              </w:rPr>
              <w:t>S (n%)</w:t>
            </w:r>
          </w:p>
        </w:tc>
        <w:tc>
          <w:tcPr>
            <w:tcW w:w="0" w:type="auto"/>
            <w:tcBorders>
              <w:top w:val="single" w:sz="4" w:space="0" w:color="auto"/>
              <w:bottom w:val="single" w:sz="4" w:space="0" w:color="auto"/>
            </w:tcBorders>
            <w:shd w:val="clear" w:color="000000" w:fill="FFFFFF"/>
          </w:tcPr>
          <w:p w14:paraId="2BC2406B" w14:textId="77777777" w:rsidR="00231374" w:rsidRPr="00B710B0" w:rsidRDefault="00231374" w:rsidP="00231374">
            <w:pPr>
              <w:pStyle w:val="Body"/>
              <w:rPr>
                <w:rFonts w:ascii="Arial" w:hAnsi="Arial" w:cs="Arial"/>
                <w:lang w:val="en"/>
              </w:rPr>
            </w:pPr>
            <w:r w:rsidRPr="00B710B0">
              <w:rPr>
                <w:rFonts w:ascii="Arial" w:hAnsi="Arial" w:cs="Arial"/>
                <w:lang w:val="en"/>
              </w:rPr>
              <w:t>R (n%)</w:t>
            </w:r>
          </w:p>
        </w:tc>
        <w:tc>
          <w:tcPr>
            <w:tcW w:w="0" w:type="auto"/>
            <w:tcBorders>
              <w:top w:val="single" w:sz="4" w:space="0" w:color="auto"/>
              <w:bottom w:val="single" w:sz="4" w:space="0" w:color="auto"/>
            </w:tcBorders>
            <w:shd w:val="clear" w:color="000000" w:fill="FFFFFF"/>
          </w:tcPr>
          <w:p w14:paraId="562E19B8" w14:textId="77777777" w:rsidR="00231374" w:rsidRPr="00B710B0" w:rsidRDefault="00231374" w:rsidP="00231374">
            <w:pPr>
              <w:pStyle w:val="Body"/>
              <w:rPr>
                <w:rFonts w:ascii="Arial" w:hAnsi="Arial" w:cs="Arial"/>
                <w:lang w:val="en"/>
              </w:rPr>
            </w:pPr>
            <w:r w:rsidRPr="00B710B0">
              <w:rPr>
                <w:rFonts w:ascii="Arial" w:hAnsi="Arial" w:cs="Arial"/>
                <w:lang w:val="en"/>
              </w:rPr>
              <w:t>I (n%)</w:t>
            </w:r>
          </w:p>
        </w:tc>
        <w:tc>
          <w:tcPr>
            <w:tcW w:w="0" w:type="auto"/>
            <w:tcBorders>
              <w:top w:val="single" w:sz="4" w:space="0" w:color="auto"/>
              <w:bottom w:val="single" w:sz="4" w:space="0" w:color="auto"/>
            </w:tcBorders>
            <w:shd w:val="clear" w:color="000000" w:fill="FFFFFF"/>
          </w:tcPr>
          <w:p w14:paraId="419D814F" w14:textId="77777777" w:rsidR="00231374" w:rsidRPr="00B710B0" w:rsidRDefault="00231374" w:rsidP="00231374">
            <w:pPr>
              <w:pStyle w:val="Body"/>
              <w:rPr>
                <w:rFonts w:ascii="Arial" w:hAnsi="Arial" w:cs="Arial"/>
                <w:lang w:val="en"/>
              </w:rPr>
            </w:pPr>
            <w:r w:rsidRPr="00B710B0">
              <w:rPr>
                <w:rFonts w:ascii="Arial" w:hAnsi="Arial" w:cs="Arial"/>
                <w:lang w:val="en"/>
              </w:rPr>
              <w:t>S (n%)</w:t>
            </w:r>
          </w:p>
        </w:tc>
        <w:tc>
          <w:tcPr>
            <w:tcW w:w="0" w:type="auto"/>
            <w:tcBorders>
              <w:top w:val="single" w:sz="4" w:space="0" w:color="auto"/>
              <w:bottom w:val="single" w:sz="4" w:space="0" w:color="auto"/>
            </w:tcBorders>
            <w:shd w:val="clear" w:color="000000" w:fill="FFFFFF"/>
          </w:tcPr>
          <w:p w14:paraId="527688E4"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R (n%)</w:t>
            </w:r>
          </w:p>
        </w:tc>
        <w:tc>
          <w:tcPr>
            <w:tcW w:w="0" w:type="auto"/>
            <w:tcBorders>
              <w:top w:val="single" w:sz="4" w:space="0" w:color="auto"/>
              <w:bottom w:val="single" w:sz="4" w:space="0" w:color="auto"/>
            </w:tcBorders>
            <w:shd w:val="clear" w:color="000000" w:fill="FFFFFF"/>
          </w:tcPr>
          <w:p w14:paraId="286E80D3"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I (n%)</w:t>
            </w:r>
          </w:p>
        </w:tc>
        <w:tc>
          <w:tcPr>
            <w:tcW w:w="0" w:type="auto"/>
            <w:tcBorders>
              <w:top w:val="single" w:sz="4" w:space="0" w:color="auto"/>
              <w:bottom w:val="single" w:sz="4" w:space="0" w:color="auto"/>
            </w:tcBorders>
            <w:shd w:val="clear" w:color="000000" w:fill="FFFFFF"/>
          </w:tcPr>
          <w:p w14:paraId="3250EB01"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S (n%)</w:t>
            </w:r>
          </w:p>
        </w:tc>
        <w:tc>
          <w:tcPr>
            <w:tcW w:w="0" w:type="auto"/>
            <w:tcBorders>
              <w:top w:val="single" w:sz="4" w:space="0" w:color="auto"/>
              <w:bottom w:val="single" w:sz="4" w:space="0" w:color="auto"/>
            </w:tcBorders>
            <w:shd w:val="clear" w:color="000000" w:fill="FFFFFF"/>
          </w:tcPr>
          <w:p w14:paraId="655462B9"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R (n%)</w:t>
            </w:r>
          </w:p>
        </w:tc>
        <w:tc>
          <w:tcPr>
            <w:tcW w:w="0" w:type="auto"/>
            <w:tcBorders>
              <w:top w:val="single" w:sz="4" w:space="0" w:color="auto"/>
              <w:bottom w:val="single" w:sz="4" w:space="0" w:color="auto"/>
            </w:tcBorders>
            <w:shd w:val="clear" w:color="000000" w:fill="FFFFFF"/>
          </w:tcPr>
          <w:p w14:paraId="715C397B"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I (n%)</w:t>
            </w:r>
          </w:p>
        </w:tc>
        <w:tc>
          <w:tcPr>
            <w:tcW w:w="0" w:type="auto"/>
            <w:tcBorders>
              <w:top w:val="single" w:sz="4" w:space="0" w:color="auto"/>
              <w:bottom w:val="single" w:sz="4" w:space="0" w:color="auto"/>
            </w:tcBorders>
            <w:shd w:val="clear" w:color="000000" w:fill="FFFFFF"/>
          </w:tcPr>
          <w:p w14:paraId="7A16218F"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S (n%)</w:t>
            </w:r>
          </w:p>
        </w:tc>
      </w:tr>
      <w:tr w:rsidR="00231374" w:rsidRPr="00B710B0" w14:paraId="7175463E" w14:textId="77777777" w:rsidTr="00CC4046">
        <w:trPr>
          <w:cantSplit/>
          <w:trHeight w:val="112"/>
        </w:trPr>
        <w:tc>
          <w:tcPr>
            <w:tcW w:w="0" w:type="auto"/>
            <w:tcBorders>
              <w:top w:val="single" w:sz="4" w:space="0" w:color="auto"/>
            </w:tcBorders>
            <w:shd w:val="clear" w:color="000000" w:fill="FFFFFF"/>
          </w:tcPr>
          <w:p w14:paraId="648B7E91" w14:textId="77777777" w:rsidR="00231374" w:rsidRPr="00B710B0" w:rsidRDefault="00231374" w:rsidP="00231374">
            <w:pPr>
              <w:pStyle w:val="Body"/>
              <w:rPr>
                <w:rFonts w:ascii="Arial" w:hAnsi="Arial" w:cs="Arial"/>
                <w:lang w:val="en"/>
              </w:rPr>
            </w:pPr>
            <w:r w:rsidRPr="00B710B0">
              <w:rPr>
                <w:rFonts w:ascii="Arial" w:hAnsi="Arial" w:cs="Arial"/>
                <w:lang w:val="en"/>
              </w:rPr>
              <w:t>PEN</w:t>
            </w:r>
          </w:p>
        </w:tc>
        <w:tc>
          <w:tcPr>
            <w:tcW w:w="0" w:type="auto"/>
            <w:tcBorders>
              <w:top w:val="single" w:sz="4" w:space="0" w:color="auto"/>
            </w:tcBorders>
            <w:shd w:val="clear" w:color="000000" w:fill="FFFFFF"/>
          </w:tcPr>
          <w:p w14:paraId="5683709E" w14:textId="77777777" w:rsidR="00231374" w:rsidRPr="00B710B0" w:rsidRDefault="00231374" w:rsidP="00231374">
            <w:pPr>
              <w:pStyle w:val="Body"/>
              <w:rPr>
                <w:rFonts w:ascii="Arial" w:hAnsi="Arial" w:cs="Arial"/>
                <w:lang w:val="en"/>
              </w:rPr>
            </w:pPr>
            <w:r w:rsidRPr="00B710B0">
              <w:rPr>
                <w:rFonts w:ascii="Arial" w:hAnsi="Arial" w:cs="Arial"/>
                <w:lang w:val="en"/>
              </w:rPr>
              <w:t>22(56.4)</w:t>
            </w:r>
          </w:p>
        </w:tc>
        <w:tc>
          <w:tcPr>
            <w:tcW w:w="0" w:type="auto"/>
            <w:tcBorders>
              <w:top w:val="single" w:sz="4" w:space="0" w:color="auto"/>
            </w:tcBorders>
            <w:shd w:val="clear" w:color="000000" w:fill="FFFFFF"/>
          </w:tcPr>
          <w:p w14:paraId="0B84457A" w14:textId="77777777" w:rsidR="00231374" w:rsidRPr="00B710B0" w:rsidRDefault="00231374" w:rsidP="00231374">
            <w:pPr>
              <w:pStyle w:val="Body"/>
              <w:rPr>
                <w:rFonts w:ascii="Arial" w:hAnsi="Arial" w:cs="Arial"/>
                <w:lang w:val="en"/>
              </w:rPr>
            </w:pPr>
            <w:r w:rsidRPr="00B710B0">
              <w:rPr>
                <w:rFonts w:ascii="Arial" w:hAnsi="Arial" w:cs="Arial"/>
                <w:lang w:val="en"/>
              </w:rPr>
              <w:t>13(33.3)</w:t>
            </w:r>
          </w:p>
        </w:tc>
        <w:tc>
          <w:tcPr>
            <w:tcW w:w="0" w:type="auto"/>
            <w:tcBorders>
              <w:top w:val="single" w:sz="4" w:space="0" w:color="auto"/>
            </w:tcBorders>
            <w:shd w:val="clear" w:color="000000" w:fill="FFFFFF"/>
          </w:tcPr>
          <w:p w14:paraId="6C6A1842" w14:textId="77777777" w:rsidR="00231374" w:rsidRPr="00B710B0" w:rsidRDefault="00CC4046" w:rsidP="00231374">
            <w:pPr>
              <w:pStyle w:val="Body"/>
              <w:rPr>
                <w:rFonts w:ascii="Arial" w:hAnsi="Arial" w:cs="Arial"/>
                <w:lang w:val="en"/>
              </w:rPr>
            </w:pPr>
            <w:r w:rsidRPr="00B710B0">
              <w:rPr>
                <w:rFonts w:ascii="Arial" w:hAnsi="Arial" w:cs="Arial"/>
                <w:lang w:val="en"/>
              </w:rPr>
              <w:t>4 (10.3</w:t>
            </w:r>
            <w:r w:rsidR="00231374" w:rsidRPr="00B710B0">
              <w:rPr>
                <w:rFonts w:ascii="Arial" w:hAnsi="Arial" w:cs="Arial"/>
                <w:lang w:val="en"/>
              </w:rPr>
              <w:t>)</w:t>
            </w:r>
          </w:p>
        </w:tc>
        <w:tc>
          <w:tcPr>
            <w:tcW w:w="0" w:type="auto"/>
            <w:tcBorders>
              <w:top w:val="single" w:sz="4" w:space="0" w:color="auto"/>
            </w:tcBorders>
            <w:shd w:val="clear" w:color="000000" w:fill="FFFFFF"/>
          </w:tcPr>
          <w:p w14:paraId="3D318BFF" w14:textId="77777777" w:rsidR="00231374" w:rsidRPr="00B710B0" w:rsidRDefault="00231374" w:rsidP="00231374">
            <w:pPr>
              <w:pStyle w:val="Body"/>
              <w:rPr>
                <w:rFonts w:ascii="Arial" w:hAnsi="Arial" w:cs="Arial"/>
                <w:lang w:val="en"/>
              </w:rPr>
            </w:pPr>
            <w:r w:rsidRPr="00B710B0">
              <w:rPr>
                <w:rFonts w:ascii="Arial" w:hAnsi="Arial" w:cs="Arial"/>
                <w:lang w:val="en"/>
              </w:rPr>
              <w:t>17(43.6)</w:t>
            </w:r>
          </w:p>
        </w:tc>
        <w:tc>
          <w:tcPr>
            <w:tcW w:w="0" w:type="auto"/>
            <w:tcBorders>
              <w:top w:val="single" w:sz="4" w:space="0" w:color="auto"/>
            </w:tcBorders>
            <w:shd w:val="clear" w:color="000000" w:fill="FFFFFF"/>
          </w:tcPr>
          <w:p w14:paraId="30D47E65" w14:textId="77777777" w:rsidR="00231374" w:rsidRPr="00B710B0" w:rsidRDefault="00231374" w:rsidP="00231374">
            <w:pPr>
              <w:pStyle w:val="Body"/>
              <w:rPr>
                <w:rFonts w:ascii="Arial" w:hAnsi="Arial" w:cs="Arial"/>
                <w:lang w:val="en"/>
              </w:rPr>
            </w:pPr>
            <w:r w:rsidRPr="00B710B0">
              <w:rPr>
                <w:rFonts w:ascii="Arial" w:hAnsi="Arial" w:cs="Arial"/>
                <w:lang w:val="en"/>
              </w:rPr>
              <w:t>19 (48.7)</w:t>
            </w:r>
          </w:p>
        </w:tc>
        <w:tc>
          <w:tcPr>
            <w:tcW w:w="0" w:type="auto"/>
            <w:tcBorders>
              <w:top w:val="single" w:sz="4" w:space="0" w:color="auto"/>
            </w:tcBorders>
            <w:shd w:val="clear" w:color="000000" w:fill="FFFFFF"/>
          </w:tcPr>
          <w:p w14:paraId="6301AA7A" w14:textId="77777777" w:rsidR="00231374" w:rsidRPr="00B710B0" w:rsidRDefault="00231374" w:rsidP="00231374">
            <w:pPr>
              <w:pStyle w:val="Body"/>
              <w:rPr>
                <w:rFonts w:ascii="Arial" w:hAnsi="Arial" w:cs="Arial"/>
                <w:lang w:val="en"/>
              </w:rPr>
            </w:pPr>
            <w:r w:rsidRPr="00B710B0">
              <w:rPr>
                <w:rFonts w:ascii="Arial" w:hAnsi="Arial" w:cs="Arial"/>
                <w:lang w:val="en"/>
              </w:rPr>
              <w:t>3 (7.7)</w:t>
            </w:r>
          </w:p>
        </w:tc>
        <w:tc>
          <w:tcPr>
            <w:tcW w:w="0" w:type="auto"/>
            <w:tcBorders>
              <w:top w:val="single" w:sz="4" w:space="0" w:color="auto"/>
            </w:tcBorders>
            <w:shd w:val="clear" w:color="000000" w:fill="FFFFFF"/>
          </w:tcPr>
          <w:p w14:paraId="51F5F697"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15(50)</w:t>
            </w:r>
          </w:p>
        </w:tc>
        <w:tc>
          <w:tcPr>
            <w:tcW w:w="0" w:type="auto"/>
            <w:tcBorders>
              <w:top w:val="single" w:sz="4" w:space="0" w:color="auto"/>
            </w:tcBorders>
            <w:shd w:val="clear" w:color="000000" w:fill="FFFFFF"/>
          </w:tcPr>
          <w:p w14:paraId="6401EAC0"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9 (30.0)</w:t>
            </w:r>
          </w:p>
        </w:tc>
        <w:tc>
          <w:tcPr>
            <w:tcW w:w="0" w:type="auto"/>
            <w:tcBorders>
              <w:top w:val="single" w:sz="4" w:space="0" w:color="auto"/>
            </w:tcBorders>
            <w:shd w:val="clear" w:color="000000" w:fill="FFFFFF"/>
          </w:tcPr>
          <w:p w14:paraId="3897B72B"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 xml:space="preserve"> 6(20.0)</w:t>
            </w:r>
          </w:p>
        </w:tc>
        <w:tc>
          <w:tcPr>
            <w:tcW w:w="0" w:type="auto"/>
            <w:tcBorders>
              <w:top w:val="single" w:sz="4" w:space="0" w:color="auto"/>
            </w:tcBorders>
            <w:shd w:val="clear" w:color="000000" w:fill="FFFFFF"/>
          </w:tcPr>
          <w:p w14:paraId="2F5ACA48"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13(50)</w:t>
            </w:r>
          </w:p>
        </w:tc>
        <w:tc>
          <w:tcPr>
            <w:tcW w:w="0" w:type="auto"/>
            <w:tcBorders>
              <w:top w:val="single" w:sz="4" w:space="0" w:color="auto"/>
            </w:tcBorders>
            <w:shd w:val="clear" w:color="000000" w:fill="FFFFFF"/>
          </w:tcPr>
          <w:p w14:paraId="490F07F1"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9(34.6)</w:t>
            </w:r>
          </w:p>
        </w:tc>
        <w:tc>
          <w:tcPr>
            <w:tcW w:w="0" w:type="auto"/>
            <w:tcBorders>
              <w:top w:val="single" w:sz="4" w:space="0" w:color="auto"/>
            </w:tcBorders>
            <w:shd w:val="clear" w:color="000000" w:fill="FFFFFF"/>
          </w:tcPr>
          <w:p w14:paraId="60B095F2"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4(15.4)</w:t>
            </w:r>
          </w:p>
        </w:tc>
      </w:tr>
      <w:tr w:rsidR="00231374" w:rsidRPr="00B710B0" w14:paraId="0BBA26E5" w14:textId="77777777" w:rsidTr="00CC4046">
        <w:trPr>
          <w:cantSplit/>
          <w:trHeight w:val="391"/>
        </w:trPr>
        <w:tc>
          <w:tcPr>
            <w:tcW w:w="0" w:type="auto"/>
            <w:shd w:val="clear" w:color="000000" w:fill="FFFFFF"/>
          </w:tcPr>
          <w:p w14:paraId="3B14B6DA" w14:textId="77777777" w:rsidR="00231374" w:rsidRPr="00B710B0" w:rsidRDefault="00231374" w:rsidP="00231374">
            <w:pPr>
              <w:pStyle w:val="Body"/>
              <w:rPr>
                <w:rFonts w:ascii="Arial" w:hAnsi="Arial" w:cs="Arial"/>
                <w:lang w:val="en"/>
              </w:rPr>
            </w:pPr>
            <w:r w:rsidRPr="00B710B0">
              <w:rPr>
                <w:rFonts w:ascii="Arial" w:hAnsi="Arial" w:cs="Arial"/>
                <w:lang w:val="en"/>
              </w:rPr>
              <w:t>TET</w:t>
            </w:r>
          </w:p>
        </w:tc>
        <w:tc>
          <w:tcPr>
            <w:tcW w:w="0" w:type="auto"/>
            <w:shd w:val="clear" w:color="000000" w:fill="FFFFFF"/>
          </w:tcPr>
          <w:p w14:paraId="24B7ACA1" w14:textId="77777777" w:rsidR="00231374" w:rsidRPr="00B710B0" w:rsidRDefault="00231374" w:rsidP="00231374">
            <w:pPr>
              <w:pStyle w:val="Body"/>
              <w:rPr>
                <w:rFonts w:ascii="Arial" w:hAnsi="Arial" w:cs="Arial"/>
                <w:lang w:val="en"/>
              </w:rPr>
            </w:pPr>
            <w:r w:rsidRPr="00B710B0">
              <w:rPr>
                <w:rFonts w:ascii="Arial" w:hAnsi="Arial" w:cs="Arial"/>
                <w:lang w:val="en"/>
              </w:rPr>
              <w:t>16 (41)</w:t>
            </w:r>
          </w:p>
        </w:tc>
        <w:tc>
          <w:tcPr>
            <w:tcW w:w="0" w:type="auto"/>
            <w:shd w:val="clear" w:color="000000" w:fill="FFFFFF"/>
          </w:tcPr>
          <w:p w14:paraId="35665163" w14:textId="77777777" w:rsidR="00231374" w:rsidRPr="00B710B0" w:rsidRDefault="00231374" w:rsidP="00231374">
            <w:pPr>
              <w:pStyle w:val="Body"/>
              <w:rPr>
                <w:rFonts w:ascii="Arial" w:hAnsi="Arial" w:cs="Arial"/>
                <w:lang w:val="en"/>
              </w:rPr>
            </w:pPr>
            <w:r w:rsidRPr="00B710B0">
              <w:rPr>
                <w:rFonts w:ascii="Arial" w:hAnsi="Arial" w:cs="Arial"/>
                <w:lang w:val="en"/>
              </w:rPr>
              <w:t>19 (48.7)</w:t>
            </w:r>
          </w:p>
        </w:tc>
        <w:tc>
          <w:tcPr>
            <w:tcW w:w="0" w:type="auto"/>
            <w:shd w:val="clear" w:color="000000" w:fill="FFFFFF"/>
          </w:tcPr>
          <w:p w14:paraId="314D25F2" w14:textId="77777777" w:rsidR="00231374" w:rsidRPr="00B710B0" w:rsidRDefault="00231374" w:rsidP="00231374">
            <w:pPr>
              <w:pStyle w:val="Body"/>
              <w:rPr>
                <w:rFonts w:ascii="Arial" w:hAnsi="Arial" w:cs="Arial"/>
                <w:lang w:val="en"/>
              </w:rPr>
            </w:pPr>
            <w:r w:rsidRPr="00B710B0">
              <w:rPr>
                <w:rFonts w:ascii="Arial" w:hAnsi="Arial" w:cs="Arial"/>
                <w:lang w:val="en"/>
              </w:rPr>
              <w:t>4 (10.3)</w:t>
            </w:r>
          </w:p>
        </w:tc>
        <w:tc>
          <w:tcPr>
            <w:tcW w:w="0" w:type="auto"/>
            <w:shd w:val="clear" w:color="000000" w:fill="FFFFFF"/>
          </w:tcPr>
          <w:p w14:paraId="77B58CBA" w14:textId="77777777" w:rsidR="00231374" w:rsidRPr="00B710B0" w:rsidRDefault="00231374" w:rsidP="00231374">
            <w:pPr>
              <w:pStyle w:val="Body"/>
              <w:rPr>
                <w:rFonts w:ascii="Arial" w:hAnsi="Arial" w:cs="Arial"/>
                <w:lang w:val="en"/>
              </w:rPr>
            </w:pPr>
            <w:r w:rsidRPr="00B710B0">
              <w:rPr>
                <w:rFonts w:ascii="Arial" w:hAnsi="Arial" w:cs="Arial"/>
                <w:lang w:val="en"/>
              </w:rPr>
              <w:t>6 (15.4)</w:t>
            </w:r>
          </w:p>
        </w:tc>
        <w:tc>
          <w:tcPr>
            <w:tcW w:w="0" w:type="auto"/>
            <w:shd w:val="clear" w:color="000000" w:fill="FFFFFF"/>
          </w:tcPr>
          <w:p w14:paraId="0AE4B748" w14:textId="77777777" w:rsidR="00231374" w:rsidRPr="00B710B0" w:rsidRDefault="00231374" w:rsidP="00231374">
            <w:pPr>
              <w:pStyle w:val="Body"/>
              <w:rPr>
                <w:rFonts w:ascii="Arial" w:hAnsi="Arial" w:cs="Arial"/>
                <w:lang w:val="en"/>
              </w:rPr>
            </w:pPr>
            <w:r w:rsidRPr="00B710B0">
              <w:rPr>
                <w:rFonts w:ascii="Arial" w:hAnsi="Arial" w:cs="Arial"/>
                <w:lang w:val="en"/>
              </w:rPr>
              <w:t>27 (69.2)</w:t>
            </w:r>
          </w:p>
        </w:tc>
        <w:tc>
          <w:tcPr>
            <w:tcW w:w="0" w:type="auto"/>
            <w:shd w:val="clear" w:color="000000" w:fill="FFFFFF"/>
          </w:tcPr>
          <w:p w14:paraId="0357F471" w14:textId="77777777" w:rsidR="00231374" w:rsidRPr="00B710B0" w:rsidRDefault="00231374" w:rsidP="00231374">
            <w:pPr>
              <w:pStyle w:val="Body"/>
              <w:rPr>
                <w:rFonts w:ascii="Arial" w:hAnsi="Arial" w:cs="Arial"/>
                <w:lang w:val="en"/>
              </w:rPr>
            </w:pPr>
            <w:r w:rsidRPr="00B710B0">
              <w:rPr>
                <w:rFonts w:ascii="Arial" w:hAnsi="Arial" w:cs="Arial"/>
                <w:lang w:val="en"/>
              </w:rPr>
              <w:t>6 (15.4)</w:t>
            </w:r>
          </w:p>
        </w:tc>
        <w:tc>
          <w:tcPr>
            <w:tcW w:w="0" w:type="auto"/>
            <w:shd w:val="clear" w:color="000000" w:fill="FFFFFF"/>
          </w:tcPr>
          <w:p w14:paraId="604937C4"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14 (46.7)</w:t>
            </w:r>
          </w:p>
        </w:tc>
        <w:tc>
          <w:tcPr>
            <w:tcW w:w="0" w:type="auto"/>
            <w:shd w:val="clear" w:color="000000" w:fill="FFFFFF"/>
          </w:tcPr>
          <w:p w14:paraId="73ED3430"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10(33.3)</w:t>
            </w:r>
          </w:p>
        </w:tc>
        <w:tc>
          <w:tcPr>
            <w:tcW w:w="0" w:type="auto"/>
            <w:shd w:val="clear" w:color="000000" w:fill="FFFFFF"/>
          </w:tcPr>
          <w:p w14:paraId="6DF81B68"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6 (20.0)</w:t>
            </w:r>
          </w:p>
        </w:tc>
        <w:tc>
          <w:tcPr>
            <w:tcW w:w="0" w:type="auto"/>
            <w:shd w:val="clear" w:color="000000" w:fill="FFFFFF"/>
          </w:tcPr>
          <w:p w14:paraId="62405C4A"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14(53.8)</w:t>
            </w:r>
          </w:p>
        </w:tc>
        <w:tc>
          <w:tcPr>
            <w:tcW w:w="0" w:type="auto"/>
            <w:shd w:val="clear" w:color="000000" w:fill="FFFFFF"/>
          </w:tcPr>
          <w:p w14:paraId="5A21784B"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7(27.0)</w:t>
            </w:r>
          </w:p>
        </w:tc>
        <w:tc>
          <w:tcPr>
            <w:tcW w:w="0" w:type="auto"/>
            <w:shd w:val="clear" w:color="000000" w:fill="FFFFFF"/>
          </w:tcPr>
          <w:p w14:paraId="5110C749"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5(19.2)</w:t>
            </w:r>
          </w:p>
        </w:tc>
      </w:tr>
      <w:tr w:rsidR="00231374" w:rsidRPr="00B710B0" w14:paraId="1503E0C8" w14:textId="77777777" w:rsidTr="00CC4046">
        <w:trPr>
          <w:cantSplit/>
          <w:trHeight w:val="274"/>
        </w:trPr>
        <w:tc>
          <w:tcPr>
            <w:tcW w:w="0" w:type="auto"/>
            <w:shd w:val="clear" w:color="000000" w:fill="FFFFFF"/>
          </w:tcPr>
          <w:p w14:paraId="7F72DDD4" w14:textId="77777777" w:rsidR="00231374" w:rsidRPr="00B710B0" w:rsidRDefault="00231374" w:rsidP="00231374">
            <w:pPr>
              <w:pStyle w:val="Body"/>
              <w:rPr>
                <w:rFonts w:ascii="Arial" w:hAnsi="Arial" w:cs="Arial"/>
                <w:lang w:val="en"/>
              </w:rPr>
            </w:pPr>
            <w:proofErr w:type="spellStart"/>
            <w:r w:rsidRPr="00B710B0">
              <w:rPr>
                <w:rFonts w:ascii="Arial" w:hAnsi="Arial" w:cs="Arial"/>
                <w:lang w:val="en"/>
              </w:rPr>
              <w:t>CiP</w:t>
            </w:r>
            <w:proofErr w:type="spellEnd"/>
          </w:p>
        </w:tc>
        <w:tc>
          <w:tcPr>
            <w:tcW w:w="0" w:type="auto"/>
            <w:shd w:val="clear" w:color="000000" w:fill="FFFFFF"/>
          </w:tcPr>
          <w:p w14:paraId="74B50885" w14:textId="77777777" w:rsidR="00231374" w:rsidRPr="00B710B0" w:rsidRDefault="00231374" w:rsidP="00231374">
            <w:pPr>
              <w:pStyle w:val="Body"/>
              <w:rPr>
                <w:rFonts w:ascii="Arial" w:hAnsi="Arial" w:cs="Arial"/>
                <w:lang w:val="en"/>
              </w:rPr>
            </w:pPr>
            <w:r w:rsidRPr="00B710B0">
              <w:rPr>
                <w:rFonts w:ascii="Arial" w:hAnsi="Arial" w:cs="Arial"/>
                <w:lang w:val="en"/>
              </w:rPr>
              <w:t>17 (43.6)</w:t>
            </w:r>
          </w:p>
        </w:tc>
        <w:tc>
          <w:tcPr>
            <w:tcW w:w="0" w:type="auto"/>
            <w:shd w:val="clear" w:color="000000" w:fill="FFFFFF"/>
          </w:tcPr>
          <w:p w14:paraId="6014D5EB" w14:textId="77777777" w:rsidR="00231374" w:rsidRPr="00B710B0" w:rsidRDefault="00231374" w:rsidP="00231374">
            <w:pPr>
              <w:pStyle w:val="Body"/>
              <w:rPr>
                <w:rFonts w:ascii="Arial" w:hAnsi="Arial" w:cs="Arial"/>
                <w:lang w:val="en"/>
              </w:rPr>
            </w:pPr>
            <w:r w:rsidRPr="00B710B0">
              <w:rPr>
                <w:rFonts w:ascii="Arial" w:hAnsi="Arial" w:cs="Arial"/>
                <w:lang w:val="en"/>
              </w:rPr>
              <w:t>12 (30.8)</w:t>
            </w:r>
          </w:p>
        </w:tc>
        <w:tc>
          <w:tcPr>
            <w:tcW w:w="0" w:type="auto"/>
            <w:shd w:val="clear" w:color="000000" w:fill="FFFFFF"/>
          </w:tcPr>
          <w:p w14:paraId="1A5F7F1A" w14:textId="77777777" w:rsidR="00231374" w:rsidRPr="00B710B0" w:rsidRDefault="00231374" w:rsidP="00231374">
            <w:pPr>
              <w:pStyle w:val="Body"/>
              <w:rPr>
                <w:rFonts w:ascii="Arial" w:hAnsi="Arial" w:cs="Arial"/>
                <w:lang w:val="en"/>
              </w:rPr>
            </w:pPr>
            <w:r w:rsidRPr="00B710B0">
              <w:rPr>
                <w:rFonts w:ascii="Arial" w:hAnsi="Arial" w:cs="Arial"/>
                <w:lang w:val="en"/>
              </w:rPr>
              <w:t>10 (25.6)</w:t>
            </w:r>
          </w:p>
        </w:tc>
        <w:tc>
          <w:tcPr>
            <w:tcW w:w="0" w:type="auto"/>
            <w:shd w:val="clear" w:color="000000" w:fill="FFFFFF"/>
          </w:tcPr>
          <w:p w14:paraId="5C9BBD0B" w14:textId="77777777" w:rsidR="00231374" w:rsidRPr="00B710B0" w:rsidRDefault="00231374" w:rsidP="00231374">
            <w:pPr>
              <w:pStyle w:val="Body"/>
              <w:rPr>
                <w:rFonts w:ascii="Arial" w:hAnsi="Arial" w:cs="Arial"/>
                <w:lang w:val="en"/>
              </w:rPr>
            </w:pPr>
            <w:r w:rsidRPr="00B710B0">
              <w:rPr>
                <w:rFonts w:ascii="Arial" w:hAnsi="Arial" w:cs="Arial"/>
                <w:lang w:val="en"/>
              </w:rPr>
              <w:t>12 (30.8)</w:t>
            </w:r>
          </w:p>
        </w:tc>
        <w:tc>
          <w:tcPr>
            <w:tcW w:w="0" w:type="auto"/>
            <w:shd w:val="clear" w:color="000000" w:fill="FFFFFF"/>
          </w:tcPr>
          <w:p w14:paraId="5DB03C77" w14:textId="77777777" w:rsidR="00231374" w:rsidRPr="00B710B0" w:rsidRDefault="00231374" w:rsidP="00231374">
            <w:pPr>
              <w:pStyle w:val="Body"/>
              <w:rPr>
                <w:rFonts w:ascii="Arial" w:hAnsi="Arial" w:cs="Arial"/>
                <w:lang w:val="en"/>
              </w:rPr>
            </w:pPr>
            <w:r w:rsidRPr="00B710B0">
              <w:rPr>
                <w:rFonts w:ascii="Arial" w:hAnsi="Arial" w:cs="Arial"/>
                <w:lang w:val="en"/>
              </w:rPr>
              <w:t>12 (30.8)</w:t>
            </w:r>
          </w:p>
        </w:tc>
        <w:tc>
          <w:tcPr>
            <w:tcW w:w="0" w:type="auto"/>
            <w:shd w:val="clear" w:color="000000" w:fill="FFFFFF"/>
          </w:tcPr>
          <w:p w14:paraId="4D0C8988" w14:textId="77777777" w:rsidR="00231374" w:rsidRPr="00B710B0" w:rsidRDefault="00231374" w:rsidP="00231374">
            <w:pPr>
              <w:pStyle w:val="Body"/>
              <w:rPr>
                <w:rFonts w:ascii="Arial" w:hAnsi="Arial" w:cs="Arial"/>
                <w:lang w:val="en"/>
              </w:rPr>
            </w:pPr>
            <w:r w:rsidRPr="00B710B0">
              <w:rPr>
                <w:rFonts w:ascii="Arial" w:hAnsi="Arial" w:cs="Arial"/>
                <w:lang w:val="en"/>
              </w:rPr>
              <w:t>15 (38.4)</w:t>
            </w:r>
          </w:p>
        </w:tc>
        <w:tc>
          <w:tcPr>
            <w:tcW w:w="0" w:type="auto"/>
            <w:shd w:val="clear" w:color="000000" w:fill="FFFFFF"/>
          </w:tcPr>
          <w:p w14:paraId="7504FA40"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9 (30.0)</w:t>
            </w:r>
          </w:p>
        </w:tc>
        <w:tc>
          <w:tcPr>
            <w:tcW w:w="0" w:type="auto"/>
            <w:shd w:val="clear" w:color="000000" w:fill="FFFFFF"/>
          </w:tcPr>
          <w:p w14:paraId="5B014CE7"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9 (30.0)</w:t>
            </w:r>
          </w:p>
        </w:tc>
        <w:tc>
          <w:tcPr>
            <w:tcW w:w="0" w:type="auto"/>
            <w:shd w:val="clear" w:color="000000" w:fill="FFFFFF"/>
          </w:tcPr>
          <w:p w14:paraId="5BF02A3C"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12 (40.0)</w:t>
            </w:r>
          </w:p>
        </w:tc>
        <w:tc>
          <w:tcPr>
            <w:tcW w:w="0" w:type="auto"/>
            <w:shd w:val="clear" w:color="000000" w:fill="FFFFFF"/>
          </w:tcPr>
          <w:p w14:paraId="2791245A"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8 (30.8)</w:t>
            </w:r>
          </w:p>
        </w:tc>
        <w:tc>
          <w:tcPr>
            <w:tcW w:w="0" w:type="auto"/>
            <w:shd w:val="clear" w:color="000000" w:fill="FFFFFF"/>
          </w:tcPr>
          <w:p w14:paraId="062C6166"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5(19.2)</w:t>
            </w:r>
          </w:p>
        </w:tc>
        <w:tc>
          <w:tcPr>
            <w:tcW w:w="0" w:type="auto"/>
            <w:shd w:val="clear" w:color="000000" w:fill="FFFFFF"/>
          </w:tcPr>
          <w:p w14:paraId="6FA12B37"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13 (50)</w:t>
            </w:r>
          </w:p>
        </w:tc>
      </w:tr>
      <w:tr w:rsidR="00231374" w:rsidRPr="00B710B0" w14:paraId="51A5F90A" w14:textId="77777777" w:rsidTr="00CC4046">
        <w:trPr>
          <w:cantSplit/>
          <w:trHeight w:val="427"/>
        </w:trPr>
        <w:tc>
          <w:tcPr>
            <w:tcW w:w="0" w:type="auto"/>
            <w:tcBorders>
              <w:bottom w:val="single" w:sz="4" w:space="0" w:color="auto"/>
            </w:tcBorders>
            <w:shd w:val="clear" w:color="000000" w:fill="FFFFFF"/>
          </w:tcPr>
          <w:p w14:paraId="50D31F9D" w14:textId="77777777" w:rsidR="00231374" w:rsidRPr="00B710B0" w:rsidRDefault="00231374" w:rsidP="00231374">
            <w:pPr>
              <w:pStyle w:val="Body"/>
              <w:rPr>
                <w:rFonts w:ascii="Arial" w:hAnsi="Arial" w:cs="Arial"/>
                <w:lang w:val="en"/>
              </w:rPr>
            </w:pPr>
            <w:r w:rsidRPr="00B710B0">
              <w:rPr>
                <w:rFonts w:ascii="Arial" w:hAnsi="Arial" w:cs="Arial"/>
                <w:lang w:val="en"/>
              </w:rPr>
              <w:t>NAL</w:t>
            </w:r>
          </w:p>
        </w:tc>
        <w:tc>
          <w:tcPr>
            <w:tcW w:w="0" w:type="auto"/>
            <w:tcBorders>
              <w:bottom w:val="single" w:sz="4" w:space="0" w:color="auto"/>
            </w:tcBorders>
            <w:shd w:val="clear" w:color="000000" w:fill="FFFFFF"/>
          </w:tcPr>
          <w:p w14:paraId="4E70A466" w14:textId="77777777" w:rsidR="00231374" w:rsidRPr="00B710B0" w:rsidRDefault="00231374" w:rsidP="00231374">
            <w:pPr>
              <w:pStyle w:val="Body"/>
              <w:rPr>
                <w:rFonts w:ascii="Arial" w:hAnsi="Arial" w:cs="Arial"/>
                <w:lang w:val="en"/>
              </w:rPr>
            </w:pPr>
            <w:r w:rsidRPr="00B710B0">
              <w:rPr>
                <w:rFonts w:ascii="Arial" w:hAnsi="Arial" w:cs="Arial"/>
                <w:lang w:val="en"/>
              </w:rPr>
              <w:t>15 (38.5)</w:t>
            </w:r>
          </w:p>
        </w:tc>
        <w:tc>
          <w:tcPr>
            <w:tcW w:w="0" w:type="auto"/>
            <w:tcBorders>
              <w:bottom w:val="single" w:sz="4" w:space="0" w:color="auto"/>
            </w:tcBorders>
            <w:shd w:val="clear" w:color="000000" w:fill="FFFFFF"/>
          </w:tcPr>
          <w:p w14:paraId="525FB924" w14:textId="77777777" w:rsidR="00231374" w:rsidRPr="00B710B0" w:rsidRDefault="00231374" w:rsidP="00231374">
            <w:pPr>
              <w:pStyle w:val="Body"/>
              <w:rPr>
                <w:rFonts w:ascii="Arial" w:hAnsi="Arial" w:cs="Arial"/>
                <w:lang w:val="en"/>
              </w:rPr>
            </w:pPr>
            <w:r w:rsidRPr="00B710B0">
              <w:rPr>
                <w:rFonts w:ascii="Arial" w:hAnsi="Arial" w:cs="Arial"/>
                <w:lang w:val="en"/>
              </w:rPr>
              <w:t>10 (25.6)</w:t>
            </w:r>
          </w:p>
        </w:tc>
        <w:tc>
          <w:tcPr>
            <w:tcW w:w="0" w:type="auto"/>
            <w:tcBorders>
              <w:bottom w:val="single" w:sz="4" w:space="0" w:color="auto"/>
            </w:tcBorders>
            <w:shd w:val="clear" w:color="000000" w:fill="FFFFFF"/>
          </w:tcPr>
          <w:p w14:paraId="3D4E7CFC" w14:textId="77777777" w:rsidR="00231374" w:rsidRPr="00B710B0" w:rsidRDefault="00231374" w:rsidP="00231374">
            <w:pPr>
              <w:pStyle w:val="Body"/>
              <w:rPr>
                <w:rFonts w:ascii="Arial" w:hAnsi="Arial" w:cs="Arial"/>
                <w:lang w:val="en"/>
              </w:rPr>
            </w:pPr>
            <w:r w:rsidRPr="00B710B0">
              <w:rPr>
                <w:rFonts w:ascii="Arial" w:hAnsi="Arial" w:cs="Arial"/>
                <w:lang w:val="en"/>
              </w:rPr>
              <w:t>14 (35.9)</w:t>
            </w:r>
          </w:p>
        </w:tc>
        <w:tc>
          <w:tcPr>
            <w:tcW w:w="0" w:type="auto"/>
            <w:tcBorders>
              <w:bottom w:val="single" w:sz="4" w:space="0" w:color="auto"/>
            </w:tcBorders>
            <w:shd w:val="clear" w:color="000000" w:fill="FFFFFF"/>
          </w:tcPr>
          <w:p w14:paraId="071DA066" w14:textId="77777777" w:rsidR="00231374" w:rsidRPr="00B710B0" w:rsidRDefault="00231374" w:rsidP="00231374">
            <w:pPr>
              <w:pStyle w:val="Body"/>
              <w:rPr>
                <w:rFonts w:ascii="Arial" w:hAnsi="Arial" w:cs="Arial"/>
                <w:lang w:val="en"/>
              </w:rPr>
            </w:pPr>
            <w:r w:rsidRPr="00B710B0">
              <w:rPr>
                <w:rFonts w:ascii="Arial" w:hAnsi="Arial" w:cs="Arial"/>
                <w:lang w:val="en"/>
              </w:rPr>
              <w:t>17 (43.6)</w:t>
            </w:r>
          </w:p>
        </w:tc>
        <w:tc>
          <w:tcPr>
            <w:tcW w:w="0" w:type="auto"/>
            <w:tcBorders>
              <w:bottom w:val="single" w:sz="4" w:space="0" w:color="auto"/>
            </w:tcBorders>
            <w:shd w:val="clear" w:color="000000" w:fill="FFFFFF"/>
          </w:tcPr>
          <w:p w14:paraId="169F1C29" w14:textId="77777777" w:rsidR="00231374" w:rsidRPr="00B710B0" w:rsidRDefault="00231374" w:rsidP="00231374">
            <w:pPr>
              <w:pStyle w:val="Body"/>
              <w:rPr>
                <w:rFonts w:ascii="Arial" w:hAnsi="Arial" w:cs="Arial"/>
                <w:lang w:val="en"/>
              </w:rPr>
            </w:pPr>
            <w:r w:rsidRPr="00B710B0">
              <w:rPr>
                <w:rFonts w:ascii="Arial" w:hAnsi="Arial" w:cs="Arial"/>
                <w:lang w:val="en"/>
              </w:rPr>
              <w:t>12 (30.8)</w:t>
            </w:r>
          </w:p>
        </w:tc>
        <w:tc>
          <w:tcPr>
            <w:tcW w:w="0" w:type="auto"/>
            <w:tcBorders>
              <w:bottom w:val="single" w:sz="4" w:space="0" w:color="auto"/>
            </w:tcBorders>
            <w:shd w:val="clear" w:color="000000" w:fill="FFFFFF"/>
          </w:tcPr>
          <w:p w14:paraId="7107FFB9" w14:textId="77777777" w:rsidR="00231374" w:rsidRPr="00B710B0" w:rsidRDefault="00231374" w:rsidP="00231374">
            <w:pPr>
              <w:pStyle w:val="Body"/>
              <w:rPr>
                <w:rFonts w:ascii="Arial" w:hAnsi="Arial" w:cs="Arial"/>
                <w:lang w:val="en"/>
              </w:rPr>
            </w:pPr>
            <w:r w:rsidRPr="00B710B0">
              <w:rPr>
                <w:rFonts w:ascii="Arial" w:hAnsi="Arial" w:cs="Arial"/>
                <w:lang w:val="en"/>
              </w:rPr>
              <w:t>10 (25.6)</w:t>
            </w:r>
          </w:p>
        </w:tc>
        <w:tc>
          <w:tcPr>
            <w:tcW w:w="0" w:type="auto"/>
            <w:tcBorders>
              <w:bottom w:val="single" w:sz="4" w:space="0" w:color="auto"/>
            </w:tcBorders>
            <w:shd w:val="clear" w:color="000000" w:fill="FFFFFF"/>
          </w:tcPr>
          <w:p w14:paraId="5AEA4A33"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12 (40.0)</w:t>
            </w:r>
          </w:p>
        </w:tc>
        <w:tc>
          <w:tcPr>
            <w:tcW w:w="0" w:type="auto"/>
            <w:tcBorders>
              <w:bottom w:val="single" w:sz="4" w:space="0" w:color="auto"/>
            </w:tcBorders>
            <w:shd w:val="clear" w:color="000000" w:fill="FFFFFF"/>
          </w:tcPr>
          <w:p w14:paraId="692D793E"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6 (20.0)</w:t>
            </w:r>
          </w:p>
        </w:tc>
        <w:tc>
          <w:tcPr>
            <w:tcW w:w="0" w:type="auto"/>
            <w:tcBorders>
              <w:bottom w:val="single" w:sz="4" w:space="0" w:color="auto"/>
            </w:tcBorders>
            <w:shd w:val="clear" w:color="000000" w:fill="FFFFFF"/>
          </w:tcPr>
          <w:p w14:paraId="10911CE3"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12(40.0)</w:t>
            </w:r>
          </w:p>
        </w:tc>
        <w:tc>
          <w:tcPr>
            <w:tcW w:w="0" w:type="auto"/>
            <w:tcBorders>
              <w:bottom w:val="single" w:sz="4" w:space="0" w:color="auto"/>
            </w:tcBorders>
            <w:shd w:val="clear" w:color="000000" w:fill="FFFFFF"/>
          </w:tcPr>
          <w:p w14:paraId="2A0DF061"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9 (34.6)</w:t>
            </w:r>
          </w:p>
        </w:tc>
        <w:tc>
          <w:tcPr>
            <w:tcW w:w="0" w:type="auto"/>
            <w:tcBorders>
              <w:bottom w:val="single" w:sz="4" w:space="0" w:color="auto"/>
            </w:tcBorders>
            <w:shd w:val="clear" w:color="000000" w:fill="FFFFFF"/>
          </w:tcPr>
          <w:p w14:paraId="73CB90C0"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9(34.6)</w:t>
            </w:r>
          </w:p>
        </w:tc>
        <w:tc>
          <w:tcPr>
            <w:tcW w:w="0" w:type="auto"/>
            <w:tcBorders>
              <w:bottom w:val="single" w:sz="4" w:space="0" w:color="auto"/>
            </w:tcBorders>
            <w:shd w:val="clear" w:color="000000" w:fill="FFFFFF"/>
          </w:tcPr>
          <w:p w14:paraId="637D1BF2"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8(30.8)</w:t>
            </w:r>
          </w:p>
        </w:tc>
      </w:tr>
    </w:tbl>
    <w:p w14:paraId="674FE493" w14:textId="77777777" w:rsidR="00231374" w:rsidRPr="00B710B0" w:rsidRDefault="00231374" w:rsidP="00231374">
      <w:pPr>
        <w:pStyle w:val="Body"/>
        <w:spacing w:after="0"/>
        <w:rPr>
          <w:rFonts w:ascii="Arial" w:hAnsi="Arial" w:cs="Arial"/>
          <w:lang w:val="en"/>
        </w:rPr>
      </w:pPr>
      <w:r w:rsidRPr="00B710B0">
        <w:rPr>
          <w:rFonts w:ascii="Arial" w:hAnsi="Arial" w:cs="Arial"/>
          <w:b/>
          <w:lang w:val="en"/>
        </w:rPr>
        <w:t>Key:</w:t>
      </w:r>
      <w:r w:rsidRPr="00B710B0">
        <w:rPr>
          <w:rFonts w:ascii="Arial" w:hAnsi="Arial" w:cs="Arial"/>
          <w:lang w:val="en"/>
        </w:rPr>
        <w:t xml:space="preserve"> PEN=penicillin; TET=Tetracycline; </w:t>
      </w:r>
      <w:proofErr w:type="spellStart"/>
      <w:r w:rsidRPr="00B710B0">
        <w:rPr>
          <w:rFonts w:ascii="Arial" w:hAnsi="Arial" w:cs="Arial"/>
          <w:lang w:val="en"/>
        </w:rPr>
        <w:t>CiP</w:t>
      </w:r>
      <w:proofErr w:type="spellEnd"/>
      <w:r w:rsidRPr="00B710B0">
        <w:rPr>
          <w:rFonts w:ascii="Arial" w:hAnsi="Arial" w:cs="Arial"/>
          <w:lang w:val="en"/>
        </w:rPr>
        <w:t>=Ciprofloxacin; NAL=nalidixic acid</w:t>
      </w:r>
    </w:p>
    <w:p w14:paraId="7F00C379" w14:textId="77777777" w:rsidR="00062358" w:rsidRPr="00B710B0" w:rsidRDefault="00062358" w:rsidP="00231374">
      <w:pPr>
        <w:pStyle w:val="Body"/>
        <w:spacing w:after="0"/>
        <w:rPr>
          <w:rFonts w:ascii="Arial" w:hAnsi="Arial" w:cs="Arial"/>
          <w:lang w:val="en"/>
        </w:rPr>
      </w:pPr>
    </w:p>
    <w:p w14:paraId="5B58049F" w14:textId="77777777" w:rsidR="00231374" w:rsidRPr="00B710B0" w:rsidRDefault="00062358" w:rsidP="00231374">
      <w:pPr>
        <w:pStyle w:val="Body"/>
        <w:rPr>
          <w:rFonts w:ascii="Arial" w:hAnsi="Arial" w:cs="Arial"/>
          <w:b/>
          <w:bCs/>
          <w:lang w:val="en"/>
        </w:rPr>
      </w:pPr>
      <w:r w:rsidRPr="00B710B0">
        <w:rPr>
          <w:rFonts w:ascii="Arial" w:hAnsi="Arial" w:cs="Arial"/>
          <w:b/>
          <w:bCs/>
          <w:lang w:val="en"/>
        </w:rPr>
        <w:t xml:space="preserve">3.4 </w:t>
      </w:r>
      <w:r w:rsidR="00231374" w:rsidRPr="00B710B0">
        <w:rPr>
          <w:rFonts w:ascii="Arial" w:hAnsi="Arial" w:cs="Arial"/>
          <w:b/>
          <w:bCs/>
          <w:lang w:val="en"/>
        </w:rPr>
        <w:t>Antimicrobial susceptibility profiles of bacteria against CENO</w:t>
      </w:r>
    </w:p>
    <w:p w14:paraId="5AB637C7" w14:textId="77777777" w:rsidR="00231374" w:rsidRPr="00B710B0" w:rsidRDefault="00231374" w:rsidP="00231374">
      <w:pPr>
        <w:pStyle w:val="Body"/>
        <w:rPr>
          <w:rFonts w:ascii="Arial" w:hAnsi="Arial" w:cs="Arial"/>
          <w:b/>
          <w:bCs/>
          <w:lang w:val="en"/>
        </w:rPr>
      </w:pPr>
      <w:r w:rsidRPr="00B710B0">
        <w:rPr>
          <w:rFonts w:ascii="Arial" w:hAnsi="Arial" w:cs="Arial"/>
          <w:iCs/>
          <w:lang w:val="en"/>
        </w:rPr>
        <w:t>The sensitivity of all the 134 bacteria isolates to CENO was tested. A higher sensitivity was noted in 0.3g/</w:t>
      </w:r>
      <w:r w:rsidRPr="00B710B0">
        <w:rPr>
          <w:rFonts w:ascii="Arial" w:hAnsi="Arial" w:cs="Arial"/>
          <w:lang w:val="en"/>
        </w:rPr>
        <w:t xml:space="preserve">mL laboratory CENO </w:t>
      </w:r>
      <w:r w:rsidRPr="00B710B0">
        <w:rPr>
          <w:rFonts w:ascii="Arial" w:hAnsi="Arial" w:cs="Arial"/>
          <w:iCs/>
          <w:lang w:val="en"/>
        </w:rPr>
        <w:t xml:space="preserve">against </w:t>
      </w:r>
      <w:r w:rsidRPr="00B710B0">
        <w:rPr>
          <w:rFonts w:ascii="Arial" w:hAnsi="Arial" w:cs="Arial"/>
          <w:i/>
          <w:lang w:val="en"/>
        </w:rPr>
        <w:t>S. aureus</w:t>
      </w:r>
      <w:r w:rsidRPr="00B710B0">
        <w:rPr>
          <w:rFonts w:ascii="Arial" w:hAnsi="Arial" w:cs="Arial"/>
          <w:iCs/>
          <w:lang w:val="en"/>
        </w:rPr>
        <w:t xml:space="preserve"> (33.3%),</w:t>
      </w:r>
      <w:r w:rsidRPr="00B710B0">
        <w:rPr>
          <w:rFonts w:ascii="Arial" w:hAnsi="Arial" w:cs="Arial"/>
          <w:i/>
          <w:iCs/>
          <w:lang w:val="en"/>
        </w:rPr>
        <w:t xml:space="preserve"> E. coli </w:t>
      </w:r>
      <w:r w:rsidRPr="00B710B0">
        <w:rPr>
          <w:rFonts w:ascii="Arial" w:hAnsi="Arial" w:cs="Arial"/>
          <w:iCs/>
          <w:lang w:val="en"/>
        </w:rPr>
        <w:t>(30.8%)</w:t>
      </w:r>
      <w:r w:rsidRPr="00B710B0">
        <w:rPr>
          <w:rFonts w:ascii="Arial" w:hAnsi="Arial" w:cs="Arial"/>
          <w:i/>
          <w:iCs/>
          <w:lang w:val="en"/>
        </w:rPr>
        <w:t xml:space="preserve"> </w:t>
      </w:r>
      <w:r w:rsidRPr="00B710B0">
        <w:rPr>
          <w:rFonts w:ascii="Arial" w:hAnsi="Arial" w:cs="Arial"/>
          <w:lang w:val="en"/>
        </w:rPr>
        <w:t xml:space="preserve">and </w:t>
      </w:r>
      <w:r w:rsidRPr="00B710B0">
        <w:rPr>
          <w:rFonts w:ascii="Arial" w:hAnsi="Arial" w:cs="Arial"/>
          <w:i/>
          <w:iCs/>
          <w:lang w:val="en"/>
        </w:rPr>
        <w:t>Salmonella</w:t>
      </w:r>
      <w:r w:rsidRPr="00B710B0">
        <w:rPr>
          <w:rFonts w:ascii="Arial" w:hAnsi="Arial" w:cs="Arial"/>
          <w:lang w:val="en"/>
        </w:rPr>
        <w:t xml:space="preserve"> spp. (30.8%) compared to 0.3g/mL commercial CENO against </w:t>
      </w:r>
      <w:r w:rsidRPr="00B710B0">
        <w:rPr>
          <w:rFonts w:ascii="Arial" w:hAnsi="Arial" w:cs="Arial"/>
          <w:i/>
          <w:iCs/>
          <w:lang w:val="en"/>
        </w:rPr>
        <w:t>S. aureus</w:t>
      </w:r>
      <w:r w:rsidRPr="00B710B0">
        <w:rPr>
          <w:rFonts w:ascii="Arial" w:hAnsi="Arial" w:cs="Arial"/>
          <w:lang w:val="en"/>
        </w:rPr>
        <w:t xml:space="preserve"> (30.0%), </w:t>
      </w:r>
      <w:r w:rsidRPr="00B710B0">
        <w:rPr>
          <w:rFonts w:ascii="Arial" w:hAnsi="Arial" w:cs="Arial"/>
          <w:i/>
          <w:lang w:val="en"/>
        </w:rPr>
        <w:t>E. coli</w:t>
      </w:r>
      <w:r w:rsidRPr="00B710B0">
        <w:rPr>
          <w:rFonts w:ascii="Arial" w:hAnsi="Arial" w:cs="Arial"/>
          <w:lang w:val="en"/>
        </w:rPr>
        <w:t xml:space="preserve"> (23.1%) and </w:t>
      </w:r>
      <w:r w:rsidRPr="00B710B0">
        <w:rPr>
          <w:rFonts w:ascii="Arial" w:hAnsi="Arial" w:cs="Arial"/>
          <w:i/>
          <w:lang w:val="en"/>
        </w:rPr>
        <w:t>Salmonella</w:t>
      </w:r>
      <w:r w:rsidRPr="00B710B0">
        <w:rPr>
          <w:rFonts w:ascii="Arial" w:hAnsi="Arial" w:cs="Arial"/>
          <w:lang w:val="en"/>
        </w:rPr>
        <w:t xml:space="preserve"> spp. (17.9%). For </w:t>
      </w:r>
      <w:r w:rsidRPr="00B710B0">
        <w:rPr>
          <w:rFonts w:ascii="Arial" w:hAnsi="Arial" w:cs="Arial"/>
          <w:i/>
          <w:lang w:val="en"/>
        </w:rPr>
        <w:t>Enterococcus</w:t>
      </w:r>
      <w:r w:rsidRPr="00B710B0">
        <w:rPr>
          <w:rFonts w:ascii="Arial" w:hAnsi="Arial" w:cs="Arial"/>
          <w:lang w:val="en"/>
        </w:rPr>
        <w:t xml:space="preserve"> spp., 0.3g/mL laboratory CENO exhibited more (23.1%) antibacterial activity compared to 0.3g/mL commercial CENO (15.4%). Notably, 0.1g/mL commercial CENO exhibited more antibacterial activity against </w:t>
      </w:r>
      <w:r w:rsidRPr="00B710B0">
        <w:rPr>
          <w:rFonts w:ascii="Arial" w:hAnsi="Arial" w:cs="Arial"/>
          <w:i/>
          <w:lang w:val="en"/>
        </w:rPr>
        <w:t>Salmonella</w:t>
      </w:r>
      <w:r w:rsidRPr="00B710B0">
        <w:rPr>
          <w:rFonts w:ascii="Arial" w:hAnsi="Arial" w:cs="Arial"/>
          <w:lang w:val="en"/>
        </w:rPr>
        <w:t xml:space="preserve"> spp. (17.9%), </w:t>
      </w:r>
      <w:r w:rsidRPr="00B710B0">
        <w:rPr>
          <w:rFonts w:ascii="Arial" w:hAnsi="Arial" w:cs="Arial"/>
          <w:i/>
          <w:lang w:val="en"/>
        </w:rPr>
        <w:t>E. coli</w:t>
      </w:r>
      <w:r w:rsidRPr="00B710B0">
        <w:rPr>
          <w:rFonts w:ascii="Arial" w:hAnsi="Arial" w:cs="Arial"/>
          <w:lang w:val="en"/>
        </w:rPr>
        <w:t xml:space="preserve"> (15.4%), and </w:t>
      </w:r>
      <w:r w:rsidRPr="00B710B0">
        <w:rPr>
          <w:rFonts w:ascii="Arial" w:hAnsi="Arial" w:cs="Arial"/>
          <w:i/>
          <w:lang w:val="en"/>
        </w:rPr>
        <w:t xml:space="preserve">S. aureus </w:t>
      </w:r>
      <w:r w:rsidRPr="00B710B0">
        <w:rPr>
          <w:rFonts w:ascii="Arial" w:hAnsi="Arial" w:cs="Arial"/>
          <w:lang w:val="en"/>
        </w:rPr>
        <w:t xml:space="preserve">(6.7%) compared to same concentration for </w:t>
      </w:r>
      <w:r w:rsidRPr="00B710B0">
        <w:rPr>
          <w:rFonts w:ascii="Arial" w:hAnsi="Arial" w:cs="Arial"/>
          <w:i/>
          <w:lang w:val="en"/>
        </w:rPr>
        <w:t>Salmonella</w:t>
      </w:r>
      <w:r w:rsidRPr="00B710B0">
        <w:rPr>
          <w:rFonts w:ascii="Arial" w:hAnsi="Arial" w:cs="Arial"/>
          <w:lang w:val="en"/>
        </w:rPr>
        <w:t xml:space="preserve"> spp. (5.1%), </w:t>
      </w:r>
      <w:r w:rsidRPr="00B710B0">
        <w:rPr>
          <w:rFonts w:ascii="Arial" w:hAnsi="Arial" w:cs="Arial"/>
          <w:i/>
          <w:lang w:val="en"/>
        </w:rPr>
        <w:t xml:space="preserve">E. coli </w:t>
      </w:r>
      <w:r w:rsidRPr="00B710B0">
        <w:rPr>
          <w:rFonts w:ascii="Arial" w:hAnsi="Arial" w:cs="Arial"/>
          <w:lang w:val="en"/>
        </w:rPr>
        <w:t xml:space="preserve">(0%) and </w:t>
      </w:r>
      <w:r w:rsidRPr="00B710B0">
        <w:rPr>
          <w:rFonts w:ascii="Arial" w:hAnsi="Arial" w:cs="Arial"/>
          <w:i/>
          <w:lang w:val="en"/>
        </w:rPr>
        <w:t>S. aureus</w:t>
      </w:r>
      <w:r w:rsidRPr="00B710B0">
        <w:rPr>
          <w:rFonts w:ascii="Arial" w:hAnsi="Arial" w:cs="Arial"/>
          <w:lang w:val="en"/>
        </w:rPr>
        <w:t xml:space="preserve"> (0%). Overall, lower concentrations (0.1g/mL and 0.2g/mL) of CENO had minimal antibacterial effects against </w:t>
      </w:r>
      <w:r w:rsidRPr="00B710B0">
        <w:rPr>
          <w:rFonts w:ascii="Arial" w:hAnsi="Arial" w:cs="Arial"/>
          <w:i/>
          <w:lang w:val="en"/>
        </w:rPr>
        <w:t>E. coli</w:t>
      </w:r>
      <w:r w:rsidRPr="00B710B0">
        <w:rPr>
          <w:rFonts w:ascii="Arial" w:hAnsi="Arial" w:cs="Arial"/>
          <w:lang w:val="en"/>
        </w:rPr>
        <w:t xml:space="preserve">, </w:t>
      </w:r>
      <w:r w:rsidRPr="00B710B0">
        <w:rPr>
          <w:rFonts w:ascii="Arial" w:hAnsi="Arial" w:cs="Arial"/>
          <w:i/>
          <w:lang w:val="en"/>
        </w:rPr>
        <w:t>Salmonella</w:t>
      </w:r>
      <w:r w:rsidRPr="00B710B0">
        <w:rPr>
          <w:rFonts w:ascii="Arial" w:hAnsi="Arial" w:cs="Arial"/>
          <w:lang w:val="en"/>
        </w:rPr>
        <w:t xml:space="preserve"> spp., </w:t>
      </w:r>
      <w:r w:rsidRPr="00B710B0">
        <w:rPr>
          <w:rFonts w:ascii="Arial" w:hAnsi="Arial" w:cs="Arial"/>
          <w:i/>
          <w:lang w:val="en"/>
        </w:rPr>
        <w:t>S. aureus</w:t>
      </w:r>
      <w:r w:rsidRPr="00B710B0">
        <w:rPr>
          <w:rFonts w:ascii="Arial" w:hAnsi="Arial" w:cs="Arial"/>
          <w:lang w:val="en"/>
        </w:rPr>
        <w:t xml:space="preserve"> and </w:t>
      </w:r>
      <w:r w:rsidRPr="00B710B0">
        <w:rPr>
          <w:rFonts w:ascii="Arial" w:hAnsi="Arial" w:cs="Arial"/>
          <w:i/>
          <w:lang w:val="en"/>
        </w:rPr>
        <w:t>Enterococcus</w:t>
      </w:r>
      <w:r w:rsidRPr="00B710B0">
        <w:rPr>
          <w:rFonts w:ascii="Arial" w:hAnsi="Arial" w:cs="Arial"/>
          <w:lang w:val="en"/>
        </w:rPr>
        <w:t xml:space="preserve"> spp. isolates (</w:t>
      </w:r>
      <w:r w:rsidRPr="00B710B0">
        <w:rPr>
          <w:rFonts w:ascii="Arial" w:hAnsi="Arial" w:cs="Arial"/>
          <w:b/>
          <w:bCs/>
          <w:lang w:val="en"/>
        </w:rPr>
        <w:t xml:space="preserve">Table 4). </w:t>
      </w:r>
    </w:p>
    <w:p w14:paraId="1B86BC57" w14:textId="77777777" w:rsidR="00062358" w:rsidRPr="00B710B0" w:rsidRDefault="00062358" w:rsidP="00231374">
      <w:pPr>
        <w:pStyle w:val="Body"/>
        <w:rPr>
          <w:rFonts w:ascii="Arial" w:hAnsi="Arial" w:cs="Arial"/>
          <w:b/>
          <w:bCs/>
          <w:lang w:val="en"/>
        </w:rPr>
      </w:pPr>
      <w:r w:rsidRPr="00B710B0">
        <w:rPr>
          <w:rFonts w:ascii="Arial" w:hAnsi="Arial" w:cs="Arial"/>
          <w:b/>
          <w:bCs/>
          <w:lang w:val="en"/>
        </w:rPr>
        <w:t xml:space="preserve">Table 4: Antibiotic activity against </w:t>
      </w:r>
      <w:r w:rsidRPr="00B710B0">
        <w:rPr>
          <w:rFonts w:ascii="Arial" w:hAnsi="Arial" w:cs="Arial"/>
          <w:b/>
          <w:bCs/>
          <w:i/>
          <w:iCs/>
          <w:lang w:val="en"/>
        </w:rPr>
        <w:t>E. coli</w:t>
      </w:r>
      <w:r w:rsidRPr="00B710B0">
        <w:rPr>
          <w:rFonts w:ascii="Arial" w:hAnsi="Arial" w:cs="Arial"/>
          <w:b/>
          <w:bCs/>
          <w:lang w:val="en"/>
        </w:rPr>
        <w:t xml:space="preserve"> and </w:t>
      </w:r>
      <w:r w:rsidRPr="00B710B0">
        <w:rPr>
          <w:rFonts w:ascii="Arial" w:hAnsi="Arial" w:cs="Arial"/>
          <w:b/>
          <w:bCs/>
          <w:i/>
          <w:iCs/>
          <w:lang w:val="en"/>
        </w:rPr>
        <w:t xml:space="preserve">Salmonella </w:t>
      </w:r>
      <w:r w:rsidRPr="00B710B0">
        <w:rPr>
          <w:rFonts w:ascii="Arial" w:hAnsi="Arial" w:cs="Arial"/>
          <w:b/>
          <w:bCs/>
          <w:lang w:val="en"/>
        </w:rPr>
        <w:t xml:space="preserve">spp., </w:t>
      </w:r>
      <w:r w:rsidRPr="00B710B0">
        <w:rPr>
          <w:rFonts w:ascii="Arial" w:hAnsi="Arial" w:cs="Arial"/>
          <w:b/>
          <w:bCs/>
          <w:i/>
          <w:iCs/>
          <w:lang w:val="en"/>
        </w:rPr>
        <w:t>S. aureus</w:t>
      </w:r>
      <w:r w:rsidRPr="00B710B0">
        <w:rPr>
          <w:rFonts w:ascii="Arial" w:hAnsi="Arial" w:cs="Arial"/>
          <w:b/>
          <w:bCs/>
          <w:lang w:val="en"/>
        </w:rPr>
        <w:t xml:space="preserve"> and </w:t>
      </w:r>
      <w:r w:rsidRPr="00B710B0">
        <w:rPr>
          <w:rFonts w:ascii="Arial" w:hAnsi="Arial" w:cs="Arial"/>
          <w:b/>
          <w:bCs/>
          <w:i/>
          <w:iCs/>
          <w:lang w:val="en"/>
        </w:rPr>
        <w:t>Enterococcus</w:t>
      </w:r>
      <w:r w:rsidRPr="00B710B0">
        <w:rPr>
          <w:rFonts w:ascii="Arial" w:hAnsi="Arial" w:cs="Arial"/>
          <w:b/>
          <w:bCs/>
          <w:lang w:val="en"/>
        </w:rPr>
        <w:t xml:space="preserve"> spp.</w:t>
      </w:r>
    </w:p>
    <w:tbl>
      <w:tblPr>
        <w:tblW w:w="10417" w:type="dxa"/>
        <w:tblInd w:w="-522" w:type="dxa"/>
        <w:tblLook w:val="04A0" w:firstRow="1" w:lastRow="0" w:firstColumn="1" w:lastColumn="0" w:noHBand="0" w:noVBand="1"/>
      </w:tblPr>
      <w:tblGrid>
        <w:gridCol w:w="2790"/>
        <w:gridCol w:w="1710"/>
        <w:gridCol w:w="1980"/>
        <w:gridCol w:w="1980"/>
        <w:gridCol w:w="1957"/>
      </w:tblGrid>
      <w:tr w:rsidR="00390DC8" w:rsidRPr="00B710B0" w14:paraId="405F6647" w14:textId="77777777" w:rsidTr="002A2816">
        <w:trPr>
          <w:trHeight w:val="610"/>
        </w:trPr>
        <w:tc>
          <w:tcPr>
            <w:tcW w:w="2790" w:type="dxa"/>
            <w:vMerge w:val="restart"/>
            <w:tcBorders>
              <w:top w:val="single" w:sz="4" w:space="0" w:color="auto"/>
              <w:bottom w:val="single" w:sz="4" w:space="0" w:color="auto"/>
            </w:tcBorders>
            <w:noWrap/>
            <w:vAlign w:val="center"/>
            <w:hideMark/>
          </w:tcPr>
          <w:p w14:paraId="1AF4106D" w14:textId="77777777" w:rsidR="00390DC8" w:rsidRPr="00B710B0" w:rsidRDefault="00390DC8" w:rsidP="002A2816">
            <w:pPr>
              <w:pStyle w:val="Body"/>
              <w:jc w:val="left"/>
              <w:rPr>
                <w:rFonts w:ascii="Arial" w:hAnsi="Arial" w:cs="Arial"/>
                <w:b/>
              </w:rPr>
            </w:pPr>
            <w:r w:rsidRPr="00B710B0">
              <w:rPr>
                <w:rFonts w:ascii="Arial" w:hAnsi="Arial" w:cs="Arial"/>
                <w:b/>
                <w:lang w:val="en"/>
              </w:rPr>
              <w:t>CENO</w:t>
            </w:r>
          </w:p>
        </w:tc>
        <w:tc>
          <w:tcPr>
            <w:tcW w:w="1710" w:type="dxa"/>
            <w:tcBorders>
              <w:top w:val="single" w:sz="4" w:space="0" w:color="auto"/>
              <w:bottom w:val="single" w:sz="4" w:space="0" w:color="auto"/>
            </w:tcBorders>
            <w:noWrap/>
            <w:vAlign w:val="center"/>
            <w:hideMark/>
          </w:tcPr>
          <w:p w14:paraId="2026EFA1" w14:textId="77777777" w:rsidR="00390DC8" w:rsidRPr="00B710B0" w:rsidRDefault="00390DC8" w:rsidP="002A2816">
            <w:pPr>
              <w:pStyle w:val="Body"/>
              <w:jc w:val="left"/>
              <w:rPr>
                <w:rFonts w:ascii="Arial" w:hAnsi="Arial" w:cs="Arial"/>
                <w:b/>
              </w:rPr>
            </w:pPr>
            <w:r w:rsidRPr="00B710B0">
              <w:rPr>
                <w:rFonts w:ascii="Arial" w:hAnsi="Arial" w:cs="Arial"/>
                <w:b/>
                <w:i/>
                <w:lang w:val="en"/>
              </w:rPr>
              <w:t xml:space="preserve">Escherichia </w:t>
            </w:r>
            <w:r w:rsidRPr="00B710B0">
              <w:rPr>
                <w:rFonts w:ascii="Arial" w:hAnsi="Arial" w:cs="Arial"/>
                <w:b/>
                <w:lang w:val="en"/>
              </w:rPr>
              <w:t>coli (n=39)</w:t>
            </w:r>
          </w:p>
        </w:tc>
        <w:tc>
          <w:tcPr>
            <w:tcW w:w="1980" w:type="dxa"/>
            <w:tcBorders>
              <w:top w:val="single" w:sz="4" w:space="0" w:color="auto"/>
              <w:bottom w:val="single" w:sz="4" w:space="0" w:color="auto"/>
            </w:tcBorders>
            <w:noWrap/>
            <w:vAlign w:val="center"/>
            <w:hideMark/>
          </w:tcPr>
          <w:p w14:paraId="10C3B8A6" w14:textId="77777777" w:rsidR="00390DC8" w:rsidRPr="00B710B0" w:rsidRDefault="00390DC8" w:rsidP="002A2816">
            <w:pPr>
              <w:pStyle w:val="Body"/>
              <w:jc w:val="left"/>
              <w:rPr>
                <w:rFonts w:ascii="Arial" w:hAnsi="Arial" w:cs="Arial"/>
                <w:b/>
              </w:rPr>
            </w:pPr>
            <w:r w:rsidRPr="00B710B0">
              <w:rPr>
                <w:rFonts w:ascii="Arial" w:hAnsi="Arial" w:cs="Arial"/>
                <w:b/>
                <w:i/>
                <w:lang w:val="en"/>
              </w:rPr>
              <w:t>Salmonella</w:t>
            </w:r>
            <w:r w:rsidRPr="00B710B0">
              <w:rPr>
                <w:rFonts w:ascii="Arial" w:hAnsi="Arial" w:cs="Arial"/>
                <w:b/>
                <w:lang w:val="en"/>
              </w:rPr>
              <w:t xml:space="preserve"> spp. (n=39)</w:t>
            </w:r>
          </w:p>
        </w:tc>
        <w:tc>
          <w:tcPr>
            <w:tcW w:w="1980" w:type="dxa"/>
            <w:tcBorders>
              <w:top w:val="single" w:sz="4" w:space="0" w:color="auto"/>
              <w:bottom w:val="single" w:sz="4" w:space="0" w:color="auto"/>
            </w:tcBorders>
            <w:noWrap/>
            <w:vAlign w:val="center"/>
            <w:hideMark/>
          </w:tcPr>
          <w:p w14:paraId="3F8F84E2" w14:textId="77777777" w:rsidR="00390DC8" w:rsidRPr="00B710B0" w:rsidRDefault="00390DC8" w:rsidP="002A2816">
            <w:pPr>
              <w:pStyle w:val="Body"/>
              <w:jc w:val="left"/>
              <w:rPr>
                <w:rFonts w:ascii="Arial" w:hAnsi="Arial" w:cs="Arial"/>
                <w:b/>
              </w:rPr>
            </w:pPr>
            <w:r w:rsidRPr="00B710B0">
              <w:rPr>
                <w:rFonts w:ascii="Arial" w:hAnsi="Arial" w:cs="Arial"/>
                <w:b/>
                <w:i/>
                <w:lang w:val="en"/>
              </w:rPr>
              <w:t>S. aureus</w:t>
            </w:r>
            <w:r w:rsidRPr="00B710B0">
              <w:rPr>
                <w:rFonts w:ascii="Arial" w:hAnsi="Arial" w:cs="Arial"/>
                <w:b/>
                <w:lang w:val="en"/>
              </w:rPr>
              <w:t xml:space="preserve"> (n=30)</w:t>
            </w:r>
          </w:p>
        </w:tc>
        <w:tc>
          <w:tcPr>
            <w:tcW w:w="1957" w:type="dxa"/>
            <w:tcBorders>
              <w:top w:val="single" w:sz="4" w:space="0" w:color="auto"/>
              <w:bottom w:val="single" w:sz="4" w:space="0" w:color="auto"/>
            </w:tcBorders>
            <w:noWrap/>
            <w:hideMark/>
          </w:tcPr>
          <w:p w14:paraId="7FE99E00" w14:textId="77777777" w:rsidR="00390DC8" w:rsidRPr="00B710B0" w:rsidRDefault="00390DC8" w:rsidP="00390DC8">
            <w:pPr>
              <w:pStyle w:val="Body"/>
              <w:rPr>
                <w:rFonts w:ascii="Arial" w:hAnsi="Arial" w:cs="Arial"/>
                <w:b/>
              </w:rPr>
            </w:pPr>
            <w:r w:rsidRPr="00B710B0">
              <w:rPr>
                <w:rFonts w:ascii="Arial" w:hAnsi="Arial" w:cs="Arial"/>
                <w:b/>
                <w:i/>
                <w:lang w:val="en"/>
              </w:rPr>
              <w:t>Enterococcus</w:t>
            </w:r>
            <w:r w:rsidRPr="00B710B0">
              <w:rPr>
                <w:rFonts w:ascii="Arial" w:hAnsi="Arial" w:cs="Arial"/>
                <w:b/>
                <w:lang w:val="en"/>
              </w:rPr>
              <w:t xml:space="preserve"> species (n=26)</w:t>
            </w:r>
          </w:p>
        </w:tc>
      </w:tr>
      <w:tr w:rsidR="00390DC8" w:rsidRPr="00B710B0" w14:paraId="7FB97BC6" w14:textId="77777777" w:rsidTr="002A2816">
        <w:trPr>
          <w:trHeight w:val="290"/>
        </w:trPr>
        <w:tc>
          <w:tcPr>
            <w:tcW w:w="2790" w:type="dxa"/>
            <w:vMerge/>
            <w:tcBorders>
              <w:top w:val="single" w:sz="4" w:space="0" w:color="auto"/>
              <w:bottom w:val="single" w:sz="4" w:space="0" w:color="auto"/>
            </w:tcBorders>
            <w:vAlign w:val="center"/>
            <w:hideMark/>
          </w:tcPr>
          <w:p w14:paraId="26E38A6F" w14:textId="77777777" w:rsidR="00390DC8" w:rsidRPr="00B710B0" w:rsidRDefault="00390DC8" w:rsidP="00390DC8">
            <w:pPr>
              <w:pStyle w:val="Body"/>
              <w:rPr>
                <w:rFonts w:ascii="Arial" w:hAnsi="Arial" w:cs="Arial"/>
                <w:b/>
              </w:rPr>
            </w:pPr>
          </w:p>
        </w:tc>
        <w:tc>
          <w:tcPr>
            <w:tcW w:w="1710" w:type="dxa"/>
            <w:tcBorders>
              <w:top w:val="single" w:sz="4" w:space="0" w:color="auto"/>
              <w:bottom w:val="single" w:sz="4" w:space="0" w:color="auto"/>
            </w:tcBorders>
            <w:noWrap/>
            <w:vAlign w:val="center"/>
            <w:hideMark/>
          </w:tcPr>
          <w:p w14:paraId="02429999" w14:textId="77777777" w:rsidR="00390DC8" w:rsidRPr="00B710B0" w:rsidRDefault="00390DC8" w:rsidP="002A2816">
            <w:pPr>
              <w:pStyle w:val="Body"/>
              <w:jc w:val="left"/>
              <w:rPr>
                <w:rFonts w:ascii="Arial" w:hAnsi="Arial" w:cs="Arial"/>
                <w:b/>
              </w:rPr>
            </w:pPr>
            <w:r w:rsidRPr="00B710B0">
              <w:rPr>
                <w:rFonts w:ascii="Arial" w:hAnsi="Arial" w:cs="Arial"/>
                <w:b/>
                <w:lang w:val="en"/>
              </w:rPr>
              <w:t>Number inhibited (n %)</w:t>
            </w:r>
          </w:p>
        </w:tc>
        <w:tc>
          <w:tcPr>
            <w:tcW w:w="1980" w:type="dxa"/>
            <w:tcBorders>
              <w:top w:val="single" w:sz="4" w:space="0" w:color="auto"/>
              <w:bottom w:val="single" w:sz="4" w:space="0" w:color="auto"/>
            </w:tcBorders>
            <w:noWrap/>
            <w:vAlign w:val="center"/>
            <w:hideMark/>
          </w:tcPr>
          <w:p w14:paraId="500B2AD1" w14:textId="77777777" w:rsidR="00390DC8" w:rsidRPr="00B710B0" w:rsidRDefault="00390DC8" w:rsidP="002A2816">
            <w:pPr>
              <w:pStyle w:val="Body"/>
              <w:jc w:val="left"/>
              <w:rPr>
                <w:rFonts w:ascii="Arial" w:hAnsi="Arial" w:cs="Arial"/>
                <w:b/>
              </w:rPr>
            </w:pPr>
            <w:r w:rsidRPr="00B710B0">
              <w:rPr>
                <w:rFonts w:ascii="Arial" w:hAnsi="Arial" w:cs="Arial"/>
                <w:b/>
                <w:lang w:val="en"/>
              </w:rPr>
              <w:t>Number inhibited (n %)</w:t>
            </w:r>
          </w:p>
        </w:tc>
        <w:tc>
          <w:tcPr>
            <w:tcW w:w="1980" w:type="dxa"/>
            <w:tcBorders>
              <w:top w:val="single" w:sz="4" w:space="0" w:color="auto"/>
              <w:bottom w:val="single" w:sz="4" w:space="0" w:color="auto"/>
            </w:tcBorders>
            <w:noWrap/>
            <w:vAlign w:val="center"/>
            <w:hideMark/>
          </w:tcPr>
          <w:p w14:paraId="57768285" w14:textId="77777777" w:rsidR="00390DC8" w:rsidRPr="00B710B0" w:rsidRDefault="00390DC8" w:rsidP="002A2816">
            <w:pPr>
              <w:pStyle w:val="Body"/>
              <w:jc w:val="left"/>
              <w:rPr>
                <w:rFonts w:ascii="Arial" w:hAnsi="Arial" w:cs="Arial"/>
                <w:b/>
              </w:rPr>
            </w:pPr>
            <w:r w:rsidRPr="00B710B0">
              <w:rPr>
                <w:rFonts w:ascii="Arial" w:hAnsi="Arial" w:cs="Arial"/>
                <w:b/>
                <w:lang w:val="en"/>
              </w:rPr>
              <w:t>Number inhibited (n %)</w:t>
            </w:r>
          </w:p>
        </w:tc>
        <w:tc>
          <w:tcPr>
            <w:tcW w:w="1957" w:type="dxa"/>
            <w:tcBorders>
              <w:top w:val="single" w:sz="4" w:space="0" w:color="auto"/>
              <w:bottom w:val="single" w:sz="4" w:space="0" w:color="auto"/>
            </w:tcBorders>
            <w:noWrap/>
            <w:vAlign w:val="center"/>
            <w:hideMark/>
          </w:tcPr>
          <w:p w14:paraId="787A1D0D" w14:textId="77777777" w:rsidR="00390DC8" w:rsidRPr="00B710B0" w:rsidRDefault="00390DC8" w:rsidP="002A2816">
            <w:pPr>
              <w:pStyle w:val="Body"/>
              <w:jc w:val="left"/>
              <w:rPr>
                <w:rFonts w:ascii="Arial" w:hAnsi="Arial" w:cs="Arial"/>
                <w:b/>
              </w:rPr>
            </w:pPr>
            <w:r w:rsidRPr="00B710B0">
              <w:rPr>
                <w:rFonts w:ascii="Arial" w:hAnsi="Arial" w:cs="Arial"/>
                <w:b/>
                <w:lang w:val="en"/>
              </w:rPr>
              <w:t>Number inhibited (n %)</w:t>
            </w:r>
          </w:p>
        </w:tc>
      </w:tr>
      <w:tr w:rsidR="00390DC8" w:rsidRPr="00B710B0" w14:paraId="709F4C5B" w14:textId="77777777" w:rsidTr="002A2816">
        <w:trPr>
          <w:trHeight w:val="290"/>
        </w:trPr>
        <w:tc>
          <w:tcPr>
            <w:tcW w:w="2790" w:type="dxa"/>
            <w:tcBorders>
              <w:top w:val="single" w:sz="4" w:space="0" w:color="auto"/>
            </w:tcBorders>
            <w:noWrap/>
            <w:hideMark/>
          </w:tcPr>
          <w:p w14:paraId="09CE451B" w14:textId="77777777" w:rsidR="00390DC8" w:rsidRPr="00B710B0" w:rsidRDefault="00390DC8" w:rsidP="00390DC8">
            <w:pPr>
              <w:pStyle w:val="Body"/>
              <w:rPr>
                <w:rFonts w:ascii="Arial" w:hAnsi="Arial" w:cs="Arial"/>
              </w:rPr>
            </w:pPr>
            <w:r w:rsidRPr="00B710B0">
              <w:rPr>
                <w:rFonts w:ascii="Arial" w:hAnsi="Arial" w:cs="Arial"/>
                <w:lang w:val="en"/>
              </w:rPr>
              <w:t>0.1g/mL Lab CENO</w:t>
            </w:r>
          </w:p>
        </w:tc>
        <w:tc>
          <w:tcPr>
            <w:tcW w:w="1710" w:type="dxa"/>
            <w:tcBorders>
              <w:top w:val="single" w:sz="4" w:space="0" w:color="auto"/>
            </w:tcBorders>
            <w:noWrap/>
            <w:hideMark/>
          </w:tcPr>
          <w:p w14:paraId="493DDF1F" w14:textId="77777777" w:rsidR="00390DC8" w:rsidRPr="00B710B0" w:rsidRDefault="00390DC8" w:rsidP="00390DC8">
            <w:pPr>
              <w:pStyle w:val="Body"/>
              <w:rPr>
                <w:rFonts w:ascii="Arial" w:hAnsi="Arial" w:cs="Arial"/>
              </w:rPr>
            </w:pPr>
            <w:r w:rsidRPr="00B710B0">
              <w:rPr>
                <w:rFonts w:ascii="Arial" w:hAnsi="Arial" w:cs="Arial"/>
                <w:lang w:val="en"/>
              </w:rPr>
              <w:t>0 (0.0)</w:t>
            </w:r>
          </w:p>
        </w:tc>
        <w:tc>
          <w:tcPr>
            <w:tcW w:w="1980" w:type="dxa"/>
            <w:tcBorders>
              <w:top w:val="single" w:sz="4" w:space="0" w:color="auto"/>
            </w:tcBorders>
            <w:noWrap/>
            <w:hideMark/>
          </w:tcPr>
          <w:p w14:paraId="65A57895" w14:textId="77777777" w:rsidR="00390DC8" w:rsidRPr="00B710B0" w:rsidRDefault="00390DC8" w:rsidP="00390DC8">
            <w:pPr>
              <w:pStyle w:val="Body"/>
              <w:rPr>
                <w:rFonts w:ascii="Arial" w:hAnsi="Arial" w:cs="Arial"/>
              </w:rPr>
            </w:pPr>
            <w:r w:rsidRPr="00B710B0">
              <w:rPr>
                <w:rFonts w:ascii="Arial" w:hAnsi="Arial" w:cs="Arial"/>
                <w:lang w:val="en"/>
              </w:rPr>
              <w:t>2 (5.1)</w:t>
            </w:r>
          </w:p>
        </w:tc>
        <w:tc>
          <w:tcPr>
            <w:tcW w:w="1980" w:type="dxa"/>
            <w:tcBorders>
              <w:top w:val="single" w:sz="4" w:space="0" w:color="auto"/>
            </w:tcBorders>
            <w:noWrap/>
            <w:hideMark/>
          </w:tcPr>
          <w:p w14:paraId="180FE18B" w14:textId="77777777" w:rsidR="00390DC8" w:rsidRPr="00B710B0" w:rsidRDefault="00390DC8" w:rsidP="00390DC8">
            <w:pPr>
              <w:pStyle w:val="Body"/>
              <w:rPr>
                <w:rFonts w:ascii="Arial" w:hAnsi="Arial" w:cs="Arial"/>
              </w:rPr>
            </w:pPr>
            <w:r w:rsidRPr="00B710B0">
              <w:rPr>
                <w:rFonts w:ascii="Arial" w:hAnsi="Arial" w:cs="Arial"/>
                <w:lang w:val="en"/>
              </w:rPr>
              <w:t>0 (0.0)</w:t>
            </w:r>
          </w:p>
        </w:tc>
        <w:tc>
          <w:tcPr>
            <w:tcW w:w="1957" w:type="dxa"/>
            <w:tcBorders>
              <w:top w:val="single" w:sz="4" w:space="0" w:color="auto"/>
            </w:tcBorders>
            <w:noWrap/>
            <w:hideMark/>
          </w:tcPr>
          <w:p w14:paraId="344C5D2D" w14:textId="77777777" w:rsidR="00390DC8" w:rsidRPr="00B710B0" w:rsidRDefault="00390DC8" w:rsidP="00390DC8">
            <w:pPr>
              <w:pStyle w:val="Body"/>
              <w:rPr>
                <w:rFonts w:ascii="Arial" w:hAnsi="Arial" w:cs="Arial"/>
              </w:rPr>
            </w:pPr>
            <w:r w:rsidRPr="00B710B0">
              <w:rPr>
                <w:rFonts w:ascii="Arial" w:hAnsi="Arial" w:cs="Arial"/>
                <w:lang w:val="en"/>
              </w:rPr>
              <w:t>2(7.7)</w:t>
            </w:r>
          </w:p>
        </w:tc>
      </w:tr>
      <w:tr w:rsidR="00390DC8" w:rsidRPr="00B710B0" w14:paraId="3FC1DAFF" w14:textId="77777777" w:rsidTr="002A2816">
        <w:trPr>
          <w:trHeight w:val="290"/>
        </w:trPr>
        <w:tc>
          <w:tcPr>
            <w:tcW w:w="2790" w:type="dxa"/>
            <w:noWrap/>
            <w:hideMark/>
          </w:tcPr>
          <w:p w14:paraId="2A412410" w14:textId="77777777" w:rsidR="00390DC8" w:rsidRPr="00B710B0" w:rsidRDefault="00390DC8" w:rsidP="00390DC8">
            <w:pPr>
              <w:pStyle w:val="Body"/>
              <w:rPr>
                <w:rFonts w:ascii="Arial" w:hAnsi="Arial" w:cs="Arial"/>
              </w:rPr>
            </w:pPr>
            <w:r w:rsidRPr="00B710B0">
              <w:rPr>
                <w:rFonts w:ascii="Arial" w:hAnsi="Arial" w:cs="Arial"/>
              </w:rPr>
              <w:t>0.2g/mL lab CENO</w:t>
            </w:r>
          </w:p>
        </w:tc>
        <w:tc>
          <w:tcPr>
            <w:tcW w:w="1710" w:type="dxa"/>
            <w:noWrap/>
            <w:hideMark/>
          </w:tcPr>
          <w:p w14:paraId="20114DF6" w14:textId="77777777" w:rsidR="00390DC8" w:rsidRPr="00B710B0" w:rsidRDefault="00390DC8" w:rsidP="00390DC8">
            <w:pPr>
              <w:pStyle w:val="Body"/>
              <w:rPr>
                <w:rFonts w:ascii="Arial" w:hAnsi="Arial" w:cs="Arial"/>
              </w:rPr>
            </w:pPr>
            <w:r w:rsidRPr="00B710B0">
              <w:rPr>
                <w:rFonts w:ascii="Arial" w:hAnsi="Arial" w:cs="Arial"/>
                <w:lang w:val="en"/>
              </w:rPr>
              <w:t>6 (15.4)</w:t>
            </w:r>
          </w:p>
        </w:tc>
        <w:tc>
          <w:tcPr>
            <w:tcW w:w="1980" w:type="dxa"/>
            <w:noWrap/>
            <w:hideMark/>
          </w:tcPr>
          <w:p w14:paraId="52E8892B" w14:textId="77777777" w:rsidR="00390DC8" w:rsidRPr="00B710B0" w:rsidRDefault="00390DC8" w:rsidP="00390DC8">
            <w:pPr>
              <w:pStyle w:val="Body"/>
              <w:rPr>
                <w:rFonts w:ascii="Arial" w:hAnsi="Arial" w:cs="Arial"/>
              </w:rPr>
            </w:pPr>
            <w:r w:rsidRPr="00B710B0">
              <w:rPr>
                <w:rFonts w:ascii="Arial" w:hAnsi="Arial" w:cs="Arial"/>
                <w:lang w:val="en"/>
              </w:rPr>
              <w:t>5(12.8)</w:t>
            </w:r>
          </w:p>
        </w:tc>
        <w:tc>
          <w:tcPr>
            <w:tcW w:w="1980" w:type="dxa"/>
            <w:noWrap/>
            <w:hideMark/>
          </w:tcPr>
          <w:p w14:paraId="3DE3164E" w14:textId="77777777" w:rsidR="00390DC8" w:rsidRPr="00B710B0" w:rsidRDefault="00390DC8" w:rsidP="00390DC8">
            <w:pPr>
              <w:pStyle w:val="Body"/>
              <w:rPr>
                <w:rFonts w:ascii="Arial" w:hAnsi="Arial" w:cs="Arial"/>
              </w:rPr>
            </w:pPr>
            <w:r w:rsidRPr="00B710B0">
              <w:rPr>
                <w:rFonts w:ascii="Arial" w:hAnsi="Arial" w:cs="Arial"/>
                <w:lang w:val="en"/>
              </w:rPr>
              <w:t>2(6.7)</w:t>
            </w:r>
          </w:p>
        </w:tc>
        <w:tc>
          <w:tcPr>
            <w:tcW w:w="1957" w:type="dxa"/>
            <w:noWrap/>
            <w:hideMark/>
          </w:tcPr>
          <w:p w14:paraId="4BDB8674" w14:textId="77777777" w:rsidR="00390DC8" w:rsidRPr="00B710B0" w:rsidRDefault="00390DC8" w:rsidP="00390DC8">
            <w:pPr>
              <w:pStyle w:val="Body"/>
              <w:rPr>
                <w:rFonts w:ascii="Arial" w:hAnsi="Arial" w:cs="Arial"/>
              </w:rPr>
            </w:pPr>
            <w:r w:rsidRPr="00B710B0">
              <w:rPr>
                <w:rFonts w:ascii="Arial" w:hAnsi="Arial" w:cs="Arial"/>
                <w:lang w:val="en"/>
              </w:rPr>
              <w:t>3(11.5)</w:t>
            </w:r>
          </w:p>
        </w:tc>
      </w:tr>
      <w:tr w:rsidR="00390DC8" w:rsidRPr="00B710B0" w14:paraId="5F0FB2DD" w14:textId="77777777" w:rsidTr="002A2816">
        <w:trPr>
          <w:trHeight w:val="310"/>
        </w:trPr>
        <w:tc>
          <w:tcPr>
            <w:tcW w:w="2790" w:type="dxa"/>
            <w:noWrap/>
            <w:hideMark/>
          </w:tcPr>
          <w:p w14:paraId="0AFB2DB9" w14:textId="77777777" w:rsidR="00390DC8" w:rsidRPr="00B710B0" w:rsidRDefault="00390DC8" w:rsidP="00390DC8">
            <w:pPr>
              <w:pStyle w:val="Body"/>
              <w:rPr>
                <w:rFonts w:ascii="Arial" w:hAnsi="Arial" w:cs="Arial"/>
              </w:rPr>
            </w:pPr>
            <w:r w:rsidRPr="00B710B0">
              <w:rPr>
                <w:rFonts w:ascii="Arial" w:hAnsi="Arial" w:cs="Arial"/>
                <w:lang w:val="en"/>
              </w:rPr>
              <w:t>0.3g/mL lab CENO</w:t>
            </w:r>
          </w:p>
        </w:tc>
        <w:tc>
          <w:tcPr>
            <w:tcW w:w="1710" w:type="dxa"/>
            <w:noWrap/>
            <w:hideMark/>
          </w:tcPr>
          <w:p w14:paraId="6115D7D0" w14:textId="77777777" w:rsidR="00390DC8" w:rsidRPr="00B710B0" w:rsidRDefault="00390DC8" w:rsidP="00390DC8">
            <w:pPr>
              <w:pStyle w:val="Body"/>
              <w:rPr>
                <w:rFonts w:ascii="Arial" w:hAnsi="Arial" w:cs="Arial"/>
              </w:rPr>
            </w:pPr>
            <w:r w:rsidRPr="00B710B0">
              <w:rPr>
                <w:rFonts w:ascii="Arial" w:hAnsi="Arial" w:cs="Arial"/>
                <w:lang w:val="en"/>
              </w:rPr>
              <w:t>12(30.8)</w:t>
            </w:r>
          </w:p>
        </w:tc>
        <w:tc>
          <w:tcPr>
            <w:tcW w:w="1980" w:type="dxa"/>
            <w:noWrap/>
            <w:hideMark/>
          </w:tcPr>
          <w:p w14:paraId="1E053CF4" w14:textId="77777777" w:rsidR="00390DC8" w:rsidRPr="00B710B0" w:rsidRDefault="00390DC8" w:rsidP="00390DC8">
            <w:pPr>
              <w:pStyle w:val="Body"/>
              <w:rPr>
                <w:rFonts w:ascii="Arial" w:hAnsi="Arial" w:cs="Arial"/>
              </w:rPr>
            </w:pPr>
            <w:r w:rsidRPr="00B710B0">
              <w:rPr>
                <w:rFonts w:ascii="Arial" w:hAnsi="Arial" w:cs="Arial"/>
                <w:lang w:val="en"/>
              </w:rPr>
              <w:t>12(30.8)</w:t>
            </w:r>
          </w:p>
        </w:tc>
        <w:tc>
          <w:tcPr>
            <w:tcW w:w="1980" w:type="dxa"/>
            <w:noWrap/>
            <w:hideMark/>
          </w:tcPr>
          <w:p w14:paraId="4A000FD1" w14:textId="77777777" w:rsidR="00390DC8" w:rsidRPr="00B710B0" w:rsidRDefault="00390DC8" w:rsidP="00390DC8">
            <w:pPr>
              <w:pStyle w:val="Body"/>
              <w:rPr>
                <w:rFonts w:ascii="Arial" w:hAnsi="Arial" w:cs="Arial"/>
              </w:rPr>
            </w:pPr>
            <w:r w:rsidRPr="00B710B0">
              <w:rPr>
                <w:rFonts w:ascii="Arial" w:hAnsi="Arial" w:cs="Arial"/>
                <w:lang w:val="en"/>
              </w:rPr>
              <w:t>10(33.3)</w:t>
            </w:r>
          </w:p>
        </w:tc>
        <w:tc>
          <w:tcPr>
            <w:tcW w:w="1957" w:type="dxa"/>
            <w:noWrap/>
            <w:hideMark/>
          </w:tcPr>
          <w:p w14:paraId="7F6BA116" w14:textId="77777777" w:rsidR="00390DC8" w:rsidRPr="00B710B0" w:rsidRDefault="00390DC8" w:rsidP="00390DC8">
            <w:pPr>
              <w:pStyle w:val="Body"/>
              <w:rPr>
                <w:rFonts w:ascii="Arial" w:hAnsi="Arial" w:cs="Arial"/>
              </w:rPr>
            </w:pPr>
            <w:r w:rsidRPr="00B710B0">
              <w:rPr>
                <w:rFonts w:ascii="Arial" w:hAnsi="Arial" w:cs="Arial"/>
                <w:lang w:val="en"/>
              </w:rPr>
              <w:t>6(23.1)</w:t>
            </w:r>
          </w:p>
        </w:tc>
      </w:tr>
      <w:tr w:rsidR="00390DC8" w:rsidRPr="00B710B0" w14:paraId="290EE302" w14:textId="77777777" w:rsidTr="002A2816">
        <w:trPr>
          <w:trHeight w:val="290"/>
        </w:trPr>
        <w:tc>
          <w:tcPr>
            <w:tcW w:w="2790" w:type="dxa"/>
            <w:noWrap/>
            <w:hideMark/>
          </w:tcPr>
          <w:p w14:paraId="784DBB72" w14:textId="77777777" w:rsidR="00390DC8" w:rsidRPr="00B710B0" w:rsidRDefault="00390DC8" w:rsidP="00390DC8">
            <w:pPr>
              <w:pStyle w:val="Body"/>
              <w:rPr>
                <w:rFonts w:ascii="Arial" w:hAnsi="Arial" w:cs="Arial"/>
              </w:rPr>
            </w:pPr>
            <w:r w:rsidRPr="00B710B0">
              <w:rPr>
                <w:rFonts w:ascii="Arial" w:hAnsi="Arial" w:cs="Arial"/>
                <w:lang w:val="en"/>
              </w:rPr>
              <w:t>0.1g/mL commercial CENO</w:t>
            </w:r>
          </w:p>
        </w:tc>
        <w:tc>
          <w:tcPr>
            <w:tcW w:w="1710" w:type="dxa"/>
            <w:noWrap/>
            <w:hideMark/>
          </w:tcPr>
          <w:p w14:paraId="591D0B95" w14:textId="77777777" w:rsidR="00390DC8" w:rsidRPr="00B710B0" w:rsidRDefault="00390DC8" w:rsidP="00390DC8">
            <w:pPr>
              <w:pStyle w:val="Body"/>
              <w:rPr>
                <w:rFonts w:ascii="Arial" w:hAnsi="Arial" w:cs="Arial"/>
              </w:rPr>
            </w:pPr>
            <w:r w:rsidRPr="00B710B0">
              <w:rPr>
                <w:rFonts w:ascii="Arial" w:hAnsi="Arial" w:cs="Arial"/>
                <w:lang w:val="en"/>
              </w:rPr>
              <w:t>6 (15.4)</w:t>
            </w:r>
          </w:p>
        </w:tc>
        <w:tc>
          <w:tcPr>
            <w:tcW w:w="1980" w:type="dxa"/>
            <w:noWrap/>
            <w:hideMark/>
          </w:tcPr>
          <w:p w14:paraId="4A52470B" w14:textId="77777777" w:rsidR="00390DC8" w:rsidRPr="00B710B0" w:rsidRDefault="00390DC8" w:rsidP="00390DC8">
            <w:pPr>
              <w:pStyle w:val="Body"/>
              <w:rPr>
                <w:rFonts w:ascii="Arial" w:hAnsi="Arial" w:cs="Arial"/>
              </w:rPr>
            </w:pPr>
            <w:r w:rsidRPr="00B710B0">
              <w:rPr>
                <w:rFonts w:ascii="Arial" w:hAnsi="Arial" w:cs="Arial"/>
                <w:lang w:val="en"/>
              </w:rPr>
              <w:t>7(17.9)</w:t>
            </w:r>
          </w:p>
        </w:tc>
        <w:tc>
          <w:tcPr>
            <w:tcW w:w="1980" w:type="dxa"/>
            <w:noWrap/>
            <w:hideMark/>
          </w:tcPr>
          <w:p w14:paraId="517C4AC2" w14:textId="77777777" w:rsidR="00390DC8" w:rsidRPr="00B710B0" w:rsidRDefault="00390DC8" w:rsidP="00390DC8">
            <w:pPr>
              <w:pStyle w:val="Body"/>
              <w:rPr>
                <w:rFonts w:ascii="Arial" w:hAnsi="Arial" w:cs="Arial"/>
              </w:rPr>
            </w:pPr>
            <w:r w:rsidRPr="00B710B0">
              <w:rPr>
                <w:rFonts w:ascii="Arial" w:hAnsi="Arial" w:cs="Arial"/>
                <w:lang w:val="en"/>
              </w:rPr>
              <w:t>2(6.7)</w:t>
            </w:r>
          </w:p>
        </w:tc>
        <w:tc>
          <w:tcPr>
            <w:tcW w:w="1957" w:type="dxa"/>
            <w:noWrap/>
            <w:hideMark/>
          </w:tcPr>
          <w:p w14:paraId="284CE58C" w14:textId="77777777" w:rsidR="00390DC8" w:rsidRPr="00B710B0" w:rsidRDefault="00390DC8" w:rsidP="00390DC8">
            <w:pPr>
              <w:pStyle w:val="Body"/>
              <w:rPr>
                <w:rFonts w:ascii="Arial" w:hAnsi="Arial" w:cs="Arial"/>
              </w:rPr>
            </w:pPr>
            <w:r w:rsidRPr="00B710B0">
              <w:rPr>
                <w:rFonts w:ascii="Arial" w:hAnsi="Arial" w:cs="Arial"/>
                <w:lang w:val="en"/>
              </w:rPr>
              <w:t>1(3.8)</w:t>
            </w:r>
          </w:p>
        </w:tc>
      </w:tr>
      <w:tr w:rsidR="00390DC8" w:rsidRPr="00B710B0" w14:paraId="50ACC8F9" w14:textId="77777777" w:rsidTr="002A2816">
        <w:trPr>
          <w:trHeight w:val="290"/>
        </w:trPr>
        <w:tc>
          <w:tcPr>
            <w:tcW w:w="2790" w:type="dxa"/>
            <w:noWrap/>
            <w:hideMark/>
          </w:tcPr>
          <w:p w14:paraId="3B279194" w14:textId="77777777" w:rsidR="00390DC8" w:rsidRPr="00B710B0" w:rsidRDefault="00390DC8" w:rsidP="00390DC8">
            <w:pPr>
              <w:pStyle w:val="Body"/>
              <w:rPr>
                <w:rFonts w:ascii="Arial" w:hAnsi="Arial" w:cs="Arial"/>
              </w:rPr>
            </w:pPr>
            <w:r w:rsidRPr="00B710B0">
              <w:rPr>
                <w:rFonts w:ascii="Arial" w:hAnsi="Arial" w:cs="Arial"/>
                <w:lang w:val="en"/>
              </w:rPr>
              <w:t>0.2g/mL commercial CENO</w:t>
            </w:r>
          </w:p>
        </w:tc>
        <w:tc>
          <w:tcPr>
            <w:tcW w:w="1710" w:type="dxa"/>
            <w:noWrap/>
            <w:hideMark/>
          </w:tcPr>
          <w:p w14:paraId="7808AA09" w14:textId="77777777" w:rsidR="00390DC8" w:rsidRPr="00B710B0" w:rsidRDefault="00390DC8" w:rsidP="00390DC8">
            <w:pPr>
              <w:pStyle w:val="Body"/>
              <w:rPr>
                <w:rFonts w:ascii="Arial" w:hAnsi="Arial" w:cs="Arial"/>
              </w:rPr>
            </w:pPr>
            <w:r w:rsidRPr="00B710B0">
              <w:rPr>
                <w:rFonts w:ascii="Arial" w:hAnsi="Arial" w:cs="Arial"/>
                <w:lang w:val="en"/>
              </w:rPr>
              <w:t>8 (20.5)</w:t>
            </w:r>
          </w:p>
        </w:tc>
        <w:tc>
          <w:tcPr>
            <w:tcW w:w="1980" w:type="dxa"/>
            <w:noWrap/>
            <w:hideMark/>
          </w:tcPr>
          <w:p w14:paraId="7F702236" w14:textId="77777777" w:rsidR="00390DC8" w:rsidRPr="00B710B0" w:rsidRDefault="00390DC8" w:rsidP="00390DC8">
            <w:pPr>
              <w:pStyle w:val="Body"/>
              <w:rPr>
                <w:rFonts w:ascii="Arial" w:hAnsi="Arial" w:cs="Arial"/>
              </w:rPr>
            </w:pPr>
            <w:r w:rsidRPr="00B710B0">
              <w:rPr>
                <w:rFonts w:ascii="Arial" w:hAnsi="Arial" w:cs="Arial"/>
                <w:lang w:val="en"/>
              </w:rPr>
              <w:t>2(5.1)</w:t>
            </w:r>
          </w:p>
        </w:tc>
        <w:tc>
          <w:tcPr>
            <w:tcW w:w="1980" w:type="dxa"/>
            <w:noWrap/>
            <w:hideMark/>
          </w:tcPr>
          <w:p w14:paraId="0BDD7711" w14:textId="77777777" w:rsidR="00390DC8" w:rsidRPr="00B710B0" w:rsidRDefault="00390DC8" w:rsidP="00390DC8">
            <w:pPr>
              <w:pStyle w:val="Body"/>
              <w:rPr>
                <w:rFonts w:ascii="Arial" w:hAnsi="Arial" w:cs="Arial"/>
              </w:rPr>
            </w:pPr>
            <w:r w:rsidRPr="00B710B0">
              <w:rPr>
                <w:rFonts w:ascii="Arial" w:hAnsi="Arial" w:cs="Arial"/>
                <w:lang w:val="en"/>
              </w:rPr>
              <w:t>4(13.3)</w:t>
            </w:r>
          </w:p>
        </w:tc>
        <w:tc>
          <w:tcPr>
            <w:tcW w:w="1957" w:type="dxa"/>
            <w:noWrap/>
            <w:hideMark/>
          </w:tcPr>
          <w:p w14:paraId="4A2D8DFC" w14:textId="77777777" w:rsidR="00390DC8" w:rsidRPr="00B710B0" w:rsidRDefault="00390DC8" w:rsidP="00390DC8">
            <w:pPr>
              <w:pStyle w:val="Body"/>
              <w:rPr>
                <w:rFonts w:ascii="Arial" w:hAnsi="Arial" w:cs="Arial"/>
              </w:rPr>
            </w:pPr>
            <w:r w:rsidRPr="00B710B0">
              <w:rPr>
                <w:rFonts w:ascii="Arial" w:hAnsi="Arial" w:cs="Arial"/>
                <w:lang w:val="en"/>
              </w:rPr>
              <w:t>2(7.7)</w:t>
            </w:r>
          </w:p>
        </w:tc>
      </w:tr>
      <w:tr w:rsidR="00390DC8" w:rsidRPr="00B710B0" w14:paraId="30D10C44" w14:textId="77777777" w:rsidTr="002A2816">
        <w:trPr>
          <w:trHeight w:val="290"/>
        </w:trPr>
        <w:tc>
          <w:tcPr>
            <w:tcW w:w="2790" w:type="dxa"/>
            <w:tcBorders>
              <w:bottom w:val="single" w:sz="4" w:space="0" w:color="auto"/>
            </w:tcBorders>
            <w:noWrap/>
            <w:hideMark/>
          </w:tcPr>
          <w:p w14:paraId="0FA6DCCA" w14:textId="77777777" w:rsidR="00390DC8" w:rsidRPr="00B710B0" w:rsidRDefault="00390DC8" w:rsidP="00390DC8">
            <w:pPr>
              <w:pStyle w:val="Body"/>
              <w:rPr>
                <w:rFonts w:ascii="Arial" w:hAnsi="Arial" w:cs="Arial"/>
              </w:rPr>
            </w:pPr>
            <w:r w:rsidRPr="00B710B0">
              <w:rPr>
                <w:rFonts w:ascii="Arial" w:hAnsi="Arial" w:cs="Arial"/>
                <w:lang w:val="en"/>
              </w:rPr>
              <w:t>0.3g/mL commercial CENO</w:t>
            </w:r>
          </w:p>
        </w:tc>
        <w:tc>
          <w:tcPr>
            <w:tcW w:w="1710" w:type="dxa"/>
            <w:tcBorders>
              <w:bottom w:val="single" w:sz="4" w:space="0" w:color="auto"/>
            </w:tcBorders>
            <w:noWrap/>
            <w:hideMark/>
          </w:tcPr>
          <w:p w14:paraId="0F70ED2E" w14:textId="77777777" w:rsidR="00390DC8" w:rsidRPr="00B710B0" w:rsidRDefault="00390DC8" w:rsidP="00390DC8">
            <w:pPr>
              <w:pStyle w:val="Body"/>
              <w:rPr>
                <w:rFonts w:ascii="Arial" w:hAnsi="Arial" w:cs="Arial"/>
              </w:rPr>
            </w:pPr>
            <w:r w:rsidRPr="00B710B0">
              <w:rPr>
                <w:rFonts w:ascii="Arial" w:hAnsi="Arial" w:cs="Arial"/>
                <w:lang w:val="en"/>
              </w:rPr>
              <w:t>9 (23.1)</w:t>
            </w:r>
          </w:p>
        </w:tc>
        <w:tc>
          <w:tcPr>
            <w:tcW w:w="1980" w:type="dxa"/>
            <w:tcBorders>
              <w:bottom w:val="single" w:sz="4" w:space="0" w:color="auto"/>
            </w:tcBorders>
            <w:noWrap/>
            <w:hideMark/>
          </w:tcPr>
          <w:p w14:paraId="7A47AF3C" w14:textId="77777777" w:rsidR="00390DC8" w:rsidRPr="00B710B0" w:rsidRDefault="00390DC8" w:rsidP="00390DC8">
            <w:pPr>
              <w:pStyle w:val="Body"/>
              <w:rPr>
                <w:rFonts w:ascii="Arial" w:hAnsi="Arial" w:cs="Arial"/>
              </w:rPr>
            </w:pPr>
            <w:r w:rsidRPr="00B710B0">
              <w:rPr>
                <w:rFonts w:ascii="Arial" w:hAnsi="Arial" w:cs="Arial"/>
                <w:lang w:val="en"/>
              </w:rPr>
              <w:t>7(17.9)</w:t>
            </w:r>
          </w:p>
        </w:tc>
        <w:tc>
          <w:tcPr>
            <w:tcW w:w="1980" w:type="dxa"/>
            <w:tcBorders>
              <w:bottom w:val="single" w:sz="4" w:space="0" w:color="auto"/>
            </w:tcBorders>
            <w:noWrap/>
            <w:hideMark/>
          </w:tcPr>
          <w:p w14:paraId="2B1A9379" w14:textId="77777777" w:rsidR="00390DC8" w:rsidRPr="00B710B0" w:rsidRDefault="00390DC8" w:rsidP="00390DC8">
            <w:pPr>
              <w:pStyle w:val="Body"/>
              <w:rPr>
                <w:rFonts w:ascii="Arial" w:hAnsi="Arial" w:cs="Arial"/>
              </w:rPr>
            </w:pPr>
            <w:r w:rsidRPr="00B710B0">
              <w:rPr>
                <w:rFonts w:ascii="Arial" w:hAnsi="Arial" w:cs="Arial"/>
                <w:lang w:val="en"/>
              </w:rPr>
              <w:t>9(30.0)</w:t>
            </w:r>
          </w:p>
        </w:tc>
        <w:tc>
          <w:tcPr>
            <w:tcW w:w="1957" w:type="dxa"/>
            <w:tcBorders>
              <w:bottom w:val="single" w:sz="4" w:space="0" w:color="auto"/>
            </w:tcBorders>
            <w:noWrap/>
            <w:hideMark/>
          </w:tcPr>
          <w:p w14:paraId="35985A68" w14:textId="77777777" w:rsidR="00390DC8" w:rsidRPr="00B710B0" w:rsidRDefault="00390DC8" w:rsidP="00390DC8">
            <w:pPr>
              <w:pStyle w:val="Body"/>
              <w:rPr>
                <w:rFonts w:ascii="Arial" w:hAnsi="Arial" w:cs="Arial"/>
              </w:rPr>
            </w:pPr>
            <w:r w:rsidRPr="00B710B0">
              <w:rPr>
                <w:rFonts w:ascii="Arial" w:hAnsi="Arial" w:cs="Arial"/>
                <w:lang w:val="en"/>
              </w:rPr>
              <w:t>6(15.4)</w:t>
            </w:r>
          </w:p>
        </w:tc>
      </w:tr>
    </w:tbl>
    <w:p w14:paraId="5ED0674A" w14:textId="77777777" w:rsidR="00390DC8" w:rsidRPr="00B710B0" w:rsidRDefault="0086649F" w:rsidP="0086649F">
      <w:pPr>
        <w:pStyle w:val="Body"/>
        <w:rPr>
          <w:rFonts w:ascii="Arial" w:hAnsi="Arial" w:cs="Arial"/>
          <w:lang w:val="en"/>
        </w:rPr>
      </w:pPr>
      <w:r w:rsidRPr="00B710B0">
        <w:rPr>
          <w:rFonts w:ascii="Arial" w:hAnsi="Arial" w:cs="Arial"/>
          <w:bCs/>
          <w:lang w:val="en"/>
        </w:rPr>
        <w:t>Lab CENO= laboratory extracted neem oil encapsulated with chitosan, Commercial CENO = Commercial neem oil neem oil encapsulated with chitosan</w:t>
      </w:r>
    </w:p>
    <w:p w14:paraId="7C1772DF" w14:textId="77777777" w:rsidR="00062358" w:rsidRPr="00B710B0" w:rsidRDefault="00062358" w:rsidP="00441B6F">
      <w:pPr>
        <w:pStyle w:val="Body"/>
        <w:spacing w:after="0"/>
        <w:rPr>
          <w:rFonts w:ascii="Arial" w:hAnsi="Arial" w:cs="Arial"/>
          <w:b/>
        </w:rPr>
      </w:pPr>
    </w:p>
    <w:p w14:paraId="2A9ED1EB" w14:textId="77777777" w:rsidR="00231374" w:rsidRPr="00B710B0" w:rsidRDefault="00062358" w:rsidP="00441B6F">
      <w:pPr>
        <w:pStyle w:val="Body"/>
        <w:spacing w:after="0"/>
        <w:rPr>
          <w:rFonts w:ascii="Arial" w:hAnsi="Arial" w:cs="Arial"/>
          <w:b/>
        </w:rPr>
      </w:pPr>
      <w:r w:rsidRPr="00B710B0">
        <w:rPr>
          <w:rFonts w:ascii="Arial" w:hAnsi="Arial" w:cs="Arial"/>
          <w:b/>
        </w:rPr>
        <w:t xml:space="preserve">4. </w:t>
      </w:r>
      <w:r w:rsidR="00390DC8" w:rsidRPr="00B710B0">
        <w:rPr>
          <w:rFonts w:ascii="Arial" w:hAnsi="Arial" w:cs="Arial"/>
          <w:b/>
        </w:rPr>
        <w:t>DISCUSSION</w:t>
      </w:r>
    </w:p>
    <w:p w14:paraId="29E7F66B" w14:textId="77777777" w:rsidR="00D53DFD" w:rsidRPr="00B710B0" w:rsidRDefault="00D53DFD" w:rsidP="00441B6F">
      <w:pPr>
        <w:pStyle w:val="Body"/>
        <w:spacing w:after="0"/>
        <w:rPr>
          <w:rFonts w:ascii="Arial" w:hAnsi="Arial" w:cs="Arial"/>
          <w:b/>
        </w:rPr>
      </w:pPr>
    </w:p>
    <w:p w14:paraId="42E53CBD"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The poultry industry which is one of the fastest developing livestock sub-sector globally, is facing many challenges, chief amongst the gut bacterial diseases and emergence of AMR (</w:t>
      </w:r>
      <w:proofErr w:type="spellStart"/>
      <w:r w:rsidRPr="00B710B0">
        <w:rPr>
          <w:rFonts w:ascii="Arial" w:hAnsi="Arial" w:cs="Arial"/>
        </w:rPr>
        <w:t>Kleyn</w:t>
      </w:r>
      <w:proofErr w:type="spellEnd"/>
      <w:r w:rsidRPr="00B710B0">
        <w:rPr>
          <w:rFonts w:ascii="Arial" w:hAnsi="Arial" w:cs="Arial"/>
        </w:rPr>
        <w:t xml:space="preserve"> and </w:t>
      </w:r>
      <w:proofErr w:type="spellStart"/>
      <w:r w:rsidRPr="00B710B0">
        <w:rPr>
          <w:rFonts w:ascii="Arial" w:hAnsi="Arial" w:cs="Arial"/>
        </w:rPr>
        <w:t>Ciacciariello</w:t>
      </w:r>
      <w:proofErr w:type="spellEnd"/>
      <w:r w:rsidRPr="00B710B0">
        <w:rPr>
          <w:rFonts w:ascii="Arial" w:hAnsi="Arial" w:cs="Arial"/>
        </w:rPr>
        <w:t>, 2021).</w:t>
      </w:r>
      <w:r w:rsidRPr="00B710B0">
        <w:rPr>
          <w:rFonts w:ascii="Arial" w:hAnsi="Arial" w:cs="Arial"/>
          <w:lang w:val="en"/>
        </w:rPr>
        <w:t xml:space="preserve"> The current study was conducted to investigate the prevalence of AMR in common bacteria infecting the gut of chicken in Thika East Sub-County, Kenya. The study demonstrated a high prevalence of gut bacteria among chickens reared in the study area. This prevalence was close to that reported by </w:t>
      </w:r>
      <w:r w:rsidRPr="00B710B0">
        <w:rPr>
          <w:rFonts w:ascii="Arial" w:hAnsi="Arial" w:cs="Arial"/>
        </w:rPr>
        <w:t>Tan et al. (2023)</w:t>
      </w:r>
      <w:r w:rsidRPr="00B710B0">
        <w:rPr>
          <w:rFonts w:ascii="Arial" w:hAnsi="Arial" w:cs="Arial"/>
          <w:lang w:val="en"/>
        </w:rPr>
        <w:t xml:space="preserve"> who reported a prevalence of &gt;80% in Chinese and Pakistan chicken. Elsewhere, </w:t>
      </w:r>
      <w:proofErr w:type="spellStart"/>
      <w:r w:rsidRPr="00B710B0">
        <w:rPr>
          <w:rFonts w:ascii="Arial" w:hAnsi="Arial" w:cs="Arial"/>
        </w:rPr>
        <w:t>Kilonzo</w:t>
      </w:r>
      <w:proofErr w:type="spellEnd"/>
      <w:r w:rsidRPr="00B710B0">
        <w:rPr>
          <w:rFonts w:ascii="Arial" w:hAnsi="Arial" w:cs="Arial"/>
        </w:rPr>
        <w:t xml:space="preserve">- </w:t>
      </w:r>
      <w:proofErr w:type="spellStart"/>
      <w:r w:rsidRPr="00B710B0">
        <w:rPr>
          <w:rFonts w:ascii="Arial" w:hAnsi="Arial" w:cs="Arial"/>
        </w:rPr>
        <w:t>Nthenge</w:t>
      </w:r>
      <w:proofErr w:type="spellEnd"/>
      <w:r w:rsidRPr="00B710B0">
        <w:rPr>
          <w:rFonts w:ascii="Arial" w:hAnsi="Arial" w:cs="Arial"/>
        </w:rPr>
        <w:t xml:space="preserve"> et al. (2008)</w:t>
      </w:r>
      <w:r w:rsidRPr="00B710B0">
        <w:rPr>
          <w:rFonts w:ascii="Arial" w:hAnsi="Arial" w:cs="Arial"/>
          <w:lang w:val="en"/>
        </w:rPr>
        <w:t xml:space="preserve"> found a higher prevalence (70%) of gut bacteria in Kenyan chicken. Lower prevalence </w:t>
      </w:r>
      <w:r w:rsidRPr="00B710B0">
        <w:rPr>
          <w:rFonts w:ascii="Arial" w:hAnsi="Arial" w:cs="Arial"/>
        </w:rPr>
        <w:t xml:space="preserve">(60%) </w:t>
      </w:r>
      <w:r w:rsidRPr="00B710B0">
        <w:rPr>
          <w:rFonts w:ascii="Arial" w:hAnsi="Arial" w:cs="Arial"/>
          <w:lang w:val="en"/>
        </w:rPr>
        <w:t xml:space="preserve">of gut bacteria were reported by </w:t>
      </w:r>
      <w:proofErr w:type="spellStart"/>
      <w:r w:rsidRPr="00B710B0">
        <w:rPr>
          <w:rFonts w:ascii="Arial" w:hAnsi="Arial" w:cs="Arial"/>
        </w:rPr>
        <w:t>Igizeneza</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xml:space="preserve">., (2022) in chicken from Nairobi County, Kenya. </w:t>
      </w:r>
      <w:r w:rsidRPr="00B710B0">
        <w:rPr>
          <w:rFonts w:ascii="Arial" w:hAnsi="Arial" w:cs="Arial"/>
          <w:lang w:val="en"/>
        </w:rPr>
        <w:t xml:space="preserve">The higher prevalence reported in our study could be attributed to factors such as lack of footbath, adoption of extensive production system, the use of kitchen refuse as feed source, and inappropriate use of antibiotics among the chicken farmers in the area. </w:t>
      </w:r>
    </w:p>
    <w:p w14:paraId="6F57FEA4"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 xml:space="preserve">In the current investigation, </w:t>
      </w:r>
      <w:r w:rsidRPr="00B710B0">
        <w:rPr>
          <w:rFonts w:ascii="Arial" w:hAnsi="Arial" w:cs="Arial"/>
          <w:i/>
          <w:iCs/>
          <w:lang w:val="en"/>
        </w:rPr>
        <w:t xml:space="preserve">Salmonella </w:t>
      </w:r>
      <w:r w:rsidRPr="00B710B0">
        <w:rPr>
          <w:rFonts w:ascii="Arial" w:hAnsi="Arial" w:cs="Arial"/>
          <w:iCs/>
          <w:lang w:val="en"/>
        </w:rPr>
        <w:t>spp</w:t>
      </w:r>
      <w:r w:rsidRPr="00B710B0">
        <w:rPr>
          <w:rFonts w:ascii="Arial" w:hAnsi="Arial" w:cs="Arial"/>
          <w:lang w:val="en"/>
        </w:rPr>
        <w:t xml:space="preserve">. and </w:t>
      </w:r>
      <w:r w:rsidRPr="00B710B0">
        <w:rPr>
          <w:rFonts w:ascii="Arial" w:hAnsi="Arial" w:cs="Arial"/>
          <w:i/>
          <w:iCs/>
          <w:lang w:val="en"/>
        </w:rPr>
        <w:t xml:space="preserve">Escherichia coli </w:t>
      </w:r>
      <w:r w:rsidRPr="00B710B0">
        <w:rPr>
          <w:rFonts w:ascii="Arial" w:hAnsi="Arial" w:cs="Arial"/>
          <w:lang w:val="en"/>
        </w:rPr>
        <w:t xml:space="preserve">were the most prevalent bacteria, a finding that agree with earlier report by Langat </w:t>
      </w:r>
      <w:r w:rsidRPr="00B710B0">
        <w:rPr>
          <w:rFonts w:ascii="Arial" w:hAnsi="Arial" w:cs="Arial"/>
          <w:i/>
          <w:lang w:val="en"/>
        </w:rPr>
        <w:t>et al</w:t>
      </w:r>
      <w:r w:rsidRPr="00B710B0">
        <w:rPr>
          <w:rFonts w:ascii="Arial" w:hAnsi="Arial" w:cs="Arial"/>
          <w:lang w:val="en"/>
        </w:rPr>
        <w:t xml:space="preserve">. (2019) and </w:t>
      </w:r>
      <w:proofErr w:type="spellStart"/>
      <w:r w:rsidRPr="00B710B0">
        <w:rPr>
          <w:rFonts w:ascii="Arial" w:hAnsi="Arial" w:cs="Arial"/>
        </w:rPr>
        <w:t>Kilonzo-Nthenge</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xml:space="preserve">. (2008) in chicken from other regions in Kenya. </w:t>
      </w:r>
      <w:r w:rsidRPr="00B710B0">
        <w:rPr>
          <w:rFonts w:ascii="Arial" w:hAnsi="Arial" w:cs="Arial"/>
          <w:lang w:val="en"/>
        </w:rPr>
        <w:t xml:space="preserve">These pathogens are widely prevalent in farms where there </w:t>
      </w:r>
      <w:proofErr w:type="gramStart"/>
      <w:r w:rsidRPr="00B710B0">
        <w:rPr>
          <w:rFonts w:ascii="Arial" w:hAnsi="Arial" w:cs="Arial"/>
          <w:lang w:val="en"/>
        </w:rPr>
        <w:t>is</w:t>
      </w:r>
      <w:proofErr w:type="gramEnd"/>
      <w:r w:rsidRPr="00B710B0">
        <w:rPr>
          <w:rFonts w:ascii="Arial" w:hAnsi="Arial" w:cs="Arial"/>
          <w:lang w:val="en"/>
        </w:rPr>
        <w:t xml:space="preserve"> poor biosecurity measures, cross contamination within the poultry and feeding of chicken with kitchen refuse which could be harboring some bacteria. </w:t>
      </w:r>
      <w:r w:rsidRPr="00B710B0">
        <w:rPr>
          <w:rFonts w:ascii="Arial" w:hAnsi="Arial" w:cs="Arial"/>
          <w:i/>
          <w:lang w:val="en"/>
        </w:rPr>
        <w:t>Escherichia coli</w:t>
      </w:r>
      <w:r w:rsidRPr="00B710B0">
        <w:rPr>
          <w:rFonts w:ascii="Arial" w:hAnsi="Arial" w:cs="Arial"/>
          <w:lang w:val="en"/>
        </w:rPr>
        <w:t xml:space="preserve"> and </w:t>
      </w:r>
      <w:r w:rsidRPr="00B710B0">
        <w:rPr>
          <w:rFonts w:ascii="Arial" w:hAnsi="Arial" w:cs="Arial"/>
          <w:i/>
          <w:lang w:val="en"/>
        </w:rPr>
        <w:t>Salmonella</w:t>
      </w:r>
      <w:r w:rsidRPr="00B710B0">
        <w:rPr>
          <w:rFonts w:ascii="Arial" w:hAnsi="Arial" w:cs="Arial"/>
          <w:lang w:val="en"/>
        </w:rPr>
        <w:t xml:space="preserve"> spp. are known causes of colibacillosis and avian salmonellosis, conditions that causes significant welfare concerns and production loses. Further studies should be undertaken in the area to determine the effects of these bacteria on the health and production of chicken. </w:t>
      </w:r>
    </w:p>
    <w:p w14:paraId="1DD0CD92"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 xml:space="preserve">Our study reported low prevalence of </w:t>
      </w:r>
      <w:r w:rsidRPr="00B710B0">
        <w:rPr>
          <w:rFonts w:ascii="Arial" w:hAnsi="Arial" w:cs="Arial"/>
          <w:i/>
          <w:lang w:val="en"/>
        </w:rPr>
        <w:t>S. aureus</w:t>
      </w:r>
      <w:r w:rsidRPr="00B710B0">
        <w:rPr>
          <w:rFonts w:ascii="Arial" w:hAnsi="Arial" w:cs="Arial"/>
          <w:lang w:val="en"/>
        </w:rPr>
        <w:t xml:space="preserve"> infections. Contrary to these findings, </w:t>
      </w:r>
      <w:r w:rsidRPr="00B710B0">
        <w:rPr>
          <w:rFonts w:ascii="Arial" w:hAnsi="Arial" w:cs="Arial"/>
        </w:rPr>
        <w:t xml:space="preserve">Madsen </w:t>
      </w:r>
      <w:r w:rsidRPr="00B710B0">
        <w:rPr>
          <w:rFonts w:ascii="Arial" w:hAnsi="Arial" w:cs="Arial"/>
          <w:i/>
        </w:rPr>
        <w:t>et al</w:t>
      </w:r>
      <w:r w:rsidRPr="00B710B0">
        <w:rPr>
          <w:rFonts w:ascii="Arial" w:hAnsi="Arial" w:cs="Arial"/>
        </w:rPr>
        <w:t>. (2013)</w:t>
      </w:r>
      <w:r w:rsidRPr="00B710B0">
        <w:rPr>
          <w:rFonts w:ascii="Arial" w:hAnsi="Arial" w:cs="Arial"/>
          <w:lang w:val="en"/>
        </w:rPr>
        <w:t xml:space="preserve"> in USA reported high prevalence (66.7%) of this bacterium in chicken. Elsewhere, in Turkey, </w:t>
      </w:r>
      <w:r w:rsidRPr="00B710B0">
        <w:rPr>
          <w:rFonts w:ascii="Arial" w:hAnsi="Arial" w:cs="Arial"/>
        </w:rPr>
        <w:t xml:space="preserve">Telli </w:t>
      </w:r>
      <w:r w:rsidRPr="00B710B0">
        <w:rPr>
          <w:rFonts w:ascii="Arial" w:hAnsi="Arial" w:cs="Arial"/>
          <w:i/>
        </w:rPr>
        <w:t>et al</w:t>
      </w:r>
      <w:r w:rsidRPr="00B710B0">
        <w:rPr>
          <w:rFonts w:ascii="Arial" w:hAnsi="Arial" w:cs="Arial"/>
        </w:rPr>
        <w:t>. (2021)</w:t>
      </w:r>
      <w:r w:rsidRPr="00B710B0">
        <w:rPr>
          <w:rFonts w:ascii="Arial" w:hAnsi="Arial" w:cs="Arial"/>
          <w:lang w:val="en"/>
        </w:rPr>
        <w:t xml:space="preserve"> reported 25% of chicken samples were positive of </w:t>
      </w:r>
      <w:r w:rsidRPr="00B710B0">
        <w:rPr>
          <w:rFonts w:ascii="Arial" w:hAnsi="Arial" w:cs="Arial"/>
          <w:i/>
          <w:lang w:val="en"/>
        </w:rPr>
        <w:t>S. aureus</w:t>
      </w:r>
      <w:r w:rsidRPr="00B710B0">
        <w:rPr>
          <w:rFonts w:ascii="Arial" w:hAnsi="Arial" w:cs="Arial"/>
          <w:lang w:val="en"/>
        </w:rPr>
        <w:t>. Under favorable conditions</w:t>
      </w:r>
      <w:r w:rsidRPr="00B710B0">
        <w:rPr>
          <w:rFonts w:ascii="Arial" w:hAnsi="Arial" w:cs="Arial"/>
          <w:i/>
          <w:lang w:val="en"/>
        </w:rPr>
        <w:t>, Staphylococcus</w:t>
      </w:r>
      <w:r w:rsidRPr="00B710B0">
        <w:rPr>
          <w:rFonts w:ascii="Arial" w:hAnsi="Arial" w:cs="Arial"/>
          <w:lang w:val="en"/>
        </w:rPr>
        <w:t xml:space="preserve"> spp. can cause infections in chicken which manifest in decreased egg production, lameness and excessive pain and mortality. Further, </w:t>
      </w:r>
      <w:r w:rsidRPr="00B710B0">
        <w:rPr>
          <w:rFonts w:ascii="Arial" w:hAnsi="Arial" w:cs="Arial"/>
          <w:i/>
          <w:lang w:val="en"/>
        </w:rPr>
        <w:t>S. aureus</w:t>
      </w:r>
      <w:r w:rsidRPr="00B710B0">
        <w:rPr>
          <w:rFonts w:ascii="Arial" w:hAnsi="Arial" w:cs="Arial"/>
          <w:lang w:val="en"/>
        </w:rPr>
        <w:t xml:space="preserve"> is ranked as the third leading cause of foodborne illnesses worldwide through a diversity of virulence factors comprising extracellular toxins (</w:t>
      </w:r>
      <w:proofErr w:type="spellStart"/>
      <w:r w:rsidRPr="00B710B0">
        <w:rPr>
          <w:rFonts w:ascii="Arial" w:hAnsi="Arial" w:cs="Arial"/>
        </w:rPr>
        <w:t>Kilonzo-Nthenge</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2008) and strategies for its control should be enhanced</w:t>
      </w:r>
      <w:r w:rsidRPr="00B710B0">
        <w:rPr>
          <w:rFonts w:ascii="Arial" w:hAnsi="Arial" w:cs="Arial"/>
          <w:lang w:val="en"/>
        </w:rPr>
        <w:t xml:space="preserve"> in the study area.</w:t>
      </w:r>
    </w:p>
    <w:p w14:paraId="6E6B1468"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 xml:space="preserve">In the current study, a low prevalence of </w:t>
      </w:r>
      <w:r w:rsidRPr="00B710B0">
        <w:rPr>
          <w:rFonts w:ascii="Arial" w:hAnsi="Arial" w:cs="Arial"/>
          <w:i/>
          <w:lang w:val="en"/>
        </w:rPr>
        <w:t>Enterococcus</w:t>
      </w:r>
      <w:r w:rsidRPr="00B710B0">
        <w:rPr>
          <w:rFonts w:ascii="Arial" w:hAnsi="Arial" w:cs="Arial"/>
          <w:lang w:val="en"/>
        </w:rPr>
        <w:t xml:space="preserve"> spp. was reported and this contrasts with other studies documenting higher prevalence rates, for example 94.5% by Kim </w:t>
      </w:r>
      <w:r w:rsidRPr="00B710B0">
        <w:rPr>
          <w:rFonts w:ascii="Arial" w:hAnsi="Arial" w:cs="Arial"/>
          <w:i/>
          <w:lang w:val="en"/>
        </w:rPr>
        <w:t>et al</w:t>
      </w:r>
      <w:r w:rsidRPr="00B710B0">
        <w:rPr>
          <w:rFonts w:ascii="Arial" w:hAnsi="Arial" w:cs="Arial"/>
          <w:lang w:val="en"/>
        </w:rPr>
        <w:t xml:space="preserve">. (2021) in </w:t>
      </w:r>
      <w:r w:rsidRPr="00B710B0">
        <w:rPr>
          <w:rFonts w:ascii="Arial" w:hAnsi="Arial" w:cs="Arial"/>
        </w:rPr>
        <w:t>South Korea</w:t>
      </w:r>
      <w:r w:rsidRPr="00B710B0">
        <w:rPr>
          <w:rFonts w:ascii="Arial" w:hAnsi="Arial" w:cs="Arial"/>
          <w:lang w:val="en"/>
        </w:rPr>
        <w:t xml:space="preserve"> and 44% by </w:t>
      </w:r>
      <w:r w:rsidRPr="00B710B0">
        <w:rPr>
          <w:rFonts w:ascii="Arial" w:hAnsi="Arial" w:cs="Arial"/>
        </w:rPr>
        <w:t xml:space="preserve">Ribeiro </w:t>
      </w:r>
      <w:r w:rsidRPr="00B710B0">
        <w:rPr>
          <w:rFonts w:ascii="Arial" w:hAnsi="Arial" w:cs="Arial"/>
          <w:i/>
        </w:rPr>
        <w:t>et al</w:t>
      </w:r>
      <w:r w:rsidRPr="00B710B0">
        <w:rPr>
          <w:rFonts w:ascii="Arial" w:hAnsi="Arial" w:cs="Arial"/>
        </w:rPr>
        <w:t>. (2023)</w:t>
      </w:r>
      <w:r w:rsidRPr="00B710B0">
        <w:rPr>
          <w:rFonts w:ascii="Arial" w:hAnsi="Arial" w:cs="Arial"/>
          <w:lang w:val="en"/>
        </w:rPr>
        <w:t xml:space="preserve"> in Portugal. </w:t>
      </w:r>
      <w:r w:rsidRPr="00B710B0">
        <w:rPr>
          <w:rFonts w:ascii="Arial" w:hAnsi="Arial" w:cs="Arial"/>
          <w:i/>
          <w:lang w:val="en"/>
        </w:rPr>
        <w:t>Enterococci</w:t>
      </w:r>
      <w:r w:rsidRPr="00B710B0">
        <w:rPr>
          <w:rFonts w:ascii="Arial" w:hAnsi="Arial" w:cs="Arial"/>
          <w:lang w:val="en"/>
        </w:rPr>
        <w:t xml:space="preserve"> spp. is a gastrointestinal flora of humans and animals and are extensively disseminated in the environment. As inhabitants of human and animal alimentary tract, </w:t>
      </w:r>
      <w:r w:rsidRPr="00B710B0">
        <w:rPr>
          <w:rFonts w:ascii="Arial" w:hAnsi="Arial" w:cs="Arial"/>
          <w:i/>
          <w:lang w:val="en"/>
        </w:rPr>
        <w:t>Enterococci</w:t>
      </w:r>
      <w:r w:rsidRPr="00B710B0">
        <w:rPr>
          <w:rFonts w:ascii="Arial" w:hAnsi="Arial" w:cs="Arial"/>
          <w:lang w:val="en"/>
        </w:rPr>
        <w:t xml:space="preserve"> has been associated with bacteriocins production and probiotic activity (</w:t>
      </w:r>
      <w:r w:rsidRPr="00B710B0">
        <w:rPr>
          <w:rFonts w:ascii="Arial" w:hAnsi="Arial" w:cs="Arial"/>
        </w:rPr>
        <w:t xml:space="preserve">Kim </w:t>
      </w:r>
      <w:r w:rsidRPr="00B710B0">
        <w:rPr>
          <w:rFonts w:ascii="Arial" w:hAnsi="Arial" w:cs="Arial"/>
          <w:i/>
        </w:rPr>
        <w:t>et al</w:t>
      </w:r>
      <w:r w:rsidRPr="00B710B0">
        <w:rPr>
          <w:rFonts w:ascii="Arial" w:hAnsi="Arial" w:cs="Arial"/>
        </w:rPr>
        <w:t>., 2021).</w:t>
      </w:r>
      <w:r w:rsidRPr="00B710B0">
        <w:rPr>
          <w:rFonts w:ascii="Arial" w:hAnsi="Arial" w:cs="Arial"/>
          <w:lang w:val="en"/>
        </w:rPr>
        <w:t xml:space="preserve"> In other studies, </w:t>
      </w:r>
      <w:r w:rsidRPr="00B710B0">
        <w:rPr>
          <w:rFonts w:ascii="Arial" w:hAnsi="Arial" w:cs="Arial"/>
          <w:i/>
          <w:lang w:val="en"/>
        </w:rPr>
        <w:t>Enterococcus</w:t>
      </w:r>
      <w:r w:rsidRPr="00B710B0">
        <w:rPr>
          <w:rFonts w:ascii="Arial" w:hAnsi="Arial" w:cs="Arial"/>
          <w:lang w:val="en"/>
        </w:rPr>
        <w:t xml:space="preserve"> pathogens has been recorded as opportunistic germs that can cause human infections, and for their resilient capability to acquire, express and transfer AMR genes (</w:t>
      </w:r>
      <w:proofErr w:type="spellStart"/>
      <w:r w:rsidRPr="00B710B0">
        <w:rPr>
          <w:rFonts w:ascii="Arial" w:hAnsi="Arial" w:cs="Arial"/>
        </w:rPr>
        <w:t>Gousia</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2015).</w:t>
      </w:r>
      <w:r w:rsidRPr="00B710B0">
        <w:rPr>
          <w:rFonts w:ascii="Arial" w:hAnsi="Arial" w:cs="Arial"/>
          <w:lang w:val="en"/>
        </w:rPr>
        <w:t xml:space="preserve"> The low prevalence of </w:t>
      </w:r>
      <w:r w:rsidRPr="00B710B0">
        <w:rPr>
          <w:rFonts w:ascii="Arial" w:hAnsi="Arial" w:cs="Arial"/>
          <w:i/>
          <w:lang w:val="en"/>
        </w:rPr>
        <w:t>Enterococcus</w:t>
      </w:r>
      <w:r w:rsidRPr="00B710B0">
        <w:rPr>
          <w:rFonts w:ascii="Arial" w:hAnsi="Arial" w:cs="Arial"/>
          <w:lang w:val="en"/>
        </w:rPr>
        <w:t xml:space="preserve"> spp. reported in our study could be due to minimal contamination of the area of water from human settings which are known residents of </w:t>
      </w:r>
      <w:r w:rsidRPr="00B710B0">
        <w:rPr>
          <w:rFonts w:ascii="Arial" w:hAnsi="Arial" w:cs="Arial"/>
          <w:i/>
          <w:lang w:val="en"/>
        </w:rPr>
        <w:t>Enterococcus</w:t>
      </w:r>
      <w:r w:rsidRPr="00B710B0">
        <w:rPr>
          <w:rFonts w:ascii="Arial" w:hAnsi="Arial" w:cs="Arial"/>
          <w:lang w:val="en"/>
        </w:rPr>
        <w:t xml:space="preserve"> pathogens or animal wastes. </w:t>
      </w:r>
    </w:p>
    <w:p w14:paraId="1CFAC6BB" w14:textId="77777777" w:rsidR="00231374" w:rsidRPr="00B710B0" w:rsidRDefault="00231374" w:rsidP="00231374">
      <w:pPr>
        <w:pStyle w:val="Body"/>
        <w:spacing w:after="0"/>
        <w:rPr>
          <w:rFonts w:ascii="Arial" w:hAnsi="Arial" w:cs="Arial"/>
          <w:lang w:val="en"/>
        </w:rPr>
      </w:pPr>
      <w:r w:rsidRPr="00B710B0">
        <w:rPr>
          <w:rFonts w:ascii="Arial" w:hAnsi="Arial" w:cs="Arial"/>
          <w:lang w:val="en"/>
        </w:rPr>
        <w:t>The most important risk factors associated with prevalence of the bacteria were age of the birds, farm biosecurity, production system, antibiotic use and vaccination status. Similar risk factors were noted in previous studies in Uganda and Belgium (</w:t>
      </w:r>
      <w:r w:rsidRPr="00B710B0">
        <w:rPr>
          <w:rFonts w:ascii="Arial" w:hAnsi="Arial" w:cs="Arial"/>
        </w:rPr>
        <w:t xml:space="preserve">Ayebare </w:t>
      </w:r>
      <w:r w:rsidRPr="00B710B0">
        <w:rPr>
          <w:rFonts w:ascii="Arial" w:hAnsi="Arial" w:cs="Arial"/>
          <w:i/>
        </w:rPr>
        <w:t>et al</w:t>
      </w:r>
      <w:r w:rsidRPr="00B710B0">
        <w:rPr>
          <w:rFonts w:ascii="Arial" w:hAnsi="Arial" w:cs="Arial"/>
        </w:rPr>
        <w:t xml:space="preserve">., 2025; </w:t>
      </w:r>
      <w:proofErr w:type="spellStart"/>
      <w:r w:rsidRPr="00B710B0">
        <w:rPr>
          <w:rFonts w:ascii="Arial" w:hAnsi="Arial" w:cs="Arial"/>
        </w:rPr>
        <w:t>Caekebeke</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xml:space="preserve">., 2020). For instance, Ayebare </w:t>
      </w:r>
      <w:r w:rsidRPr="00B710B0">
        <w:rPr>
          <w:rFonts w:ascii="Arial" w:hAnsi="Arial" w:cs="Arial"/>
          <w:i/>
        </w:rPr>
        <w:t>et al</w:t>
      </w:r>
      <w:r w:rsidRPr="00B710B0">
        <w:rPr>
          <w:rFonts w:ascii="Arial" w:hAnsi="Arial" w:cs="Arial"/>
        </w:rPr>
        <w:t>. (2025) noted that farms with insufficient biosecurity practices reported a higher incidence of infections in chicken compared with those with sufficient biosecurity measures</w:t>
      </w:r>
      <w:r w:rsidRPr="00B710B0">
        <w:rPr>
          <w:rFonts w:ascii="Arial" w:hAnsi="Arial" w:cs="Arial"/>
          <w:lang w:val="en"/>
        </w:rPr>
        <w:t xml:space="preserve">. In Cameroon </w:t>
      </w:r>
      <w:proofErr w:type="spellStart"/>
      <w:r w:rsidRPr="00B710B0">
        <w:rPr>
          <w:rFonts w:ascii="Arial" w:hAnsi="Arial" w:cs="Arial"/>
        </w:rPr>
        <w:t>Ziebe</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xml:space="preserve">., </w:t>
      </w:r>
      <w:r w:rsidRPr="00B710B0">
        <w:rPr>
          <w:rFonts w:ascii="Arial" w:hAnsi="Arial" w:cs="Arial"/>
          <w:lang w:val="en"/>
        </w:rPr>
        <w:t>(</w:t>
      </w:r>
      <w:r w:rsidRPr="00B710B0">
        <w:rPr>
          <w:rFonts w:ascii="Arial" w:hAnsi="Arial" w:cs="Arial"/>
        </w:rPr>
        <w:t>2025)</w:t>
      </w:r>
      <w:r w:rsidRPr="00B710B0">
        <w:rPr>
          <w:rFonts w:ascii="Arial" w:hAnsi="Arial" w:cs="Arial"/>
          <w:lang w:val="en"/>
        </w:rPr>
        <w:t xml:space="preserve"> reported that disposal of dead carcass, entrance of visitors to a chicken unit contributed to cross contamination among poultry farms. This finding was also reported in our study. Thus, poultry farmers should ensure proper disposal of dead carcass. Additionally, coupled with enhanced farm biosecurity measures, prudent use of antibiotic and vaccines should be optimized at all times.</w:t>
      </w:r>
    </w:p>
    <w:p w14:paraId="5BA6AB9B" w14:textId="77777777" w:rsidR="00231374" w:rsidRPr="00B710B0" w:rsidRDefault="00231374" w:rsidP="00231374">
      <w:pPr>
        <w:pStyle w:val="Body"/>
        <w:spacing w:after="0"/>
        <w:rPr>
          <w:rFonts w:ascii="Arial" w:hAnsi="Arial" w:cs="Arial"/>
          <w:lang w:val="en"/>
        </w:rPr>
      </w:pPr>
      <w:r w:rsidRPr="00B710B0">
        <w:rPr>
          <w:rFonts w:ascii="Arial" w:hAnsi="Arial" w:cs="Arial"/>
        </w:rPr>
        <w:t>The current study showed that</w:t>
      </w:r>
      <w:r w:rsidRPr="00B710B0">
        <w:rPr>
          <w:rFonts w:ascii="Arial" w:hAnsi="Arial" w:cs="Arial"/>
          <w:lang w:val="en"/>
        </w:rPr>
        <w:t xml:space="preserve"> </w:t>
      </w:r>
      <w:r w:rsidRPr="00B710B0">
        <w:rPr>
          <w:rFonts w:ascii="Arial" w:hAnsi="Arial" w:cs="Arial"/>
          <w:i/>
          <w:lang w:val="en"/>
        </w:rPr>
        <w:t>Salmonella</w:t>
      </w:r>
      <w:r w:rsidRPr="00B710B0">
        <w:rPr>
          <w:rFonts w:ascii="Arial" w:hAnsi="Arial" w:cs="Arial"/>
          <w:lang w:val="en"/>
        </w:rPr>
        <w:t xml:space="preserve"> spp. and </w:t>
      </w:r>
      <w:r w:rsidRPr="00B710B0">
        <w:rPr>
          <w:rFonts w:ascii="Arial" w:hAnsi="Arial" w:cs="Arial"/>
          <w:i/>
          <w:iCs/>
          <w:lang w:val="en"/>
        </w:rPr>
        <w:t>E. coli</w:t>
      </w:r>
      <w:r w:rsidRPr="00B710B0">
        <w:rPr>
          <w:rFonts w:ascii="Arial" w:hAnsi="Arial" w:cs="Arial"/>
          <w:lang w:val="en"/>
        </w:rPr>
        <w:t xml:space="preserve"> had high resistance to penicillin and tetracycline. On the other hand, </w:t>
      </w:r>
      <w:r w:rsidRPr="00B710B0">
        <w:rPr>
          <w:rFonts w:ascii="Arial" w:hAnsi="Arial" w:cs="Arial"/>
          <w:i/>
          <w:iCs/>
          <w:lang w:val="en"/>
        </w:rPr>
        <w:t>S. aureus</w:t>
      </w:r>
      <w:r w:rsidRPr="00B710B0">
        <w:rPr>
          <w:rFonts w:ascii="Arial" w:hAnsi="Arial" w:cs="Arial"/>
          <w:lang w:val="en"/>
        </w:rPr>
        <w:t xml:space="preserve"> species were more resistant to tetracycline and nalixidic acid. These findings were comparable to those reported by </w:t>
      </w:r>
      <w:r w:rsidRPr="00B710B0">
        <w:rPr>
          <w:rFonts w:ascii="Arial" w:hAnsi="Arial" w:cs="Arial"/>
        </w:rPr>
        <w:t xml:space="preserve">Akbar and Anal, (2013); Hassan </w:t>
      </w:r>
      <w:r w:rsidRPr="00B710B0">
        <w:rPr>
          <w:rFonts w:ascii="Arial" w:hAnsi="Arial" w:cs="Arial"/>
          <w:i/>
        </w:rPr>
        <w:t>et al</w:t>
      </w:r>
      <w:r w:rsidRPr="00B710B0">
        <w:rPr>
          <w:rFonts w:ascii="Arial" w:hAnsi="Arial" w:cs="Arial"/>
        </w:rPr>
        <w:t xml:space="preserve">. (2014) </w:t>
      </w:r>
      <w:r w:rsidRPr="00B710B0">
        <w:rPr>
          <w:rFonts w:ascii="Arial" w:hAnsi="Arial" w:cs="Arial"/>
          <w:lang w:val="en"/>
        </w:rPr>
        <w:t xml:space="preserve">in Thailand and Bangladesh where </w:t>
      </w:r>
      <w:r w:rsidRPr="00B710B0">
        <w:rPr>
          <w:rFonts w:ascii="Arial" w:hAnsi="Arial" w:cs="Arial"/>
          <w:i/>
          <w:lang w:val="en"/>
        </w:rPr>
        <w:t>Salmonella</w:t>
      </w:r>
      <w:r w:rsidRPr="00B710B0">
        <w:rPr>
          <w:rFonts w:ascii="Arial" w:hAnsi="Arial" w:cs="Arial"/>
          <w:lang w:val="en"/>
        </w:rPr>
        <w:t xml:space="preserve"> spp., </w:t>
      </w:r>
      <w:r w:rsidRPr="00B710B0">
        <w:rPr>
          <w:rFonts w:ascii="Arial" w:hAnsi="Arial" w:cs="Arial"/>
          <w:i/>
          <w:lang w:val="en"/>
        </w:rPr>
        <w:t>E. coli</w:t>
      </w:r>
      <w:r w:rsidRPr="00B710B0">
        <w:rPr>
          <w:rFonts w:ascii="Arial" w:hAnsi="Arial" w:cs="Arial"/>
          <w:lang w:val="en"/>
        </w:rPr>
        <w:t xml:space="preserve"> and </w:t>
      </w:r>
      <w:r w:rsidRPr="00B710B0">
        <w:rPr>
          <w:rFonts w:ascii="Arial" w:hAnsi="Arial" w:cs="Arial"/>
          <w:i/>
          <w:lang w:val="en"/>
        </w:rPr>
        <w:t>Staphylococcus</w:t>
      </w:r>
      <w:r w:rsidRPr="00B710B0">
        <w:rPr>
          <w:rFonts w:ascii="Arial" w:hAnsi="Arial" w:cs="Arial"/>
          <w:lang w:val="en"/>
        </w:rPr>
        <w:t xml:space="preserve"> isolates demonstrated high antibiotic resistance ranging between 44% and 77.7%. The high resistance profiles against commercial antibiotics in our study could be as a result of misuse and overuse of these antibiotics to prevent diseases in chicken and especially where they are administered for prophylaxis. In the present study, the bacteria isolates were more sensitivity to ciprofloxacin and nalidixic acid and thus they can be used for the management of the bacteria. A similar finding was reported by </w:t>
      </w:r>
      <w:r w:rsidRPr="00B710B0">
        <w:rPr>
          <w:rFonts w:ascii="Arial" w:hAnsi="Arial" w:cs="Arial"/>
        </w:rPr>
        <w:t xml:space="preserve">Akbar and Anal, (2013) and Lenchenko </w:t>
      </w:r>
      <w:r w:rsidRPr="00B710B0">
        <w:rPr>
          <w:rFonts w:ascii="Arial" w:hAnsi="Arial" w:cs="Arial"/>
          <w:i/>
        </w:rPr>
        <w:t>et al</w:t>
      </w:r>
      <w:r w:rsidRPr="00B710B0">
        <w:rPr>
          <w:rFonts w:ascii="Arial" w:hAnsi="Arial" w:cs="Arial"/>
        </w:rPr>
        <w:t>. (2020)</w:t>
      </w:r>
      <w:r w:rsidRPr="00B710B0">
        <w:rPr>
          <w:rFonts w:ascii="Arial" w:hAnsi="Arial" w:cs="Arial"/>
          <w:lang w:val="en"/>
        </w:rPr>
        <w:t>. Overreliance of antimicrobial agents such as penicillin, tetracycline’s and sulphonamides has contributed significantly to the high resistance of bacterial isolates in chicken against these drugs (</w:t>
      </w:r>
      <w:proofErr w:type="spellStart"/>
      <w:r w:rsidRPr="00B710B0">
        <w:rPr>
          <w:rFonts w:ascii="Arial" w:hAnsi="Arial" w:cs="Arial"/>
        </w:rPr>
        <w:t>Panyako</w:t>
      </w:r>
      <w:proofErr w:type="spellEnd"/>
      <w:r w:rsidRPr="00B710B0">
        <w:rPr>
          <w:rFonts w:ascii="Arial" w:hAnsi="Arial" w:cs="Arial"/>
        </w:rPr>
        <w:t xml:space="preserve"> </w:t>
      </w:r>
      <w:r w:rsidRPr="00B710B0">
        <w:rPr>
          <w:rFonts w:ascii="Arial" w:hAnsi="Arial" w:cs="Arial"/>
          <w:i/>
        </w:rPr>
        <w:t>et al</w:t>
      </w:r>
      <w:r w:rsidRPr="00B710B0">
        <w:rPr>
          <w:rFonts w:ascii="Arial" w:hAnsi="Arial" w:cs="Arial"/>
        </w:rPr>
        <w:t>. 2022)</w:t>
      </w:r>
      <w:r w:rsidRPr="00B710B0">
        <w:rPr>
          <w:rFonts w:ascii="Arial" w:hAnsi="Arial" w:cs="Arial"/>
          <w:lang w:val="en"/>
        </w:rPr>
        <w:t xml:space="preserve">. Therefore, alternative measures to the use of antibiotics should be adopted. </w:t>
      </w:r>
    </w:p>
    <w:p w14:paraId="24123193" w14:textId="77777777" w:rsidR="00790ADA" w:rsidRPr="00B710B0" w:rsidRDefault="00231374" w:rsidP="0086649F">
      <w:pPr>
        <w:pStyle w:val="Body"/>
        <w:rPr>
          <w:rFonts w:ascii="Arial" w:hAnsi="Arial" w:cs="Arial"/>
          <w:lang w:val="en"/>
        </w:rPr>
      </w:pPr>
      <w:r w:rsidRPr="00B710B0">
        <w:rPr>
          <w:rFonts w:ascii="Arial" w:hAnsi="Arial" w:cs="Arial"/>
          <w:lang w:val="en"/>
        </w:rPr>
        <w:t xml:space="preserve">Investigating alternative antibiotics for managing bacterial infections and improvement of gut health in poultry is essential. Herbal plants are promising alternative antimicrobial agent particularly when combined with nanomaterials. In our study, </w:t>
      </w:r>
      <w:r w:rsidRPr="00B710B0">
        <w:rPr>
          <w:rFonts w:ascii="Arial" w:hAnsi="Arial" w:cs="Arial"/>
          <w:i/>
          <w:iCs/>
          <w:lang w:val="en"/>
        </w:rPr>
        <w:t>S. aureus</w:t>
      </w:r>
      <w:r w:rsidRPr="00B710B0">
        <w:rPr>
          <w:rFonts w:ascii="Arial" w:hAnsi="Arial" w:cs="Arial"/>
          <w:lang w:val="en"/>
        </w:rPr>
        <w:t xml:space="preserve">, </w:t>
      </w:r>
      <w:r w:rsidRPr="00B710B0">
        <w:rPr>
          <w:rFonts w:ascii="Arial" w:hAnsi="Arial" w:cs="Arial"/>
          <w:i/>
          <w:iCs/>
          <w:lang w:val="en"/>
        </w:rPr>
        <w:t>Enterococcus</w:t>
      </w:r>
      <w:r w:rsidRPr="00B710B0">
        <w:rPr>
          <w:rFonts w:ascii="Arial" w:hAnsi="Arial" w:cs="Arial"/>
          <w:lang w:val="en"/>
        </w:rPr>
        <w:t xml:space="preserve"> spp.</w:t>
      </w:r>
      <w:r w:rsidRPr="00B710B0">
        <w:rPr>
          <w:rFonts w:ascii="Arial" w:hAnsi="Arial" w:cs="Arial"/>
          <w:i/>
          <w:iCs/>
          <w:lang w:val="en"/>
        </w:rPr>
        <w:t>, Salmonella</w:t>
      </w:r>
      <w:r w:rsidRPr="00B710B0">
        <w:rPr>
          <w:rFonts w:ascii="Arial" w:hAnsi="Arial" w:cs="Arial"/>
          <w:lang w:val="en"/>
        </w:rPr>
        <w:t xml:space="preserve"> spp. and </w:t>
      </w:r>
      <w:r w:rsidRPr="00B710B0">
        <w:rPr>
          <w:rFonts w:ascii="Arial" w:hAnsi="Arial" w:cs="Arial"/>
          <w:i/>
          <w:iCs/>
          <w:lang w:val="en"/>
        </w:rPr>
        <w:t>E. coli</w:t>
      </w:r>
      <w:r w:rsidRPr="00B710B0">
        <w:rPr>
          <w:rFonts w:ascii="Arial" w:hAnsi="Arial" w:cs="Arial"/>
          <w:lang w:val="en"/>
        </w:rPr>
        <w:t xml:space="preserve"> isolates were sensitive neem oil which had been nanoencapsulated with chitosan. The sensitivity of the product was more in higher concentrations for both commercial and laboratory extracted neem oil. A future study should investigate the minimum inhibitory concentrations of the encapsulated neem oil. Previous studies by </w:t>
      </w:r>
      <w:r w:rsidRPr="00B710B0">
        <w:rPr>
          <w:rFonts w:ascii="Arial" w:hAnsi="Arial" w:cs="Arial"/>
        </w:rPr>
        <w:t xml:space="preserve">Ali </w:t>
      </w:r>
      <w:r w:rsidRPr="00B710B0">
        <w:rPr>
          <w:rFonts w:ascii="Arial" w:hAnsi="Arial" w:cs="Arial"/>
          <w:i/>
        </w:rPr>
        <w:t>et al</w:t>
      </w:r>
      <w:r w:rsidRPr="00B710B0">
        <w:rPr>
          <w:rFonts w:ascii="Arial" w:hAnsi="Arial" w:cs="Arial"/>
        </w:rPr>
        <w:t>. (2021)</w:t>
      </w:r>
      <w:r w:rsidRPr="00B710B0">
        <w:rPr>
          <w:rFonts w:ascii="Arial" w:hAnsi="Arial" w:cs="Arial"/>
          <w:lang w:val="en"/>
        </w:rPr>
        <w:t xml:space="preserve"> in Dhaka-Bangladesh reported higher bactericidal activity of neem oil extract against </w:t>
      </w:r>
      <w:r w:rsidRPr="00B710B0">
        <w:rPr>
          <w:rFonts w:ascii="Arial" w:hAnsi="Arial" w:cs="Arial"/>
          <w:i/>
          <w:lang w:val="en"/>
        </w:rPr>
        <w:t>Salmonella</w:t>
      </w:r>
      <w:r w:rsidRPr="00B710B0">
        <w:rPr>
          <w:rFonts w:ascii="Arial" w:hAnsi="Arial" w:cs="Arial"/>
          <w:lang w:val="en"/>
        </w:rPr>
        <w:t xml:space="preserve"> spp, and </w:t>
      </w:r>
      <w:r w:rsidRPr="00B710B0">
        <w:rPr>
          <w:rFonts w:ascii="Arial" w:hAnsi="Arial" w:cs="Arial"/>
          <w:i/>
          <w:lang w:val="en"/>
        </w:rPr>
        <w:t>E. coli</w:t>
      </w:r>
      <w:r w:rsidRPr="00B710B0">
        <w:rPr>
          <w:rFonts w:ascii="Arial" w:hAnsi="Arial" w:cs="Arial"/>
          <w:lang w:val="en"/>
        </w:rPr>
        <w:t xml:space="preserve"> with MIC of 12.5g/mL and 100g/mL respectively. Elsewhere, </w:t>
      </w:r>
      <w:r w:rsidRPr="00B710B0">
        <w:rPr>
          <w:rFonts w:ascii="Arial" w:hAnsi="Arial" w:cs="Arial"/>
        </w:rPr>
        <w:t xml:space="preserve">Almowallad and Alqahtani, (2024), reported </w:t>
      </w:r>
      <w:r w:rsidRPr="00B710B0">
        <w:rPr>
          <w:rFonts w:ascii="Arial" w:hAnsi="Arial" w:cs="Arial"/>
        </w:rPr>
        <w:lastRenderedPageBreak/>
        <w:t>high antibacterial activity of chitosan-neem extracts with inhibition zones as high as 22±3.14mm against pseudomonas species</w:t>
      </w:r>
      <w:r w:rsidRPr="00B710B0">
        <w:rPr>
          <w:rFonts w:ascii="Arial" w:hAnsi="Arial" w:cs="Arial"/>
          <w:lang w:val="en"/>
        </w:rPr>
        <w:t>. The higher sensitivity observed could be attributed to neem’s bioactive compounds which inhibits microbial enzymes and DNA replication (</w:t>
      </w:r>
      <w:r w:rsidRPr="00B710B0">
        <w:rPr>
          <w:rFonts w:ascii="Arial" w:hAnsi="Arial" w:cs="Arial"/>
        </w:rPr>
        <w:t xml:space="preserve">Mahmoud </w:t>
      </w:r>
      <w:r w:rsidRPr="00B710B0">
        <w:rPr>
          <w:rFonts w:ascii="Arial" w:hAnsi="Arial" w:cs="Arial"/>
          <w:i/>
        </w:rPr>
        <w:t>et al</w:t>
      </w:r>
      <w:r w:rsidRPr="00B710B0">
        <w:rPr>
          <w:rFonts w:ascii="Arial" w:hAnsi="Arial" w:cs="Arial"/>
        </w:rPr>
        <w:t>., 2024</w:t>
      </w:r>
      <w:r w:rsidRPr="00B710B0">
        <w:rPr>
          <w:rFonts w:ascii="Arial" w:hAnsi="Arial" w:cs="Arial"/>
          <w:lang w:val="en"/>
        </w:rPr>
        <w:t xml:space="preserve">). </w:t>
      </w:r>
    </w:p>
    <w:p w14:paraId="6904AD31" w14:textId="77777777" w:rsidR="00790ADA" w:rsidRPr="00B710B0" w:rsidRDefault="00062358" w:rsidP="00441B6F">
      <w:pPr>
        <w:pStyle w:val="ConcHead"/>
        <w:spacing w:after="0"/>
        <w:jc w:val="both"/>
        <w:rPr>
          <w:rFonts w:ascii="Arial" w:hAnsi="Arial" w:cs="Arial"/>
        </w:rPr>
      </w:pPr>
      <w:r w:rsidRPr="00B710B0">
        <w:rPr>
          <w:rFonts w:ascii="Arial" w:hAnsi="Arial" w:cs="Arial"/>
        </w:rPr>
        <w:t>5</w:t>
      </w:r>
      <w:r w:rsidR="00000F8F" w:rsidRPr="00B710B0">
        <w:rPr>
          <w:rFonts w:ascii="Arial" w:hAnsi="Arial" w:cs="Arial"/>
        </w:rPr>
        <w:t xml:space="preserve">. </w:t>
      </w:r>
      <w:r w:rsidR="00B01FCD" w:rsidRPr="00B710B0">
        <w:rPr>
          <w:rFonts w:ascii="Arial" w:hAnsi="Arial" w:cs="Arial"/>
        </w:rPr>
        <w:t>Conclusion</w:t>
      </w:r>
    </w:p>
    <w:p w14:paraId="73751401" w14:textId="77777777" w:rsidR="00D25912" w:rsidRPr="00B710B0" w:rsidRDefault="00D25912" w:rsidP="00441B6F">
      <w:pPr>
        <w:pStyle w:val="ConcHead"/>
        <w:spacing w:after="0"/>
        <w:jc w:val="both"/>
        <w:rPr>
          <w:rFonts w:ascii="Arial" w:hAnsi="Arial" w:cs="Arial"/>
        </w:rPr>
      </w:pPr>
    </w:p>
    <w:p w14:paraId="6D8D5715" w14:textId="3D67FA13" w:rsidR="00B01FCD" w:rsidRPr="00B710B0" w:rsidRDefault="0086649F" w:rsidP="0086649F">
      <w:pPr>
        <w:pStyle w:val="Body"/>
        <w:spacing w:after="0"/>
        <w:rPr>
          <w:rFonts w:ascii="Arial" w:hAnsi="Arial" w:cs="Arial"/>
          <w:lang w:val="en"/>
        </w:rPr>
      </w:pPr>
      <w:r w:rsidRPr="00B710B0">
        <w:rPr>
          <w:rFonts w:ascii="Arial" w:hAnsi="Arial" w:cs="Arial"/>
          <w:lang w:val="en"/>
        </w:rPr>
        <w:t>This study finding</w:t>
      </w:r>
      <w:r w:rsidR="00C934EC" w:rsidRPr="00B710B0">
        <w:rPr>
          <w:rFonts w:ascii="Arial" w:hAnsi="Arial" w:cs="Arial"/>
          <w:lang w:val="en"/>
        </w:rPr>
        <w:t>s</w:t>
      </w:r>
      <w:r w:rsidRPr="00B710B0">
        <w:rPr>
          <w:rFonts w:ascii="Arial" w:hAnsi="Arial" w:cs="Arial"/>
          <w:lang w:val="en"/>
        </w:rPr>
        <w:t xml:space="preserve"> show a high </w:t>
      </w:r>
      <w:r w:rsidRPr="00B710B0">
        <w:rPr>
          <w:rFonts w:ascii="Arial" w:hAnsi="Arial" w:cs="Arial"/>
        </w:rPr>
        <w:t>prevalence</w:t>
      </w:r>
      <w:r w:rsidRPr="00B710B0">
        <w:rPr>
          <w:rFonts w:ascii="Arial" w:hAnsi="Arial" w:cs="Arial"/>
          <w:lang w:val="en"/>
        </w:rPr>
        <w:t xml:space="preserve"> of gut bacteria</w:t>
      </w:r>
      <w:r w:rsidRPr="00B710B0">
        <w:rPr>
          <w:rFonts w:ascii="Arial" w:hAnsi="Arial" w:cs="Arial"/>
        </w:rPr>
        <w:t xml:space="preserve"> </w:t>
      </w:r>
      <w:r w:rsidRPr="00B710B0">
        <w:rPr>
          <w:rFonts w:ascii="Arial" w:hAnsi="Arial" w:cs="Arial"/>
          <w:lang w:val="en"/>
        </w:rPr>
        <w:t xml:space="preserve">especially </w:t>
      </w:r>
      <w:r w:rsidRPr="00B710B0">
        <w:rPr>
          <w:rFonts w:ascii="Arial" w:hAnsi="Arial" w:cs="Arial"/>
          <w:i/>
          <w:iCs/>
          <w:lang w:val="en"/>
        </w:rPr>
        <w:t xml:space="preserve">Salmonella </w:t>
      </w:r>
      <w:r w:rsidRPr="00B710B0">
        <w:rPr>
          <w:rFonts w:ascii="Arial" w:hAnsi="Arial" w:cs="Arial"/>
          <w:iCs/>
          <w:lang w:val="en"/>
        </w:rPr>
        <w:t>spp</w:t>
      </w:r>
      <w:r w:rsidRPr="00B710B0">
        <w:rPr>
          <w:rFonts w:ascii="Arial" w:hAnsi="Arial" w:cs="Arial"/>
          <w:i/>
          <w:iCs/>
          <w:lang w:val="en"/>
        </w:rPr>
        <w:t xml:space="preserve">. </w:t>
      </w:r>
      <w:r w:rsidRPr="00B710B0">
        <w:rPr>
          <w:rFonts w:ascii="Arial" w:hAnsi="Arial" w:cs="Arial"/>
          <w:lang w:val="en"/>
        </w:rPr>
        <w:t xml:space="preserve">and </w:t>
      </w:r>
      <w:r w:rsidRPr="00B710B0">
        <w:rPr>
          <w:rFonts w:ascii="Arial" w:hAnsi="Arial" w:cs="Arial"/>
          <w:i/>
          <w:iCs/>
          <w:lang w:val="en"/>
        </w:rPr>
        <w:t>E. coli</w:t>
      </w:r>
      <w:r w:rsidRPr="00B710B0">
        <w:rPr>
          <w:rFonts w:ascii="Arial" w:hAnsi="Arial" w:cs="Arial"/>
        </w:rPr>
        <w:t xml:space="preserve"> </w:t>
      </w:r>
      <w:r w:rsidRPr="00B710B0">
        <w:rPr>
          <w:rFonts w:ascii="Arial" w:hAnsi="Arial" w:cs="Arial"/>
          <w:lang w:val="en"/>
        </w:rPr>
        <w:t>in chickens reared in Thika East Subcounty. This high prevalence</w:t>
      </w:r>
      <w:r w:rsidR="00C934EC" w:rsidRPr="00B710B0">
        <w:rPr>
          <w:rFonts w:ascii="Arial" w:hAnsi="Arial" w:cs="Arial"/>
          <w:lang w:val="en"/>
        </w:rPr>
        <w:t>s</w:t>
      </w:r>
      <w:r w:rsidRPr="00B710B0">
        <w:rPr>
          <w:rFonts w:ascii="Arial" w:hAnsi="Arial" w:cs="Arial"/>
          <w:lang w:val="en"/>
        </w:rPr>
        <w:t xml:space="preserve"> of gut bacteria were associated with factors such not vaccinating chickens, not providing biosecurity measures like foot bath, keeping chicken in extensive production system and using antibiotic to prevent diseases. Extension officers in the study area should raise awareness of the prevalence of these bacteria and advocate for relevant interventions for their management. The present study reported high resistance of </w:t>
      </w:r>
      <w:r w:rsidRPr="00B710B0">
        <w:rPr>
          <w:rFonts w:ascii="Arial" w:hAnsi="Arial" w:cs="Arial"/>
          <w:i/>
          <w:lang w:val="en"/>
        </w:rPr>
        <w:t>E. coli</w:t>
      </w:r>
      <w:r w:rsidRPr="00B710B0">
        <w:rPr>
          <w:rFonts w:ascii="Arial" w:hAnsi="Arial" w:cs="Arial"/>
          <w:lang w:val="en"/>
        </w:rPr>
        <w:t xml:space="preserve"> and </w:t>
      </w:r>
      <w:r w:rsidRPr="00B710B0">
        <w:rPr>
          <w:rFonts w:ascii="Arial" w:hAnsi="Arial" w:cs="Arial"/>
          <w:i/>
          <w:lang w:val="en"/>
        </w:rPr>
        <w:t>S. aureus</w:t>
      </w:r>
      <w:r w:rsidRPr="00B710B0">
        <w:rPr>
          <w:rFonts w:ascii="Arial" w:hAnsi="Arial" w:cs="Arial"/>
          <w:lang w:val="en"/>
        </w:rPr>
        <w:t xml:space="preserve"> bacteria to prevalence in penicillin and tetracycline and thus strategies for management of AMR should be formulated.</w:t>
      </w:r>
      <w:r w:rsidRPr="00B710B0">
        <w:rPr>
          <w:rFonts w:ascii="Arial" w:hAnsi="Arial" w:cs="Arial"/>
        </w:rPr>
        <w:t xml:space="preserve"> A higher sensitivity among the bacterial isolates was observed in </w:t>
      </w:r>
      <w:r w:rsidRPr="00B710B0">
        <w:rPr>
          <w:rFonts w:ascii="Arial" w:hAnsi="Arial" w:cs="Arial"/>
          <w:lang w:val="en"/>
        </w:rPr>
        <w:t>chitosan-encapsulated neem oil</w:t>
      </w:r>
      <w:r w:rsidRPr="00B710B0">
        <w:rPr>
          <w:rFonts w:ascii="Arial" w:hAnsi="Arial" w:cs="Arial"/>
        </w:rPr>
        <w:t xml:space="preserve"> of higher concentrations which </w:t>
      </w:r>
      <w:r w:rsidRPr="00B710B0">
        <w:rPr>
          <w:rFonts w:ascii="Arial" w:hAnsi="Arial" w:cs="Arial"/>
          <w:lang w:val="en"/>
        </w:rPr>
        <w:t>suggests that the product can be further investigated as a viable</w:t>
      </w:r>
      <w:r w:rsidRPr="00B710B0">
        <w:rPr>
          <w:rFonts w:ascii="Arial" w:hAnsi="Arial" w:cs="Arial"/>
        </w:rPr>
        <w:t>,</w:t>
      </w:r>
      <w:r w:rsidRPr="00B710B0">
        <w:rPr>
          <w:rFonts w:ascii="Arial" w:hAnsi="Arial" w:cs="Arial"/>
          <w:lang w:val="en"/>
        </w:rPr>
        <w:t xml:space="preserve"> </w:t>
      </w:r>
      <w:r w:rsidRPr="00B710B0">
        <w:rPr>
          <w:rFonts w:ascii="Arial" w:hAnsi="Arial" w:cs="Arial"/>
        </w:rPr>
        <w:t xml:space="preserve">alternative </w:t>
      </w:r>
      <w:r w:rsidRPr="00B710B0">
        <w:rPr>
          <w:rFonts w:ascii="Arial" w:hAnsi="Arial" w:cs="Arial"/>
          <w:lang w:val="en"/>
        </w:rPr>
        <w:t xml:space="preserve">plant-based antimicrobial agent for controlling bacterial infections in </w:t>
      </w:r>
      <w:r w:rsidRPr="00B710B0">
        <w:rPr>
          <w:rFonts w:ascii="Arial" w:hAnsi="Arial" w:cs="Arial"/>
        </w:rPr>
        <w:t>chickens</w:t>
      </w:r>
      <w:r w:rsidRPr="00B710B0">
        <w:rPr>
          <w:rFonts w:ascii="Arial" w:hAnsi="Arial" w:cs="Arial"/>
          <w:lang w:val="en"/>
        </w:rPr>
        <w:t xml:space="preserve">. Future studies should focus on </w:t>
      </w:r>
      <w:r w:rsidRPr="00B710B0">
        <w:rPr>
          <w:rFonts w:ascii="Arial" w:hAnsi="Arial" w:cs="Arial"/>
          <w:i/>
          <w:lang w:val="en"/>
        </w:rPr>
        <w:t>in</w:t>
      </w:r>
      <w:r w:rsidRPr="00B710B0">
        <w:rPr>
          <w:rFonts w:ascii="Arial" w:hAnsi="Arial" w:cs="Arial"/>
          <w:i/>
        </w:rPr>
        <w:t xml:space="preserve"> </w:t>
      </w:r>
      <w:r w:rsidRPr="00B710B0">
        <w:rPr>
          <w:rFonts w:ascii="Arial" w:hAnsi="Arial" w:cs="Arial"/>
          <w:i/>
          <w:lang w:val="en"/>
        </w:rPr>
        <w:t>vivo</w:t>
      </w:r>
      <w:r w:rsidRPr="00B710B0">
        <w:rPr>
          <w:rFonts w:ascii="Arial" w:hAnsi="Arial" w:cs="Arial"/>
          <w:lang w:val="en"/>
        </w:rPr>
        <w:t xml:space="preserve"> evaluations, optimization of neem oil formulations and exploration of higher concentrations to enhance efficacy of the product.</w:t>
      </w:r>
    </w:p>
    <w:p w14:paraId="6252B00C" w14:textId="77777777" w:rsidR="00790ADA" w:rsidRPr="00B710B0" w:rsidRDefault="00790ADA" w:rsidP="00441B6F">
      <w:pPr>
        <w:pStyle w:val="Body"/>
        <w:spacing w:after="0"/>
        <w:rPr>
          <w:rFonts w:ascii="Arial" w:hAnsi="Arial" w:cs="Arial"/>
        </w:rPr>
      </w:pPr>
    </w:p>
    <w:p w14:paraId="126311D1" w14:textId="6EE3B5D0" w:rsidR="002B685A" w:rsidRDefault="002B685A" w:rsidP="00441B6F">
      <w:pPr>
        <w:pStyle w:val="ReferHead"/>
        <w:spacing w:after="0"/>
        <w:jc w:val="both"/>
        <w:rPr>
          <w:rFonts w:ascii="Arial" w:hAnsi="Arial" w:cs="Arial"/>
          <w:b w:val="0"/>
          <w:caps w:val="0"/>
          <w:sz w:val="20"/>
        </w:rPr>
      </w:pPr>
    </w:p>
    <w:p w14:paraId="30C2DE9B" w14:textId="77777777" w:rsidR="00C673E9" w:rsidRPr="00B710B0" w:rsidRDefault="00C673E9" w:rsidP="00441B6F">
      <w:pPr>
        <w:pStyle w:val="ReferHead"/>
        <w:spacing w:after="0"/>
        <w:jc w:val="both"/>
        <w:rPr>
          <w:rFonts w:ascii="Arial" w:hAnsi="Arial" w:cs="Arial"/>
          <w:b w:val="0"/>
          <w:caps w:val="0"/>
          <w:sz w:val="20"/>
        </w:rPr>
      </w:pPr>
    </w:p>
    <w:p w14:paraId="7DAF2C07" w14:textId="77777777" w:rsidR="002B685A" w:rsidRPr="00B710B0" w:rsidRDefault="002B685A" w:rsidP="00441B6F">
      <w:pPr>
        <w:pStyle w:val="ReferHead"/>
        <w:spacing w:after="0"/>
        <w:jc w:val="both"/>
        <w:rPr>
          <w:rFonts w:ascii="Arial" w:hAnsi="Arial" w:cs="Arial"/>
          <w:bCs/>
        </w:rPr>
      </w:pPr>
      <w:r w:rsidRPr="00B710B0">
        <w:rPr>
          <w:rFonts w:ascii="Arial" w:hAnsi="Arial" w:cs="Arial"/>
          <w:bCs/>
        </w:rPr>
        <w:t>Consent</w:t>
      </w:r>
    </w:p>
    <w:p w14:paraId="44391615" w14:textId="77777777" w:rsidR="002B685A" w:rsidRPr="00B710B0" w:rsidRDefault="002B685A" w:rsidP="00441B6F">
      <w:pPr>
        <w:pStyle w:val="ReferHead"/>
        <w:spacing w:after="0"/>
        <w:jc w:val="both"/>
        <w:rPr>
          <w:rFonts w:ascii="Arial" w:hAnsi="Arial" w:cs="Arial"/>
          <w:bCs/>
        </w:rPr>
      </w:pPr>
    </w:p>
    <w:p w14:paraId="5D11021D" w14:textId="77777777" w:rsidR="001A29D8" w:rsidRPr="00B710B0" w:rsidRDefault="00062358" w:rsidP="00441B6F">
      <w:pPr>
        <w:pStyle w:val="ReferHead"/>
        <w:spacing w:after="0"/>
        <w:jc w:val="both"/>
        <w:rPr>
          <w:rFonts w:ascii="Arial" w:hAnsi="Arial" w:cs="Arial"/>
          <w:b w:val="0"/>
          <w:caps w:val="0"/>
          <w:sz w:val="20"/>
        </w:rPr>
      </w:pPr>
      <w:r w:rsidRPr="00B710B0">
        <w:rPr>
          <w:rFonts w:ascii="Arial" w:hAnsi="Arial" w:cs="Arial"/>
          <w:b w:val="0"/>
          <w:caps w:val="0"/>
          <w:sz w:val="20"/>
        </w:rPr>
        <w:t xml:space="preserve">The informed consent </w:t>
      </w:r>
      <w:r w:rsidR="00D53DFD" w:rsidRPr="00B710B0">
        <w:rPr>
          <w:rFonts w:ascii="Arial" w:hAnsi="Arial" w:cs="Arial"/>
          <w:b w:val="0"/>
          <w:caps w:val="0"/>
          <w:sz w:val="20"/>
        </w:rPr>
        <w:t>was obtained verbally from the poultry farmers before the study commenced.</w:t>
      </w:r>
    </w:p>
    <w:p w14:paraId="708AEE3F" w14:textId="77777777" w:rsidR="005C784C" w:rsidRPr="00B710B0" w:rsidRDefault="005C784C" w:rsidP="00441B6F">
      <w:pPr>
        <w:pStyle w:val="ReferHead"/>
        <w:spacing w:after="0"/>
        <w:jc w:val="both"/>
        <w:rPr>
          <w:rFonts w:ascii="Arial" w:hAnsi="Arial" w:cs="Arial"/>
          <w:b w:val="0"/>
          <w:caps w:val="0"/>
          <w:sz w:val="20"/>
        </w:rPr>
      </w:pPr>
    </w:p>
    <w:p w14:paraId="1CE2CD51" w14:textId="77777777" w:rsidR="005C784C" w:rsidRPr="00B710B0" w:rsidRDefault="00470AB0" w:rsidP="00441B6F">
      <w:pPr>
        <w:pStyle w:val="ReferHead"/>
        <w:spacing w:after="0"/>
        <w:jc w:val="both"/>
        <w:rPr>
          <w:rFonts w:ascii="Arial" w:hAnsi="Arial" w:cs="Arial"/>
          <w:bCs/>
        </w:rPr>
      </w:pPr>
      <w:r w:rsidRPr="00B710B0">
        <w:rPr>
          <w:rFonts w:ascii="Arial" w:hAnsi="Arial" w:cs="Arial"/>
          <w:bCs/>
        </w:rPr>
        <w:t>Ethical approval</w:t>
      </w:r>
    </w:p>
    <w:p w14:paraId="43EB5B97" w14:textId="77777777" w:rsidR="005C784C" w:rsidRPr="00B710B0" w:rsidRDefault="005C784C" w:rsidP="00441B6F">
      <w:pPr>
        <w:pStyle w:val="ReferHead"/>
        <w:spacing w:after="0"/>
        <w:jc w:val="both"/>
        <w:rPr>
          <w:rFonts w:ascii="Arial" w:hAnsi="Arial" w:cs="Arial"/>
          <w:bCs/>
        </w:rPr>
      </w:pPr>
    </w:p>
    <w:p w14:paraId="37258E6A" w14:textId="77777777" w:rsidR="00470AB0" w:rsidRPr="00B710B0" w:rsidRDefault="00470AB0" w:rsidP="00470AB0">
      <w:pPr>
        <w:pStyle w:val="ReferHead"/>
        <w:spacing w:after="0"/>
        <w:jc w:val="both"/>
        <w:rPr>
          <w:rFonts w:ascii="Arial" w:hAnsi="Arial" w:cs="Arial"/>
          <w:b w:val="0"/>
          <w:caps w:val="0"/>
          <w:sz w:val="20"/>
        </w:rPr>
      </w:pPr>
      <w:r w:rsidRPr="00B710B0">
        <w:rPr>
          <w:rFonts w:ascii="Arial" w:hAnsi="Arial" w:cs="Arial"/>
          <w:b w:val="0"/>
          <w:caps w:val="0"/>
          <w:sz w:val="20"/>
        </w:rPr>
        <w:t>All animal and laboratory procedure were reviewed and approved by Jomo Kenyatta University of Agriculture and Technology Institutional Scientific and Ethical Review Committee (JKU/ISERC/02317/1331).</w:t>
      </w:r>
    </w:p>
    <w:p w14:paraId="36D55B30" w14:textId="77777777" w:rsidR="00860000" w:rsidRPr="00B710B0" w:rsidRDefault="00860000" w:rsidP="00441B6F">
      <w:pPr>
        <w:pStyle w:val="ReferHead"/>
        <w:spacing w:after="0"/>
        <w:jc w:val="both"/>
        <w:rPr>
          <w:rFonts w:ascii="Arial" w:hAnsi="Arial" w:cs="Arial"/>
        </w:rPr>
      </w:pPr>
    </w:p>
    <w:p w14:paraId="321822BF" w14:textId="77777777" w:rsidR="00E769F6" w:rsidRPr="00B710B0" w:rsidRDefault="00B01FCD" w:rsidP="00D25912">
      <w:pPr>
        <w:pStyle w:val="ReferHead"/>
        <w:spacing w:after="0"/>
        <w:jc w:val="both"/>
        <w:rPr>
          <w:rFonts w:ascii="Arial" w:hAnsi="Arial" w:cs="Arial"/>
        </w:rPr>
      </w:pPr>
      <w:r w:rsidRPr="00B710B0">
        <w:rPr>
          <w:rFonts w:ascii="Arial" w:hAnsi="Arial" w:cs="Arial"/>
        </w:rPr>
        <w:t>References</w:t>
      </w:r>
    </w:p>
    <w:p w14:paraId="62F9B8D9" w14:textId="77777777" w:rsidR="00D25912" w:rsidRPr="00B710B0" w:rsidRDefault="00D25912" w:rsidP="00441B6F">
      <w:pPr>
        <w:pStyle w:val="Body"/>
        <w:spacing w:after="0"/>
        <w:rPr>
          <w:rFonts w:ascii="Arial" w:hAnsi="Arial" w:cs="Arial"/>
        </w:rPr>
      </w:pPr>
    </w:p>
    <w:p w14:paraId="21355744" w14:textId="77777777" w:rsidR="00F82F0E" w:rsidRPr="00B710B0" w:rsidRDefault="00FD1CDF" w:rsidP="00D25912">
      <w:pPr>
        <w:pStyle w:val="Body"/>
        <w:numPr>
          <w:ilvl w:val="0"/>
          <w:numId w:val="31"/>
        </w:numPr>
        <w:spacing w:after="0"/>
        <w:rPr>
          <w:rFonts w:ascii="Arial" w:hAnsi="Arial" w:cs="Arial"/>
          <w:color w:val="000000" w:themeColor="text1"/>
        </w:rPr>
      </w:pPr>
      <w:proofErr w:type="spellStart"/>
      <w:r w:rsidRPr="00B710B0">
        <w:rPr>
          <w:rFonts w:ascii="Arial" w:hAnsi="Arial" w:cs="Arial"/>
          <w:color w:val="000000" w:themeColor="text1"/>
        </w:rPr>
        <w:t>Magothe</w:t>
      </w:r>
      <w:proofErr w:type="spellEnd"/>
      <w:r w:rsidRPr="00B710B0">
        <w:rPr>
          <w:rFonts w:ascii="Arial" w:hAnsi="Arial" w:cs="Arial"/>
          <w:color w:val="000000" w:themeColor="text1"/>
        </w:rPr>
        <w:t xml:space="preserve">, T. M., </w:t>
      </w:r>
      <w:proofErr w:type="spellStart"/>
      <w:r w:rsidRPr="00B710B0">
        <w:rPr>
          <w:rFonts w:ascii="Arial" w:hAnsi="Arial" w:cs="Arial"/>
          <w:color w:val="000000" w:themeColor="text1"/>
        </w:rPr>
        <w:t>Okeno</w:t>
      </w:r>
      <w:proofErr w:type="spellEnd"/>
      <w:r w:rsidRPr="00B710B0">
        <w:rPr>
          <w:rFonts w:ascii="Arial" w:hAnsi="Arial" w:cs="Arial"/>
          <w:color w:val="000000" w:themeColor="text1"/>
        </w:rPr>
        <w:t xml:space="preserve">, T. O., </w:t>
      </w:r>
      <w:proofErr w:type="spellStart"/>
      <w:r w:rsidRPr="00B710B0">
        <w:rPr>
          <w:rFonts w:ascii="Arial" w:hAnsi="Arial" w:cs="Arial"/>
          <w:color w:val="000000" w:themeColor="text1"/>
        </w:rPr>
        <w:t>Muhuyi</w:t>
      </w:r>
      <w:proofErr w:type="spellEnd"/>
      <w:r w:rsidRPr="00B710B0">
        <w:rPr>
          <w:rFonts w:ascii="Arial" w:hAnsi="Arial" w:cs="Arial"/>
          <w:color w:val="000000" w:themeColor="text1"/>
        </w:rPr>
        <w:t>, W. B., and Kahi, A. K. (2012). Indigenous chicken production in Kenya: I. Current status. </w:t>
      </w:r>
      <w:r w:rsidRPr="00B710B0">
        <w:rPr>
          <w:rFonts w:ascii="Arial" w:hAnsi="Arial" w:cs="Arial"/>
          <w:i/>
          <w:iCs/>
          <w:color w:val="000000" w:themeColor="text1"/>
        </w:rPr>
        <w:t>World's Poultry Science Journal</w:t>
      </w:r>
      <w:r w:rsidRPr="00B710B0">
        <w:rPr>
          <w:rFonts w:ascii="Arial" w:hAnsi="Arial" w:cs="Arial"/>
          <w:color w:val="000000" w:themeColor="text1"/>
        </w:rPr>
        <w:t>, </w:t>
      </w:r>
      <w:r w:rsidRPr="00B710B0">
        <w:rPr>
          <w:rFonts w:ascii="Arial" w:hAnsi="Arial" w:cs="Arial"/>
          <w:i/>
          <w:iCs/>
          <w:color w:val="000000" w:themeColor="text1"/>
        </w:rPr>
        <w:t>68</w:t>
      </w:r>
      <w:r w:rsidRPr="00B710B0">
        <w:rPr>
          <w:rFonts w:ascii="Arial" w:hAnsi="Arial" w:cs="Arial"/>
          <w:color w:val="000000" w:themeColor="text1"/>
        </w:rPr>
        <w:t xml:space="preserve">(1), 119-132. </w:t>
      </w:r>
      <w:hyperlink r:id="rId14" w:history="1">
        <w:r w:rsidRPr="00B710B0">
          <w:rPr>
            <w:rStyle w:val="Hyperlink"/>
            <w:rFonts w:ascii="Arial" w:hAnsi="Arial" w:cs="Arial"/>
            <w:color w:val="000000" w:themeColor="text1"/>
          </w:rPr>
          <w:t>http://dx.doi.org/10.1017/S0043933912000128</w:t>
        </w:r>
      </w:hyperlink>
    </w:p>
    <w:p w14:paraId="16619DE7"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Nawaz, A. H., Amoah, K., Leng, Q. Y., Zheng, J. H., Zhang, W. L., and Zhang, L. (2021). Poultry response to heat stress: Its physiological, metabolic, and genetic implications on meat production and quality including strategies to improve broiler production in a warming world. </w:t>
      </w:r>
      <w:r w:rsidRPr="00B710B0">
        <w:rPr>
          <w:rFonts w:ascii="Arial" w:hAnsi="Arial" w:cs="Arial"/>
          <w:i/>
          <w:iCs/>
          <w:color w:val="000000" w:themeColor="text1"/>
        </w:rPr>
        <w:t>Frontiers in veterinary science</w:t>
      </w:r>
      <w:r w:rsidRPr="00B710B0">
        <w:rPr>
          <w:rFonts w:ascii="Arial" w:hAnsi="Arial" w:cs="Arial"/>
          <w:color w:val="000000" w:themeColor="text1"/>
        </w:rPr>
        <w:t>, </w:t>
      </w:r>
      <w:r w:rsidRPr="00B710B0">
        <w:rPr>
          <w:rFonts w:ascii="Arial" w:hAnsi="Arial" w:cs="Arial"/>
          <w:i/>
          <w:iCs/>
          <w:color w:val="000000" w:themeColor="text1"/>
        </w:rPr>
        <w:t>8</w:t>
      </w:r>
      <w:r w:rsidRPr="00B710B0">
        <w:rPr>
          <w:rFonts w:ascii="Arial" w:hAnsi="Arial" w:cs="Arial"/>
          <w:color w:val="000000" w:themeColor="text1"/>
        </w:rPr>
        <w:t xml:space="preserve">, 699081. </w:t>
      </w:r>
      <w:hyperlink r:id="rId15" w:history="1">
        <w:r w:rsidRPr="00B710B0">
          <w:rPr>
            <w:rStyle w:val="Hyperlink"/>
            <w:rFonts w:ascii="Arial" w:hAnsi="Arial" w:cs="Arial"/>
            <w:color w:val="000000" w:themeColor="text1"/>
          </w:rPr>
          <w:t>https://doi.org/10.3389/fvets.2021.699081</w:t>
        </w:r>
      </w:hyperlink>
    </w:p>
    <w:p w14:paraId="39F3645C"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KNBS., 2019. Kenya National Bureau of Statistics, 2019. Economic survey 2019. Government of Kenya, Nairobi, Kenya. </w:t>
      </w:r>
      <w:hyperlink r:id="rId16" w:history="1">
        <w:r w:rsidRPr="00B710B0">
          <w:rPr>
            <w:rStyle w:val="Hyperlink"/>
            <w:rFonts w:ascii="Arial" w:hAnsi="Arial" w:cs="Arial"/>
            <w:color w:val="000000" w:themeColor="text1"/>
          </w:rPr>
          <w:t>https://www.knbs.or.ke/reports/2019-economic-survey/</w:t>
        </w:r>
      </w:hyperlink>
    </w:p>
    <w:p w14:paraId="495DF52A"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Mohamed, M. M. (2024). </w:t>
      </w:r>
      <w:r w:rsidRPr="00B710B0">
        <w:rPr>
          <w:rFonts w:ascii="Arial" w:hAnsi="Arial" w:cs="Arial"/>
          <w:i/>
          <w:iCs/>
          <w:color w:val="000000" w:themeColor="text1"/>
        </w:rPr>
        <w:t>Factors Influencing Commercial Production of Indigenous Poultry in Mandera County, Kenya</w:t>
      </w:r>
      <w:r w:rsidRPr="00B710B0">
        <w:rPr>
          <w:rFonts w:ascii="Arial" w:hAnsi="Arial" w:cs="Arial"/>
          <w:color w:val="000000" w:themeColor="text1"/>
        </w:rPr>
        <w:t xml:space="preserve"> (Doctoral dissertation, </w:t>
      </w:r>
      <w:proofErr w:type="spellStart"/>
      <w:r w:rsidRPr="00B710B0">
        <w:rPr>
          <w:rFonts w:ascii="Arial" w:hAnsi="Arial" w:cs="Arial"/>
          <w:color w:val="000000" w:themeColor="text1"/>
        </w:rPr>
        <w:t>KeMU</w:t>
      </w:r>
      <w:proofErr w:type="spellEnd"/>
      <w:r w:rsidRPr="00B710B0">
        <w:rPr>
          <w:rFonts w:ascii="Arial" w:hAnsi="Arial" w:cs="Arial"/>
          <w:color w:val="000000" w:themeColor="text1"/>
        </w:rPr>
        <w:t xml:space="preserve">). </w:t>
      </w:r>
      <w:hyperlink r:id="rId17" w:history="1">
        <w:r w:rsidRPr="00B710B0">
          <w:rPr>
            <w:rStyle w:val="Hyperlink"/>
            <w:rFonts w:ascii="Arial" w:hAnsi="Arial" w:cs="Arial"/>
            <w:color w:val="000000" w:themeColor="text1"/>
          </w:rPr>
          <w:t>http://repository.kemu.ac.ke/handle/123456789/1785</w:t>
        </w:r>
      </w:hyperlink>
    </w:p>
    <w:p w14:paraId="34931AA2"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Rafiq, K., </w:t>
      </w:r>
      <w:proofErr w:type="spellStart"/>
      <w:r w:rsidRPr="00B710B0">
        <w:rPr>
          <w:rFonts w:ascii="Arial" w:hAnsi="Arial" w:cs="Arial"/>
          <w:color w:val="000000" w:themeColor="text1"/>
        </w:rPr>
        <w:t>Tofazzal</w:t>
      </w:r>
      <w:proofErr w:type="spellEnd"/>
      <w:r w:rsidRPr="00B710B0">
        <w:rPr>
          <w:rFonts w:ascii="Arial" w:hAnsi="Arial" w:cs="Arial"/>
          <w:color w:val="000000" w:themeColor="text1"/>
        </w:rPr>
        <w:t xml:space="preserve"> Hossain, M., Ahmed, R., Hasan, M. M., Islam, R., Hossen, M. I. et al., (2022). Role of different growth enhancers as alternative to in-feed antibiotics in poultry industry. </w:t>
      </w:r>
      <w:r w:rsidRPr="00B710B0">
        <w:rPr>
          <w:rFonts w:ascii="Arial" w:hAnsi="Arial" w:cs="Arial"/>
          <w:i/>
          <w:iCs/>
          <w:color w:val="000000" w:themeColor="text1"/>
        </w:rPr>
        <w:t>Frontiers in veterinary science</w:t>
      </w:r>
      <w:r w:rsidRPr="00B710B0">
        <w:rPr>
          <w:rFonts w:ascii="Arial" w:hAnsi="Arial" w:cs="Arial"/>
          <w:color w:val="000000" w:themeColor="text1"/>
        </w:rPr>
        <w:t>, </w:t>
      </w:r>
      <w:r w:rsidRPr="00B710B0">
        <w:rPr>
          <w:rFonts w:ascii="Arial" w:hAnsi="Arial" w:cs="Arial"/>
          <w:i/>
          <w:iCs/>
          <w:color w:val="000000" w:themeColor="text1"/>
        </w:rPr>
        <w:t>8</w:t>
      </w:r>
      <w:r w:rsidRPr="00B710B0">
        <w:rPr>
          <w:rFonts w:ascii="Arial" w:hAnsi="Arial" w:cs="Arial"/>
          <w:color w:val="000000" w:themeColor="text1"/>
        </w:rPr>
        <w:t xml:space="preserve">, 794588. </w:t>
      </w:r>
      <w:hyperlink r:id="rId18" w:history="1">
        <w:r w:rsidRPr="00B710B0">
          <w:rPr>
            <w:rStyle w:val="Hyperlink"/>
            <w:rFonts w:ascii="Arial" w:hAnsi="Arial" w:cs="Arial"/>
            <w:color w:val="000000" w:themeColor="text1"/>
          </w:rPr>
          <w:t>https://doi.org/10.3389/fvets.2021.794588</w:t>
        </w:r>
      </w:hyperlink>
    </w:p>
    <w:p w14:paraId="0A71928B"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Deng, T. A., </w:t>
      </w:r>
      <w:proofErr w:type="spellStart"/>
      <w:r w:rsidRPr="00B710B0">
        <w:rPr>
          <w:rFonts w:ascii="Arial" w:hAnsi="Arial" w:cs="Arial"/>
          <w:color w:val="000000" w:themeColor="text1"/>
        </w:rPr>
        <w:t>Bebora</w:t>
      </w:r>
      <w:proofErr w:type="spellEnd"/>
      <w:r w:rsidRPr="00B710B0">
        <w:rPr>
          <w:rFonts w:ascii="Arial" w:hAnsi="Arial" w:cs="Arial"/>
          <w:color w:val="000000" w:themeColor="text1"/>
        </w:rPr>
        <w:t xml:space="preserve">, L. C., Odongo, M. O., Muchemi, G. M., </w:t>
      </w:r>
      <w:proofErr w:type="spellStart"/>
      <w:r w:rsidRPr="00B710B0">
        <w:rPr>
          <w:rFonts w:ascii="Arial" w:hAnsi="Arial" w:cs="Arial"/>
          <w:color w:val="000000" w:themeColor="text1"/>
        </w:rPr>
        <w:t>Karuki</w:t>
      </w:r>
      <w:proofErr w:type="spellEnd"/>
      <w:r w:rsidRPr="00B710B0">
        <w:rPr>
          <w:rFonts w:ascii="Arial" w:hAnsi="Arial" w:cs="Arial"/>
          <w:color w:val="000000" w:themeColor="text1"/>
        </w:rPr>
        <w:t xml:space="preserve">, S., and </w:t>
      </w:r>
      <w:proofErr w:type="spellStart"/>
      <w:r w:rsidRPr="00B710B0">
        <w:rPr>
          <w:rFonts w:ascii="Arial" w:hAnsi="Arial" w:cs="Arial"/>
          <w:color w:val="000000" w:themeColor="text1"/>
        </w:rPr>
        <w:t>Gathumi</w:t>
      </w:r>
      <w:proofErr w:type="spellEnd"/>
      <w:r w:rsidRPr="00B710B0">
        <w:rPr>
          <w:rFonts w:ascii="Arial" w:hAnsi="Arial" w:cs="Arial"/>
          <w:color w:val="000000" w:themeColor="text1"/>
        </w:rPr>
        <w:t xml:space="preserve">, P. K. (2024). Antimicrobial Resistance Profiles of </w:t>
      </w:r>
      <w:r w:rsidRPr="00B710B0">
        <w:rPr>
          <w:rFonts w:ascii="Arial" w:hAnsi="Arial" w:cs="Arial"/>
          <w:i/>
          <w:color w:val="000000" w:themeColor="text1"/>
        </w:rPr>
        <w:t>E. coli</w:t>
      </w:r>
      <w:r w:rsidRPr="00B710B0">
        <w:rPr>
          <w:rFonts w:ascii="Arial" w:hAnsi="Arial" w:cs="Arial"/>
          <w:color w:val="000000" w:themeColor="text1"/>
        </w:rPr>
        <w:t xml:space="preserve"> Isolated </w:t>
      </w:r>
      <w:proofErr w:type="gramStart"/>
      <w:r w:rsidRPr="00B710B0">
        <w:rPr>
          <w:rFonts w:ascii="Arial" w:hAnsi="Arial" w:cs="Arial"/>
          <w:color w:val="000000" w:themeColor="text1"/>
        </w:rPr>
        <w:t>From</w:t>
      </w:r>
      <w:proofErr w:type="gramEnd"/>
      <w:r w:rsidRPr="00B710B0">
        <w:rPr>
          <w:rFonts w:ascii="Arial" w:hAnsi="Arial" w:cs="Arial"/>
          <w:color w:val="000000" w:themeColor="text1"/>
        </w:rPr>
        <w:t xml:space="preserve"> Pooled Samples of Sick, Farm, and Market Chickens in Nairobi County, Kenya. </w:t>
      </w:r>
      <w:r w:rsidRPr="00B710B0">
        <w:rPr>
          <w:rFonts w:ascii="Arial" w:hAnsi="Arial" w:cs="Arial"/>
          <w:i/>
          <w:iCs/>
          <w:color w:val="000000" w:themeColor="text1"/>
        </w:rPr>
        <w:t>Veterinary Medicine International</w:t>
      </w:r>
      <w:r w:rsidRPr="00B710B0">
        <w:rPr>
          <w:rFonts w:ascii="Arial" w:hAnsi="Arial" w:cs="Arial"/>
          <w:color w:val="000000" w:themeColor="text1"/>
        </w:rPr>
        <w:t>, </w:t>
      </w:r>
      <w:r w:rsidRPr="00B710B0">
        <w:rPr>
          <w:rFonts w:ascii="Arial" w:hAnsi="Arial" w:cs="Arial"/>
          <w:i/>
          <w:iCs/>
          <w:color w:val="000000" w:themeColor="text1"/>
        </w:rPr>
        <w:t>2024</w:t>
      </w:r>
      <w:r w:rsidRPr="00B710B0">
        <w:rPr>
          <w:rFonts w:ascii="Arial" w:hAnsi="Arial" w:cs="Arial"/>
          <w:color w:val="000000" w:themeColor="text1"/>
        </w:rPr>
        <w:t xml:space="preserve">(1), 9921963. </w:t>
      </w:r>
      <w:hyperlink r:id="rId19" w:history="1">
        <w:r w:rsidRPr="00B710B0">
          <w:rPr>
            <w:rStyle w:val="Hyperlink"/>
            <w:rFonts w:ascii="Arial" w:hAnsi="Arial" w:cs="Arial"/>
            <w:color w:val="000000" w:themeColor="text1"/>
          </w:rPr>
          <w:t>https://doi.org/10.1155/2024/9921963</w:t>
        </w:r>
      </w:hyperlink>
    </w:p>
    <w:p w14:paraId="420FA23B"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Wanja, D. W., Mbuthia, P. G., </w:t>
      </w:r>
      <w:proofErr w:type="spellStart"/>
      <w:r w:rsidRPr="00B710B0">
        <w:rPr>
          <w:rFonts w:ascii="Arial" w:hAnsi="Arial" w:cs="Arial"/>
          <w:color w:val="000000" w:themeColor="text1"/>
        </w:rPr>
        <w:t>Bebora</w:t>
      </w:r>
      <w:proofErr w:type="spellEnd"/>
      <w:r w:rsidRPr="00B710B0">
        <w:rPr>
          <w:rFonts w:ascii="Arial" w:hAnsi="Arial" w:cs="Arial"/>
          <w:color w:val="000000" w:themeColor="text1"/>
        </w:rPr>
        <w:t xml:space="preserve">, L. C., </w:t>
      </w:r>
      <w:proofErr w:type="spellStart"/>
      <w:r w:rsidRPr="00B710B0">
        <w:rPr>
          <w:rFonts w:ascii="Arial" w:hAnsi="Arial" w:cs="Arial"/>
          <w:color w:val="000000" w:themeColor="text1"/>
        </w:rPr>
        <w:t>Aboge</w:t>
      </w:r>
      <w:proofErr w:type="spellEnd"/>
      <w:r w:rsidRPr="00B710B0">
        <w:rPr>
          <w:rFonts w:ascii="Arial" w:hAnsi="Arial" w:cs="Arial"/>
          <w:color w:val="000000" w:themeColor="text1"/>
        </w:rPr>
        <w:t xml:space="preserve">, G. O., and </w:t>
      </w:r>
      <w:proofErr w:type="spellStart"/>
      <w:r w:rsidRPr="00B710B0">
        <w:rPr>
          <w:rFonts w:ascii="Arial" w:hAnsi="Arial" w:cs="Arial"/>
          <w:color w:val="000000" w:themeColor="text1"/>
        </w:rPr>
        <w:t>Ogoti</w:t>
      </w:r>
      <w:proofErr w:type="spellEnd"/>
      <w:r w:rsidRPr="00B710B0">
        <w:rPr>
          <w:rFonts w:ascii="Arial" w:hAnsi="Arial" w:cs="Arial"/>
          <w:color w:val="000000" w:themeColor="text1"/>
        </w:rPr>
        <w:t xml:space="preserve">, B. (2023). Antimicrobial Usage, Susceptibility Profiles, and Resistance Genes in </w:t>
      </w:r>
      <w:r w:rsidRPr="00B710B0">
        <w:rPr>
          <w:rFonts w:ascii="Arial" w:hAnsi="Arial" w:cs="Arial"/>
          <w:i/>
          <w:color w:val="000000" w:themeColor="text1"/>
        </w:rPr>
        <w:t>Campylobacter</w:t>
      </w:r>
      <w:r w:rsidRPr="00B710B0">
        <w:rPr>
          <w:rFonts w:ascii="Arial" w:hAnsi="Arial" w:cs="Arial"/>
          <w:color w:val="000000" w:themeColor="text1"/>
        </w:rPr>
        <w:t xml:space="preserve"> Isolated from Cattle, Chicken, and Water Samples in Kajiado County, Kenya. </w:t>
      </w:r>
      <w:r w:rsidRPr="00B710B0">
        <w:rPr>
          <w:rFonts w:ascii="Arial" w:hAnsi="Arial" w:cs="Arial"/>
          <w:i/>
          <w:iCs/>
          <w:color w:val="000000" w:themeColor="text1"/>
        </w:rPr>
        <w:t>International Journal of Microbiology</w:t>
      </w:r>
      <w:r w:rsidRPr="00B710B0">
        <w:rPr>
          <w:rFonts w:ascii="Arial" w:hAnsi="Arial" w:cs="Arial"/>
          <w:color w:val="000000" w:themeColor="text1"/>
        </w:rPr>
        <w:t>, </w:t>
      </w:r>
      <w:r w:rsidRPr="00B710B0">
        <w:rPr>
          <w:rFonts w:ascii="Arial" w:hAnsi="Arial" w:cs="Arial"/>
          <w:i/>
          <w:iCs/>
          <w:color w:val="000000" w:themeColor="text1"/>
        </w:rPr>
        <w:t>2023</w:t>
      </w:r>
      <w:r w:rsidRPr="00B710B0">
        <w:rPr>
          <w:rFonts w:ascii="Arial" w:hAnsi="Arial" w:cs="Arial"/>
          <w:color w:val="000000" w:themeColor="text1"/>
        </w:rPr>
        <w:t xml:space="preserve">(1), 8394605. </w:t>
      </w:r>
      <w:hyperlink r:id="rId20" w:history="1">
        <w:r w:rsidRPr="00B710B0">
          <w:rPr>
            <w:rStyle w:val="Hyperlink"/>
            <w:rFonts w:ascii="Arial" w:hAnsi="Arial" w:cs="Arial"/>
            <w:color w:val="000000" w:themeColor="text1"/>
          </w:rPr>
          <w:t>https://doi.org/10.1155/2023/8394605</w:t>
        </w:r>
      </w:hyperlink>
    </w:p>
    <w:p w14:paraId="6CCF9310"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Muthuma</w:t>
      </w:r>
      <w:proofErr w:type="spellEnd"/>
      <w:r w:rsidRPr="00B710B0">
        <w:rPr>
          <w:rFonts w:ascii="Arial" w:hAnsi="Arial" w:cs="Arial"/>
          <w:color w:val="000000" w:themeColor="text1"/>
        </w:rPr>
        <w:t xml:space="preserve">, E. N., </w:t>
      </w:r>
      <w:proofErr w:type="spellStart"/>
      <w:r w:rsidRPr="00B710B0">
        <w:rPr>
          <w:rFonts w:ascii="Arial" w:hAnsi="Arial" w:cs="Arial"/>
          <w:color w:val="000000" w:themeColor="text1"/>
        </w:rPr>
        <w:t>Aboge</w:t>
      </w:r>
      <w:proofErr w:type="spellEnd"/>
      <w:r w:rsidRPr="00B710B0">
        <w:rPr>
          <w:rFonts w:ascii="Arial" w:hAnsi="Arial" w:cs="Arial"/>
          <w:color w:val="000000" w:themeColor="text1"/>
        </w:rPr>
        <w:t>, G. O., and Gitau, G. K. (2018). Sulphonamides residues detected in broiler meat from poultry farms in peri-urban, Nairobi, Kenya. </w:t>
      </w:r>
      <w:r w:rsidRPr="00B710B0">
        <w:rPr>
          <w:rFonts w:ascii="Arial" w:hAnsi="Arial" w:cs="Arial"/>
          <w:i/>
          <w:iCs/>
          <w:color w:val="000000" w:themeColor="text1"/>
        </w:rPr>
        <w:t>Am. J. Res. Comm</w:t>
      </w:r>
      <w:r w:rsidRPr="00B710B0">
        <w:rPr>
          <w:rFonts w:ascii="Arial" w:hAnsi="Arial" w:cs="Arial"/>
          <w:color w:val="000000" w:themeColor="text1"/>
        </w:rPr>
        <w:t>, </w:t>
      </w:r>
      <w:r w:rsidRPr="00B710B0">
        <w:rPr>
          <w:rFonts w:ascii="Arial" w:hAnsi="Arial" w:cs="Arial"/>
          <w:i/>
          <w:iCs/>
          <w:color w:val="000000" w:themeColor="text1"/>
        </w:rPr>
        <w:t>6</w:t>
      </w:r>
      <w:r w:rsidRPr="00B710B0">
        <w:rPr>
          <w:rFonts w:ascii="Arial" w:hAnsi="Arial" w:cs="Arial"/>
          <w:color w:val="000000" w:themeColor="text1"/>
        </w:rPr>
        <w:t xml:space="preserve">, 1-17. </w:t>
      </w:r>
      <w:hyperlink r:id="rId21" w:history="1">
        <w:r w:rsidRPr="00B710B0">
          <w:rPr>
            <w:rStyle w:val="Hyperlink"/>
            <w:rFonts w:ascii="Arial" w:hAnsi="Arial" w:cs="Arial"/>
            <w:color w:val="000000" w:themeColor="text1"/>
          </w:rPr>
          <w:t>https://doi.org/10.3390/antibiotics12050905</w:t>
        </w:r>
      </w:hyperlink>
    </w:p>
    <w:p w14:paraId="7249C0A6"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lastRenderedPageBreak/>
        <w:t>Odundo</w:t>
      </w:r>
      <w:proofErr w:type="spellEnd"/>
      <w:r w:rsidRPr="00B710B0">
        <w:rPr>
          <w:rFonts w:ascii="Arial" w:hAnsi="Arial" w:cs="Arial"/>
          <w:color w:val="000000" w:themeColor="text1"/>
        </w:rPr>
        <w:t>, F., Ngigi, A., and Magu, M. (2023). Sulfonamides and β-lactam antibiotic residues and human health risk assessment in commercial chicken meat sold in Nairobi City, Kenya. </w:t>
      </w:r>
      <w:proofErr w:type="spellStart"/>
      <w:r w:rsidRPr="00B710B0">
        <w:rPr>
          <w:rFonts w:ascii="Arial" w:hAnsi="Arial" w:cs="Arial"/>
          <w:i/>
          <w:iCs/>
          <w:color w:val="000000" w:themeColor="text1"/>
        </w:rPr>
        <w:t>Heliyon</w:t>
      </w:r>
      <w:proofErr w:type="spellEnd"/>
      <w:r w:rsidRPr="00B710B0">
        <w:rPr>
          <w:rFonts w:ascii="Arial" w:hAnsi="Arial" w:cs="Arial"/>
          <w:color w:val="000000" w:themeColor="text1"/>
        </w:rPr>
        <w:t>, </w:t>
      </w:r>
      <w:r w:rsidRPr="00B710B0">
        <w:rPr>
          <w:rFonts w:ascii="Arial" w:hAnsi="Arial" w:cs="Arial"/>
          <w:i/>
          <w:iCs/>
          <w:color w:val="000000" w:themeColor="text1"/>
        </w:rPr>
        <w:t>9</w:t>
      </w:r>
      <w:r w:rsidRPr="00B710B0">
        <w:rPr>
          <w:rFonts w:ascii="Arial" w:hAnsi="Arial" w:cs="Arial"/>
          <w:color w:val="000000" w:themeColor="text1"/>
        </w:rPr>
        <w:t xml:space="preserve">(8). </w:t>
      </w:r>
      <w:hyperlink r:id="rId22" w:history="1">
        <w:r w:rsidRPr="00B710B0">
          <w:rPr>
            <w:rStyle w:val="Hyperlink"/>
            <w:rFonts w:ascii="Arial" w:hAnsi="Arial" w:cs="Arial"/>
            <w:color w:val="000000" w:themeColor="text1"/>
          </w:rPr>
          <w:t>https://doi.org/10.1016/j.heliyon.2023.e18810</w:t>
        </w:r>
      </w:hyperlink>
    </w:p>
    <w:p w14:paraId="1270999E"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Ghimpețeanu</w:t>
      </w:r>
      <w:proofErr w:type="spellEnd"/>
      <w:r w:rsidRPr="00B710B0">
        <w:rPr>
          <w:rFonts w:ascii="Arial" w:hAnsi="Arial" w:cs="Arial"/>
          <w:color w:val="000000" w:themeColor="text1"/>
        </w:rPr>
        <w:t xml:space="preserve">, O. M., </w:t>
      </w:r>
      <w:proofErr w:type="spellStart"/>
      <w:r w:rsidRPr="00B710B0">
        <w:rPr>
          <w:rFonts w:ascii="Arial" w:hAnsi="Arial" w:cs="Arial"/>
          <w:color w:val="000000" w:themeColor="text1"/>
        </w:rPr>
        <w:t>Pogurschi</w:t>
      </w:r>
      <w:proofErr w:type="spellEnd"/>
      <w:r w:rsidRPr="00B710B0">
        <w:rPr>
          <w:rFonts w:ascii="Arial" w:hAnsi="Arial" w:cs="Arial"/>
          <w:color w:val="000000" w:themeColor="text1"/>
        </w:rPr>
        <w:t xml:space="preserve">, E. N., Popa, D. C., Dragomir, N., </w:t>
      </w:r>
      <w:proofErr w:type="spellStart"/>
      <w:r w:rsidRPr="00B710B0">
        <w:rPr>
          <w:rFonts w:ascii="Arial" w:hAnsi="Arial" w:cs="Arial"/>
          <w:color w:val="000000" w:themeColor="text1"/>
        </w:rPr>
        <w:t>Drăgotoiu</w:t>
      </w:r>
      <w:proofErr w:type="spellEnd"/>
      <w:r w:rsidRPr="00B710B0">
        <w:rPr>
          <w:rFonts w:ascii="Arial" w:hAnsi="Arial" w:cs="Arial"/>
          <w:color w:val="000000" w:themeColor="text1"/>
        </w:rPr>
        <w:t>, T., Mihai, O. D. et al., (2022). Antibiotic use in livestock and residues in food—A public health threat: A review. </w:t>
      </w:r>
      <w:r w:rsidRPr="00B710B0">
        <w:rPr>
          <w:rFonts w:ascii="Arial" w:hAnsi="Arial" w:cs="Arial"/>
          <w:i/>
          <w:iCs/>
          <w:color w:val="000000" w:themeColor="text1"/>
        </w:rPr>
        <w:t>Foods</w:t>
      </w:r>
      <w:r w:rsidRPr="00B710B0">
        <w:rPr>
          <w:rFonts w:ascii="Arial" w:hAnsi="Arial" w:cs="Arial"/>
          <w:color w:val="000000" w:themeColor="text1"/>
        </w:rPr>
        <w:t>, </w:t>
      </w:r>
      <w:r w:rsidRPr="00B710B0">
        <w:rPr>
          <w:rFonts w:ascii="Arial" w:hAnsi="Arial" w:cs="Arial"/>
          <w:i/>
          <w:iCs/>
          <w:color w:val="000000" w:themeColor="text1"/>
        </w:rPr>
        <w:t>11</w:t>
      </w:r>
      <w:r w:rsidRPr="00B710B0">
        <w:rPr>
          <w:rFonts w:ascii="Arial" w:hAnsi="Arial" w:cs="Arial"/>
          <w:color w:val="000000" w:themeColor="text1"/>
        </w:rPr>
        <w:t xml:space="preserve">(10), 1430. </w:t>
      </w:r>
      <w:hyperlink r:id="rId23" w:history="1">
        <w:r w:rsidRPr="00B710B0">
          <w:rPr>
            <w:rStyle w:val="Hyperlink"/>
            <w:rFonts w:ascii="Arial" w:hAnsi="Arial" w:cs="Arial"/>
            <w:color w:val="000000" w:themeColor="text1"/>
          </w:rPr>
          <w:t>https://doi.org/10.3390/foods11101430</w:t>
        </w:r>
      </w:hyperlink>
    </w:p>
    <w:p w14:paraId="04C1F8E0"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Fathima, S., Shanmugasundaram, R., Adams, D., and Selvaraj, R. K. (2022). Gastrointestinal microbiota and their manipulation for improved growth and performance in chickens. </w:t>
      </w:r>
      <w:r w:rsidRPr="00B710B0">
        <w:rPr>
          <w:rFonts w:ascii="Arial" w:hAnsi="Arial" w:cs="Arial"/>
          <w:i/>
          <w:iCs/>
          <w:color w:val="000000" w:themeColor="text1"/>
        </w:rPr>
        <w:t>Foods</w:t>
      </w:r>
      <w:r w:rsidRPr="00B710B0">
        <w:rPr>
          <w:rFonts w:ascii="Arial" w:hAnsi="Arial" w:cs="Arial"/>
          <w:color w:val="000000" w:themeColor="text1"/>
        </w:rPr>
        <w:t>, </w:t>
      </w:r>
      <w:r w:rsidRPr="00B710B0">
        <w:rPr>
          <w:rFonts w:ascii="Arial" w:hAnsi="Arial" w:cs="Arial"/>
          <w:i/>
          <w:iCs/>
          <w:color w:val="000000" w:themeColor="text1"/>
        </w:rPr>
        <w:t>11</w:t>
      </w:r>
      <w:r w:rsidRPr="00B710B0">
        <w:rPr>
          <w:rFonts w:ascii="Arial" w:hAnsi="Arial" w:cs="Arial"/>
          <w:color w:val="000000" w:themeColor="text1"/>
        </w:rPr>
        <w:t xml:space="preserve">(10), 1401. </w:t>
      </w:r>
      <w:hyperlink r:id="rId24" w:history="1">
        <w:r w:rsidRPr="00B710B0">
          <w:rPr>
            <w:rStyle w:val="Hyperlink"/>
            <w:rFonts w:ascii="Arial" w:hAnsi="Arial" w:cs="Arial"/>
            <w:color w:val="000000" w:themeColor="text1"/>
          </w:rPr>
          <w:t>https://doi.org/10.3390/foods11101401</w:t>
        </w:r>
      </w:hyperlink>
    </w:p>
    <w:p w14:paraId="20755EE0"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Oladokun, S., Clark, K. F., and Adewole, D. I. (2022). Microbiota and transcriptomic effects of an essential oil blend and its delivery route compared to an antibiotic growth promoter in broiler chickens. </w:t>
      </w:r>
      <w:r w:rsidRPr="00B710B0">
        <w:rPr>
          <w:rFonts w:ascii="Arial" w:hAnsi="Arial" w:cs="Arial"/>
          <w:i/>
          <w:iCs/>
          <w:color w:val="000000" w:themeColor="text1"/>
        </w:rPr>
        <w:t>Microorganisms</w:t>
      </w:r>
      <w:r w:rsidRPr="00B710B0">
        <w:rPr>
          <w:rFonts w:ascii="Arial" w:hAnsi="Arial" w:cs="Arial"/>
          <w:color w:val="000000" w:themeColor="text1"/>
        </w:rPr>
        <w:t>, </w:t>
      </w:r>
      <w:r w:rsidRPr="00B710B0">
        <w:rPr>
          <w:rFonts w:ascii="Arial" w:hAnsi="Arial" w:cs="Arial"/>
          <w:i/>
          <w:iCs/>
          <w:color w:val="000000" w:themeColor="text1"/>
        </w:rPr>
        <w:t>10</w:t>
      </w:r>
      <w:r w:rsidRPr="00B710B0">
        <w:rPr>
          <w:rFonts w:ascii="Arial" w:hAnsi="Arial" w:cs="Arial"/>
          <w:color w:val="000000" w:themeColor="text1"/>
        </w:rPr>
        <w:t xml:space="preserve">(5), 861. </w:t>
      </w:r>
      <w:hyperlink r:id="rId25" w:history="1">
        <w:r w:rsidRPr="00B710B0">
          <w:rPr>
            <w:rStyle w:val="Hyperlink"/>
            <w:rFonts w:ascii="Arial" w:hAnsi="Arial" w:cs="Arial"/>
            <w:color w:val="000000" w:themeColor="text1"/>
          </w:rPr>
          <w:t>https://doi.org/10.3390/microorganisms10050861</w:t>
        </w:r>
      </w:hyperlink>
    </w:p>
    <w:p w14:paraId="51C58560"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Alzohairy</w:t>
      </w:r>
      <w:proofErr w:type="spellEnd"/>
      <w:r w:rsidRPr="00B710B0">
        <w:rPr>
          <w:rFonts w:ascii="Arial" w:hAnsi="Arial" w:cs="Arial"/>
          <w:color w:val="000000" w:themeColor="text1"/>
        </w:rPr>
        <w:t>, M. A. (2016). Therapeutics role of Azadirachta indica (Neem) and their active constituents in diseases prevention and treatment. </w:t>
      </w:r>
      <w:r w:rsidRPr="00B710B0">
        <w:rPr>
          <w:rFonts w:ascii="Arial" w:hAnsi="Arial" w:cs="Arial"/>
          <w:i/>
          <w:iCs/>
          <w:color w:val="000000" w:themeColor="text1"/>
        </w:rPr>
        <w:t>Evidence</w:t>
      </w:r>
      <w:r w:rsidRPr="00B710B0">
        <w:rPr>
          <w:rFonts w:ascii="Cambria Math" w:hAnsi="Cambria Math" w:cs="Cambria Math"/>
          <w:i/>
          <w:iCs/>
          <w:color w:val="000000" w:themeColor="text1"/>
        </w:rPr>
        <w:t>‐</w:t>
      </w:r>
      <w:r w:rsidRPr="00B710B0">
        <w:rPr>
          <w:rFonts w:ascii="Arial" w:hAnsi="Arial" w:cs="Arial"/>
          <w:i/>
          <w:iCs/>
          <w:color w:val="000000" w:themeColor="text1"/>
        </w:rPr>
        <w:t>Based Complementary and Alternative Medicine</w:t>
      </w:r>
      <w:r w:rsidRPr="00B710B0">
        <w:rPr>
          <w:rFonts w:ascii="Arial" w:hAnsi="Arial" w:cs="Arial"/>
          <w:color w:val="000000" w:themeColor="text1"/>
        </w:rPr>
        <w:t>, </w:t>
      </w:r>
      <w:r w:rsidRPr="00B710B0">
        <w:rPr>
          <w:rFonts w:ascii="Arial" w:hAnsi="Arial" w:cs="Arial"/>
          <w:i/>
          <w:iCs/>
          <w:color w:val="000000" w:themeColor="text1"/>
        </w:rPr>
        <w:t>2016</w:t>
      </w:r>
      <w:r w:rsidRPr="00B710B0">
        <w:rPr>
          <w:rFonts w:ascii="Arial" w:hAnsi="Arial" w:cs="Arial"/>
          <w:color w:val="000000" w:themeColor="text1"/>
        </w:rPr>
        <w:t xml:space="preserve">(1), 7382506. </w:t>
      </w:r>
      <w:hyperlink r:id="rId26" w:history="1">
        <w:r w:rsidRPr="00B710B0">
          <w:rPr>
            <w:rStyle w:val="Hyperlink"/>
            <w:rFonts w:ascii="Arial" w:hAnsi="Arial" w:cs="Arial"/>
            <w:color w:val="000000" w:themeColor="text1"/>
          </w:rPr>
          <w:t>https://doi.org/10.1155/2016/7382506</w:t>
        </w:r>
      </w:hyperlink>
    </w:p>
    <w:p w14:paraId="219A9117"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Atawodi</w:t>
      </w:r>
      <w:proofErr w:type="spellEnd"/>
      <w:r w:rsidRPr="00B710B0">
        <w:rPr>
          <w:rFonts w:ascii="Arial" w:hAnsi="Arial" w:cs="Arial"/>
          <w:color w:val="000000" w:themeColor="text1"/>
        </w:rPr>
        <w:t xml:space="preserve">, S. E., and </w:t>
      </w:r>
      <w:proofErr w:type="spellStart"/>
      <w:r w:rsidRPr="00B710B0">
        <w:rPr>
          <w:rFonts w:ascii="Arial" w:hAnsi="Arial" w:cs="Arial"/>
          <w:color w:val="000000" w:themeColor="text1"/>
        </w:rPr>
        <w:t>Atawodi</w:t>
      </w:r>
      <w:proofErr w:type="spellEnd"/>
      <w:r w:rsidRPr="00B710B0">
        <w:rPr>
          <w:rFonts w:ascii="Arial" w:hAnsi="Arial" w:cs="Arial"/>
          <w:color w:val="000000" w:themeColor="text1"/>
        </w:rPr>
        <w:t>, J. C. (2009). Azadirachta indica (neem): a plant of multiple biological and pharmacological activities. </w:t>
      </w:r>
      <w:r w:rsidRPr="00B710B0">
        <w:rPr>
          <w:rFonts w:ascii="Arial" w:hAnsi="Arial" w:cs="Arial"/>
          <w:i/>
          <w:iCs/>
          <w:color w:val="000000" w:themeColor="text1"/>
        </w:rPr>
        <w:t>Phytochemistry reviews</w:t>
      </w:r>
      <w:r w:rsidRPr="00B710B0">
        <w:rPr>
          <w:rFonts w:ascii="Arial" w:hAnsi="Arial" w:cs="Arial"/>
          <w:color w:val="000000" w:themeColor="text1"/>
        </w:rPr>
        <w:t>, </w:t>
      </w:r>
      <w:r w:rsidRPr="00B710B0">
        <w:rPr>
          <w:rFonts w:ascii="Arial" w:hAnsi="Arial" w:cs="Arial"/>
          <w:i/>
          <w:iCs/>
          <w:color w:val="000000" w:themeColor="text1"/>
        </w:rPr>
        <w:t>8</w:t>
      </w:r>
      <w:r w:rsidRPr="00B710B0">
        <w:rPr>
          <w:rFonts w:ascii="Arial" w:hAnsi="Arial" w:cs="Arial"/>
          <w:color w:val="000000" w:themeColor="text1"/>
        </w:rPr>
        <w:t xml:space="preserve">, 601-620. </w:t>
      </w:r>
      <w:hyperlink r:id="rId27" w:history="1">
        <w:r w:rsidRPr="00B710B0">
          <w:rPr>
            <w:rStyle w:val="Hyperlink"/>
            <w:rFonts w:ascii="Arial" w:hAnsi="Arial" w:cs="Arial"/>
            <w:color w:val="000000" w:themeColor="text1"/>
          </w:rPr>
          <w:t>http://dx.doi.org/10.1007/s11101-009-9144-6</w:t>
        </w:r>
      </w:hyperlink>
    </w:p>
    <w:p w14:paraId="41BCD155"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Sirsat</w:t>
      </w:r>
      <w:proofErr w:type="spellEnd"/>
      <w:r w:rsidRPr="00B710B0">
        <w:rPr>
          <w:rFonts w:ascii="Arial" w:hAnsi="Arial" w:cs="Arial"/>
          <w:color w:val="000000" w:themeColor="text1"/>
        </w:rPr>
        <w:t>, S. D., Visha, P., and Nanjappan, K. (2018). Effects of dietary chitosan and Neem leaf meal supplementation on intestinal bacterial count in broiler chickens. </w:t>
      </w:r>
      <w:r w:rsidRPr="00B710B0">
        <w:rPr>
          <w:rFonts w:ascii="Arial" w:hAnsi="Arial" w:cs="Arial"/>
          <w:i/>
          <w:iCs/>
          <w:color w:val="000000" w:themeColor="text1"/>
        </w:rPr>
        <w:t>Int. J. Microbiol. Appl. Sci</w:t>
      </w:r>
      <w:r w:rsidRPr="00B710B0">
        <w:rPr>
          <w:rFonts w:ascii="Arial" w:hAnsi="Arial" w:cs="Arial"/>
          <w:color w:val="000000" w:themeColor="text1"/>
        </w:rPr>
        <w:t>, </w:t>
      </w:r>
      <w:r w:rsidRPr="00B710B0">
        <w:rPr>
          <w:rFonts w:ascii="Arial" w:hAnsi="Arial" w:cs="Arial"/>
          <w:i/>
          <w:iCs/>
          <w:color w:val="000000" w:themeColor="text1"/>
        </w:rPr>
        <w:t>7</w:t>
      </w:r>
      <w:r w:rsidRPr="00B710B0">
        <w:rPr>
          <w:rFonts w:ascii="Arial" w:hAnsi="Arial" w:cs="Arial"/>
          <w:color w:val="000000" w:themeColor="text1"/>
        </w:rPr>
        <w:t xml:space="preserve">, 3016-3022. </w:t>
      </w:r>
      <w:hyperlink r:id="rId28" w:history="1">
        <w:r w:rsidRPr="00B710B0">
          <w:rPr>
            <w:rStyle w:val="Hyperlink"/>
            <w:rFonts w:ascii="Arial" w:hAnsi="Arial" w:cs="Arial"/>
            <w:color w:val="000000" w:themeColor="text1"/>
          </w:rPr>
          <w:t>https://doi.org/10.20546/ijcmas.2018.701.358</w:t>
        </w:r>
      </w:hyperlink>
    </w:p>
    <w:p w14:paraId="03B789A4"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Fisher, R. A., and Yates, F. (1990). </w:t>
      </w:r>
      <w:r w:rsidRPr="00B710B0">
        <w:rPr>
          <w:rFonts w:ascii="Arial" w:hAnsi="Arial" w:cs="Arial"/>
          <w:i/>
          <w:iCs/>
          <w:color w:val="000000" w:themeColor="text1"/>
        </w:rPr>
        <w:t>Statistical methods, experimental design, and scientific inference: a re-issue of statistical methods for research workers, the design of experiments and statistical methods and scientific inference</w:t>
      </w:r>
      <w:r w:rsidRPr="00B710B0">
        <w:rPr>
          <w:rFonts w:ascii="Arial" w:hAnsi="Arial" w:cs="Arial"/>
          <w:color w:val="000000" w:themeColor="text1"/>
        </w:rPr>
        <w:t xml:space="preserve">. Oxford University Press. </w:t>
      </w:r>
      <w:hyperlink r:id="rId29" w:history="1">
        <w:r w:rsidRPr="00B710B0">
          <w:rPr>
            <w:rStyle w:val="Hyperlink"/>
            <w:rFonts w:ascii="Arial" w:hAnsi="Arial" w:cs="Arial"/>
            <w:color w:val="000000" w:themeColor="text1"/>
          </w:rPr>
          <w:t>http://dx.doi.org/10.1093/oso/9780198522294.001.0001</w:t>
        </w:r>
      </w:hyperlink>
    </w:p>
    <w:p w14:paraId="3328114D"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Carron M, Chang Y-M, Momanyi K, Akoko J, Kiiru J, Bettridge J, et al. (2018) </w:t>
      </w:r>
      <w:r w:rsidRPr="00B710B0">
        <w:rPr>
          <w:rFonts w:ascii="Arial" w:hAnsi="Arial" w:cs="Arial"/>
          <w:i/>
          <w:iCs/>
          <w:color w:val="000000" w:themeColor="text1"/>
        </w:rPr>
        <w:t>Campylobacter</w:t>
      </w:r>
      <w:r w:rsidRPr="00B710B0">
        <w:rPr>
          <w:rFonts w:ascii="Arial" w:hAnsi="Arial" w:cs="Arial"/>
          <w:color w:val="000000" w:themeColor="text1"/>
        </w:rPr>
        <w:t xml:space="preserve">, a zoonotic pathogen of global importance: Prevalence and risk factors in the fast-evolving chicken meat system of Nairobi, Kenya. </w:t>
      </w:r>
      <w:proofErr w:type="spellStart"/>
      <w:r w:rsidRPr="00B710B0">
        <w:rPr>
          <w:rFonts w:ascii="Arial" w:hAnsi="Arial" w:cs="Arial"/>
          <w:color w:val="000000" w:themeColor="text1"/>
        </w:rPr>
        <w:t>PLoS</w:t>
      </w:r>
      <w:proofErr w:type="spellEnd"/>
      <w:r w:rsidRPr="00B710B0">
        <w:rPr>
          <w:rFonts w:ascii="Arial" w:hAnsi="Arial" w:cs="Arial"/>
          <w:color w:val="000000" w:themeColor="text1"/>
        </w:rPr>
        <w:t xml:space="preserve"> </w:t>
      </w:r>
      <w:proofErr w:type="spellStart"/>
      <w:r w:rsidRPr="00B710B0">
        <w:rPr>
          <w:rFonts w:ascii="Arial" w:hAnsi="Arial" w:cs="Arial"/>
          <w:color w:val="000000" w:themeColor="text1"/>
        </w:rPr>
        <w:t>Negl</w:t>
      </w:r>
      <w:proofErr w:type="spellEnd"/>
      <w:r w:rsidRPr="00B710B0">
        <w:rPr>
          <w:rFonts w:ascii="Arial" w:hAnsi="Arial" w:cs="Arial"/>
          <w:color w:val="000000" w:themeColor="text1"/>
        </w:rPr>
        <w:t xml:space="preserve"> Trop Dis 12(8): e0006658. </w:t>
      </w:r>
      <w:hyperlink r:id="rId30" w:history="1">
        <w:r w:rsidRPr="00B710B0">
          <w:rPr>
            <w:rStyle w:val="Hyperlink"/>
            <w:rFonts w:ascii="Arial" w:hAnsi="Arial" w:cs="Arial"/>
            <w:color w:val="000000" w:themeColor="text1"/>
          </w:rPr>
          <w:t>https://doi.org/10.1371/journal.pntd.0006658</w:t>
        </w:r>
      </w:hyperlink>
    </w:p>
    <w:p w14:paraId="232C7DB5"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Soria, M. C., Soria, M. A., Bueno, D. J., </w:t>
      </w:r>
      <w:proofErr w:type="spellStart"/>
      <w:r w:rsidRPr="00B710B0">
        <w:rPr>
          <w:rFonts w:ascii="Arial" w:hAnsi="Arial" w:cs="Arial"/>
          <w:color w:val="000000" w:themeColor="text1"/>
        </w:rPr>
        <w:t>Godano</w:t>
      </w:r>
      <w:proofErr w:type="spellEnd"/>
      <w:r w:rsidRPr="00B710B0">
        <w:rPr>
          <w:rFonts w:ascii="Arial" w:hAnsi="Arial" w:cs="Arial"/>
          <w:color w:val="000000" w:themeColor="text1"/>
        </w:rPr>
        <w:t xml:space="preserve">, E. I., Gómez, S. C., </w:t>
      </w:r>
      <w:proofErr w:type="spellStart"/>
      <w:r w:rsidRPr="00B710B0">
        <w:rPr>
          <w:rFonts w:ascii="Arial" w:hAnsi="Arial" w:cs="Arial"/>
          <w:color w:val="000000" w:themeColor="text1"/>
        </w:rPr>
        <w:t>ViaButron</w:t>
      </w:r>
      <w:proofErr w:type="spellEnd"/>
      <w:r w:rsidRPr="00B710B0">
        <w:rPr>
          <w:rFonts w:ascii="Arial" w:hAnsi="Arial" w:cs="Arial"/>
          <w:color w:val="000000" w:themeColor="text1"/>
        </w:rPr>
        <w:t xml:space="preserve">, I. A. et al., (2017). </w:t>
      </w:r>
      <w:r w:rsidRPr="00B710B0">
        <w:rPr>
          <w:rFonts w:ascii="Arial" w:hAnsi="Arial" w:cs="Arial"/>
          <w:i/>
          <w:color w:val="000000" w:themeColor="text1"/>
        </w:rPr>
        <w:t>Salmonella</w:t>
      </w:r>
      <w:r w:rsidRPr="00B710B0">
        <w:rPr>
          <w:rFonts w:ascii="Arial" w:hAnsi="Arial" w:cs="Arial"/>
          <w:color w:val="000000" w:themeColor="text1"/>
        </w:rPr>
        <w:t xml:space="preserve"> spp. contamination in commercial layer hen farms using different types of samples and detection methods. </w:t>
      </w:r>
      <w:r w:rsidRPr="00B710B0">
        <w:rPr>
          <w:rFonts w:ascii="Arial" w:hAnsi="Arial" w:cs="Arial"/>
          <w:i/>
          <w:iCs/>
          <w:color w:val="000000" w:themeColor="text1"/>
        </w:rPr>
        <w:t>Poultry Science</w:t>
      </w:r>
      <w:r w:rsidRPr="00B710B0">
        <w:rPr>
          <w:rFonts w:ascii="Arial" w:hAnsi="Arial" w:cs="Arial"/>
          <w:color w:val="000000" w:themeColor="text1"/>
        </w:rPr>
        <w:t>, </w:t>
      </w:r>
      <w:r w:rsidRPr="00B710B0">
        <w:rPr>
          <w:rFonts w:ascii="Arial" w:hAnsi="Arial" w:cs="Arial"/>
          <w:i/>
          <w:iCs/>
          <w:color w:val="000000" w:themeColor="text1"/>
        </w:rPr>
        <w:t>96</w:t>
      </w:r>
      <w:r w:rsidRPr="00B710B0">
        <w:rPr>
          <w:rFonts w:ascii="Arial" w:hAnsi="Arial" w:cs="Arial"/>
          <w:color w:val="000000" w:themeColor="text1"/>
        </w:rPr>
        <w:t xml:space="preserve">(8), 2820-2830. </w:t>
      </w:r>
      <w:hyperlink r:id="rId31" w:history="1">
        <w:r w:rsidRPr="00B710B0">
          <w:rPr>
            <w:rStyle w:val="Hyperlink"/>
            <w:rFonts w:ascii="Arial" w:hAnsi="Arial" w:cs="Arial"/>
            <w:color w:val="000000" w:themeColor="text1"/>
          </w:rPr>
          <w:t>https://doi.org/10.3382/ps/pex053</w:t>
        </w:r>
      </w:hyperlink>
    </w:p>
    <w:p w14:paraId="7CDF4E36"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McCue, P. M., and Bishop, J. (2021). Microbiology: Microbial Culture. </w:t>
      </w:r>
      <w:r w:rsidRPr="00B710B0">
        <w:rPr>
          <w:rFonts w:ascii="Arial" w:hAnsi="Arial" w:cs="Arial"/>
          <w:i/>
          <w:iCs/>
          <w:color w:val="000000" w:themeColor="text1"/>
        </w:rPr>
        <w:t>Equine Reproductive Procedures</w:t>
      </w:r>
      <w:r w:rsidRPr="00B710B0">
        <w:rPr>
          <w:rFonts w:ascii="Arial" w:hAnsi="Arial" w:cs="Arial"/>
          <w:color w:val="000000" w:themeColor="text1"/>
        </w:rPr>
        <w:t xml:space="preserve">, 55-58. </w:t>
      </w:r>
      <w:hyperlink r:id="rId32" w:history="1">
        <w:r w:rsidRPr="00B710B0">
          <w:rPr>
            <w:rStyle w:val="Hyperlink"/>
            <w:rFonts w:ascii="Arial" w:hAnsi="Arial" w:cs="Arial"/>
            <w:color w:val="000000" w:themeColor="text1"/>
          </w:rPr>
          <w:t>https://pubmed.ncbi.nlm.nih.gov/35565583/</w:t>
        </w:r>
      </w:hyperlink>
    </w:p>
    <w:p w14:paraId="1DC85612"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Awolu, O. O., </w:t>
      </w:r>
      <w:proofErr w:type="spellStart"/>
      <w:r w:rsidRPr="00B710B0">
        <w:rPr>
          <w:rFonts w:ascii="Arial" w:hAnsi="Arial" w:cs="Arial"/>
          <w:color w:val="000000" w:themeColor="text1"/>
        </w:rPr>
        <w:t>Obafaye</w:t>
      </w:r>
      <w:proofErr w:type="spellEnd"/>
      <w:r w:rsidRPr="00B710B0">
        <w:rPr>
          <w:rFonts w:ascii="Arial" w:hAnsi="Arial" w:cs="Arial"/>
          <w:color w:val="000000" w:themeColor="text1"/>
        </w:rPr>
        <w:t>, R. O., and Ayodele, B. S. (2013). Optimization of solvent extraction of oil from neem (Azadirachta indica) and its characterizations. </w:t>
      </w:r>
      <w:r w:rsidRPr="00B710B0">
        <w:rPr>
          <w:rFonts w:ascii="Arial" w:hAnsi="Arial" w:cs="Arial"/>
          <w:i/>
          <w:iCs/>
          <w:color w:val="000000" w:themeColor="text1"/>
        </w:rPr>
        <w:t>J. Sci. Res. Rep</w:t>
      </w:r>
      <w:r w:rsidRPr="00B710B0">
        <w:rPr>
          <w:rFonts w:ascii="Arial" w:hAnsi="Arial" w:cs="Arial"/>
          <w:color w:val="000000" w:themeColor="text1"/>
        </w:rPr>
        <w:t>, </w:t>
      </w:r>
      <w:r w:rsidRPr="00B710B0">
        <w:rPr>
          <w:rFonts w:ascii="Arial" w:hAnsi="Arial" w:cs="Arial"/>
          <w:i/>
          <w:iCs/>
          <w:color w:val="000000" w:themeColor="text1"/>
        </w:rPr>
        <w:t>2</w:t>
      </w:r>
      <w:r w:rsidRPr="00B710B0">
        <w:rPr>
          <w:rFonts w:ascii="Arial" w:hAnsi="Arial" w:cs="Arial"/>
          <w:color w:val="000000" w:themeColor="text1"/>
        </w:rPr>
        <w:t xml:space="preserve">(1), 304-314. </w:t>
      </w:r>
      <w:hyperlink r:id="rId33" w:history="1">
        <w:r w:rsidRPr="00B710B0">
          <w:rPr>
            <w:rStyle w:val="Hyperlink"/>
            <w:rFonts w:ascii="Arial" w:hAnsi="Arial" w:cs="Arial"/>
            <w:color w:val="000000" w:themeColor="text1"/>
          </w:rPr>
          <w:t>https://doi.org/10.9734/JSRR/2013/3705</w:t>
        </w:r>
      </w:hyperlink>
    </w:p>
    <w:p w14:paraId="299AAC1C" w14:textId="77777777" w:rsidR="00F82F0E"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Ghoshal, G., and Sandal, S. (2024). Neem essential oil: Extraction, characterization, and encapsulation. </w:t>
      </w:r>
      <w:r w:rsidRPr="00B710B0">
        <w:rPr>
          <w:rFonts w:ascii="Arial" w:hAnsi="Arial" w:cs="Arial"/>
          <w:i/>
          <w:iCs/>
          <w:color w:val="000000" w:themeColor="text1"/>
        </w:rPr>
        <w:t>Food Chemistry Advances</w:t>
      </w:r>
      <w:r w:rsidRPr="00B710B0">
        <w:rPr>
          <w:rFonts w:ascii="Arial" w:hAnsi="Arial" w:cs="Arial"/>
          <w:color w:val="000000" w:themeColor="text1"/>
        </w:rPr>
        <w:t>, </w:t>
      </w:r>
      <w:r w:rsidRPr="00B710B0">
        <w:rPr>
          <w:rFonts w:ascii="Arial" w:hAnsi="Arial" w:cs="Arial"/>
          <w:i/>
          <w:iCs/>
          <w:color w:val="000000" w:themeColor="text1"/>
        </w:rPr>
        <w:t>4</w:t>
      </w:r>
      <w:r w:rsidRPr="00B710B0">
        <w:rPr>
          <w:rFonts w:ascii="Arial" w:hAnsi="Arial" w:cs="Arial"/>
          <w:color w:val="000000" w:themeColor="text1"/>
        </w:rPr>
        <w:t xml:space="preserve">, 100702. </w:t>
      </w:r>
      <w:hyperlink r:id="rId34" w:history="1">
        <w:r w:rsidRPr="00B710B0">
          <w:rPr>
            <w:rStyle w:val="Hyperlink"/>
            <w:rFonts w:ascii="Arial" w:hAnsi="Arial" w:cs="Arial"/>
            <w:color w:val="000000" w:themeColor="text1"/>
          </w:rPr>
          <w:t>http://dx.doi.org/10.1016/j.focha.2024.100702</w:t>
        </w:r>
      </w:hyperlink>
    </w:p>
    <w:p w14:paraId="2DC97129" w14:textId="77777777" w:rsidR="00F82F0E" w:rsidRPr="00B710B0" w:rsidRDefault="00D25912" w:rsidP="00D25912">
      <w:pPr>
        <w:pStyle w:val="Body"/>
        <w:numPr>
          <w:ilvl w:val="0"/>
          <w:numId w:val="31"/>
        </w:numPr>
        <w:spacing w:after="0"/>
        <w:rPr>
          <w:rFonts w:ascii="Arial" w:hAnsi="Arial" w:cs="Arial"/>
          <w:color w:val="000000" w:themeColor="text1"/>
          <w:u w:val="single"/>
        </w:rPr>
      </w:pPr>
      <w:r w:rsidRPr="00B710B0">
        <w:rPr>
          <w:rFonts w:ascii="Arial" w:hAnsi="Arial" w:cs="Arial"/>
          <w:color w:val="000000" w:themeColor="text1"/>
        </w:rPr>
        <w:t>Mehta, A., Jain, A., and Saxena, G. (2022). In Vitro Antibacterial Activity of Ethanolic Extract of Neem Leave (</w:t>
      </w:r>
      <w:proofErr w:type="spellStart"/>
      <w:r w:rsidRPr="00B710B0">
        <w:rPr>
          <w:rFonts w:ascii="Arial" w:hAnsi="Arial" w:cs="Arial"/>
          <w:color w:val="000000" w:themeColor="text1"/>
        </w:rPr>
        <w:t>Azadirachtaindica</w:t>
      </w:r>
      <w:proofErr w:type="spellEnd"/>
      <w:r w:rsidRPr="00B710B0">
        <w:rPr>
          <w:rFonts w:ascii="Arial" w:hAnsi="Arial" w:cs="Arial"/>
          <w:color w:val="000000" w:themeColor="text1"/>
        </w:rPr>
        <w:t xml:space="preserve"> Linn) Against Clinical Isolates. </w:t>
      </w:r>
      <w:r w:rsidRPr="00B710B0">
        <w:rPr>
          <w:rFonts w:ascii="Arial" w:hAnsi="Arial" w:cs="Arial"/>
          <w:i/>
          <w:iCs/>
          <w:color w:val="000000" w:themeColor="text1"/>
        </w:rPr>
        <w:t>Pharmaceutical and Biomedical Research</w:t>
      </w:r>
      <w:r w:rsidRPr="00B710B0">
        <w:rPr>
          <w:rFonts w:ascii="Arial" w:hAnsi="Arial" w:cs="Arial"/>
          <w:color w:val="000000" w:themeColor="text1"/>
        </w:rPr>
        <w:t>, </w:t>
      </w:r>
      <w:r w:rsidRPr="00B710B0">
        <w:rPr>
          <w:rFonts w:ascii="Arial" w:hAnsi="Arial" w:cs="Arial"/>
          <w:i/>
          <w:iCs/>
          <w:color w:val="000000" w:themeColor="text1"/>
        </w:rPr>
        <w:t>8</w:t>
      </w:r>
      <w:r w:rsidRPr="00B710B0">
        <w:rPr>
          <w:rFonts w:ascii="Arial" w:hAnsi="Arial" w:cs="Arial"/>
          <w:color w:val="000000" w:themeColor="text1"/>
        </w:rPr>
        <w:t xml:space="preserve">(4), 301-310. </w:t>
      </w:r>
      <w:hyperlink r:id="rId35" w:history="1">
        <w:r w:rsidRPr="00B710B0">
          <w:rPr>
            <w:rStyle w:val="Hyperlink"/>
            <w:rFonts w:ascii="Arial" w:hAnsi="Arial" w:cs="Arial"/>
            <w:color w:val="000000" w:themeColor="text1"/>
          </w:rPr>
          <w:t>http://pbr.mazums.ac.ir/article-1-467-en.html----to</w:t>
        </w:r>
      </w:hyperlink>
    </w:p>
    <w:p w14:paraId="2406F435" w14:textId="77777777" w:rsidR="00D25912" w:rsidRPr="00B710B0" w:rsidRDefault="00D25912" w:rsidP="00D25912">
      <w:pPr>
        <w:pStyle w:val="Body"/>
        <w:numPr>
          <w:ilvl w:val="0"/>
          <w:numId w:val="31"/>
        </w:numPr>
        <w:spacing w:after="0"/>
        <w:rPr>
          <w:rFonts w:ascii="Arial" w:hAnsi="Arial" w:cs="Arial"/>
          <w:color w:val="000000" w:themeColor="text1"/>
          <w:u w:val="single"/>
        </w:rPr>
      </w:pPr>
      <w:r w:rsidRPr="00B710B0">
        <w:rPr>
          <w:rFonts w:ascii="Arial" w:hAnsi="Arial" w:cs="Arial"/>
          <w:color w:val="000000" w:themeColor="text1"/>
        </w:rPr>
        <w:t xml:space="preserve">CLSI., 2024: Performance Standards for Antimicrobial Susceptibility Testing: CLSI supplement M100s; Clinical; and Laboratory Standards Institute: Wayne, PA, USA. </w:t>
      </w:r>
      <w:hyperlink r:id="rId36" w:history="1">
        <w:r w:rsidRPr="00B710B0">
          <w:rPr>
            <w:rStyle w:val="Hyperlink"/>
            <w:rFonts w:ascii="Arial" w:hAnsi="Arial" w:cs="Arial"/>
            <w:color w:val="000000" w:themeColor="text1"/>
          </w:rPr>
          <w:t>https://www.darvashco.com/wp-content/uploads/2024/07/CLSI-2024_compressed-1.pdf</w:t>
        </w:r>
      </w:hyperlink>
      <w:r w:rsidRPr="00B710B0">
        <w:rPr>
          <w:rFonts w:ascii="Arial" w:hAnsi="Arial" w:cs="Arial"/>
          <w:color w:val="000000" w:themeColor="text1"/>
        </w:rPr>
        <w:t>. Accessed on 26</w:t>
      </w:r>
      <w:r w:rsidRPr="00B710B0">
        <w:rPr>
          <w:rFonts w:ascii="Arial" w:hAnsi="Arial" w:cs="Arial"/>
          <w:color w:val="000000" w:themeColor="text1"/>
          <w:vertAlign w:val="superscript"/>
        </w:rPr>
        <w:t>th</w:t>
      </w:r>
      <w:r w:rsidRPr="00B710B0">
        <w:rPr>
          <w:rFonts w:ascii="Arial" w:hAnsi="Arial" w:cs="Arial"/>
          <w:color w:val="000000" w:themeColor="text1"/>
        </w:rPr>
        <w:t xml:space="preserve"> June, 2025</w:t>
      </w:r>
    </w:p>
    <w:p w14:paraId="39D36594"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Kleyn, F. J., and </w:t>
      </w:r>
      <w:proofErr w:type="spellStart"/>
      <w:r w:rsidRPr="00B710B0">
        <w:rPr>
          <w:rFonts w:ascii="Arial" w:hAnsi="Arial" w:cs="Arial"/>
          <w:color w:val="000000" w:themeColor="text1"/>
        </w:rPr>
        <w:t>Ciacciariello</w:t>
      </w:r>
      <w:proofErr w:type="spellEnd"/>
      <w:r w:rsidRPr="00B710B0">
        <w:rPr>
          <w:rFonts w:ascii="Arial" w:hAnsi="Arial" w:cs="Arial"/>
          <w:color w:val="000000" w:themeColor="text1"/>
        </w:rPr>
        <w:t>, M. (2021). Future demands of the poultry industry: will we meet our commitments sustainably in developed and developing economies? </w:t>
      </w:r>
      <w:r w:rsidRPr="00B710B0">
        <w:rPr>
          <w:rFonts w:ascii="Arial" w:hAnsi="Arial" w:cs="Arial"/>
          <w:i/>
          <w:iCs/>
          <w:color w:val="000000" w:themeColor="text1"/>
        </w:rPr>
        <w:t>World's Poultry Science Journal</w:t>
      </w:r>
      <w:r w:rsidRPr="00B710B0">
        <w:rPr>
          <w:rFonts w:ascii="Arial" w:hAnsi="Arial" w:cs="Arial"/>
          <w:color w:val="000000" w:themeColor="text1"/>
        </w:rPr>
        <w:t>, </w:t>
      </w:r>
      <w:r w:rsidRPr="00B710B0">
        <w:rPr>
          <w:rFonts w:ascii="Arial" w:hAnsi="Arial" w:cs="Arial"/>
          <w:i/>
          <w:iCs/>
          <w:color w:val="000000" w:themeColor="text1"/>
        </w:rPr>
        <w:t>77</w:t>
      </w:r>
      <w:r w:rsidRPr="00B710B0">
        <w:rPr>
          <w:rFonts w:ascii="Arial" w:hAnsi="Arial" w:cs="Arial"/>
          <w:color w:val="000000" w:themeColor="text1"/>
        </w:rPr>
        <w:t xml:space="preserve">(2), 267-278. </w:t>
      </w:r>
      <w:hyperlink r:id="rId37" w:history="1">
        <w:r w:rsidRPr="00B710B0">
          <w:rPr>
            <w:rStyle w:val="Hyperlink"/>
            <w:rFonts w:ascii="Arial" w:hAnsi="Arial" w:cs="Arial"/>
            <w:color w:val="000000" w:themeColor="text1"/>
          </w:rPr>
          <w:t>http://dx.doi.org/10.1080/00439339.2021.1904314</w:t>
        </w:r>
      </w:hyperlink>
    </w:p>
    <w:p w14:paraId="7DECADD0"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lastRenderedPageBreak/>
        <w:t>Tan, M. F., Li, H. Q., Yang, Q., Zhang, F. F., Tan, J., Zeng, Y. B. et al., (2023). Prevalence and antimicrobial resistance profile of bacterial pathogens isolated from poultry in Jiangxi Province, China from 2020 to 2022. </w:t>
      </w:r>
      <w:r w:rsidRPr="00B710B0">
        <w:rPr>
          <w:rFonts w:ascii="Arial" w:hAnsi="Arial" w:cs="Arial"/>
          <w:i/>
          <w:iCs/>
          <w:color w:val="000000" w:themeColor="text1"/>
        </w:rPr>
        <w:t>Poultry Science</w:t>
      </w:r>
      <w:r w:rsidRPr="00B710B0">
        <w:rPr>
          <w:rFonts w:ascii="Arial" w:hAnsi="Arial" w:cs="Arial"/>
          <w:color w:val="000000" w:themeColor="text1"/>
        </w:rPr>
        <w:t>, </w:t>
      </w:r>
      <w:r w:rsidRPr="00B710B0">
        <w:rPr>
          <w:rFonts w:ascii="Arial" w:hAnsi="Arial" w:cs="Arial"/>
          <w:i/>
          <w:iCs/>
          <w:color w:val="000000" w:themeColor="text1"/>
        </w:rPr>
        <w:t>102</w:t>
      </w:r>
      <w:r w:rsidRPr="00B710B0">
        <w:rPr>
          <w:rFonts w:ascii="Arial" w:hAnsi="Arial" w:cs="Arial"/>
          <w:color w:val="000000" w:themeColor="text1"/>
        </w:rPr>
        <w:t xml:space="preserve">(8), 102830. </w:t>
      </w:r>
      <w:hyperlink r:id="rId38" w:history="1">
        <w:r w:rsidRPr="00B710B0">
          <w:rPr>
            <w:rStyle w:val="Hyperlink"/>
            <w:rFonts w:ascii="Arial" w:hAnsi="Arial" w:cs="Arial"/>
            <w:color w:val="000000" w:themeColor="text1"/>
          </w:rPr>
          <w:t>https://pubmed.ncbi.nlm.nih.gov/37343345/</w:t>
        </w:r>
      </w:hyperlink>
    </w:p>
    <w:p w14:paraId="7BD4F69A"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Kilonzo-Nthenge</w:t>
      </w:r>
      <w:proofErr w:type="spellEnd"/>
      <w:r w:rsidRPr="00B710B0">
        <w:rPr>
          <w:rFonts w:ascii="Arial" w:hAnsi="Arial" w:cs="Arial"/>
          <w:color w:val="000000" w:themeColor="text1"/>
        </w:rPr>
        <w:t xml:space="preserve">, A., </w:t>
      </w:r>
      <w:proofErr w:type="spellStart"/>
      <w:r w:rsidRPr="00B710B0">
        <w:rPr>
          <w:rFonts w:ascii="Arial" w:hAnsi="Arial" w:cs="Arial"/>
          <w:color w:val="000000" w:themeColor="text1"/>
        </w:rPr>
        <w:t>Nahashon</w:t>
      </w:r>
      <w:proofErr w:type="spellEnd"/>
      <w:r w:rsidRPr="00B710B0">
        <w:rPr>
          <w:rFonts w:ascii="Arial" w:hAnsi="Arial" w:cs="Arial"/>
          <w:color w:val="000000" w:themeColor="text1"/>
        </w:rPr>
        <w:t xml:space="preserve">, S. N., Chen, F., and </w:t>
      </w:r>
      <w:proofErr w:type="spellStart"/>
      <w:r w:rsidRPr="00B710B0">
        <w:rPr>
          <w:rFonts w:ascii="Arial" w:hAnsi="Arial" w:cs="Arial"/>
          <w:color w:val="000000" w:themeColor="text1"/>
        </w:rPr>
        <w:t>Adefope</w:t>
      </w:r>
      <w:proofErr w:type="spellEnd"/>
      <w:r w:rsidRPr="00B710B0">
        <w:rPr>
          <w:rFonts w:ascii="Arial" w:hAnsi="Arial" w:cs="Arial"/>
          <w:color w:val="000000" w:themeColor="text1"/>
        </w:rPr>
        <w:t>, N. (2008). Prevalence and antimicrobial resistance of pathogenic bacteria in chicken and guinea fowl. </w:t>
      </w:r>
      <w:r w:rsidRPr="00B710B0">
        <w:rPr>
          <w:rFonts w:ascii="Arial" w:hAnsi="Arial" w:cs="Arial"/>
          <w:i/>
          <w:iCs/>
          <w:color w:val="000000" w:themeColor="text1"/>
        </w:rPr>
        <w:t>Poultry science</w:t>
      </w:r>
      <w:r w:rsidRPr="00B710B0">
        <w:rPr>
          <w:rFonts w:ascii="Arial" w:hAnsi="Arial" w:cs="Arial"/>
          <w:color w:val="000000" w:themeColor="text1"/>
        </w:rPr>
        <w:t>, </w:t>
      </w:r>
      <w:r w:rsidRPr="00B710B0">
        <w:rPr>
          <w:rFonts w:ascii="Arial" w:hAnsi="Arial" w:cs="Arial"/>
          <w:i/>
          <w:iCs/>
          <w:color w:val="000000" w:themeColor="text1"/>
        </w:rPr>
        <w:t>87</w:t>
      </w:r>
      <w:r w:rsidRPr="00B710B0">
        <w:rPr>
          <w:rFonts w:ascii="Arial" w:hAnsi="Arial" w:cs="Arial"/>
          <w:color w:val="000000" w:themeColor="text1"/>
        </w:rPr>
        <w:t xml:space="preserve">(9), 1841-1848. </w:t>
      </w:r>
      <w:hyperlink r:id="rId39" w:history="1">
        <w:r w:rsidRPr="00B710B0">
          <w:rPr>
            <w:rStyle w:val="Hyperlink"/>
            <w:rFonts w:ascii="Arial" w:hAnsi="Arial" w:cs="Arial"/>
            <w:color w:val="000000" w:themeColor="text1"/>
          </w:rPr>
          <w:t>https://doi.org/10.3382/ps.2007-00156</w:t>
        </w:r>
      </w:hyperlink>
    </w:p>
    <w:p w14:paraId="34055D78"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Igizeneza</w:t>
      </w:r>
      <w:proofErr w:type="spellEnd"/>
      <w:r w:rsidRPr="00B710B0">
        <w:rPr>
          <w:rFonts w:ascii="Arial" w:hAnsi="Arial" w:cs="Arial"/>
          <w:color w:val="000000" w:themeColor="text1"/>
        </w:rPr>
        <w:t xml:space="preserve">, A., </w:t>
      </w:r>
      <w:proofErr w:type="spellStart"/>
      <w:r w:rsidRPr="00B710B0">
        <w:rPr>
          <w:rFonts w:ascii="Arial" w:hAnsi="Arial" w:cs="Arial"/>
          <w:color w:val="000000" w:themeColor="text1"/>
        </w:rPr>
        <w:t>Bebora</w:t>
      </w:r>
      <w:proofErr w:type="spellEnd"/>
      <w:r w:rsidRPr="00B710B0">
        <w:rPr>
          <w:rFonts w:ascii="Arial" w:hAnsi="Arial" w:cs="Arial"/>
          <w:color w:val="000000" w:themeColor="text1"/>
        </w:rPr>
        <w:t>, L. C., Nyaga, P. N., and Njagi, L. W. (2022). Village</w:t>
      </w:r>
      <w:r w:rsidRPr="00B710B0">
        <w:rPr>
          <w:rFonts w:ascii="Cambria Math" w:hAnsi="Cambria Math" w:cs="Cambria Math"/>
          <w:color w:val="000000" w:themeColor="text1"/>
        </w:rPr>
        <w:t>‐</w:t>
      </w:r>
      <w:r w:rsidRPr="00B710B0">
        <w:rPr>
          <w:rFonts w:ascii="Arial" w:hAnsi="Arial" w:cs="Arial"/>
          <w:color w:val="000000" w:themeColor="text1"/>
        </w:rPr>
        <w:t>Indigenous Chicken Bacterial Carriage after the Heavy Rains of 2018, Kenya: Indicator on Environmental Contamination with Pathogenic/Zoonotic Bacteria. </w:t>
      </w:r>
      <w:r w:rsidRPr="00B710B0">
        <w:rPr>
          <w:rFonts w:ascii="Arial" w:hAnsi="Arial" w:cs="Arial"/>
          <w:i/>
          <w:iCs/>
          <w:color w:val="000000" w:themeColor="text1"/>
        </w:rPr>
        <w:t>Veterinary medicine international</w:t>
      </w:r>
      <w:r w:rsidRPr="00B710B0">
        <w:rPr>
          <w:rFonts w:ascii="Arial" w:hAnsi="Arial" w:cs="Arial"/>
          <w:color w:val="000000" w:themeColor="text1"/>
        </w:rPr>
        <w:t>, </w:t>
      </w:r>
      <w:r w:rsidRPr="00B710B0">
        <w:rPr>
          <w:rFonts w:ascii="Arial" w:hAnsi="Arial" w:cs="Arial"/>
          <w:i/>
          <w:iCs/>
          <w:color w:val="000000" w:themeColor="text1"/>
        </w:rPr>
        <w:t>2022</w:t>
      </w:r>
      <w:r w:rsidRPr="00B710B0">
        <w:rPr>
          <w:rFonts w:ascii="Arial" w:hAnsi="Arial" w:cs="Arial"/>
          <w:color w:val="000000" w:themeColor="text1"/>
        </w:rPr>
        <w:t xml:space="preserve">(1), 5437171. </w:t>
      </w:r>
      <w:hyperlink r:id="rId40" w:history="1">
        <w:r w:rsidRPr="00B710B0">
          <w:rPr>
            <w:rStyle w:val="Hyperlink"/>
            <w:rFonts w:ascii="Arial" w:hAnsi="Arial" w:cs="Arial"/>
            <w:color w:val="000000" w:themeColor="text1"/>
          </w:rPr>
          <w:t>https://doi.org/10.1155/2022/5437171</w:t>
        </w:r>
      </w:hyperlink>
    </w:p>
    <w:p w14:paraId="4CDF913F"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Madsen, J. M., Zimmermann, N. G., Timmons, J., and Tablante, N. L. (2013). Prevalence and differentiation of diseases in Maryland backyard flocks. </w:t>
      </w:r>
      <w:r w:rsidRPr="00B710B0">
        <w:rPr>
          <w:rFonts w:ascii="Arial" w:hAnsi="Arial" w:cs="Arial"/>
          <w:i/>
          <w:iCs/>
          <w:color w:val="000000" w:themeColor="text1"/>
        </w:rPr>
        <w:t>Avian diseases</w:t>
      </w:r>
      <w:r w:rsidRPr="00B710B0">
        <w:rPr>
          <w:rFonts w:ascii="Arial" w:hAnsi="Arial" w:cs="Arial"/>
          <w:color w:val="000000" w:themeColor="text1"/>
        </w:rPr>
        <w:t>, </w:t>
      </w:r>
      <w:r w:rsidRPr="00B710B0">
        <w:rPr>
          <w:rFonts w:ascii="Arial" w:hAnsi="Arial" w:cs="Arial"/>
          <w:i/>
          <w:iCs/>
          <w:color w:val="000000" w:themeColor="text1"/>
        </w:rPr>
        <w:t>57</w:t>
      </w:r>
      <w:r w:rsidRPr="00B710B0">
        <w:rPr>
          <w:rFonts w:ascii="Arial" w:hAnsi="Arial" w:cs="Arial"/>
          <w:color w:val="000000" w:themeColor="text1"/>
        </w:rPr>
        <w:t xml:space="preserve">(3), 587-594. </w:t>
      </w:r>
      <w:hyperlink r:id="rId41" w:history="1">
        <w:r w:rsidRPr="00B710B0">
          <w:rPr>
            <w:rStyle w:val="Hyperlink"/>
            <w:rFonts w:ascii="Arial" w:hAnsi="Arial" w:cs="Arial"/>
            <w:color w:val="000000" w:themeColor="text1"/>
          </w:rPr>
          <w:t>https://doi.org/10.1637/10423-101612-reg.1</w:t>
        </w:r>
      </w:hyperlink>
    </w:p>
    <w:p w14:paraId="37D3F0C2"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Telli, N., Telli, A. E., Biçer, Y., Turkal, G., and Uçar, G. (2021). Isolation and antimicrobial resistance of vancomycin resistant </w:t>
      </w:r>
      <w:r w:rsidRPr="00B710B0">
        <w:rPr>
          <w:rFonts w:ascii="Arial" w:hAnsi="Arial" w:cs="Arial"/>
          <w:i/>
          <w:color w:val="000000" w:themeColor="text1"/>
        </w:rPr>
        <w:t>Enterococcus</w:t>
      </w:r>
      <w:r w:rsidRPr="00B710B0">
        <w:rPr>
          <w:rFonts w:ascii="Arial" w:hAnsi="Arial" w:cs="Arial"/>
          <w:color w:val="000000" w:themeColor="text1"/>
        </w:rPr>
        <w:t xml:space="preserve"> </w:t>
      </w:r>
      <w:proofErr w:type="gramStart"/>
      <w:r w:rsidRPr="00B710B0">
        <w:rPr>
          <w:rFonts w:ascii="Arial" w:hAnsi="Arial" w:cs="Arial"/>
          <w:color w:val="000000" w:themeColor="text1"/>
        </w:rPr>
        <w:t>spp.(</w:t>
      </w:r>
      <w:proofErr w:type="gramEnd"/>
      <w:r w:rsidRPr="00B710B0">
        <w:rPr>
          <w:rFonts w:ascii="Arial" w:hAnsi="Arial" w:cs="Arial"/>
          <w:color w:val="000000" w:themeColor="text1"/>
        </w:rPr>
        <w:t xml:space="preserve">VRE) and methicillin-resistant </w:t>
      </w:r>
      <w:r w:rsidRPr="00B710B0">
        <w:rPr>
          <w:rFonts w:ascii="Arial" w:hAnsi="Arial" w:cs="Arial"/>
          <w:i/>
          <w:color w:val="000000" w:themeColor="text1"/>
        </w:rPr>
        <w:t>S. aureus</w:t>
      </w:r>
      <w:r w:rsidRPr="00B710B0">
        <w:rPr>
          <w:rFonts w:ascii="Arial" w:hAnsi="Arial" w:cs="Arial"/>
          <w:color w:val="000000" w:themeColor="text1"/>
        </w:rPr>
        <w:t xml:space="preserve"> (MRSA) on beef and chicken meat, and workers hands from slaughterhouses and retail shops in Turkey. </w:t>
      </w:r>
      <w:r w:rsidRPr="00B710B0">
        <w:rPr>
          <w:rFonts w:ascii="Arial" w:hAnsi="Arial" w:cs="Arial"/>
          <w:i/>
          <w:iCs/>
          <w:color w:val="000000" w:themeColor="text1"/>
        </w:rPr>
        <w:t>Journal of the Hellenic Veterinary Medical Society</w:t>
      </w:r>
      <w:r w:rsidRPr="00B710B0">
        <w:rPr>
          <w:rFonts w:ascii="Arial" w:hAnsi="Arial" w:cs="Arial"/>
          <w:color w:val="000000" w:themeColor="text1"/>
        </w:rPr>
        <w:t>, </w:t>
      </w:r>
      <w:r w:rsidRPr="00B710B0">
        <w:rPr>
          <w:rFonts w:ascii="Arial" w:hAnsi="Arial" w:cs="Arial"/>
          <w:i/>
          <w:iCs/>
          <w:color w:val="000000" w:themeColor="text1"/>
        </w:rPr>
        <w:t>72</w:t>
      </w:r>
      <w:r w:rsidRPr="00B710B0">
        <w:rPr>
          <w:rFonts w:ascii="Arial" w:hAnsi="Arial" w:cs="Arial"/>
          <w:color w:val="000000" w:themeColor="text1"/>
        </w:rPr>
        <w:t xml:space="preserve">(4), 3345-3354. </w:t>
      </w:r>
      <w:hyperlink r:id="rId42" w:history="1">
        <w:r w:rsidRPr="00B710B0">
          <w:rPr>
            <w:rStyle w:val="Hyperlink"/>
            <w:rFonts w:ascii="Arial" w:hAnsi="Arial" w:cs="Arial"/>
            <w:color w:val="000000" w:themeColor="text1"/>
          </w:rPr>
          <w:t>http://dx.doi.org/10.33988/auvfd.451328</w:t>
        </w:r>
      </w:hyperlink>
    </w:p>
    <w:p w14:paraId="58C81845"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Kim, M. H., Moon, D. C., Kim, S. J., </w:t>
      </w:r>
      <w:proofErr w:type="spellStart"/>
      <w:r w:rsidRPr="00B710B0">
        <w:rPr>
          <w:rFonts w:ascii="Arial" w:hAnsi="Arial" w:cs="Arial"/>
          <w:color w:val="000000" w:themeColor="text1"/>
        </w:rPr>
        <w:t>Mechesso</w:t>
      </w:r>
      <w:proofErr w:type="spellEnd"/>
      <w:r w:rsidRPr="00B710B0">
        <w:rPr>
          <w:rFonts w:ascii="Arial" w:hAnsi="Arial" w:cs="Arial"/>
          <w:color w:val="000000" w:themeColor="text1"/>
        </w:rPr>
        <w:t xml:space="preserve">, A. F., Song, H. J., Kang, H. Y. et al., (2021). Nationwide surveillance on antimicrobial resistance profiles of </w:t>
      </w:r>
      <w:r w:rsidRPr="00B710B0">
        <w:rPr>
          <w:rFonts w:ascii="Arial" w:hAnsi="Arial" w:cs="Arial"/>
          <w:i/>
          <w:color w:val="000000" w:themeColor="text1"/>
        </w:rPr>
        <w:t>Enterococcus faecium</w:t>
      </w:r>
      <w:r w:rsidRPr="00B710B0">
        <w:rPr>
          <w:rFonts w:ascii="Arial" w:hAnsi="Arial" w:cs="Arial"/>
          <w:color w:val="000000" w:themeColor="text1"/>
        </w:rPr>
        <w:t xml:space="preserve"> and </w:t>
      </w:r>
      <w:r w:rsidRPr="00B710B0">
        <w:rPr>
          <w:rFonts w:ascii="Arial" w:hAnsi="Arial" w:cs="Arial"/>
          <w:i/>
          <w:color w:val="000000" w:themeColor="text1"/>
        </w:rPr>
        <w:t>Enterococcus faecalis</w:t>
      </w:r>
      <w:r w:rsidRPr="00B710B0">
        <w:rPr>
          <w:rFonts w:ascii="Arial" w:hAnsi="Arial" w:cs="Arial"/>
          <w:color w:val="000000" w:themeColor="text1"/>
        </w:rPr>
        <w:t xml:space="preserve"> isolated from healthy food animals in South Korea, 2010 to 2019. </w:t>
      </w:r>
      <w:r w:rsidRPr="00B710B0">
        <w:rPr>
          <w:rFonts w:ascii="Arial" w:hAnsi="Arial" w:cs="Arial"/>
          <w:i/>
          <w:iCs/>
          <w:color w:val="000000" w:themeColor="text1"/>
        </w:rPr>
        <w:t>Microorganisms</w:t>
      </w:r>
      <w:r w:rsidRPr="00B710B0">
        <w:rPr>
          <w:rFonts w:ascii="Arial" w:hAnsi="Arial" w:cs="Arial"/>
          <w:color w:val="000000" w:themeColor="text1"/>
        </w:rPr>
        <w:t>, </w:t>
      </w:r>
      <w:r w:rsidRPr="00B710B0">
        <w:rPr>
          <w:rFonts w:ascii="Arial" w:hAnsi="Arial" w:cs="Arial"/>
          <w:i/>
          <w:iCs/>
          <w:color w:val="000000" w:themeColor="text1"/>
        </w:rPr>
        <w:t>9</w:t>
      </w:r>
      <w:r w:rsidRPr="00B710B0">
        <w:rPr>
          <w:rFonts w:ascii="Arial" w:hAnsi="Arial" w:cs="Arial"/>
          <w:color w:val="000000" w:themeColor="text1"/>
        </w:rPr>
        <w:t xml:space="preserve">(5), 925. </w:t>
      </w:r>
      <w:hyperlink r:id="rId43" w:history="1">
        <w:r w:rsidRPr="00B710B0">
          <w:rPr>
            <w:rStyle w:val="Hyperlink"/>
            <w:rFonts w:ascii="Arial" w:hAnsi="Arial" w:cs="Arial"/>
            <w:color w:val="000000" w:themeColor="text1"/>
          </w:rPr>
          <w:t>https://doi.org/10.3390/microorganisms9050925</w:t>
        </w:r>
      </w:hyperlink>
    </w:p>
    <w:p w14:paraId="0F57E816"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Ribeiro, J., Silva, V., Monteiro, A., Vieira-Pinto, M., Igrejas, G., Reis, F. S. et al., (2023). Antibiotic resistance among gastrointestinal bacteria in broilers: A review focused on Enterococcus spp. and Escherichia coli. </w:t>
      </w:r>
      <w:r w:rsidRPr="00B710B0">
        <w:rPr>
          <w:rFonts w:ascii="Arial" w:hAnsi="Arial" w:cs="Arial"/>
          <w:i/>
          <w:iCs/>
          <w:color w:val="000000" w:themeColor="text1"/>
        </w:rPr>
        <w:t>Animals</w:t>
      </w:r>
      <w:r w:rsidRPr="00B710B0">
        <w:rPr>
          <w:rFonts w:ascii="Arial" w:hAnsi="Arial" w:cs="Arial"/>
          <w:color w:val="000000" w:themeColor="text1"/>
        </w:rPr>
        <w:t>, </w:t>
      </w:r>
      <w:r w:rsidRPr="00B710B0">
        <w:rPr>
          <w:rFonts w:ascii="Arial" w:hAnsi="Arial" w:cs="Arial"/>
          <w:i/>
          <w:iCs/>
          <w:color w:val="000000" w:themeColor="text1"/>
        </w:rPr>
        <w:t>13</w:t>
      </w:r>
      <w:r w:rsidRPr="00B710B0">
        <w:rPr>
          <w:rFonts w:ascii="Arial" w:hAnsi="Arial" w:cs="Arial"/>
          <w:color w:val="000000" w:themeColor="text1"/>
        </w:rPr>
        <w:t xml:space="preserve">(8), 1362. </w:t>
      </w:r>
      <w:hyperlink r:id="rId44" w:history="1">
        <w:r w:rsidRPr="00B710B0">
          <w:rPr>
            <w:rStyle w:val="Hyperlink"/>
            <w:rFonts w:ascii="Arial" w:hAnsi="Arial" w:cs="Arial"/>
            <w:color w:val="000000" w:themeColor="text1"/>
          </w:rPr>
          <w:t>https://doi.org/10.3390/ani13081362</w:t>
        </w:r>
      </w:hyperlink>
    </w:p>
    <w:p w14:paraId="3A6F3F60"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Gousia</w:t>
      </w:r>
      <w:proofErr w:type="spellEnd"/>
      <w:r w:rsidRPr="00B710B0">
        <w:rPr>
          <w:rFonts w:ascii="Arial" w:hAnsi="Arial" w:cs="Arial"/>
          <w:color w:val="000000" w:themeColor="text1"/>
        </w:rPr>
        <w:t xml:space="preserve">, P., Economou, V., </w:t>
      </w:r>
      <w:proofErr w:type="spellStart"/>
      <w:r w:rsidRPr="00B710B0">
        <w:rPr>
          <w:rFonts w:ascii="Arial" w:hAnsi="Arial" w:cs="Arial"/>
          <w:color w:val="000000" w:themeColor="text1"/>
        </w:rPr>
        <w:t>Bozidis</w:t>
      </w:r>
      <w:proofErr w:type="spellEnd"/>
      <w:r w:rsidRPr="00B710B0">
        <w:rPr>
          <w:rFonts w:ascii="Arial" w:hAnsi="Arial" w:cs="Arial"/>
          <w:color w:val="000000" w:themeColor="text1"/>
        </w:rPr>
        <w:t xml:space="preserve">, P., and Papadopoulou, C. (2015). Vancomycin-resistance phenotypes, vancomycin-resistance genes, and resistance to antibiotics of </w:t>
      </w:r>
      <w:r w:rsidRPr="00B710B0">
        <w:rPr>
          <w:rFonts w:ascii="Arial" w:hAnsi="Arial" w:cs="Arial"/>
          <w:i/>
          <w:color w:val="000000" w:themeColor="text1"/>
        </w:rPr>
        <w:t>Enterococci</w:t>
      </w:r>
      <w:r w:rsidRPr="00B710B0">
        <w:rPr>
          <w:rFonts w:ascii="Arial" w:hAnsi="Arial" w:cs="Arial"/>
          <w:color w:val="000000" w:themeColor="text1"/>
        </w:rPr>
        <w:t xml:space="preserve"> isolated from food of animal origin. </w:t>
      </w:r>
      <w:r w:rsidRPr="00B710B0">
        <w:rPr>
          <w:rFonts w:ascii="Arial" w:hAnsi="Arial" w:cs="Arial"/>
          <w:i/>
          <w:iCs/>
          <w:color w:val="000000" w:themeColor="text1"/>
        </w:rPr>
        <w:t>Foodborne Pathogens and Disease</w:t>
      </w:r>
      <w:r w:rsidRPr="00B710B0">
        <w:rPr>
          <w:rFonts w:ascii="Arial" w:hAnsi="Arial" w:cs="Arial"/>
          <w:color w:val="000000" w:themeColor="text1"/>
        </w:rPr>
        <w:t>, </w:t>
      </w:r>
      <w:r w:rsidRPr="00B710B0">
        <w:rPr>
          <w:rFonts w:ascii="Arial" w:hAnsi="Arial" w:cs="Arial"/>
          <w:i/>
          <w:iCs/>
          <w:color w:val="000000" w:themeColor="text1"/>
        </w:rPr>
        <w:t>12</w:t>
      </w:r>
      <w:r w:rsidRPr="00B710B0">
        <w:rPr>
          <w:rFonts w:ascii="Arial" w:hAnsi="Arial" w:cs="Arial"/>
          <w:color w:val="000000" w:themeColor="text1"/>
        </w:rPr>
        <w:t xml:space="preserve">(3), 214-220. </w:t>
      </w:r>
      <w:hyperlink r:id="rId45" w:history="1">
        <w:r w:rsidRPr="00B710B0">
          <w:rPr>
            <w:rStyle w:val="Hyperlink"/>
            <w:rFonts w:ascii="Arial" w:hAnsi="Arial" w:cs="Arial"/>
            <w:color w:val="000000" w:themeColor="text1"/>
          </w:rPr>
          <w:t>https://doi.org/10.1089/fpd.2014.1832</w:t>
        </w:r>
      </w:hyperlink>
    </w:p>
    <w:p w14:paraId="58DF263B"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Ayebare, D., </w:t>
      </w:r>
      <w:proofErr w:type="spellStart"/>
      <w:r w:rsidRPr="00B710B0">
        <w:rPr>
          <w:rFonts w:ascii="Arial" w:hAnsi="Arial" w:cs="Arial"/>
          <w:color w:val="000000" w:themeColor="text1"/>
        </w:rPr>
        <w:t>Mbatidde</w:t>
      </w:r>
      <w:proofErr w:type="spellEnd"/>
      <w:r w:rsidRPr="00B710B0">
        <w:rPr>
          <w:rFonts w:ascii="Arial" w:hAnsi="Arial" w:cs="Arial"/>
          <w:color w:val="000000" w:themeColor="text1"/>
        </w:rPr>
        <w:t xml:space="preserve">, I., </w:t>
      </w:r>
      <w:proofErr w:type="spellStart"/>
      <w:r w:rsidRPr="00B710B0">
        <w:rPr>
          <w:rFonts w:ascii="Arial" w:hAnsi="Arial" w:cs="Arial"/>
          <w:color w:val="000000" w:themeColor="text1"/>
        </w:rPr>
        <w:t>Kemunto</w:t>
      </w:r>
      <w:proofErr w:type="spellEnd"/>
      <w:r w:rsidRPr="00B710B0">
        <w:rPr>
          <w:rFonts w:ascii="Arial" w:hAnsi="Arial" w:cs="Arial"/>
          <w:color w:val="000000" w:themeColor="text1"/>
        </w:rPr>
        <w:t xml:space="preserve">, N. P., </w:t>
      </w:r>
      <w:proofErr w:type="spellStart"/>
      <w:r w:rsidRPr="00B710B0">
        <w:rPr>
          <w:rFonts w:ascii="Arial" w:hAnsi="Arial" w:cs="Arial"/>
          <w:color w:val="000000" w:themeColor="text1"/>
        </w:rPr>
        <w:t>Muloi</w:t>
      </w:r>
      <w:proofErr w:type="spellEnd"/>
      <w:r w:rsidRPr="00B710B0">
        <w:rPr>
          <w:rFonts w:ascii="Arial" w:hAnsi="Arial" w:cs="Arial"/>
          <w:color w:val="000000" w:themeColor="text1"/>
        </w:rPr>
        <w:t xml:space="preserve">, D. M., </w:t>
      </w:r>
      <w:proofErr w:type="spellStart"/>
      <w:r w:rsidRPr="00B710B0">
        <w:rPr>
          <w:rFonts w:ascii="Arial" w:hAnsi="Arial" w:cs="Arial"/>
          <w:color w:val="000000" w:themeColor="text1"/>
        </w:rPr>
        <w:t>Ibayi</w:t>
      </w:r>
      <w:proofErr w:type="spellEnd"/>
      <w:r w:rsidRPr="00B710B0">
        <w:rPr>
          <w:rFonts w:ascii="Arial" w:hAnsi="Arial" w:cs="Arial"/>
          <w:color w:val="000000" w:themeColor="text1"/>
        </w:rPr>
        <w:t>, E. L., Nielsen, S. S. et al., (2025). Biosecurity measures and effects on health performance and antibiotic use in semi-intensive broiler farms in Uganda. </w:t>
      </w:r>
      <w:r w:rsidRPr="00B710B0">
        <w:rPr>
          <w:rFonts w:ascii="Arial" w:hAnsi="Arial" w:cs="Arial"/>
          <w:i/>
          <w:iCs/>
          <w:color w:val="000000" w:themeColor="text1"/>
        </w:rPr>
        <w:t>One Health</w:t>
      </w:r>
      <w:r w:rsidRPr="00B710B0">
        <w:rPr>
          <w:rFonts w:ascii="Arial" w:hAnsi="Arial" w:cs="Arial"/>
          <w:color w:val="000000" w:themeColor="text1"/>
        </w:rPr>
        <w:t>, </w:t>
      </w:r>
      <w:r w:rsidRPr="00B710B0">
        <w:rPr>
          <w:rFonts w:ascii="Arial" w:hAnsi="Arial" w:cs="Arial"/>
          <w:i/>
          <w:iCs/>
          <w:color w:val="000000" w:themeColor="text1"/>
        </w:rPr>
        <w:t>20</w:t>
      </w:r>
      <w:r w:rsidRPr="00B710B0">
        <w:rPr>
          <w:rFonts w:ascii="Arial" w:hAnsi="Arial" w:cs="Arial"/>
          <w:color w:val="000000" w:themeColor="text1"/>
        </w:rPr>
        <w:t xml:space="preserve">, 101039. </w:t>
      </w:r>
      <w:hyperlink r:id="rId46" w:history="1">
        <w:r w:rsidRPr="00B710B0">
          <w:rPr>
            <w:rStyle w:val="Hyperlink"/>
            <w:rFonts w:ascii="Arial" w:hAnsi="Arial" w:cs="Arial"/>
            <w:color w:val="000000" w:themeColor="text1"/>
          </w:rPr>
          <w:t>https://doi.org/10.1016/j.onehlt.2025.101039</w:t>
        </w:r>
      </w:hyperlink>
    </w:p>
    <w:p w14:paraId="03CA95E8"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Caekebeke</w:t>
      </w:r>
      <w:proofErr w:type="spellEnd"/>
      <w:r w:rsidRPr="00B710B0">
        <w:rPr>
          <w:rFonts w:ascii="Arial" w:hAnsi="Arial" w:cs="Arial"/>
          <w:color w:val="000000" w:themeColor="text1"/>
        </w:rPr>
        <w:t xml:space="preserve">, N., </w:t>
      </w:r>
      <w:proofErr w:type="spellStart"/>
      <w:r w:rsidRPr="00B710B0">
        <w:rPr>
          <w:rFonts w:ascii="Arial" w:hAnsi="Arial" w:cs="Arial"/>
          <w:color w:val="000000" w:themeColor="text1"/>
        </w:rPr>
        <w:t>Ringenier</w:t>
      </w:r>
      <w:proofErr w:type="spellEnd"/>
      <w:r w:rsidRPr="00B710B0">
        <w:rPr>
          <w:rFonts w:ascii="Arial" w:hAnsi="Arial" w:cs="Arial"/>
          <w:color w:val="000000" w:themeColor="text1"/>
        </w:rPr>
        <w:t xml:space="preserve">, M., De Meyer, F., </w:t>
      </w:r>
      <w:proofErr w:type="spellStart"/>
      <w:r w:rsidRPr="00B710B0">
        <w:rPr>
          <w:rFonts w:ascii="Arial" w:hAnsi="Arial" w:cs="Arial"/>
          <w:color w:val="000000" w:themeColor="text1"/>
        </w:rPr>
        <w:t>Ducatelle</w:t>
      </w:r>
      <w:proofErr w:type="spellEnd"/>
      <w:r w:rsidRPr="00B710B0">
        <w:rPr>
          <w:rFonts w:ascii="Arial" w:hAnsi="Arial" w:cs="Arial"/>
          <w:color w:val="000000" w:themeColor="text1"/>
        </w:rPr>
        <w:t xml:space="preserve">, R., </w:t>
      </w:r>
      <w:proofErr w:type="spellStart"/>
      <w:r w:rsidRPr="00B710B0">
        <w:rPr>
          <w:rFonts w:ascii="Arial" w:hAnsi="Arial" w:cs="Arial"/>
          <w:color w:val="000000" w:themeColor="text1"/>
        </w:rPr>
        <w:t>Ongena</w:t>
      </w:r>
      <w:proofErr w:type="spellEnd"/>
      <w:r w:rsidRPr="00B710B0">
        <w:rPr>
          <w:rFonts w:ascii="Arial" w:hAnsi="Arial" w:cs="Arial"/>
          <w:color w:val="000000" w:themeColor="text1"/>
        </w:rPr>
        <w:t xml:space="preserve">, N., Van </w:t>
      </w:r>
      <w:proofErr w:type="spellStart"/>
      <w:r w:rsidRPr="00B710B0">
        <w:rPr>
          <w:rFonts w:ascii="Arial" w:hAnsi="Arial" w:cs="Arial"/>
          <w:color w:val="000000" w:themeColor="text1"/>
        </w:rPr>
        <w:t>Immerseel</w:t>
      </w:r>
      <w:proofErr w:type="spellEnd"/>
      <w:r w:rsidRPr="00B710B0">
        <w:rPr>
          <w:rFonts w:ascii="Arial" w:hAnsi="Arial" w:cs="Arial"/>
          <w:color w:val="000000" w:themeColor="text1"/>
        </w:rPr>
        <w:t>, F. et al., (2020). A study on risk factors for macroscopic gut abnormalities in intensively reared broiler chickens. </w:t>
      </w:r>
      <w:r w:rsidRPr="00B710B0">
        <w:rPr>
          <w:rFonts w:ascii="Arial" w:hAnsi="Arial" w:cs="Arial"/>
          <w:i/>
          <w:iCs/>
          <w:color w:val="000000" w:themeColor="text1"/>
        </w:rPr>
        <w:t>Avian Pathology</w:t>
      </w:r>
      <w:r w:rsidRPr="00B710B0">
        <w:rPr>
          <w:rFonts w:ascii="Arial" w:hAnsi="Arial" w:cs="Arial"/>
          <w:color w:val="000000" w:themeColor="text1"/>
        </w:rPr>
        <w:t>, </w:t>
      </w:r>
      <w:r w:rsidRPr="00B710B0">
        <w:rPr>
          <w:rFonts w:ascii="Arial" w:hAnsi="Arial" w:cs="Arial"/>
          <w:i/>
          <w:iCs/>
          <w:color w:val="000000" w:themeColor="text1"/>
        </w:rPr>
        <w:t>49</w:t>
      </w:r>
      <w:r w:rsidRPr="00B710B0">
        <w:rPr>
          <w:rFonts w:ascii="Arial" w:hAnsi="Arial" w:cs="Arial"/>
          <w:color w:val="000000" w:themeColor="text1"/>
        </w:rPr>
        <w:t xml:space="preserve">(2), 193-201. </w:t>
      </w:r>
      <w:hyperlink r:id="rId47" w:history="1">
        <w:r w:rsidRPr="00B710B0">
          <w:rPr>
            <w:rStyle w:val="Hyperlink"/>
            <w:rFonts w:ascii="Arial" w:hAnsi="Arial" w:cs="Arial"/>
            <w:color w:val="000000" w:themeColor="text1"/>
          </w:rPr>
          <w:t>https://doi.org/10.1080/03079457.2019.1711019</w:t>
        </w:r>
      </w:hyperlink>
    </w:p>
    <w:p w14:paraId="0DE58B0C"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Ziebe</w:t>
      </w:r>
      <w:proofErr w:type="spellEnd"/>
      <w:r w:rsidRPr="00B710B0">
        <w:rPr>
          <w:rFonts w:ascii="Arial" w:hAnsi="Arial" w:cs="Arial"/>
          <w:color w:val="000000" w:themeColor="text1"/>
        </w:rPr>
        <w:t xml:space="preserve">, S. D., </w:t>
      </w:r>
      <w:proofErr w:type="spellStart"/>
      <w:r w:rsidRPr="00B710B0">
        <w:rPr>
          <w:rFonts w:ascii="Arial" w:hAnsi="Arial" w:cs="Arial"/>
          <w:color w:val="000000" w:themeColor="text1"/>
        </w:rPr>
        <w:t>Vougat</w:t>
      </w:r>
      <w:proofErr w:type="spellEnd"/>
      <w:r w:rsidRPr="00B710B0">
        <w:rPr>
          <w:rFonts w:ascii="Arial" w:hAnsi="Arial" w:cs="Arial"/>
          <w:color w:val="000000" w:themeColor="text1"/>
        </w:rPr>
        <w:t xml:space="preserve"> </w:t>
      </w:r>
      <w:proofErr w:type="spellStart"/>
      <w:r w:rsidRPr="00B710B0">
        <w:rPr>
          <w:rFonts w:ascii="Arial" w:hAnsi="Arial" w:cs="Arial"/>
          <w:color w:val="000000" w:themeColor="text1"/>
        </w:rPr>
        <w:t>Ngom</w:t>
      </w:r>
      <w:proofErr w:type="spellEnd"/>
      <w:r w:rsidRPr="00B710B0">
        <w:rPr>
          <w:rFonts w:ascii="Arial" w:hAnsi="Arial" w:cs="Arial"/>
          <w:color w:val="000000" w:themeColor="text1"/>
        </w:rPr>
        <w:t xml:space="preserve">, R., </w:t>
      </w:r>
      <w:proofErr w:type="spellStart"/>
      <w:r w:rsidRPr="00B710B0">
        <w:rPr>
          <w:rFonts w:ascii="Arial" w:hAnsi="Arial" w:cs="Arial"/>
          <w:color w:val="000000" w:themeColor="text1"/>
        </w:rPr>
        <w:t>Akoussa</w:t>
      </w:r>
      <w:proofErr w:type="spellEnd"/>
      <w:r w:rsidRPr="00B710B0">
        <w:rPr>
          <w:rFonts w:ascii="Arial" w:hAnsi="Arial" w:cs="Arial"/>
          <w:color w:val="000000" w:themeColor="text1"/>
        </w:rPr>
        <w:t xml:space="preserve">, A. M., </w:t>
      </w:r>
      <w:proofErr w:type="spellStart"/>
      <w:r w:rsidRPr="00B710B0">
        <w:rPr>
          <w:rFonts w:ascii="Arial" w:hAnsi="Arial" w:cs="Arial"/>
          <w:color w:val="000000" w:themeColor="text1"/>
        </w:rPr>
        <w:t>Bogning</w:t>
      </w:r>
      <w:proofErr w:type="spellEnd"/>
      <w:r w:rsidRPr="00B710B0">
        <w:rPr>
          <w:rFonts w:ascii="Arial" w:hAnsi="Arial" w:cs="Arial"/>
          <w:color w:val="000000" w:themeColor="text1"/>
        </w:rPr>
        <w:t>, H. P., and Zangue, H. A. (2025). Impact of Biosecurity on Production Performance and Antimicrobial Usage in Broiler Farms in Cameroon. </w:t>
      </w:r>
      <w:r w:rsidRPr="00B710B0">
        <w:rPr>
          <w:rFonts w:ascii="Arial" w:hAnsi="Arial" w:cs="Arial"/>
          <w:i/>
          <w:iCs/>
          <w:color w:val="000000" w:themeColor="text1"/>
        </w:rPr>
        <w:t>Animals</w:t>
      </w:r>
      <w:r w:rsidRPr="00B710B0">
        <w:rPr>
          <w:rFonts w:ascii="Arial" w:hAnsi="Arial" w:cs="Arial"/>
          <w:color w:val="000000" w:themeColor="text1"/>
        </w:rPr>
        <w:t>, </w:t>
      </w:r>
      <w:r w:rsidRPr="00B710B0">
        <w:rPr>
          <w:rFonts w:ascii="Arial" w:hAnsi="Arial" w:cs="Arial"/>
          <w:i/>
          <w:iCs/>
          <w:color w:val="000000" w:themeColor="text1"/>
        </w:rPr>
        <w:t>15</w:t>
      </w:r>
      <w:r w:rsidRPr="00B710B0">
        <w:rPr>
          <w:rFonts w:ascii="Arial" w:hAnsi="Arial" w:cs="Arial"/>
          <w:color w:val="000000" w:themeColor="text1"/>
        </w:rPr>
        <w:t xml:space="preserve">(12), 1771. </w:t>
      </w:r>
      <w:hyperlink r:id="rId48" w:history="1">
        <w:r w:rsidRPr="00B710B0">
          <w:rPr>
            <w:rStyle w:val="Hyperlink"/>
            <w:rFonts w:ascii="Arial" w:hAnsi="Arial" w:cs="Arial"/>
            <w:color w:val="000000" w:themeColor="text1"/>
          </w:rPr>
          <w:t>https://doi.org/10.3390/ani15121771</w:t>
        </w:r>
      </w:hyperlink>
    </w:p>
    <w:p w14:paraId="3A1413D1"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Akbar, A., and Anal, A. K. (2013). Prevalence and antibiogram study of Salmonella and Staphylococcus aureus in poultry meat. </w:t>
      </w:r>
      <w:r w:rsidRPr="00B710B0">
        <w:rPr>
          <w:rFonts w:ascii="Arial" w:hAnsi="Arial" w:cs="Arial"/>
          <w:i/>
          <w:iCs/>
          <w:color w:val="000000" w:themeColor="text1"/>
        </w:rPr>
        <w:t>Asian Pacific journal of tropical biomedicine</w:t>
      </w:r>
      <w:r w:rsidRPr="00B710B0">
        <w:rPr>
          <w:rFonts w:ascii="Arial" w:hAnsi="Arial" w:cs="Arial"/>
          <w:color w:val="000000" w:themeColor="text1"/>
        </w:rPr>
        <w:t>, </w:t>
      </w:r>
      <w:r w:rsidRPr="00B710B0">
        <w:rPr>
          <w:rFonts w:ascii="Arial" w:hAnsi="Arial" w:cs="Arial"/>
          <w:i/>
          <w:iCs/>
          <w:color w:val="000000" w:themeColor="text1"/>
        </w:rPr>
        <w:t>3</w:t>
      </w:r>
      <w:r w:rsidRPr="00B710B0">
        <w:rPr>
          <w:rFonts w:ascii="Arial" w:hAnsi="Arial" w:cs="Arial"/>
          <w:color w:val="000000" w:themeColor="text1"/>
        </w:rPr>
        <w:t xml:space="preserve">(2), 163-168. </w:t>
      </w:r>
      <w:hyperlink r:id="rId49" w:history="1">
        <w:r w:rsidRPr="00B710B0">
          <w:rPr>
            <w:rStyle w:val="Hyperlink"/>
            <w:rFonts w:ascii="Arial" w:hAnsi="Arial" w:cs="Arial"/>
            <w:color w:val="000000" w:themeColor="text1"/>
          </w:rPr>
          <w:t>https://doi.org/10.1016/s2221-1691(13)60043-x</w:t>
        </w:r>
      </w:hyperlink>
    </w:p>
    <w:p w14:paraId="2F490534"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Hassan, M. M., Amin, K. B., </w:t>
      </w:r>
      <w:proofErr w:type="spellStart"/>
      <w:r w:rsidRPr="00B710B0">
        <w:rPr>
          <w:rFonts w:ascii="Arial" w:hAnsi="Arial" w:cs="Arial"/>
          <w:color w:val="000000" w:themeColor="text1"/>
        </w:rPr>
        <w:t>Ahaduzzaman</w:t>
      </w:r>
      <w:proofErr w:type="spellEnd"/>
      <w:r w:rsidRPr="00B710B0">
        <w:rPr>
          <w:rFonts w:ascii="Arial" w:hAnsi="Arial" w:cs="Arial"/>
          <w:color w:val="000000" w:themeColor="text1"/>
        </w:rPr>
        <w:t>, M., Alam, M., Faruk, M. S., and Uddin, I. (2014). Antimicrobial resistance pattern against E. coli and Salmonella in layer poultry. </w:t>
      </w:r>
      <w:r w:rsidRPr="00B710B0">
        <w:rPr>
          <w:rFonts w:ascii="Arial" w:hAnsi="Arial" w:cs="Arial"/>
          <w:i/>
          <w:iCs/>
          <w:color w:val="000000" w:themeColor="text1"/>
        </w:rPr>
        <w:t xml:space="preserve">Res. J. Vet. </w:t>
      </w:r>
      <w:proofErr w:type="spellStart"/>
      <w:r w:rsidRPr="00B710B0">
        <w:rPr>
          <w:rFonts w:ascii="Arial" w:hAnsi="Arial" w:cs="Arial"/>
          <w:i/>
          <w:iCs/>
          <w:color w:val="000000" w:themeColor="text1"/>
        </w:rPr>
        <w:t>Pract</w:t>
      </w:r>
      <w:proofErr w:type="spellEnd"/>
      <w:r w:rsidRPr="00B710B0">
        <w:rPr>
          <w:rFonts w:ascii="Arial" w:hAnsi="Arial" w:cs="Arial"/>
          <w:color w:val="000000" w:themeColor="text1"/>
        </w:rPr>
        <w:t>, </w:t>
      </w:r>
      <w:r w:rsidRPr="00B710B0">
        <w:rPr>
          <w:rFonts w:ascii="Arial" w:hAnsi="Arial" w:cs="Arial"/>
          <w:i/>
          <w:iCs/>
          <w:color w:val="000000" w:themeColor="text1"/>
        </w:rPr>
        <w:t>2</w:t>
      </w:r>
      <w:r w:rsidRPr="00B710B0">
        <w:rPr>
          <w:rFonts w:ascii="Arial" w:hAnsi="Arial" w:cs="Arial"/>
          <w:color w:val="000000" w:themeColor="text1"/>
        </w:rPr>
        <w:t xml:space="preserve">(2), 30-35. </w:t>
      </w:r>
      <w:hyperlink r:id="rId50" w:history="1">
        <w:r w:rsidRPr="00B710B0">
          <w:rPr>
            <w:rStyle w:val="Hyperlink"/>
            <w:rFonts w:ascii="Arial" w:hAnsi="Arial" w:cs="Arial"/>
            <w:color w:val="000000" w:themeColor="text1"/>
          </w:rPr>
          <w:t>http://dx.doi.org/10.14737/journal.rjvp/2014/2.2.30.35</w:t>
        </w:r>
      </w:hyperlink>
    </w:p>
    <w:p w14:paraId="1F597249"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Lenchenko, E., </w:t>
      </w:r>
      <w:proofErr w:type="spellStart"/>
      <w:r w:rsidRPr="00B710B0">
        <w:rPr>
          <w:rFonts w:ascii="Arial" w:hAnsi="Arial" w:cs="Arial"/>
          <w:color w:val="000000" w:themeColor="text1"/>
        </w:rPr>
        <w:t>Blumenkrants</w:t>
      </w:r>
      <w:proofErr w:type="spellEnd"/>
      <w:r w:rsidRPr="00B710B0">
        <w:rPr>
          <w:rFonts w:ascii="Arial" w:hAnsi="Arial" w:cs="Arial"/>
          <w:color w:val="000000" w:themeColor="text1"/>
        </w:rPr>
        <w:t xml:space="preserve">, D., </w:t>
      </w:r>
      <w:proofErr w:type="spellStart"/>
      <w:r w:rsidRPr="00B710B0">
        <w:rPr>
          <w:rFonts w:ascii="Arial" w:hAnsi="Arial" w:cs="Arial"/>
          <w:color w:val="000000" w:themeColor="text1"/>
        </w:rPr>
        <w:t>Vatnikov</w:t>
      </w:r>
      <w:proofErr w:type="spellEnd"/>
      <w:r w:rsidRPr="00B710B0">
        <w:rPr>
          <w:rFonts w:ascii="Arial" w:hAnsi="Arial" w:cs="Arial"/>
          <w:color w:val="000000" w:themeColor="text1"/>
        </w:rPr>
        <w:t xml:space="preserve">, Y., Kulikov, E., </w:t>
      </w:r>
      <w:proofErr w:type="spellStart"/>
      <w:r w:rsidRPr="00B710B0">
        <w:rPr>
          <w:rFonts w:ascii="Arial" w:hAnsi="Arial" w:cs="Arial"/>
          <w:color w:val="000000" w:themeColor="text1"/>
        </w:rPr>
        <w:t>Sachivkina</w:t>
      </w:r>
      <w:proofErr w:type="spellEnd"/>
      <w:r w:rsidRPr="00B710B0">
        <w:rPr>
          <w:rFonts w:ascii="Arial" w:hAnsi="Arial" w:cs="Arial"/>
          <w:color w:val="000000" w:themeColor="text1"/>
        </w:rPr>
        <w:t xml:space="preserve">, N., </w:t>
      </w:r>
      <w:proofErr w:type="spellStart"/>
      <w:r w:rsidRPr="00B710B0">
        <w:rPr>
          <w:rFonts w:ascii="Arial" w:hAnsi="Arial" w:cs="Arial"/>
          <w:color w:val="000000" w:themeColor="text1"/>
        </w:rPr>
        <w:t>Gnezdilova</w:t>
      </w:r>
      <w:proofErr w:type="spellEnd"/>
      <w:r w:rsidRPr="00B710B0">
        <w:rPr>
          <w:rFonts w:ascii="Arial" w:hAnsi="Arial" w:cs="Arial"/>
          <w:color w:val="000000" w:themeColor="text1"/>
        </w:rPr>
        <w:t xml:space="preserve">, L. et al., (2020). Poultry </w:t>
      </w:r>
      <w:r w:rsidRPr="00B710B0">
        <w:rPr>
          <w:rFonts w:ascii="Arial" w:hAnsi="Arial" w:cs="Arial"/>
          <w:i/>
          <w:color w:val="000000" w:themeColor="text1"/>
        </w:rPr>
        <w:t>Salmonella</w:t>
      </w:r>
      <w:r w:rsidRPr="00B710B0">
        <w:rPr>
          <w:rFonts w:ascii="Arial" w:hAnsi="Arial" w:cs="Arial"/>
          <w:color w:val="000000" w:themeColor="text1"/>
        </w:rPr>
        <w:t xml:space="preserve"> Sensitivity to Antibiotics. </w:t>
      </w:r>
      <w:r w:rsidRPr="00B710B0">
        <w:rPr>
          <w:rFonts w:ascii="Arial" w:hAnsi="Arial" w:cs="Arial"/>
          <w:i/>
          <w:iCs/>
          <w:color w:val="000000" w:themeColor="text1"/>
        </w:rPr>
        <w:t>Systematic Reviews in Pharmacy</w:t>
      </w:r>
      <w:r w:rsidRPr="00B710B0">
        <w:rPr>
          <w:rFonts w:ascii="Arial" w:hAnsi="Arial" w:cs="Arial"/>
          <w:color w:val="000000" w:themeColor="text1"/>
        </w:rPr>
        <w:t>, </w:t>
      </w:r>
      <w:r w:rsidRPr="00B710B0">
        <w:rPr>
          <w:rFonts w:ascii="Arial" w:hAnsi="Arial" w:cs="Arial"/>
          <w:i/>
          <w:iCs/>
          <w:color w:val="000000" w:themeColor="text1"/>
        </w:rPr>
        <w:t>11</w:t>
      </w:r>
      <w:r w:rsidRPr="00B710B0">
        <w:rPr>
          <w:rFonts w:ascii="Arial" w:hAnsi="Arial" w:cs="Arial"/>
          <w:color w:val="000000" w:themeColor="text1"/>
        </w:rPr>
        <w:t xml:space="preserve">(2). </w:t>
      </w:r>
      <w:hyperlink r:id="rId51" w:history="1">
        <w:r w:rsidRPr="00B710B0">
          <w:rPr>
            <w:rStyle w:val="Hyperlink"/>
            <w:rFonts w:ascii="Arial" w:hAnsi="Arial" w:cs="Arial"/>
            <w:color w:val="000000" w:themeColor="text1"/>
          </w:rPr>
          <w:t>https://doi.org/10.36107/hfb.2020.i3.s94</w:t>
        </w:r>
      </w:hyperlink>
    </w:p>
    <w:p w14:paraId="45821E8E" w14:textId="77777777" w:rsidR="00D25912" w:rsidRPr="00B710B0" w:rsidRDefault="00D25912" w:rsidP="00D25912">
      <w:pPr>
        <w:pStyle w:val="Body"/>
        <w:numPr>
          <w:ilvl w:val="0"/>
          <w:numId w:val="31"/>
        </w:numPr>
        <w:rPr>
          <w:rFonts w:ascii="Arial" w:hAnsi="Arial" w:cs="Arial"/>
          <w:color w:val="000000" w:themeColor="text1"/>
        </w:rPr>
      </w:pPr>
      <w:proofErr w:type="spellStart"/>
      <w:r w:rsidRPr="00B710B0">
        <w:rPr>
          <w:rFonts w:ascii="Arial" w:hAnsi="Arial" w:cs="Arial"/>
          <w:color w:val="000000" w:themeColor="text1"/>
        </w:rPr>
        <w:t>Panyako</w:t>
      </w:r>
      <w:proofErr w:type="spellEnd"/>
      <w:r w:rsidRPr="00B710B0">
        <w:rPr>
          <w:rFonts w:ascii="Arial" w:hAnsi="Arial" w:cs="Arial"/>
          <w:color w:val="000000" w:themeColor="text1"/>
        </w:rPr>
        <w:t xml:space="preserve">, P. M., </w:t>
      </w:r>
      <w:proofErr w:type="spellStart"/>
      <w:r w:rsidRPr="00B710B0">
        <w:rPr>
          <w:rFonts w:ascii="Arial" w:hAnsi="Arial" w:cs="Arial"/>
          <w:color w:val="000000" w:themeColor="text1"/>
        </w:rPr>
        <w:t>Lichoti</w:t>
      </w:r>
      <w:proofErr w:type="spellEnd"/>
      <w:r w:rsidRPr="00B710B0">
        <w:rPr>
          <w:rFonts w:ascii="Arial" w:hAnsi="Arial" w:cs="Arial"/>
          <w:color w:val="000000" w:themeColor="text1"/>
        </w:rPr>
        <w:t xml:space="preserve">, J. K., and </w:t>
      </w:r>
      <w:proofErr w:type="spellStart"/>
      <w:r w:rsidRPr="00B710B0">
        <w:rPr>
          <w:rFonts w:ascii="Arial" w:hAnsi="Arial" w:cs="Arial"/>
          <w:color w:val="000000" w:themeColor="text1"/>
        </w:rPr>
        <w:t>Ommeh</w:t>
      </w:r>
      <w:proofErr w:type="spellEnd"/>
      <w:r w:rsidRPr="00B710B0">
        <w:rPr>
          <w:rFonts w:ascii="Arial" w:hAnsi="Arial" w:cs="Arial"/>
          <w:color w:val="000000" w:themeColor="text1"/>
        </w:rPr>
        <w:t>, S. C. (2022). Antimicrobial drug resistance in poultry pathogens: Challenges and opportunities. </w:t>
      </w:r>
      <w:r w:rsidRPr="00B710B0">
        <w:rPr>
          <w:rFonts w:ascii="Arial" w:hAnsi="Arial" w:cs="Arial"/>
          <w:i/>
          <w:iCs/>
          <w:color w:val="000000" w:themeColor="text1"/>
        </w:rPr>
        <w:t>Journal of Agriculture, Science and Technology</w:t>
      </w:r>
      <w:r w:rsidRPr="00B710B0">
        <w:rPr>
          <w:rFonts w:ascii="Arial" w:hAnsi="Arial" w:cs="Arial"/>
          <w:color w:val="000000" w:themeColor="text1"/>
        </w:rPr>
        <w:t>, </w:t>
      </w:r>
      <w:r w:rsidRPr="00B710B0">
        <w:rPr>
          <w:rFonts w:ascii="Arial" w:hAnsi="Arial" w:cs="Arial"/>
          <w:i/>
          <w:iCs/>
          <w:color w:val="000000" w:themeColor="text1"/>
        </w:rPr>
        <w:t>21</w:t>
      </w:r>
      <w:r w:rsidRPr="00B710B0">
        <w:rPr>
          <w:rFonts w:ascii="Arial" w:hAnsi="Arial" w:cs="Arial"/>
          <w:color w:val="000000" w:themeColor="text1"/>
        </w:rPr>
        <w:t xml:space="preserve">(1), 62-82. </w:t>
      </w:r>
      <w:hyperlink r:id="rId52" w:history="1">
        <w:r w:rsidRPr="00B710B0">
          <w:rPr>
            <w:rStyle w:val="Hyperlink"/>
            <w:rFonts w:ascii="Arial" w:hAnsi="Arial" w:cs="Arial"/>
            <w:color w:val="000000" w:themeColor="text1"/>
          </w:rPr>
          <w:t>https://doi.org/10.4314/jagst.v21i1.7</w:t>
        </w:r>
      </w:hyperlink>
    </w:p>
    <w:p w14:paraId="2BDB04BB"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lastRenderedPageBreak/>
        <w:t>Ali, E., Islam, M. S., Hossen, M. I., Khatun, M. M., and Islam, M. A. (2021). Extract of neem (Azadirachta indica) leaf exhibits bactericidal effect against multidrug resistant pathogenic bacteria of poultry. </w:t>
      </w:r>
      <w:r w:rsidRPr="00B710B0">
        <w:rPr>
          <w:rFonts w:ascii="Arial" w:hAnsi="Arial" w:cs="Arial"/>
          <w:i/>
          <w:iCs/>
          <w:color w:val="000000" w:themeColor="text1"/>
        </w:rPr>
        <w:t>Veterinary medicine and science</w:t>
      </w:r>
      <w:r w:rsidRPr="00B710B0">
        <w:rPr>
          <w:rFonts w:ascii="Arial" w:hAnsi="Arial" w:cs="Arial"/>
          <w:color w:val="000000" w:themeColor="text1"/>
        </w:rPr>
        <w:t>, </w:t>
      </w:r>
      <w:r w:rsidRPr="00B710B0">
        <w:rPr>
          <w:rFonts w:ascii="Arial" w:hAnsi="Arial" w:cs="Arial"/>
          <w:i/>
          <w:iCs/>
          <w:color w:val="000000" w:themeColor="text1"/>
        </w:rPr>
        <w:t>7</w:t>
      </w:r>
      <w:r w:rsidRPr="00B710B0">
        <w:rPr>
          <w:rFonts w:ascii="Arial" w:hAnsi="Arial" w:cs="Arial"/>
          <w:color w:val="000000" w:themeColor="text1"/>
        </w:rPr>
        <w:t xml:space="preserve">(5), 1921-1927. </w:t>
      </w:r>
      <w:hyperlink r:id="rId53" w:history="1">
        <w:r w:rsidRPr="00B710B0">
          <w:rPr>
            <w:rStyle w:val="Hyperlink"/>
            <w:rFonts w:ascii="Arial" w:hAnsi="Arial" w:cs="Arial"/>
            <w:color w:val="000000" w:themeColor="text1"/>
          </w:rPr>
          <w:t>https://doi.org/10.1002/vms3.511</w:t>
        </w:r>
      </w:hyperlink>
    </w:p>
    <w:p w14:paraId="0C5136EE" w14:textId="77777777" w:rsidR="00D25912"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 xml:space="preserve">Almowallad, S. J., and Alqahtani, L. S. (2024). Synergistic antimicrobial action of chitosan-neem extracts </w:t>
      </w:r>
      <w:proofErr w:type="spellStart"/>
      <w:r w:rsidRPr="00B710B0">
        <w:rPr>
          <w:rFonts w:ascii="Arial" w:hAnsi="Arial" w:cs="Arial"/>
          <w:color w:val="000000" w:themeColor="text1"/>
        </w:rPr>
        <w:t>nanoformulation</w:t>
      </w:r>
      <w:proofErr w:type="spellEnd"/>
      <w:r w:rsidRPr="00B710B0">
        <w:rPr>
          <w:rFonts w:ascii="Arial" w:hAnsi="Arial" w:cs="Arial"/>
          <w:color w:val="000000" w:themeColor="text1"/>
        </w:rPr>
        <w:t xml:space="preserve"> as a promising strategy for overcoming multi-drug resistant bacteria. </w:t>
      </w:r>
      <w:r w:rsidRPr="00B710B0">
        <w:rPr>
          <w:rFonts w:ascii="Arial" w:hAnsi="Arial" w:cs="Arial"/>
          <w:i/>
          <w:iCs/>
          <w:color w:val="000000" w:themeColor="text1"/>
        </w:rPr>
        <w:t>International Journal of Biological Macromolecules</w:t>
      </w:r>
      <w:r w:rsidRPr="00B710B0">
        <w:rPr>
          <w:rFonts w:ascii="Arial" w:hAnsi="Arial" w:cs="Arial"/>
          <w:color w:val="000000" w:themeColor="text1"/>
        </w:rPr>
        <w:t>, </w:t>
      </w:r>
      <w:r w:rsidRPr="00B710B0">
        <w:rPr>
          <w:rFonts w:ascii="Arial" w:hAnsi="Arial" w:cs="Arial"/>
          <w:i/>
          <w:iCs/>
          <w:color w:val="000000" w:themeColor="text1"/>
        </w:rPr>
        <w:t>272</w:t>
      </w:r>
      <w:r w:rsidRPr="00B710B0">
        <w:rPr>
          <w:rFonts w:ascii="Arial" w:hAnsi="Arial" w:cs="Arial"/>
          <w:color w:val="000000" w:themeColor="text1"/>
        </w:rPr>
        <w:t xml:space="preserve">, 132337. </w:t>
      </w:r>
      <w:hyperlink r:id="rId54" w:history="1">
        <w:r w:rsidRPr="00B710B0">
          <w:rPr>
            <w:rStyle w:val="Hyperlink"/>
            <w:rFonts w:ascii="Arial" w:hAnsi="Arial" w:cs="Arial"/>
            <w:color w:val="000000" w:themeColor="text1"/>
          </w:rPr>
          <w:t>https://doi.org/10.1016/j.ijbiomac.2024.132337</w:t>
        </w:r>
      </w:hyperlink>
    </w:p>
    <w:p w14:paraId="22B4F665" w14:textId="77777777" w:rsidR="00B01FCD" w:rsidRPr="00B710B0" w:rsidRDefault="00D25912" w:rsidP="00D25912">
      <w:pPr>
        <w:pStyle w:val="Body"/>
        <w:numPr>
          <w:ilvl w:val="0"/>
          <w:numId w:val="31"/>
        </w:numPr>
        <w:rPr>
          <w:rFonts w:ascii="Arial" w:hAnsi="Arial" w:cs="Arial"/>
          <w:color w:val="000000" w:themeColor="text1"/>
        </w:rPr>
      </w:pPr>
      <w:r w:rsidRPr="00B710B0">
        <w:rPr>
          <w:rFonts w:ascii="Arial" w:hAnsi="Arial" w:cs="Arial"/>
          <w:color w:val="000000" w:themeColor="text1"/>
        </w:rPr>
        <w:t>Mahmoud, G. A. E., Rashed, N. M., El-</w:t>
      </w:r>
      <w:proofErr w:type="spellStart"/>
      <w:r w:rsidRPr="00B710B0">
        <w:rPr>
          <w:rFonts w:ascii="Arial" w:hAnsi="Arial" w:cs="Arial"/>
          <w:color w:val="000000" w:themeColor="text1"/>
        </w:rPr>
        <w:t>Ganainy</w:t>
      </w:r>
      <w:proofErr w:type="spellEnd"/>
      <w:r w:rsidRPr="00B710B0">
        <w:rPr>
          <w:rFonts w:ascii="Arial" w:hAnsi="Arial" w:cs="Arial"/>
          <w:color w:val="000000" w:themeColor="text1"/>
        </w:rPr>
        <w:t>, S. M., and Salem, S. H. (2024). Unveiling the neem (Azadirachta indica) effects on biofilm formation of food-borne bacteria and the potential mechanism using a molecular docking approach. </w:t>
      </w:r>
      <w:r w:rsidRPr="00B710B0">
        <w:rPr>
          <w:rFonts w:ascii="Arial" w:hAnsi="Arial" w:cs="Arial"/>
          <w:i/>
          <w:iCs/>
          <w:color w:val="000000" w:themeColor="text1"/>
        </w:rPr>
        <w:t>Plants</w:t>
      </w:r>
      <w:r w:rsidRPr="00B710B0">
        <w:rPr>
          <w:rFonts w:ascii="Arial" w:hAnsi="Arial" w:cs="Arial"/>
          <w:color w:val="000000" w:themeColor="text1"/>
        </w:rPr>
        <w:t>, </w:t>
      </w:r>
      <w:r w:rsidRPr="00B710B0">
        <w:rPr>
          <w:rFonts w:ascii="Arial" w:hAnsi="Arial" w:cs="Arial"/>
          <w:i/>
          <w:iCs/>
          <w:color w:val="000000" w:themeColor="text1"/>
        </w:rPr>
        <w:t>13</w:t>
      </w:r>
      <w:r w:rsidRPr="00B710B0">
        <w:rPr>
          <w:rFonts w:ascii="Arial" w:hAnsi="Arial" w:cs="Arial"/>
          <w:color w:val="000000" w:themeColor="text1"/>
        </w:rPr>
        <w:t xml:space="preserve">(18), 2669. </w:t>
      </w:r>
      <w:hyperlink r:id="rId55" w:history="1">
        <w:r w:rsidR="00D53DFD" w:rsidRPr="00B710B0">
          <w:rPr>
            <w:rStyle w:val="Hyperlink"/>
            <w:rFonts w:ascii="Arial" w:hAnsi="Arial" w:cs="Arial"/>
            <w:color w:val="000000" w:themeColor="text1"/>
          </w:rPr>
          <w:t>https://doi.org/10.3390/plants13182669</w:t>
        </w:r>
      </w:hyperlink>
    </w:p>
    <w:p w14:paraId="135D416F" w14:textId="77777777" w:rsidR="00D53DFD" w:rsidRPr="00D25912" w:rsidRDefault="00D53DFD" w:rsidP="00D53DFD">
      <w:pPr>
        <w:pStyle w:val="Body"/>
        <w:ind w:left="720"/>
        <w:rPr>
          <w:rFonts w:ascii="Arial" w:hAnsi="Arial" w:cs="Arial"/>
        </w:rPr>
      </w:pPr>
    </w:p>
    <w:sectPr w:rsidR="00D53DFD" w:rsidRPr="00D25912" w:rsidSect="00C673E9">
      <w:headerReference w:type="even" r:id="rId56"/>
      <w:headerReference w:type="default" r:id="rId57"/>
      <w:footerReference w:type="default" r:id="rId58"/>
      <w:headerReference w:type="first" r:id="rId5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5ECFA" w14:textId="77777777" w:rsidR="0087485B" w:rsidRDefault="0087485B" w:rsidP="00C37E61">
      <w:r>
        <w:separator/>
      </w:r>
    </w:p>
  </w:endnote>
  <w:endnote w:type="continuationSeparator" w:id="0">
    <w:p w14:paraId="5DEF8341" w14:textId="77777777" w:rsidR="0087485B" w:rsidRDefault="008748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FCC2" w14:textId="77777777" w:rsidR="00C673E9" w:rsidRDefault="00C67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2462" w14:textId="77777777" w:rsidR="00C673E9" w:rsidRDefault="00C67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50F0" w14:textId="763DF0C2" w:rsidR="00390DC8" w:rsidRPr="00C673E9" w:rsidRDefault="00390DC8" w:rsidP="00C673E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4109" w14:textId="77777777" w:rsidR="00390DC8" w:rsidRPr="00C37E61" w:rsidRDefault="00390DC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6308A" w14:textId="77777777" w:rsidR="0087485B" w:rsidRDefault="0087485B" w:rsidP="00C37E61">
      <w:r>
        <w:separator/>
      </w:r>
    </w:p>
  </w:footnote>
  <w:footnote w:type="continuationSeparator" w:id="0">
    <w:p w14:paraId="5E767A9D" w14:textId="77777777" w:rsidR="0087485B" w:rsidRDefault="008748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F6C8" w14:textId="1B1176FC" w:rsidR="00C673E9" w:rsidRDefault="00C673E9">
    <w:pPr>
      <w:pStyle w:val="Header"/>
    </w:pPr>
    <w:r>
      <w:rPr>
        <w:noProof/>
      </w:rPr>
      <w:pict w14:anchorId="6475E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5465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0FC1" w14:textId="3F2115D4" w:rsidR="00C673E9" w:rsidRDefault="00C673E9">
    <w:pPr>
      <w:pStyle w:val="Header"/>
    </w:pPr>
    <w:r>
      <w:rPr>
        <w:noProof/>
      </w:rPr>
      <w:pict w14:anchorId="4AA1E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5465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753E" w14:textId="7B2ABE10" w:rsidR="00390DC8" w:rsidRPr="00296529" w:rsidRDefault="00C673E9" w:rsidP="00296529">
    <w:pPr>
      <w:ind w:left="2160"/>
      <w:jc w:val="center"/>
      <w:rPr>
        <w:rFonts w:ascii="Times New Roman" w:eastAsia="Calibri" w:hAnsi="Times New Roman"/>
        <w:i/>
        <w:sz w:val="18"/>
        <w:szCs w:val="22"/>
      </w:rPr>
    </w:pPr>
    <w:r>
      <w:rPr>
        <w:noProof/>
      </w:rPr>
      <w:pict w14:anchorId="3F3F5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5465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33A5BD" w14:textId="77777777" w:rsidR="00390DC8" w:rsidRPr="00296529" w:rsidRDefault="00390DC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06A11D0" w14:textId="77777777" w:rsidR="00390DC8" w:rsidRPr="00296529" w:rsidRDefault="00390DC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3A1D58" w14:textId="77777777" w:rsidR="00390DC8" w:rsidRPr="00296529" w:rsidRDefault="00390DC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84AF6F" w14:textId="77777777" w:rsidR="00390DC8" w:rsidRDefault="00390DC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4AEF8A" w14:textId="77777777" w:rsidR="00390DC8" w:rsidRDefault="00390DC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ED48682" w14:textId="77777777" w:rsidR="00390DC8" w:rsidRDefault="00390DC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24FD" w14:textId="78A3A173" w:rsidR="00C673E9" w:rsidRDefault="00C673E9">
    <w:pPr>
      <w:pStyle w:val="Header"/>
    </w:pPr>
    <w:r>
      <w:rPr>
        <w:noProof/>
      </w:rPr>
      <w:pict w14:anchorId="18A12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5466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D5137" w14:textId="13213E6D" w:rsidR="00C673E9" w:rsidRDefault="00C673E9">
    <w:pPr>
      <w:pStyle w:val="Header"/>
    </w:pPr>
    <w:r>
      <w:rPr>
        <w:noProof/>
      </w:rPr>
      <w:pict w14:anchorId="06B2C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5466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C42DE" w14:textId="2482D4DC" w:rsidR="00C673E9" w:rsidRDefault="00C673E9">
    <w:pPr>
      <w:pStyle w:val="Header"/>
    </w:pPr>
    <w:r>
      <w:rPr>
        <w:noProof/>
      </w:rPr>
      <w:pict w14:anchorId="0F96B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5465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69C3F86"/>
    <w:multiLevelType w:val="hybridMultilevel"/>
    <w:tmpl w:val="2FD2E0A6"/>
    <w:lvl w:ilvl="0" w:tplc="F1EC9DA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2358"/>
    <w:rsid w:val="00081A8E"/>
    <w:rsid w:val="000A47FA"/>
    <w:rsid w:val="000A65D3"/>
    <w:rsid w:val="000B1E33"/>
    <w:rsid w:val="000D689F"/>
    <w:rsid w:val="000E7B7B"/>
    <w:rsid w:val="000E7D62"/>
    <w:rsid w:val="000F6A14"/>
    <w:rsid w:val="00103357"/>
    <w:rsid w:val="00123C9F"/>
    <w:rsid w:val="00126190"/>
    <w:rsid w:val="00130F17"/>
    <w:rsid w:val="001320BF"/>
    <w:rsid w:val="00163BC4"/>
    <w:rsid w:val="00191062"/>
    <w:rsid w:val="00192B72"/>
    <w:rsid w:val="001A29D8"/>
    <w:rsid w:val="001A5CAA"/>
    <w:rsid w:val="001B0427"/>
    <w:rsid w:val="001D3A51"/>
    <w:rsid w:val="001D560E"/>
    <w:rsid w:val="001E10D2"/>
    <w:rsid w:val="001E25B4"/>
    <w:rsid w:val="001E44FE"/>
    <w:rsid w:val="00200595"/>
    <w:rsid w:val="00204835"/>
    <w:rsid w:val="00231374"/>
    <w:rsid w:val="00231920"/>
    <w:rsid w:val="0023195C"/>
    <w:rsid w:val="0024282C"/>
    <w:rsid w:val="002460DC"/>
    <w:rsid w:val="00250985"/>
    <w:rsid w:val="002556F6"/>
    <w:rsid w:val="00283105"/>
    <w:rsid w:val="00284C4C"/>
    <w:rsid w:val="00287E68"/>
    <w:rsid w:val="00296529"/>
    <w:rsid w:val="002A2816"/>
    <w:rsid w:val="002B27FB"/>
    <w:rsid w:val="002B685A"/>
    <w:rsid w:val="002C57D2"/>
    <w:rsid w:val="002E0D56"/>
    <w:rsid w:val="00315186"/>
    <w:rsid w:val="0033343E"/>
    <w:rsid w:val="003512C2"/>
    <w:rsid w:val="00371FB6"/>
    <w:rsid w:val="003763C1"/>
    <w:rsid w:val="00376BBE"/>
    <w:rsid w:val="00390DC8"/>
    <w:rsid w:val="0039224F"/>
    <w:rsid w:val="0039768A"/>
    <w:rsid w:val="003A0378"/>
    <w:rsid w:val="003A43A4"/>
    <w:rsid w:val="003A7E18"/>
    <w:rsid w:val="003C4C86"/>
    <w:rsid w:val="003C6258"/>
    <w:rsid w:val="003E2904"/>
    <w:rsid w:val="00401927"/>
    <w:rsid w:val="0041027F"/>
    <w:rsid w:val="00412475"/>
    <w:rsid w:val="00423401"/>
    <w:rsid w:val="00423789"/>
    <w:rsid w:val="00440F43"/>
    <w:rsid w:val="00441B6F"/>
    <w:rsid w:val="00446221"/>
    <w:rsid w:val="00450E62"/>
    <w:rsid w:val="004539DB"/>
    <w:rsid w:val="00470AB0"/>
    <w:rsid w:val="00471A80"/>
    <w:rsid w:val="004A72E1"/>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32A"/>
    <w:rsid w:val="00686953"/>
    <w:rsid w:val="00687DEA"/>
    <w:rsid w:val="00687E67"/>
    <w:rsid w:val="006967F7"/>
    <w:rsid w:val="006A250C"/>
    <w:rsid w:val="006B21D3"/>
    <w:rsid w:val="006B57D0"/>
    <w:rsid w:val="006D30FF"/>
    <w:rsid w:val="006D6940"/>
    <w:rsid w:val="006F11EC"/>
    <w:rsid w:val="0070082C"/>
    <w:rsid w:val="007205F6"/>
    <w:rsid w:val="007369E6"/>
    <w:rsid w:val="00746E59"/>
    <w:rsid w:val="00754C9A"/>
    <w:rsid w:val="0075599A"/>
    <w:rsid w:val="00761D52"/>
    <w:rsid w:val="0077749E"/>
    <w:rsid w:val="00790ADA"/>
    <w:rsid w:val="00792878"/>
    <w:rsid w:val="007D2288"/>
    <w:rsid w:val="007D5954"/>
    <w:rsid w:val="007E088F"/>
    <w:rsid w:val="007F7B32"/>
    <w:rsid w:val="00804BC2"/>
    <w:rsid w:val="0081431A"/>
    <w:rsid w:val="0083216F"/>
    <w:rsid w:val="00860000"/>
    <w:rsid w:val="00863BD3"/>
    <w:rsid w:val="008641ED"/>
    <w:rsid w:val="0086649F"/>
    <w:rsid w:val="00866D66"/>
    <w:rsid w:val="008671C6"/>
    <w:rsid w:val="0087485B"/>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10B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73E9"/>
    <w:rsid w:val="00C70F1B"/>
    <w:rsid w:val="00C71A47"/>
    <w:rsid w:val="00C7464C"/>
    <w:rsid w:val="00C85588"/>
    <w:rsid w:val="00C934EC"/>
    <w:rsid w:val="00CC4046"/>
    <w:rsid w:val="00CD6755"/>
    <w:rsid w:val="00CD6856"/>
    <w:rsid w:val="00CE0089"/>
    <w:rsid w:val="00CE793C"/>
    <w:rsid w:val="00CF193C"/>
    <w:rsid w:val="00D173F1"/>
    <w:rsid w:val="00D25912"/>
    <w:rsid w:val="00D53DFD"/>
    <w:rsid w:val="00D74CB0"/>
    <w:rsid w:val="00D822D6"/>
    <w:rsid w:val="00D8295D"/>
    <w:rsid w:val="00D9141F"/>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5267"/>
    <w:rsid w:val="00EC6A55"/>
    <w:rsid w:val="00ED0288"/>
    <w:rsid w:val="00EE52CB"/>
    <w:rsid w:val="00EF581D"/>
    <w:rsid w:val="00EF7FD8"/>
    <w:rsid w:val="00F06F59"/>
    <w:rsid w:val="00F17988"/>
    <w:rsid w:val="00F469F0"/>
    <w:rsid w:val="00F53273"/>
    <w:rsid w:val="00F755E4"/>
    <w:rsid w:val="00F77D02"/>
    <w:rsid w:val="00F82F0E"/>
    <w:rsid w:val="00FB3A86"/>
    <w:rsid w:val="00FD1CD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641A9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863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8632A"/>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86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00886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89/fvets.2021.794588" TargetMode="External"/><Relationship Id="rId26" Type="http://schemas.openxmlformats.org/officeDocument/2006/relationships/hyperlink" Target="https://doi.org/10.1155/2016/7382506" TargetMode="External"/><Relationship Id="rId39" Type="http://schemas.openxmlformats.org/officeDocument/2006/relationships/hyperlink" Target="https://doi.org/10.3382/ps.2007-00156" TargetMode="External"/><Relationship Id="rId21" Type="http://schemas.openxmlformats.org/officeDocument/2006/relationships/hyperlink" Target="https://doi.org/10.3390/antibiotics12050905" TargetMode="External"/><Relationship Id="rId34" Type="http://schemas.openxmlformats.org/officeDocument/2006/relationships/hyperlink" Target="http://dx.doi.org/10.1016/j.focha.2024.100702" TargetMode="External"/><Relationship Id="rId42" Type="http://schemas.openxmlformats.org/officeDocument/2006/relationships/hyperlink" Target="http://dx.doi.org/10.33988/auvfd.451328" TargetMode="External"/><Relationship Id="rId47" Type="http://schemas.openxmlformats.org/officeDocument/2006/relationships/hyperlink" Target="https://doi.org/10.1080/03079457.2019.1711019" TargetMode="External"/><Relationship Id="rId50" Type="http://schemas.openxmlformats.org/officeDocument/2006/relationships/hyperlink" Target="http://dx.doi.org/10.14737/journal.rjvp/2014/2.2.30.35" TargetMode="External"/><Relationship Id="rId55" Type="http://schemas.openxmlformats.org/officeDocument/2006/relationships/hyperlink" Target="https://doi.org/10.3390/plants1318266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nbs.or.ke/reports/2019-economic-survey/" TargetMode="External"/><Relationship Id="rId29" Type="http://schemas.openxmlformats.org/officeDocument/2006/relationships/hyperlink" Target="http://dx.doi.org/10.1093/oso/9780198522294.001.0001" TargetMode="External"/><Relationship Id="rId11" Type="http://schemas.openxmlformats.org/officeDocument/2006/relationships/footer" Target="footer2.xml"/><Relationship Id="rId24" Type="http://schemas.openxmlformats.org/officeDocument/2006/relationships/hyperlink" Target="https://doi.org/10.3390/foods11101401" TargetMode="External"/><Relationship Id="rId32" Type="http://schemas.openxmlformats.org/officeDocument/2006/relationships/hyperlink" Target="https://pubmed.ncbi.nlm.nih.gov/35565583/" TargetMode="External"/><Relationship Id="rId37" Type="http://schemas.openxmlformats.org/officeDocument/2006/relationships/hyperlink" Target="http://dx.doi.org/10.1080/00439339.2021.1904314" TargetMode="External"/><Relationship Id="rId40" Type="http://schemas.openxmlformats.org/officeDocument/2006/relationships/hyperlink" Target="https://doi.org/10.1155/2022/5437171" TargetMode="External"/><Relationship Id="rId45" Type="http://schemas.openxmlformats.org/officeDocument/2006/relationships/hyperlink" Target="https://doi.org/10.1089/fpd.2014.1832" TargetMode="External"/><Relationship Id="rId53" Type="http://schemas.openxmlformats.org/officeDocument/2006/relationships/hyperlink" Target="https://doi.org/10.1002/vms3.511" TargetMode="Externa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155/2024/9921963" TargetMode="External"/><Relationship Id="rId14" Type="http://schemas.openxmlformats.org/officeDocument/2006/relationships/hyperlink" Target="http://dx.doi.org/10.1017/S0043933912000128" TargetMode="External"/><Relationship Id="rId22" Type="http://schemas.openxmlformats.org/officeDocument/2006/relationships/hyperlink" Target="https://doi.org/10.1016/j.heliyon.2023.e18810" TargetMode="External"/><Relationship Id="rId27" Type="http://schemas.openxmlformats.org/officeDocument/2006/relationships/hyperlink" Target="http://dx.doi.org/10.1007/s11101-009-9144-6" TargetMode="External"/><Relationship Id="rId30" Type="http://schemas.openxmlformats.org/officeDocument/2006/relationships/hyperlink" Target="https://doi.org/10.1371/journal.pntd.0006658" TargetMode="External"/><Relationship Id="rId35" Type="http://schemas.openxmlformats.org/officeDocument/2006/relationships/hyperlink" Target="http://pbr.mazums.ac.ir/article-1-467-en.html----to" TargetMode="External"/><Relationship Id="rId43" Type="http://schemas.openxmlformats.org/officeDocument/2006/relationships/hyperlink" Target="https://doi.org/10.3390/microorganisms9050925" TargetMode="External"/><Relationship Id="rId48" Type="http://schemas.openxmlformats.org/officeDocument/2006/relationships/hyperlink" Target="https://doi.org/10.3390/ani15121771"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10.36107/hfb.2020.i3.s9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repository.kemu.ac.ke/handle/123456789/1785" TargetMode="External"/><Relationship Id="rId25" Type="http://schemas.openxmlformats.org/officeDocument/2006/relationships/hyperlink" Target="https://doi.org/10.3390/microorganisms10050861" TargetMode="External"/><Relationship Id="rId33" Type="http://schemas.openxmlformats.org/officeDocument/2006/relationships/hyperlink" Target="https://doi.org/10.9734/JSRR/2013/3705" TargetMode="External"/><Relationship Id="rId38" Type="http://schemas.openxmlformats.org/officeDocument/2006/relationships/hyperlink" Target="https://pubmed.ncbi.nlm.nih.gov/37343345/" TargetMode="External"/><Relationship Id="rId46" Type="http://schemas.openxmlformats.org/officeDocument/2006/relationships/hyperlink" Target="https://doi.org/10.1016/j.onehlt.2025.101039" TargetMode="External"/><Relationship Id="rId59" Type="http://schemas.openxmlformats.org/officeDocument/2006/relationships/header" Target="header6.xml"/><Relationship Id="rId20" Type="http://schemas.openxmlformats.org/officeDocument/2006/relationships/hyperlink" Target="https://doi.org/10.1155/2023/8394605" TargetMode="External"/><Relationship Id="rId41" Type="http://schemas.openxmlformats.org/officeDocument/2006/relationships/hyperlink" Target="https://doi.org/10.1637/10423-101612-reg.1" TargetMode="External"/><Relationship Id="rId54" Type="http://schemas.openxmlformats.org/officeDocument/2006/relationships/hyperlink" Target="https://doi.org/10.1016/j.ijbiomac.2024.13233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vets.2021.699081" TargetMode="External"/><Relationship Id="rId23" Type="http://schemas.openxmlformats.org/officeDocument/2006/relationships/hyperlink" Target="https://doi.org/10.3390/foods11101430" TargetMode="External"/><Relationship Id="rId28" Type="http://schemas.openxmlformats.org/officeDocument/2006/relationships/hyperlink" Target="https://doi.org/10.20546/ijcmas.2018.701.358" TargetMode="External"/><Relationship Id="rId36" Type="http://schemas.openxmlformats.org/officeDocument/2006/relationships/hyperlink" Target="https://www.darvashco.com/wp-content/uploads/2024/07/CLSI-2024_compressed-1.pdf" TargetMode="External"/><Relationship Id="rId49" Type="http://schemas.openxmlformats.org/officeDocument/2006/relationships/hyperlink" Target="https://doi.org/10.1016/s2221-1691(13)60043-x" TargetMode="External"/><Relationship Id="rId57"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doi.org/10.3382/ps/pex053" TargetMode="External"/><Relationship Id="rId44" Type="http://schemas.openxmlformats.org/officeDocument/2006/relationships/hyperlink" Target="https://doi.org/10.3390/ani13081362" TargetMode="External"/><Relationship Id="rId52" Type="http://schemas.openxmlformats.org/officeDocument/2006/relationships/hyperlink" Target="https://doi.org/10.4314/jagst.v21i1.7"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DBF49-F80E-4696-86CE-5684E37B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10</Pages>
  <Words>6153</Words>
  <Characters>35073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41144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cp:revision>
  <cp:lastPrinted>1999-07-06T11:00:00Z</cp:lastPrinted>
  <dcterms:created xsi:type="dcterms:W3CDTF">2025-07-23T13:11:00Z</dcterms:created>
  <dcterms:modified xsi:type="dcterms:W3CDTF">2025-07-24T10:08:00Z</dcterms:modified>
</cp:coreProperties>
</file>