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61D6" w14:textId="3898649E" w:rsidR="00754C9A" w:rsidRPr="00E03CB2" w:rsidRDefault="00E03CB2" w:rsidP="00E03CB2">
      <w:pPr>
        <w:pStyle w:val="Title"/>
        <w:spacing w:after="0"/>
        <w:jc w:val="left"/>
        <w:rPr>
          <w:rFonts w:ascii="Arial" w:hAnsi="Arial" w:cs="Arial"/>
          <w:sz w:val="24"/>
          <w:szCs w:val="14"/>
          <w:u w:val="single"/>
        </w:rPr>
      </w:pPr>
      <w:r w:rsidRPr="00E03CB2">
        <w:rPr>
          <w:rFonts w:ascii="Arial" w:hAnsi="Arial" w:cs="Arial"/>
          <w:sz w:val="24"/>
          <w:szCs w:val="14"/>
          <w:u w:val="single"/>
        </w:rPr>
        <w:t>Original Research Article</w:t>
      </w:r>
    </w:p>
    <w:p w14:paraId="43CCFFB4" w14:textId="3F9A686B" w:rsidR="00A258C3" w:rsidRPr="0053015D" w:rsidRDefault="0053015D" w:rsidP="00BE4576">
      <w:pPr>
        <w:pStyle w:val="Author"/>
        <w:spacing w:line="240" w:lineRule="auto"/>
        <w:rPr>
          <w:rFonts w:ascii="Arial" w:hAnsi="Arial" w:cs="Arial"/>
          <w:sz w:val="36"/>
          <w:szCs w:val="36"/>
        </w:rPr>
      </w:pPr>
      <w:r w:rsidRPr="0053015D">
        <w:rPr>
          <w:rFonts w:ascii="Arial" w:hAnsi="Arial" w:cs="Arial"/>
          <w:bCs/>
          <w:sz w:val="36"/>
          <w:szCs w:val="36"/>
        </w:rPr>
        <w:t>Identification of Mutation Point and Trend in Export of Indian Groundnut</w:t>
      </w:r>
    </w:p>
    <w:p w14:paraId="267E7F75" w14:textId="77777777" w:rsidR="0053015D" w:rsidRDefault="0053015D" w:rsidP="00C34F43">
      <w:pPr>
        <w:pStyle w:val="Author"/>
        <w:spacing w:line="240" w:lineRule="auto"/>
        <w:rPr>
          <w:rFonts w:ascii="Arial" w:hAnsi="Arial" w:cs="Arial"/>
        </w:rPr>
      </w:pP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144D0940" w:rsidR="00505F06" w:rsidRPr="00956FBD" w:rsidRDefault="0053015D" w:rsidP="00F67A97">
            <w:pPr>
              <w:jc w:val="both"/>
              <w:rPr>
                <w:rFonts w:ascii="Arial" w:hAnsi="Arial" w:cs="Arial"/>
                <w:lang w:val="en-IN"/>
              </w:rPr>
            </w:pPr>
            <w:r w:rsidRPr="0053015D">
              <w:rPr>
                <w:rFonts w:ascii="Arial" w:hAnsi="Arial" w:cs="Arial"/>
                <w:lang w:val="en-IN"/>
              </w:rPr>
              <w:t xml:space="preserve">The study aimed to identify structural mutation points and </w:t>
            </w:r>
            <w:proofErr w:type="spellStart"/>
            <w:r w:rsidRPr="0053015D">
              <w:rPr>
                <w:rFonts w:ascii="Arial" w:hAnsi="Arial" w:cs="Arial"/>
                <w:lang w:val="en-IN"/>
              </w:rPr>
              <w:t>analyze</w:t>
            </w:r>
            <w:proofErr w:type="spellEnd"/>
            <w:r w:rsidRPr="0053015D">
              <w:rPr>
                <w:rFonts w:ascii="Arial" w:hAnsi="Arial" w:cs="Arial"/>
                <w:lang w:val="en-IN"/>
              </w:rPr>
              <w:t xml:space="preserve"> long-term trends in India’s groundnut exports from 2005 to 2024 using time series data on export quantity and value sourced from Trade Map. Non-parametric methods, including Pettitt’s test, </w:t>
            </w:r>
            <w:proofErr w:type="spellStart"/>
            <w:r w:rsidRPr="0053015D">
              <w:rPr>
                <w:rFonts w:ascii="Arial" w:hAnsi="Arial" w:cs="Arial"/>
                <w:lang w:val="en-IN"/>
              </w:rPr>
              <w:t>Buishand’s</w:t>
            </w:r>
            <w:proofErr w:type="spellEnd"/>
            <w:r w:rsidRPr="0053015D">
              <w:rPr>
                <w:rFonts w:ascii="Arial" w:hAnsi="Arial" w:cs="Arial"/>
                <w:lang w:val="en-IN"/>
              </w:rPr>
              <w:t xml:space="preserve"> range test, and the Standard Normal Homogeneity (SNH) test, were applied to detect mutation points, while trend significance and magnitude were assessed using the Mann-Kendall test and Sen’s slope estimator. All three tests consistently identified 2010 as a major mutation year for both export quantity and value. Sen’s slope analysis indicated the highest growth during the full study period, with export quantity increasing by 23.84 thousand tonnes/year and value by 35.24 million USD/year. Trend models revealed that the quadratic model best explained the variation in exports. The findings highlight a struc</w:t>
            </w:r>
            <w:bookmarkStart w:id="0" w:name="_GoBack"/>
            <w:bookmarkEnd w:id="0"/>
            <w:r w:rsidRPr="0053015D">
              <w:rPr>
                <w:rFonts w:ascii="Arial" w:hAnsi="Arial" w:cs="Arial"/>
                <w:lang w:val="en-IN"/>
              </w:rPr>
              <w:t xml:space="preserve">tural shift post 2010 and emphasize the importance of strengthening trade strategies and infrastructure to sustain and enhance India’s groundnut export performance in the global market. </w:t>
            </w:r>
          </w:p>
        </w:tc>
      </w:tr>
    </w:tbl>
    <w:p w14:paraId="5AA85895" w14:textId="77777777" w:rsidR="00636EB2" w:rsidRPr="00CE1BBA" w:rsidRDefault="00636EB2" w:rsidP="00441B6F">
      <w:pPr>
        <w:pStyle w:val="Body"/>
        <w:spacing w:after="0"/>
        <w:rPr>
          <w:rFonts w:ascii="Arial" w:hAnsi="Arial" w:cs="Arial"/>
          <w:i/>
        </w:rPr>
      </w:pPr>
    </w:p>
    <w:p w14:paraId="51253505" w14:textId="17F8D847" w:rsidR="00505F06" w:rsidRPr="00CE1BBA" w:rsidRDefault="00A24E7E" w:rsidP="0010328F">
      <w:pPr>
        <w:pStyle w:val="Body"/>
        <w:rPr>
          <w:rFonts w:ascii="Arial" w:hAnsi="Arial" w:cs="Arial"/>
          <w:i/>
        </w:rPr>
      </w:pPr>
      <w:r w:rsidRPr="00CE1BBA">
        <w:rPr>
          <w:rFonts w:ascii="Arial" w:hAnsi="Arial" w:cs="Arial"/>
          <w:i/>
        </w:rPr>
        <w:t xml:space="preserve">Keywords: </w:t>
      </w:r>
      <w:r w:rsidR="00B360CC" w:rsidRPr="00B360CC">
        <w:rPr>
          <w:rFonts w:ascii="Arial" w:hAnsi="Arial" w:cs="Arial"/>
          <w:i/>
          <w:iCs/>
        </w:rPr>
        <w:t>Groundnut exports; Mutation point; Trend analysis; SNH test; Sen’s slope</w:t>
      </w:r>
    </w:p>
    <w:p w14:paraId="1B9B1934" w14:textId="2C6561E8" w:rsidR="0028103D"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442CFBD4" w14:textId="77777777" w:rsidR="005C68E8" w:rsidRPr="00CE1BBA" w:rsidRDefault="005C68E8" w:rsidP="0028103D">
      <w:pPr>
        <w:pStyle w:val="AbstHead"/>
        <w:spacing w:after="0"/>
        <w:jc w:val="both"/>
        <w:rPr>
          <w:rFonts w:ascii="Arial" w:hAnsi="Arial" w:cs="Arial"/>
        </w:rPr>
      </w:pPr>
    </w:p>
    <w:p w14:paraId="32A0EAF5" w14:textId="7647A390" w:rsidR="00B360CC" w:rsidRPr="00B360CC" w:rsidRDefault="00B360CC" w:rsidP="00B360CC">
      <w:pPr>
        <w:pStyle w:val="Body"/>
        <w:rPr>
          <w:rFonts w:ascii="Arial" w:hAnsi="Arial" w:cs="Arial"/>
        </w:rPr>
      </w:pPr>
      <w:r w:rsidRPr="00B360CC">
        <w:rPr>
          <w:rFonts w:ascii="Arial" w:hAnsi="Arial" w:cs="Arial"/>
        </w:rPr>
        <w:t>Groundnut (</w:t>
      </w:r>
      <w:r w:rsidRPr="00B360CC">
        <w:rPr>
          <w:rFonts w:ascii="Arial" w:hAnsi="Arial" w:cs="Arial"/>
          <w:i/>
          <w:iCs/>
        </w:rPr>
        <w:t>Arachis hypogaea L</w:t>
      </w:r>
      <w:r w:rsidRPr="00B360CC">
        <w:rPr>
          <w:rFonts w:ascii="Arial" w:hAnsi="Arial" w:cs="Arial"/>
        </w:rPr>
        <w:t xml:space="preserve">.) is a self-pollinating allotetraploid legume crop that belongs to the Fabaceae family. Groundnut, also known as peanut, is recognized as the third most significant oilseed crop globally. It holds great significance due to its high-quality edible oil and protein content. Moreover, the crop’s byproducts, namely oilcake and haulms, play a crucial role as valuable animal feed, further enhancing its economic value in the agricultural industry. China is the largest groundnut producer in the world, followed by India and Nigeria (Sajindra </w:t>
      </w:r>
      <w:r w:rsidRPr="00423D64">
        <w:rPr>
          <w:rFonts w:ascii="Arial" w:hAnsi="Arial" w:cs="Arial"/>
        </w:rPr>
        <w:t>et al.,</w:t>
      </w:r>
      <w:r w:rsidRPr="00B360CC">
        <w:rPr>
          <w:rFonts w:ascii="Arial" w:hAnsi="Arial" w:cs="Arial"/>
          <w:i/>
          <w:iCs/>
        </w:rPr>
        <w:t xml:space="preserve"> </w:t>
      </w:r>
      <w:r w:rsidRPr="00B360CC">
        <w:rPr>
          <w:rFonts w:ascii="Arial" w:hAnsi="Arial" w:cs="Arial"/>
        </w:rPr>
        <w:t>2023). Groundnut is an immensely significant food and oil crop, cherished for its exceptional nutritional value. The kernels of groundnut are a nutritional powerhouse, boasting a remarkable composition of protein (approximately 25 per cent), oil (about 50 per cent), antioxidants, essential minerals, and vitamins. Beyond being a staple food, groundnut is vital to the oil industry due to its high oil content and heart-healthy fats. Rich in antioxidants like resveratrol, it offers numerous health benefits, including reducing oxidative stress and inflammation. Additionally, groundnut supports sustainable agriculture by improving soil fertility through nitrogen fixation and promoting biodiversity, making it an ideal rotational crop (ICRISAT, 2024). India showcased its agricultural prowess in the fiscal year 2022–2023 by exporting oilseeds valued at Rs. 673,525.23 lakhs (US$ 831.6 million), with groundnut production being a major contributor to this accomplishment.</w:t>
      </w:r>
      <w:r w:rsidRPr="00B360CC">
        <w:rPr>
          <w:rFonts w:ascii="Arial" w:hAnsi="Arial" w:cs="Arial"/>
          <w:lang w:val="en-IN"/>
        </w:rPr>
        <w:t xml:space="preserve"> </w:t>
      </w:r>
      <w:r w:rsidRPr="00B360CC">
        <w:rPr>
          <w:rFonts w:ascii="Arial" w:hAnsi="Arial" w:cs="Arial"/>
        </w:rPr>
        <w:t>China is the largest groundnut producer in the world, followed by India and Nigeria.</w:t>
      </w:r>
      <w:r w:rsidRPr="00B360CC">
        <w:rPr>
          <w:rFonts w:ascii="Arial" w:hAnsi="Arial" w:cs="Arial"/>
          <w:lang w:val="en-IN"/>
        </w:rPr>
        <w:t xml:space="preserve"> </w:t>
      </w:r>
      <w:r w:rsidRPr="00B360CC">
        <w:rPr>
          <w:rFonts w:ascii="Arial" w:hAnsi="Arial" w:cs="Arial"/>
        </w:rPr>
        <w:t xml:space="preserve">India exports groundnuts to more than 132 nations worldwide through a broad network. Significantly, countries like the Philippines, Vietnam, Malaysia, and Indonesia (Vignesh and Selvakumar, 2024). </w:t>
      </w:r>
      <w:r w:rsidRPr="00B360CC">
        <w:rPr>
          <w:rFonts w:ascii="Arial" w:hAnsi="Arial" w:cs="Arial"/>
          <w:lang w:val="en-IN"/>
        </w:rPr>
        <w:t>In recent years, the export performance of Indian groundnut has exhibited significant fluctuations influenced by domestic production variability, global market dynamics, trade policies, and climatic factors. Identifying long-term trends and critical structural changes known as mutation points in the export pattern is essential to understand these shifts and respond strategically. Mutation points reflect key turning points in the time series that may result from policy changes, economic events, or external shocks, and their identification can provide valuable insights into the stability and direction of trade flows</w:t>
      </w:r>
      <w:r w:rsidR="001E37F6">
        <w:rPr>
          <w:rFonts w:ascii="Arial" w:hAnsi="Arial" w:cs="Arial"/>
          <w:lang w:val="en-IN"/>
        </w:rPr>
        <w:t xml:space="preserve"> and </w:t>
      </w:r>
      <w:r w:rsidR="001E37F6" w:rsidRPr="001E37F6">
        <w:rPr>
          <w:rFonts w:ascii="Arial" w:hAnsi="Arial" w:cs="Arial"/>
          <w:lang w:val="en-IN"/>
        </w:rPr>
        <w:t xml:space="preserve">Identifying export trends helps businesses anticipate global demand shifts and optimize production and marketing strategies. It also enables policymakers to strengthen trade policies and boost economic growth through targeted </w:t>
      </w:r>
      <w:r w:rsidR="001E37F6" w:rsidRPr="001E37F6">
        <w:rPr>
          <w:rFonts w:ascii="Arial" w:hAnsi="Arial" w:cs="Arial"/>
          <w:lang w:val="en-IN"/>
        </w:rPr>
        <w:lastRenderedPageBreak/>
        <w:t>support</w:t>
      </w:r>
      <w:r w:rsidR="001E37F6">
        <w:rPr>
          <w:rFonts w:ascii="Arial" w:hAnsi="Arial" w:cs="Arial"/>
          <w:lang w:val="en-IN"/>
        </w:rPr>
        <w:t xml:space="preserve"> (</w:t>
      </w:r>
      <w:proofErr w:type="spellStart"/>
      <w:r w:rsidR="00C37210">
        <w:rPr>
          <w:rFonts w:ascii="Arial" w:hAnsi="Arial" w:cs="Arial"/>
          <w:lang w:val="en-IN"/>
        </w:rPr>
        <w:t>Maheta</w:t>
      </w:r>
      <w:proofErr w:type="spellEnd"/>
      <w:r w:rsidR="00C37210">
        <w:rPr>
          <w:rFonts w:ascii="Arial" w:hAnsi="Arial" w:cs="Arial"/>
          <w:lang w:val="en-IN"/>
        </w:rPr>
        <w:t xml:space="preserve"> and Rank, 2017; </w:t>
      </w:r>
      <w:proofErr w:type="spellStart"/>
      <w:r w:rsidR="00C37210" w:rsidRPr="00962BCC">
        <w:rPr>
          <w:rFonts w:ascii="Arial" w:hAnsi="Arial" w:cs="Arial"/>
        </w:rPr>
        <w:t>Ghadiya</w:t>
      </w:r>
      <w:proofErr w:type="spellEnd"/>
      <w:r w:rsidR="00C37210">
        <w:rPr>
          <w:rFonts w:ascii="Arial" w:hAnsi="Arial" w:cs="Arial"/>
        </w:rPr>
        <w:t xml:space="preserve"> and </w:t>
      </w:r>
      <w:proofErr w:type="spellStart"/>
      <w:r w:rsidR="00C37210">
        <w:rPr>
          <w:rFonts w:ascii="Arial" w:hAnsi="Arial" w:cs="Arial"/>
        </w:rPr>
        <w:t>Maheta</w:t>
      </w:r>
      <w:proofErr w:type="spellEnd"/>
      <w:r w:rsidR="00C37210">
        <w:rPr>
          <w:rFonts w:ascii="Arial" w:hAnsi="Arial" w:cs="Arial"/>
        </w:rPr>
        <w:t xml:space="preserve">, 2018; </w:t>
      </w:r>
      <w:proofErr w:type="spellStart"/>
      <w:r w:rsidR="00C37210">
        <w:rPr>
          <w:rFonts w:ascii="Arial" w:hAnsi="Arial" w:cs="Arial"/>
        </w:rPr>
        <w:t>Bharodia</w:t>
      </w:r>
      <w:proofErr w:type="spellEnd"/>
      <w:r w:rsidR="00C37210">
        <w:rPr>
          <w:rFonts w:ascii="Arial" w:hAnsi="Arial" w:cs="Arial"/>
        </w:rPr>
        <w:t xml:space="preserve"> et al., 2025</w:t>
      </w:r>
      <w:r w:rsidR="00692913">
        <w:rPr>
          <w:rFonts w:ascii="Arial" w:hAnsi="Arial" w:cs="Arial"/>
        </w:rPr>
        <w:t>;</w:t>
      </w:r>
      <w:r w:rsidR="00C37210">
        <w:rPr>
          <w:rFonts w:ascii="Arial" w:hAnsi="Arial" w:cs="Arial"/>
        </w:rPr>
        <w:t xml:space="preserve"> </w:t>
      </w:r>
      <w:proofErr w:type="spellStart"/>
      <w:r w:rsidR="00C37210">
        <w:rPr>
          <w:rFonts w:ascii="Arial" w:hAnsi="Arial" w:cs="Arial"/>
        </w:rPr>
        <w:t>Maheta</w:t>
      </w:r>
      <w:proofErr w:type="spellEnd"/>
      <w:r w:rsidR="00C37210">
        <w:rPr>
          <w:rFonts w:ascii="Arial" w:hAnsi="Arial" w:cs="Arial"/>
        </w:rPr>
        <w:t xml:space="preserve"> et al.</w:t>
      </w:r>
      <w:r w:rsidR="00692913">
        <w:rPr>
          <w:rFonts w:ascii="Arial" w:hAnsi="Arial" w:cs="Arial"/>
        </w:rPr>
        <w:t>, 2025)</w:t>
      </w:r>
      <w:r w:rsidR="001E37F6">
        <w:rPr>
          <w:rFonts w:ascii="Arial" w:hAnsi="Arial" w:cs="Arial"/>
          <w:lang w:val="en-IN"/>
        </w:rPr>
        <w:t xml:space="preserve">. </w:t>
      </w:r>
      <w:r w:rsidR="00692913" w:rsidRPr="00B360CC">
        <w:rPr>
          <w:rFonts w:ascii="Arial" w:hAnsi="Arial" w:cs="Arial"/>
          <w:lang w:val="en-IN"/>
        </w:rPr>
        <w:t>Analysing</w:t>
      </w:r>
      <w:r w:rsidRPr="00B360CC">
        <w:rPr>
          <w:rFonts w:ascii="Arial" w:hAnsi="Arial" w:cs="Arial"/>
          <w:lang w:val="en-IN"/>
        </w:rPr>
        <w:t xml:space="preserve"> these patterns is vital for exporters, policymakers, and stakeholders to evaluate the effectiveness of existing strategies and to anticipate future challenges. Therefore, this study aims to investigate the trend and detect mutation points in India’s groundnut export data using statistical methods such as trend analysis and structural break tests, thereby contributing to evidence-based decision-making for sustained export growth.</w:t>
      </w:r>
    </w:p>
    <w:p w14:paraId="4C0B210A" w14:textId="61BE24F3" w:rsidR="0028103D" w:rsidRDefault="00A419BD" w:rsidP="00B360CC">
      <w:pPr>
        <w:pStyle w:val="AbstHead"/>
        <w:spacing w:after="0"/>
        <w:jc w:val="both"/>
        <w:rPr>
          <w:rFonts w:ascii="Arial" w:hAnsi="Arial" w:cs="Arial"/>
        </w:rPr>
      </w:pPr>
      <w:r>
        <w:rPr>
          <w:rFonts w:ascii="Arial" w:hAnsi="Arial" w:cs="Arial"/>
        </w:rPr>
        <w:t xml:space="preserve">2. methodology </w:t>
      </w:r>
    </w:p>
    <w:p w14:paraId="461A6DE2" w14:textId="77777777" w:rsidR="001354FC" w:rsidRDefault="001354FC" w:rsidP="00B360CC">
      <w:pPr>
        <w:pStyle w:val="AbstHead"/>
        <w:spacing w:after="0"/>
        <w:jc w:val="both"/>
        <w:rPr>
          <w:rFonts w:ascii="Arial" w:hAnsi="Arial" w:cs="Arial"/>
        </w:rPr>
      </w:pPr>
    </w:p>
    <w:p w14:paraId="3DB7CB99" w14:textId="77777777" w:rsidR="00B360CC" w:rsidRDefault="00B360CC" w:rsidP="00B360CC">
      <w:pPr>
        <w:jc w:val="both"/>
        <w:rPr>
          <w:rFonts w:ascii="Arial" w:hAnsi="Arial" w:cs="Arial"/>
          <w:b/>
          <w:bCs/>
          <w:lang w:val="en-IN"/>
        </w:rPr>
      </w:pPr>
      <w:r w:rsidRPr="00B360CC">
        <w:rPr>
          <w:rFonts w:ascii="Arial" w:hAnsi="Arial" w:cs="Arial"/>
          <w:b/>
          <w:bCs/>
          <w:lang w:val="en-IN"/>
        </w:rPr>
        <w:t>2.1 Data</w:t>
      </w:r>
    </w:p>
    <w:p w14:paraId="0BBC7ED5" w14:textId="77777777" w:rsidR="00956FBD" w:rsidRPr="00B360CC" w:rsidRDefault="00956FBD" w:rsidP="00B360CC">
      <w:pPr>
        <w:jc w:val="both"/>
        <w:rPr>
          <w:rFonts w:ascii="Arial" w:hAnsi="Arial" w:cs="Arial"/>
          <w:b/>
          <w:bCs/>
          <w:lang w:val="en-IN"/>
        </w:rPr>
      </w:pPr>
    </w:p>
    <w:p w14:paraId="4F0A7BDB" w14:textId="77777777" w:rsidR="00B360CC" w:rsidRDefault="00B360CC" w:rsidP="00B360CC">
      <w:pPr>
        <w:jc w:val="both"/>
        <w:rPr>
          <w:rFonts w:ascii="Arial" w:hAnsi="Arial" w:cs="Arial"/>
        </w:rPr>
      </w:pPr>
      <w:r w:rsidRPr="00B360CC">
        <w:rPr>
          <w:rFonts w:ascii="Arial" w:hAnsi="Arial" w:cs="Arial"/>
        </w:rPr>
        <w:t xml:space="preserve">The present study deals with identification of mutation point and trend in export of groundnut. To full fill the objectives of the study, a secondary data on export quantity and export value of groundnut from India for the period 2005 to 2024 have been obtained from Trade map. The time series data was analyzed using the XLSTAT trial version. </w:t>
      </w:r>
    </w:p>
    <w:p w14:paraId="45D58904" w14:textId="77777777" w:rsidR="001354FC" w:rsidRPr="00B360CC" w:rsidRDefault="001354FC" w:rsidP="00B360CC">
      <w:pPr>
        <w:jc w:val="both"/>
        <w:rPr>
          <w:rFonts w:ascii="Arial" w:hAnsi="Arial" w:cs="Arial"/>
        </w:rPr>
      </w:pPr>
    </w:p>
    <w:p w14:paraId="603E6124" w14:textId="77777777" w:rsidR="00B360CC" w:rsidRDefault="00B360CC" w:rsidP="00B360CC">
      <w:pPr>
        <w:jc w:val="both"/>
        <w:rPr>
          <w:rFonts w:ascii="Arial" w:hAnsi="Arial" w:cs="Arial"/>
          <w:b/>
          <w:bCs/>
        </w:rPr>
      </w:pPr>
      <w:r w:rsidRPr="00B360CC">
        <w:rPr>
          <w:rFonts w:ascii="Arial" w:hAnsi="Arial" w:cs="Arial"/>
          <w:b/>
          <w:bCs/>
        </w:rPr>
        <w:t>2.2 Analytical Tools</w:t>
      </w:r>
    </w:p>
    <w:p w14:paraId="4EBEF5D6" w14:textId="77777777" w:rsidR="00956FBD" w:rsidRPr="00B360CC" w:rsidRDefault="00956FBD" w:rsidP="00B360CC">
      <w:pPr>
        <w:jc w:val="both"/>
        <w:rPr>
          <w:rFonts w:ascii="Arial" w:hAnsi="Arial" w:cs="Arial"/>
          <w:b/>
          <w:bCs/>
          <w:lang w:val="en-IN"/>
        </w:rPr>
      </w:pPr>
    </w:p>
    <w:p w14:paraId="54218116" w14:textId="3D64B593" w:rsidR="00B360CC" w:rsidRDefault="00B360CC" w:rsidP="00B360CC">
      <w:pPr>
        <w:jc w:val="both"/>
        <w:rPr>
          <w:rFonts w:ascii="Arial" w:hAnsi="Arial" w:cs="Arial"/>
          <w:b/>
          <w:bCs/>
          <w:u w:val="single"/>
        </w:rPr>
      </w:pPr>
      <w:r w:rsidRPr="008107BA">
        <w:rPr>
          <w:rFonts w:ascii="Arial" w:hAnsi="Arial" w:cs="Arial"/>
          <w:b/>
          <w:bCs/>
          <w:u w:val="single"/>
        </w:rPr>
        <w:t xml:space="preserve">2.2.1 Identification of </w:t>
      </w:r>
      <w:r w:rsidR="008107BA">
        <w:rPr>
          <w:rFonts w:ascii="Arial" w:hAnsi="Arial" w:cs="Arial"/>
          <w:b/>
          <w:bCs/>
          <w:u w:val="single"/>
        </w:rPr>
        <w:t>m</w:t>
      </w:r>
      <w:r w:rsidRPr="008107BA">
        <w:rPr>
          <w:rFonts w:ascii="Arial" w:hAnsi="Arial" w:cs="Arial"/>
          <w:b/>
          <w:bCs/>
          <w:u w:val="single"/>
        </w:rPr>
        <w:t xml:space="preserve">utation </w:t>
      </w:r>
      <w:r w:rsidR="008107BA">
        <w:rPr>
          <w:rFonts w:ascii="Arial" w:hAnsi="Arial" w:cs="Arial"/>
          <w:b/>
          <w:bCs/>
          <w:u w:val="single"/>
        </w:rPr>
        <w:t>p</w:t>
      </w:r>
      <w:r w:rsidRPr="008107BA">
        <w:rPr>
          <w:rFonts w:ascii="Arial" w:hAnsi="Arial" w:cs="Arial"/>
          <w:b/>
          <w:bCs/>
          <w:u w:val="single"/>
        </w:rPr>
        <w:t xml:space="preserve">oint </w:t>
      </w:r>
    </w:p>
    <w:p w14:paraId="2D545940" w14:textId="77777777" w:rsidR="00956FBD" w:rsidRPr="008107BA" w:rsidRDefault="00956FBD" w:rsidP="00B360CC">
      <w:pPr>
        <w:jc w:val="both"/>
        <w:rPr>
          <w:rFonts w:ascii="Arial" w:hAnsi="Arial" w:cs="Arial"/>
          <w:b/>
          <w:bCs/>
          <w:u w:val="single"/>
        </w:rPr>
      </w:pPr>
    </w:p>
    <w:p w14:paraId="24620F1F" w14:textId="744A1BFC" w:rsidR="00B360CC" w:rsidRDefault="00B360CC" w:rsidP="001354FC">
      <w:pPr>
        <w:jc w:val="both"/>
        <w:rPr>
          <w:rFonts w:ascii="Arial" w:hAnsi="Arial" w:cs="Arial"/>
          <w:lang w:val="en-IN"/>
        </w:rPr>
      </w:pPr>
      <w:r w:rsidRPr="00B360CC">
        <w:rPr>
          <w:rFonts w:ascii="Arial" w:hAnsi="Arial" w:cs="Arial"/>
          <w:lang w:val="en-IN"/>
        </w:rPr>
        <w:t>The purpose of mutation point analysis, also known as change point analysis, is to detect significant structural shifts or turning points in the time series data of groundnut exports. Identifying these change points is essential for understanding the impact of external factors such as policy changes, trade agreements, climatic conditions, or market disruptions that may alter the export performance over time</w:t>
      </w:r>
      <w:r w:rsidR="00216840">
        <w:rPr>
          <w:rFonts w:ascii="Arial" w:hAnsi="Arial" w:cs="Arial"/>
          <w:lang w:val="en-IN"/>
        </w:rPr>
        <w:t xml:space="preserve"> (</w:t>
      </w:r>
      <w:proofErr w:type="spellStart"/>
      <w:r w:rsidR="00216840">
        <w:rPr>
          <w:rFonts w:ascii="Arial" w:hAnsi="Arial" w:cs="Arial"/>
          <w:lang w:val="en-IN"/>
        </w:rPr>
        <w:t>Oganja</w:t>
      </w:r>
      <w:proofErr w:type="spellEnd"/>
      <w:r w:rsidR="00216840">
        <w:rPr>
          <w:rFonts w:ascii="Arial" w:hAnsi="Arial" w:cs="Arial"/>
          <w:lang w:val="en-IN"/>
        </w:rPr>
        <w:t xml:space="preserve"> </w:t>
      </w:r>
      <w:r w:rsidR="00216840">
        <w:rPr>
          <w:rFonts w:ascii="Arial" w:hAnsi="Arial" w:cs="Arial"/>
          <w:i/>
          <w:iCs/>
          <w:lang w:val="en-IN"/>
        </w:rPr>
        <w:t xml:space="preserve">et al., </w:t>
      </w:r>
      <w:r w:rsidR="00216840" w:rsidRPr="00216840">
        <w:rPr>
          <w:rFonts w:ascii="Arial" w:hAnsi="Arial" w:cs="Arial"/>
          <w:lang w:val="en-IN"/>
        </w:rPr>
        <w:t>2024)</w:t>
      </w:r>
      <w:r w:rsidR="00795901">
        <w:rPr>
          <w:rFonts w:ascii="Arial" w:hAnsi="Arial" w:cs="Arial"/>
          <w:lang w:val="en-IN"/>
        </w:rPr>
        <w:t xml:space="preserve">. </w:t>
      </w:r>
      <w:r w:rsidRPr="00B360CC">
        <w:rPr>
          <w:rFonts w:ascii="Arial" w:hAnsi="Arial" w:cs="Arial"/>
          <w:lang w:val="en-IN"/>
        </w:rPr>
        <w:t>Various researchers have employed different statistical techniques to identify such structural breaks in agricultural and trade-related time series data. In this study, appropriate statistical methods have been employed to detect mutation points in the groundnut export time series. This helps in identifying periods of significant change and understanding the underlying causes, thereby assisting policymakers and stakeholders in framing effective export strategies.</w:t>
      </w:r>
    </w:p>
    <w:p w14:paraId="24605E4D" w14:textId="77777777" w:rsidR="00956FBD" w:rsidRPr="00B360CC" w:rsidRDefault="00956FBD" w:rsidP="001354FC">
      <w:pPr>
        <w:jc w:val="both"/>
        <w:rPr>
          <w:rFonts w:ascii="Arial" w:hAnsi="Arial" w:cs="Arial"/>
          <w:lang w:val="en-IN"/>
        </w:rPr>
      </w:pPr>
    </w:p>
    <w:p w14:paraId="60EAE1D7" w14:textId="37475AB3" w:rsidR="00B360CC" w:rsidRDefault="00B360CC" w:rsidP="00B360CC">
      <w:pPr>
        <w:jc w:val="both"/>
        <w:rPr>
          <w:rFonts w:ascii="Arial" w:hAnsi="Arial" w:cs="Arial"/>
          <w:b/>
          <w:bCs/>
          <w:i/>
          <w:iCs/>
        </w:rPr>
      </w:pPr>
      <w:r w:rsidRPr="008107BA">
        <w:rPr>
          <w:rFonts w:ascii="Arial" w:hAnsi="Arial" w:cs="Arial"/>
          <w:b/>
          <w:bCs/>
          <w:i/>
          <w:iCs/>
        </w:rPr>
        <w:t xml:space="preserve">2.2.1.1 Pettitt </w:t>
      </w:r>
      <w:r w:rsidR="008107BA">
        <w:rPr>
          <w:rFonts w:ascii="Arial" w:hAnsi="Arial" w:cs="Arial"/>
          <w:b/>
          <w:bCs/>
          <w:i/>
          <w:iCs/>
        </w:rPr>
        <w:t>t</w:t>
      </w:r>
      <w:r w:rsidRPr="008107BA">
        <w:rPr>
          <w:rFonts w:ascii="Arial" w:hAnsi="Arial" w:cs="Arial"/>
          <w:b/>
          <w:bCs/>
          <w:i/>
          <w:iCs/>
        </w:rPr>
        <w:t>est</w:t>
      </w:r>
    </w:p>
    <w:p w14:paraId="4B47D2FA" w14:textId="77777777" w:rsidR="00956FBD" w:rsidRPr="008107BA" w:rsidRDefault="00956FBD" w:rsidP="00B360CC">
      <w:pPr>
        <w:jc w:val="both"/>
        <w:rPr>
          <w:rFonts w:ascii="Arial" w:hAnsi="Arial" w:cs="Arial"/>
          <w:i/>
          <w:iCs/>
          <w:lang w:val="en-IN"/>
        </w:rPr>
      </w:pPr>
    </w:p>
    <w:p w14:paraId="2DE6DD2F" w14:textId="77777777" w:rsidR="00B360CC" w:rsidRPr="00B360CC" w:rsidRDefault="00B360CC" w:rsidP="001354FC">
      <w:pPr>
        <w:pStyle w:val="NormalWeb"/>
        <w:jc w:val="both"/>
        <w:rPr>
          <w:rFonts w:ascii="Arial" w:hAnsi="Arial" w:cs="Arial"/>
          <w:b/>
          <w:bCs/>
          <w:sz w:val="20"/>
          <w:szCs w:val="20"/>
        </w:rPr>
      </w:pPr>
      <w:r w:rsidRPr="00B360CC">
        <w:rPr>
          <w:rFonts w:ascii="Arial" w:hAnsi="Arial" w:cs="Arial"/>
          <w:sz w:val="20"/>
          <w:szCs w:val="20"/>
        </w:rPr>
        <w:t xml:space="preserve">Pettitt test method is a non parametric test method based on the rank to detect abrupt changes in the mean of the variables. This method is commonly applied to detect single change point in time series data. </w:t>
      </w:r>
    </w:p>
    <w:p w14:paraId="0CC01304" w14:textId="77777777" w:rsidR="00B360CC" w:rsidRPr="00B360CC" w:rsidRDefault="007E569A" w:rsidP="00B360CC">
      <w:pPr>
        <w:jc w:val="center"/>
        <w:rPr>
          <w:rFonts w:ascii="Arial" w:eastAsiaTheme="minorEastAsia" w:hAnsi="Arial" w:cs="Arial"/>
          <w:b/>
        </w:rPr>
      </w:pPr>
      <m:oMathPara>
        <m:oMath>
          <m:sSub>
            <m:sSubPr>
              <m:ctrlPr>
                <w:rPr>
                  <w:rFonts w:ascii="Cambria Math" w:hAnsi="Cambria Math" w:cs="Arial"/>
                  <w:b/>
                  <w:i/>
                  <w:vertAlign w:val="subscript"/>
                </w:rPr>
              </m:ctrlPr>
            </m:sSubPr>
            <m:e>
              <m:r>
                <m:rPr>
                  <m:sty m:val="bi"/>
                </m:rPr>
                <w:rPr>
                  <w:rFonts w:ascii="Cambria Math" w:hAnsi="Cambria Math" w:cs="Arial"/>
                  <w:vertAlign w:val="subscript"/>
                </w:rPr>
                <m:t>U</m:t>
              </m:r>
            </m:e>
            <m:sub>
              <m:r>
                <m:rPr>
                  <m:sty m:val="bi"/>
                </m:rPr>
                <w:rPr>
                  <w:rFonts w:ascii="Cambria Math" w:hAnsi="Cambria Math" w:cs="Arial"/>
                  <w:vertAlign w:val="subscript"/>
                </w:rPr>
                <m:t>t</m:t>
              </m:r>
            </m:sub>
          </m:sSub>
          <m:r>
            <m:rPr>
              <m:sty m:val="b"/>
            </m:rPr>
            <w:rPr>
              <w:rFonts w:ascii="Cambria Math" w:hAnsi="Cambria Math" w:cs="Arial"/>
              <w:vertAlign w:val="subscript"/>
            </w:rPr>
            <m:t xml:space="preserve"> </m:t>
          </m:r>
          <m:r>
            <m:rPr>
              <m:sty m:val="b"/>
            </m:rPr>
            <w:rPr>
              <w:rFonts w:ascii="Cambria Math"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t</m:t>
              </m:r>
            </m:sup>
            <m:e>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j</m:t>
                  </m:r>
                  <m:r>
                    <m:rPr>
                      <m:sty m:val="bi"/>
                    </m:rPr>
                    <w:rPr>
                      <w:rFonts w:ascii="Cambria Math" w:eastAsiaTheme="minorEastAsia" w:hAnsi="Cambria Math" w:cs="Arial"/>
                    </w:rPr>
                    <m:t>=</m:t>
                  </m:r>
                  <m:r>
                    <m:rPr>
                      <m:sty m:val="bi"/>
                    </m:rPr>
                    <w:rPr>
                      <w:rFonts w:ascii="Cambria Math" w:eastAsiaTheme="minorEastAsia" w:hAnsi="Cambria Math" w:cs="Arial"/>
                    </w:rPr>
                    <m:t>t</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r>
                    <m:rPr>
                      <m:sty m:val="bi"/>
                    </m:rPr>
                    <w:rPr>
                      <w:rFonts w:ascii="Cambria Math" w:hAnsi="Cambria Math" w:cs="Arial"/>
                    </w:rPr>
                    <m:t>sign</m:t>
                  </m:r>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t</m:t>
                      </m:r>
                      <m:r>
                        <m:rPr>
                          <m:sty m:val="bi"/>
                        </m:rPr>
                        <w:rPr>
                          <w:rFonts w:ascii="Cambria Math" w:hAnsi="Cambria Math" w:cs="Arial"/>
                        </w:rPr>
                        <m:t xml:space="preserve">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hAnsi="Cambria Math" w:cs="Arial"/>
                    </w:rPr>
                    <m:t>)</m:t>
                  </m:r>
                </m:e>
              </m:nary>
            </m:e>
          </m:nary>
        </m:oMath>
      </m:oMathPara>
    </w:p>
    <w:p w14:paraId="3FA64A1C" w14:textId="77777777" w:rsidR="00B360CC" w:rsidRPr="00B360CC" w:rsidRDefault="00B360CC" w:rsidP="00B360CC">
      <w:pPr>
        <w:jc w:val="both"/>
        <w:rPr>
          <w:rFonts w:ascii="Arial" w:hAnsi="Arial" w:cs="Arial"/>
          <w:lang w:val="en-IN"/>
        </w:rPr>
      </w:pPr>
      <w:r w:rsidRPr="00B360CC">
        <w:rPr>
          <w:rFonts w:ascii="Arial" w:eastAsiaTheme="minorEastAsia" w:hAnsi="Arial" w:cs="Arial"/>
          <w:b/>
        </w:rPr>
        <w:t xml:space="preserve">                                                       </w:t>
      </w:r>
    </w:p>
    <w:p w14:paraId="6975DCDA" w14:textId="77777777" w:rsidR="00B360CC" w:rsidRPr="00B360CC" w:rsidRDefault="00B360CC" w:rsidP="00B360CC">
      <w:pPr>
        <w:jc w:val="center"/>
        <w:rPr>
          <w:rFonts w:ascii="Arial" w:eastAsiaTheme="minorEastAsia" w:hAnsi="Arial" w:cs="Arial"/>
          <w:bCs/>
        </w:rPr>
      </w:pPr>
      <m:oMath>
        <m:r>
          <m:rPr>
            <m:sty m:val="bi"/>
          </m:rPr>
          <w:rPr>
            <w:rFonts w:ascii="Cambria Math" w:hAnsi="Cambria Math" w:cs="Arial"/>
          </w:rPr>
          <m:t xml:space="preserve">sign (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t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hAnsi="Cambria Math" w:cs="Arial"/>
          </w:rPr>
          <m:t>)</m:t>
        </m:r>
      </m:oMath>
      <w:r w:rsidRPr="00B360CC">
        <w:rPr>
          <w:rFonts w:ascii="Arial" w:eastAsiaTheme="minorEastAsia" w:hAnsi="Arial" w:cs="Arial"/>
          <w:b/>
        </w:rPr>
        <w:t xml:space="preserve"> = </w:t>
      </w:r>
      <m:oMath>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r>
                  <m:rPr>
                    <m:sty m:val="bi"/>
                  </m:rPr>
                  <w:rPr>
                    <w:rFonts w:ascii="Cambria Math" w:eastAsiaTheme="minorEastAsia" w:hAnsi="Cambria Math" w:cs="Arial"/>
                  </w:rPr>
                  <m:t xml:space="preserve">1,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&gt;0</m:t>
                </m:r>
              </m:e>
              <m:e>
                <m:r>
                  <m:rPr>
                    <m:sty m:val="bi"/>
                  </m:rPr>
                  <w:rPr>
                    <w:rFonts w:ascii="Cambria Math" w:eastAsiaTheme="minorEastAsia" w:hAnsi="Cambria Math" w:cs="Arial"/>
                  </w:rPr>
                  <m:t xml:space="preserve">0,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=0</m:t>
                </m:r>
                <m:ctrlPr>
                  <w:rPr>
                    <w:rFonts w:ascii="Cambria Math" w:eastAsia="Cambria Math" w:hAnsi="Cambria Math" w:cs="Arial"/>
                    <w:b/>
                    <w:i/>
                  </w:rPr>
                </m:ctrlPr>
              </m:e>
              <m:e>
                <m:r>
                  <m:rPr>
                    <m:sty m:val="bi"/>
                  </m:rPr>
                  <w:rPr>
                    <w:rFonts w:ascii="Cambria Math" w:eastAsiaTheme="minorEastAsia" w:hAnsi="Cambria Math" w:cs="Arial"/>
                  </w:rPr>
                  <m:t xml:space="preserve">-1, if </m:t>
                </m:r>
                <m:d>
                  <m:dPr>
                    <m:ctrlPr>
                      <w:rPr>
                        <w:rFonts w:ascii="Cambria Math" w:hAnsi="Cambria Math" w:cs="Arial"/>
                        <w:b/>
                        <w:i/>
                      </w:rPr>
                    </m:ctrlPr>
                  </m:dPr>
                  <m:e>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 xml:space="preserve">i  </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hAnsi="Cambria Math" w:cs="Arial"/>
                  </w:rPr>
                  <m:t>&lt;0</m:t>
                </m:r>
              </m:e>
            </m:eqArr>
          </m:e>
        </m:d>
      </m:oMath>
    </w:p>
    <w:p w14:paraId="69A67860" w14:textId="77777777" w:rsidR="00B360CC" w:rsidRPr="00B360CC" w:rsidRDefault="00B360CC" w:rsidP="00B360CC">
      <w:pPr>
        <w:adjustRightInd w:val="0"/>
        <w:ind w:left="720" w:firstLine="720"/>
        <w:rPr>
          <w:rFonts w:ascii="Arial" w:eastAsiaTheme="minorHAnsi" w:hAnsi="Arial" w:cs="Arial"/>
          <w:color w:val="131413"/>
          <w:lang w:bidi="gu-IN"/>
        </w:rPr>
      </w:pPr>
    </w:p>
    <w:p w14:paraId="3264EB45" w14:textId="1E8F61C8" w:rsidR="00B360CC" w:rsidRPr="00B360CC" w:rsidRDefault="00B360CC" w:rsidP="001354FC">
      <w:pPr>
        <w:adjustRightInd w:val="0"/>
        <w:rPr>
          <w:rFonts w:ascii="Arial" w:eastAsiaTheme="minorHAnsi" w:hAnsi="Arial" w:cs="Arial"/>
          <w:color w:val="131413"/>
          <w:lang w:bidi="gu-IN"/>
        </w:rPr>
      </w:pPr>
      <w:r w:rsidRPr="00B360CC">
        <w:rPr>
          <w:rFonts w:ascii="Arial" w:eastAsiaTheme="minorHAnsi" w:hAnsi="Arial" w:cs="Arial"/>
          <w:color w:val="131413"/>
          <w:lang w:bidi="gu-IN"/>
        </w:rPr>
        <w:t>Test statistic K and the associated confidence level (ρ) for the sample length (n) may be described as</w:t>
      </w:r>
      <w:r w:rsidRPr="00B360CC">
        <w:rPr>
          <w:rFonts w:ascii="Arial" w:hAnsi="Arial" w:cs="Arial"/>
          <w:color w:val="131413"/>
          <w:lang w:bidi="gu-IN"/>
        </w:rPr>
        <w:t xml:space="preserve">               </w:t>
      </w:r>
      <w:r w:rsidRPr="00B360CC">
        <w:rPr>
          <w:rFonts w:ascii="Arial" w:hAnsi="Arial" w:cs="Arial"/>
          <w:b/>
          <w:i/>
        </w:rPr>
        <w:br/>
      </w:r>
      <m:oMathPara>
        <m:oMath>
          <m:r>
            <m:rPr>
              <m:sty m:val="bi"/>
            </m:rPr>
            <w:rPr>
              <w:rFonts w:ascii="Cambria Math" w:hAnsi="Cambria Math" w:cs="Arial"/>
            </w:rPr>
            <m:t xml:space="preserve">                              K=Max </m:t>
          </m:r>
          <m:d>
            <m:dPr>
              <m:begChr m:val="|"/>
              <m:endChr m:val="|"/>
              <m:ctrlPr>
                <w:rPr>
                  <w:rFonts w:ascii="Cambria Math" w:hAnsi="Cambria Math" w:cs="Arial"/>
                  <w:b/>
                  <w:i/>
                </w:rPr>
              </m:ctrlPr>
            </m:dPr>
            <m:e>
              <m:sSub>
                <m:sSubPr>
                  <m:ctrlPr>
                    <w:rPr>
                      <w:rFonts w:ascii="Cambria Math" w:hAnsi="Cambria Math" w:cs="Arial"/>
                      <w:b/>
                      <w:i/>
                    </w:rPr>
                  </m:ctrlPr>
                </m:sSubPr>
                <m:e>
                  <m:r>
                    <m:rPr>
                      <m:sty m:val="bi"/>
                    </m:rPr>
                    <w:rPr>
                      <w:rFonts w:ascii="Cambria Math" w:hAnsi="Cambria Math" w:cs="Arial"/>
                    </w:rPr>
                    <m:t>U</m:t>
                  </m:r>
                </m:e>
                <m:sub>
                  <m:r>
                    <m:rPr>
                      <m:sty m:val="bi"/>
                    </m:rPr>
                    <w:rPr>
                      <w:rFonts w:ascii="Cambria Math" w:hAnsi="Cambria Math" w:cs="Arial"/>
                    </w:rPr>
                    <m:t>t</m:t>
                  </m:r>
                </m:sub>
              </m:sSub>
            </m:e>
          </m:d>
        </m:oMath>
      </m:oMathPara>
    </w:p>
    <w:p w14:paraId="64A27B39" w14:textId="7C2BACCD" w:rsidR="00B360CC" w:rsidRPr="00B360CC" w:rsidRDefault="00B360CC" w:rsidP="001354FC">
      <w:pPr>
        <w:jc w:val="center"/>
        <w:rPr>
          <w:rFonts w:ascii="Arial" w:eastAsiaTheme="minorEastAsia" w:hAnsi="Arial" w:cs="Arial"/>
          <w:bCs/>
          <w:iCs/>
        </w:rPr>
      </w:pPr>
      <m:oMathPara>
        <m:oMath>
          <m:r>
            <m:rPr>
              <m:sty m:val="bi"/>
            </m:rPr>
            <w:rPr>
              <w:rFonts w:ascii="Cambria Math" w:hAnsi="Cambria Math" w:cs="Arial"/>
            </w:rPr>
            <m:t xml:space="preserve">ρ=exp </m:t>
          </m:r>
          <m:d>
            <m:dPr>
              <m:ctrlPr>
                <w:rPr>
                  <w:rFonts w:ascii="Cambria Math" w:hAnsi="Cambria Math" w:cs="Arial"/>
                  <w:b/>
                  <w:i/>
                </w:rPr>
              </m:ctrlPr>
            </m:dPr>
            <m:e>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K</m:t>
                  </m:r>
                </m:num>
                <m:den>
                  <m:sSup>
                    <m:sSupPr>
                      <m:ctrlPr>
                        <w:rPr>
                          <w:rFonts w:ascii="Cambria Math" w:hAnsi="Cambria Math" w:cs="Arial"/>
                          <w:b/>
                          <w:i/>
                        </w:rPr>
                      </m:ctrlPr>
                    </m:sSupPr>
                    <m:e>
                      <m:r>
                        <m:rPr>
                          <m:sty m:val="bi"/>
                        </m:rPr>
                        <w:rPr>
                          <w:rFonts w:ascii="Cambria Math" w:hAnsi="Cambria Math" w:cs="Arial"/>
                        </w:rPr>
                        <m:t>n</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i/>
                        </w:rPr>
                      </m:ctrlPr>
                    </m:sSupPr>
                    <m:e>
                      <m:r>
                        <m:rPr>
                          <m:sty m:val="bi"/>
                        </m:rPr>
                        <w:rPr>
                          <w:rFonts w:ascii="Cambria Math" w:hAnsi="Cambria Math" w:cs="Arial"/>
                        </w:rPr>
                        <m:t>n</m:t>
                      </m:r>
                    </m:e>
                    <m:sup>
                      <m:r>
                        <m:rPr>
                          <m:sty m:val="bi"/>
                        </m:rPr>
                        <w:rPr>
                          <w:rFonts w:ascii="Cambria Math" w:hAnsi="Cambria Math" w:cs="Arial"/>
                        </w:rPr>
                        <m:t>3</m:t>
                      </m:r>
                    </m:sup>
                  </m:sSup>
                </m:den>
              </m:f>
            </m:e>
          </m:d>
        </m:oMath>
      </m:oMathPara>
    </w:p>
    <w:p w14:paraId="485E2CA6" w14:textId="77777777" w:rsidR="00B360CC" w:rsidRPr="00B360CC" w:rsidRDefault="00B360CC" w:rsidP="001354FC">
      <w:pPr>
        <w:adjustRightInd w:val="0"/>
        <w:jc w:val="both"/>
        <w:rPr>
          <w:rFonts w:ascii="Arial" w:eastAsiaTheme="minorHAnsi" w:hAnsi="Arial" w:cs="Arial"/>
          <w:color w:val="131413"/>
          <w:lang w:bidi="gu-IN"/>
        </w:rPr>
      </w:pPr>
      <w:r w:rsidRPr="00B360CC">
        <w:rPr>
          <w:rFonts w:ascii="Arial" w:eastAsiaTheme="minorHAnsi" w:hAnsi="Arial" w:cs="Arial"/>
          <w:color w:val="131413"/>
          <w:lang w:bidi="gu-IN"/>
        </w:rPr>
        <w:t>When ρ is smaller than the specific confidence level, the null hypothesis is rejected. The approximate significance probability (p) for a change-point is defined as given below:</w:t>
      </w:r>
    </w:p>
    <w:p w14:paraId="5FE3A835" w14:textId="77777777" w:rsidR="00B360CC" w:rsidRPr="00B360CC" w:rsidRDefault="00B360CC" w:rsidP="00B360CC">
      <w:pPr>
        <w:jc w:val="center"/>
        <w:rPr>
          <w:rFonts w:ascii="Arial" w:eastAsiaTheme="minorEastAsia" w:hAnsi="Arial" w:cs="Arial"/>
          <w:b/>
        </w:rPr>
      </w:pPr>
      <m:oMathPara>
        <m:oMath>
          <m:r>
            <m:rPr>
              <m:sty m:val="bi"/>
            </m:rPr>
            <w:rPr>
              <w:rFonts w:ascii="Cambria Math" w:hAnsi="Cambria Math" w:cs="Arial"/>
            </w:rPr>
            <m:t>p=1-ρ</m:t>
          </m:r>
        </m:oMath>
      </m:oMathPara>
    </w:p>
    <w:p w14:paraId="3BB8D32B" w14:textId="77777777" w:rsidR="00B360CC" w:rsidRDefault="00B360CC" w:rsidP="001354FC">
      <w:pPr>
        <w:adjustRightInd w:val="0"/>
        <w:jc w:val="both"/>
        <w:rPr>
          <w:rFonts w:ascii="Arial" w:eastAsiaTheme="minorHAnsi" w:hAnsi="Arial" w:cs="Arial"/>
          <w:color w:val="131413"/>
          <w:lang w:bidi="gu-IN"/>
        </w:rPr>
      </w:pPr>
      <w:r w:rsidRPr="00B360CC">
        <w:rPr>
          <w:rFonts w:ascii="Arial" w:eastAsiaTheme="minorHAnsi" w:hAnsi="Arial" w:cs="Arial"/>
          <w:color w:val="131413"/>
          <w:lang w:bidi="gu-IN"/>
        </w:rPr>
        <w:lastRenderedPageBreak/>
        <w:t>It is obvious that where a significant change point exists, the series is segmented at the location of the change point into two subseries. The test statistic K can also be compared with standard values at different confidence level for detection of change point in a series (</w:t>
      </w:r>
      <w:r w:rsidRPr="00B360CC">
        <w:rPr>
          <w:rFonts w:ascii="Arial" w:eastAsiaTheme="minorEastAsia" w:hAnsi="Arial" w:cs="Arial"/>
          <w:color w:val="131413"/>
          <w:lang w:val="en-IN" w:bidi="gu-IN"/>
        </w:rPr>
        <w:t>Pettitt, 1980)</w:t>
      </w:r>
      <w:r w:rsidRPr="00B360CC">
        <w:rPr>
          <w:rFonts w:ascii="Arial" w:eastAsiaTheme="minorHAnsi" w:hAnsi="Arial" w:cs="Arial"/>
          <w:color w:val="131413"/>
          <w:lang w:bidi="gu-IN"/>
        </w:rPr>
        <w:t xml:space="preserve">.         </w:t>
      </w:r>
    </w:p>
    <w:p w14:paraId="24E3071E" w14:textId="77777777" w:rsidR="00956FBD" w:rsidRPr="00B360CC" w:rsidRDefault="00956FBD" w:rsidP="001354FC">
      <w:pPr>
        <w:adjustRightInd w:val="0"/>
        <w:jc w:val="both"/>
        <w:rPr>
          <w:rFonts w:ascii="Arial" w:hAnsi="Arial" w:cs="Arial"/>
          <w:color w:val="131413"/>
          <w:lang w:val="en-IN" w:bidi="gu-IN"/>
        </w:rPr>
      </w:pPr>
    </w:p>
    <w:p w14:paraId="3C89F143" w14:textId="238C67CD" w:rsidR="00B360CC" w:rsidRDefault="00B360CC" w:rsidP="00B360CC">
      <w:pPr>
        <w:adjustRightInd w:val="0"/>
        <w:rPr>
          <w:rFonts w:ascii="Arial" w:eastAsiaTheme="minorHAnsi" w:hAnsi="Arial" w:cs="Arial"/>
          <w:b/>
          <w:bCs/>
          <w:i/>
          <w:iCs/>
          <w:color w:val="131413"/>
          <w:lang w:bidi="gu-IN"/>
        </w:rPr>
      </w:pPr>
      <w:r w:rsidRPr="008107BA">
        <w:rPr>
          <w:rFonts w:ascii="Arial" w:eastAsiaTheme="minorHAnsi" w:hAnsi="Arial" w:cs="Arial"/>
          <w:b/>
          <w:bCs/>
          <w:i/>
          <w:iCs/>
          <w:color w:val="131413"/>
          <w:lang w:bidi="gu-IN"/>
        </w:rPr>
        <w:t xml:space="preserve">2.2.1.2 </w:t>
      </w:r>
      <w:proofErr w:type="spellStart"/>
      <w:r w:rsidRPr="008107BA">
        <w:rPr>
          <w:rFonts w:ascii="Arial" w:eastAsiaTheme="minorHAnsi" w:hAnsi="Arial" w:cs="Arial"/>
          <w:b/>
          <w:bCs/>
          <w:i/>
          <w:iCs/>
          <w:color w:val="131413"/>
          <w:lang w:bidi="gu-IN"/>
        </w:rPr>
        <w:t>Buishand</w:t>
      </w:r>
      <w:proofErr w:type="spellEnd"/>
      <w:r w:rsidRPr="008107BA">
        <w:rPr>
          <w:rFonts w:ascii="Arial" w:eastAsiaTheme="minorHAnsi" w:hAnsi="Arial" w:cs="Arial"/>
          <w:b/>
          <w:bCs/>
          <w:i/>
          <w:iCs/>
          <w:color w:val="131413"/>
          <w:lang w:bidi="gu-IN"/>
        </w:rPr>
        <w:t xml:space="preserve"> </w:t>
      </w:r>
      <w:r w:rsidR="008107BA" w:rsidRPr="008107BA">
        <w:rPr>
          <w:rFonts w:ascii="Arial" w:eastAsiaTheme="minorHAnsi" w:hAnsi="Arial" w:cs="Arial"/>
          <w:b/>
          <w:bCs/>
          <w:i/>
          <w:iCs/>
          <w:color w:val="131413"/>
          <w:lang w:bidi="gu-IN"/>
        </w:rPr>
        <w:t>r</w:t>
      </w:r>
      <w:r w:rsidRPr="008107BA">
        <w:rPr>
          <w:rFonts w:ascii="Arial" w:eastAsiaTheme="minorHAnsi" w:hAnsi="Arial" w:cs="Arial"/>
          <w:b/>
          <w:bCs/>
          <w:i/>
          <w:iCs/>
          <w:color w:val="131413"/>
          <w:lang w:bidi="gu-IN"/>
        </w:rPr>
        <w:t xml:space="preserve">ange </w:t>
      </w:r>
      <w:r w:rsidR="008107BA" w:rsidRPr="008107BA">
        <w:rPr>
          <w:rFonts w:ascii="Arial" w:eastAsiaTheme="minorHAnsi" w:hAnsi="Arial" w:cs="Arial"/>
          <w:b/>
          <w:bCs/>
          <w:i/>
          <w:iCs/>
          <w:color w:val="131413"/>
          <w:lang w:bidi="gu-IN"/>
        </w:rPr>
        <w:t>t</w:t>
      </w:r>
      <w:r w:rsidRPr="008107BA">
        <w:rPr>
          <w:rFonts w:ascii="Arial" w:eastAsiaTheme="minorHAnsi" w:hAnsi="Arial" w:cs="Arial"/>
          <w:b/>
          <w:bCs/>
          <w:i/>
          <w:iCs/>
          <w:color w:val="131413"/>
          <w:lang w:bidi="gu-IN"/>
        </w:rPr>
        <w:t>est</w:t>
      </w:r>
    </w:p>
    <w:p w14:paraId="2DBC4940" w14:textId="77777777" w:rsidR="00956FBD" w:rsidRPr="008107BA" w:rsidRDefault="00956FBD" w:rsidP="00B360CC">
      <w:pPr>
        <w:adjustRightInd w:val="0"/>
        <w:rPr>
          <w:rFonts w:ascii="Arial" w:eastAsiaTheme="minorHAnsi" w:hAnsi="Arial" w:cs="Arial"/>
          <w:i/>
          <w:iCs/>
          <w:color w:val="131413"/>
          <w:lang w:bidi="gu-IN"/>
        </w:rPr>
      </w:pPr>
    </w:p>
    <w:p w14:paraId="05C86B47" w14:textId="05E95671" w:rsidR="00B360CC" w:rsidRPr="001354FC" w:rsidRDefault="00B360CC" w:rsidP="001354FC">
      <w:pPr>
        <w:adjustRightInd w:val="0"/>
        <w:rPr>
          <w:rFonts w:ascii="Arial" w:eastAsiaTheme="minorHAnsi" w:hAnsi="Arial" w:cs="Arial"/>
          <w:color w:val="131413"/>
          <w:lang w:bidi="gu-IN"/>
        </w:rPr>
      </w:pPr>
      <w:r w:rsidRPr="001354FC">
        <w:rPr>
          <w:rFonts w:ascii="Arial" w:eastAsiaTheme="minorHAnsi" w:hAnsi="Arial" w:cs="Arial"/>
          <w:color w:val="131413"/>
          <w:lang w:bidi="gu-IN"/>
        </w:rPr>
        <w:t>The adjusted partial sum (</w:t>
      </w:r>
      <w:proofErr w:type="spellStart"/>
      <w:r w:rsidRPr="001354FC">
        <w:rPr>
          <w:rFonts w:ascii="Arial" w:eastAsiaTheme="minorHAnsi" w:hAnsi="Arial" w:cs="Arial"/>
          <w:color w:val="131413"/>
          <w:lang w:bidi="gu-IN"/>
        </w:rPr>
        <w:t>S</w:t>
      </w:r>
      <w:r w:rsidRPr="001354FC">
        <w:rPr>
          <w:rFonts w:ascii="Arial" w:eastAsiaTheme="minorHAnsi" w:hAnsi="Arial" w:cs="Arial"/>
          <w:color w:val="131413"/>
          <w:vertAlign w:val="subscript"/>
          <w:lang w:bidi="gu-IN"/>
        </w:rPr>
        <w:t>k</w:t>
      </w:r>
      <w:proofErr w:type="spellEnd"/>
      <w:r w:rsidRPr="001354FC">
        <w:rPr>
          <w:rFonts w:ascii="Arial" w:eastAsiaTheme="minorHAnsi" w:hAnsi="Arial" w:cs="Arial"/>
          <w:color w:val="131413"/>
          <w:vertAlign w:val="subscript"/>
          <w:lang w:bidi="gu-IN"/>
        </w:rPr>
        <w:t>),</w:t>
      </w:r>
      <w:r w:rsidRPr="001354FC">
        <w:rPr>
          <w:rFonts w:ascii="Arial" w:eastAsiaTheme="minorHAnsi" w:hAnsi="Arial" w:cs="Arial"/>
          <w:color w:val="131413"/>
          <w:lang w:bidi="gu-IN"/>
        </w:rPr>
        <w:t xml:space="preserve"> that is the cumulative deviation from mean for k</w:t>
      </w:r>
      <w:r w:rsidRPr="001354FC">
        <w:rPr>
          <w:rFonts w:ascii="Arial" w:eastAsiaTheme="minorHAnsi" w:hAnsi="Arial" w:cs="Arial"/>
          <w:color w:val="131413"/>
          <w:vertAlign w:val="superscript"/>
          <w:lang w:bidi="gu-IN"/>
        </w:rPr>
        <w:t>th</w:t>
      </w:r>
      <w:r w:rsidRPr="001354FC">
        <w:rPr>
          <w:rFonts w:ascii="Arial" w:eastAsiaTheme="minorHAnsi" w:hAnsi="Arial" w:cs="Arial"/>
          <w:color w:val="131413"/>
          <w:lang w:bidi="gu-IN"/>
        </w:rPr>
        <w:t xml:space="preserve"> observation of</w:t>
      </w:r>
      <w:r w:rsidRPr="001354FC">
        <w:rPr>
          <w:rFonts w:ascii="Arial" w:hAnsi="Arial" w:cs="Arial"/>
          <w:color w:val="131413"/>
          <w:lang w:bidi="gu-IN"/>
        </w:rPr>
        <w:t xml:space="preserve"> </w:t>
      </w:r>
      <w:r w:rsidRPr="001354FC">
        <w:rPr>
          <w:rFonts w:ascii="Arial" w:eastAsiaTheme="minorHAnsi" w:hAnsi="Arial" w:cs="Arial"/>
          <w:color w:val="131413"/>
          <w:lang w:bidi="gu-IN"/>
        </w:rPr>
        <w:t>a series x</w:t>
      </w:r>
      <w:r w:rsidRPr="001354FC">
        <w:rPr>
          <w:rFonts w:ascii="Arial" w:eastAsiaTheme="minorHAnsi" w:hAnsi="Arial" w:cs="Arial"/>
          <w:color w:val="131413"/>
          <w:vertAlign w:val="subscript"/>
          <w:lang w:bidi="gu-IN"/>
        </w:rPr>
        <w:t>1</w:t>
      </w:r>
      <w:r w:rsidRPr="001354FC">
        <w:rPr>
          <w:rFonts w:ascii="Arial" w:eastAsiaTheme="minorHAnsi" w:hAnsi="Arial" w:cs="Arial"/>
          <w:color w:val="131413"/>
          <w:lang w:bidi="gu-IN"/>
        </w:rPr>
        <w:t>, x</w:t>
      </w:r>
      <w:r w:rsidRPr="001354FC">
        <w:rPr>
          <w:rFonts w:ascii="Arial" w:eastAsiaTheme="minorHAnsi" w:hAnsi="Arial" w:cs="Arial"/>
          <w:color w:val="131413"/>
          <w:vertAlign w:val="subscript"/>
          <w:lang w:bidi="gu-IN"/>
        </w:rPr>
        <w:t>2,</w:t>
      </w:r>
      <w:r w:rsidRPr="001354FC">
        <w:rPr>
          <w:rFonts w:ascii="Arial" w:eastAsiaTheme="minorHAnsi" w:hAnsi="Arial" w:cs="Arial"/>
          <w:color w:val="131413"/>
          <w:lang w:bidi="gu-IN"/>
        </w:rPr>
        <w:t xml:space="preserve"> x</w:t>
      </w:r>
      <w:r w:rsidRPr="001354FC">
        <w:rPr>
          <w:rFonts w:ascii="Arial" w:eastAsiaTheme="minorHAnsi" w:hAnsi="Arial" w:cs="Arial"/>
          <w:color w:val="131413"/>
          <w:vertAlign w:val="subscript"/>
          <w:lang w:bidi="gu-IN"/>
        </w:rPr>
        <w:t xml:space="preserve">3 </w:t>
      </w:r>
      <w:proofErr w:type="gramStart"/>
      <w:r w:rsidRPr="001354FC">
        <w:rPr>
          <w:rFonts w:ascii="Arial" w:eastAsiaTheme="minorHAnsi" w:hAnsi="Arial" w:cs="Arial"/>
          <w:color w:val="131413"/>
          <w:lang w:bidi="gu-IN"/>
        </w:rPr>
        <w:t>….</w:t>
      </w:r>
      <w:proofErr w:type="spellStart"/>
      <w:r w:rsidRPr="001354FC">
        <w:rPr>
          <w:rFonts w:ascii="Arial" w:eastAsiaTheme="minorHAnsi" w:hAnsi="Arial" w:cs="Arial"/>
          <w:color w:val="131413"/>
          <w:lang w:bidi="gu-IN"/>
        </w:rPr>
        <w:t>x</w:t>
      </w:r>
      <w:r w:rsidRPr="001354FC">
        <w:rPr>
          <w:rFonts w:ascii="Arial" w:eastAsiaTheme="minorHAnsi" w:hAnsi="Arial" w:cs="Arial"/>
          <w:color w:val="131413"/>
          <w:vertAlign w:val="subscript"/>
          <w:lang w:bidi="gu-IN"/>
        </w:rPr>
        <w:t>k</w:t>
      </w:r>
      <w:proofErr w:type="spellEnd"/>
      <w:proofErr w:type="gramEnd"/>
      <w:r w:rsidRPr="001354FC">
        <w:rPr>
          <w:rFonts w:ascii="Arial" w:eastAsiaTheme="minorHAnsi" w:hAnsi="Arial" w:cs="Arial"/>
          <w:color w:val="131413"/>
          <w:lang w:bidi="gu-IN"/>
        </w:rPr>
        <w:t xml:space="preserve">…. </w:t>
      </w:r>
      <w:proofErr w:type="spellStart"/>
      <w:r w:rsidRPr="001354FC">
        <w:rPr>
          <w:rFonts w:ascii="Arial" w:eastAsiaTheme="minorHAnsi" w:hAnsi="Arial" w:cs="Arial"/>
          <w:color w:val="131413"/>
          <w:lang w:bidi="gu-IN"/>
        </w:rPr>
        <w:t>x</w:t>
      </w:r>
      <w:r w:rsidRPr="001354FC">
        <w:rPr>
          <w:rFonts w:ascii="Arial" w:eastAsiaTheme="minorHAnsi" w:hAnsi="Arial" w:cs="Arial"/>
          <w:color w:val="131413"/>
          <w:vertAlign w:val="subscript"/>
          <w:lang w:bidi="gu-IN"/>
        </w:rPr>
        <w:t>n</w:t>
      </w:r>
      <w:proofErr w:type="spellEnd"/>
      <w:r w:rsidRPr="001354FC">
        <w:rPr>
          <w:rFonts w:ascii="Arial" w:eastAsiaTheme="minorHAnsi" w:hAnsi="Arial" w:cs="Arial"/>
          <w:color w:val="131413"/>
          <w:vertAlign w:val="subscript"/>
          <w:lang w:bidi="gu-IN"/>
        </w:rPr>
        <w:t xml:space="preserve"> </w:t>
      </w:r>
      <w:r w:rsidRPr="001354FC">
        <w:rPr>
          <w:rFonts w:ascii="Arial" w:eastAsiaTheme="minorHAnsi" w:hAnsi="Arial" w:cs="Arial"/>
          <w:color w:val="131413"/>
          <w:lang w:bidi="gu-IN"/>
        </w:rPr>
        <w:t xml:space="preserve">with mean </w:t>
      </w:r>
      <m:oMath>
        <m:r>
          <w:rPr>
            <w:rFonts w:ascii="Cambria Math" w:eastAsiaTheme="minorHAnsi" w:hAnsi="Cambria Math" w:cs="Arial"/>
            <w:color w:val="131413"/>
            <w:lang w:bidi="gu-IN"/>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e>
        </m:acc>
      </m:oMath>
      <w:r w:rsidRPr="001354FC">
        <w:rPr>
          <w:rFonts w:ascii="Arial" w:eastAsiaTheme="minorHAnsi" w:hAnsi="Arial" w:cs="Arial"/>
          <w:color w:val="131413"/>
          <w:lang w:bidi="gu-IN"/>
        </w:rPr>
        <w:t xml:space="preserve"> can be computed using following equation:</w:t>
      </w:r>
    </w:p>
    <w:p w14:paraId="74C824A8" w14:textId="77777777" w:rsidR="00B360CC" w:rsidRPr="00B360CC" w:rsidRDefault="007E569A" w:rsidP="00B360CC">
      <w:pPr>
        <w:jc w:val="center"/>
        <w:rPr>
          <w:rFonts w:ascii="Arial" w:eastAsiaTheme="minorEastAsia" w:hAnsi="Arial" w:cs="Arial"/>
          <w:bCs/>
        </w:rPr>
      </w:pPr>
      <m:oMathPara>
        <m:oMath>
          <m:sSub>
            <m:sSubPr>
              <m:ctrlPr>
                <w:rPr>
                  <w:rFonts w:ascii="Cambria Math" w:eastAsiaTheme="minorEastAsia" w:hAnsi="Cambria Math" w:cs="Arial"/>
                  <w:b/>
                  <w:i/>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r>
            <m:rPr>
              <m:sty m:val="bi"/>
            </m:rPr>
            <w:rPr>
              <w:rFonts w:ascii="Cambria Math" w:eastAsiaTheme="minorEastAsia" w:hAnsi="Cambria Math" w:cs="Arial"/>
            </w:rPr>
            <m:t xml:space="preserve">= </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k</m:t>
              </m:r>
            </m:sup>
            <m:e>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e>
          </m:nary>
        </m:oMath>
      </m:oMathPara>
    </w:p>
    <w:p w14:paraId="3D334521" w14:textId="77777777" w:rsidR="00B360CC" w:rsidRPr="00B360CC" w:rsidRDefault="00B360CC" w:rsidP="001354FC">
      <w:pPr>
        <w:adjustRightInd w:val="0"/>
        <w:rPr>
          <w:rFonts w:ascii="Arial" w:eastAsiaTheme="minorHAnsi" w:hAnsi="Arial" w:cs="Arial"/>
          <w:color w:val="131413"/>
          <w:lang w:bidi="gu-IN"/>
        </w:rPr>
      </w:pPr>
      <w:r w:rsidRPr="00B360CC">
        <w:rPr>
          <w:rFonts w:ascii="Arial" w:eastAsiaTheme="minorHAnsi" w:hAnsi="Arial" w:cs="Arial"/>
          <w:color w:val="131413"/>
          <w:lang w:bidi="gu-IN"/>
        </w:rPr>
        <w:t xml:space="preserve">The significant breakpoint can be computed by the method of rescaled adjusted range (R) if the </w:t>
      </w:r>
      <m:oMath>
        <m:sSub>
          <m:sSubPr>
            <m:ctrlPr>
              <w:rPr>
                <w:rFonts w:ascii="Cambria Math" w:eastAsiaTheme="minorHAnsi" w:hAnsi="Cambria Math" w:cs="Arial"/>
                <w:b/>
                <w:bCs/>
                <w:i/>
                <w:iCs/>
                <w:color w:val="131413"/>
                <w:lang w:bidi="gu-IN"/>
              </w:rPr>
            </m:ctrlPr>
          </m:sSubPr>
          <m:e>
            <m:r>
              <m:rPr>
                <m:sty m:val="bi"/>
              </m:rPr>
              <w:rPr>
                <w:rFonts w:ascii="Cambria Math" w:eastAsiaTheme="minorHAnsi" w:hAnsi="Cambria Math" w:cs="Arial"/>
                <w:color w:val="131413"/>
                <w:lang w:bidi="gu-IN"/>
              </w:rPr>
              <m:t>S</m:t>
            </m:r>
          </m:e>
          <m:sub>
            <m:r>
              <m:rPr>
                <m:sty m:val="bi"/>
              </m:rPr>
              <w:rPr>
                <w:rFonts w:ascii="Cambria Math" w:eastAsiaTheme="minorHAnsi" w:hAnsi="Cambria Math" w:cs="Arial"/>
                <w:color w:val="131413"/>
                <w:lang w:bidi="gu-IN"/>
              </w:rPr>
              <m:t>k</m:t>
            </m:r>
          </m:sub>
        </m:sSub>
        <m:r>
          <m:rPr>
            <m:sty m:val="bi"/>
          </m:rPr>
          <w:rPr>
            <w:rFonts w:ascii="Cambria Math" w:eastAsiaTheme="minorHAnsi" w:hAnsi="Cambria Math" w:cs="Arial"/>
            <w:color w:val="131413"/>
            <w:lang w:bidi="gu-IN"/>
          </w:rPr>
          <m:t> </m:t>
        </m:r>
      </m:oMath>
      <w:r w:rsidRPr="00B360CC">
        <w:rPr>
          <w:rFonts w:ascii="Cambria Math" w:eastAsiaTheme="minorHAnsi" w:hAnsi="Cambria Math" w:cs="Cambria Math"/>
          <w:color w:val="131413"/>
          <w:lang w:bidi="gu-IN"/>
        </w:rPr>
        <w:t>≅</w:t>
      </w:r>
      <w:r w:rsidRPr="00B360CC">
        <w:rPr>
          <w:rFonts w:ascii="Arial" w:eastAsiaTheme="minorHAnsi" w:hAnsi="Arial" w:cs="Arial"/>
          <w:color w:val="131413"/>
          <w:lang w:bidi="gu-IN"/>
        </w:rPr>
        <w:t xml:space="preserve"> 0, in this case, R is defined by  </w:t>
      </w:r>
      <w:r w:rsidRPr="00B360CC">
        <w:rPr>
          <w:rFonts w:ascii="Arial" w:eastAsiaTheme="minorHAnsi" w:hAnsi="Arial" w:cs="Arial"/>
          <w:b/>
          <w:bCs/>
          <w:color w:val="131413"/>
          <w:lang w:bidi="gu-IN"/>
        </w:rPr>
        <w:tab/>
      </w:r>
    </w:p>
    <w:p w14:paraId="7850732A" w14:textId="5A47FE4A" w:rsidR="00B360CC" w:rsidRPr="00B360CC" w:rsidRDefault="00B360CC" w:rsidP="001354FC">
      <w:pPr>
        <w:jc w:val="right"/>
        <w:rPr>
          <w:rFonts w:ascii="Arial" w:eastAsiaTheme="minorEastAsia" w:hAnsi="Arial" w:cs="Arial"/>
          <w:b/>
        </w:rPr>
      </w:pPr>
      <m:oMath>
        <m:r>
          <m:rPr>
            <m:sty m:val="bi"/>
          </m:rPr>
          <w:rPr>
            <w:rFonts w:ascii="Cambria Math" w:eastAsiaTheme="minorEastAsia" w:hAnsi="Cambria Math" w:cs="Arial"/>
          </w:rPr>
          <m:t>R=</m:t>
        </m:r>
        <m:f>
          <m:fPr>
            <m:ctrlPr>
              <w:rPr>
                <w:rFonts w:ascii="Cambria Math" w:eastAsiaTheme="minorEastAsia" w:hAnsi="Cambria Math" w:cs="Arial"/>
                <w:b/>
                <w:bCs/>
                <w:i/>
                <w:iCs/>
              </w:rPr>
            </m:ctrlPr>
          </m:fPr>
          <m:num>
            <m:r>
              <m:rPr>
                <m:sty m:val="bi"/>
              </m:rPr>
              <w:rPr>
                <w:rFonts w:ascii="Cambria Math" w:eastAsiaTheme="minorEastAsia" w:hAnsi="Cambria Math" w:cs="Arial"/>
              </w:rPr>
              <m:t>Max </m:t>
            </m:r>
            <m:d>
              <m:dPr>
                <m:ctrlPr>
                  <w:rPr>
                    <w:rFonts w:ascii="Cambria Math" w:eastAsiaTheme="minorEastAsia" w:hAnsi="Cambria Math" w:cs="Arial"/>
                    <w:b/>
                    <w:bCs/>
                    <w:i/>
                    <w:iCs/>
                  </w:rPr>
                </m:ctrlPr>
              </m:dPr>
              <m:e>
                <m:sSub>
                  <m:sSubPr>
                    <m:ctrlPr>
                      <w:rPr>
                        <w:rFonts w:ascii="Cambria Math" w:eastAsiaTheme="minorEastAsia" w:hAnsi="Cambria Math" w:cs="Arial"/>
                        <w:b/>
                        <w:bCs/>
                        <w:i/>
                        <w:iCs/>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e>
            </m:d>
            <m:r>
              <m:rPr>
                <m:sty m:val="bi"/>
              </m:rPr>
              <w:rPr>
                <w:rFonts w:ascii="Cambria Math" w:eastAsiaTheme="minorEastAsia" w:hAnsi="Cambria Math" w:cs="Arial"/>
              </w:rPr>
              <m:t>-Min (</m:t>
            </m:r>
            <m:sSub>
              <m:sSubPr>
                <m:ctrlPr>
                  <w:rPr>
                    <w:rFonts w:ascii="Cambria Math" w:eastAsiaTheme="minorEastAsia" w:hAnsi="Cambria Math" w:cs="Arial"/>
                    <w:b/>
                    <w:bCs/>
                    <w:i/>
                    <w:iCs/>
                  </w:rPr>
                </m:ctrlPr>
              </m:sSubPr>
              <m:e>
                <m:r>
                  <m:rPr>
                    <m:sty m:val="bi"/>
                  </m:rPr>
                  <w:rPr>
                    <w:rFonts w:ascii="Cambria Math" w:eastAsiaTheme="minorEastAsia" w:hAnsi="Cambria Math" w:cs="Arial"/>
                  </w:rPr>
                  <m:t>S</m:t>
                </m:r>
              </m:e>
              <m:sub>
                <m:r>
                  <m:rPr>
                    <m:sty m:val="bi"/>
                  </m:rPr>
                  <w:rPr>
                    <w:rFonts w:ascii="Cambria Math" w:eastAsiaTheme="minorEastAsia" w:hAnsi="Cambria Math" w:cs="Arial"/>
                  </w:rPr>
                  <m:t>k</m:t>
                </m:r>
              </m:sub>
            </m:sSub>
            <m:r>
              <m:rPr>
                <m:sty m:val="bi"/>
              </m:rPr>
              <w:rPr>
                <w:rFonts w:ascii="Cambria Math" w:eastAsiaTheme="minorEastAsia" w:hAnsi="Cambria Math" w:cs="Arial"/>
              </w:rPr>
              <m:t>)</m:t>
            </m:r>
          </m:num>
          <m:den>
            <m:r>
              <m:rPr>
                <m:sty m:val="bi"/>
              </m:rPr>
              <w:rPr>
                <w:rFonts w:ascii="Cambria Math" w:eastAsiaTheme="minorEastAsia" w:hAnsi="Cambria Math" w:cs="Arial"/>
                <w:lang w:val="en-IN"/>
              </w:rPr>
              <m:t>√n</m:t>
            </m:r>
          </m:den>
        </m:f>
        <m:r>
          <m:rPr>
            <m:sty m:val="bi"/>
          </m:rPr>
          <w:rPr>
            <w:rFonts w:ascii="Cambria Math" w:eastAsiaTheme="minorEastAsia" w:hAnsi="Cambria Math" w:cs="Arial"/>
          </w:rPr>
          <m:t>                                                      </m:t>
        </m:r>
      </m:oMath>
      <w:r w:rsidRPr="00B360CC">
        <w:rPr>
          <w:rFonts w:ascii="Arial" w:eastAsiaTheme="minorEastAsia" w:hAnsi="Arial" w:cs="Arial"/>
          <w:b/>
        </w:rPr>
        <w:t xml:space="preserve">                </w:t>
      </w:r>
      <m:oMath>
        <m:r>
          <m:rPr>
            <m:sty m:val="bi"/>
          </m:rPr>
          <w:rPr>
            <w:rFonts w:ascii="Cambria Math" w:eastAsiaTheme="minorEastAsia" w:hAnsi="Cambria Math" w:cs="Arial"/>
          </w:rPr>
          <m:t xml:space="preserve">  </m:t>
        </m:r>
      </m:oMath>
      <w:r w:rsidRPr="00B360CC">
        <w:rPr>
          <w:rFonts w:ascii="Arial" w:eastAsiaTheme="minorEastAsia" w:hAnsi="Arial" w:cs="Arial"/>
          <w:b/>
        </w:rPr>
        <w:t xml:space="preserve">                                                    </w:t>
      </w:r>
    </w:p>
    <w:p w14:paraId="415F165B" w14:textId="77777777" w:rsidR="00B360CC" w:rsidRPr="00B360CC" w:rsidRDefault="00B360CC" w:rsidP="00B360CC">
      <w:pPr>
        <w:rPr>
          <w:rFonts w:ascii="Arial" w:hAnsi="Arial" w:cs="Arial"/>
          <w:color w:val="131413"/>
          <w:lang w:bidi="gu-IN"/>
        </w:rPr>
      </w:pPr>
      <w:r w:rsidRPr="00B360CC">
        <w:rPr>
          <w:rFonts w:ascii="Arial" w:hAnsi="Arial" w:cs="Arial"/>
          <w:color w:val="131413"/>
          <w:lang w:bidi="gu-IN"/>
        </w:rPr>
        <w:t>Here, R denotes change point value (</w:t>
      </w:r>
      <w:proofErr w:type="spellStart"/>
      <w:r w:rsidRPr="00B360CC">
        <w:rPr>
          <w:rFonts w:ascii="Arial" w:hAnsi="Arial" w:cs="Arial"/>
          <w:color w:val="131413"/>
          <w:lang w:bidi="gu-IN"/>
        </w:rPr>
        <w:t>Buishand</w:t>
      </w:r>
      <w:proofErr w:type="spellEnd"/>
      <w:r w:rsidRPr="00B360CC">
        <w:rPr>
          <w:rFonts w:ascii="Arial" w:hAnsi="Arial" w:cs="Arial"/>
          <w:color w:val="131413"/>
          <w:lang w:bidi="gu-IN"/>
        </w:rPr>
        <w:t>, 1982).</w:t>
      </w:r>
    </w:p>
    <w:p w14:paraId="77E983E3" w14:textId="77777777" w:rsidR="00B360CC" w:rsidRPr="00B360CC" w:rsidRDefault="00B360CC" w:rsidP="00B360CC">
      <w:pPr>
        <w:ind w:left="720" w:firstLine="660"/>
        <w:rPr>
          <w:rFonts w:ascii="Arial" w:hAnsi="Arial" w:cs="Arial"/>
          <w:color w:val="131413"/>
          <w:lang w:bidi="gu-IN"/>
        </w:rPr>
      </w:pPr>
    </w:p>
    <w:p w14:paraId="54758BB5" w14:textId="50F58CC2" w:rsidR="00B360CC" w:rsidRDefault="00B360CC" w:rsidP="00B360CC">
      <w:pPr>
        <w:pStyle w:val="NormalWeb"/>
        <w:tabs>
          <w:tab w:val="left" w:pos="360"/>
        </w:tabs>
        <w:jc w:val="both"/>
        <w:rPr>
          <w:rFonts w:ascii="Arial" w:hAnsi="Arial" w:cs="Arial"/>
          <w:i/>
          <w:iCs/>
          <w:color w:val="131413"/>
          <w:sz w:val="20"/>
          <w:szCs w:val="20"/>
          <w:lang w:bidi="gu-IN"/>
        </w:rPr>
      </w:pPr>
      <w:r w:rsidRPr="008107BA">
        <w:rPr>
          <w:rFonts w:ascii="Arial" w:hAnsi="Arial" w:cs="Arial"/>
          <w:b/>
          <w:bCs/>
          <w:i/>
          <w:iCs/>
          <w:color w:val="131413"/>
          <w:sz w:val="20"/>
          <w:szCs w:val="20"/>
          <w:lang w:bidi="gu-IN"/>
        </w:rPr>
        <w:t xml:space="preserve">2.2.1.3. Standard Normal Homogeneity (SNH) </w:t>
      </w:r>
      <w:r w:rsidR="008107BA" w:rsidRPr="008107BA">
        <w:rPr>
          <w:rFonts w:ascii="Arial" w:hAnsi="Arial" w:cs="Arial"/>
          <w:b/>
          <w:bCs/>
          <w:i/>
          <w:iCs/>
          <w:color w:val="131413"/>
          <w:sz w:val="20"/>
          <w:szCs w:val="20"/>
          <w:lang w:bidi="gu-IN"/>
        </w:rPr>
        <w:t>t</w:t>
      </w:r>
      <w:r w:rsidRPr="008107BA">
        <w:rPr>
          <w:rFonts w:ascii="Arial" w:hAnsi="Arial" w:cs="Arial"/>
          <w:b/>
          <w:bCs/>
          <w:i/>
          <w:iCs/>
          <w:color w:val="131413"/>
          <w:sz w:val="20"/>
          <w:szCs w:val="20"/>
          <w:lang w:bidi="gu-IN"/>
        </w:rPr>
        <w:t>est</w:t>
      </w:r>
      <w:r w:rsidRPr="008107BA">
        <w:rPr>
          <w:rFonts w:ascii="Arial" w:hAnsi="Arial" w:cs="Arial"/>
          <w:i/>
          <w:iCs/>
          <w:color w:val="131413"/>
          <w:sz w:val="20"/>
          <w:szCs w:val="20"/>
          <w:lang w:bidi="gu-IN"/>
        </w:rPr>
        <w:t xml:space="preserve"> </w:t>
      </w:r>
    </w:p>
    <w:p w14:paraId="16EEE9A7" w14:textId="77777777" w:rsidR="00956FBD" w:rsidRPr="008107BA" w:rsidRDefault="00956FBD" w:rsidP="00B360CC">
      <w:pPr>
        <w:pStyle w:val="NormalWeb"/>
        <w:tabs>
          <w:tab w:val="left" w:pos="360"/>
        </w:tabs>
        <w:jc w:val="both"/>
        <w:rPr>
          <w:rFonts w:ascii="Arial" w:hAnsi="Arial" w:cs="Arial"/>
          <w:i/>
          <w:iCs/>
          <w:sz w:val="20"/>
          <w:szCs w:val="20"/>
        </w:rPr>
      </w:pPr>
    </w:p>
    <w:p w14:paraId="3C7D7C7D" w14:textId="77777777" w:rsidR="00B360CC" w:rsidRPr="00B360CC" w:rsidRDefault="00B360CC" w:rsidP="001354FC">
      <w:pPr>
        <w:adjustRightInd w:val="0"/>
        <w:rPr>
          <w:rFonts w:ascii="Arial" w:eastAsiaTheme="minorHAnsi" w:hAnsi="Arial" w:cs="Arial"/>
          <w:color w:val="131413"/>
          <w:lang w:bidi="gu-IN"/>
        </w:rPr>
      </w:pPr>
      <w:r w:rsidRPr="00B360CC">
        <w:rPr>
          <w:rFonts w:ascii="Arial" w:eastAsiaTheme="minorHAnsi" w:hAnsi="Arial" w:cs="Arial"/>
          <w:color w:val="131413"/>
          <w:lang w:bidi="gu-IN"/>
        </w:rPr>
        <w:t>Test statistic (</w:t>
      </w:r>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k</m:t>
            </m:r>
          </m:sub>
        </m:sSub>
      </m:oMath>
      <w:r w:rsidRPr="00B360CC">
        <w:rPr>
          <w:rFonts w:ascii="Arial" w:eastAsiaTheme="minorHAnsi" w:hAnsi="Arial" w:cs="Arial"/>
          <w:color w:val="131413"/>
          <w:lang w:bidi="gu-IN"/>
        </w:rPr>
        <w:t xml:space="preserve">) is used to compare the mean of first n observations with the mean of the </w:t>
      </w:r>
      <w:r w:rsidRPr="00B360CC">
        <w:rPr>
          <w:rFonts w:ascii="Arial" w:hAnsi="Arial" w:cs="Arial"/>
          <w:color w:val="131413"/>
          <w:lang w:bidi="gu-IN"/>
        </w:rPr>
        <w:t xml:space="preserve">remaining (n-k) observations with n data points </w:t>
      </w:r>
    </w:p>
    <w:p w14:paraId="351DAA2B" w14:textId="77777777" w:rsidR="00B360CC" w:rsidRPr="00B360CC" w:rsidRDefault="007E569A" w:rsidP="00B360CC">
      <w:pPr>
        <w:jc w:val="center"/>
        <w:rPr>
          <w:rFonts w:ascii="Arial" w:eastAsiaTheme="minorEastAsia" w:hAnsi="Arial" w:cs="Arial"/>
          <w:bCs/>
        </w:rPr>
      </w:pPr>
      <m:oMathPara>
        <m:oMath>
          <m:sSub>
            <m:sSubPr>
              <m:ctrlPr>
                <w:rPr>
                  <w:rFonts w:ascii="Cambria Math" w:eastAsiaTheme="minorEastAsia" w:hAnsi="Cambria Math" w:cs="Arial"/>
                  <w:b/>
                  <w:i/>
                </w:rPr>
              </m:ctrlPr>
            </m:sSubPr>
            <m:e>
              <m:r>
                <m:rPr>
                  <m:sty m:val="bi"/>
                </m:rPr>
                <w:rPr>
                  <w:rFonts w:ascii="Cambria Math" w:eastAsiaTheme="minorEastAsia" w:hAnsi="Cambria Math" w:cs="Arial"/>
                </w:rPr>
                <m:t>T</m:t>
              </m:r>
            </m:e>
            <m:sub>
              <m:r>
                <m:rPr>
                  <m:sty m:val="bi"/>
                </m:rPr>
                <w:rPr>
                  <w:rFonts w:ascii="Cambria Math" w:eastAsiaTheme="minorEastAsia" w:hAnsi="Cambria Math" w:cs="Arial"/>
                </w:rPr>
                <m:t>k</m:t>
              </m:r>
            </m:sub>
          </m:sSub>
          <m:r>
            <m:rPr>
              <m:sty m:val="bi"/>
            </m:rPr>
            <w:rPr>
              <w:rFonts w:ascii="Cambria Math" w:eastAsiaTheme="minorEastAsia" w:hAnsi="Cambria Math" w:cs="Arial"/>
            </w:rPr>
            <m:t>=</m:t>
          </m:r>
          <m:sSubSup>
            <m:sSubSupPr>
              <m:ctrlPr>
                <w:rPr>
                  <w:rFonts w:ascii="Cambria Math" w:eastAsiaTheme="minorEastAsia" w:hAnsi="Cambria Math" w:cs="Arial"/>
                  <w:b/>
                  <w:i/>
                </w:rPr>
              </m:ctrlPr>
            </m:sSubSupPr>
            <m:e>
              <m:r>
                <m:rPr>
                  <m:sty m:val="bi"/>
                </m:rPr>
                <w:rPr>
                  <w:rFonts w:ascii="Cambria Math" w:eastAsiaTheme="minorEastAsia" w:hAnsi="Cambria Math" w:cs="Arial"/>
                </w:rPr>
                <m:t>kZ</m:t>
              </m:r>
            </m:e>
            <m:sub>
              <m:r>
                <m:rPr>
                  <m:sty m:val="bi"/>
                </m:rPr>
                <w:rPr>
                  <w:rFonts w:ascii="Cambria Math" w:eastAsiaTheme="minorEastAsia" w:hAnsi="Cambria Math" w:cs="Arial"/>
                </w:rPr>
                <m:t>1</m:t>
              </m:r>
            </m:sub>
            <m:sup>
              <m:r>
                <m:rPr>
                  <m:sty m:val="bi"/>
                </m:rPr>
                <w:rPr>
                  <w:rFonts w:ascii="Cambria Math" w:eastAsiaTheme="minorEastAsia" w:hAnsi="Cambria Math" w:cs="Arial"/>
                </w:rPr>
                <m:t>2</m:t>
              </m:r>
            </m:sup>
          </m:sSubSup>
          <m:r>
            <m:rPr>
              <m:sty m:val="bi"/>
            </m:rPr>
            <w:rPr>
              <w:rFonts w:ascii="Cambria Math" w:eastAsiaTheme="minorEastAsia" w:hAnsi="Cambria Math" w:cs="Arial"/>
            </w:rPr>
            <m:t>+(</m:t>
          </m:r>
          <m:r>
            <m:rPr>
              <m:sty m:val="bi"/>
            </m:rPr>
            <w:rPr>
              <w:rFonts w:ascii="Cambria Math" w:eastAsiaTheme="minorEastAsia" w:hAnsi="Cambria Math" w:cs="Arial"/>
            </w:rPr>
            <m:t>n</m:t>
          </m:r>
          <m:r>
            <m:rPr>
              <m:sty m:val="bi"/>
            </m:rPr>
            <w:rPr>
              <w:rFonts w:ascii="Cambria Math" w:eastAsiaTheme="minorEastAsia" w:hAnsi="Cambria Math" w:cs="Arial"/>
            </w:rPr>
            <m:t>-</m:t>
          </m:r>
          <m:r>
            <m:rPr>
              <m:sty m:val="bi"/>
            </m:rPr>
            <w:rPr>
              <w:rFonts w:ascii="Cambria Math" w:eastAsiaTheme="minorEastAsia" w:hAnsi="Cambria Math" w:cs="Arial"/>
            </w:rPr>
            <m:t>k</m:t>
          </m:r>
          <m:r>
            <m:rPr>
              <m:sty m:val="bi"/>
            </m:rPr>
            <w:rPr>
              <w:rFonts w:ascii="Cambria Math" w:eastAsiaTheme="minorEastAsia" w:hAnsi="Cambria Math" w:cs="Arial"/>
            </w:rPr>
            <m:t>)</m:t>
          </m:r>
          <m:sSubSup>
            <m:sSubSupPr>
              <m:ctrlPr>
                <w:rPr>
                  <w:rFonts w:ascii="Cambria Math" w:eastAsiaTheme="minorEastAsia" w:hAnsi="Cambria Math" w:cs="Arial"/>
                  <w:b/>
                  <w:i/>
                </w:rPr>
              </m:ctrlPr>
            </m:sSubSupPr>
            <m:e>
              <m:r>
                <m:rPr>
                  <m:sty m:val="bi"/>
                </m:rPr>
                <w:rPr>
                  <w:rFonts w:ascii="Cambria Math" w:eastAsiaTheme="minorEastAsia" w:hAnsi="Cambria Math" w:cs="Arial"/>
                </w:rPr>
                <m:t>Z</m:t>
              </m:r>
            </m:e>
            <m:sub>
              <m:r>
                <m:rPr>
                  <m:sty m:val="bi"/>
                </m:rPr>
                <w:rPr>
                  <w:rFonts w:ascii="Cambria Math" w:eastAsiaTheme="minorEastAsia" w:hAnsi="Cambria Math" w:cs="Arial"/>
                </w:rPr>
                <m:t>2</m:t>
              </m:r>
            </m:sub>
            <m:sup>
              <m:r>
                <m:rPr>
                  <m:sty m:val="bi"/>
                </m:rPr>
                <w:rPr>
                  <w:rFonts w:ascii="Cambria Math" w:eastAsiaTheme="minorEastAsia" w:hAnsi="Cambria Math" w:cs="Arial"/>
                </w:rPr>
                <m:t>2</m:t>
              </m:r>
            </m:sup>
          </m:sSubSup>
        </m:oMath>
      </m:oMathPara>
    </w:p>
    <w:p w14:paraId="4E15F688" w14:textId="77777777" w:rsidR="00B360CC" w:rsidRPr="00B360CC" w:rsidRDefault="00B360CC" w:rsidP="001354FC">
      <w:pPr>
        <w:pStyle w:val="NormalWeb"/>
        <w:jc w:val="both"/>
        <w:rPr>
          <w:rFonts w:ascii="Arial" w:hAnsi="Arial" w:cs="Arial"/>
          <w:color w:val="131413"/>
          <w:sz w:val="20"/>
          <w:szCs w:val="20"/>
          <w:lang w:bidi="gu-IN"/>
        </w:rPr>
      </w:pPr>
      <w:r w:rsidRPr="00B360CC">
        <w:rPr>
          <w:rFonts w:ascii="Arial" w:hAnsi="Arial" w:cs="Arial"/>
          <w:color w:val="131413"/>
          <w:sz w:val="20"/>
          <w:szCs w:val="20"/>
          <w:lang w:bidi="gu-IN"/>
        </w:rPr>
        <w:t>Z</w:t>
      </w:r>
      <w:r w:rsidRPr="00B360CC">
        <w:rPr>
          <w:rFonts w:ascii="Arial" w:hAnsi="Arial" w:cs="Arial"/>
          <w:color w:val="131413"/>
          <w:sz w:val="20"/>
          <w:szCs w:val="20"/>
          <w:vertAlign w:val="subscript"/>
          <w:lang w:bidi="gu-IN"/>
        </w:rPr>
        <w:t>1</w:t>
      </w:r>
      <w:r w:rsidRPr="00B360CC">
        <w:rPr>
          <w:rFonts w:ascii="Arial" w:hAnsi="Arial" w:cs="Arial"/>
          <w:color w:val="131413"/>
          <w:sz w:val="20"/>
          <w:szCs w:val="20"/>
          <w:lang w:bidi="gu-IN"/>
        </w:rPr>
        <w:t xml:space="preserve"> and Z</w:t>
      </w:r>
      <w:r w:rsidRPr="00B360CC">
        <w:rPr>
          <w:rFonts w:ascii="Arial" w:hAnsi="Arial" w:cs="Arial"/>
          <w:color w:val="131413"/>
          <w:sz w:val="20"/>
          <w:szCs w:val="20"/>
          <w:vertAlign w:val="subscript"/>
          <w:lang w:bidi="gu-IN"/>
        </w:rPr>
        <w:t>2</w:t>
      </w:r>
      <w:r w:rsidRPr="00B360CC">
        <w:rPr>
          <w:rFonts w:ascii="Arial" w:hAnsi="Arial" w:cs="Arial"/>
          <w:color w:val="131413"/>
          <w:sz w:val="20"/>
          <w:szCs w:val="20"/>
          <w:lang w:bidi="gu-IN"/>
        </w:rPr>
        <w:t xml:space="preserve"> can be computed as:</w:t>
      </w:r>
    </w:p>
    <w:p w14:paraId="3B9FA11D" w14:textId="77777777" w:rsidR="00B360CC" w:rsidRPr="001354FC" w:rsidRDefault="007E569A" w:rsidP="00B360CC">
      <w:pPr>
        <w:jc w:val="center"/>
        <w:rPr>
          <w:rFonts w:ascii="Arial" w:eastAsiaTheme="minorEastAsia" w:hAnsi="Arial" w:cs="Arial"/>
          <w:b/>
        </w:rPr>
      </w:pPr>
      <m:oMathPara>
        <m:oMathParaPr>
          <m:jc m:val="center"/>
        </m:oMathParaPr>
        <m:oMath>
          <m:sSub>
            <m:sSubPr>
              <m:ctrlPr>
                <w:rPr>
                  <w:rFonts w:ascii="Cambria Math" w:eastAsiaTheme="minorEastAsia" w:hAnsi="Cambria Math" w:cs="Arial"/>
                  <w:b/>
                  <w:i/>
                </w:rPr>
              </m:ctrlPr>
            </m:sSubPr>
            <m:e>
              <m:r>
                <m:rPr>
                  <m:sty m:val="bi"/>
                </m:rPr>
                <w:rPr>
                  <w:rFonts w:ascii="Cambria Math" w:eastAsiaTheme="minorEastAsia" w:hAnsi="Cambria Math" w:cs="Arial"/>
                </w:rPr>
                <m:t>Z</m:t>
              </m:r>
            </m:e>
            <m:sub>
              <m:r>
                <m:rPr>
                  <m:sty m:val="bi"/>
                </m:rPr>
                <w:rPr>
                  <w:rFonts w:ascii="Cambria Math" w:eastAsiaTheme="minorEastAsia" w:hAnsi="Cambria Math" w:cs="Arial"/>
                </w:rPr>
                <m:t>1</m:t>
              </m:r>
            </m:sub>
          </m:sSub>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k</m:t>
              </m:r>
            </m:den>
          </m:f>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k</m:t>
              </m:r>
            </m:sup>
            <m:e>
              <m:f>
                <m:fPr>
                  <m:ctrlPr>
                    <w:rPr>
                      <w:rFonts w:ascii="Cambria Math" w:eastAsiaTheme="minorEastAsia" w:hAnsi="Cambria Math" w:cs="Arial"/>
                      <w:b/>
                      <w:i/>
                    </w:rPr>
                  </m:ctrlPr>
                </m:fPr>
                <m:num>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num>
                <m:den>
                  <m:r>
                    <m:rPr>
                      <m:sty m:val="bi"/>
                    </m:rPr>
                    <w:rPr>
                      <w:rFonts w:ascii="Cambria Math" w:eastAsiaTheme="minorEastAsia" w:hAnsi="Cambria Math" w:cs="Arial"/>
                    </w:rPr>
                    <m:t>σx</m:t>
                  </m:r>
                </m:den>
              </m:f>
            </m:e>
          </m:nary>
        </m:oMath>
      </m:oMathPara>
    </w:p>
    <w:p w14:paraId="75F4A9FA" w14:textId="77777777" w:rsidR="00B360CC" w:rsidRPr="001354FC" w:rsidRDefault="007E569A" w:rsidP="00B360CC">
      <w:pPr>
        <w:jc w:val="center"/>
        <w:rPr>
          <w:rFonts w:ascii="Arial" w:eastAsiaTheme="minorEastAsia" w:hAnsi="Arial" w:cs="Arial"/>
          <w:b/>
        </w:rPr>
      </w:pPr>
      <m:oMathPara>
        <m:oMathParaPr>
          <m:jc m:val="center"/>
        </m:oMathParaPr>
        <m:oMath>
          <m:sSub>
            <m:sSubPr>
              <m:ctrlPr>
                <w:rPr>
                  <w:rFonts w:ascii="Cambria Math" w:eastAsiaTheme="minorEastAsia" w:hAnsi="Cambria Math" w:cs="Arial"/>
                  <w:b/>
                  <w:i/>
                </w:rPr>
              </m:ctrlPr>
            </m:sSubPr>
            <m:e>
              <m:r>
                <m:rPr>
                  <m:sty m:val="bi"/>
                </m:rPr>
                <w:rPr>
                  <w:rFonts w:ascii="Cambria Math" w:eastAsiaTheme="minorEastAsia" w:hAnsi="Cambria Math" w:cs="Arial"/>
                </w:rPr>
                <m:t xml:space="preserve">                           </m:t>
              </m:r>
              <m:r>
                <m:rPr>
                  <m:sty m:val="bi"/>
                </m:rPr>
                <w:rPr>
                  <w:rFonts w:ascii="Cambria Math" w:eastAsiaTheme="minorEastAsia" w:hAnsi="Cambria Math" w:cs="Arial"/>
                </w:rPr>
                <m:t>Z</m:t>
              </m:r>
            </m:e>
            <m:sub>
              <m:r>
                <m:rPr>
                  <m:sty m:val="bi"/>
                </m:rPr>
                <w:rPr>
                  <w:rFonts w:ascii="Cambria Math" w:eastAsiaTheme="minorEastAsia" w:hAnsi="Cambria Math" w:cs="Arial"/>
                </w:rPr>
                <m:t>2</m:t>
              </m:r>
            </m:sub>
          </m:sSub>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n</m:t>
              </m:r>
              <m:r>
                <m:rPr>
                  <m:sty m:val="bi"/>
                </m:rPr>
                <w:rPr>
                  <w:rFonts w:ascii="Cambria Math" w:eastAsiaTheme="minorEastAsia" w:hAnsi="Cambria Math" w:cs="Arial"/>
                </w:rPr>
                <m:t>-</m:t>
              </m:r>
              <m:r>
                <m:rPr>
                  <m:sty m:val="bi"/>
                </m:rPr>
                <w:rPr>
                  <w:rFonts w:ascii="Cambria Math" w:eastAsiaTheme="minorEastAsia" w:hAnsi="Cambria Math" w:cs="Arial"/>
                </w:rPr>
                <m:t>k</m:t>
              </m:r>
            </m:den>
          </m:f>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m:t>
              </m:r>
              <m:r>
                <m:rPr>
                  <m:sty m:val="bi"/>
                </m:rPr>
                <w:rPr>
                  <w:rFonts w:ascii="Cambria Math" w:eastAsiaTheme="minorEastAsia" w:hAnsi="Cambria Math" w:cs="Arial"/>
                </w:rPr>
                <m:t>=</m:t>
              </m:r>
              <m:r>
                <m:rPr>
                  <m:sty m:val="bi"/>
                </m:rPr>
                <w:rPr>
                  <w:rFonts w:ascii="Cambria Math" w:eastAsiaTheme="minorEastAsia" w:hAnsi="Cambria Math" w:cs="Arial"/>
                </w:rPr>
                <m:t>k</m:t>
              </m:r>
              <m:r>
                <m:rPr>
                  <m:sty m:val="bi"/>
                </m:rPr>
                <w:rPr>
                  <w:rFonts w:ascii="Cambria Math" w:eastAsiaTheme="minorEastAsia" w:hAnsi="Cambria Math" w:cs="Arial"/>
                </w:rPr>
                <m:t>+</m:t>
              </m:r>
              <m:r>
                <m:rPr>
                  <m:sty m:val="bi"/>
                </m:rPr>
                <w:rPr>
                  <w:rFonts w:ascii="Cambria Math" w:eastAsiaTheme="minorEastAsia" w:hAnsi="Cambria Math" w:cs="Arial"/>
                </w:rPr>
                <m:t>1</m:t>
              </m:r>
            </m:sub>
            <m:sup>
              <m:r>
                <m:rPr>
                  <m:sty m:val="bi"/>
                </m:rPr>
                <w:rPr>
                  <w:rFonts w:ascii="Cambria Math" w:eastAsiaTheme="minorEastAsia" w:hAnsi="Cambria Math" w:cs="Arial"/>
                </w:rPr>
                <m:t>n</m:t>
              </m:r>
            </m:sup>
            <m:e>
              <m:f>
                <m:fPr>
                  <m:ctrlPr>
                    <w:rPr>
                      <w:rFonts w:ascii="Cambria Math" w:eastAsiaTheme="minorEastAsia" w:hAnsi="Cambria Math" w:cs="Arial"/>
                      <w:b/>
                      <w:i/>
                    </w:rPr>
                  </m:ctrlPr>
                </m:fPr>
                <m:num>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acc>
                    <m:accPr>
                      <m:chr m:val="̅"/>
                      <m:ctrlPr>
                        <w:rPr>
                          <w:rFonts w:ascii="Cambria Math" w:eastAsiaTheme="minorEastAsia" w:hAnsi="Cambria Math" w:cs="Arial"/>
                          <w:b/>
                          <w:i/>
                        </w:rPr>
                      </m:ctrlPr>
                    </m:accPr>
                    <m:e>
                      <m:r>
                        <m:rPr>
                          <m:sty m:val="bi"/>
                        </m:rPr>
                        <w:rPr>
                          <w:rFonts w:ascii="Cambria Math" w:eastAsiaTheme="minorEastAsia" w:hAnsi="Cambria Math" w:cs="Arial"/>
                        </w:rPr>
                        <m:t>x</m:t>
                      </m:r>
                      <m:r>
                        <m:rPr>
                          <m:sty m:val="bi"/>
                        </m:rPr>
                        <w:rPr>
                          <w:rFonts w:ascii="Cambria Math" w:eastAsiaTheme="minorEastAsia" w:hAnsi="Cambria Math" w:cs="Arial"/>
                        </w:rPr>
                        <m:t>)</m:t>
                      </m:r>
                    </m:e>
                  </m:acc>
                </m:num>
                <m:den>
                  <m:r>
                    <m:rPr>
                      <m:sty m:val="bi"/>
                    </m:rPr>
                    <w:rPr>
                      <w:rFonts w:ascii="Cambria Math" w:eastAsiaTheme="minorEastAsia" w:hAnsi="Cambria Math" w:cs="Arial"/>
                    </w:rPr>
                    <m:t>σx</m:t>
                  </m:r>
                </m:den>
              </m:f>
            </m:e>
          </m:nary>
        </m:oMath>
      </m:oMathPara>
    </w:p>
    <w:p w14:paraId="4629D0DC" w14:textId="403D4E46" w:rsidR="00B360CC" w:rsidRPr="00B360CC" w:rsidRDefault="009B72E5" w:rsidP="001354FC">
      <w:pPr>
        <w:adjustRightInd w:val="0"/>
        <w:jc w:val="both"/>
        <w:rPr>
          <w:rFonts w:ascii="Arial" w:hAnsi="Arial" w:cs="Arial"/>
          <w:color w:val="131413"/>
          <w:lang w:bidi="gu-IN"/>
        </w:rPr>
      </w:pPr>
      <w:r>
        <w:rPr>
          <w:rFonts w:ascii="Arial" w:eastAsiaTheme="minorHAnsi" w:hAnsi="Arial" w:cs="Arial"/>
          <w:color w:val="131413"/>
          <w:lang w:bidi="gu-IN"/>
        </w:rPr>
        <w:t>W</w:t>
      </w:r>
      <w:r w:rsidR="00B360CC" w:rsidRPr="00B360CC">
        <w:rPr>
          <w:rFonts w:ascii="Arial" w:eastAsiaTheme="minorHAnsi" w:hAnsi="Arial" w:cs="Arial"/>
          <w:color w:val="131413"/>
          <w:lang w:bidi="gu-IN"/>
        </w:rPr>
        <w:t xml:space="preserve">here, </w:t>
      </w:r>
      <m:oMath>
        <m:acc>
          <m:accPr>
            <m:chr m:val="̅"/>
            <m:ctrlPr>
              <w:rPr>
                <w:rFonts w:ascii="Cambria Math" w:eastAsiaTheme="minorEastAsia" w:hAnsi="Cambria Math" w:cs="Arial"/>
                <w:bCs/>
                <w:i/>
              </w:rPr>
            </m:ctrlPr>
          </m:accPr>
          <m:e>
            <m:r>
              <w:rPr>
                <w:rFonts w:ascii="Cambria Math" w:eastAsiaTheme="minorEastAsia" w:hAnsi="Cambria Math" w:cs="Arial"/>
              </w:rPr>
              <m:t>x</m:t>
            </m:r>
          </m:e>
        </m:acc>
      </m:oMath>
      <w:r w:rsidR="00B360CC" w:rsidRPr="00B360CC">
        <w:rPr>
          <w:rFonts w:ascii="Arial" w:eastAsiaTheme="minorHAnsi" w:hAnsi="Arial" w:cs="Arial"/>
          <w:color w:val="131413"/>
          <w:lang w:bidi="gu-IN"/>
        </w:rPr>
        <w:t xml:space="preserve">  and </w:t>
      </w:r>
      <m:oMath>
        <m:r>
          <w:rPr>
            <w:rFonts w:ascii="Cambria Math" w:eastAsiaTheme="minorEastAsia" w:hAnsi="Cambria Math" w:cs="Arial"/>
          </w:rPr>
          <m:t>σx</m:t>
        </m:r>
      </m:oMath>
      <w:r w:rsidR="00B360CC" w:rsidRPr="00B360CC">
        <w:rPr>
          <w:rFonts w:ascii="Arial" w:eastAsiaTheme="minorHAnsi" w:hAnsi="Arial" w:cs="Arial"/>
          <w:color w:val="131413"/>
          <w:lang w:bidi="gu-IN"/>
        </w:rPr>
        <w:t xml:space="preserve"> are the mean and standard deviation of the series. The year k can be considered as change point and consist a break where the value of T</w:t>
      </w:r>
      <w:r w:rsidR="00B360CC" w:rsidRPr="00B360CC">
        <w:rPr>
          <w:rFonts w:ascii="Arial" w:eastAsiaTheme="minorHAnsi" w:hAnsi="Arial" w:cs="Arial"/>
          <w:color w:val="131413"/>
          <w:vertAlign w:val="subscript"/>
          <w:lang w:bidi="gu-IN"/>
        </w:rPr>
        <w:t>k</w:t>
      </w:r>
      <w:r w:rsidR="00B360CC" w:rsidRPr="00B360CC">
        <w:rPr>
          <w:rFonts w:ascii="Arial" w:eastAsiaTheme="minorHAnsi" w:hAnsi="Arial" w:cs="Arial"/>
          <w:color w:val="131413"/>
          <w:lang w:bidi="gu-IN"/>
        </w:rPr>
        <w:t xml:space="preserve"> attains the maximum value. To reject the null hypothesis, the test statistic should be greater than the critical value, which depends on </w:t>
      </w:r>
      <w:r w:rsidR="00B360CC" w:rsidRPr="00B360CC">
        <w:rPr>
          <w:rFonts w:ascii="Arial" w:hAnsi="Arial" w:cs="Arial"/>
          <w:color w:val="131413"/>
          <w:lang w:bidi="gu-IN"/>
        </w:rPr>
        <w:t>the sample size (n) is given.</w:t>
      </w:r>
    </w:p>
    <w:p w14:paraId="4D3E5745" w14:textId="77777777" w:rsidR="00B360CC" w:rsidRPr="00B360CC" w:rsidRDefault="00B360CC" w:rsidP="001354FC">
      <w:pPr>
        <w:adjustRightInd w:val="0"/>
        <w:jc w:val="both"/>
        <w:rPr>
          <w:rFonts w:ascii="Arial" w:eastAsiaTheme="minorHAnsi" w:hAnsi="Arial" w:cs="Arial"/>
          <w:color w:val="131413"/>
          <w:lang w:bidi="gu-IN"/>
        </w:rPr>
      </w:pPr>
      <w:r w:rsidRPr="00B360CC">
        <w:rPr>
          <w:rFonts w:ascii="Arial" w:hAnsi="Arial" w:cs="Arial"/>
          <w:color w:val="131413"/>
          <w:lang w:bidi="gu-IN"/>
        </w:rPr>
        <w:t xml:space="preserve">For confirmation of mutation point, the result of at least two tests </w:t>
      </w:r>
      <w:proofErr w:type="gramStart"/>
      <w:r w:rsidRPr="00B360CC">
        <w:rPr>
          <w:rFonts w:ascii="Arial" w:hAnsi="Arial" w:cs="Arial"/>
          <w:color w:val="131413"/>
          <w:lang w:bidi="gu-IN"/>
        </w:rPr>
        <w:t>of  three</w:t>
      </w:r>
      <w:proofErr w:type="gramEnd"/>
      <w:r w:rsidRPr="00B360CC">
        <w:rPr>
          <w:rFonts w:ascii="Arial" w:hAnsi="Arial" w:cs="Arial"/>
          <w:color w:val="131413"/>
          <w:lang w:bidi="gu-IN"/>
        </w:rPr>
        <w:t xml:space="preserve"> tests should be same. That point will be considered as the true mutation point.</w:t>
      </w:r>
      <w:r w:rsidRPr="00B360CC">
        <w:rPr>
          <w:rFonts w:ascii="Arial" w:eastAsiaTheme="minorEastAsia" w:hAnsi="Arial" w:cs="Arial"/>
          <w:color w:val="000000" w:themeColor="text1"/>
          <w:kern w:val="24"/>
        </w:rPr>
        <w:t xml:space="preserve"> </w:t>
      </w:r>
      <w:r w:rsidRPr="00B360CC">
        <w:rPr>
          <w:rFonts w:ascii="Arial" w:hAnsi="Arial" w:cs="Arial"/>
          <w:color w:val="131413"/>
          <w:lang w:bidi="gu-IN"/>
        </w:rPr>
        <w:t xml:space="preserve">The significance will be tested for 1 per cent and 5 per cent probability levels </w:t>
      </w:r>
      <w:r w:rsidRPr="00B360CC">
        <w:rPr>
          <w:rFonts w:ascii="Arial" w:eastAsiaTheme="minorHAnsi" w:hAnsi="Arial" w:cs="Arial"/>
          <w:color w:val="131413"/>
          <w:lang w:bidi="gu-IN"/>
        </w:rPr>
        <w:t>(Alexandersson, 1986).</w:t>
      </w:r>
    </w:p>
    <w:p w14:paraId="6BA6D99D" w14:textId="77777777" w:rsidR="00B360CC" w:rsidRPr="00B360CC" w:rsidRDefault="00B360CC" w:rsidP="00B360CC">
      <w:pPr>
        <w:rPr>
          <w:rFonts w:ascii="Arial" w:hAnsi="Arial" w:cs="Arial"/>
          <w:color w:val="131413"/>
          <w:lang w:bidi="gu-IN"/>
        </w:rPr>
      </w:pPr>
    </w:p>
    <w:p w14:paraId="7AF75D48" w14:textId="77777777" w:rsidR="00B360CC" w:rsidRDefault="00B360CC" w:rsidP="00B360CC">
      <w:pPr>
        <w:rPr>
          <w:rFonts w:ascii="Arial" w:hAnsi="Arial" w:cs="Arial"/>
          <w:b/>
          <w:bCs/>
          <w:u w:val="single"/>
        </w:rPr>
      </w:pPr>
      <w:r w:rsidRPr="008107BA">
        <w:rPr>
          <w:rFonts w:ascii="Arial" w:hAnsi="Arial" w:cs="Arial"/>
          <w:b/>
          <w:bCs/>
          <w:u w:val="single"/>
        </w:rPr>
        <w:t>2.2.2 Trend analysis</w:t>
      </w:r>
    </w:p>
    <w:p w14:paraId="70722F06" w14:textId="77777777" w:rsidR="00956FBD" w:rsidRPr="008107BA" w:rsidRDefault="00956FBD" w:rsidP="00B360CC">
      <w:pPr>
        <w:rPr>
          <w:rFonts w:ascii="Arial" w:hAnsi="Arial" w:cs="Arial"/>
          <w:b/>
          <w:bCs/>
          <w:u w:val="single"/>
        </w:rPr>
      </w:pPr>
    </w:p>
    <w:p w14:paraId="7EC2A018" w14:textId="77777777" w:rsidR="00B360CC" w:rsidRDefault="00B360CC" w:rsidP="001354FC">
      <w:pPr>
        <w:jc w:val="both"/>
        <w:rPr>
          <w:rFonts w:ascii="Arial" w:hAnsi="Arial" w:cs="Arial"/>
          <w:lang w:val="en-IN"/>
        </w:rPr>
      </w:pPr>
      <w:r w:rsidRPr="00B360CC">
        <w:rPr>
          <w:rFonts w:ascii="Arial" w:hAnsi="Arial" w:cs="Arial"/>
          <w:lang w:val="en-IN"/>
        </w:rPr>
        <w:t>The presence of a significant trend in the time series was tested using the Mann-Kendall test, and its magnitude was subsequently estimated using Sen’s slope estimator.</w:t>
      </w:r>
    </w:p>
    <w:p w14:paraId="0B20FA92" w14:textId="77777777" w:rsidR="00956FBD" w:rsidRPr="00B360CC" w:rsidRDefault="00956FBD" w:rsidP="001354FC">
      <w:pPr>
        <w:jc w:val="both"/>
        <w:rPr>
          <w:rFonts w:ascii="Arial" w:hAnsi="Arial" w:cs="Arial"/>
          <w:lang w:val="en-IN"/>
        </w:rPr>
      </w:pPr>
    </w:p>
    <w:p w14:paraId="0B84AC30" w14:textId="77777777" w:rsidR="00B360CC" w:rsidRDefault="00B360CC" w:rsidP="00B360CC">
      <w:pPr>
        <w:pStyle w:val="NormalWeb"/>
        <w:jc w:val="both"/>
        <w:rPr>
          <w:rFonts w:ascii="Arial" w:hAnsi="Arial" w:cs="Arial"/>
          <w:b/>
          <w:bCs/>
          <w:i/>
          <w:iCs/>
          <w:sz w:val="20"/>
          <w:szCs w:val="20"/>
        </w:rPr>
      </w:pPr>
      <w:r w:rsidRPr="008107BA">
        <w:rPr>
          <w:rFonts w:ascii="Arial" w:hAnsi="Arial" w:cs="Arial"/>
          <w:b/>
          <w:bCs/>
          <w:i/>
          <w:iCs/>
          <w:sz w:val="20"/>
          <w:szCs w:val="20"/>
        </w:rPr>
        <w:t>2.2.2.1 Mann-Kendall test</w:t>
      </w:r>
    </w:p>
    <w:p w14:paraId="0C640B35" w14:textId="77777777" w:rsidR="00956FBD" w:rsidRPr="008107BA" w:rsidRDefault="00956FBD" w:rsidP="00B360CC">
      <w:pPr>
        <w:pStyle w:val="NormalWeb"/>
        <w:jc w:val="both"/>
        <w:rPr>
          <w:rFonts w:ascii="Arial" w:hAnsi="Arial" w:cs="Arial"/>
          <w:b/>
          <w:bCs/>
          <w:i/>
          <w:iCs/>
          <w:sz w:val="20"/>
          <w:szCs w:val="20"/>
        </w:rPr>
      </w:pPr>
    </w:p>
    <w:p w14:paraId="7BCE5D77" w14:textId="77777777" w:rsidR="00B360CC" w:rsidRPr="00B360CC" w:rsidRDefault="00B360CC" w:rsidP="001354FC">
      <w:pPr>
        <w:jc w:val="both"/>
        <w:rPr>
          <w:rFonts w:ascii="Arial" w:hAnsi="Arial" w:cs="Arial"/>
        </w:rPr>
      </w:pPr>
      <w:r w:rsidRPr="00B360CC">
        <w:rPr>
          <w:rFonts w:ascii="Arial" w:hAnsi="Arial" w:cs="Arial"/>
        </w:rPr>
        <w:t>The main task in trend analysis is to assess the monotonic fluctuations in long-period data sets, which can be well performed through a non-parametric linear trend test, i.e., the Mann-Kendall test. The test statistic of the Mann-Kendall test (S) is expressed as</w:t>
      </w:r>
    </w:p>
    <w:p w14:paraId="36E488A1"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S=</m:t>
          </m:r>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i=1</m:t>
              </m:r>
            </m:sub>
            <m:sup>
              <m:r>
                <m:rPr>
                  <m:sty m:val="bi"/>
                </m:rPr>
                <w:rPr>
                  <w:rFonts w:ascii="Cambria Math" w:eastAsiaTheme="minorEastAsia" w:hAnsi="Cambria Math" w:cs="Arial"/>
                </w:rPr>
                <m:t>n</m:t>
              </m:r>
            </m:sup>
            <m:e>
              <m:nary>
                <m:naryPr>
                  <m:chr m:val="∑"/>
                  <m:limLoc m:val="undOvr"/>
                  <m:ctrlPr>
                    <w:rPr>
                      <w:rFonts w:ascii="Cambria Math" w:eastAsiaTheme="minorEastAsia" w:hAnsi="Cambria Math" w:cs="Arial"/>
                      <w:b/>
                      <w:i/>
                    </w:rPr>
                  </m:ctrlPr>
                </m:naryPr>
                <m:sub>
                  <m:r>
                    <m:rPr>
                      <m:sty m:val="bi"/>
                    </m:rPr>
                    <w:rPr>
                      <w:rFonts w:ascii="Cambria Math" w:eastAsiaTheme="minorEastAsia" w:hAnsi="Cambria Math" w:cs="Arial"/>
                    </w:rPr>
                    <m:t>j=1</m:t>
                  </m:r>
                </m:sub>
                <m:sup>
                  <m:r>
                    <m:rPr>
                      <m:sty m:val="bi"/>
                    </m:rPr>
                    <w:rPr>
                      <w:rFonts w:ascii="Cambria Math" w:eastAsiaTheme="minorEastAsia" w:hAnsi="Cambria Math" w:cs="Arial"/>
                    </w:rPr>
                    <m:t>i=1</m:t>
                  </m:r>
                </m:sup>
                <m:e>
                  <m:r>
                    <m:rPr>
                      <m:sty m:val="bi"/>
                    </m:rPr>
                    <w:rPr>
                      <w:rFonts w:ascii="Cambria Math" w:eastAsiaTheme="minorEastAsia" w:hAnsi="Cambria Math" w:cs="Arial"/>
                    </w:rPr>
                    <m:t>sign</m:t>
                  </m:r>
                </m:e>
              </m:nary>
              <m:r>
                <m:rPr>
                  <m:sty m:val="bi"/>
                </m:rPr>
                <w:rPr>
                  <w:rFonts w:ascii="Cambria Math" w:eastAsiaTheme="minorEastAsia" w:hAnsi="Cambria Math" w:cs="Arial"/>
                </w:rPr>
                <m:t>(</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r>
                <m:rPr>
                  <m:sty m:val="bi"/>
                </m:rPr>
                <w:rPr>
                  <w:rFonts w:ascii="Cambria Math" w:eastAsiaTheme="minorEastAsia" w:hAnsi="Cambria Math" w:cs="Arial"/>
                </w:rPr>
                <m:t xml:space="preserve">) </m:t>
              </m:r>
            </m:e>
          </m:nary>
        </m:oMath>
      </m:oMathPara>
    </w:p>
    <w:p w14:paraId="785A5FA0" w14:textId="332A382A" w:rsidR="00B360CC" w:rsidRPr="00B360CC" w:rsidRDefault="009B72E5" w:rsidP="001354FC">
      <w:pPr>
        <w:rPr>
          <w:rFonts w:ascii="Arial" w:eastAsiaTheme="minorEastAsia" w:hAnsi="Arial" w:cs="Arial"/>
          <w:b/>
        </w:rPr>
      </w:pPr>
      <w:r>
        <w:rPr>
          <w:rFonts w:ascii="Arial" w:hAnsi="Arial" w:cs="Arial"/>
        </w:rPr>
        <w:t>W</w:t>
      </w:r>
      <w:r w:rsidR="00B360CC" w:rsidRPr="00B360CC">
        <w:rPr>
          <w:rFonts w:ascii="Arial" w:hAnsi="Arial" w:cs="Arial"/>
        </w:rPr>
        <w:t xml:space="preserve">here, n is the total length of data, xi and </w:t>
      </w:r>
      <w:proofErr w:type="spellStart"/>
      <w:r w:rsidR="00B360CC" w:rsidRPr="00B360CC">
        <w:rPr>
          <w:rFonts w:ascii="Arial" w:hAnsi="Arial" w:cs="Arial"/>
        </w:rPr>
        <w:t>xj</w:t>
      </w:r>
      <w:proofErr w:type="spellEnd"/>
      <w:r w:rsidR="00B360CC" w:rsidRPr="00B360CC">
        <w:rPr>
          <w:rFonts w:ascii="Arial" w:hAnsi="Arial" w:cs="Arial"/>
        </w:rPr>
        <w:t xml:space="preserve"> are two generic sequential data </w:t>
      </w:r>
      <w:proofErr w:type="gramStart"/>
      <w:r w:rsidR="00B360CC" w:rsidRPr="00B360CC">
        <w:rPr>
          <w:rFonts w:ascii="Arial" w:hAnsi="Arial" w:cs="Arial"/>
        </w:rPr>
        <w:t>values,  and</w:t>
      </w:r>
      <w:proofErr w:type="gramEnd"/>
      <w:r w:rsidR="00B360CC" w:rsidRPr="00B360CC">
        <w:rPr>
          <w:rFonts w:ascii="Arial" w:hAnsi="Arial" w:cs="Arial"/>
        </w:rPr>
        <w:t xml:space="preserve"> function sign(xi–</w:t>
      </w:r>
      <w:proofErr w:type="spellStart"/>
      <w:r w:rsidR="00B360CC" w:rsidRPr="00B360CC">
        <w:rPr>
          <w:rFonts w:ascii="Arial" w:hAnsi="Arial" w:cs="Arial"/>
        </w:rPr>
        <w:t>xj</w:t>
      </w:r>
      <w:proofErr w:type="spellEnd"/>
      <w:r w:rsidR="00B360CC" w:rsidRPr="00B360CC">
        <w:rPr>
          <w:rFonts w:ascii="Arial" w:hAnsi="Arial" w:cs="Arial"/>
        </w:rPr>
        <w:t>) assumes the following values</w:t>
      </w:r>
    </w:p>
    <w:p w14:paraId="3E1386D8"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w:lastRenderedPageBreak/>
            <m:t>sign</m:t>
          </m:r>
          <m:d>
            <m:dPr>
              <m:ctrlPr>
                <w:rPr>
                  <w:rFonts w:ascii="Cambria Math" w:eastAsiaTheme="minorEastAsia" w:hAnsi="Cambria Math" w:cs="Arial"/>
                  <w:b/>
                  <w:i/>
                </w:rPr>
              </m:ctrlPr>
            </m:dPr>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j</m:t>
                  </m:r>
                </m:sub>
              </m:sSub>
            </m:e>
          </m:d>
          <m:r>
            <m:rPr>
              <m:sty m:val="bi"/>
            </m:rPr>
            <w:rPr>
              <w:rFonts w:ascii="Cambria Math" w:eastAsiaTheme="minorEastAsia" w:hAnsi="Cambria Math" w:cs="Arial"/>
            </w:rPr>
            <m:t>=</m:t>
          </m:r>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r>
                    <m:rPr>
                      <m:sty m:val="bi"/>
                    </m:rPr>
                    <w:rPr>
                      <w:rFonts w:ascii="Cambria Math" w:eastAsiaTheme="minorEastAsia" w:hAnsi="Cambria Math" w:cs="Arial"/>
                    </w:rPr>
                    <m:t xml:space="preserve">1,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&gt;0</m:t>
                  </m:r>
                </m:e>
                <m:e>
                  <m:r>
                    <m:rPr>
                      <m:sty m:val="bi"/>
                    </m:rPr>
                    <w:rPr>
                      <w:rFonts w:ascii="Cambria Math" w:eastAsiaTheme="minorEastAsia" w:hAnsi="Cambria Math" w:cs="Arial"/>
                    </w:rPr>
                    <m:t xml:space="preserve">0,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=0</m:t>
                  </m:r>
                  <m:ctrlPr>
                    <w:rPr>
                      <w:rFonts w:ascii="Cambria Math" w:eastAsia="Cambria Math" w:hAnsi="Cambria Math" w:cs="Arial"/>
                      <w:b/>
                      <w:i/>
                    </w:rPr>
                  </m:ctrlPr>
                </m:e>
                <m:e>
                  <m:r>
                    <m:rPr>
                      <m:sty m:val="bi"/>
                    </m:rPr>
                    <w:rPr>
                      <w:rFonts w:ascii="Cambria Math" w:eastAsiaTheme="minorEastAsia" w:hAnsi="Cambria Math" w:cs="Arial"/>
                    </w:rPr>
                    <m:t xml:space="preserve">-1, if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i</m:t>
                          </m:r>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x</m:t>
                          </m:r>
                        </m:e>
                        <m:sub>
                          <m:r>
                            <m:rPr>
                              <m:sty m:val="bi"/>
                            </m:rPr>
                            <w:rPr>
                              <w:rFonts w:ascii="Cambria Math" w:eastAsiaTheme="minorEastAsia" w:hAnsi="Cambria Math" w:cs="Arial"/>
                            </w:rPr>
                            <m:t>j</m:t>
                          </m:r>
                        </m:sub>
                      </m:sSub>
                    </m:e>
                  </m:d>
                  <m:r>
                    <m:rPr>
                      <m:sty m:val="bi"/>
                    </m:rPr>
                    <w:rPr>
                      <w:rFonts w:ascii="Cambria Math" w:eastAsiaTheme="minorEastAsia" w:hAnsi="Cambria Math" w:cs="Arial"/>
                    </w:rPr>
                    <m:t>&lt;0</m:t>
                  </m:r>
                </m:e>
              </m:eqArr>
            </m:e>
          </m:d>
        </m:oMath>
      </m:oMathPara>
    </w:p>
    <w:p w14:paraId="0E28E0EB" w14:textId="77777777" w:rsidR="00B360CC" w:rsidRPr="00B360CC" w:rsidRDefault="00B360CC" w:rsidP="001354FC">
      <w:pPr>
        <w:rPr>
          <w:rFonts w:ascii="Arial" w:eastAsiaTheme="minorEastAsia" w:hAnsi="Arial" w:cs="Arial"/>
          <w:b/>
        </w:rPr>
      </w:pPr>
      <w:r w:rsidRPr="00B360CC">
        <w:rPr>
          <w:rFonts w:ascii="Arial" w:hAnsi="Arial" w:cs="Arial"/>
        </w:rPr>
        <w:t>Under this test, the statistic S is approximately normally distributed with the mean E(S) and the variance Var(S) can be computed as follow:</w:t>
      </w:r>
    </w:p>
    <w:p w14:paraId="51493FAF"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E</m:t>
          </m:r>
          <m:d>
            <m:dPr>
              <m:ctrlPr>
                <w:rPr>
                  <w:rFonts w:ascii="Cambria Math" w:eastAsiaTheme="minorEastAsia" w:hAnsi="Cambria Math" w:cs="Arial"/>
                  <w:b/>
                  <w:i/>
                </w:rPr>
              </m:ctrlPr>
            </m:dPr>
            <m:e>
              <m:r>
                <m:rPr>
                  <m:sty m:val="bi"/>
                </m:rPr>
                <w:rPr>
                  <w:rFonts w:ascii="Cambria Math" w:eastAsiaTheme="minorEastAsia" w:hAnsi="Cambria Math" w:cs="Arial"/>
                </w:rPr>
                <m:t>S</m:t>
              </m:r>
            </m:e>
          </m:d>
          <m:r>
            <m:rPr>
              <m:sty m:val="bi"/>
            </m:rPr>
            <w:rPr>
              <w:rFonts w:ascii="Cambria Math" w:eastAsiaTheme="minorEastAsia" w:hAnsi="Cambria Math" w:cs="Arial"/>
            </w:rPr>
            <m:t>=0</m:t>
          </m:r>
        </m:oMath>
      </m:oMathPara>
    </w:p>
    <w:p w14:paraId="021CEBC7"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Var</m:t>
          </m:r>
          <m:d>
            <m:dPr>
              <m:ctrlPr>
                <w:rPr>
                  <w:rFonts w:ascii="Cambria Math" w:eastAsiaTheme="minorEastAsia" w:hAnsi="Cambria Math" w:cs="Arial"/>
                  <w:b/>
                  <w:i/>
                </w:rPr>
              </m:ctrlPr>
            </m:dPr>
            <m:e>
              <m:r>
                <m:rPr>
                  <m:sty m:val="bi"/>
                </m:rPr>
                <w:rPr>
                  <w:rFonts w:ascii="Cambria Math" w:eastAsiaTheme="minorEastAsia" w:hAnsi="Cambria Math" w:cs="Arial"/>
                </w:rPr>
                <m:t>S</m:t>
              </m:r>
            </m:e>
          </m:d>
          <m:r>
            <m:rPr>
              <m:sty m:val="bi"/>
            </m:rPr>
            <w:rPr>
              <w:rFonts w:ascii="Cambria Math" w:eastAsiaTheme="minorEastAsia" w:hAnsi="Cambria Math" w:cs="Arial"/>
            </w:rPr>
            <m:t>=</m:t>
          </m:r>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18</m:t>
              </m:r>
            </m:den>
          </m:f>
          <m:d>
            <m:dPr>
              <m:begChr m:val="["/>
              <m:endChr m:val="]"/>
              <m:ctrlPr>
                <w:rPr>
                  <w:rFonts w:ascii="Cambria Math" w:eastAsiaTheme="minorEastAsia" w:hAnsi="Cambria Math" w:cs="Arial"/>
                  <w:b/>
                  <w:i/>
                </w:rPr>
              </m:ctrlPr>
            </m:dPr>
            <m:e>
              <m:r>
                <m:rPr>
                  <m:sty m:val="bi"/>
                </m:rPr>
                <w:rPr>
                  <w:rFonts w:ascii="Cambria Math" w:eastAsiaTheme="minorEastAsia" w:hAnsi="Cambria Math" w:cs="Arial"/>
                </w:rPr>
                <m:t>n</m:t>
              </m:r>
              <m:d>
                <m:dPr>
                  <m:ctrlPr>
                    <w:rPr>
                      <w:rFonts w:ascii="Cambria Math" w:eastAsiaTheme="minorEastAsia" w:hAnsi="Cambria Math" w:cs="Arial"/>
                      <w:b/>
                      <w:i/>
                    </w:rPr>
                  </m:ctrlPr>
                </m:dPr>
                <m:e>
                  <m:r>
                    <m:rPr>
                      <m:sty m:val="bi"/>
                    </m:rPr>
                    <w:rPr>
                      <w:rFonts w:ascii="Cambria Math" w:eastAsiaTheme="minorEastAsia" w:hAnsi="Cambria Math" w:cs="Arial"/>
                    </w:rPr>
                    <m:t>n-1</m:t>
                  </m:r>
                </m:e>
              </m:d>
              <m:d>
                <m:dPr>
                  <m:ctrlPr>
                    <w:rPr>
                      <w:rFonts w:ascii="Cambria Math" w:eastAsiaTheme="minorEastAsia" w:hAnsi="Cambria Math" w:cs="Arial"/>
                      <w:b/>
                      <w:i/>
                    </w:rPr>
                  </m:ctrlPr>
                </m:dPr>
                <m:e>
                  <m:r>
                    <m:rPr>
                      <m:sty m:val="bi"/>
                    </m:rPr>
                    <w:rPr>
                      <w:rFonts w:ascii="Cambria Math" w:eastAsiaTheme="minorEastAsia" w:hAnsi="Cambria Math" w:cs="Arial"/>
                    </w:rPr>
                    <m:t>2</m:t>
                  </m:r>
                  <m:r>
                    <m:rPr>
                      <m:sty m:val="bi"/>
                    </m:rPr>
                    <w:rPr>
                      <w:rFonts w:ascii="Cambria Math" w:eastAsiaTheme="minorEastAsia" w:hAnsi="Cambria Math" w:cs="Arial"/>
                    </w:rPr>
                    <m:t>n+5</m:t>
                  </m:r>
                </m:e>
              </m:d>
              <m:r>
                <m:rPr>
                  <m:sty m:val="bi"/>
                </m:rPr>
                <w:rPr>
                  <w:rFonts w:ascii="Cambria Math" w:eastAsiaTheme="minorEastAsia" w:hAnsi="Cambria Math" w:cs="Arial"/>
                </w:rPr>
                <m:t>-</m:t>
              </m:r>
              <m:nary>
                <m:naryPr>
                  <m:chr m:val="∑"/>
                  <m:limLoc m:val="undOvr"/>
                  <m:supHide m:val="1"/>
                  <m:ctrlPr>
                    <w:rPr>
                      <w:rFonts w:ascii="Cambria Math" w:eastAsiaTheme="minorEastAsia" w:hAnsi="Cambria Math" w:cs="Arial"/>
                      <w:b/>
                      <w:i/>
                    </w:rPr>
                  </m:ctrlPr>
                </m:naryPr>
                <m:sub>
                  <m:r>
                    <m:rPr>
                      <m:sty m:val="bi"/>
                    </m:rPr>
                    <w:rPr>
                      <w:rFonts w:ascii="Cambria Math" w:eastAsiaTheme="minorEastAsia" w:hAnsi="Cambria Math" w:cs="Arial"/>
                    </w:rPr>
                    <m:t>t</m:t>
                  </m:r>
                </m:sub>
                <m:sup/>
                <m:e>
                  <m:r>
                    <m:rPr>
                      <m:sty m:val="bi"/>
                    </m:rPr>
                    <w:rPr>
                      <w:rFonts w:ascii="Cambria Math" w:eastAsiaTheme="minorEastAsia" w:hAnsi="Cambria Math" w:cs="Arial"/>
                    </w:rPr>
                    <m:t>(t-1)(2</m:t>
                  </m:r>
                  <m:r>
                    <m:rPr>
                      <m:sty m:val="bi"/>
                    </m:rPr>
                    <w:rPr>
                      <w:rFonts w:ascii="Cambria Math" w:eastAsiaTheme="minorEastAsia" w:hAnsi="Cambria Math" w:cs="Arial"/>
                    </w:rPr>
                    <m:t>t+5)</m:t>
                  </m:r>
                </m:e>
              </m:nary>
            </m:e>
          </m:d>
        </m:oMath>
      </m:oMathPara>
    </w:p>
    <w:p w14:paraId="2A8DE48C" w14:textId="68DD9BEE" w:rsidR="00B360CC" w:rsidRPr="00B360CC" w:rsidRDefault="009B72E5" w:rsidP="001354FC">
      <w:pPr>
        <w:rPr>
          <w:rFonts w:ascii="Arial" w:eastAsiaTheme="minorEastAsia" w:hAnsi="Arial" w:cs="Arial"/>
          <w:b/>
        </w:rPr>
      </w:pPr>
      <w:r>
        <w:rPr>
          <w:rFonts w:ascii="Arial" w:hAnsi="Arial" w:cs="Arial"/>
        </w:rPr>
        <w:t>W</w:t>
      </w:r>
      <w:r w:rsidR="00B360CC" w:rsidRPr="00B360CC">
        <w:rPr>
          <w:rFonts w:ascii="Arial" w:hAnsi="Arial" w:cs="Arial"/>
        </w:rPr>
        <w:t xml:space="preserve">here, n is the length of time series, and t is the extent of any given tie and </w:t>
      </w:r>
      <w:proofErr w:type="spellStart"/>
      <w:r w:rsidR="00B360CC" w:rsidRPr="00B360CC">
        <w:rPr>
          <w:rFonts w:ascii="Arial" w:hAnsi="Arial" w:cs="Arial"/>
        </w:rPr>
        <w:t>Σt</w:t>
      </w:r>
      <w:proofErr w:type="spellEnd"/>
      <w:r w:rsidR="00B360CC" w:rsidRPr="00B360CC">
        <w:rPr>
          <w:rFonts w:ascii="Arial" w:hAnsi="Arial" w:cs="Arial"/>
        </w:rPr>
        <w:t xml:space="preserve"> denotes the summation over all tie number of values. The standardized statistics Z for this test can be computed by the following equation:</w:t>
      </w:r>
    </w:p>
    <w:p w14:paraId="20858BA1" w14:textId="77777777" w:rsidR="00B360CC" w:rsidRPr="00B360CC" w:rsidRDefault="00B360CC" w:rsidP="00B360CC">
      <w:pPr>
        <w:jc w:val="center"/>
        <w:rPr>
          <w:rFonts w:ascii="Arial" w:eastAsiaTheme="minorEastAsia" w:hAnsi="Arial" w:cs="Arial"/>
          <w:b/>
        </w:rPr>
      </w:pPr>
      <m:oMathPara>
        <m:oMath>
          <m:r>
            <m:rPr>
              <m:sty m:val="bi"/>
            </m:rPr>
            <w:rPr>
              <w:rFonts w:ascii="Cambria Math" w:eastAsiaTheme="minorEastAsia" w:hAnsi="Cambria Math" w:cs="Arial"/>
            </w:rPr>
            <m:t>Z=</m:t>
          </m:r>
          <m:d>
            <m:dPr>
              <m:begChr m:val="["/>
              <m:endChr m:val="]"/>
              <m:ctrlPr>
                <w:rPr>
                  <w:rFonts w:ascii="Cambria Math" w:eastAsiaTheme="minorEastAsia" w:hAnsi="Cambria Math" w:cs="Arial"/>
                  <w:b/>
                  <w:i/>
                </w:rPr>
              </m:ctrlPr>
            </m:dPr>
            <m:e>
              <m:eqArr>
                <m:eqArrPr>
                  <m:ctrlPr>
                    <w:rPr>
                      <w:rFonts w:ascii="Cambria Math" w:eastAsiaTheme="minorEastAsia" w:hAnsi="Cambria Math" w:cs="Arial"/>
                      <w:b/>
                      <w:i/>
                    </w:rPr>
                  </m:ctrlPr>
                </m:eqArrPr>
                <m:e>
                  <m:f>
                    <m:fPr>
                      <m:ctrlPr>
                        <w:rPr>
                          <w:rFonts w:ascii="Cambria Math" w:eastAsiaTheme="minorEastAsia" w:hAnsi="Cambria Math" w:cs="Arial"/>
                          <w:b/>
                          <w:i/>
                        </w:rPr>
                      </m:ctrlPr>
                    </m:fPr>
                    <m:num>
                      <m:r>
                        <m:rPr>
                          <m:sty m:val="bi"/>
                        </m:rPr>
                        <w:rPr>
                          <w:rFonts w:ascii="Cambria Math" w:eastAsiaTheme="minorEastAsia" w:hAnsi="Cambria Math" w:cs="Arial"/>
                        </w:rPr>
                        <m:t>S+1</m:t>
                      </m:r>
                    </m:num>
                    <m:den>
                      <m:rad>
                        <m:radPr>
                          <m:degHide m:val="1"/>
                          <m:ctrlPr>
                            <w:rPr>
                              <w:rFonts w:ascii="Cambria Math" w:eastAsiaTheme="minorEastAsia" w:hAnsi="Cambria Math" w:cs="Arial"/>
                              <w:b/>
                              <w:i/>
                            </w:rPr>
                          </m:ctrlPr>
                        </m:radPr>
                        <m:deg/>
                        <m:e>
                          <m:r>
                            <m:rPr>
                              <m:sty m:val="bi"/>
                            </m:rPr>
                            <w:rPr>
                              <w:rFonts w:ascii="Cambria Math" w:eastAsiaTheme="minorEastAsia" w:hAnsi="Cambria Math" w:cs="Arial"/>
                            </w:rPr>
                            <m:t>Var</m:t>
                          </m:r>
                          <m:d>
                            <m:dPr>
                              <m:ctrlPr>
                                <w:rPr>
                                  <w:rFonts w:ascii="Cambria Math" w:eastAsiaTheme="minorEastAsia" w:hAnsi="Cambria Math" w:cs="Arial"/>
                                  <w:b/>
                                  <w:i/>
                                </w:rPr>
                              </m:ctrlPr>
                            </m:dPr>
                            <m:e>
                              <m:r>
                                <m:rPr>
                                  <m:sty m:val="bi"/>
                                </m:rPr>
                                <w:rPr>
                                  <w:rFonts w:ascii="Cambria Math" w:eastAsiaTheme="minorEastAsia" w:hAnsi="Cambria Math" w:cs="Arial"/>
                                </w:rPr>
                                <m:t>S</m:t>
                              </m:r>
                            </m:e>
                          </m:d>
                        </m:e>
                      </m:rad>
                    </m:den>
                  </m:f>
                  <m:r>
                    <m:rPr>
                      <m:sty m:val="bi"/>
                    </m:rPr>
                    <w:rPr>
                      <w:rFonts w:ascii="Cambria Math" w:eastAsiaTheme="minorEastAsia" w:hAnsi="Cambria Math" w:cs="Arial"/>
                    </w:rPr>
                    <m:t>, if S&gt;0</m:t>
                  </m:r>
                </m:e>
                <m:e>
                  <m:r>
                    <m:rPr>
                      <m:sty m:val="bi"/>
                    </m:rPr>
                    <w:rPr>
                      <w:rFonts w:ascii="Cambria Math" w:eastAsiaTheme="minorEastAsia" w:hAnsi="Cambria Math" w:cs="Arial"/>
                    </w:rPr>
                    <m:t xml:space="preserve"> O,                 if S=0</m:t>
                  </m:r>
                  <m:ctrlPr>
                    <w:rPr>
                      <w:rFonts w:ascii="Cambria Math" w:eastAsia="Cambria Math" w:hAnsi="Cambria Math" w:cs="Arial"/>
                      <w:b/>
                      <w:i/>
                    </w:rPr>
                  </m:ctrlPr>
                </m:e>
                <m:e>
                  <m:r>
                    <m:rPr>
                      <m:sty m:val="bi"/>
                    </m:rPr>
                    <w:rPr>
                      <w:rFonts w:ascii="Cambria Math" w:eastAsia="Cambria Math" w:hAnsi="Cambria Math" w:cs="Arial"/>
                    </w:rPr>
                    <m:t>-1,               if S&lt;0</m:t>
                  </m:r>
                </m:e>
              </m:eqArr>
            </m:e>
          </m:d>
        </m:oMath>
      </m:oMathPara>
    </w:p>
    <w:p w14:paraId="3E4A75E2" w14:textId="77777777" w:rsidR="00B360CC" w:rsidRPr="00B360CC" w:rsidRDefault="00B360CC" w:rsidP="00B360CC">
      <w:pPr>
        <w:pStyle w:val="NormalWeb"/>
        <w:jc w:val="both"/>
        <w:rPr>
          <w:rFonts w:ascii="Arial" w:hAnsi="Arial" w:cs="Arial"/>
          <w:sz w:val="20"/>
          <w:szCs w:val="20"/>
        </w:rPr>
      </w:pPr>
    </w:p>
    <w:p w14:paraId="5DF0A002" w14:textId="77777777" w:rsidR="00956FBD" w:rsidRDefault="00B360CC" w:rsidP="001354FC">
      <w:pPr>
        <w:pStyle w:val="NormalWeb"/>
        <w:jc w:val="both"/>
        <w:rPr>
          <w:rFonts w:ascii="Arial" w:hAnsi="Arial" w:cs="Arial"/>
          <w:sz w:val="20"/>
          <w:szCs w:val="20"/>
        </w:rPr>
      </w:pPr>
      <w:r w:rsidRPr="00B360CC">
        <w:rPr>
          <w:rFonts w:ascii="Arial" w:hAnsi="Arial" w:cs="Arial"/>
          <w:sz w:val="20"/>
          <w:szCs w:val="20"/>
        </w:rPr>
        <w:t xml:space="preserve">Here, the detection of a trend depends on the value of Z. For example, if the Z value is zero, it means that the data does not follow any trend; if the value of Z is positive, it means that the trend is in an upward direction; and if the value of Z is negative, it means that the trend is in a downward direction (Mann </w:t>
      </w:r>
      <w:proofErr w:type="gramStart"/>
      <w:r w:rsidRPr="00B360CC">
        <w:rPr>
          <w:rFonts w:ascii="Arial" w:hAnsi="Arial" w:cs="Arial"/>
          <w:sz w:val="20"/>
          <w:szCs w:val="20"/>
        </w:rPr>
        <w:t>1945;  Kendall</w:t>
      </w:r>
      <w:proofErr w:type="gramEnd"/>
      <w:r w:rsidRPr="00B360CC">
        <w:rPr>
          <w:rFonts w:ascii="Arial" w:hAnsi="Arial" w:cs="Arial"/>
          <w:sz w:val="20"/>
          <w:szCs w:val="20"/>
        </w:rPr>
        <w:t xml:space="preserve"> 1975).    </w:t>
      </w:r>
    </w:p>
    <w:p w14:paraId="49992323" w14:textId="6DF7FEA3"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 xml:space="preserve">                                                                </w:t>
      </w:r>
    </w:p>
    <w:p w14:paraId="12E5CCDC" w14:textId="77777777" w:rsidR="00B360CC" w:rsidRDefault="00B360CC" w:rsidP="00B360CC">
      <w:pPr>
        <w:pStyle w:val="NormalWeb"/>
        <w:jc w:val="both"/>
        <w:rPr>
          <w:rFonts w:ascii="Arial" w:hAnsi="Arial" w:cs="Arial"/>
          <w:b/>
          <w:bCs/>
          <w:i/>
          <w:iCs/>
          <w:sz w:val="20"/>
          <w:szCs w:val="20"/>
        </w:rPr>
      </w:pPr>
      <w:r w:rsidRPr="008107BA">
        <w:rPr>
          <w:rFonts w:ascii="Arial" w:hAnsi="Arial" w:cs="Arial"/>
          <w:b/>
          <w:bCs/>
          <w:i/>
          <w:iCs/>
          <w:sz w:val="20"/>
          <w:szCs w:val="20"/>
        </w:rPr>
        <w:t>2.2.2.2 Sen’s slope estimator</w:t>
      </w:r>
    </w:p>
    <w:p w14:paraId="4CD858F1" w14:textId="77777777" w:rsidR="00956FBD" w:rsidRPr="008107BA" w:rsidRDefault="00956FBD" w:rsidP="00B360CC">
      <w:pPr>
        <w:pStyle w:val="NormalWeb"/>
        <w:jc w:val="both"/>
        <w:rPr>
          <w:rFonts w:ascii="Arial" w:hAnsi="Arial" w:cs="Arial"/>
          <w:b/>
          <w:bCs/>
          <w:i/>
          <w:iCs/>
          <w:sz w:val="20"/>
          <w:szCs w:val="20"/>
        </w:rPr>
      </w:pPr>
    </w:p>
    <w:p w14:paraId="14F0D0EB" w14:textId="77777777"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Assuming that the time series data exhibits a significant trend, i.e., either a positive or a negative trend, then the Sen’s slope estimator can be estimated. It means the slope of the trend line or the average rate of change of the trend. The slope of the trend is estimated using the following test statistic:</w:t>
      </w:r>
    </w:p>
    <w:p w14:paraId="758B754D" w14:textId="77777777" w:rsidR="00B360CC" w:rsidRPr="00B360CC" w:rsidRDefault="00B360CC" w:rsidP="00B360CC">
      <w:pPr>
        <w:jc w:val="center"/>
        <w:rPr>
          <w:rFonts w:ascii="Arial" w:eastAsiaTheme="minorEastAsia" w:hAnsi="Arial" w:cs="Arial"/>
          <w:b/>
        </w:rPr>
      </w:pPr>
      <w:r w:rsidRPr="00B360CC">
        <w:rPr>
          <w:rFonts w:ascii="Arial" w:eastAsiaTheme="minorEastAsia" w:hAnsi="Arial" w:cs="Arial"/>
          <w:b/>
        </w:rPr>
        <w:t>T</w:t>
      </w:r>
      <w:r w:rsidRPr="00B360CC">
        <w:rPr>
          <w:rFonts w:ascii="Arial" w:eastAsiaTheme="minorEastAsia" w:hAnsi="Arial" w:cs="Arial"/>
          <w:b/>
          <w:vertAlign w:val="subscript"/>
        </w:rPr>
        <w:t>i</w:t>
      </w:r>
      <w:r w:rsidRPr="00B360CC">
        <w:rPr>
          <w:rFonts w:ascii="Arial" w:eastAsiaTheme="minorEastAsia" w:hAnsi="Arial" w:cs="Arial"/>
          <w:b/>
        </w:rPr>
        <w:t xml:space="preserve"> = </w:t>
      </w:r>
      <m:oMath>
        <m:f>
          <m:fPr>
            <m:ctrlPr>
              <w:rPr>
                <w:rFonts w:ascii="Cambria Math" w:eastAsiaTheme="minorHAnsi" w:hAnsi="Cambria Math" w:cs="Arial"/>
                <w:b/>
                <w:bCs/>
                <w:i/>
                <w:kern w:val="2"/>
                <w:vertAlign w:val="superscript"/>
                <w:lang w:val="en-IN" w:bidi="gu-IN"/>
                <w14:ligatures w14:val="standardContextual"/>
              </w:rPr>
            </m:ctrlPr>
          </m:fPr>
          <m:num>
            <m:sSub>
              <m:sSubPr>
                <m:ctrlPr>
                  <w:rPr>
                    <w:rFonts w:ascii="Cambria Math" w:eastAsiaTheme="minorHAnsi" w:hAnsi="Cambria Math" w:cs="Arial"/>
                    <w:b/>
                    <w:bCs/>
                    <w:i/>
                    <w:kern w:val="2"/>
                    <w:vertAlign w:val="superscript"/>
                    <w:lang w:val="en-IN" w:bidi="gu-IN"/>
                    <w14:ligatures w14:val="standardContextual"/>
                  </w:rPr>
                </m:ctrlPr>
              </m:sSubPr>
              <m:e>
                <m:r>
                  <m:rPr>
                    <m:sty m:val="bi"/>
                  </m:rPr>
                  <w:rPr>
                    <w:rFonts w:ascii="Cambria Math" w:hAnsi="Cambria Math" w:cs="Arial"/>
                    <w:vertAlign w:val="superscript"/>
                  </w:rPr>
                  <m:t>y</m:t>
                </m:r>
              </m:e>
              <m:sub>
                <m:r>
                  <m:rPr>
                    <m:sty m:val="bi"/>
                  </m:rPr>
                  <w:rPr>
                    <w:rFonts w:ascii="Cambria Math" w:hAnsi="Cambria Math" w:cs="Arial"/>
                    <w:vertAlign w:val="superscript"/>
                  </w:rPr>
                  <m:t xml:space="preserve">J- </m:t>
                </m:r>
              </m:sub>
            </m:sSub>
            <m:sSub>
              <m:sSubPr>
                <m:ctrlPr>
                  <w:rPr>
                    <w:rFonts w:ascii="Cambria Math" w:eastAsiaTheme="minorHAnsi" w:hAnsi="Cambria Math" w:cs="Arial"/>
                    <w:b/>
                    <w:bCs/>
                    <w:i/>
                    <w:kern w:val="2"/>
                    <w:vertAlign w:val="superscript"/>
                    <w:lang w:val="en-IN" w:bidi="gu-IN"/>
                    <w14:ligatures w14:val="standardContextual"/>
                  </w:rPr>
                </m:ctrlPr>
              </m:sSubPr>
              <m:e>
                <m:r>
                  <m:rPr>
                    <m:sty m:val="bi"/>
                  </m:rPr>
                  <w:rPr>
                    <w:rFonts w:ascii="Cambria Math" w:hAnsi="Cambria Math" w:cs="Arial"/>
                    <w:vertAlign w:val="superscript"/>
                  </w:rPr>
                  <m:t>y</m:t>
                </m:r>
              </m:e>
              <m:sub>
                <m:r>
                  <m:rPr>
                    <m:sty m:val="bi"/>
                  </m:rPr>
                  <w:rPr>
                    <w:rFonts w:ascii="Cambria Math" w:hAnsi="Cambria Math" w:cs="Arial"/>
                    <w:vertAlign w:val="superscript"/>
                  </w:rPr>
                  <m:t xml:space="preserve">K </m:t>
                </m:r>
              </m:sub>
            </m:sSub>
          </m:num>
          <m:den>
            <m:r>
              <m:rPr>
                <m:sty m:val="bi"/>
              </m:rPr>
              <w:rPr>
                <w:rFonts w:ascii="Cambria Math" w:hAnsi="Cambria Math" w:cs="Arial"/>
                <w:vertAlign w:val="superscript"/>
              </w:rPr>
              <m:t>J-K</m:t>
            </m:r>
          </m:den>
        </m:f>
        <m:r>
          <w:rPr>
            <w:rFonts w:ascii="Cambria Math" w:hAnsi="Cambria Math" w:cs="Arial"/>
            <w:vertAlign w:val="superscript"/>
          </w:rPr>
          <m:t xml:space="preserve">    </m:t>
        </m:r>
      </m:oMath>
      <w:r w:rsidRPr="00B360CC">
        <w:rPr>
          <w:rFonts w:ascii="Arial" w:eastAsiaTheme="minorEastAsia" w:hAnsi="Arial" w:cs="Arial"/>
          <w:bCs/>
        </w:rPr>
        <w:t>for i= 1,2,3… N</w:t>
      </w:r>
    </w:p>
    <w:p w14:paraId="1E969A59" w14:textId="77777777"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 xml:space="preserve">Here, </w:t>
      </w:r>
      <w:proofErr w:type="spellStart"/>
      <w:r w:rsidRPr="00B360CC">
        <w:rPr>
          <w:rFonts w:ascii="Arial" w:hAnsi="Arial" w:cs="Arial"/>
          <w:sz w:val="20"/>
          <w:szCs w:val="20"/>
        </w:rPr>
        <w:t>y</w:t>
      </w:r>
      <w:r w:rsidRPr="00B360CC">
        <w:rPr>
          <w:rFonts w:ascii="Arial" w:hAnsi="Arial" w:cs="Arial"/>
          <w:sz w:val="20"/>
          <w:szCs w:val="20"/>
          <w:vertAlign w:val="subscript"/>
        </w:rPr>
        <w:t>j</w:t>
      </w:r>
      <w:proofErr w:type="spellEnd"/>
      <w:r w:rsidRPr="00B360CC">
        <w:rPr>
          <w:rFonts w:ascii="Arial" w:hAnsi="Arial" w:cs="Arial"/>
          <w:sz w:val="20"/>
          <w:szCs w:val="20"/>
          <w:vertAlign w:val="subscript"/>
        </w:rPr>
        <w:t xml:space="preserve"> </w:t>
      </w:r>
      <w:r w:rsidRPr="00B360CC">
        <w:rPr>
          <w:rFonts w:ascii="Arial" w:hAnsi="Arial" w:cs="Arial"/>
          <w:sz w:val="20"/>
          <w:szCs w:val="20"/>
        </w:rPr>
        <w:t xml:space="preserve">and </w:t>
      </w:r>
      <w:proofErr w:type="spellStart"/>
      <w:r w:rsidRPr="00B360CC">
        <w:rPr>
          <w:rFonts w:ascii="Arial" w:hAnsi="Arial" w:cs="Arial"/>
          <w:sz w:val="20"/>
          <w:szCs w:val="20"/>
        </w:rPr>
        <w:t>y</w:t>
      </w:r>
      <w:r w:rsidRPr="00B360CC">
        <w:rPr>
          <w:rFonts w:ascii="Arial" w:hAnsi="Arial" w:cs="Arial"/>
          <w:sz w:val="20"/>
          <w:szCs w:val="20"/>
          <w:vertAlign w:val="subscript"/>
        </w:rPr>
        <w:t>k</w:t>
      </w:r>
      <w:proofErr w:type="spellEnd"/>
      <w:r w:rsidRPr="00B360CC">
        <w:rPr>
          <w:rFonts w:ascii="Arial" w:hAnsi="Arial" w:cs="Arial"/>
          <w:sz w:val="20"/>
          <w:szCs w:val="20"/>
        </w:rPr>
        <w:t xml:space="preserve"> are the data values at time j and k (j &gt; k), respectively. The median of these N values of Ti is the Sen’s slope estimator, which is defined as follows:</w:t>
      </w:r>
    </w:p>
    <w:p w14:paraId="12ABFAD7" w14:textId="77777777" w:rsidR="00B360CC" w:rsidRPr="00B360CC" w:rsidRDefault="00B360CC" w:rsidP="00B360CC">
      <w:pPr>
        <w:jc w:val="center"/>
        <w:rPr>
          <w:rFonts w:ascii="Arial" w:eastAsiaTheme="minorEastAsia" w:hAnsi="Arial" w:cs="Arial"/>
          <w:b/>
        </w:rPr>
      </w:pPr>
      <w:r w:rsidRPr="00B360CC">
        <w:rPr>
          <w:rFonts w:ascii="Arial" w:hAnsi="Arial" w:cs="Arial"/>
        </w:rPr>
        <w:t>β</w:t>
      </w:r>
      <w:r w:rsidRPr="00B360CC">
        <w:rPr>
          <w:rFonts w:ascii="Arial" w:eastAsiaTheme="minorEastAsia" w:hAnsi="Arial" w:cs="Arial"/>
          <w:b/>
        </w:rPr>
        <w:t xml:space="preserve"> </w:t>
      </w:r>
      <m:oMath>
        <m:r>
          <m:rPr>
            <m:sty m:val="bi"/>
          </m:rPr>
          <w:rPr>
            <w:rFonts w:ascii="Cambria Math" w:eastAsiaTheme="minorEastAsia" w:hAnsi="Cambria Math" w:cs="Arial"/>
          </w:rPr>
          <m:t xml:space="preserve">= </m:t>
        </m:r>
        <m:d>
          <m:dPr>
            <m:begChr m:val="{"/>
            <m:endChr m:val="}"/>
            <m:ctrlPr>
              <w:rPr>
                <w:rFonts w:ascii="Cambria Math" w:eastAsiaTheme="minorEastAsia" w:hAnsi="Cambria Math" w:cs="Arial"/>
                <w:b/>
                <w:i/>
              </w:rPr>
            </m:ctrlPr>
          </m:dPr>
          <m:e>
            <m:r>
              <m:rPr>
                <m:sty m:val="bi"/>
              </m:rPr>
              <w:rPr>
                <w:rFonts w:ascii="Cambria Math" w:eastAsiaTheme="minorEastAsia" w:hAnsi="Cambria Math" w:cs="Arial"/>
              </w:rPr>
              <m:t xml:space="preserve"> </m:t>
            </m:r>
            <m:eqArr>
              <m:eqArrPr>
                <m:ctrlPr>
                  <w:rPr>
                    <w:rFonts w:ascii="Cambria Math" w:eastAsiaTheme="minorEastAsia" w:hAnsi="Cambria Math" w:cs="Arial"/>
                    <w:b/>
                    <w:i/>
                  </w:rPr>
                </m:ctrlPr>
              </m:eqArrPr>
              <m:e>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N+1</m:t>
                        </m:r>
                      </m:num>
                      <m:den>
                        <m:r>
                          <m:rPr>
                            <m:sty m:val="bi"/>
                          </m:rPr>
                          <w:rPr>
                            <w:rFonts w:ascii="Cambria Math" w:eastAsiaTheme="minorEastAsia" w:hAnsi="Cambria Math" w:cs="Arial"/>
                          </w:rPr>
                          <m:t>2</m:t>
                        </m:r>
                      </m:den>
                    </m:f>
                  </m:sub>
                </m:sSub>
                <m:r>
                  <m:rPr>
                    <m:sty m:val="bi"/>
                  </m:rPr>
                  <w:rPr>
                    <w:rFonts w:ascii="Cambria Math" w:eastAsiaTheme="minorEastAsia" w:hAnsi="Cambria Math" w:cs="Arial"/>
                  </w:rPr>
                  <m:t xml:space="preserve">        N is odd,</m:t>
                </m:r>
              </m:e>
              <m:e>
                <m:f>
                  <m:fPr>
                    <m:ctrlPr>
                      <w:rPr>
                        <w:rFonts w:ascii="Cambria Math" w:eastAsiaTheme="minorEastAsia" w:hAnsi="Cambria Math" w:cs="Arial"/>
                        <w:b/>
                        <w:i/>
                      </w:rPr>
                    </m:ctrlPr>
                  </m:fPr>
                  <m:num>
                    <m:r>
                      <m:rPr>
                        <m:sty m:val="bi"/>
                      </m:rPr>
                      <w:rPr>
                        <w:rFonts w:ascii="Cambria Math" w:eastAsiaTheme="minorEastAsia" w:hAnsi="Cambria Math" w:cs="Arial"/>
                      </w:rPr>
                      <m:t>1</m:t>
                    </m:r>
                  </m:num>
                  <m:den>
                    <m:r>
                      <m:rPr>
                        <m:sty m:val="bi"/>
                      </m:rPr>
                      <w:rPr>
                        <w:rFonts w:ascii="Cambria Math" w:eastAsiaTheme="minorEastAsia" w:hAnsi="Cambria Math" w:cs="Arial"/>
                      </w:rPr>
                      <m:t>2</m:t>
                    </m:r>
                  </m:den>
                </m:f>
                <m:r>
                  <m:rPr>
                    <m:sty m:val="bi"/>
                  </m:rPr>
                  <w:rPr>
                    <w:rFonts w:ascii="Cambria Math" w:eastAsiaTheme="minorEastAsia" w:hAnsi="Cambria Math" w:cs="Arial"/>
                  </w:rPr>
                  <m:t xml:space="preserve"> </m:t>
                </m:r>
                <m:d>
                  <m:dPr>
                    <m:ctrlPr>
                      <w:rPr>
                        <w:rFonts w:ascii="Cambria Math" w:eastAsiaTheme="minorEastAsia" w:hAnsi="Cambria Math" w:cs="Arial"/>
                        <w:b/>
                        <w:i/>
                      </w:rPr>
                    </m:ctrlPr>
                  </m:dPr>
                  <m:e>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m:t>
                            </m:r>
                          </m:num>
                          <m:den>
                            <m:r>
                              <m:rPr>
                                <m:sty m:val="bi"/>
                              </m:rPr>
                              <w:rPr>
                                <w:rFonts w:ascii="Cambria Math" w:eastAsiaTheme="minorEastAsia" w:hAnsi="Cambria Math" w:cs="Arial"/>
                              </w:rPr>
                              <m:t>2</m:t>
                            </m:r>
                          </m:den>
                        </m:f>
                      </m:sub>
                    </m:sSub>
                    <m:r>
                      <m:rPr>
                        <m:sty m:val="bi"/>
                      </m:rPr>
                      <w:rPr>
                        <w:rFonts w:ascii="Cambria Math" w:eastAsiaTheme="minorEastAsia" w:hAnsi="Cambria Math" w:cs="Arial"/>
                      </w:rPr>
                      <m:t>+</m:t>
                    </m:r>
                    <m:sSub>
                      <m:sSubPr>
                        <m:ctrlPr>
                          <w:rPr>
                            <w:rFonts w:ascii="Cambria Math" w:eastAsiaTheme="minorEastAsia" w:hAnsi="Cambria Math" w:cs="Arial"/>
                            <w:b/>
                            <w:i/>
                          </w:rPr>
                        </m:ctrlPr>
                      </m:sSubPr>
                      <m:e>
                        <m:r>
                          <m:rPr>
                            <m:sty m:val="bi"/>
                          </m:rPr>
                          <w:rPr>
                            <w:rFonts w:ascii="Cambria Math" w:eastAsiaTheme="minorEastAsia" w:hAnsi="Cambria Math" w:cs="Arial"/>
                          </w:rPr>
                          <m:t>T</m:t>
                        </m:r>
                      </m:e>
                      <m:sub>
                        <m:f>
                          <m:fPr>
                            <m:ctrlPr>
                              <w:rPr>
                                <w:rFonts w:ascii="Cambria Math" w:eastAsiaTheme="minorEastAsia" w:hAnsi="Cambria Math" w:cs="Arial"/>
                                <w:b/>
                                <w:i/>
                              </w:rPr>
                            </m:ctrlPr>
                          </m:fPr>
                          <m:num>
                            <m:r>
                              <m:rPr>
                                <m:sty m:val="bi"/>
                              </m:rPr>
                              <w:rPr>
                                <w:rFonts w:ascii="Cambria Math" w:eastAsiaTheme="minorEastAsia" w:hAnsi="Cambria Math" w:cs="Arial"/>
                              </w:rPr>
                              <m:t>N+2</m:t>
                            </m:r>
                          </m:num>
                          <m:den>
                            <m:r>
                              <m:rPr>
                                <m:sty m:val="bi"/>
                              </m:rPr>
                              <w:rPr>
                                <w:rFonts w:ascii="Cambria Math" w:eastAsiaTheme="minorEastAsia" w:hAnsi="Cambria Math" w:cs="Arial"/>
                              </w:rPr>
                              <m:t>2</m:t>
                            </m:r>
                          </m:den>
                        </m:f>
                      </m:sub>
                    </m:sSub>
                  </m:e>
                </m:d>
                <m:r>
                  <m:rPr>
                    <m:sty m:val="bi"/>
                  </m:rPr>
                  <w:rPr>
                    <w:rFonts w:ascii="Cambria Math" w:eastAsiaTheme="minorEastAsia" w:hAnsi="Cambria Math" w:cs="Arial"/>
                  </w:rPr>
                  <m:t xml:space="preserve">  N is even </m:t>
                </m:r>
              </m:e>
            </m:eqArr>
          </m:e>
        </m:d>
      </m:oMath>
    </w:p>
    <w:p w14:paraId="6AC2BE8E" w14:textId="77777777" w:rsidR="00B360CC" w:rsidRPr="00B360CC" w:rsidRDefault="00B360CC" w:rsidP="001354FC">
      <w:pPr>
        <w:pStyle w:val="NormalWeb"/>
        <w:jc w:val="both"/>
        <w:rPr>
          <w:rFonts w:ascii="Arial" w:hAnsi="Arial" w:cs="Arial"/>
          <w:sz w:val="20"/>
          <w:szCs w:val="20"/>
        </w:rPr>
      </w:pPr>
      <w:r w:rsidRPr="00B360CC">
        <w:rPr>
          <w:rFonts w:ascii="Arial" w:hAnsi="Arial" w:cs="Arial"/>
          <w:sz w:val="20"/>
          <w:szCs w:val="20"/>
        </w:rPr>
        <w:t>Here, if the value of β is positive, it means that the trend is in a rising pattern, and if the value of β is negative, it means that the trend is in a declining pattern (Sen, 1968).</w:t>
      </w:r>
    </w:p>
    <w:p w14:paraId="4C152D1E" w14:textId="77777777" w:rsidR="00B360CC" w:rsidRPr="00B360CC" w:rsidRDefault="00B360CC" w:rsidP="00B360CC">
      <w:pPr>
        <w:pStyle w:val="NormalWeb"/>
        <w:ind w:firstLine="720"/>
        <w:jc w:val="both"/>
        <w:rPr>
          <w:rFonts w:ascii="Arial" w:hAnsi="Arial" w:cs="Arial"/>
          <w:sz w:val="20"/>
          <w:szCs w:val="20"/>
        </w:rPr>
      </w:pPr>
      <w:r w:rsidRPr="00B360CC">
        <w:rPr>
          <w:rFonts w:ascii="Arial" w:hAnsi="Arial" w:cs="Arial"/>
          <w:sz w:val="20"/>
          <w:szCs w:val="20"/>
        </w:rPr>
        <w:t xml:space="preserve">     </w:t>
      </w:r>
    </w:p>
    <w:p w14:paraId="6370C870" w14:textId="77777777" w:rsidR="00B360CC" w:rsidRDefault="00B360CC" w:rsidP="00B360CC">
      <w:pPr>
        <w:adjustRightInd w:val="0"/>
        <w:rPr>
          <w:rFonts w:ascii="Arial" w:eastAsiaTheme="minorHAnsi" w:hAnsi="Arial" w:cs="Arial"/>
          <w:b/>
          <w:bCs/>
          <w:color w:val="131413"/>
          <w:u w:val="single"/>
          <w:lang w:bidi="gu-IN"/>
        </w:rPr>
      </w:pPr>
      <w:r w:rsidRPr="008107BA">
        <w:rPr>
          <w:rFonts w:ascii="Arial" w:eastAsiaTheme="minorHAnsi" w:hAnsi="Arial" w:cs="Arial"/>
          <w:b/>
          <w:bCs/>
          <w:color w:val="131413"/>
          <w:u w:val="single"/>
          <w:lang w:bidi="gu-IN"/>
        </w:rPr>
        <w:t>2.2.3 Statistical models for trend analysis</w:t>
      </w:r>
    </w:p>
    <w:p w14:paraId="0880DBF6" w14:textId="77777777" w:rsidR="00956FBD" w:rsidRPr="008107BA" w:rsidRDefault="00956FBD" w:rsidP="00B360CC">
      <w:pPr>
        <w:adjustRightInd w:val="0"/>
        <w:rPr>
          <w:rFonts w:ascii="Arial" w:eastAsiaTheme="minorHAnsi" w:hAnsi="Arial" w:cs="Arial"/>
          <w:b/>
          <w:bCs/>
          <w:color w:val="131413"/>
          <w:u w:val="single"/>
          <w:lang w:bidi="gu-IN"/>
        </w:rPr>
      </w:pPr>
    </w:p>
    <w:p w14:paraId="78C66A25" w14:textId="77777777" w:rsidR="00B360CC" w:rsidRDefault="00B360CC" w:rsidP="001354FC">
      <w:pPr>
        <w:adjustRightInd w:val="0"/>
        <w:jc w:val="both"/>
        <w:rPr>
          <w:rFonts w:ascii="Arial" w:hAnsi="Arial" w:cs="Arial"/>
        </w:rPr>
      </w:pPr>
      <w:r w:rsidRPr="00B360CC">
        <w:rPr>
          <w:rFonts w:ascii="Arial" w:eastAsiaTheme="minorHAnsi" w:hAnsi="Arial" w:cs="Arial"/>
          <w:color w:val="131413"/>
          <w:lang w:bidi="gu-IN"/>
        </w:rPr>
        <w:t xml:space="preserve">In order to analyze the trend pattern in export of groundnut, the trend values will be computed by fitting linear, exponential and quadratic models </w:t>
      </w:r>
      <w:r w:rsidRPr="00B360CC">
        <w:rPr>
          <w:rFonts w:ascii="Arial" w:hAnsi="Arial" w:cs="Arial"/>
        </w:rPr>
        <w:t>(Arunachalam and Balakrishnan, 2012).</w:t>
      </w:r>
    </w:p>
    <w:p w14:paraId="1EDB8E5C" w14:textId="77777777" w:rsidR="00956FBD" w:rsidRPr="00B360CC" w:rsidRDefault="00956FBD" w:rsidP="001354FC">
      <w:pPr>
        <w:adjustRightInd w:val="0"/>
        <w:jc w:val="both"/>
        <w:rPr>
          <w:rFonts w:ascii="Arial" w:eastAsiaTheme="minorHAnsi" w:hAnsi="Arial" w:cs="Arial"/>
          <w:color w:val="131413"/>
          <w:lang w:bidi="gu-IN"/>
        </w:rPr>
      </w:pPr>
    </w:p>
    <w:p w14:paraId="6EE2F823" w14:textId="77777777" w:rsidR="00B360CC" w:rsidRPr="008107BA" w:rsidRDefault="00B360CC" w:rsidP="00B360CC">
      <w:pPr>
        <w:adjustRightInd w:val="0"/>
        <w:rPr>
          <w:rFonts w:ascii="Arial" w:eastAsiaTheme="minorHAnsi" w:hAnsi="Arial" w:cs="Arial"/>
          <w:b/>
          <w:bCs/>
          <w:i/>
          <w:iCs/>
          <w:color w:val="131413"/>
          <w:lang w:bidi="gu-IN"/>
        </w:rPr>
      </w:pPr>
      <w:r w:rsidRPr="008107BA">
        <w:rPr>
          <w:rFonts w:ascii="Arial" w:eastAsiaTheme="minorHAnsi" w:hAnsi="Arial" w:cs="Arial"/>
          <w:b/>
          <w:bCs/>
          <w:i/>
          <w:iCs/>
          <w:color w:val="131413"/>
          <w:lang w:bidi="gu-IN"/>
        </w:rPr>
        <w:t>2.2.3.1 Linear Model</w:t>
      </w:r>
    </w:p>
    <w:p w14:paraId="145649BC" w14:textId="77777777" w:rsidR="00B360CC" w:rsidRPr="00B360CC" w:rsidRDefault="00B360CC" w:rsidP="00B360CC">
      <w:pPr>
        <w:adjustRightInd w:val="0"/>
        <w:jc w:val="center"/>
        <w:rPr>
          <w:rFonts w:ascii="Arial" w:eastAsiaTheme="minorHAnsi" w:hAnsi="Arial" w:cs="Arial"/>
          <w:color w:val="131413"/>
          <w:lang w:bidi="gu-IN"/>
        </w:rPr>
      </w:pPr>
      <w:proofErr w:type="spellStart"/>
      <w:r w:rsidRPr="00B360CC">
        <w:rPr>
          <w:rFonts w:ascii="Arial" w:eastAsiaTheme="minorHAnsi" w:hAnsi="Arial" w:cs="Arial"/>
          <w:b/>
          <w:bCs/>
          <w:color w:val="131413"/>
          <w:lang w:bidi="gu-IN"/>
        </w:rPr>
        <w:t>y</w:t>
      </w:r>
      <w:r w:rsidRPr="00B360CC">
        <w:rPr>
          <w:rFonts w:ascii="Arial" w:eastAsiaTheme="minorHAnsi" w:hAnsi="Arial" w:cs="Arial"/>
          <w:b/>
          <w:bCs/>
          <w:color w:val="131413"/>
          <w:vertAlign w:val="subscript"/>
          <w:lang w:bidi="gu-IN"/>
        </w:rPr>
        <w:t>t</w:t>
      </w:r>
      <w:proofErr w:type="spellEnd"/>
      <w:r w:rsidRPr="00B360CC">
        <w:rPr>
          <w:rFonts w:ascii="Arial" w:eastAsiaTheme="minorHAnsi" w:hAnsi="Arial" w:cs="Arial"/>
          <w:b/>
          <w:bCs/>
          <w:color w:val="131413"/>
          <w:lang w:bidi="gu-IN"/>
        </w:rPr>
        <w:t xml:space="preserve"> = a + </w:t>
      </w:r>
      <w:proofErr w:type="spellStart"/>
      <w:r w:rsidRPr="00B360CC">
        <w:rPr>
          <w:rFonts w:ascii="Arial" w:eastAsiaTheme="minorHAnsi" w:hAnsi="Arial" w:cs="Arial"/>
          <w:b/>
          <w:bCs/>
          <w:color w:val="131413"/>
          <w:lang w:bidi="gu-IN"/>
        </w:rPr>
        <w:t>bt</w:t>
      </w:r>
      <w:proofErr w:type="spellEnd"/>
    </w:p>
    <w:p w14:paraId="4D575DE1" w14:textId="6B752FA4" w:rsidR="00B360CC" w:rsidRPr="00B360CC" w:rsidRDefault="009B72E5" w:rsidP="001354FC">
      <w:pPr>
        <w:adjustRightInd w:val="0"/>
        <w:jc w:val="both"/>
        <w:rPr>
          <w:rFonts w:ascii="Arial" w:hAnsi="Arial" w:cs="Arial"/>
        </w:rPr>
      </w:pPr>
      <w:r>
        <w:rPr>
          <w:rFonts w:ascii="Arial" w:hAnsi="Arial" w:cs="Arial"/>
        </w:rPr>
        <w:t>W</w:t>
      </w:r>
      <w:r w:rsidR="00B360CC" w:rsidRPr="00B360CC">
        <w:rPr>
          <w:rFonts w:ascii="Arial" w:hAnsi="Arial" w:cs="Arial"/>
        </w:rPr>
        <w:t xml:space="preserve">here </w:t>
      </w:r>
      <w:proofErr w:type="spellStart"/>
      <w:r w:rsidR="00B360CC" w:rsidRPr="00B360CC">
        <w:rPr>
          <w:rFonts w:ascii="Arial" w:eastAsiaTheme="minorHAnsi" w:hAnsi="Arial" w:cs="Arial"/>
          <w:color w:val="131413"/>
          <w:lang w:bidi="gu-IN"/>
        </w:rPr>
        <w:t>y</w:t>
      </w:r>
      <w:r w:rsidR="00B360CC" w:rsidRPr="00B360CC">
        <w:rPr>
          <w:rFonts w:ascii="Arial" w:eastAsiaTheme="minorHAnsi" w:hAnsi="Arial" w:cs="Arial"/>
          <w:color w:val="131413"/>
          <w:vertAlign w:val="subscript"/>
          <w:lang w:bidi="gu-IN"/>
        </w:rPr>
        <w:t>t</w:t>
      </w:r>
      <w:proofErr w:type="spellEnd"/>
      <w:r w:rsidR="00B360CC" w:rsidRPr="00B360CC">
        <w:rPr>
          <w:rFonts w:ascii="Arial" w:hAnsi="Arial" w:cs="Arial"/>
        </w:rPr>
        <w:t xml:space="preserve"> denotes the time series value at time </w:t>
      </w:r>
      <w:r w:rsidR="00B360CC" w:rsidRPr="00B360CC">
        <w:rPr>
          <w:rFonts w:ascii="Cambria Math" w:hAnsi="Cambria Math" w:cs="Cambria Math"/>
        </w:rPr>
        <w:t>𝑡</w:t>
      </w:r>
      <w:r w:rsidR="00B360CC" w:rsidRPr="00B360CC">
        <w:rPr>
          <w:rFonts w:ascii="Arial" w:hAnsi="Arial" w:cs="Arial"/>
        </w:rPr>
        <w:t xml:space="preserve">. The values of constants </w:t>
      </w:r>
      <w:r w:rsidR="00B360CC" w:rsidRPr="00B360CC">
        <w:rPr>
          <w:rFonts w:ascii="Cambria Math" w:hAnsi="Cambria Math" w:cs="Cambria Math"/>
        </w:rPr>
        <w:t>𝑎</w:t>
      </w:r>
      <w:r w:rsidR="00B360CC" w:rsidRPr="00B360CC">
        <w:rPr>
          <w:rFonts w:ascii="Arial" w:hAnsi="Arial" w:cs="Arial"/>
        </w:rPr>
        <w:t xml:space="preserve"> and </w:t>
      </w:r>
      <w:r w:rsidR="00B360CC" w:rsidRPr="00B360CC">
        <w:rPr>
          <w:rFonts w:ascii="Cambria Math" w:hAnsi="Cambria Math" w:cs="Cambria Math"/>
        </w:rPr>
        <w:t>𝑏</w:t>
      </w:r>
      <w:r w:rsidR="00B360CC" w:rsidRPr="00B360CC">
        <w:rPr>
          <w:rFonts w:ascii="Arial" w:hAnsi="Arial" w:cs="Arial"/>
        </w:rPr>
        <w:t xml:space="preserve"> are obtained by using the principle of least squares on solving the following normal equations:</w:t>
      </w:r>
    </w:p>
    <w:p w14:paraId="2BB95D80" w14:textId="77777777" w:rsidR="00B360CC" w:rsidRPr="00B360CC" w:rsidRDefault="00B360CC" w:rsidP="00B360CC">
      <w:pPr>
        <w:adjustRightInd w:val="0"/>
        <w:ind w:left="1440" w:firstLine="720"/>
        <w:jc w:val="both"/>
        <w:rPr>
          <w:rFonts w:ascii="Arial" w:hAnsi="Arial" w:cs="Arial"/>
        </w:rPr>
      </w:pPr>
      <m:oMathPara>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y</m:t>
              </m:r>
            </m:e>
            <m:sub>
              <m:r>
                <w:rPr>
                  <w:rFonts w:ascii="Cambria Math" w:hAnsi="Cambria Math" w:cs="Arial"/>
                </w:rPr>
                <m:t>t</m:t>
              </m:r>
            </m:sub>
          </m:sSub>
          <m:r>
            <w:rPr>
              <w:rFonts w:ascii="Cambria Math" w:hAnsi="Cambria Math" w:cs="Arial"/>
            </w:rPr>
            <m:t>=na+b∑t</m:t>
          </m:r>
        </m:oMath>
      </m:oMathPara>
    </w:p>
    <w:p w14:paraId="0144CC66" w14:textId="77777777" w:rsidR="00B360CC" w:rsidRPr="00B360CC" w:rsidRDefault="00B360CC" w:rsidP="00B360CC">
      <w:pPr>
        <w:ind w:left="1440" w:firstLine="720"/>
        <w:rPr>
          <w:rFonts w:ascii="Arial" w:hAnsi="Arial" w:cs="Arial"/>
        </w:rPr>
      </w:pPr>
      <m:oMathPara>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ty</m:t>
              </m:r>
            </m:e>
            <m:sub>
              <m:r>
                <w:rPr>
                  <w:rFonts w:ascii="Cambria Math" w:hAnsi="Cambria Math" w:cs="Arial"/>
                </w:rPr>
                <m:t>t</m:t>
              </m:r>
            </m:sub>
          </m:sSub>
          <m:r>
            <w:rPr>
              <w:rFonts w:ascii="Cambria Math" w:hAnsi="Cambria Math" w:cs="Arial"/>
            </w:rPr>
            <m:t>=a∑t+b∑</m:t>
          </m:r>
          <m:sSup>
            <m:sSupPr>
              <m:ctrlPr>
                <w:rPr>
                  <w:rFonts w:ascii="Cambria Math" w:eastAsiaTheme="minorHAnsi" w:hAnsi="Cambria Math" w:cs="Arial"/>
                  <w:i/>
                  <w:kern w:val="2"/>
                  <w:lang w:val="en-IN" w:bidi="gu-IN"/>
                  <w14:ligatures w14:val="standardContextual"/>
                </w:rPr>
              </m:ctrlPr>
            </m:sSupPr>
            <m:e>
              <m:r>
                <w:rPr>
                  <w:rFonts w:ascii="Cambria Math" w:hAnsi="Cambria Math" w:cs="Arial"/>
                </w:rPr>
                <m:t>t</m:t>
              </m:r>
            </m:e>
            <m:sup>
              <m:r>
                <w:rPr>
                  <w:rFonts w:ascii="Cambria Math" w:hAnsi="Cambria Math" w:cs="Arial"/>
                </w:rPr>
                <m:t>2</m:t>
              </m:r>
            </m:sup>
          </m:sSup>
        </m:oMath>
      </m:oMathPara>
    </w:p>
    <w:p w14:paraId="476210D0" w14:textId="77777777" w:rsidR="00B360CC" w:rsidRDefault="00B360CC" w:rsidP="001354FC">
      <w:pPr>
        <w:adjustRightInd w:val="0"/>
        <w:jc w:val="both"/>
        <w:rPr>
          <w:rFonts w:ascii="Arial" w:hAnsi="Arial" w:cs="Arial"/>
        </w:rPr>
      </w:pPr>
      <w:r w:rsidRPr="00B360CC">
        <w:rPr>
          <w:rFonts w:ascii="Arial" w:hAnsi="Arial" w:cs="Arial"/>
        </w:rPr>
        <w:t>Where, n represent the number of observed values.</w:t>
      </w:r>
    </w:p>
    <w:p w14:paraId="167C209E" w14:textId="77777777" w:rsidR="00956FBD" w:rsidRPr="00B360CC" w:rsidRDefault="00956FBD" w:rsidP="001354FC">
      <w:pPr>
        <w:adjustRightInd w:val="0"/>
        <w:jc w:val="both"/>
        <w:rPr>
          <w:rFonts w:ascii="Arial" w:hAnsi="Arial" w:cs="Arial"/>
        </w:rPr>
      </w:pPr>
    </w:p>
    <w:p w14:paraId="182BD867" w14:textId="77777777" w:rsidR="00B360CC" w:rsidRDefault="00B360CC" w:rsidP="00B360CC">
      <w:pPr>
        <w:jc w:val="both"/>
        <w:rPr>
          <w:rFonts w:ascii="Arial" w:hAnsi="Arial" w:cs="Arial"/>
          <w:b/>
          <w:bCs/>
          <w:i/>
          <w:iCs/>
        </w:rPr>
      </w:pPr>
      <w:r w:rsidRPr="008107BA">
        <w:rPr>
          <w:rFonts w:ascii="Arial" w:hAnsi="Arial" w:cs="Arial"/>
          <w:b/>
          <w:bCs/>
          <w:i/>
          <w:iCs/>
        </w:rPr>
        <w:t>2.2.3.2 Exponential model</w:t>
      </w:r>
    </w:p>
    <w:p w14:paraId="467F26D4" w14:textId="77777777" w:rsidR="00956FBD" w:rsidRPr="008107BA" w:rsidRDefault="00956FBD" w:rsidP="00B360CC">
      <w:pPr>
        <w:jc w:val="both"/>
        <w:rPr>
          <w:rFonts w:ascii="Arial" w:hAnsi="Arial" w:cs="Arial"/>
          <w:b/>
          <w:bCs/>
          <w:i/>
          <w:iCs/>
        </w:rPr>
      </w:pPr>
    </w:p>
    <w:p w14:paraId="6519A861" w14:textId="77777777" w:rsidR="00B360CC" w:rsidRPr="00B360CC" w:rsidRDefault="00B360CC" w:rsidP="00B360CC">
      <w:pPr>
        <w:jc w:val="center"/>
        <w:rPr>
          <w:rFonts w:ascii="Arial" w:hAnsi="Arial" w:cs="Arial"/>
        </w:rPr>
      </w:pPr>
      <w:proofErr w:type="spellStart"/>
      <w:r w:rsidRPr="00B360CC">
        <w:rPr>
          <w:rFonts w:ascii="Arial" w:hAnsi="Arial" w:cs="Arial"/>
          <w:b/>
          <w:bCs/>
        </w:rPr>
        <w:t>Y</w:t>
      </w:r>
      <w:r w:rsidRPr="00B360CC">
        <w:rPr>
          <w:rFonts w:ascii="Arial" w:hAnsi="Arial" w:cs="Arial"/>
          <w:b/>
          <w:bCs/>
          <w:vertAlign w:val="subscript"/>
        </w:rPr>
        <w:t>t</w:t>
      </w:r>
      <w:proofErr w:type="spellEnd"/>
      <w:r w:rsidRPr="00B360CC">
        <w:rPr>
          <w:rFonts w:ascii="Arial" w:hAnsi="Arial" w:cs="Arial"/>
          <w:b/>
          <w:bCs/>
        </w:rPr>
        <w:t xml:space="preserve">= </w:t>
      </w:r>
      <w:proofErr w:type="spellStart"/>
      <w:r w:rsidRPr="00B360CC">
        <w:rPr>
          <w:rFonts w:ascii="Arial" w:hAnsi="Arial" w:cs="Arial"/>
          <w:b/>
          <w:bCs/>
        </w:rPr>
        <w:t>ae</w:t>
      </w:r>
      <w:r w:rsidRPr="00B360CC">
        <w:rPr>
          <w:rFonts w:ascii="Arial" w:hAnsi="Arial" w:cs="Arial"/>
          <w:b/>
          <w:bCs/>
          <w:vertAlign w:val="superscript"/>
        </w:rPr>
        <w:t>bt</w:t>
      </w:r>
      <w:proofErr w:type="spellEnd"/>
    </w:p>
    <w:p w14:paraId="245D7D96" w14:textId="77777777" w:rsidR="00B360CC" w:rsidRPr="00B360CC" w:rsidRDefault="00B360CC" w:rsidP="00B360CC">
      <w:pPr>
        <w:jc w:val="both"/>
        <w:rPr>
          <w:rFonts w:ascii="Arial" w:hAnsi="Arial" w:cs="Arial"/>
        </w:rPr>
      </w:pPr>
      <w:r w:rsidRPr="00B360CC">
        <w:rPr>
          <w:rFonts w:ascii="Arial" w:hAnsi="Arial" w:cs="Arial"/>
        </w:rPr>
        <w:t xml:space="preserve">Taking natural log on both sides of above equation, we have </w:t>
      </w:r>
    </w:p>
    <w:p w14:paraId="31A7AFFF" w14:textId="77777777" w:rsidR="00B360CC" w:rsidRPr="00B360CC" w:rsidRDefault="00B360CC" w:rsidP="00B360CC">
      <w:pPr>
        <w:rPr>
          <w:rFonts w:ascii="Arial" w:hAnsi="Arial" w:cs="Arial"/>
        </w:rPr>
      </w:pPr>
      <w:r w:rsidRPr="00B360CC">
        <w:rPr>
          <w:rFonts w:ascii="Arial" w:hAnsi="Arial" w:cs="Arial"/>
        </w:rPr>
        <w:t xml:space="preserve">                        log</w:t>
      </w:r>
      <w:r w:rsidRPr="00B360CC">
        <w:rPr>
          <w:rFonts w:ascii="Arial" w:hAnsi="Arial" w:cs="Arial"/>
          <w:vertAlign w:val="subscript"/>
        </w:rPr>
        <w:t xml:space="preserve">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r w:rsidRPr="00B360CC">
        <w:rPr>
          <w:rFonts w:ascii="Arial" w:hAnsi="Arial" w:cs="Arial"/>
        </w:rPr>
        <w:t>= log</w:t>
      </w:r>
      <w:r w:rsidRPr="00B360CC">
        <w:rPr>
          <w:rFonts w:ascii="Arial" w:hAnsi="Arial" w:cs="Arial"/>
          <w:vertAlign w:val="subscript"/>
        </w:rPr>
        <w:t xml:space="preserve">e </w:t>
      </w:r>
      <w:r w:rsidRPr="00B360CC">
        <w:rPr>
          <w:rFonts w:ascii="Arial" w:hAnsi="Arial" w:cs="Arial"/>
        </w:rPr>
        <w:t xml:space="preserve">a + </w:t>
      </w:r>
      <w:proofErr w:type="spellStart"/>
      <w:r w:rsidRPr="00B360CC">
        <w:rPr>
          <w:rFonts w:ascii="Arial" w:hAnsi="Arial" w:cs="Arial"/>
        </w:rPr>
        <w:t>bt</w:t>
      </w:r>
      <w:proofErr w:type="spellEnd"/>
      <w:r w:rsidRPr="00B360CC">
        <w:rPr>
          <w:rFonts w:ascii="Arial" w:hAnsi="Arial" w:cs="Arial"/>
        </w:rPr>
        <w:t xml:space="preserve"> </w:t>
      </w:r>
      <w:proofErr w:type="spellStart"/>
      <w:r w:rsidRPr="00B360CC">
        <w:rPr>
          <w:rFonts w:ascii="Arial" w:hAnsi="Arial" w:cs="Arial"/>
        </w:rPr>
        <w:t>log</w:t>
      </w:r>
      <w:r w:rsidRPr="00B360CC">
        <w:rPr>
          <w:rFonts w:ascii="Arial" w:hAnsi="Arial" w:cs="Arial"/>
          <w:vertAlign w:val="subscript"/>
        </w:rPr>
        <w:t>e</w:t>
      </w:r>
      <w:r w:rsidRPr="00B360CC">
        <w:rPr>
          <w:rFonts w:ascii="Arial" w:hAnsi="Arial" w:cs="Arial"/>
        </w:rPr>
        <w:t>e</w:t>
      </w:r>
      <w:proofErr w:type="spellEnd"/>
    </w:p>
    <w:p w14:paraId="09178E93" w14:textId="77777777" w:rsidR="00B360CC" w:rsidRPr="00B360CC" w:rsidRDefault="00B360CC" w:rsidP="00B360CC">
      <w:pPr>
        <w:ind w:firstLine="720"/>
        <w:rPr>
          <w:rFonts w:ascii="Arial" w:hAnsi="Arial" w:cs="Arial"/>
        </w:rPr>
      </w:pPr>
      <w:r w:rsidRPr="00B360CC">
        <w:rPr>
          <w:rFonts w:ascii="Arial" w:hAnsi="Arial" w:cs="Arial"/>
        </w:rPr>
        <w:t xml:space="preserve">where, </w:t>
      </w:r>
    </w:p>
    <w:p w14:paraId="67C55512" w14:textId="77777777" w:rsidR="00B360CC" w:rsidRPr="00B360CC" w:rsidRDefault="00B360CC" w:rsidP="00B360CC">
      <w:pPr>
        <w:jc w:val="both"/>
        <w:rPr>
          <w:rFonts w:ascii="Arial" w:hAnsi="Arial" w:cs="Arial"/>
          <w:vertAlign w:val="subscript"/>
        </w:rPr>
      </w:pPr>
      <w:r w:rsidRPr="00B360CC">
        <w:rPr>
          <w:rFonts w:ascii="Arial" w:hAnsi="Arial" w:cs="Arial"/>
        </w:rPr>
        <w:t xml:space="preserv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 </w:t>
      </w:r>
      <w:r w:rsidRPr="00B360CC">
        <w:rPr>
          <w:rFonts w:ascii="Arial" w:hAnsi="Arial" w:cs="Arial"/>
        </w:rPr>
        <w:t>log</w:t>
      </w:r>
      <w:r w:rsidRPr="00B360CC">
        <w:rPr>
          <w:rFonts w:ascii="Arial" w:hAnsi="Arial" w:cs="Arial"/>
          <w:vertAlign w:val="subscript"/>
        </w:rPr>
        <w:t xml:space="preserve">e </w:t>
      </w:r>
      <w:proofErr w:type="spellStart"/>
      <w:proofErr w:type="gram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proofErr w:type="gramEnd"/>
      <w:r w:rsidRPr="00B360CC">
        <w:rPr>
          <w:rFonts w:ascii="Arial" w:hAnsi="Arial" w:cs="Arial"/>
          <w:vertAlign w:val="subscript"/>
        </w:rPr>
        <w:t xml:space="preserve"> </w:t>
      </w:r>
    </w:p>
    <w:p w14:paraId="185D922C" w14:textId="77777777" w:rsidR="00B360CC" w:rsidRPr="00B360CC" w:rsidRDefault="00B360CC" w:rsidP="00B360CC">
      <w:pPr>
        <w:jc w:val="both"/>
        <w:rPr>
          <w:rFonts w:ascii="Arial" w:hAnsi="Arial" w:cs="Arial"/>
          <w:vertAlign w:val="subscript"/>
        </w:rPr>
      </w:pPr>
      <w:r w:rsidRPr="00B360CC">
        <w:rPr>
          <w:rFonts w:ascii="Arial" w:hAnsi="Arial" w:cs="Arial"/>
        </w:rPr>
        <w:t xml:space="preserve">                        A=</w:t>
      </w:r>
      <w:r w:rsidRPr="00B360CC">
        <w:rPr>
          <w:rFonts w:ascii="Arial" w:hAnsi="Arial" w:cs="Arial"/>
          <w:vertAlign w:val="subscript"/>
        </w:rPr>
        <w:t xml:space="preserve"> </w:t>
      </w:r>
      <w:r w:rsidRPr="00B360CC">
        <w:rPr>
          <w:rFonts w:ascii="Arial" w:hAnsi="Arial" w:cs="Arial"/>
        </w:rPr>
        <w:t>log</w:t>
      </w:r>
      <w:r w:rsidRPr="00B360CC">
        <w:rPr>
          <w:rFonts w:ascii="Arial" w:hAnsi="Arial" w:cs="Arial"/>
          <w:vertAlign w:val="subscript"/>
        </w:rPr>
        <w:t xml:space="preserve">e </w:t>
      </w:r>
      <w:r w:rsidRPr="00B360CC">
        <w:rPr>
          <w:rFonts w:ascii="Arial" w:hAnsi="Arial" w:cs="Arial"/>
        </w:rPr>
        <w:t xml:space="preserve">a, and </w:t>
      </w:r>
      <w:proofErr w:type="spellStart"/>
      <w:r w:rsidRPr="00B360CC">
        <w:rPr>
          <w:rFonts w:ascii="Arial" w:hAnsi="Arial" w:cs="Arial"/>
        </w:rPr>
        <w:t>log</w:t>
      </w:r>
      <w:r w:rsidRPr="00B360CC">
        <w:rPr>
          <w:rFonts w:ascii="Arial" w:hAnsi="Arial" w:cs="Arial"/>
          <w:vertAlign w:val="subscript"/>
        </w:rPr>
        <w:t>e</w:t>
      </w:r>
      <w:r w:rsidRPr="00B360CC">
        <w:rPr>
          <w:rFonts w:ascii="Arial" w:hAnsi="Arial" w:cs="Arial"/>
        </w:rPr>
        <w:t>e</w:t>
      </w:r>
      <w:proofErr w:type="spellEnd"/>
      <w:r w:rsidRPr="00B360CC">
        <w:rPr>
          <w:rFonts w:ascii="Arial" w:hAnsi="Arial" w:cs="Arial"/>
        </w:rPr>
        <w:t xml:space="preserve"> = 1</w:t>
      </w:r>
    </w:p>
    <w:p w14:paraId="58BD5469" w14:textId="77777777" w:rsidR="00B360CC" w:rsidRPr="00B360CC" w:rsidRDefault="00B360CC" w:rsidP="00B360CC">
      <w:pPr>
        <w:jc w:val="both"/>
        <w:rPr>
          <w:rFonts w:ascii="Arial" w:hAnsi="Arial" w:cs="Arial"/>
        </w:rPr>
      </w:pPr>
      <w:r w:rsidRPr="00B360CC">
        <w:rPr>
          <w:rFonts w:ascii="Arial" w:hAnsi="Arial" w:cs="Arial"/>
        </w:rPr>
        <w:t xml:space="preserve">The normal equations for estimating the values of </w:t>
      </w:r>
      <w:r w:rsidRPr="00B360CC">
        <w:rPr>
          <w:rFonts w:ascii="Cambria Math" w:hAnsi="Cambria Math" w:cs="Cambria Math"/>
        </w:rPr>
        <w:t>𝐴</w:t>
      </w:r>
      <w:r w:rsidRPr="00B360CC">
        <w:rPr>
          <w:rFonts w:ascii="Arial" w:hAnsi="Arial" w:cs="Arial"/>
          <w:i/>
          <w:iCs/>
        </w:rPr>
        <w:t xml:space="preserve"> </w:t>
      </w:r>
      <w:r w:rsidRPr="00B360CC">
        <w:rPr>
          <w:rFonts w:ascii="Arial" w:hAnsi="Arial" w:cs="Arial"/>
        </w:rPr>
        <w:t xml:space="preserve">and </w:t>
      </w:r>
      <w:r w:rsidRPr="00B360CC">
        <w:rPr>
          <w:rFonts w:ascii="Cambria Math" w:hAnsi="Cambria Math" w:cs="Cambria Math"/>
        </w:rPr>
        <w:t>𝑏</w:t>
      </w:r>
      <w:r w:rsidRPr="00B360CC">
        <w:rPr>
          <w:rFonts w:ascii="Arial" w:hAnsi="Arial" w:cs="Arial"/>
        </w:rPr>
        <w:t xml:space="preserve"> are as follows:</w:t>
      </w:r>
    </w:p>
    <w:p w14:paraId="725C2359" w14:textId="77777777" w:rsidR="00B360CC" w:rsidRPr="00B360CC" w:rsidRDefault="00B360CC" w:rsidP="00B360CC">
      <w:pPr>
        <w:jc w:val="both"/>
        <w:rPr>
          <w:rFonts w:ascii="Arial" w:hAnsi="Arial" w:cs="Arial"/>
        </w:rPr>
      </w:pPr>
      <w:r w:rsidRPr="00B360CC">
        <w:rPr>
          <w:rFonts w:ascii="Arial" w:hAnsi="Arial" w:cs="Arial"/>
        </w:rPr>
        <w:t xml:space="preserve">                               </w:t>
      </w:r>
      <m:oMath>
        <m:r>
          <w:rPr>
            <w:rFonts w:ascii="Cambria Math" w:hAnsi="Cambria Math" w:cs="Arial"/>
          </w:rPr>
          <m:t>∑</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y</m:t>
            </m:r>
          </m:e>
          <m:sub>
            <m:r>
              <w:rPr>
                <w:rFonts w:ascii="Cambria Math" w:hAnsi="Cambria Math" w:cs="Arial"/>
              </w:rPr>
              <m:t>t</m:t>
            </m:r>
          </m:sub>
        </m:sSub>
        <m:r>
          <w:rPr>
            <w:rFonts w:ascii="Cambria Math" w:hAnsi="Cambria Math" w:cs="Arial"/>
          </w:rPr>
          <m:t>=nA+b∑t</m:t>
        </m:r>
      </m:oMath>
      <w:r w:rsidRPr="00B360CC">
        <w:rPr>
          <w:rFonts w:ascii="Arial" w:hAnsi="Arial" w:cs="Arial"/>
          <w:i/>
        </w:rPr>
        <w:br/>
      </w:r>
      <m:oMath>
        <m:r>
          <w:rPr>
            <w:rFonts w:ascii="Cambria Math" w:hAnsi="Cambria Math" w:cs="Arial"/>
          </w:rPr>
          <m:t xml:space="preserve">                                  ∑</m:t>
        </m:r>
        <m:sSub>
          <m:sSubPr>
            <m:ctrlPr>
              <w:rPr>
                <w:rFonts w:ascii="Cambria Math" w:eastAsiaTheme="minorHAnsi" w:hAnsi="Cambria Math" w:cs="Arial"/>
                <w:i/>
                <w:kern w:val="2"/>
                <w:lang w:val="en-IN" w:bidi="gu-IN"/>
                <w14:ligatures w14:val="standardContextual"/>
              </w:rPr>
            </m:ctrlPr>
          </m:sSubPr>
          <m:e>
            <m:r>
              <w:rPr>
                <w:rFonts w:ascii="Cambria Math" w:hAnsi="Cambria Math" w:cs="Arial"/>
              </w:rPr>
              <m:t>ty</m:t>
            </m:r>
          </m:e>
          <m:sub>
            <m:r>
              <w:rPr>
                <w:rFonts w:ascii="Cambria Math" w:hAnsi="Cambria Math" w:cs="Arial"/>
              </w:rPr>
              <m:t>t</m:t>
            </m:r>
          </m:sub>
        </m:sSub>
        <m:r>
          <w:rPr>
            <w:rFonts w:ascii="Cambria Math" w:hAnsi="Cambria Math" w:cs="Arial"/>
          </w:rPr>
          <m:t>=A∑t+b∑</m:t>
        </m:r>
        <m:sSup>
          <m:sSupPr>
            <m:ctrlPr>
              <w:rPr>
                <w:rFonts w:ascii="Cambria Math" w:eastAsiaTheme="minorHAnsi" w:hAnsi="Cambria Math" w:cs="Arial"/>
                <w:i/>
                <w:kern w:val="2"/>
                <w:lang w:val="en-IN" w:bidi="gu-IN"/>
                <w14:ligatures w14:val="standardContextual"/>
              </w:rPr>
            </m:ctrlPr>
          </m:sSupPr>
          <m:e>
            <m:r>
              <w:rPr>
                <w:rFonts w:ascii="Cambria Math" w:hAnsi="Cambria Math" w:cs="Arial"/>
              </w:rPr>
              <m:t>t</m:t>
            </m:r>
          </m:e>
          <m:sup>
            <m:r>
              <w:rPr>
                <w:rFonts w:ascii="Cambria Math" w:hAnsi="Cambria Math" w:cs="Arial"/>
              </w:rPr>
              <m:t>2</m:t>
            </m:r>
          </m:sup>
        </m:sSup>
      </m:oMath>
      <w:r w:rsidRPr="00B360CC">
        <w:rPr>
          <w:rFonts w:ascii="Arial" w:eastAsiaTheme="minorEastAsia" w:hAnsi="Arial" w:cs="Arial"/>
        </w:rPr>
        <w:tab/>
      </w:r>
    </w:p>
    <w:p w14:paraId="53C4FA0D" w14:textId="77777777" w:rsidR="00B360CC" w:rsidRPr="00B360CC" w:rsidRDefault="00B360CC" w:rsidP="00B360CC">
      <w:pPr>
        <w:jc w:val="both"/>
        <w:rPr>
          <w:rFonts w:ascii="Arial" w:hAnsi="Arial" w:cs="Arial"/>
        </w:rPr>
      </w:pPr>
      <w:r w:rsidRPr="00B360CC">
        <w:rPr>
          <w:rFonts w:ascii="Arial" w:hAnsi="Arial" w:cs="Arial"/>
        </w:rPr>
        <w:t xml:space="preserve">Finally, the value of </w:t>
      </w:r>
      <w:r w:rsidRPr="00B360CC">
        <w:rPr>
          <w:rFonts w:ascii="Cambria Math" w:hAnsi="Cambria Math" w:cs="Cambria Math"/>
        </w:rPr>
        <w:t>𝑎</w:t>
      </w:r>
      <w:r w:rsidRPr="00B360CC">
        <w:rPr>
          <w:rFonts w:ascii="Arial" w:hAnsi="Arial" w:cs="Arial"/>
          <w:i/>
          <w:iCs/>
        </w:rPr>
        <w:t xml:space="preserve"> </w:t>
      </w:r>
      <w:r w:rsidRPr="00B360CC">
        <w:rPr>
          <w:rFonts w:ascii="Arial" w:hAnsi="Arial" w:cs="Arial"/>
        </w:rPr>
        <w:t>is obtained on using</w:t>
      </w:r>
    </w:p>
    <w:p w14:paraId="46B9B424" w14:textId="77777777" w:rsidR="00B360CC" w:rsidRDefault="00B360CC" w:rsidP="00B360CC">
      <w:pPr>
        <w:ind w:left="720" w:firstLine="720"/>
        <w:rPr>
          <w:rFonts w:ascii="Arial" w:hAnsi="Arial" w:cs="Arial"/>
        </w:rPr>
      </w:pPr>
      <w:r w:rsidRPr="00B360CC">
        <w:rPr>
          <w:rFonts w:ascii="Arial" w:hAnsi="Arial" w:cs="Arial"/>
        </w:rPr>
        <w:t xml:space="preserve">      a = antilog (A)</w:t>
      </w:r>
    </w:p>
    <w:p w14:paraId="22F7AE46" w14:textId="77777777" w:rsidR="00956FBD" w:rsidRPr="00B360CC" w:rsidRDefault="00956FBD" w:rsidP="00B360CC">
      <w:pPr>
        <w:ind w:left="720" w:firstLine="720"/>
        <w:rPr>
          <w:rFonts w:ascii="Arial" w:hAnsi="Arial" w:cs="Arial"/>
        </w:rPr>
      </w:pPr>
    </w:p>
    <w:p w14:paraId="5D40A6BD" w14:textId="58B0358E" w:rsidR="00B360CC" w:rsidRDefault="00B360CC" w:rsidP="00B360CC">
      <w:pPr>
        <w:jc w:val="both"/>
        <w:rPr>
          <w:rFonts w:ascii="Arial" w:hAnsi="Arial" w:cs="Arial"/>
          <w:b/>
          <w:bCs/>
          <w:i/>
          <w:iCs/>
        </w:rPr>
      </w:pPr>
      <w:r w:rsidRPr="008107BA">
        <w:rPr>
          <w:rFonts w:ascii="Arial" w:hAnsi="Arial" w:cs="Arial"/>
          <w:b/>
          <w:bCs/>
          <w:i/>
          <w:iCs/>
        </w:rPr>
        <w:t>2.2.3.3 Quadratic model</w:t>
      </w:r>
    </w:p>
    <w:p w14:paraId="1E18CEFA" w14:textId="77777777" w:rsidR="00956FBD" w:rsidRPr="008107BA" w:rsidRDefault="00956FBD" w:rsidP="00B360CC">
      <w:pPr>
        <w:jc w:val="both"/>
        <w:rPr>
          <w:rFonts w:ascii="Arial" w:hAnsi="Arial" w:cs="Arial"/>
          <w:i/>
          <w:iCs/>
        </w:rPr>
      </w:pPr>
    </w:p>
    <w:p w14:paraId="14497C73" w14:textId="77777777" w:rsidR="00B360CC" w:rsidRPr="00B360CC" w:rsidRDefault="00B360CC" w:rsidP="00B360CC">
      <w:pPr>
        <w:tabs>
          <w:tab w:val="center" w:pos="4513"/>
          <w:tab w:val="left" w:pos="4956"/>
        </w:tabs>
        <w:ind w:left="720"/>
        <w:jc w:val="center"/>
        <w:rPr>
          <w:rFonts w:ascii="Arial" w:hAnsi="Arial" w:cs="Arial"/>
        </w:rPr>
      </w:pPr>
      <w:proofErr w:type="spellStart"/>
      <w:proofErr w:type="gramStart"/>
      <w:r w:rsidRPr="00B360CC">
        <w:rPr>
          <w:rFonts w:ascii="Arial" w:hAnsi="Arial" w:cs="Arial"/>
          <w:b/>
          <w:bCs/>
        </w:rPr>
        <w:t>Y</w:t>
      </w:r>
      <w:r w:rsidRPr="00B360CC">
        <w:rPr>
          <w:rFonts w:ascii="Arial" w:hAnsi="Arial" w:cs="Arial"/>
          <w:b/>
          <w:bCs/>
          <w:vertAlign w:val="subscript"/>
        </w:rPr>
        <w:t>t</w:t>
      </w:r>
      <w:proofErr w:type="spellEnd"/>
      <w:r w:rsidRPr="00B360CC">
        <w:rPr>
          <w:rFonts w:ascii="Arial" w:hAnsi="Arial" w:cs="Arial"/>
          <w:b/>
          <w:bCs/>
          <w:vertAlign w:val="subscript"/>
        </w:rPr>
        <w:t xml:space="preserve">  </w:t>
      </w:r>
      <w:r w:rsidRPr="00B360CC">
        <w:rPr>
          <w:rFonts w:ascii="Arial" w:hAnsi="Arial" w:cs="Arial"/>
          <w:b/>
          <w:bCs/>
        </w:rPr>
        <w:t>=</w:t>
      </w:r>
      <w:proofErr w:type="gramEnd"/>
      <w:r w:rsidRPr="00B360CC">
        <w:rPr>
          <w:rFonts w:ascii="Arial" w:hAnsi="Arial" w:cs="Arial"/>
          <w:b/>
          <w:bCs/>
        </w:rPr>
        <w:t xml:space="preserve"> b</w:t>
      </w:r>
      <w:r w:rsidRPr="00B360CC">
        <w:rPr>
          <w:rFonts w:ascii="Arial" w:hAnsi="Arial" w:cs="Arial"/>
          <w:b/>
          <w:bCs/>
          <w:vertAlign w:val="subscript"/>
        </w:rPr>
        <w:t xml:space="preserve">0 </w:t>
      </w:r>
      <w:r w:rsidRPr="00B360CC">
        <w:rPr>
          <w:rFonts w:ascii="Arial" w:hAnsi="Arial" w:cs="Arial"/>
          <w:b/>
          <w:bCs/>
        </w:rPr>
        <w:t>+b</w:t>
      </w:r>
      <w:r w:rsidRPr="00B360CC">
        <w:rPr>
          <w:rFonts w:ascii="Arial" w:hAnsi="Arial" w:cs="Arial"/>
          <w:b/>
          <w:bCs/>
          <w:vertAlign w:val="subscript"/>
        </w:rPr>
        <w:t>1</w:t>
      </w:r>
      <w:r w:rsidRPr="00B360CC">
        <w:rPr>
          <w:rFonts w:ascii="Arial" w:hAnsi="Arial" w:cs="Arial"/>
          <w:b/>
          <w:bCs/>
        </w:rPr>
        <w:t>t + b</w:t>
      </w:r>
      <w:r w:rsidRPr="00B360CC">
        <w:rPr>
          <w:rFonts w:ascii="Arial" w:hAnsi="Arial" w:cs="Arial"/>
          <w:b/>
          <w:bCs/>
          <w:vertAlign w:val="subscript"/>
        </w:rPr>
        <w:t>2</w:t>
      </w:r>
      <w:r w:rsidRPr="00B360CC">
        <w:rPr>
          <w:rFonts w:ascii="Arial" w:hAnsi="Arial" w:cs="Arial"/>
          <w:b/>
          <w:bCs/>
        </w:rPr>
        <w:t>t</w:t>
      </w:r>
      <w:r w:rsidRPr="00B360CC">
        <w:rPr>
          <w:rFonts w:ascii="Arial" w:hAnsi="Arial" w:cs="Arial"/>
          <w:b/>
          <w:bCs/>
          <w:vertAlign w:val="superscript"/>
        </w:rPr>
        <w:t>2</w:t>
      </w:r>
    </w:p>
    <w:p w14:paraId="62380ECF" w14:textId="77777777" w:rsidR="00B360CC" w:rsidRPr="00B360CC" w:rsidRDefault="00B360CC" w:rsidP="00B360CC">
      <w:pPr>
        <w:tabs>
          <w:tab w:val="center" w:pos="4513"/>
          <w:tab w:val="left" w:pos="4956"/>
        </w:tabs>
        <w:rPr>
          <w:rFonts w:ascii="Arial" w:hAnsi="Arial" w:cs="Arial"/>
        </w:rPr>
      </w:pPr>
      <w:r w:rsidRPr="00B360CC">
        <w:rPr>
          <w:rFonts w:ascii="Arial" w:hAnsi="Arial" w:cs="Arial"/>
        </w:rPr>
        <w:t xml:space="preserve">            Where, </w:t>
      </w:r>
    </w:p>
    <w:p w14:paraId="1B9CFC89" w14:textId="77777777" w:rsidR="00B360CC" w:rsidRPr="00B360CC" w:rsidRDefault="00B360CC" w:rsidP="00B360CC">
      <w:pPr>
        <w:jc w:val="both"/>
        <w:rPr>
          <w:rFonts w:ascii="Arial" w:hAnsi="Arial" w:cs="Arial"/>
        </w:rPr>
      </w:pPr>
      <w:r w:rsidRPr="00B360CC">
        <w:rPr>
          <w:rFonts w:ascii="Arial" w:hAnsi="Arial" w:cs="Arial"/>
        </w:rPr>
        <w:t xml:space="preserve">                 </w:t>
      </w:r>
      <w:proofErr w:type="spellStart"/>
      <w:r w:rsidRPr="00B360CC">
        <w:rPr>
          <w:rFonts w:ascii="Arial" w:hAnsi="Arial" w:cs="Arial"/>
        </w:rPr>
        <w:t>Y</w:t>
      </w:r>
      <w:r w:rsidRPr="00B360CC">
        <w:rPr>
          <w:rFonts w:ascii="Arial" w:hAnsi="Arial" w:cs="Arial"/>
          <w:vertAlign w:val="subscript"/>
        </w:rPr>
        <w:t>t</w:t>
      </w:r>
      <w:proofErr w:type="spellEnd"/>
      <w:r w:rsidRPr="00B360CC">
        <w:rPr>
          <w:rFonts w:ascii="Arial" w:hAnsi="Arial" w:cs="Arial"/>
          <w:vertAlign w:val="subscript"/>
        </w:rPr>
        <w:t xml:space="preserve"> </w:t>
      </w:r>
      <w:r w:rsidRPr="00B360CC">
        <w:rPr>
          <w:rFonts w:ascii="Arial" w:hAnsi="Arial" w:cs="Arial"/>
        </w:rPr>
        <w:t>= the value of the data at time t</w:t>
      </w:r>
    </w:p>
    <w:p w14:paraId="7090C55F" w14:textId="77777777" w:rsidR="00B360CC" w:rsidRPr="00B360CC" w:rsidRDefault="00B360CC" w:rsidP="00B360CC">
      <w:pPr>
        <w:jc w:val="both"/>
        <w:rPr>
          <w:rFonts w:ascii="Arial" w:hAnsi="Arial" w:cs="Arial"/>
        </w:rPr>
      </w:pPr>
      <w:r w:rsidRPr="00B360CC">
        <w:rPr>
          <w:rFonts w:ascii="Arial" w:hAnsi="Arial" w:cs="Arial"/>
        </w:rPr>
        <w:t xml:space="preserve">                 b</w:t>
      </w:r>
      <w:r w:rsidRPr="00B360CC">
        <w:rPr>
          <w:rFonts w:ascii="Arial" w:hAnsi="Arial" w:cs="Arial"/>
          <w:vertAlign w:val="subscript"/>
        </w:rPr>
        <w:t>0</w:t>
      </w:r>
      <w:r w:rsidRPr="00B360CC">
        <w:rPr>
          <w:rFonts w:ascii="Arial" w:hAnsi="Arial" w:cs="Arial"/>
        </w:rPr>
        <w:t xml:space="preserve"> = A constant</w:t>
      </w:r>
    </w:p>
    <w:p w14:paraId="7CB38808" w14:textId="574BD9C4" w:rsidR="00B33A71" w:rsidRPr="00B360CC" w:rsidRDefault="00B360CC" w:rsidP="00B360CC">
      <w:pPr>
        <w:jc w:val="both"/>
        <w:rPr>
          <w:rFonts w:ascii="Arial" w:hAnsi="Arial" w:cs="Arial"/>
        </w:rPr>
      </w:pPr>
      <w:r w:rsidRPr="00B360CC">
        <w:rPr>
          <w:rFonts w:ascii="Arial" w:hAnsi="Arial" w:cs="Arial"/>
        </w:rPr>
        <w:t xml:space="preserve">                b</w:t>
      </w:r>
      <w:r w:rsidRPr="00B360CC">
        <w:rPr>
          <w:rFonts w:ascii="Arial" w:hAnsi="Arial" w:cs="Arial"/>
          <w:vertAlign w:val="subscript"/>
        </w:rPr>
        <w:t>1</w:t>
      </w:r>
      <w:r w:rsidRPr="00B360CC">
        <w:rPr>
          <w:rFonts w:ascii="Arial" w:hAnsi="Arial" w:cs="Arial"/>
        </w:rPr>
        <w:t xml:space="preserve"> and b</w:t>
      </w:r>
      <w:r w:rsidRPr="00B360CC">
        <w:rPr>
          <w:rFonts w:ascii="Arial" w:hAnsi="Arial" w:cs="Arial"/>
          <w:vertAlign w:val="subscript"/>
        </w:rPr>
        <w:t>2</w:t>
      </w:r>
      <w:r w:rsidRPr="00B360CC">
        <w:rPr>
          <w:rFonts w:ascii="Arial" w:hAnsi="Arial" w:cs="Arial"/>
        </w:rPr>
        <w:t xml:space="preserve"> = Coefficients for time </w:t>
      </w:r>
    </w:p>
    <w:p w14:paraId="6193AC53" w14:textId="77777777" w:rsidR="001354FC" w:rsidRDefault="001354FC" w:rsidP="002F5124">
      <w:pPr>
        <w:pStyle w:val="AbstHead"/>
        <w:spacing w:after="0"/>
        <w:jc w:val="both"/>
        <w:rPr>
          <w:rFonts w:ascii="Arial" w:hAnsi="Arial" w:cs="Arial"/>
        </w:rPr>
      </w:pPr>
    </w:p>
    <w:p w14:paraId="34F375E1" w14:textId="206EBB9B" w:rsidR="00A83E49" w:rsidRDefault="002F5124" w:rsidP="00650BD8">
      <w:pPr>
        <w:pStyle w:val="AbstHead"/>
        <w:spacing w:after="0"/>
        <w:jc w:val="both"/>
        <w:rPr>
          <w:rFonts w:ascii="Arial" w:hAnsi="Arial" w:cs="Arial"/>
        </w:rPr>
      </w:pPr>
      <w:r w:rsidRPr="00CE1BBA">
        <w:rPr>
          <w:rFonts w:ascii="Arial" w:hAnsi="Arial" w:cs="Arial"/>
        </w:rPr>
        <w:t>3. RESULT AND DISCUSSION</w:t>
      </w:r>
      <w:bookmarkStart w:id="1" w:name="_Hlk189322621"/>
    </w:p>
    <w:p w14:paraId="57725DD5" w14:textId="77777777" w:rsidR="005C68E8" w:rsidRPr="00650BD8" w:rsidRDefault="005C68E8" w:rsidP="00650BD8">
      <w:pPr>
        <w:pStyle w:val="AbstHead"/>
        <w:spacing w:after="0"/>
        <w:jc w:val="both"/>
        <w:rPr>
          <w:rFonts w:ascii="Arial" w:hAnsi="Arial" w:cs="Arial"/>
        </w:rPr>
      </w:pPr>
    </w:p>
    <w:bookmarkEnd w:id="1"/>
    <w:p w14:paraId="28123B91" w14:textId="0471FB23" w:rsidR="00650BD8" w:rsidRPr="00650BD8" w:rsidRDefault="00650BD8" w:rsidP="00650BD8">
      <w:pPr>
        <w:tabs>
          <w:tab w:val="left" w:pos="1080"/>
        </w:tabs>
        <w:jc w:val="both"/>
        <w:rPr>
          <w:rFonts w:ascii="Arial" w:hAnsi="Arial" w:cs="Arial"/>
        </w:rPr>
      </w:pPr>
      <w:r w:rsidRPr="00650BD8">
        <w:rPr>
          <w:rFonts w:ascii="Arial" w:hAnsi="Arial" w:cs="Arial"/>
        </w:rPr>
        <w:t>The data of groundnut exports from India procured from the Trade Map website covering the period from 2005 to 2024, was collected and summarized in Table 1. This table presents the descriptive statistics for two key export variables, quantity and value.</w:t>
      </w:r>
      <w:r>
        <w:rPr>
          <w:rFonts w:ascii="Arial" w:hAnsi="Arial" w:cs="Arial"/>
        </w:rPr>
        <w:t xml:space="preserve"> </w:t>
      </w:r>
      <w:r w:rsidRPr="00650BD8">
        <w:rPr>
          <w:rFonts w:ascii="Arial" w:hAnsi="Arial" w:cs="Arial"/>
        </w:rPr>
        <w:t xml:space="preserve">The quantity of groundnuts exported, measured in </w:t>
      </w:r>
      <w:proofErr w:type="spellStart"/>
      <w:r w:rsidRPr="00650BD8">
        <w:rPr>
          <w:rFonts w:ascii="Arial" w:hAnsi="Arial" w:cs="Arial"/>
        </w:rPr>
        <w:t>tonnes</w:t>
      </w:r>
      <w:proofErr w:type="spellEnd"/>
      <w:r w:rsidRPr="00650BD8">
        <w:rPr>
          <w:rFonts w:ascii="Arial" w:hAnsi="Arial" w:cs="Arial"/>
        </w:rPr>
        <w:t xml:space="preserve">, ranges from a minimum of 180,851 </w:t>
      </w:r>
      <w:proofErr w:type="spellStart"/>
      <w:r w:rsidRPr="00650BD8">
        <w:rPr>
          <w:rFonts w:ascii="Arial" w:hAnsi="Arial" w:cs="Arial"/>
        </w:rPr>
        <w:t>tonnes</w:t>
      </w:r>
      <w:proofErr w:type="spellEnd"/>
      <w:r w:rsidRPr="00650BD8">
        <w:rPr>
          <w:rFonts w:ascii="Arial" w:hAnsi="Arial" w:cs="Arial"/>
        </w:rPr>
        <w:t xml:space="preserve"> to a maximum of 760,764 </w:t>
      </w:r>
      <w:proofErr w:type="spellStart"/>
      <w:r w:rsidRPr="00650BD8">
        <w:rPr>
          <w:rFonts w:ascii="Arial" w:hAnsi="Arial" w:cs="Arial"/>
        </w:rPr>
        <w:t>tonnes</w:t>
      </w:r>
      <w:proofErr w:type="spellEnd"/>
      <w:r w:rsidRPr="00650BD8">
        <w:rPr>
          <w:rFonts w:ascii="Arial" w:hAnsi="Arial" w:cs="Arial"/>
        </w:rPr>
        <w:t xml:space="preserve">, with an average export volume of 517,134.45 </w:t>
      </w:r>
      <w:proofErr w:type="spellStart"/>
      <w:r w:rsidRPr="00650BD8">
        <w:rPr>
          <w:rFonts w:ascii="Arial" w:hAnsi="Arial" w:cs="Arial"/>
        </w:rPr>
        <w:t>tonnes</w:t>
      </w:r>
      <w:proofErr w:type="spellEnd"/>
      <w:r w:rsidRPr="00650BD8">
        <w:rPr>
          <w:rFonts w:ascii="Arial" w:hAnsi="Arial" w:cs="Arial"/>
        </w:rPr>
        <w:t xml:space="preserve">. The standard deviation of 181,845.63 </w:t>
      </w:r>
      <w:proofErr w:type="spellStart"/>
      <w:r w:rsidRPr="00650BD8">
        <w:rPr>
          <w:rFonts w:ascii="Arial" w:hAnsi="Arial" w:cs="Arial"/>
        </w:rPr>
        <w:t>tonnes</w:t>
      </w:r>
      <w:proofErr w:type="spellEnd"/>
      <w:r w:rsidRPr="00650BD8">
        <w:rPr>
          <w:rFonts w:ascii="Arial" w:hAnsi="Arial" w:cs="Arial"/>
        </w:rPr>
        <w:t xml:space="preserve"> reflects noticeable variability in the quantity exported each year, likely influenced by changes in domestic production, global demand, pricing, and policy interventions. The value of groundnut exports, measured in thousand USD, shows a wide range from a low of 109,447 thousand USD to a high of 941,047 thousand USD. The mean export value stands at 569,546.60 thousand USD, with a substantial standard deviation of 260,103.40 thousand USD, indicating significant annual fluctuations. These fluctuations may be attributed to variations in international market prices, currency exchange rates, and trade agreements. Overall, the data highlights considerable variability in both the quantity and value of groundnut exports from India over the years, pointing to the dynamic nature of the export market and its sensitivity to multiple external and internal factors.</w:t>
      </w:r>
    </w:p>
    <w:p w14:paraId="571F6D1A" w14:textId="77777777" w:rsidR="00650BD8" w:rsidRDefault="00650BD8" w:rsidP="00947364">
      <w:pPr>
        <w:tabs>
          <w:tab w:val="left" w:pos="1080"/>
        </w:tabs>
        <w:jc w:val="both"/>
        <w:rPr>
          <w:rFonts w:ascii="Arial" w:hAnsi="Arial" w:cs="Arial"/>
          <w:b/>
        </w:rPr>
      </w:pPr>
    </w:p>
    <w:p w14:paraId="63DF5255" w14:textId="23AB059B" w:rsidR="00947364" w:rsidRPr="00CE1BBA" w:rsidRDefault="00947364" w:rsidP="00947364">
      <w:pPr>
        <w:tabs>
          <w:tab w:val="left" w:pos="1080"/>
        </w:tabs>
        <w:jc w:val="both"/>
        <w:rPr>
          <w:rFonts w:ascii="Arial" w:hAnsi="Arial" w:cs="Arial"/>
          <w:b/>
          <w:bCs/>
        </w:rPr>
      </w:pPr>
      <w:r w:rsidRPr="00CE1BBA">
        <w:rPr>
          <w:rFonts w:ascii="Arial" w:hAnsi="Arial" w:cs="Arial"/>
          <w:b/>
        </w:rPr>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w:t>
      </w:r>
      <w:r w:rsidR="00650BD8" w:rsidRPr="00650BD8">
        <w:rPr>
          <w:rFonts w:ascii="Arial" w:hAnsi="Arial" w:cs="Arial"/>
          <w:b/>
          <w:bCs/>
        </w:rPr>
        <w:t>Summary statistics of groundnut exports during 2005 to 2024 from India</w:t>
      </w:r>
    </w:p>
    <w:p w14:paraId="4F5B6E47" w14:textId="77777777" w:rsidR="00947364" w:rsidRPr="00CE1BBA" w:rsidRDefault="00947364" w:rsidP="00947364">
      <w:pPr>
        <w:tabs>
          <w:tab w:val="left" w:pos="1080"/>
        </w:tabs>
        <w:jc w:val="both"/>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2"/>
        <w:gridCol w:w="1530"/>
        <w:gridCol w:w="1444"/>
        <w:gridCol w:w="1400"/>
        <w:gridCol w:w="1622"/>
      </w:tblGrid>
      <w:tr w:rsidR="00650BD8" w:rsidRPr="00650BD8" w14:paraId="4990A489" w14:textId="77777777" w:rsidTr="00650BD8">
        <w:trPr>
          <w:trHeight w:val="345"/>
        </w:trPr>
        <w:tc>
          <w:tcPr>
            <w:tcW w:w="1343" w:type="pct"/>
          </w:tcPr>
          <w:p w14:paraId="57625B56" w14:textId="77777777" w:rsidR="00650BD8" w:rsidRPr="00650BD8" w:rsidRDefault="00650BD8" w:rsidP="00650BD8">
            <w:pPr>
              <w:pStyle w:val="TableParagraph"/>
              <w:spacing w:before="80" w:line="240" w:lineRule="auto"/>
              <w:ind w:right="620"/>
              <w:jc w:val="right"/>
              <w:rPr>
                <w:rFonts w:ascii="Arial" w:hAnsi="Arial" w:cs="Arial"/>
                <w:b/>
                <w:sz w:val="20"/>
                <w:szCs w:val="20"/>
              </w:rPr>
            </w:pPr>
            <w:r w:rsidRPr="00650BD8">
              <w:rPr>
                <w:rFonts w:ascii="Arial" w:hAnsi="Arial" w:cs="Arial"/>
                <w:b/>
                <w:spacing w:val="-2"/>
                <w:sz w:val="20"/>
                <w:szCs w:val="20"/>
              </w:rPr>
              <w:t>Variable</w:t>
            </w:r>
          </w:p>
        </w:tc>
        <w:tc>
          <w:tcPr>
            <w:tcW w:w="933" w:type="pct"/>
          </w:tcPr>
          <w:p w14:paraId="7356D4EC" w14:textId="77777777" w:rsidR="00650BD8" w:rsidRPr="00650BD8" w:rsidRDefault="00650BD8" w:rsidP="00650BD8">
            <w:pPr>
              <w:pStyle w:val="TableParagraph"/>
              <w:spacing w:before="80" w:line="240" w:lineRule="auto"/>
              <w:ind w:left="9"/>
              <w:rPr>
                <w:rFonts w:ascii="Arial" w:hAnsi="Arial" w:cs="Arial"/>
                <w:b/>
                <w:sz w:val="20"/>
                <w:szCs w:val="20"/>
              </w:rPr>
            </w:pPr>
            <w:r w:rsidRPr="00650BD8">
              <w:rPr>
                <w:rFonts w:ascii="Arial" w:hAnsi="Arial" w:cs="Arial"/>
                <w:b/>
                <w:spacing w:val="-2"/>
                <w:sz w:val="20"/>
                <w:szCs w:val="20"/>
              </w:rPr>
              <w:t>Minimum</w:t>
            </w:r>
          </w:p>
        </w:tc>
        <w:tc>
          <w:tcPr>
            <w:tcW w:w="881" w:type="pct"/>
          </w:tcPr>
          <w:p w14:paraId="6533440A" w14:textId="77777777" w:rsidR="00650BD8" w:rsidRPr="00650BD8" w:rsidRDefault="00650BD8" w:rsidP="00650BD8">
            <w:pPr>
              <w:pStyle w:val="TableParagraph"/>
              <w:spacing w:before="80" w:line="240" w:lineRule="auto"/>
              <w:ind w:right="223"/>
              <w:jc w:val="right"/>
              <w:rPr>
                <w:rFonts w:ascii="Arial" w:hAnsi="Arial" w:cs="Arial"/>
                <w:b/>
                <w:sz w:val="20"/>
                <w:szCs w:val="20"/>
              </w:rPr>
            </w:pPr>
            <w:r w:rsidRPr="00650BD8">
              <w:rPr>
                <w:rFonts w:ascii="Arial" w:hAnsi="Arial" w:cs="Arial"/>
                <w:b/>
                <w:spacing w:val="-2"/>
                <w:sz w:val="20"/>
                <w:szCs w:val="20"/>
              </w:rPr>
              <w:t>Maximum</w:t>
            </w:r>
          </w:p>
        </w:tc>
        <w:tc>
          <w:tcPr>
            <w:tcW w:w="854" w:type="pct"/>
          </w:tcPr>
          <w:p w14:paraId="7AC61975" w14:textId="77777777" w:rsidR="00650BD8" w:rsidRPr="00650BD8" w:rsidRDefault="00650BD8" w:rsidP="00650BD8">
            <w:pPr>
              <w:pStyle w:val="TableParagraph"/>
              <w:spacing w:before="80" w:line="240" w:lineRule="auto"/>
              <w:ind w:left="10" w:right="3"/>
              <w:rPr>
                <w:rFonts w:ascii="Arial" w:hAnsi="Arial" w:cs="Arial"/>
                <w:b/>
                <w:sz w:val="20"/>
                <w:szCs w:val="20"/>
              </w:rPr>
            </w:pPr>
            <w:r w:rsidRPr="00650BD8">
              <w:rPr>
                <w:rFonts w:ascii="Arial" w:hAnsi="Arial" w:cs="Arial"/>
                <w:b/>
                <w:spacing w:val="-4"/>
                <w:sz w:val="20"/>
                <w:szCs w:val="20"/>
              </w:rPr>
              <w:t>Mean</w:t>
            </w:r>
          </w:p>
        </w:tc>
        <w:tc>
          <w:tcPr>
            <w:tcW w:w="989" w:type="pct"/>
          </w:tcPr>
          <w:p w14:paraId="1CCB97F0" w14:textId="77777777" w:rsidR="00650BD8" w:rsidRPr="00650BD8" w:rsidRDefault="00650BD8" w:rsidP="00650BD8">
            <w:pPr>
              <w:pStyle w:val="TableParagraph"/>
              <w:spacing w:before="80" w:line="240" w:lineRule="auto"/>
              <w:ind w:left="8"/>
              <w:rPr>
                <w:rFonts w:ascii="Arial" w:hAnsi="Arial" w:cs="Arial"/>
                <w:b/>
                <w:sz w:val="20"/>
                <w:szCs w:val="20"/>
              </w:rPr>
            </w:pPr>
            <w:r w:rsidRPr="00650BD8">
              <w:rPr>
                <w:rFonts w:ascii="Arial" w:hAnsi="Arial" w:cs="Arial"/>
                <w:b/>
                <w:sz w:val="20"/>
                <w:szCs w:val="20"/>
              </w:rPr>
              <w:t>Std.</w:t>
            </w:r>
            <w:r w:rsidRPr="00650BD8">
              <w:rPr>
                <w:rFonts w:ascii="Arial" w:hAnsi="Arial" w:cs="Arial"/>
                <w:b/>
                <w:spacing w:val="1"/>
                <w:sz w:val="20"/>
                <w:szCs w:val="20"/>
              </w:rPr>
              <w:t xml:space="preserve"> </w:t>
            </w:r>
            <w:r w:rsidRPr="00650BD8">
              <w:rPr>
                <w:rFonts w:ascii="Arial" w:hAnsi="Arial" w:cs="Arial"/>
                <w:b/>
                <w:spacing w:val="-2"/>
                <w:sz w:val="20"/>
                <w:szCs w:val="20"/>
              </w:rPr>
              <w:t>deviation</w:t>
            </w:r>
          </w:p>
        </w:tc>
      </w:tr>
      <w:tr w:rsidR="00650BD8" w:rsidRPr="00650BD8" w14:paraId="464175A2" w14:textId="77777777" w:rsidTr="001E37F6">
        <w:trPr>
          <w:trHeight w:val="611"/>
        </w:trPr>
        <w:tc>
          <w:tcPr>
            <w:tcW w:w="1343" w:type="pct"/>
            <w:vAlign w:val="center"/>
          </w:tcPr>
          <w:p w14:paraId="4D04E726" w14:textId="77777777" w:rsidR="00650BD8" w:rsidRPr="00650BD8" w:rsidRDefault="00650BD8" w:rsidP="00216840">
            <w:pPr>
              <w:pStyle w:val="TableParagraph"/>
              <w:spacing w:line="240" w:lineRule="auto"/>
              <w:ind w:right="619"/>
              <w:rPr>
                <w:rFonts w:ascii="Arial" w:hAnsi="Arial" w:cs="Arial"/>
                <w:sz w:val="20"/>
                <w:szCs w:val="20"/>
              </w:rPr>
            </w:pPr>
            <w:r w:rsidRPr="00650BD8">
              <w:rPr>
                <w:rFonts w:ascii="Arial" w:hAnsi="Arial" w:cs="Arial"/>
                <w:b/>
                <w:sz w:val="20"/>
                <w:szCs w:val="20"/>
              </w:rPr>
              <w:t>Quantity</w:t>
            </w:r>
            <w:r w:rsidRPr="00650BD8">
              <w:rPr>
                <w:rFonts w:ascii="Arial" w:hAnsi="Arial" w:cs="Arial"/>
                <w:b/>
                <w:spacing w:val="-2"/>
                <w:sz w:val="20"/>
                <w:szCs w:val="20"/>
              </w:rPr>
              <w:t>(tones)</w:t>
            </w:r>
          </w:p>
        </w:tc>
        <w:tc>
          <w:tcPr>
            <w:tcW w:w="933" w:type="pct"/>
            <w:vAlign w:val="bottom"/>
          </w:tcPr>
          <w:p w14:paraId="50246C4E" w14:textId="77777777" w:rsidR="00650BD8" w:rsidRPr="00650BD8" w:rsidRDefault="00650BD8" w:rsidP="00216840">
            <w:pPr>
              <w:pStyle w:val="TableParagraph"/>
              <w:spacing w:line="240" w:lineRule="auto"/>
              <w:ind w:left="9" w:right="3"/>
              <w:rPr>
                <w:rFonts w:ascii="Arial" w:hAnsi="Arial" w:cs="Arial"/>
                <w:sz w:val="20"/>
                <w:szCs w:val="20"/>
              </w:rPr>
            </w:pPr>
            <w:r w:rsidRPr="00650BD8">
              <w:rPr>
                <w:rFonts w:ascii="Arial" w:hAnsi="Arial" w:cs="Arial"/>
                <w:color w:val="000000"/>
                <w:sz w:val="20"/>
                <w:szCs w:val="20"/>
              </w:rPr>
              <w:t>180851.000</w:t>
            </w:r>
          </w:p>
        </w:tc>
        <w:tc>
          <w:tcPr>
            <w:tcW w:w="881" w:type="pct"/>
            <w:vAlign w:val="bottom"/>
          </w:tcPr>
          <w:p w14:paraId="205BBB76" w14:textId="77777777" w:rsidR="00650BD8" w:rsidRPr="00650BD8" w:rsidRDefault="00650BD8" w:rsidP="00216840">
            <w:pPr>
              <w:pStyle w:val="TableParagraph"/>
              <w:spacing w:line="240" w:lineRule="auto"/>
              <w:ind w:right="307"/>
              <w:rPr>
                <w:rFonts w:ascii="Arial" w:hAnsi="Arial" w:cs="Arial"/>
                <w:sz w:val="20"/>
                <w:szCs w:val="20"/>
              </w:rPr>
            </w:pPr>
            <w:r w:rsidRPr="00650BD8">
              <w:rPr>
                <w:rFonts w:ascii="Arial" w:hAnsi="Arial" w:cs="Arial"/>
                <w:color w:val="000000"/>
                <w:sz w:val="20"/>
                <w:szCs w:val="20"/>
              </w:rPr>
              <w:t>760764.000</w:t>
            </w:r>
          </w:p>
        </w:tc>
        <w:tc>
          <w:tcPr>
            <w:tcW w:w="854" w:type="pct"/>
            <w:vAlign w:val="bottom"/>
          </w:tcPr>
          <w:p w14:paraId="7A337083" w14:textId="77777777" w:rsidR="00650BD8" w:rsidRPr="00650BD8" w:rsidRDefault="00650BD8" w:rsidP="00216840">
            <w:pPr>
              <w:pStyle w:val="TableParagraph"/>
              <w:spacing w:line="240" w:lineRule="auto"/>
              <w:ind w:left="10" w:right="5"/>
              <w:rPr>
                <w:rFonts w:ascii="Arial" w:hAnsi="Arial" w:cs="Arial"/>
                <w:sz w:val="20"/>
                <w:szCs w:val="20"/>
              </w:rPr>
            </w:pPr>
            <w:r w:rsidRPr="00650BD8">
              <w:rPr>
                <w:rFonts w:ascii="Arial" w:hAnsi="Arial" w:cs="Arial"/>
                <w:color w:val="000000"/>
                <w:sz w:val="20"/>
                <w:szCs w:val="20"/>
              </w:rPr>
              <w:t>517134.450</w:t>
            </w:r>
          </w:p>
        </w:tc>
        <w:tc>
          <w:tcPr>
            <w:tcW w:w="989" w:type="pct"/>
            <w:vAlign w:val="bottom"/>
          </w:tcPr>
          <w:p w14:paraId="227038D8" w14:textId="77777777" w:rsidR="00650BD8" w:rsidRPr="00650BD8" w:rsidRDefault="00650BD8" w:rsidP="00216840">
            <w:pPr>
              <w:pStyle w:val="TableParagraph"/>
              <w:spacing w:line="240" w:lineRule="auto"/>
              <w:ind w:left="8"/>
              <w:rPr>
                <w:rFonts w:ascii="Arial" w:hAnsi="Arial" w:cs="Arial"/>
                <w:sz w:val="20"/>
                <w:szCs w:val="20"/>
              </w:rPr>
            </w:pPr>
            <w:r w:rsidRPr="00650BD8">
              <w:rPr>
                <w:rFonts w:ascii="Arial" w:hAnsi="Arial" w:cs="Arial"/>
                <w:color w:val="000000"/>
                <w:sz w:val="20"/>
                <w:szCs w:val="20"/>
              </w:rPr>
              <w:t>181845.633</w:t>
            </w:r>
          </w:p>
        </w:tc>
      </w:tr>
      <w:tr w:rsidR="00650BD8" w:rsidRPr="00650BD8" w14:paraId="33D35627" w14:textId="77777777" w:rsidTr="001E37F6">
        <w:trPr>
          <w:trHeight w:val="474"/>
        </w:trPr>
        <w:tc>
          <w:tcPr>
            <w:tcW w:w="1343" w:type="pct"/>
          </w:tcPr>
          <w:p w14:paraId="584AA669" w14:textId="77777777" w:rsidR="00650BD8" w:rsidRPr="00650BD8" w:rsidRDefault="00650BD8" w:rsidP="00650BD8">
            <w:pPr>
              <w:pStyle w:val="TableParagraph"/>
              <w:spacing w:line="240" w:lineRule="auto"/>
              <w:ind w:left="7" w:right="2"/>
              <w:rPr>
                <w:rFonts w:ascii="Arial" w:hAnsi="Arial" w:cs="Arial"/>
                <w:b/>
                <w:sz w:val="20"/>
                <w:szCs w:val="20"/>
              </w:rPr>
            </w:pPr>
            <w:r w:rsidRPr="00650BD8">
              <w:rPr>
                <w:rFonts w:ascii="Arial" w:hAnsi="Arial" w:cs="Arial"/>
                <w:b/>
                <w:spacing w:val="-4"/>
                <w:sz w:val="20"/>
                <w:szCs w:val="20"/>
              </w:rPr>
              <w:t xml:space="preserve">   Value</w:t>
            </w:r>
            <w:r w:rsidRPr="00650BD8">
              <w:rPr>
                <w:rFonts w:ascii="Arial" w:hAnsi="Arial" w:cs="Arial"/>
                <w:b/>
                <w:spacing w:val="-5"/>
                <w:sz w:val="20"/>
                <w:szCs w:val="20"/>
              </w:rPr>
              <w:t xml:space="preserve"> </w:t>
            </w:r>
            <w:r w:rsidRPr="00650BD8">
              <w:rPr>
                <w:rFonts w:ascii="Arial" w:hAnsi="Arial" w:cs="Arial"/>
                <w:b/>
                <w:spacing w:val="-2"/>
                <w:sz w:val="20"/>
                <w:szCs w:val="20"/>
              </w:rPr>
              <w:t>(thousand</w:t>
            </w:r>
          </w:p>
          <w:p w14:paraId="42DEECD3" w14:textId="77777777" w:rsidR="00650BD8" w:rsidRPr="00650BD8" w:rsidRDefault="00650BD8" w:rsidP="00650BD8">
            <w:pPr>
              <w:pStyle w:val="TableParagraph"/>
              <w:spacing w:line="240" w:lineRule="auto"/>
              <w:ind w:left="107"/>
              <w:jc w:val="left"/>
              <w:rPr>
                <w:rFonts w:ascii="Arial" w:hAnsi="Arial" w:cs="Arial"/>
                <w:sz w:val="20"/>
                <w:szCs w:val="20"/>
              </w:rPr>
            </w:pPr>
            <w:r w:rsidRPr="00650BD8">
              <w:rPr>
                <w:rFonts w:ascii="Arial" w:hAnsi="Arial" w:cs="Arial"/>
                <w:b/>
                <w:spacing w:val="-4"/>
                <w:sz w:val="20"/>
                <w:szCs w:val="20"/>
              </w:rPr>
              <w:t xml:space="preserve">                 USD)</w:t>
            </w:r>
          </w:p>
        </w:tc>
        <w:tc>
          <w:tcPr>
            <w:tcW w:w="933" w:type="pct"/>
            <w:vAlign w:val="bottom"/>
          </w:tcPr>
          <w:p w14:paraId="7D303CF4" w14:textId="77777777" w:rsidR="00650BD8" w:rsidRPr="00650BD8" w:rsidRDefault="00650BD8" w:rsidP="00650BD8">
            <w:pPr>
              <w:pStyle w:val="TableParagraph"/>
              <w:spacing w:line="240" w:lineRule="auto"/>
              <w:ind w:left="9" w:right="3"/>
              <w:rPr>
                <w:rFonts w:ascii="Arial" w:hAnsi="Arial" w:cs="Arial"/>
                <w:sz w:val="20"/>
                <w:szCs w:val="20"/>
              </w:rPr>
            </w:pPr>
            <w:r w:rsidRPr="00650BD8">
              <w:rPr>
                <w:rFonts w:ascii="Arial" w:hAnsi="Arial" w:cs="Arial"/>
                <w:color w:val="000000"/>
                <w:sz w:val="20"/>
                <w:szCs w:val="20"/>
              </w:rPr>
              <w:t>109447.000</w:t>
            </w:r>
          </w:p>
        </w:tc>
        <w:tc>
          <w:tcPr>
            <w:tcW w:w="881" w:type="pct"/>
            <w:vAlign w:val="bottom"/>
          </w:tcPr>
          <w:p w14:paraId="3E9F68D5" w14:textId="77777777" w:rsidR="00650BD8" w:rsidRPr="00650BD8" w:rsidRDefault="00650BD8" w:rsidP="00650BD8">
            <w:pPr>
              <w:pStyle w:val="TableParagraph"/>
              <w:spacing w:line="240" w:lineRule="auto"/>
              <w:ind w:right="247"/>
              <w:rPr>
                <w:rFonts w:ascii="Arial" w:hAnsi="Arial" w:cs="Arial"/>
                <w:sz w:val="20"/>
                <w:szCs w:val="20"/>
              </w:rPr>
            </w:pPr>
            <w:r w:rsidRPr="00650BD8">
              <w:rPr>
                <w:rFonts w:ascii="Arial" w:hAnsi="Arial" w:cs="Arial"/>
                <w:color w:val="000000"/>
                <w:sz w:val="20"/>
                <w:szCs w:val="20"/>
              </w:rPr>
              <w:t>941047.000</w:t>
            </w:r>
          </w:p>
        </w:tc>
        <w:tc>
          <w:tcPr>
            <w:tcW w:w="854" w:type="pct"/>
            <w:vAlign w:val="bottom"/>
          </w:tcPr>
          <w:p w14:paraId="04858787" w14:textId="77777777" w:rsidR="00650BD8" w:rsidRPr="00650BD8" w:rsidRDefault="00650BD8" w:rsidP="00650BD8">
            <w:pPr>
              <w:pStyle w:val="TableParagraph"/>
              <w:spacing w:line="240" w:lineRule="auto"/>
              <w:ind w:left="10" w:right="5"/>
              <w:rPr>
                <w:rFonts w:ascii="Arial" w:hAnsi="Arial" w:cs="Arial"/>
                <w:sz w:val="20"/>
                <w:szCs w:val="20"/>
              </w:rPr>
            </w:pPr>
            <w:r w:rsidRPr="00650BD8">
              <w:rPr>
                <w:rFonts w:ascii="Arial" w:hAnsi="Arial" w:cs="Arial"/>
                <w:color w:val="000000"/>
                <w:sz w:val="20"/>
                <w:szCs w:val="20"/>
              </w:rPr>
              <w:t>569546.600</w:t>
            </w:r>
          </w:p>
        </w:tc>
        <w:tc>
          <w:tcPr>
            <w:tcW w:w="989" w:type="pct"/>
            <w:vAlign w:val="bottom"/>
          </w:tcPr>
          <w:p w14:paraId="11ACF8D9" w14:textId="77777777" w:rsidR="00650BD8" w:rsidRPr="00650BD8" w:rsidRDefault="00650BD8" w:rsidP="00650BD8">
            <w:pPr>
              <w:pStyle w:val="TableParagraph"/>
              <w:spacing w:line="240" w:lineRule="auto"/>
              <w:ind w:left="8"/>
              <w:rPr>
                <w:rFonts w:ascii="Arial" w:hAnsi="Arial" w:cs="Arial"/>
                <w:sz w:val="20"/>
                <w:szCs w:val="20"/>
              </w:rPr>
            </w:pPr>
            <w:r w:rsidRPr="00650BD8">
              <w:rPr>
                <w:rFonts w:ascii="Arial" w:hAnsi="Arial" w:cs="Arial"/>
                <w:color w:val="000000"/>
                <w:sz w:val="20"/>
                <w:szCs w:val="20"/>
              </w:rPr>
              <w:t>260103.404</w:t>
            </w:r>
          </w:p>
        </w:tc>
      </w:tr>
    </w:tbl>
    <w:p w14:paraId="394537CE" w14:textId="77777777" w:rsidR="00947364" w:rsidRPr="00CE1BBA" w:rsidRDefault="00947364" w:rsidP="00D74127">
      <w:pPr>
        <w:pStyle w:val="Body"/>
        <w:spacing w:after="0"/>
        <w:rPr>
          <w:rFonts w:ascii="Arial" w:hAnsi="Arial" w:cs="Arial"/>
        </w:rPr>
      </w:pPr>
    </w:p>
    <w:p w14:paraId="6CA361C2" w14:textId="26042A74" w:rsidR="00650BD8" w:rsidRPr="00650BD8" w:rsidRDefault="00650BD8" w:rsidP="00650BD8">
      <w:pPr>
        <w:tabs>
          <w:tab w:val="left" w:pos="1080"/>
        </w:tabs>
        <w:jc w:val="both"/>
        <w:rPr>
          <w:rFonts w:ascii="Arial" w:hAnsi="Arial" w:cs="Arial"/>
        </w:rPr>
      </w:pPr>
      <w:r w:rsidRPr="00650BD8">
        <w:rPr>
          <w:rFonts w:ascii="Arial" w:hAnsi="Arial" w:cs="Arial"/>
        </w:rPr>
        <w:t xml:space="preserve">In the current study, the three non-parametric tests Pettitt’s, SNH and </w:t>
      </w:r>
      <w:proofErr w:type="spellStart"/>
      <w:r w:rsidRPr="00650BD8">
        <w:rPr>
          <w:rFonts w:ascii="Arial" w:hAnsi="Arial" w:cs="Arial"/>
        </w:rPr>
        <w:t>Buishand’s</w:t>
      </w:r>
      <w:proofErr w:type="spellEnd"/>
      <w:r w:rsidRPr="00650BD8">
        <w:rPr>
          <w:rFonts w:ascii="Arial" w:hAnsi="Arial" w:cs="Arial"/>
        </w:rPr>
        <w:t xml:space="preserve"> range tests have been applied to identify the mutation point for year wise export quantity and export value of groundnut from 2005 to 2024. From Tabl</w:t>
      </w:r>
      <w:r w:rsidR="00436689">
        <w:rPr>
          <w:rFonts w:ascii="Arial" w:hAnsi="Arial" w:cs="Arial"/>
        </w:rPr>
        <w:t>e 2</w:t>
      </w:r>
      <w:r w:rsidRPr="00650BD8">
        <w:rPr>
          <w:rFonts w:ascii="Arial" w:hAnsi="Arial" w:cs="Arial"/>
        </w:rPr>
        <w:t xml:space="preserve">, the result exhibits for the export quantity variable, Pettitt’s test, </w:t>
      </w:r>
      <w:proofErr w:type="spellStart"/>
      <w:r w:rsidRPr="00650BD8">
        <w:rPr>
          <w:rFonts w:ascii="Arial" w:hAnsi="Arial" w:cs="Arial"/>
        </w:rPr>
        <w:t>Buishand</w:t>
      </w:r>
      <w:proofErr w:type="spellEnd"/>
      <w:r w:rsidRPr="00650BD8">
        <w:rPr>
          <w:rFonts w:ascii="Arial" w:hAnsi="Arial" w:cs="Arial"/>
        </w:rPr>
        <w:t xml:space="preserve"> range tests detected a significant change point around 2010, and SNH test showed 2009 as mutation point with all tests showing statistically significant </w:t>
      </w:r>
      <w:r w:rsidRPr="00650BD8">
        <w:rPr>
          <w:rFonts w:ascii="Arial" w:hAnsi="Arial" w:cs="Arial"/>
        </w:rPr>
        <w:lastRenderedPageBreak/>
        <w:t>result at the 1 per cent level. The year 2010 thus appears to mark a notable structural shift in the quantity of groundnut exported from India. This turning point could be attributed to a combination of factors such as favorable trade policies, increased international demand, or improvements in production and processing technology. Additionally, a significant depreciation of the Indian rupee around that period might have enhanced export competitiveness.</w:t>
      </w:r>
      <w:r>
        <w:rPr>
          <w:rFonts w:ascii="Arial" w:hAnsi="Arial" w:cs="Arial"/>
        </w:rPr>
        <w:t xml:space="preserve"> </w:t>
      </w:r>
      <w:r w:rsidRPr="00650BD8">
        <w:rPr>
          <w:rFonts w:ascii="Arial" w:hAnsi="Arial" w:cs="Arial"/>
        </w:rPr>
        <w:t>Similarly, for export value, all three tests pointed to 2010 as a significant mutation year. Pettitt’s test revealed a significant change point at the 1% level (</w:t>
      </w:r>
      <w:r w:rsidR="00E8659F" w:rsidRPr="00E8659F">
        <w:rPr>
          <w:rFonts w:ascii="Arial" w:hAnsi="Arial" w:cs="Arial"/>
          <w:i/>
          <w:iCs/>
        </w:rPr>
        <w:t>P</w:t>
      </w:r>
      <w:r w:rsidRPr="00650BD8">
        <w:rPr>
          <w:rFonts w:ascii="Arial" w:hAnsi="Arial" w:cs="Arial"/>
          <w:i/>
          <w:iCs/>
        </w:rPr>
        <w:t xml:space="preserve"> = .004</w:t>
      </w:r>
      <w:r w:rsidRPr="00650BD8">
        <w:rPr>
          <w:rFonts w:ascii="Arial" w:hAnsi="Arial" w:cs="Arial"/>
        </w:rPr>
        <w:t xml:space="preserve">), whereas the </w:t>
      </w:r>
      <w:proofErr w:type="spellStart"/>
      <w:r w:rsidRPr="00650BD8">
        <w:rPr>
          <w:rFonts w:ascii="Arial" w:hAnsi="Arial" w:cs="Arial"/>
        </w:rPr>
        <w:t>Buishand</w:t>
      </w:r>
      <w:proofErr w:type="spellEnd"/>
      <w:r w:rsidRPr="00650BD8">
        <w:rPr>
          <w:rFonts w:ascii="Arial" w:hAnsi="Arial" w:cs="Arial"/>
        </w:rPr>
        <w:t xml:space="preserve"> and SNH tests both showed significance at the 1% level (</w:t>
      </w:r>
      <w:r w:rsidRPr="00650BD8">
        <w:rPr>
          <w:rFonts w:ascii="Arial" w:hAnsi="Arial" w:cs="Arial"/>
          <w:i/>
          <w:iCs/>
        </w:rPr>
        <w:t>p = .001</w:t>
      </w:r>
      <w:r w:rsidRPr="00650BD8">
        <w:rPr>
          <w:rFonts w:ascii="Arial" w:hAnsi="Arial" w:cs="Arial"/>
        </w:rPr>
        <w:t xml:space="preserve"> and </w:t>
      </w:r>
      <w:r w:rsidR="00E8659F" w:rsidRPr="00E8659F">
        <w:rPr>
          <w:rFonts w:ascii="Arial" w:hAnsi="Arial" w:cs="Arial"/>
          <w:i/>
          <w:iCs/>
        </w:rPr>
        <w:t>P</w:t>
      </w:r>
      <w:r w:rsidRPr="00650BD8">
        <w:rPr>
          <w:rFonts w:ascii="Arial" w:hAnsi="Arial" w:cs="Arial"/>
          <w:i/>
          <w:iCs/>
        </w:rPr>
        <w:t xml:space="preserve"> = .000</w:t>
      </w:r>
      <w:r w:rsidRPr="00650BD8">
        <w:rPr>
          <w:rFonts w:ascii="Arial" w:hAnsi="Arial" w:cs="Arial"/>
        </w:rPr>
        <w:t xml:space="preserve"> respectively). The alignment of mutation points in export value and quantity suggests that the underlying drivers affected both dimensions of trade. This structural break around 2010 may reflect a realignment in global market positioning of Indian groundnut exports</w:t>
      </w:r>
      <w:r>
        <w:rPr>
          <w:rFonts w:ascii="Arial" w:hAnsi="Arial" w:cs="Arial"/>
        </w:rPr>
        <w:t xml:space="preserve">, </w:t>
      </w:r>
      <w:r w:rsidRPr="00650BD8">
        <w:rPr>
          <w:rFonts w:ascii="Arial" w:hAnsi="Arial" w:cs="Arial"/>
        </w:rPr>
        <w:t>possibly due to quality improvements, entry into new markets, or policy incentives such as export subsidies and minimum support price mechanisms.</w:t>
      </w:r>
    </w:p>
    <w:p w14:paraId="05EF095C" w14:textId="49FB08C1" w:rsidR="00D17C30" w:rsidRPr="00650BD8" w:rsidRDefault="00D17C30" w:rsidP="00650BD8">
      <w:pPr>
        <w:spacing w:before="121"/>
        <w:ind w:right="91"/>
        <w:jc w:val="both"/>
        <w:rPr>
          <w:rFonts w:ascii="Arial" w:hAnsi="Arial" w:cs="Arial"/>
          <w:b/>
        </w:rPr>
      </w:pPr>
      <w:r w:rsidRPr="00650BD8">
        <w:rPr>
          <w:rFonts w:ascii="Arial" w:hAnsi="Arial" w:cs="Arial"/>
          <w:b/>
        </w:rPr>
        <w:t>Table 2 Analysis of mutation point of groundnut exports during 2005 to 2024 from India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3"/>
        <w:gridCol w:w="1133"/>
        <w:gridCol w:w="977"/>
        <w:gridCol w:w="1218"/>
        <w:gridCol w:w="977"/>
        <w:gridCol w:w="1133"/>
        <w:gridCol w:w="1207"/>
      </w:tblGrid>
      <w:tr w:rsidR="00650BD8" w:rsidRPr="00D17C30" w14:paraId="6D0918D8" w14:textId="77777777" w:rsidTr="00436689">
        <w:trPr>
          <w:trHeight w:val="368"/>
        </w:trPr>
        <w:tc>
          <w:tcPr>
            <w:tcW w:w="947" w:type="pct"/>
            <w:vMerge w:val="restart"/>
          </w:tcPr>
          <w:p w14:paraId="4E66D5CD" w14:textId="77777777" w:rsidR="00650BD8" w:rsidRPr="00D17C30" w:rsidRDefault="00650BD8" w:rsidP="00D17C30">
            <w:pPr>
              <w:pStyle w:val="TableParagraph"/>
              <w:spacing w:line="240" w:lineRule="auto"/>
              <w:jc w:val="left"/>
              <w:rPr>
                <w:rFonts w:ascii="Arial" w:hAnsi="Arial" w:cs="Arial"/>
                <w:b/>
                <w:sz w:val="20"/>
                <w:szCs w:val="20"/>
              </w:rPr>
            </w:pPr>
          </w:p>
          <w:p w14:paraId="5A24F363" w14:textId="77777777" w:rsidR="00650BD8" w:rsidRPr="00D17C30" w:rsidRDefault="00650BD8" w:rsidP="00D17C30">
            <w:pPr>
              <w:pStyle w:val="TableParagraph"/>
              <w:spacing w:before="106" w:line="240" w:lineRule="auto"/>
              <w:jc w:val="left"/>
              <w:rPr>
                <w:rFonts w:ascii="Arial" w:hAnsi="Arial" w:cs="Arial"/>
                <w:b/>
                <w:sz w:val="20"/>
                <w:szCs w:val="20"/>
              </w:rPr>
            </w:pPr>
          </w:p>
          <w:p w14:paraId="5699F59B" w14:textId="77777777" w:rsidR="00650BD8" w:rsidRPr="00D17C30" w:rsidRDefault="00650BD8" w:rsidP="00D17C30">
            <w:pPr>
              <w:pStyle w:val="TableParagraph"/>
              <w:spacing w:before="1" w:line="240" w:lineRule="auto"/>
              <w:ind w:left="386"/>
              <w:jc w:val="left"/>
              <w:rPr>
                <w:rFonts w:ascii="Arial" w:hAnsi="Arial" w:cs="Arial"/>
                <w:sz w:val="20"/>
                <w:szCs w:val="20"/>
              </w:rPr>
            </w:pPr>
            <w:r w:rsidRPr="00D17C30">
              <w:rPr>
                <w:rFonts w:ascii="Arial" w:hAnsi="Arial" w:cs="Arial"/>
                <w:spacing w:val="-2"/>
                <w:sz w:val="20"/>
                <w:szCs w:val="20"/>
              </w:rPr>
              <w:t>Variable</w:t>
            </w:r>
          </w:p>
        </w:tc>
        <w:tc>
          <w:tcPr>
            <w:tcW w:w="1287" w:type="pct"/>
            <w:gridSpan w:val="2"/>
          </w:tcPr>
          <w:p w14:paraId="6B701093" w14:textId="77777777" w:rsidR="00650BD8" w:rsidRPr="00D17C30" w:rsidRDefault="00650BD8" w:rsidP="00D17C30">
            <w:pPr>
              <w:pStyle w:val="TableParagraph"/>
              <w:spacing w:before="119" w:line="240" w:lineRule="auto"/>
              <w:ind w:left="521"/>
              <w:jc w:val="left"/>
              <w:rPr>
                <w:rFonts w:ascii="Arial" w:hAnsi="Arial" w:cs="Arial"/>
                <w:sz w:val="20"/>
                <w:szCs w:val="20"/>
              </w:rPr>
            </w:pPr>
            <w:r w:rsidRPr="00D17C30">
              <w:rPr>
                <w:rFonts w:ascii="Arial" w:hAnsi="Arial" w:cs="Arial"/>
                <w:sz w:val="20"/>
                <w:szCs w:val="20"/>
              </w:rPr>
              <w:t>Pettitt’s</w:t>
            </w:r>
            <w:r w:rsidRPr="00D17C30">
              <w:rPr>
                <w:rFonts w:ascii="Arial" w:hAnsi="Arial" w:cs="Arial"/>
                <w:spacing w:val="-4"/>
                <w:sz w:val="20"/>
                <w:szCs w:val="20"/>
              </w:rPr>
              <w:t xml:space="preserve"> test</w:t>
            </w:r>
          </w:p>
        </w:tc>
        <w:tc>
          <w:tcPr>
            <w:tcW w:w="1339" w:type="pct"/>
            <w:gridSpan w:val="2"/>
          </w:tcPr>
          <w:p w14:paraId="4538CC5E" w14:textId="77777777" w:rsidR="00650BD8" w:rsidRPr="00D17C30" w:rsidRDefault="00650BD8" w:rsidP="00D17C30">
            <w:pPr>
              <w:pStyle w:val="TableParagraph"/>
              <w:spacing w:before="119" w:line="240" w:lineRule="auto"/>
              <w:ind w:left="187"/>
              <w:jc w:val="left"/>
              <w:rPr>
                <w:rFonts w:ascii="Arial" w:hAnsi="Arial" w:cs="Arial"/>
                <w:sz w:val="20"/>
                <w:szCs w:val="20"/>
              </w:rPr>
            </w:pPr>
            <w:proofErr w:type="spellStart"/>
            <w:r w:rsidRPr="00D17C30">
              <w:rPr>
                <w:rFonts w:ascii="Arial" w:hAnsi="Arial" w:cs="Arial"/>
                <w:sz w:val="20"/>
                <w:szCs w:val="20"/>
              </w:rPr>
              <w:t>Buishand</w:t>
            </w:r>
            <w:proofErr w:type="spellEnd"/>
            <w:r w:rsidRPr="00D17C30">
              <w:rPr>
                <w:rFonts w:ascii="Arial" w:hAnsi="Arial" w:cs="Arial"/>
                <w:spacing w:val="-1"/>
                <w:sz w:val="20"/>
                <w:szCs w:val="20"/>
              </w:rPr>
              <w:t xml:space="preserve"> </w:t>
            </w:r>
            <w:r w:rsidRPr="00D17C30">
              <w:rPr>
                <w:rFonts w:ascii="Arial" w:hAnsi="Arial" w:cs="Arial"/>
                <w:sz w:val="20"/>
                <w:szCs w:val="20"/>
              </w:rPr>
              <w:t>range</w:t>
            </w:r>
            <w:r w:rsidRPr="00D17C30">
              <w:rPr>
                <w:rFonts w:ascii="Arial" w:hAnsi="Arial" w:cs="Arial"/>
                <w:spacing w:val="-2"/>
                <w:sz w:val="20"/>
                <w:szCs w:val="20"/>
              </w:rPr>
              <w:t xml:space="preserve"> </w:t>
            </w:r>
            <w:r w:rsidRPr="00D17C30">
              <w:rPr>
                <w:rFonts w:ascii="Arial" w:hAnsi="Arial" w:cs="Arial"/>
                <w:spacing w:val="-4"/>
                <w:sz w:val="20"/>
                <w:szCs w:val="20"/>
              </w:rPr>
              <w:t>test</w:t>
            </w:r>
          </w:p>
        </w:tc>
        <w:tc>
          <w:tcPr>
            <w:tcW w:w="1428" w:type="pct"/>
            <w:gridSpan w:val="2"/>
          </w:tcPr>
          <w:p w14:paraId="2F04FA75" w14:textId="77777777" w:rsidR="00650BD8" w:rsidRPr="00D17C30" w:rsidRDefault="00650BD8" w:rsidP="00D17C30">
            <w:pPr>
              <w:pStyle w:val="TableParagraph"/>
              <w:spacing w:before="119" w:line="240" w:lineRule="auto"/>
              <w:ind w:left="774"/>
              <w:jc w:val="left"/>
              <w:rPr>
                <w:rFonts w:ascii="Arial" w:hAnsi="Arial" w:cs="Arial"/>
                <w:sz w:val="20"/>
                <w:szCs w:val="20"/>
              </w:rPr>
            </w:pPr>
            <w:r w:rsidRPr="00D17C30">
              <w:rPr>
                <w:rFonts w:ascii="Arial" w:hAnsi="Arial" w:cs="Arial"/>
                <w:sz w:val="20"/>
                <w:szCs w:val="20"/>
              </w:rPr>
              <w:t>SNH</w:t>
            </w:r>
            <w:r w:rsidRPr="00D17C30">
              <w:rPr>
                <w:rFonts w:ascii="Arial" w:hAnsi="Arial" w:cs="Arial"/>
                <w:spacing w:val="-1"/>
                <w:sz w:val="20"/>
                <w:szCs w:val="20"/>
              </w:rPr>
              <w:t xml:space="preserve"> </w:t>
            </w:r>
            <w:r w:rsidRPr="00D17C30">
              <w:rPr>
                <w:rFonts w:ascii="Arial" w:hAnsi="Arial" w:cs="Arial"/>
                <w:spacing w:val="-4"/>
                <w:sz w:val="20"/>
                <w:szCs w:val="20"/>
              </w:rPr>
              <w:t>test</w:t>
            </w:r>
          </w:p>
        </w:tc>
      </w:tr>
      <w:tr w:rsidR="00650BD8" w:rsidRPr="00D17C30" w14:paraId="6AF43F07" w14:textId="77777777" w:rsidTr="00436689">
        <w:trPr>
          <w:trHeight w:val="558"/>
        </w:trPr>
        <w:tc>
          <w:tcPr>
            <w:tcW w:w="947" w:type="pct"/>
            <w:vMerge/>
            <w:tcBorders>
              <w:top w:val="nil"/>
            </w:tcBorders>
          </w:tcPr>
          <w:p w14:paraId="110AF51B" w14:textId="77777777" w:rsidR="00650BD8" w:rsidRPr="00D17C30" w:rsidRDefault="00650BD8" w:rsidP="00D17C30">
            <w:pPr>
              <w:rPr>
                <w:rFonts w:ascii="Arial" w:hAnsi="Arial" w:cs="Arial"/>
              </w:rPr>
            </w:pPr>
          </w:p>
        </w:tc>
        <w:tc>
          <w:tcPr>
            <w:tcW w:w="691" w:type="pct"/>
          </w:tcPr>
          <w:p w14:paraId="6C69D02B" w14:textId="77777777" w:rsidR="00650BD8" w:rsidRPr="00D17C30" w:rsidRDefault="00650BD8" w:rsidP="00D17C30">
            <w:pPr>
              <w:pStyle w:val="TableParagraph"/>
              <w:spacing w:before="119" w:line="240" w:lineRule="auto"/>
              <w:ind w:left="336" w:right="197" w:hanging="118"/>
              <w:jc w:val="left"/>
              <w:rPr>
                <w:rFonts w:ascii="Arial" w:hAnsi="Arial" w:cs="Arial"/>
                <w:sz w:val="20"/>
                <w:szCs w:val="20"/>
              </w:rPr>
            </w:pPr>
            <w:r w:rsidRPr="00D17C30">
              <w:rPr>
                <w:rFonts w:ascii="Arial" w:hAnsi="Arial" w:cs="Arial"/>
                <w:spacing w:val="-2"/>
                <w:sz w:val="20"/>
                <w:szCs w:val="20"/>
              </w:rPr>
              <w:t>Change point</w:t>
            </w:r>
          </w:p>
        </w:tc>
        <w:tc>
          <w:tcPr>
            <w:tcW w:w="596" w:type="pct"/>
          </w:tcPr>
          <w:p w14:paraId="3263E6C7" w14:textId="77777777" w:rsidR="00650BD8" w:rsidRPr="00D17C30" w:rsidRDefault="00650BD8" w:rsidP="00D17C30">
            <w:pPr>
              <w:pStyle w:val="TableParagraph"/>
              <w:spacing w:before="49" w:line="240" w:lineRule="auto"/>
              <w:jc w:val="left"/>
              <w:rPr>
                <w:rFonts w:ascii="Arial" w:hAnsi="Arial" w:cs="Arial"/>
                <w:b/>
                <w:sz w:val="20"/>
                <w:szCs w:val="20"/>
              </w:rPr>
            </w:pPr>
          </w:p>
          <w:p w14:paraId="3D991C29" w14:textId="07E6241B" w:rsidR="00650BD8" w:rsidRPr="00D17C30" w:rsidRDefault="00E8659F" w:rsidP="00D17C30">
            <w:pPr>
              <w:pStyle w:val="TableParagraph"/>
              <w:spacing w:line="240" w:lineRule="auto"/>
              <w:ind w:left="16" w:right="7"/>
              <w:rPr>
                <w:rFonts w:ascii="Arial" w:hAnsi="Arial" w:cs="Arial"/>
                <w:sz w:val="20"/>
                <w:szCs w:val="20"/>
              </w:rPr>
            </w:pPr>
            <w:r w:rsidRPr="00E8659F">
              <w:rPr>
                <w:rFonts w:ascii="Arial" w:hAnsi="Arial" w:cs="Arial"/>
                <w:i/>
                <w:iCs/>
                <w:spacing w:val="-2"/>
                <w:sz w:val="20"/>
                <w:szCs w:val="20"/>
              </w:rPr>
              <w:t>P</w:t>
            </w:r>
            <w:r w:rsidR="00650BD8" w:rsidRPr="00D17C30">
              <w:rPr>
                <w:rFonts w:ascii="Arial" w:hAnsi="Arial" w:cs="Arial"/>
                <w:spacing w:val="-2"/>
                <w:sz w:val="20"/>
                <w:szCs w:val="20"/>
              </w:rPr>
              <w:t>-value</w:t>
            </w:r>
          </w:p>
        </w:tc>
        <w:tc>
          <w:tcPr>
            <w:tcW w:w="743" w:type="pct"/>
          </w:tcPr>
          <w:p w14:paraId="35DA2FC1" w14:textId="77777777" w:rsidR="00650BD8" w:rsidRPr="00D17C30" w:rsidRDefault="00650BD8" w:rsidP="00D17C30">
            <w:pPr>
              <w:pStyle w:val="TableParagraph"/>
              <w:spacing w:before="119" w:line="240" w:lineRule="auto"/>
              <w:ind w:left="379" w:right="240" w:hanging="118"/>
              <w:jc w:val="left"/>
              <w:rPr>
                <w:rFonts w:ascii="Arial" w:hAnsi="Arial" w:cs="Arial"/>
                <w:sz w:val="20"/>
                <w:szCs w:val="20"/>
              </w:rPr>
            </w:pPr>
            <w:r w:rsidRPr="00D17C30">
              <w:rPr>
                <w:rFonts w:ascii="Arial" w:hAnsi="Arial" w:cs="Arial"/>
                <w:spacing w:val="-2"/>
                <w:sz w:val="20"/>
                <w:szCs w:val="20"/>
              </w:rPr>
              <w:t>Change point</w:t>
            </w:r>
          </w:p>
        </w:tc>
        <w:tc>
          <w:tcPr>
            <w:tcW w:w="596" w:type="pct"/>
          </w:tcPr>
          <w:p w14:paraId="0E66D74F" w14:textId="77777777" w:rsidR="00650BD8" w:rsidRPr="00D17C30" w:rsidRDefault="00650BD8" w:rsidP="00D17C30">
            <w:pPr>
              <w:pStyle w:val="TableParagraph"/>
              <w:spacing w:before="49" w:line="240" w:lineRule="auto"/>
              <w:jc w:val="left"/>
              <w:rPr>
                <w:rFonts w:ascii="Arial" w:hAnsi="Arial" w:cs="Arial"/>
                <w:b/>
                <w:sz w:val="20"/>
                <w:szCs w:val="20"/>
              </w:rPr>
            </w:pPr>
          </w:p>
          <w:p w14:paraId="1A5E9D29" w14:textId="28CA12C7" w:rsidR="00650BD8" w:rsidRPr="00D17C30" w:rsidRDefault="00E8659F" w:rsidP="00D17C30">
            <w:pPr>
              <w:pStyle w:val="TableParagraph"/>
              <w:spacing w:line="240" w:lineRule="auto"/>
              <w:ind w:left="16" w:right="5"/>
              <w:rPr>
                <w:rFonts w:ascii="Arial" w:hAnsi="Arial" w:cs="Arial"/>
                <w:sz w:val="20"/>
                <w:szCs w:val="20"/>
              </w:rPr>
            </w:pPr>
            <w:r w:rsidRPr="00E8659F">
              <w:rPr>
                <w:rFonts w:ascii="Arial" w:hAnsi="Arial" w:cs="Arial"/>
                <w:i/>
                <w:iCs/>
                <w:spacing w:val="-2"/>
                <w:sz w:val="20"/>
                <w:szCs w:val="20"/>
              </w:rPr>
              <w:t>P</w:t>
            </w:r>
            <w:r w:rsidR="00650BD8" w:rsidRPr="00D17C30">
              <w:rPr>
                <w:rFonts w:ascii="Arial" w:hAnsi="Arial" w:cs="Arial"/>
                <w:spacing w:val="-2"/>
                <w:sz w:val="20"/>
                <w:szCs w:val="20"/>
              </w:rPr>
              <w:t>-value</w:t>
            </w:r>
          </w:p>
        </w:tc>
        <w:tc>
          <w:tcPr>
            <w:tcW w:w="691" w:type="pct"/>
          </w:tcPr>
          <w:p w14:paraId="3ABFEEDC" w14:textId="77777777" w:rsidR="00650BD8" w:rsidRPr="00D17C30" w:rsidRDefault="00650BD8" w:rsidP="00D17C30">
            <w:pPr>
              <w:pStyle w:val="TableParagraph"/>
              <w:spacing w:before="119" w:line="240" w:lineRule="auto"/>
              <w:ind w:left="336" w:right="197" w:hanging="118"/>
              <w:jc w:val="left"/>
              <w:rPr>
                <w:rFonts w:ascii="Arial" w:hAnsi="Arial" w:cs="Arial"/>
                <w:sz w:val="20"/>
                <w:szCs w:val="20"/>
              </w:rPr>
            </w:pPr>
            <w:r w:rsidRPr="00D17C30">
              <w:rPr>
                <w:rFonts w:ascii="Arial" w:hAnsi="Arial" w:cs="Arial"/>
                <w:spacing w:val="-2"/>
                <w:sz w:val="20"/>
                <w:szCs w:val="20"/>
              </w:rPr>
              <w:t>Change point</w:t>
            </w:r>
          </w:p>
        </w:tc>
        <w:tc>
          <w:tcPr>
            <w:tcW w:w="737" w:type="pct"/>
          </w:tcPr>
          <w:p w14:paraId="703B33E7" w14:textId="77777777" w:rsidR="00650BD8" w:rsidRPr="00D17C30" w:rsidRDefault="00650BD8" w:rsidP="00D17C30">
            <w:pPr>
              <w:pStyle w:val="TableParagraph"/>
              <w:spacing w:before="49" w:line="240" w:lineRule="auto"/>
              <w:jc w:val="left"/>
              <w:rPr>
                <w:rFonts w:ascii="Arial" w:hAnsi="Arial" w:cs="Arial"/>
                <w:b/>
                <w:sz w:val="20"/>
                <w:szCs w:val="20"/>
              </w:rPr>
            </w:pPr>
          </w:p>
          <w:p w14:paraId="2A4317C9" w14:textId="1B2A6570" w:rsidR="00650BD8" w:rsidRPr="00D17C30" w:rsidRDefault="00C50918" w:rsidP="00D17C30">
            <w:pPr>
              <w:pStyle w:val="TableParagraph"/>
              <w:spacing w:line="240" w:lineRule="auto"/>
              <w:ind w:left="11" w:right="2"/>
              <w:rPr>
                <w:rFonts w:ascii="Arial" w:hAnsi="Arial" w:cs="Arial"/>
                <w:sz w:val="20"/>
                <w:szCs w:val="20"/>
              </w:rPr>
            </w:pPr>
            <w:r>
              <w:rPr>
                <w:rFonts w:ascii="Arial" w:hAnsi="Arial" w:cs="Arial"/>
                <w:i/>
                <w:iCs/>
                <w:spacing w:val="-2"/>
                <w:sz w:val="20"/>
                <w:szCs w:val="20"/>
              </w:rPr>
              <w:t>P</w:t>
            </w:r>
            <w:r w:rsidR="00650BD8" w:rsidRPr="00D17C30">
              <w:rPr>
                <w:rFonts w:ascii="Arial" w:hAnsi="Arial" w:cs="Arial"/>
                <w:spacing w:val="-2"/>
                <w:sz w:val="20"/>
                <w:szCs w:val="20"/>
              </w:rPr>
              <w:t>-value</w:t>
            </w:r>
          </w:p>
        </w:tc>
      </w:tr>
      <w:tr w:rsidR="00650BD8" w:rsidRPr="00D17C30" w14:paraId="2350DC5E" w14:textId="77777777" w:rsidTr="00436689">
        <w:trPr>
          <w:trHeight w:val="383"/>
        </w:trPr>
        <w:tc>
          <w:tcPr>
            <w:tcW w:w="947" w:type="pct"/>
          </w:tcPr>
          <w:p w14:paraId="3722D48C" w14:textId="77777777" w:rsidR="00650BD8" w:rsidRPr="00D17C30" w:rsidRDefault="00650BD8" w:rsidP="00D17C30">
            <w:pPr>
              <w:pStyle w:val="TableParagraph"/>
              <w:spacing w:before="119" w:line="240" w:lineRule="auto"/>
              <w:ind w:left="8" w:right="3"/>
              <w:rPr>
                <w:rFonts w:ascii="Arial" w:hAnsi="Arial" w:cs="Arial"/>
                <w:sz w:val="20"/>
                <w:szCs w:val="20"/>
              </w:rPr>
            </w:pPr>
            <w:r w:rsidRPr="00D17C30">
              <w:rPr>
                <w:rFonts w:ascii="Arial" w:hAnsi="Arial" w:cs="Arial"/>
                <w:sz w:val="20"/>
                <w:szCs w:val="20"/>
              </w:rPr>
              <w:t>Export quantity</w:t>
            </w:r>
          </w:p>
        </w:tc>
        <w:tc>
          <w:tcPr>
            <w:tcW w:w="691" w:type="pct"/>
          </w:tcPr>
          <w:p w14:paraId="4E40D301"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166068BB" w14:textId="35763012" w:rsidR="00650BD8" w:rsidRPr="00D17C30" w:rsidRDefault="00650BD8" w:rsidP="00D17C30">
            <w:pPr>
              <w:jc w:val="center"/>
              <w:rPr>
                <w:rFonts w:ascii="Arial" w:hAnsi="Arial" w:cs="Arial"/>
                <w:color w:val="000000"/>
                <w:lang w:val="en-IN"/>
              </w:rPr>
            </w:pPr>
            <w:r w:rsidRPr="00D17C30">
              <w:rPr>
                <w:rFonts w:ascii="Arial" w:hAnsi="Arial" w:cs="Arial"/>
                <w:color w:val="000000"/>
              </w:rPr>
              <w:t>.006</w:t>
            </w:r>
          </w:p>
        </w:tc>
        <w:tc>
          <w:tcPr>
            <w:tcW w:w="743" w:type="pct"/>
          </w:tcPr>
          <w:p w14:paraId="0B9E7FB1"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2010***</w:t>
            </w:r>
          </w:p>
        </w:tc>
        <w:tc>
          <w:tcPr>
            <w:tcW w:w="596" w:type="pct"/>
          </w:tcPr>
          <w:p w14:paraId="5A954DCA" w14:textId="63BA2738" w:rsidR="00650BD8" w:rsidRPr="00D17C30" w:rsidRDefault="00650BD8" w:rsidP="00D17C30">
            <w:pPr>
              <w:pStyle w:val="TableParagraph"/>
              <w:spacing w:before="188" w:line="240" w:lineRule="auto"/>
              <w:ind w:left="16" w:right="6"/>
              <w:rPr>
                <w:rFonts w:ascii="Arial" w:hAnsi="Arial" w:cs="Arial"/>
                <w:sz w:val="20"/>
                <w:szCs w:val="20"/>
              </w:rPr>
            </w:pPr>
            <w:r w:rsidRPr="00D17C30">
              <w:rPr>
                <w:rFonts w:ascii="Arial" w:hAnsi="Arial" w:cs="Arial"/>
                <w:spacing w:val="-2"/>
                <w:sz w:val="20"/>
                <w:szCs w:val="20"/>
              </w:rPr>
              <w:t>&lt;.0001</w:t>
            </w:r>
          </w:p>
        </w:tc>
        <w:tc>
          <w:tcPr>
            <w:tcW w:w="691" w:type="pct"/>
          </w:tcPr>
          <w:p w14:paraId="2CD629D5"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2009***</w:t>
            </w:r>
          </w:p>
        </w:tc>
        <w:tc>
          <w:tcPr>
            <w:tcW w:w="737" w:type="pct"/>
          </w:tcPr>
          <w:p w14:paraId="03F9DAF0" w14:textId="5788BADB" w:rsidR="00650BD8" w:rsidRPr="00D17C30" w:rsidRDefault="00650BD8" w:rsidP="00D17C30">
            <w:pPr>
              <w:jc w:val="center"/>
              <w:rPr>
                <w:rFonts w:ascii="Arial" w:hAnsi="Arial" w:cs="Arial"/>
                <w:color w:val="000000"/>
                <w:lang w:val="en-IN"/>
              </w:rPr>
            </w:pPr>
            <w:r w:rsidRPr="00D17C30">
              <w:rPr>
                <w:rFonts w:ascii="Arial" w:hAnsi="Arial" w:cs="Arial"/>
                <w:color w:val="000000"/>
              </w:rPr>
              <w:t>.001</w:t>
            </w:r>
          </w:p>
        </w:tc>
      </w:tr>
      <w:tr w:rsidR="00650BD8" w:rsidRPr="00D17C30" w14:paraId="254C13CF" w14:textId="77777777" w:rsidTr="00436689">
        <w:trPr>
          <w:trHeight w:val="449"/>
        </w:trPr>
        <w:tc>
          <w:tcPr>
            <w:tcW w:w="947" w:type="pct"/>
          </w:tcPr>
          <w:p w14:paraId="7022B7F2" w14:textId="77777777" w:rsidR="00650BD8" w:rsidRPr="00D17C30" w:rsidRDefault="00650BD8" w:rsidP="00D17C30">
            <w:pPr>
              <w:pStyle w:val="TableParagraph"/>
              <w:spacing w:before="119" w:line="240" w:lineRule="auto"/>
              <w:ind w:left="8"/>
              <w:rPr>
                <w:rFonts w:ascii="Arial" w:hAnsi="Arial" w:cs="Arial"/>
                <w:sz w:val="20"/>
                <w:szCs w:val="20"/>
              </w:rPr>
            </w:pPr>
            <w:r w:rsidRPr="00D17C30">
              <w:rPr>
                <w:rFonts w:ascii="Arial" w:hAnsi="Arial" w:cs="Arial"/>
                <w:sz w:val="20"/>
                <w:szCs w:val="20"/>
              </w:rPr>
              <w:t>Export value</w:t>
            </w:r>
          </w:p>
        </w:tc>
        <w:tc>
          <w:tcPr>
            <w:tcW w:w="691" w:type="pct"/>
          </w:tcPr>
          <w:p w14:paraId="7EF7A8C9"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3DE05DF5" w14:textId="121EEF58" w:rsidR="00650BD8" w:rsidRPr="005A74C5" w:rsidRDefault="00650BD8" w:rsidP="005A74C5">
            <w:pPr>
              <w:jc w:val="center"/>
              <w:rPr>
                <w:rFonts w:ascii="Arial" w:hAnsi="Arial" w:cs="Arial"/>
                <w:color w:val="000000"/>
                <w:lang w:val="en-IN"/>
              </w:rPr>
            </w:pPr>
            <w:r w:rsidRPr="00D17C30">
              <w:rPr>
                <w:rFonts w:ascii="Arial" w:hAnsi="Arial" w:cs="Arial"/>
                <w:color w:val="000000"/>
              </w:rPr>
              <w:t>.004</w:t>
            </w:r>
          </w:p>
        </w:tc>
        <w:tc>
          <w:tcPr>
            <w:tcW w:w="743" w:type="pct"/>
          </w:tcPr>
          <w:p w14:paraId="63815499" w14:textId="77777777" w:rsidR="00650BD8" w:rsidRPr="00D17C30" w:rsidRDefault="00650BD8" w:rsidP="00D17C30">
            <w:pPr>
              <w:pStyle w:val="TableParagraph"/>
              <w:spacing w:before="119" w:line="240" w:lineRule="auto"/>
              <w:ind w:left="10" w:right="1"/>
              <w:rPr>
                <w:rFonts w:ascii="Arial" w:hAnsi="Arial" w:cs="Arial"/>
                <w:sz w:val="20"/>
                <w:szCs w:val="20"/>
              </w:rPr>
            </w:pPr>
            <w:r w:rsidRPr="00D17C30">
              <w:rPr>
                <w:rFonts w:ascii="Arial" w:hAnsi="Arial" w:cs="Arial"/>
                <w:spacing w:val="-2"/>
                <w:sz w:val="20"/>
                <w:szCs w:val="20"/>
              </w:rPr>
              <w:t>2010***</w:t>
            </w:r>
          </w:p>
        </w:tc>
        <w:tc>
          <w:tcPr>
            <w:tcW w:w="596" w:type="pct"/>
          </w:tcPr>
          <w:p w14:paraId="0E9F9B20" w14:textId="77C18E9B" w:rsidR="00650BD8" w:rsidRPr="00D17C30" w:rsidRDefault="00650BD8" w:rsidP="00D17C30">
            <w:pPr>
              <w:jc w:val="center"/>
              <w:rPr>
                <w:rFonts w:ascii="Arial" w:hAnsi="Arial" w:cs="Arial"/>
                <w:color w:val="000000"/>
                <w:lang w:val="en-IN"/>
              </w:rPr>
            </w:pPr>
            <w:r w:rsidRPr="00D17C30">
              <w:rPr>
                <w:rFonts w:ascii="Arial" w:hAnsi="Arial" w:cs="Arial"/>
                <w:color w:val="000000"/>
              </w:rPr>
              <w:t>.001</w:t>
            </w:r>
          </w:p>
        </w:tc>
        <w:tc>
          <w:tcPr>
            <w:tcW w:w="691" w:type="pct"/>
          </w:tcPr>
          <w:p w14:paraId="1C0ECEB4" w14:textId="77777777" w:rsidR="00650BD8" w:rsidRPr="00D17C30" w:rsidRDefault="00650BD8" w:rsidP="00D17C30">
            <w:pPr>
              <w:pStyle w:val="TableParagraph"/>
              <w:spacing w:before="119" w:line="240" w:lineRule="auto"/>
              <w:ind w:left="10"/>
              <w:rPr>
                <w:rFonts w:ascii="Arial" w:hAnsi="Arial" w:cs="Arial"/>
                <w:sz w:val="20"/>
                <w:szCs w:val="20"/>
              </w:rPr>
            </w:pPr>
            <w:r w:rsidRPr="00D17C30">
              <w:rPr>
                <w:rFonts w:ascii="Arial" w:hAnsi="Arial" w:cs="Arial"/>
                <w:spacing w:val="-2"/>
                <w:sz w:val="20"/>
                <w:szCs w:val="20"/>
              </w:rPr>
              <w:t>2010***</w:t>
            </w:r>
          </w:p>
        </w:tc>
        <w:tc>
          <w:tcPr>
            <w:tcW w:w="737" w:type="pct"/>
          </w:tcPr>
          <w:p w14:paraId="0536E06B" w14:textId="337548CA" w:rsidR="00650BD8" w:rsidRPr="005A74C5" w:rsidRDefault="00650BD8" w:rsidP="005A74C5">
            <w:pPr>
              <w:jc w:val="center"/>
              <w:rPr>
                <w:rFonts w:ascii="Arial" w:hAnsi="Arial" w:cs="Arial"/>
                <w:color w:val="000000"/>
                <w:lang w:val="en-IN"/>
              </w:rPr>
            </w:pPr>
            <w:r w:rsidRPr="00D17C30">
              <w:rPr>
                <w:rFonts w:ascii="Arial" w:hAnsi="Arial" w:cs="Arial"/>
                <w:color w:val="000000"/>
              </w:rPr>
              <w:t>.000</w:t>
            </w:r>
          </w:p>
        </w:tc>
      </w:tr>
    </w:tbl>
    <w:p w14:paraId="746BEE1A" w14:textId="77777777" w:rsidR="00436689" w:rsidRPr="00436689" w:rsidRDefault="00436689" w:rsidP="00436689">
      <w:pPr>
        <w:spacing w:before="1"/>
        <w:jc w:val="both"/>
        <w:rPr>
          <w:rFonts w:ascii="Arial" w:hAnsi="Arial" w:cs="Arial"/>
          <w:i/>
        </w:rPr>
      </w:pPr>
      <w:r w:rsidRPr="00436689">
        <w:rPr>
          <w:rFonts w:ascii="Arial" w:hAnsi="Arial" w:cs="Arial"/>
        </w:rPr>
        <w:t>Note:</w:t>
      </w:r>
      <w:r w:rsidRPr="00436689">
        <w:rPr>
          <w:rFonts w:ascii="Arial" w:hAnsi="Arial" w:cs="Arial"/>
          <w:spacing w:val="5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w:t>
      </w:r>
      <w:r w:rsidRPr="00436689">
        <w:rPr>
          <w:rFonts w:ascii="Arial" w:hAnsi="Arial" w:cs="Arial"/>
          <w:i/>
          <w:spacing w:val="-3"/>
        </w:rPr>
        <w:t xml:space="preserve"> </w:t>
      </w:r>
      <w:r w:rsidRPr="00436689">
        <w:rPr>
          <w:rFonts w:ascii="Arial" w:hAnsi="Arial" w:cs="Arial"/>
          <w:i/>
        </w:rPr>
        <w:t>indicate</w:t>
      </w:r>
      <w:r w:rsidRPr="00436689">
        <w:rPr>
          <w:rFonts w:ascii="Arial" w:hAnsi="Arial" w:cs="Arial"/>
          <w:i/>
          <w:spacing w:val="-3"/>
        </w:rPr>
        <w:t xml:space="preserve"> </w:t>
      </w:r>
      <w:r w:rsidRPr="00436689">
        <w:rPr>
          <w:rFonts w:ascii="Arial" w:hAnsi="Arial" w:cs="Arial"/>
          <w:i/>
        </w:rPr>
        <w:t>significance</w:t>
      </w:r>
      <w:r w:rsidRPr="00436689">
        <w:rPr>
          <w:rFonts w:ascii="Arial" w:hAnsi="Arial" w:cs="Arial"/>
          <w:i/>
          <w:spacing w:val="-3"/>
        </w:rPr>
        <w:t xml:space="preserve"> </w:t>
      </w:r>
      <w:r w:rsidRPr="00436689">
        <w:rPr>
          <w:rFonts w:ascii="Arial" w:hAnsi="Arial" w:cs="Arial"/>
          <w:i/>
        </w:rPr>
        <w:t>at</w:t>
      </w:r>
      <w:r w:rsidRPr="00436689">
        <w:rPr>
          <w:rFonts w:ascii="Arial" w:hAnsi="Arial" w:cs="Arial"/>
          <w:i/>
          <w:spacing w:val="-1"/>
        </w:rPr>
        <w:t xml:space="preserve"> </w:t>
      </w:r>
      <w:r w:rsidRPr="00436689">
        <w:rPr>
          <w:rFonts w:ascii="Arial" w:hAnsi="Arial" w:cs="Arial"/>
          <w:i/>
        </w:rPr>
        <w:t>10%,</w:t>
      </w:r>
      <w:r w:rsidRPr="00436689">
        <w:rPr>
          <w:rFonts w:ascii="Arial" w:hAnsi="Arial" w:cs="Arial"/>
          <w:i/>
          <w:spacing w:val="-3"/>
        </w:rPr>
        <w:t xml:space="preserve"> </w:t>
      </w:r>
      <w:r w:rsidRPr="00436689">
        <w:rPr>
          <w:rFonts w:ascii="Arial" w:hAnsi="Arial" w:cs="Arial"/>
          <w:i/>
        </w:rPr>
        <w:t>5%</w:t>
      </w:r>
      <w:r w:rsidRPr="00436689">
        <w:rPr>
          <w:rFonts w:ascii="Arial" w:hAnsi="Arial" w:cs="Arial"/>
          <w:i/>
          <w:spacing w:val="-3"/>
        </w:rPr>
        <w:t xml:space="preserve"> </w:t>
      </w:r>
      <w:r w:rsidRPr="00436689">
        <w:rPr>
          <w:rFonts w:ascii="Arial" w:hAnsi="Arial" w:cs="Arial"/>
          <w:i/>
        </w:rPr>
        <w:t>and</w:t>
      </w:r>
      <w:r w:rsidRPr="00436689">
        <w:rPr>
          <w:rFonts w:ascii="Arial" w:hAnsi="Arial" w:cs="Arial"/>
          <w:i/>
          <w:spacing w:val="-2"/>
        </w:rPr>
        <w:t xml:space="preserve"> </w:t>
      </w:r>
      <w:r w:rsidRPr="00436689">
        <w:rPr>
          <w:rFonts w:ascii="Arial" w:hAnsi="Arial" w:cs="Arial"/>
          <w:i/>
        </w:rPr>
        <w:t>1%</w:t>
      </w:r>
      <w:r w:rsidRPr="00436689">
        <w:rPr>
          <w:rFonts w:ascii="Arial" w:hAnsi="Arial" w:cs="Arial"/>
          <w:i/>
          <w:spacing w:val="-2"/>
        </w:rPr>
        <w:t xml:space="preserve"> </w:t>
      </w:r>
      <w:r w:rsidRPr="00436689">
        <w:rPr>
          <w:rFonts w:ascii="Arial" w:hAnsi="Arial" w:cs="Arial"/>
          <w:i/>
        </w:rPr>
        <w:t>level</w:t>
      </w:r>
      <w:r w:rsidRPr="00436689">
        <w:rPr>
          <w:rFonts w:ascii="Arial" w:hAnsi="Arial" w:cs="Arial"/>
          <w:i/>
          <w:spacing w:val="-2"/>
        </w:rPr>
        <w:t xml:space="preserve"> </w:t>
      </w:r>
      <w:r w:rsidRPr="00436689">
        <w:rPr>
          <w:rFonts w:ascii="Arial" w:hAnsi="Arial" w:cs="Arial"/>
          <w:i/>
        </w:rPr>
        <w:t>of</w:t>
      </w:r>
      <w:r w:rsidRPr="00436689">
        <w:rPr>
          <w:rFonts w:ascii="Arial" w:hAnsi="Arial" w:cs="Arial"/>
          <w:i/>
          <w:spacing w:val="-2"/>
        </w:rPr>
        <w:t xml:space="preserve"> </w:t>
      </w:r>
      <w:r w:rsidRPr="00436689">
        <w:rPr>
          <w:rFonts w:ascii="Arial" w:hAnsi="Arial" w:cs="Arial"/>
          <w:i/>
        </w:rPr>
        <w:t>significance</w:t>
      </w:r>
      <w:r w:rsidRPr="00436689">
        <w:rPr>
          <w:rFonts w:ascii="Arial" w:hAnsi="Arial" w:cs="Arial"/>
          <w:i/>
          <w:spacing w:val="1"/>
        </w:rPr>
        <w:t xml:space="preserve"> </w:t>
      </w:r>
      <w:r w:rsidRPr="00436689">
        <w:rPr>
          <w:rFonts w:ascii="Arial" w:hAnsi="Arial" w:cs="Arial"/>
          <w:i/>
          <w:spacing w:val="-2"/>
        </w:rPr>
        <w:t>respectively.</w:t>
      </w:r>
    </w:p>
    <w:p w14:paraId="097C7B8D" w14:textId="28CEC7AA" w:rsidR="002733F3" w:rsidRPr="00436689" w:rsidRDefault="002733F3" w:rsidP="002733F3">
      <w:pPr>
        <w:tabs>
          <w:tab w:val="left" w:pos="1080"/>
        </w:tabs>
        <w:jc w:val="both"/>
        <w:rPr>
          <w:rFonts w:ascii="Arial" w:hAnsi="Arial" w:cs="Arial"/>
          <w:b/>
          <w:bCs/>
        </w:rPr>
      </w:pPr>
    </w:p>
    <w:p w14:paraId="5127A6F5" w14:textId="7773BEBE" w:rsidR="00ED2C89" w:rsidRDefault="00436689" w:rsidP="00ED2C89">
      <w:pPr>
        <w:jc w:val="both"/>
        <w:rPr>
          <w:rFonts w:ascii="Arial" w:hAnsi="Arial" w:cs="Arial"/>
        </w:rPr>
      </w:pPr>
      <w:r w:rsidRPr="00436689">
        <w:rPr>
          <w:rFonts w:ascii="Arial" w:hAnsi="Arial" w:cs="Arial"/>
        </w:rPr>
        <w:t>After, identification of mutation point, the whole time series (2005-2024) were divided into three parts i.e., first-time series (before mutation point), second-time series (after mutation point) and whole time series (2005-2024). For segmentation period of groundnut export quantity, mutation point was identified as 2010. Mutation point</w:t>
      </w:r>
      <w:r w:rsidR="00B56EAC">
        <w:rPr>
          <w:rFonts w:ascii="Arial" w:hAnsi="Arial" w:cs="Arial"/>
        </w:rPr>
        <w:t xml:space="preserve"> </w:t>
      </w:r>
      <w:r w:rsidRPr="00436689">
        <w:rPr>
          <w:rFonts w:ascii="Arial" w:hAnsi="Arial" w:cs="Arial"/>
        </w:rPr>
        <w:t>for both export quantity and export value of groundnut was observed as 2010. Hence, the time series 2005-2009 and 2010-2024 were identified as first-time series and second- time series, respectively as shown in table 3.</w:t>
      </w:r>
      <w:r w:rsidR="00ED2C89">
        <w:rPr>
          <w:rFonts w:ascii="Arial" w:hAnsi="Arial" w:cs="Arial"/>
        </w:rPr>
        <w:t xml:space="preserve"> </w:t>
      </w:r>
      <w:r w:rsidR="00ED2C89" w:rsidRPr="00ED2C89">
        <w:rPr>
          <w:rFonts w:ascii="Arial" w:hAnsi="Arial" w:cs="Arial"/>
        </w:rPr>
        <w:t>Sen’s slope estimators have been used to compute the degree of monotonic trends. Further, the trend analysis was extended based on segmentation time period. Here, the M-K test has been applied to analysis the significant monotonic trends for indicator wise and segmentation period wise for groundnut exports.</w:t>
      </w:r>
      <w:r w:rsidR="00ED2C89">
        <w:rPr>
          <w:rFonts w:ascii="Arial" w:hAnsi="Arial" w:cs="Arial"/>
        </w:rPr>
        <w:t xml:space="preserve"> </w:t>
      </w:r>
    </w:p>
    <w:p w14:paraId="1C475C15" w14:textId="77777777" w:rsidR="0044684F" w:rsidRDefault="0044684F" w:rsidP="00ED2C89">
      <w:pPr>
        <w:jc w:val="both"/>
        <w:rPr>
          <w:rFonts w:ascii="Arial" w:hAnsi="Arial" w:cs="Arial"/>
        </w:rPr>
      </w:pPr>
    </w:p>
    <w:p w14:paraId="0C476DF5" w14:textId="4FB05ABB" w:rsidR="00ED2C89" w:rsidRPr="00ED2C89" w:rsidRDefault="00ED2C89" w:rsidP="00ED2C89">
      <w:pPr>
        <w:jc w:val="both"/>
        <w:rPr>
          <w:rFonts w:ascii="Arial" w:hAnsi="Arial" w:cs="Arial"/>
        </w:rPr>
      </w:pPr>
      <w:r w:rsidRPr="00ED2C89">
        <w:rPr>
          <w:rFonts w:ascii="Arial" w:hAnsi="Arial" w:cs="Arial"/>
        </w:rPr>
        <w:t xml:space="preserve">From the MK-test and Sen’s slope estimator analysis, it is observed that statistically significant (p &lt; .01) growth in export quantity and export value of groundnut was experienced during the overall time series of 2005–2024. The highest significant increase in export quantity was 23,837.53 </w:t>
      </w:r>
      <w:proofErr w:type="spellStart"/>
      <w:r w:rsidRPr="00ED2C89">
        <w:rPr>
          <w:rFonts w:ascii="Arial" w:hAnsi="Arial" w:cs="Arial"/>
        </w:rPr>
        <w:t>tonnes</w:t>
      </w:r>
      <w:proofErr w:type="spellEnd"/>
      <w:r w:rsidRPr="00ED2C89">
        <w:rPr>
          <w:rFonts w:ascii="Arial" w:hAnsi="Arial" w:cs="Arial"/>
        </w:rPr>
        <w:t>/year, while export value increased at 35,235.98 thousand USD/year during the same period.</w:t>
      </w:r>
      <w:r>
        <w:rPr>
          <w:rFonts w:ascii="Arial" w:hAnsi="Arial" w:cs="Arial"/>
        </w:rPr>
        <w:t xml:space="preserve"> </w:t>
      </w:r>
      <w:r w:rsidRPr="00ED2C89">
        <w:rPr>
          <w:rFonts w:ascii="Arial" w:hAnsi="Arial" w:cs="Arial"/>
        </w:rPr>
        <w:t xml:space="preserve">However, the trends in the sub-periods 2005–2009 and 2010–2024 were statistically non-significant (p &gt; .05), indicating fluctuations and instability in the export pattern during those segments. During the first sub-period (2005–2009), export quantity and value increased at the rate of 17,028.50 </w:t>
      </w:r>
      <w:proofErr w:type="spellStart"/>
      <w:r w:rsidRPr="00ED2C89">
        <w:rPr>
          <w:rFonts w:ascii="Arial" w:hAnsi="Arial" w:cs="Arial"/>
        </w:rPr>
        <w:t>tonnes</w:t>
      </w:r>
      <w:proofErr w:type="spellEnd"/>
      <w:r w:rsidRPr="00ED2C89">
        <w:rPr>
          <w:rFonts w:ascii="Arial" w:hAnsi="Arial" w:cs="Arial"/>
        </w:rPr>
        <w:t xml:space="preserve">/year and 48,026.50 thousand USD/year, respectively, but the trends were not statistically significant. Similarly, during the second sub-period (2010–2024), export quantity and value increased at a much lower rate of 6,205.71 </w:t>
      </w:r>
      <w:proofErr w:type="spellStart"/>
      <w:r w:rsidRPr="00ED2C89">
        <w:rPr>
          <w:rFonts w:ascii="Arial" w:hAnsi="Arial" w:cs="Arial"/>
        </w:rPr>
        <w:t>tonnes</w:t>
      </w:r>
      <w:proofErr w:type="spellEnd"/>
      <w:r w:rsidRPr="00ED2C89">
        <w:rPr>
          <w:rFonts w:ascii="Arial" w:hAnsi="Arial" w:cs="Arial"/>
        </w:rPr>
        <w:t xml:space="preserve">/year and 16,493.50 thousand USD/year, respectively, also statistically non-significant </w:t>
      </w:r>
      <w:r>
        <w:rPr>
          <w:rFonts w:ascii="Arial" w:hAnsi="Arial" w:cs="Arial"/>
        </w:rPr>
        <w:t>as shown in Table 3</w:t>
      </w:r>
      <w:r w:rsidRPr="00ED2C89">
        <w:rPr>
          <w:rFonts w:ascii="Arial" w:hAnsi="Arial" w:cs="Arial"/>
        </w:rPr>
        <w:t>.</w:t>
      </w:r>
    </w:p>
    <w:p w14:paraId="5B49493D" w14:textId="77777777" w:rsidR="00ED2C89" w:rsidRPr="00ED2C89" w:rsidRDefault="00ED2C89" w:rsidP="00ED2C89">
      <w:pPr>
        <w:jc w:val="both"/>
        <w:rPr>
          <w:rFonts w:ascii="Arial" w:hAnsi="Arial" w:cs="Arial"/>
        </w:rPr>
      </w:pPr>
    </w:p>
    <w:p w14:paraId="68AEA949" w14:textId="77777777" w:rsidR="00ED2C89" w:rsidRPr="00ED2C89" w:rsidRDefault="00ED2C89" w:rsidP="00C64763">
      <w:pPr>
        <w:tabs>
          <w:tab w:val="left" w:pos="1080"/>
        </w:tabs>
        <w:ind w:left="864" w:hanging="864"/>
        <w:jc w:val="both"/>
        <w:rPr>
          <w:rFonts w:ascii="Arial" w:hAnsi="Arial" w:cs="Arial"/>
          <w:b/>
          <w:bCs/>
        </w:rPr>
      </w:pPr>
      <w:r w:rsidRPr="00ED2C89">
        <w:rPr>
          <w:rFonts w:ascii="Arial" w:hAnsi="Arial" w:cs="Arial"/>
          <w:b/>
          <w:bCs/>
        </w:rPr>
        <w:t xml:space="preserve">Table 3 Mann-Kendall test and Sen’s slope estimators </w:t>
      </w:r>
      <w:proofErr w:type="gramStart"/>
      <w:r w:rsidRPr="00ED2C89">
        <w:rPr>
          <w:rFonts w:ascii="Arial" w:hAnsi="Arial" w:cs="Arial"/>
          <w:b/>
          <w:bCs/>
        </w:rPr>
        <w:t>of  groundnut</w:t>
      </w:r>
      <w:proofErr w:type="gramEnd"/>
      <w:r w:rsidRPr="00ED2C89">
        <w:rPr>
          <w:rFonts w:ascii="Arial" w:hAnsi="Arial" w:cs="Arial"/>
          <w:b/>
          <w:bCs/>
        </w:rPr>
        <w:t xml:space="preserve"> exports during 2005-2024 from India</w:t>
      </w:r>
    </w:p>
    <w:p w14:paraId="10EDC107" w14:textId="77777777" w:rsidR="002733F3" w:rsidRPr="00CE1BBA" w:rsidRDefault="002733F3" w:rsidP="002733F3">
      <w:pPr>
        <w:tabs>
          <w:tab w:val="left" w:pos="1080"/>
        </w:tabs>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4"/>
        <w:gridCol w:w="1440"/>
        <w:gridCol w:w="1171"/>
        <w:gridCol w:w="1440"/>
        <w:gridCol w:w="1080"/>
        <w:gridCol w:w="1363"/>
      </w:tblGrid>
      <w:tr w:rsidR="00ED2C89" w:rsidRPr="00ED2C89" w14:paraId="41F4F5EB" w14:textId="77777777" w:rsidTr="00C32B0C">
        <w:trPr>
          <w:trHeight w:val="638"/>
        </w:trPr>
        <w:tc>
          <w:tcPr>
            <w:tcW w:w="1039" w:type="pct"/>
          </w:tcPr>
          <w:p w14:paraId="700671D2" w14:textId="77777777" w:rsidR="00ED2C89" w:rsidRPr="00ED2C89" w:rsidRDefault="00ED2C89" w:rsidP="00ED2C89">
            <w:pPr>
              <w:pStyle w:val="TableParagraph"/>
              <w:spacing w:before="205" w:line="240" w:lineRule="auto"/>
              <w:ind w:left="518"/>
              <w:jc w:val="left"/>
              <w:rPr>
                <w:rFonts w:ascii="Arial" w:hAnsi="Arial" w:cs="Arial"/>
                <w:b/>
                <w:sz w:val="20"/>
                <w:szCs w:val="20"/>
              </w:rPr>
            </w:pPr>
            <w:r w:rsidRPr="00ED2C89">
              <w:rPr>
                <w:rFonts w:ascii="Arial" w:hAnsi="Arial" w:cs="Arial"/>
                <w:b/>
                <w:spacing w:val="-2"/>
                <w:sz w:val="20"/>
                <w:szCs w:val="20"/>
              </w:rPr>
              <w:lastRenderedPageBreak/>
              <w:t>Variable</w:t>
            </w:r>
          </w:p>
        </w:tc>
        <w:tc>
          <w:tcPr>
            <w:tcW w:w="878" w:type="pct"/>
          </w:tcPr>
          <w:p w14:paraId="42498531" w14:textId="77777777" w:rsidR="00ED2C89" w:rsidRPr="00ED2C89" w:rsidRDefault="00ED2C89" w:rsidP="00ED2C89">
            <w:pPr>
              <w:pStyle w:val="TableParagraph"/>
              <w:spacing w:line="240" w:lineRule="auto"/>
              <w:ind w:left="9" w:right="4"/>
              <w:rPr>
                <w:rFonts w:ascii="Arial" w:hAnsi="Arial" w:cs="Arial"/>
                <w:b/>
                <w:sz w:val="20"/>
                <w:szCs w:val="20"/>
              </w:rPr>
            </w:pPr>
            <w:r w:rsidRPr="00ED2C89">
              <w:rPr>
                <w:rFonts w:ascii="Arial" w:hAnsi="Arial" w:cs="Arial"/>
                <w:b/>
                <w:spacing w:val="-2"/>
                <w:sz w:val="20"/>
                <w:szCs w:val="20"/>
              </w:rPr>
              <w:t>Segmentation</w:t>
            </w:r>
          </w:p>
          <w:p w14:paraId="1987850A" w14:textId="77777777" w:rsidR="00ED2C89" w:rsidRPr="00ED2C89" w:rsidRDefault="00ED2C89" w:rsidP="00ED2C89">
            <w:pPr>
              <w:pStyle w:val="TableParagraph"/>
              <w:spacing w:before="139" w:line="240" w:lineRule="auto"/>
              <w:ind w:left="9" w:right="4"/>
              <w:rPr>
                <w:rFonts w:ascii="Arial" w:hAnsi="Arial" w:cs="Arial"/>
                <w:b/>
                <w:sz w:val="20"/>
                <w:szCs w:val="20"/>
              </w:rPr>
            </w:pPr>
            <w:r w:rsidRPr="00ED2C89">
              <w:rPr>
                <w:rFonts w:ascii="Arial" w:hAnsi="Arial" w:cs="Arial"/>
                <w:b/>
                <w:spacing w:val="-4"/>
                <w:sz w:val="20"/>
                <w:szCs w:val="20"/>
              </w:rPr>
              <w:t>year</w:t>
            </w:r>
          </w:p>
        </w:tc>
        <w:tc>
          <w:tcPr>
            <w:tcW w:w="714" w:type="pct"/>
          </w:tcPr>
          <w:p w14:paraId="7F079B1C" w14:textId="77777777" w:rsidR="00ED2C89" w:rsidRPr="00ED2C89" w:rsidRDefault="00ED2C89" w:rsidP="00ED2C89">
            <w:pPr>
              <w:pStyle w:val="TableParagraph"/>
              <w:spacing w:before="205" w:line="240" w:lineRule="auto"/>
              <w:ind w:left="10"/>
              <w:rPr>
                <w:rFonts w:ascii="Arial" w:hAnsi="Arial" w:cs="Arial"/>
                <w:b/>
                <w:sz w:val="20"/>
                <w:szCs w:val="20"/>
              </w:rPr>
            </w:pPr>
            <w:r w:rsidRPr="00ED2C89">
              <w:rPr>
                <w:rFonts w:ascii="Arial" w:hAnsi="Arial" w:cs="Arial"/>
                <w:b/>
                <w:spacing w:val="-2"/>
                <w:sz w:val="20"/>
                <w:szCs w:val="20"/>
              </w:rPr>
              <w:t>MK-</w:t>
            </w:r>
            <w:r w:rsidRPr="00ED2C89">
              <w:rPr>
                <w:rFonts w:ascii="Arial" w:hAnsi="Arial" w:cs="Arial"/>
                <w:b/>
                <w:spacing w:val="-4"/>
                <w:sz w:val="20"/>
                <w:szCs w:val="20"/>
              </w:rPr>
              <w:t>test</w:t>
            </w:r>
          </w:p>
        </w:tc>
        <w:tc>
          <w:tcPr>
            <w:tcW w:w="878" w:type="pct"/>
          </w:tcPr>
          <w:p w14:paraId="61D67024" w14:textId="77777777" w:rsidR="00ED2C89" w:rsidRPr="00ED2C89" w:rsidRDefault="00ED2C89" w:rsidP="00ED2C89">
            <w:pPr>
              <w:pStyle w:val="TableParagraph"/>
              <w:spacing w:line="240" w:lineRule="auto"/>
              <w:ind w:left="13"/>
              <w:rPr>
                <w:rFonts w:ascii="Arial" w:hAnsi="Arial" w:cs="Arial"/>
                <w:b/>
                <w:sz w:val="20"/>
                <w:szCs w:val="20"/>
              </w:rPr>
            </w:pPr>
            <w:r w:rsidRPr="00ED2C89">
              <w:rPr>
                <w:rFonts w:ascii="Arial" w:hAnsi="Arial" w:cs="Arial"/>
                <w:b/>
                <w:spacing w:val="-2"/>
                <w:sz w:val="20"/>
                <w:szCs w:val="20"/>
              </w:rPr>
              <w:t>Kendall’s</w:t>
            </w:r>
          </w:p>
          <w:p w14:paraId="7A98EF5D" w14:textId="77777777" w:rsidR="00ED2C89" w:rsidRPr="00ED2C89" w:rsidRDefault="00ED2C89" w:rsidP="00ED2C89">
            <w:pPr>
              <w:pStyle w:val="TableParagraph"/>
              <w:spacing w:before="139" w:line="240" w:lineRule="auto"/>
              <w:ind w:left="13" w:right="2"/>
              <w:rPr>
                <w:rFonts w:ascii="Arial" w:hAnsi="Arial" w:cs="Arial"/>
                <w:b/>
                <w:sz w:val="20"/>
                <w:szCs w:val="20"/>
              </w:rPr>
            </w:pPr>
            <w:r w:rsidRPr="00ED2C89">
              <w:rPr>
                <w:rFonts w:ascii="Arial" w:hAnsi="Arial" w:cs="Arial"/>
                <w:b/>
                <w:spacing w:val="-5"/>
                <w:sz w:val="20"/>
                <w:szCs w:val="20"/>
              </w:rPr>
              <w:t>Tau</w:t>
            </w:r>
          </w:p>
        </w:tc>
        <w:tc>
          <w:tcPr>
            <w:tcW w:w="659" w:type="pct"/>
          </w:tcPr>
          <w:p w14:paraId="5823BE44" w14:textId="311F8BC6" w:rsidR="00ED2C89" w:rsidRPr="00ED2C89" w:rsidRDefault="00E8659F" w:rsidP="00ED2C89">
            <w:pPr>
              <w:pStyle w:val="TableParagraph"/>
              <w:spacing w:before="205" w:line="240" w:lineRule="auto"/>
              <w:ind w:left="17"/>
              <w:rPr>
                <w:rFonts w:ascii="Arial" w:hAnsi="Arial" w:cs="Arial"/>
                <w:b/>
                <w:sz w:val="20"/>
                <w:szCs w:val="20"/>
              </w:rPr>
            </w:pPr>
            <w:r>
              <w:rPr>
                <w:rFonts w:ascii="Arial" w:hAnsi="Arial" w:cs="Arial"/>
                <w:b/>
                <w:i/>
                <w:iCs/>
                <w:spacing w:val="-2"/>
                <w:sz w:val="20"/>
                <w:szCs w:val="20"/>
              </w:rPr>
              <w:t>P</w:t>
            </w:r>
            <w:r w:rsidR="00ED2C89" w:rsidRPr="00ED2C89">
              <w:rPr>
                <w:rFonts w:ascii="Arial" w:hAnsi="Arial" w:cs="Arial"/>
                <w:b/>
                <w:spacing w:val="-2"/>
                <w:sz w:val="20"/>
                <w:szCs w:val="20"/>
              </w:rPr>
              <w:t>-value</w:t>
            </w:r>
          </w:p>
        </w:tc>
        <w:tc>
          <w:tcPr>
            <w:tcW w:w="831" w:type="pct"/>
          </w:tcPr>
          <w:p w14:paraId="6E471DBA" w14:textId="77777777" w:rsidR="00ED2C89" w:rsidRPr="00ED2C89" w:rsidRDefault="00ED2C89" w:rsidP="00ED2C89">
            <w:pPr>
              <w:pStyle w:val="TableParagraph"/>
              <w:spacing w:line="240" w:lineRule="auto"/>
              <w:ind w:left="334"/>
              <w:jc w:val="left"/>
              <w:rPr>
                <w:rFonts w:ascii="Arial" w:hAnsi="Arial" w:cs="Arial"/>
                <w:b/>
                <w:sz w:val="20"/>
                <w:szCs w:val="20"/>
              </w:rPr>
            </w:pPr>
            <w:r w:rsidRPr="00ED2C89">
              <w:rPr>
                <w:rFonts w:ascii="Arial" w:hAnsi="Arial" w:cs="Arial"/>
                <w:b/>
                <w:spacing w:val="-4"/>
                <w:sz w:val="20"/>
                <w:szCs w:val="20"/>
              </w:rPr>
              <w:t>Sen’s</w:t>
            </w:r>
          </w:p>
          <w:p w14:paraId="394C5F68" w14:textId="77777777" w:rsidR="00ED2C89" w:rsidRPr="00ED2C89" w:rsidRDefault="00ED2C89" w:rsidP="00ED2C89">
            <w:pPr>
              <w:pStyle w:val="TableParagraph"/>
              <w:spacing w:before="139" w:line="240" w:lineRule="auto"/>
              <w:ind w:left="346"/>
              <w:jc w:val="left"/>
              <w:rPr>
                <w:rFonts w:ascii="Arial" w:hAnsi="Arial" w:cs="Arial"/>
                <w:b/>
                <w:sz w:val="20"/>
                <w:szCs w:val="20"/>
              </w:rPr>
            </w:pPr>
            <w:r w:rsidRPr="00ED2C89">
              <w:rPr>
                <w:rFonts w:ascii="Arial" w:hAnsi="Arial" w:cs="Arial"/>
                <w:b/>
                <w:spacing w:val="-2"/>
                <w:sz w:val="20"/>
                <w:szCs w:val="20"/>
              </w:rPr>
              <w:t>slope</w:t>
            </w:r>
          </w:p>
        </w:tc>
      </w:tr>
      <w:tr w:rsidR="00ED2C89" w:rsidRPr="00ED2C89" w14:paraId="2878042D" w14:textId="77777777" w:rsidTr="00C32B0C">
        <w:trPr>
          <w:trHeight w:val="414"/>
        </w:trPr>
        <w:tc>
          <w:tcPr>
            <w:tcW w:w="1039" w:type="pct"/>
            <w:vMerge w:val="restart"/>
          </w:tcPr>
          <w:p w14:paraId="6D8B09BE" w14:textId="77777777" w:rsidR="00ED2C89" w:rsidRPr="00ED2C89" w:rsidRDefault="00ED2C89" w:rsidP="00ED2C89">
            <w:pPr>
              <w:pStyle w:val="TableParagraph"/>
              <w:spacing w:line="240" w:lineRule="auto"/>
              <w:ind w:left="218"/>
              <w:jc w:val="left"/>
              <w:rPr>
                <w:rFonts w:ascii="Arial" w:hAnsi="Arial" w:cs="Arial"/>
                <w:sz w:val="20"/>
                <w:szCs w:val="20"/>
              </w:rPr>
            </w:pPr>
            <w:r w:rsidRPr="00ED2C89">
              <w:rPr>
                <w:rFonts w:ascii="Arial" w:hAnsi="Arial" w:cs="Arial"/>
                <w:sz w:val="20"/>
                <w:szCs w:val="20"/>
              </w:rPr>
              <w:t>Export quantity</w:t>
            </w:r>
          </w:p>
          <w:p w14:paraId="0A01A1E8" w14:textId="77777777" w:rsidR="00ED2C89" w:rsidRPr="00ED2C89" w:rsidRDefault="00ED2C89" w:rsidP="00ED2C89">
            <w:pPr>
              <w:pStyle w:val="TableParagraph"/>
              <w:spacing w:line="240" w:lineRule="auto"/>
              <w:ind w:left="218"/>
              <w:jc w:val="left"/>
              <w:rPr>
                <w:rFonts w:ascii="Arial" w:hAnsi="Arial" w:cs="Arial"/>
                <w:sz w:val="20"/>
                <w:szCs w:val="20"/>
              </w:rPr>
            </w:pPr>
            <w:r w:rsidRPr="00ED2C89">
              <w:rPr>
                <w:rFonts w:ascii="Arial" w:hAnsi="Arial" w:cs="Arial"/>
                <w:sz w:val="20"/>
                <w:szCs w:val="20"/>
              </w:rPr>
              <w:t>(</w:t>
            </w:r>
            <w:proofErr w:type="spellStart"/>
            <w:r w:rsidRPr="00ED2C89">
              <w:rPr>
                <w:rFonts w:ascii="Arial" w:hAnsi="Arial" w:cs="Arial"/>
                <w:sz w:val="20"/>
                <w:szCs w:val="20"/>
              </w:rPr>
              <w:t>tonnes</w:t>
            </w:r>
            <w:proofErr w:type="spellEnd"/>
            <w:r w:rsidRPr="00ED2C89">
              <w:rPr>
                <w:rFonts w:ascii="Arial" w:hAnsi="Arial" w:cs="Arial"/>
                <w:sz w:val="20"/>
                <w:szCs w:val="20"/>
              </w:rPr>
              <w:t>)</w:t>
            </w:r>
          </w:p>
        </w:tc>
        <w:tc>
          <w:tcPr>
            <w:tcW w:w="878" w:type="pct"/>
          </w:tcPr>
          <w:p w14:paraId="7BACF9B3" w14:textId="77777777" w:rsidR="00ED2C89" w:rsidRPr="00ED2C89" w:rsidRDefault="00ED2C89" w:rsidP="00ED2C89">
            <w:pPr>
              <w:pStyle w:val="TableParagraph"/>
              <w:spacing w:line="240" w:lineRule="auto"/>
              <w:ind w:left="9" w:right="3"/>
              <w:rPr>
                <w:rFonts w:ascii="Arial" w:hAnsi="Arial" w:cs="Arial"/>
                <w:sz w:val="20"/>
                <w:szCs w:val="20"/>
              </w:rPr>
            </w:pPr>
            <w:r w:rsidRPr="00ED2C89">
              <w:rPr>
                <w:rFonts w:ascii="Arial" w:hAnsi="Arial" w:cs="Arial"/>
                <w:sz w:val="20"/>
                <w:szCs w:val="20"/>
              </w:rPr>
              <w:t xml:space="preserve">2005-2009 </w:t>
            </w:r>
          </w:p>
        </w:tc>
        <w:tc>
          <w:tcPr>
            <w:tcW w:w="714" w:type="pct"/>
          </w:tcPr>
          <w:p w14:paraId="35F43F9D"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4</w:t>
            </w:r>
          </w:p>
        </w:tc>
        <w:tc>
          <w:tcPr>
            <w:tcW w:w="878" w:type="pct"/>
          </w:tcPr>
          <w:p w14:paraId="76393FFA" w14:textId="2BCAD49B" w:rsidR="00ED2C89" w:rsidRPr="00ED2C89" w:rsidRDefault="00423616"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.400</w:t>
            </w:r>
          </w:p>
        </w:tc>
        <w:tc>
          <w:tcPr>
            <w:tcW w:w="659" w:type="pct"/>
          </w:tcPr>
          <w:p w14:paraId="0D5840C6" w14:textId="73440BAA" w:rsidR="00ED2C89" w:rsidRPr="00ED2C89" w:rsidRDefault="00ED2C89" w:rsidP="00ED2C89">
            <w:pPr>
              <w:jc w:val="center"/>
              <w:rPr>
                <w:rFonts w:ascii="Arial" w:hAnsi="Arial" w:cs="Arial"/>
                <w:color w:val="000000"/>
                <w:lang w:val="en-IN"/>
              </w:rPr>
            </w:pPr>
            <w:r w:rsidRPr="00ED2C89">
              <w:rPr>
                <w:rFonts w:ascii="Arial" w:hAnsi="Arial" w:cs="Arial"/>
                <w:color w:val="000000"/>
              </w:rPr>
              <w:t>.462</w:t>
            </w:r>
          </w:p>
        </w:tc>
        <w:tc>
          <w:tcPr>
            <w:tcW w:w="831" w:type="pct"/>
          </w:tcPr>
          <w:p w14:paraId="0DB9B596"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17028.500</w:t>
            </w:r>
          </w:p>
        </w:tc>
      </w:tr>
      <w:tr w:rsidR="00ED2C89" w:rsidRPr="00ED2C89" w14:paraId="5CD978FD" w14:textId="77777777" w:rsidTr="00C32B0C">
        <w:trPr>
          <w:trHeight w:val="412"/>
        </w:trPr>
        <w:tc>
          <w:tcPr>
            <w:tcW w:w="1039" w:type="pct"/>
            <w:vMerge/>
          </w:tcPr>
          <w:p w14:paraId="1F44ED2B" w14:textId="77777777" w:rsidR="00ED2C89" w:rsidRPr="00ED2C89" w:rsidRDefault="00ED2C89" w:rsidP="00ED2C89">
            <w:pPr>
              <w:rPr>
                <w:rFonts w:ascii="Arial" w:hAnsi="Arial" w:cs="Arial"/>
              </w:rPr>
            </w:pPr>
          </w:p>
        </w:tc>
        <w:tc>
          <w:tcPr>
            <w:tcW w:w="878" w:type="pct"/>
          </w:tcPr>
          <w:p w14:paraId="324B54A7" w14:textId="77777777" w:rsidR="00ED2C89" w:rsidRPr="00ED2C89" w:rsidRDefault="00ED2C89" w:rsidP="00ED2C89">
            <w:pPr>
              <w:pStyle w:val="TableParagraph"/>
              <w:spacing w:line="240" w:lineRule="auto"/>
              <w:ind w:left="9" w:right="3"/>
              <w:rPr>
                <w:rFonts w:ascii="Arial" w:hAnsi="Arial" w:cs="Arial"/>
                <w:sz w:val="20"/>
                <w:szCs w:val="20"/>
              </w:rPr>
            </w:pPr>
            <w:r w:rsidRPr="00ED2C89">
              <w:rPr>
                <w:rFonts w:ascii="Arial" w:hAnsi="Arial" w:cs="Arial"/>
                <w:sz w:val="20"/>
                <w:szCs w:val="20"/>
              </w:rPr>
              <w:t xml:space="preserve">2010-2024 </w:t>
            </w:r>
          </w:p>
        </w:tc>
        <w:tc>
          <w:tcPr>
            <w:tcW w:w="714" w:type="pct"/>
          </w:tcPr>
          <w:p w14:paraId="0EFB4FD5"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19</w:t>
            </w:r>
          </w:p>
        </w:tc>
        <w:tc>
          <w:tcPr>
            <w:tcW w:w="878" w:type="pct"/>
          </w:tcPr>
          <w:p w14:paraId="5A324497" w14:textId="1F4AF96E" w:rsidR="00ED2C89" w:rsidRPr="00ED2C89" w:rsidRDefault="00423616"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.181</w:t>
            </w:r>
          </w:p>
        </w:tc>
        <w:tc>
          <w:tcPr>
            <w:tcW w:w="659" w:type="pct"/>
          </w:tcPr>
          <w:p w14:paraId="557E471F" w14:textId="14807524" w:rsidR="00ED2C89" w:rsidRPr="00ED2C89" w:rsidRDefault="00ED2C89" w:rsidP="00ED2C89">
            <w:pPr>
              <w:jc w:val="center"/>
              <w:rPr>
                <w:rFonts w:ascii="Arial" w:hAnsi="Arial" w:cs="Arial"/>
                <w:color w:val="000000"/>
                <w:lang w:val="en-IN"/>
              </w:rPr>
            </w:pPr>
            <w:r w:rsidRPr="00ED2C89">
              <w:rPr>
                <w:rFonts w:ascii="Arial" w:hAnsi="Arial" w:cs="Arial"/>
                <w:color w:val="000000"/>
              </w:rPr>
              <w:t>.373</w:t>
            </w:r>
          </w:p>
        </w:tc>
        <w:tc>
          <w:tcPr>
            <w:tcW w:w="831" w:type="pct"/>
          </w:tcPr>
          <w:p w14:paraId="687B4A2C"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6205.714</w:t>
            </w:r>
          </w:p>
        </w:tc>
      </w:tr>
      <w:tr w:rsidR="00ED2C89" w:rsidRPr="00ED2C89" w14:paraId="13967DD9" w14:textId="77777777" w:rsidTr="00C32B0C">
        <w:trPr>
          <w:trHeight w:val="414"/>
        </w:trPr>
        <w:tc>
          <w:tcPr>
            <w:tcW w:w="1039" w:type="pct"/>
            <w:vMerge/>
          </w:tcPr>
          <w:p w14:paraId="1E03572E" w14:textId="77777777" w:rsidR="00ED2C89" w:rsidRPr="00ED2C89" w:rsidRDefault="00ED2C89" w:rsidP="00ED2C89">
            <w:pPr>
              <w:rPr>
                <w:rFonts w:ascii="Arial" w:hAnsi="Arial" w:cs="Arial"/>
              </w:rPr>
            </w:pPr>
          </w:p>
        </w:tc>
        <w:tc>
          <w:tcPr>
            <w:tcW w:w="878" w:type="pct"/>
          </w:tcPr>
          <w:p w14:paraId="01344E51" w14:textId="77777777" w:rsidR="00ED2C89" w:rsidRPr="00ED2C89" w:rsidRDefault="00ED2C89" w:rsidP="00ED2C89">
            <w:pPr>
              <w:pStyle w:val="TableParagraph"/>
              <w:spacing w:before="1" w:line="240" w:lineRule="auto"/>
              <w:ind w:left="9" w:right="3"/>
              <w:rPr>
                <w:rFonts w:ascii="Arial" w:hAnsi="Arial" w:cs="Arial"/>
                <w:sz w:val="20"/>
                <w:szCs w:val="20"/>
              </w:rPr>
            </w:pPr>
            <w:r w:rsidRPr="00ED2C89">
              <w:rPr>
                <w:rFonts w:ascii="Arial" w:hAnsi="Arial" w:cs="Arial"/>
                <w:sz w:val="20"/>
                <w:szCs w:val="20"/>
              </w:rPr>
              <w:t>2005-2024</w:t>
            </w:r>
          </w:p>
        </w:tc>
        <w:tc>
          <w:tcPr>
            <w:tcW w:w="714" w:type="pct"/>
          </w:tcPr>
          <w:p w14:paraId="4EAD1B4B"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98</w:t>
            </w:r>
          </w:p>
        </w:tc>
        <w:tc>
          <w:tcPr>
            <w:tcW w:w="878" w:type="pct"/>
          </w:tcPr>
          <w:p w14:paraId="61FCE9FB" w14:textId="1A4FB081" w:rsidR="00ED2C89" w:rsidRPr="00ED2C89" w:rsidRDefault="00423616"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.516</w:t>
            </w:r>
            <w:r w:rsidR="00ED2C89" w:rsidRPr="00ED2C89">
              <w:rPr>
                <w:rFonts w:ascii="Arial" w:hAnsi="Arial" w:cs="Arial"/>
                <w:i/>
              </w:rPr>
              <w:t>***</w:t>
            </w:r>
            <w:r w:rsidR="00ED2C89" w:rsidRPr="00ED2C89">
              <w:rPr>
                <w:rFonts w:ascii="Arial" w:hAnsi="Arial" w:cs="Arial"/>
                <w:i/>
                <w:spacing w:val="-3"/>
              </w:rPr>
              <w:t xml:space="preserve"> </w:t>
            </w:r>
          </w:p>
        </w:tc>
        <w:tc>
          <w:tcPr>
            <w:tcW w:w="659" w:type="pct"/>
          </w:tcPr>
          <w:p w14:paraId="3EA93067" w14:textId="1F1AADA3" w:rsidR="00ED2C89" w:rsidRPr="00ED2C89" w:rsidRDefault="00ED2C89" w:rsidP="00ED2C89">
            <w:pPr>
              <w:jc w:val="center"/>
              <w:rPr>
                <w:rFonts w:ascii="Arial" w:hAnsi="Arial" w:cs="Arial"/>
                <w:color w:val="000000"/>
                <w:lang w:val="en-IN"/>
              </w:rPr>
            </w:pPr>
            <w:r w:rsidRPr="00ED2C89">
              <w:rPr>
                <w:rFonts w:ascii="Arial" w:hAnsi="Arial" w:cs="Arial"/>
                <w:color w:val="000000"/>
              </w:rPr>
              <w:t>.002</w:t>
            </w:r>
          </w:p>
        </w:tc>
        <w:tc>
          <w:tcPr>
            <w:tcW w:w="831" w:type="pct"/>
          </w:tcPr>
          <w:p w14:paraId="7BB2C0AC"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23837.531</w:t>
            </w:r>
          </w:p>
        </w:tc>
      </w:tr>
      <w:tr w:rsidR="00ED2C89" w:rsidRPr="00ED2C89" w14:paraId="7EBAA133" w14:textId="77777777" w:rsidTr="00C32B0C">
        <w:trPr>
          <w:trHeight w:val="414"/>
        </w:trPr>
        <w:tc>
          <w:tcPr>
            <w:tcW w:w="1039" w:type="pct"/>
            <w:vMerge w:val="restart"/>
          </w:tcPr>
          <w:p w14:paraId="0F66AEF3" w14:textId="77777777" w:rsidR="00ED2C89" w:rsidRPr="00ED2C89" w:rsidRDefault="00ED2C89" w:rsidP="00ED2C89">
            <w:pPr>
              <w:pStyle w:val="TableParagraph"/>
              <w:spacing w:line="240" w:lineRule="auto"/>
              <w:ind w:left="218"/>
              <w:jc w:val="left"/>
              <w:rPr>
                <w:rFonts w:ascii="Arial" w:hAnsi="Arial" w:cs="Arial"/>
                <w:sz w:val="20"/>
                <w:szCs w:val="20"/>
              </w:rPr>
            </w:pPr>
            <w:r w:rsidRPr="00ED2C89">
              <w:rPr>
                <w:rFonts w:ascii="Arial" w:hAnsi="Arial" w:cs="Arial"/>
                <w:sz w:val="20"/>
                <w:szCs w:val="20"/>
              </w:rPr>
              <w:t>Export value</w:t>
            </w:r>
          </w:p>
          <w:p w14:paraId="71524DD5" w14:textId="77777777" w:rsidR="00ED2C89" w:rsidRPr="00ED2C89" w:rsidRDefault="00ED2C89" w:rsidP="00ED2C89">
            <w:pPr>
              <w:pStyle w:val="TableParagraph"/>
              <w:spacing w:before="217" w:line="240" w:lineRule="auto"/>
              <w:ind w:right="100"/>
              <w:jc w:val="left"/>
              <w:rPr>
                <w:rFonts w:ascii="Arial" w:hAnsi="Arial" w:cs="Arial"/>
                <w:sz w:val="20"/>
                <w:szCs w:val="20"/>
              </w:rPr>
            </w:pPr>
            <w:r w:rsidRPr="00ED2C89">
              <w:rPr>
                <w:rFonts w:ascii="Arial" w:hAnsi="Arial" w:cs="Arial"/>
                <w:sz w:val="20"/>
                <w:szCs w:val="20"/>
              </w:rPr>
              <w:t>(thousand USD)</w:t>
            </w:r>
          </w:p>
        </w:tc>
        <w:tc>
          <w:tcPr>
            <w:tcW w:w="878" w:type="pct"/>
          </w:tcPr>
          <w:p w14:paraId="7D80CF00" w14:textId="77777777" w:rsidR="00ED2C89" w:rsidRPr="00ED2C89" w:rsidRDefault="00ED2C89" w:rsidP="00ED2C89">
            <w:pPr>
              <w:pStyle w:val="TableParagraph"/>
              <w:spacing w:line="240" w:lineRule="auto"/>
              <w:ind w:left="9" w:right="3"/>
              <w:rPr>
                <w:rFonts w:ascii="Arial" w:hAnsi="Arial" w:cs="Arial"/>
                <w:sz w:val="20"/>
                <w:szCs w:val="20"/>
              </w:rPr>
            </w:pPr>
            <w:r w:rsidRPr="00ED2C89">
              <w:rPr>
                <w:rFonts w:ascii="Arial" w:hAnsi="Arial" w:cs="Arial"/>
                <w:sz w:val="20"/>
                <w:szCs w:val="20"/>
              </w:rPr>
              <w:t xml:space="preserve">2005-2009 </w:t>
            </w:r>
          </w:p>
        </w:tc>
        <w:tc>
          <w:tcPr>
            <w:tcW w:w="714" w:type="pct"/>
          </w:tcPr>
          <w:p w14:paraId="51921F1F"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6</w:t>
            </w:r>
          </w:p>
        </w:tc>
        <w:tc>
          <w:tcPr>
            <w:tcW w:w="878" w:type="pct"/>
          </w:tcPr>
          <w:p w14:paraId="6DC0C64B" w14:textId="7E32F989" w:rsidR="00ED2C89" w:rsidRPr="00ED2C89" w:rsidRDefault="00423616"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.600</w:t>
            </w:r>
          </w:p>
        </w:tc>
        <w:tc>
          <w:tcPr>
            <w:tcW w:w="659" w:type="pct"/>
          </w:tcPr>
          <w:p w14:paraId="178429E1" w14:textId="5D840B99" w:rsidR="00ED2C89" w:rsidRPr="00ED2C89" w:rsidRDefault="00ED2C89" w:rsidP="00ED2C89">
            <w:pPr>
              <w:jc w:val="center"/>
              <w:rPr>
                <w:rFonts w:ascii="Arial" w:hAnsi="Arial" w:cs="Arial"/>
                <w:color w:val="000000"/>
                <w:lang w:val="en-IN"/>
              </w:rPr>
            </w:pPr>
            <w:r w:rsidRPr="00ED2C89">
              <w:rPr>
                <w:rFonts w:ascii="Arial" w:hAnsi="Arial" w:cs="Arial"/>
                <w:color w:val="000000"/>
              </w:rPr>
              <w:t>.221</w:t>
            </w:r>
          </w:p>
        </w:tc>
        <w:tc>
          <w:tcPr>
            <w:tcW w:w="831" w:type="pct"/>
          </w:tcPr>
          <w:p w14:paraId="44474F51"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48026.500</w:t>
            </w:r>
          </w:p>
        </w:tc>
      </w:tr>
      <w:tr w:rsidR="00ED2C89" w:rsidRPr="00ED2C89" w14:paraId="3AC2DC17" w14:textId="77777777" w:rsidTr="00C32B0C">
        <w:trPr>
          <w:trHeight w:val="412"/>
        </w:trPr>
        <w:tc>
          <w:tcPr>
            <w:tcW w:w="1039" w:type="pct"/>
            <w:vMerge/>
          </w:tcPr>
          <w:p w14:paraId="58C72C5E" w14:textId="77777777" w:rsidR="00ED2C89" w:rsidRPr="00ED2C89" w:rsidRDefault="00ED2C89" w:rsidP="00ED2C89">
            <w:pPr>
              <w:rPr>
                <w:rFonts w:ascii="Arial" w:hAnsi="Arial" w:cs="Arial"/>
              </w:rPr>
            </w:pPr>
          </w:p>
        </w:tc>
        <w:tc>
          <w:tcPr>
            <w:tcW w:w="878" w:type="pct"/>
          </w:tcPr>
          <w:p w14:paraId="6BFE0250" w14:textId="77777777" w:rsidR="00ED2C89" w:rsidRPr="00ED2C89" w:rsidRDefault="00ED2C89" w:rsidP="00ED2C89">
            <w:pPr>
              <w:pStyle w:val="TableParagraph"/>
              <w:spacing w:line="240" w:lineRule="auto"/>
              <w:ind w:left="9" w:right="3"/>
              <w:rPr>
                <w:rFonts w:ascii="Arial" w:hAnsi="Arial" w:cs="Arial"/>
                <w:sz w:val="20"/>
                <w:szCs w:val="20"/>
              </w:rPr>
            </w:pPr>
            <w:r w:rsidRPr="00ED2C89">
              <w:rPr>
                <w:rFonts w:ascii="Arial" w:hAnsi="Arial" w:cs="Arial"/>
                <w:sz w:val="20"/>
                <w:szCs w:val="20"/>
              </w:rPr>
              <w:t xml:space="preserve">2010-2024 </w:t>
            </w:r>
          </w:p>
        </w:tc>
        <w:tc>
          <w:tcPr>
            <w:tcW w:w="714" w:type="pct"/>
          </w:tcPr>
          <w:p w14:paraId="0AABB40C"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23</w:t>
            </w:r>
          </w:p>
        </w:tc>
        <w:tc>
          <w:tcPr>
            <w:tcW w:w="878" w:type="pct"/>
          </w:tcPr>
          <w:p w14:paraId="7826E2EF" w14:textId="147CD793" w:rsidR="00ED2C89" w:rsidRPr="00ED2C89" w:rsidRDefault="0098582D"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.219</w:t>
            </w:r>
          </w:p>
        </w:tc>
        <w:tc>
          <w:tcPr>
            <w:tcW w:w="659" w:type="pct"/>
          </w:tcPr>
          <w:p w14:paraId="06DCDBF8" w14:textId="2DBDCE11" w:rsidR="00ED2C89" w:rsidRPr="00ED2C89" w:rsidRDefault="00ED2C89" w:rsidP="00ED2C89">
            <w:pPr>
              <w:jc w:val="center"/>
              <w:rPr>
                <w:rFonts w:ascii="Arial" w:hAnsi="Arial" w:cs="Arial"/>
                <w:color w:val="000000"/>
                <w:lang w:val="en-IN"/>
              </w:rPr>
            </w:pPr>
            <w:r w:rsidRPr="00ED2C89">
              <w:rPr>
                <w:rFonts w:ascii="Arial" w:hAnsi="Arial" w:cs="Arial"/>
                <w:color w:val="000000"/>
              </w:rPr>
              <w:t>.276</w:t>
            </w:r>
          </w:p>
        </w:tc>
        <w:tc>
          <w:tcPr>
            <w:tcW w:w="831" w:type="pct"/>
          </w:tcPr>
          <w:p w14:paraId="61EF775B"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16493.500</w:t>
            </w:r>
          </w:p>
        </w:tc>
      </w:tr>
      <w:tr w:rsidR="00ED2C89" w:rsidRPr="00ED2C89" w14:paraId="2D8E8F14" w14:textId="77777777" w:rsidTr="00C32B0C">
        <w:trPr>
          <w:trHeight w:val="415"/>
        </w:trPr>
        <w:tc>
          <w:tcPr>
            <w:tcW w:w="1039" w:type="pct"/>
            <w:vMerge/>
          </w:tcPr>
          <w:p w14:paraId="608225C3" w14:textId="77777777" w:rsidR="00ED2C89" w:rsidRPr="00ED2C89" w:rsidRDefault="00ED2C89" w:rsidP="00ED2C89">
            <w:pPr>
              <w:rPr>
                <w:rFonts w:ascii="Arial" w:hAnsi="Arial" w:cs="Arial"/>
              </w:rPr>
            </w:pPr>
          </w:p>
        </w:tc>
        <w:tc>
          <w:tcPr>
            <w:tcW w:w="878" w:type="pct"/>
          </w:tcPr>
          <w:p w14:paraId="7BEF87A6" w14:textId="77777777" w:rsidR="00ED2C89" w:rsidRPr="00ED2C89" w:rsidRDefault="00ED2C89" w:rsidP="00ED2C89">
            <w:pPr>
              <w:pStyle w:val="TableParagraph"/>
              <w:spacing w:before="2" w:line="240" w:lineRule="auto"/>
              <w:ind w:left="9" w:right="3"/>
              <w:rPr>
                <w:rFonts w:ascii="Arial" w:hAnsi="Arial" w:cs="Arial"/>
                <w:sz w:val="20"/>
                <w:szCs w:val="20"/>
              </w:rPr>
            </w:pPr>
            <w:r w:rsidRPr="00ED2C89">
              <w:rPr>
                <w:rFonts w:ascii="Arial" w:hAnsi="Arial" w:cs="Arial"/>
                <w:sz w:val="20"/>
                <w:szCs w:val="20"/>
              </w:rPr>
              <w:t>2005-2024</w:t>
            </w:r>
          </w:p>
        </w:tc>
        <w:tc>
          <w:tcPr>
            <w:tcW w:w="714" w:type="pct"/>
          </w:tcPr>
          <w:p w14:paraId="2F33D508"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104</w:t>
            </w:r>
          </w:p>
        </w:tc>
        <w:tc>
          <w:tcPr>
            <w:tcW w:w="878" w:type="pct"/>
          </w:tcPr>
          <w:p w14:paraId="728052C5" w14:textId="1466DF06" w:rsidR="00ED2C89" w:rsidRPr="00ED2C89" w:rsidRDefault="0098582D" w:rsidP="00ED2C89">
            <w:pPr>
              <w:jc w:val="center"/>
              <w:rPr>
                <w:rFonts w:ascii="Arial" w:hAnsi="Arial" w:cs="Arial"/>
                <w:color w:val="000000"/>
                <w:lang w:val="en-IN"/>
              </w:rPr>
            </w:pPr>
            <w:r>
              <w:rPr>
                <w:rFonts w:ascii="Arial" w:hAnsi="Arial" w:cs="Arial"/>
                <w:color w:val="000000"/>
              </w:rPr>
              <w:t>0</w:t>
            </w:r>
            <w:r w:rsidR="00ED2C89" w:rsidRPr="00ED2C89">
              <w:rPr>
                <w:rFonts w:ascii="Arial" w:hAnsi="Arial" w:cs="Arial"/>
                <w:color w:val="000000"/>
              </w:rPr>
              <w:t>.547</w:t>
            </w:r>
            <w:r w:rsidR="00ED2C89" w:rsidRPr="00ED2C89">
              <w:rPr>
                <w:rFonts w:ascii="Arial" w:hAnsi="Arial" w:cs="Arial"/>
                <w:i/>
              </w:rPr>
              <w:t>***</w:t>
            </w:r>
            <w:r w:rsidR="00ED2C89" w:rsidRPr="00ED2C89">
              <w:rPr>
                <w:rFonts w:ascii="Arial" w:hAnsi="Arial" w:cs="Arial"/>
                <w:i/>
                <w:spacing w:val="-3"/>
              </w:rPr>
              <w:t xml:space="preserve"> </w:t>
            </w:r>
          </w:p>
        </w:tc>
        <w:tc>
          <w:tcPr>
            <w:tcW w:w="659" w:type="pct"/>
          </w:tcPr>
          <w:p w14:paraId="3FF4389E" w14:textId="23C4F909" w:rsidR="00ED2C89" w:rsidRPr="00ED2C89" w:rsidRDefault="00ED2C89" w:rsidP="00ED2C89">
            <w:pPr>
              <w:jc w:val="center"/>
              <w:rPr>
                <w:rFonts w:ascii="Arial" w:hAnsi="Arial" w:cs="Arial"/>
                <w:color w:val="000000"/>
                <w:lang w:val="en-IN"/>
              </w:rPr>
            </w:pPr>
            <w:r w:rsidRPr="00ED2C89">
              <w:rPr>
                <w:rFonts w:ascii="Arial" w:hAnsi="Arial" w:cs="Arial"/>
                <w:color w:val="000000"/>
              </w:rPr>
              <w:t>.001</w:t>
            </w:r>
          </w:p>
        </w:tc>
        <w:tc>
          <w:tcPr>
            <w:tcW w:w="831" w:type="pct"/>
          </w:tcPr>
          <w:p w14:paraId="172CD25A" w14:textId="77777777" w:rsidR="00ED2C89" w:rsidRPr="00ED2C89" w:rsidRDefault="00ED2C89" w:rsidP="00ED2C89">
            <w:pPr>
              <w:jc w:val="center"/>
              <w:rPr>
                <w:rFonts w:ascii="Arial" w:hAnsi="Arial" w:cs="Arial"/>
                <w:color w:val="000000"/>
                <w:lang w:val="en-IN"/>
              </w:rPr>
            </w:pPr>
            <w:r w:rsidRPr="00ED2C89">
              <w:rPr>
                <w:rFonts w:ascii="Arial" w:hAnsi="Arial" w:cs="Arial"/>
                <w:color w:val="000000"/>
              </w:rPr>
              <w:t>35235.976</w:t>
            </w:r>
          </w:p>
        </w:tc>
      </w:tr>
    </w:tbl>
    <w:p w14:paraId="4288DA55" w14:textId="77777777" w:rsidR="00956FBD" w:rsidRDefault="00956FBD" w:rsidP="00C32B0C">
      <w:pPr>
        <w:pStyle w:val="NormalWeb"/>
        <w:jc w:val="both"/>
        <w:rPr>
          <w:rFonts w:ascii="Arial" w:hAnsi="Arial" w:cs="Arial"/>
          <w:sz w:val="20"/>
          <w:szCs w:val="20"/>
        </w:rPr>
      </w:pPr>
    </w:p>
    <w:p w14:paraId="354321E8" w14:textId="753D7CFF" w:rsidR="00C32B0C" w:rsidRDefault="00C32B0C" w:rsidP="00C32B0C">
      <w:pPr>
        <w:pStyle w:val="NormalWeb"/>
        <w:jc w:val="both"/>
        <w:rPr>
          <w:rFonts w:ascii="Arial" w:hAnsi="Arial" w:cs="Arial"/>
          <w:sz w:val="20"/>
          <w:szCs w:val="20"/>
        </w:rPr>
      </w:pPr>
      <w:r w:rsidRPr="00C32B0C">
        <w:rPr>
          <w:rFonts w:ascii="Arial" w:hAnsi="Arial" w:cs="Arial"/>
          <w:sz w:val="20"/>
          <w:szCs w:val="20"/>
        </w:rPr>
        <w:t>The whole-time series result showed an upward and significant (p &lt; .01) trend in both export quantity and export value, highlighting long-term growth potential in groundnut exports from India. Thus, export value showed a relatively higher increasing trend as compared to export quantity during all three segments. The statistical analysis showed that both export quantity and value experienced an overall positive growth trend during the study period, although the segmented periods showed variations.</w:t>
      </w:r>
      <w:r>
        <w:rPr>
          <w:rFonts w:ascii="Arial" w:hAnsi="Arial" w:cs="Arial"/>
          <w:sz w:val="20"/>
          <w:szCs w:val="20"/>
        </w:rPr>
        <w:t xml:space="preserve"> </w:t>
      </w:r>
      <w:r w:rsidRPr="00C32B0C">
        <w:rPr>
          <w:rFonts w:ascii="Arial" w:hAnsi="Arial" w:cs="Arial"/>
          <w:sz w:val="20"/>
          <w:szCs w:val="20"/>
        </w:rPr>
        <w:t xml:space="preserve">Overall, the data indicate significant and consistent increases in groundnut export quantity and value over the past two decades, especially during the full-time series. The trends reflect improvements in export performance, global demand, and trade facilitation policies </w:t>
      </w:r>
      <w:proofErr w:type="spellStart"/>
      <w:r w:rsidRPr="00C32B0C">
        <w:rPr>
          <w:rFonts w:ascii="Arial" w:hAnsi="Arial" w:cs="Arial"/>
          <w:sz w:val="20"/>
          <w:szCs w:val="20"/>
        </w:rPr>
        <w:t>favouring</w:t>
      </w:r>
      <w:proofErr w:type="spellEnd"/>
      <w:r w:rsidRPr="00C32B0C">
        <w:rPr>
          <w:rFonts w:ascii="Arial" w:hAnsi="Arial" w:cs="Arial"/>
          <w:sz w:val="20"/>
          <w:szCs w:val="20"/>
        </w:rPr>
        <w:t xml:space="preserve"> India’s groundnut sector.</w:t>
      </w:r>
    </w:p>
    <w:p w14:paraId="6BA06C3E" w14:textId="77777777" w:rsidR="0044684F" w:rsidRDefault="0044684F" w:rsidP="00C32B0C">
      <w:pPr>
        <w:pStyle w:val="NormalWeb"/>
        <w:jc w:val="both"/>
        <w:rPr>
          <w:rFonts w:ascii="Arial" w:hAnsi="Arial" w:cs="Arial"/>
          <w:sz w:val="20"/>
          <w:szCs w:val="20"/>
        </w:rPr>
      </w:pPr>
    </w:p>
    <w:p w14:paraId="7AC37721" w14:textId="6C2F3F68" w:rsidR="00C32B0C" w:rsidRPr="00C32B0C" w:rsidRDefault="00C32B0C" w:rsidP="00C32B0C">
      <w:pPr>
        <w:pStyle w:val="NormalWeb"/>
        <w:jc w:val="both"/>
        <w:rPr>
          <w:rFonts w:ascii="Arial" w:hAnsi="Arial" w:cs="Arial"/>
          <w:sz w:val="20"/>
          <w:szCs w:val="20"/>
        </w:rPr>
      </w:pPr>
      <w:r w:rsidRPr="00C32B0C">
        <w:rPr>
          <w:rFonts w:ascii="Arial" w:hAnsi="Arial" w:cs="Arial"/>
          <w:sz w:val="20"/>
          <w:szCs w:val="20"/>
        </w:rPr>
        <w:t>Table 4 presents the coefficient of determination (R²) values for linear, exponential, and quadratic models fitted to the data on export quantity and export value of groundnut from India. The R² values serve as indicators of how well each model explains the variability in the respective export parameters over time. For export quantity, the quadratic model achieves the highest R² value of 0.660, suggesting that approximately 66 per cent of the variation in groundnut export quantity can be explained by a quadratic trend. In terms of export value, the quadratic model again performs best with an R² of 0.614, indicating that around 61.4 per cent of the variability in export value is accounted for by the quadratic equation. Overall, the quadratic model consistently provides the best fit for both export quantity and export value, as indicated by the highest R² values among the three models.</w:t>
      </w:r>
    </w:p>
    <w:p w14:paraId="12B4B470" w14:textId="77777777" w:rsidR="005E200F" w:rsidRPr="00CE1BBA" w:rsidRDefault="005E200F" w:rsidP="005E200F">
      <w:pPr>
        <w:tabs>
          <w:tab w:val="left" w:pos="1080"/>
        </w:tabs>
        <w:jc w:val="both"/>
        <w:rPr>
          <w:rFonts w:ascii="Arial" w:hAnsi="Arial" w:cs="Arial"/>
          <w:lang w:val="en-IN"/>
        </w:rPr>
      </w:pPr>
    </w:p>
    <w:p w14:paraId="5867DCBE" w14:textId="5EFC8A7C" w:rsidR="005E200F" w:rsidRPr="0044684F" w:rsidRDefault="005E200F" w:rsidP="0044684F">
      <w:pPr>
        <w:tabs>
          <w:tab w:val="left" w:pos="1080"/>
        </w:tabs>
        <w:ind w:left="720" w:hanging="720"/>
        <w:jc w:val="both"/>
        <w:rPr>
          <w:rFonts w:ascii="Arial" w:hAnsi="Arial" w:cs="Arial"/>
          <w:b/>
        </w:rPr>
      </w:pPr>
      <w:r w:rsidRPr="00CE1BBA">
        <w:rPr>
          <w:rFonts w:ascii="Arial" w:hAnsi="Arial" w:cs="Arial"/>
          <w:b/>
        </w:rPr>
        <w:t xml:space="preserve">Table </w:t>
      </w:r>
      <w:r w:rsidR="0084148F">
        <w:rPr>
          <w:rFonts w:ascii="Arial" w:hAnsi="Arial" w:cs="Arial"/>
          <w:b/>
        </w:rPr>
        <w:t>4</w:t>
      </w:r>
      <w:r w:rsidR="00C32B0C" w:rsidRPr="00C32B0C">
        <w:rPr>
          <w:rFonts w:ascii="Times New Roman" w:hAnsi="Times New Roman"/>
          <w:b/>
          <w:sz w:val="24"/>
          <w:szCs w:val="24"/>
        </w:rPr>
        <w:t xml:space="preserve"> </w:t>
      </w:r>
      <w:r w:rsidR="00C32B0C" w:rsidRPr="00C32B0C">
        <w:rPr>
          <w:rFonts w:ascii="Arial" w:hAnsi="Arial" w:cs="Arial"/>
          <w:b/>
        </w:rPr>
        <w:t>Model equations for linear, exponential and quadratic trends and value of R2 of export quantity and export value of groundnut from India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7"/>
        <w:gridCol w:w="2077"/>
        <w:gridCol w:w="3840"/>
        <w:gridCol w:w="1044"/>
      </w:tblGrid>
      <w:tr w:rsidR="00C32B0C" w:rsidRPr="00C32B0C" w14:paraId="15077332" w14:textId="77777777" w:rsidTr="001E37F6">
        <w:trPr>
          <w:trHeight w:val="414"/>
        </w:trPr>
        <w:tc>
          <w:tcPr>
            <w:tcW w:w="754" w:type="pct"/>
          </w:tcPr>
          <w:p w14:paraId="1DE510AD" w14:textId="77777777" w:rsidR="00C32B0C" w:rsidRPr="00C32B0C" w:rsidRDefault="00C32B0C" w:rsidP="00C32B0C">
            <w:pPr>
              <w:pStyle w:val="TableParagraph"/>
              <w:spacing w:line="240" w:lineRule="auto"/>
              <w:ind w:left="189"/>
              <w:jc w:val="left"/>
              <w:rPr>
                <w:rFonts w:ascii="Arial" w:hAnsi="Arial" w:cs="Arial"/>
                <w:b/>
                <w:sz w:val="20"/>
                <w:szCs w:val="20"/>
              </w:rPr>
            </w:pPr>
            <w:r w:rsidRPr="00C32B0C">
              <w:rPr>
                <w:rFonts w:ascii="Arial" w:hAnsi="Arial" w:cs="Arial"/>
                <w:b/>
                <w:spacing w:val="-2"/>
                <w:sz w:val="20"/>
                <w:szCs w:val="20"/>
              </w:rPr>
              <w:t>Variable</w:t>
            </w:r>
          </w:p>
        </w:tc>
        <w:tc>
          <w:tcPr>
            <w:tcW w:w="1267" w:type="pct"/>
          </w:tcPr>
          <w:p w14:paraId="77BD8167" w14:textId="77777777" w:rsidR="00C32B0C" w:rsidRPr="00C32B0C" w:rsidRDefault="00C32B0C" w:rsidP="00C32B0C">
            <w:pPr>
              <w:pStyle w:val="TableParagraph"/>
              <w:spacing w:line="240" w:lineRule="auto"/>
              <w:ind w:left="434"/>
              <w:jc w:val="left"/>
              <w:rPr>
                <w:rFonts w:ascii="Arial" w:hAnsi="Arial" w:cs="Arial"/>
                <w:b/>
                <w:sz w:val="20"/>
                <w:szCs w:val="20"/>
              </w:rPr>
            </w:pPr>
            <w:r w:rsidRPr="00C32B0C">
              <w:rPr>
                <w:rFonts w:ascii="Arial" w:hAnsi="Arial" w:cs="Arial"/>
                <w:b/>
                <w:sz w:val="20"/>
                <w:szCs w:val="20"/>
              </w:rPr>
              <w:t>Model</w:t>
            </w:r>
            <w:r w:rsidRPr="00C32B0C">
              <w:rPr>
                <w:rFonts w:ascii="Arial" w:hAnsi="Arial" w:cs="Arial"/>
                <w:b/>
                <w:spacing w:val="-4"/>
                <w:sz w:val="20"/>
                <w:szCs w:val="20"/>
              </w:rPr>
              <w:t xml:space="preserve"> name</w:t>
            </w:r>
          </w:p>
        </w:tc>
        <w:tc>
          <w:tcPr>
            <w:tcW w:w="2342" w:type="pct"/>
          </w:tcPr>
          <w:p w14:paraId="3C1A5457" w14:textId="77777777" w:rsidR="00C32B0C" w:rsidRPr="00C32B0C" w:rsidRDefault="00C32B0C" w:rsidP="00C32B0C">
            <w:pPr>
              <w:pStyle w:val="TableParagraph"/>
              <w:spacing w:line="240" w:lineRule="auto"/>
              <w:ind w:left="9"/>
              <w:rPr>
                <w:rFonts w:ascii="Arial" w:hAnsi="Arial" w:cs="Arial"/>
                <w:b/>
                <w:sz w:val="20"/>
                <w:szCs w:val="20"/>
              </w:rPr>
            </w:pPr>
            <w:r w:rsidRPr="00C32B0C">
              <w:rPr>
                <w:rFonts w:ascii="Arial" w:hAnsi="Arial" w:cs="Arial"/>
                <w:b/>
                <w:spacing w:val="-10"/>
                <w:sz w:val="20"/>
                <w:szCs w:val="20"/>
              </w:rPr>
              <w:t>Y</w:t>
            </w:r>
          </w:p>
        </w:tc>
        <w:tc>
          <w:tcPr>
            <w:tcW w:w="637" w:type="pct"/>
          </w:tcPr>
          <w:p w14:paraId="59225443" w14:textId="77777777" w:rsidR="00C32B0C" w:rsidRPr="00C32B0C" w:rsidRDefault="00C32B0C" w:rsidP="00C32B0C">
            <w:pPr>
              <w:pStyle w:val="TableParagraph"/>
              <w:spacing w:line="240" w:lineRule="auto"/>
              <w:ind w:left="8"/>
              <w:rPr>
                <w:rFonts w:ascii="Arial" w:hAnsi="Arial" w:cs="Arial"/>
                <w:b/>
                <w:sz w:val="20"/>
                <w:szCs w:val="20"/>
              </w:rPr>
            </w:pPr>
            <w:r w:rsidRPr="00C32B0C">
              <w:rPr>
                <w:rFonts w:ascii="Arial" w:hAnsi="Arial" w:cs="Arial"/>
                <w:b/>
                <w:spacing w:val="-5"/>
                <w:position w:val="-7"/>
                <w:sz w:val="20"/>
                <w:szCs w:val="20"/>
              </w:rPr>
              <w:t>R</w:t>
            </w:r>
            <w:r w:rsidRPr="00C32B0C">
              <w:rPr>
                <w:rFonts w:ascii="Arial" w:hAnsi="Arial" w:cs="Arial"/>
                <w:b/>
                <w:spacing w:val="-5"/>
                <w:sz w:val="20"/>
                <w:szCs w:val="20"/>
              </w:rPr>
              <w:t>2</w:t>
            </w:r>
          </w:p>
        </w:tc>
      </w:tr>
      <w:tr w:rsidR="00C32B0C" w:rsidRPr="00C32B0C" w14:paraId="3307AB30" w14:textId="77777777" w:rsidTr="001E37F6">
        <w:trPr>
          <w:trHeight w:val="414"/>
        </w:trPr>
        <w:tc>
          <w:tcPr>
            <w:tcW w:w="754" w:type="pct"/>
            <w:vMerge w:val="restart"/>
          </w:tcPr>
          <w:p w14:paraId="59DB0B5F" w14:textId="77777777" w:rsidR="00C32B0C" w:rsidRPr="00C32B0C" w:rsidRDefault="00C32B0C" w:rsidP="00C32B0C">
            <w:pPr>
              <w:pStyle w:val="TableParagraph"/>
              <w:spacing w:line="240" w:lineRule="auto"/>
              <w:ind w:left="218"/>
              <w:jc w:val="left"/>
              <w:rPr>
                <w:rFonts w:ascii="Arial" w:hAnsi="Arial" w:cs="Arial"/>
                <w:sz w:val="20"/>
                <w:szCs w:val="20"/>
              </w:rPr>
            </w:pPr>
            <w:r w:rsidRPr="00C32B0C">
              <w:rPr>
                <w:rFonts w:ascii="Arial" w:hAnsi="Arial" w:cs="Arial"/>
                <w:sz w:val="20"/>
                <w:szCs w:val="20"/>
              </w:rPr>
              <w:t>Export quantity</w:t>
            </w:r>
          </w:p>
          <w:p w14:paraId="43501CEB"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w:t>
            </w:r>
            <w:proofErr w:type="spellStart"/>
            <w:r w:rsidRPr="00C32B0C">
              <w:rPr>
                <w:rFonts w:ascii="Arial" w:hAnsi="Arial" w:cs="Arial"/>
                <w:sz w:val="20"/>
                <w:szCs w:val="20"/>
              </w:rPr>
              <w:t>tonnes</w:t>
            </w:r>
            <w:proofErr w:type="spellEnd"/>
            <w:r w:rsidRPr="00C32B0C">
              <w:rPr>
                <w:rFonts w:ascii="Arial" w:hAnsi="Arial" w:cs="Arial"/>
                <w:sz w:val="20"/>
                <w:szCs w:val="20"/>
              </w:rPr>
              <w:t>)</w:t>
            </w:r>
          </w:p>
        </w:tc>
        <w:tc>
          <w:tcPr>
            <w:tcW w:w="1267" w:type="pct"/>
          </w:tcPr>
          <w:p w14:paraId="7372424D"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Linear</w:t>
            </w:r>
            <w:r w:rsidRPr="00C32B0C">
              <w:rPr>
                <w:rFonts w:ascii="Arial" w:hAnsi="Arial" w:cs="Arial"/>
                <w:spacing w:val="-2"/>
                <w:sz w:val="20"/>
                <w:szCs w:val="20"/>
              </w:rPr>
              <w:t xml:space="preserve"> model</w:t>
            </w:r>
          </w:p>
        </w:tc>
        <w:tc>
          <w:tcPr>
            <w:tcW w:w="2342" w:type="pct"/>
          </w:tcPr>
          <w:p w14:paraId="01668980"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276631.8+22905.01t</w:t>
            </w:r>
          </w:p>
        </w:tc>
        <w:tc>
          <w:tcPr>
            <w:tcW w:w="637" w:type="pct"/>
          </w:tcPr>
          <w:p w14:paraId="55B59AFC" w14:textId="12D35BA8"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.555</w:t>
            </w:r>
          </w:p>
        </w:tc>
      </w:tr>
      <w:tr w:rsidR="00C32B0C" w:rsidRPr="00C32B0C" w14:paraId="23461568" w14:textId="77777777" w:rsidTr="001E37F6">
        <w:trPr>
          <w:trHeight w:val="412"/>
        </w:trPr>
        <w:tc>
          <w:tcPr>
            <w:tcW w:w="754" w:type="pct"/>
            <w:vMerge/>
            <w:tcBorders>
              <w:top w:val="nil"/>
            </w:tcBorders>
          </w:tcPr>
          <w:p w14:paraId="483F161F" w14:textId="77777777" w:rsidR="00C32B0C" w:rsidRPr="00C32B0C" w:rsidRDefault="00C32B0C" w:rsidP="00C32B0C">
            <w:pPr>
              <w:rPr>
                <w:rFonts w:ascii="Arial" w:hAnsi="Arial" w:cs="Arial"/>
              </w:rPr>
            </w:pPr>
          </w:p>
        </w:tc>
        <w:tc>
          <w:tcPr>
            <w:tcW w:w="1267" w:type="pct"/>
          </w:tcPr>
          <w:p w14:paraId="37407A41"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Exponential</w:t>
            </w:r>
            <w:r w:rsidRPr="00C32B0C">
              <w:rPr>
                <w:rFonts w:ascii="Arial" w:hAnsi="Arial" w:cs="Arial"/>
                <w:spacing w:val="-5"/>
                <w:sz w:val="20"/>
                <w:szCs w:val="20"/>
              </w:rPr>
              <w:t xml:space="preserve"> </w:t>
            </w:r>
            <w:r w:rsidRPr="00C32B0C">
              <w:rPr>
                <w:rFonts w:ascii="Arial" w:hAnsi="Arial" w:cs="Arial"/>
                <w:spacing w:val="-4"/>
                <w:sz w:val="20"/>
                <w:szCs w:val="20"/>
              </w:rPr>
              <w:t>model</w:t>
            </w:r>
          </w:p>
        </w:tc>
        <w:tc>
          <w:tcPr>
            <w:tcW w:w="2342" w:type="pct"/>
          </w:tcPr>
          <w:p w14:paraId="3F9EE508"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12.48·e</w:t>
            </w:r>
            <w:r w:rsidRPr="00C32B0C">
              <w:rPr>
                <w:rFonts w:ascii="Arial" w:hAnsi="Arial" w:cs="Arial"/>
                <w:sz w:val="20"/>
                <w:szCs w:val="20"/>
                <w:vertAlign w:val="superscript"/>
              </w:rPr>
              <w:t>0.4462t</w:t>
            </w:r>
          </w:p>
        </w:tc>
        <w:tc>
          <w:tcPr>
            <w:tcW w:w="637" w:type="pct"/>
          </w:tcPr>
          <w:p w14:paraId="4DC54071" w14:textId="6556E7B2"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.589</w:t>
            </w:r>
          </w:p>
        </w:tc>
      </w:tr>
      <w:tr w:rsidR="00C32B0C" w:rsidRPr="00C32B0C" w14:paraId="1D674576" w14:textId="77777777" w:rsidTr="001E37F6">
        <w:trPr>
          <w:trHeight w:val="414"/>
        </w:trPr>
        <w:tc>
          <w:tcPr>
            <w:tcW w:w="754" w:type="pct"/>
            <w:vMerge/>
            <w:tcBorders>
              <w:top w:val="nil"/>
            </w:tcBorders>
          </w:tcPr>
          <w:p w14:paraId="52AFEEE7" w14:textId="77777777" w:rsidR="00C32B0C" w:rsidRPr="00C32B0C" w:rsidRDefault="00C32B0C" w:rsidP="00C32B0C">
            <w:pPr>
              <w:rPr>
                <w:rFonts w:ascii="Arial" w:hAnsi="Arial" w:cs="Arial"/>
              </w:rPr>
            </w:pPr>
          </w:p>
        </w:tc>
        <w:tc>
          <w:tcPr>
            <w:tcW w:w="1267" w:type="pct"/>
          </w:tcPr>
          <w:p w14:paraId="426CEFA1"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Quadratic</w:t>
            </w:r>
            <w:r w:rsidRPr="00C32B0C">
              <w:rPr>
                <w:rFonts w:ascii="Arial" w:hAnsi="Arial" w:cs="Arial"/>
                <w:spacing w:val="-5"/>
                <w:sz w:val="20"/>
                <w:szCs w:val="20"/>
              </w:rPr>
              <w:t xml:space="preserve"> </w:t>
            </w:r>
            <w:r w:rsidRPr="00C32B0C">
              <w:rPr>
                <w:rFonts w:ascii="Arial" w:hAnsi="Arial" w:cs="Arial"/>
                <w:spacing w:val="-2"/>
                <w:sz w:val="20"/>
                <w:szCs w:val="20"/>
              </w:rPr>
              <w:t>model</w:t>
            </w:r>
          </w:p>
        </w:tc>
        <w:tc>
          <w:tcPr>
            <w:tcW w:w="2342" w:type="pct"/>
          </w:tcPr>
          <w:p w14:paraId="6831D9EA"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127326.16 + 63624.73t− 1939.03t²</w:t>
            </w:r>
          </w:p>
        </w:tc>
        <w:tc>
          <w:tcPr>
            <w:tcW w:w="637" w:type="pct"/>
          </w:tcPr>
          <w:p w14:paraId="5B81CB76" w14:textId="52038FD9"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.660</w:t>
            </w:r>
          </w:p>
        </w:tc>
      </w:tr>
      <w:tr w:rsidR="00C32B0C" w:rsidRPr="00C32B0C" w14:paraId="05C6944B" w14:textId="77777777" w:rsidTr="001E37F6">
        <w:trPr>
          <w:trHeight w:val="414"/>
        </w:trPr>
        <w:tc>
          <w:tcPr>
            <w:tcW w:w="754" w:type="pct"/>
            <w:vMerge w:val="restart"/>
          </w:tcPr>
          <w:p w14:paraId="1DE0804F" w14:textId="77777777" w:rsidR="00C32B0C" w:rsidRPr="00C32B0C" w:rsidRDefault="00C32B0C" w:rsidP="00C32B0C">
            <w:pPr>
              <w:pStyle w:val="TableParagraph"/>
              <w:spacing w:line="240" w:lineRule="auto"/>
              <w:ind w:left="218"/>
              <w:jc w:val="left"/>
              <w:rPr>
                <w:rFonts w:ascii="Arial" w:hAnsi="Arial" w:cs="Arial"/>
                <w:sz w:val="20"/>
                <w:szCs w:val="20"/>
              </w:rPr>
            </w:pPr>
            <w:r w:rsidRPr="00C32B0C">
              <w:rPr>
                <w:rFonts w:ascii="Arial" w:hAnsi="Arial" w:cs="Arial"/>
                <w:sz w:val="20"/>
                <w:szCs w:val="20"/>
              </w:rPr>
              <w:t>Export value</w:t>
            </w:r>
          </w:p>
          <w:p w14:paraId="48A71244"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(thousand USD)</w:t>
            </w:r>
          </w:p>
        </w:tc>
        <w:tc>
          <w:tcPr>
            <w:tcW w:w="1267" w:type="pct"/>
          </w:tcPr>
          <w:p w14:paraId="4C74A40D"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Linear</w:t>
            </w:r>
            <w:r w:rsidRPr="00C32B0C">
              <w:rPr>
                <w:rFonts w:ascii="Arial" w:hAnsi="Arial" w:cs="Arial"/>
                <w:spacing w:val="-2"/>
                <w:sz w:val="20"/>
                <w:szCs w:val="20"/>
              </w:rPr>
              <w:t xml:space="preserve"> model</w:t>
            </w:r>
          </w:p>
        </w:tc>
        <w:tc>
          <w:tcPr>
            <w:tcW w:w="2342" w:type="pct"/>
          </w:tcPr>
          <w:p w14:paraId="31C66F66"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232528.93+32096.92t</w:t>
            </w:r>
          </w:p>
        </w:tc>
        <w:tc>
          <w:tcPr>
            <w:tcW w:w="637" w:type="pct"/>
          </w:tcPr>
          <w:p w14:paraId="24AC6C61" w14:textId="6DB25F28"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.533</w:t>
            </w:r>
          </w:p>
        </w:tc>
      </w:tr>
      <w:tr w:rsidR="00C32B0C" w:rsidRPr="00C32B0C" w14:paraId="0D2247FF" w14:textId="77777777" w:rsidTr="001E37F6">
        <w:trPr>
          <w:trHeight w:val="412"/>
        </w:trPr>
        <w:tc>
          <w:tcPr>
            <w:tcW w:w="754" w:type="pct"/>
            <w:vMerge/>
            <w:tcBorders>
              <w:top w:val="nil"/>
            </w:tcBorders>
          </w:tcPr>
          <w:p w14:paraId="2E33A690" w14:textId="77777777" w:rsidR="00C32B0C" w:rsidRPr="00C32B0C" w:rsidRDefault="00C32B0C" w:rsidP="00C32B0C">
            <w:pPr>
              <w:rPr>
                <w:rFonts w:ascii="Arial" w:hAnsi="Arial" w:cs="Arial"/>
              </w:rPr>
            </w:pPr>
          </w:p>
        </w:tc>
        <w:tc>
          <w:tcPr>
            <w:tcW w:w="1267" w:type="pct"/>
          </w:tcPr>
          <w:p w14:paraId="0E89A753"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Exponential</w:t>
            </w:r>
            <w:r w:rsidRPr="00C32B0C">
              <w:rPr>
                <w:rFonts w:ascii="Arial" w:hAnsi="Arial" w:cs="Arial"/>
                <w:spacing w:val="-5"/>
                <w:sz w:val="20"/>
                <w:szCs w:val="20"/>
              </w:rPr>
              <w:t xml:space="preserve"> </w:t>
            </w:r>
            <w:r w:rsidRPr="00C32B0C">
              <w:rPr>
                <w:rFonts w:ascii="Arial" w:hAnsi="Arial" w:cs="Arial"/>
                <w:spacing w:val="-4"/>
                <w:sz w:val="20"/>
                <w:szCs w:val="20"/>
              </w:rPr>
              <w:t>model</w:t>
            </w:r>
          </w:p>
        </w:tc>
        <w:tc>
          <w:tcPr>
            <w:tcW w:w="2342" w:type="pct"/>
          </w:tcPr>
          <w:p w14:paraId="51E4D9CB"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12.25·e</w:t>
            </w:r>
            <w:r w:rsidRPr="00C32B0C">
              <w:rPr>
                <w:rFonts w:ascii="Arial" w:hAnsi="Arial" w:cs="Arial"/>
                <w:sz w:val="20"/>
                <w:szCs w:val="20"/>
                <w:vertAlign w:val="superscript"/>
              </w:rPr>
              <w:t>0.0812t</w:t>
            </w:r>
          </w:p>
        </w:tc>
        <w:tc>
          <w:tcPr>
            <w:tcW w:w="637" w:type="pct"/>
          </w:tcPr>
          <w:p w14:paraId="538414E4" w14:textId="6EF96DE0"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.594</w:t>
            </w:r>
          </w:p>
        </w:tc>
      </w:tr>
      <w:tr w:rsidR="00C32B0C" w:rsidRPr="00C32B0C" w14:paraId="77187527" w14:textId="77777777" w:rsidTr="001E37F6">
        <w:trPr>
          <w:trHeight w:val="415"/>
        </w:trPr>
        <w:tc>
          <w:tcPr>
            <w:tcW w:w="754" w:type="pct"/>
            <w:vMerge/>
            <w:tcBorders>
              <w:top w:val="nil"/>
            </w:tcBorders>
          </w:tcPr>
          <w:p w14:paraId="7730BAF4" w14:textId="77777777" w:rsidR="00C32B0C" w:rsidRPr="00C32B0C" w:rsidRDefault="00C32B0C" w:rsidP="00C32B0C">
            <w:pPr>
              <w:rPr>
                <w:rFonts w:ascii="Arial" w:hAnsi="Arial" w:cs="Arial"/>
              </w:rPr>
            </w:pPr>
          </w:p>
        </w:tc>
        <w:tc>
          <w:tcPr>
            <w:tcW w:w="1267" w:type="pct"/>
          </w:tcPr>
          <w:p w14:paraId="2381211F"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Quadratic</w:t>
            </w:r>
            <w:r w:rsidRPr="00C32B0C">
              <w:rPr>
                <w:rFonts w:ascii="Arial" w:hAnsi="Arial" w:cs="Arial"/>
                <w:spacing w:val="-5"/>
                <w:sz w:val="20"/>
                <w:szCs w:val="20"/>
              </w:rPr>
              <w:t xml:space="preserve"> </w:t>
            </w:r>
            <w:r w:rsidRPr="00C32B0C">
              <w:rPr>
                <w:rFonts w:ascii="Arial" w:hAnsi="Arial" w:cs="Arial"/>
                <w:spacing w:val="-2"/>
                <w:sz w:val="20"/>
                <w:szCs w:val="20"/>
              </w:rPr>
              <w:t>model</w:t>
            </w:r>
          </w:p>
        </w:tc>
        <w:tc>
          <w:tcPr>
            <w:tcW w:w="2342" w:type="pct"/>
          </w:tcPr>
          <w:p w14:paraId="2BE06D1E" w14:textId="77777777" w:rsidR="00C32B0C" w:rsidRPr="00C32B0C" w:rsidRDefault="00C32B0C" w:rsidP="00C32B0C">
            <w:pPr>
              <w:pStyle w:val="TableParagraph"/>
              <w:spacing w:line="240" w:lineRule="auto"/>
              <w:ind w:left="107"/>
              <w:jc w:val="left"/>
              <w:rPr>
                <w:rFonts w:ascii="Arial" w:hAnsi="Arial" w:cs="Arial"/>
                <w:sz w:val="20"/>
                <w:szCs w:val="20"/>
              </w:rPr>
            </w:pPr>
            <w:r w:rsidRPr="00C32B0C">
              <w:rPr>
                <w:rFonts w:ascii="Arial" w:hAnsi="Arial" w:cs="Arial"/>
                <w:sz w:val="20"/>
                <w:szCs w:val="20"/>
              </w:rPr>
              <w:t>y = 45063.81 + 83223.77t − 2434.61t²</w:t>
            </w:r>
          </w:p>
        </w:tc>
        <w:tc>
          <w:tcPr>
            <w:tcW w:w="637" w:type="pct"/>
          </w:tcPr>
          <w:p w14:paraId="5BC6DCFB" w14:textId="71F91D63" w:rsidR="00C32B0C" w:rsidRPr="00C32B0C" w:rsidRDefault="00E8659F" w:rsidP="00C32B0C">
            <w:pPr>
              <w:jc w:val="center"/>
              <w:rPr>
                <w:rFonts w:ascii="Arial" w:hAnsi="Arial" w:cs="Arial"/>
                <w:color w:val="000000"/>
                <w:lang w:val="en-IN"/>
              </w:rPr>
            </w:pPr>
            <w:r>
              <w:rPr>
                <w:rFonts w:ascii="Arial" w:hAnsi="Arial" w:cs="Arial"/>
                <w:color w:val="000000"/>
              </w:rPr>
              <w:t>0</w:t>
            </w:r>
            <w:r w:rsidR="00C32B0C" w:rsidRPr="00C32B0C">
              <w:rPr>
                <w:rFonts w:ascii="Arial" w:hAnsi="Arial" w:cs="Arial"/>
                <w:color w:val="000000"/>
              </w:rPr>
              <w:t>.614</w:t>
            </w:r>
          </w:p>
        </w:tc>
      </w:tr>
    </w:tbl>
    <w:p w14:paraId="5D368FB6" w14:textId="43F86E8C" w:rsidR="005C68E8" w:rsidRDefault="004C289C" w:rsidP="004C289C">
      <w:pPr>
        <w:pStyle w:val="Head1"/>
        <w:spacing w:after="0"/>
        <w:jc w:val="both"/>
        <w:rPr>
          <w:rFonts w:ascii="Arial" w:hAnsi="Arial" w:cs="Arial"/>
        </w:rPr>
      </w:pPr>
      <w:r w:rsidRPr="00CE1BBA">
        <w:rPr>
          <w:rFonts w:ascii="Arial" w:hAnsi="Arial" w:cs="Arial"/>
        </w:rPr>
        <w:lastRenderedPageBreak/>
        <w:t>4</w:t>
      </w:r>
      <w:r w:rsidR="00BC50E4" w:rsidRPr="00CE1BBA">
        <w:rPr>
          <w:rFonts w:ascii="Arial" w:hAnsi="Arial" w:cs="Arial"/>
        </w:rPr>
        <w:t xml:space="preserve">. </w:t>
      </w:r>
      <w:r w:rsidR="0051626F" w:rsidRPr="00CE1BBA">
        <w:rPr>
          <w:rFonts w:ascii="Arial" w:hAnsi="Arial" w:cs="Arial"/>
        </w:rPr>
        <w:t>CONCLUSION</w:t>
      </w:r>
    </w:p>
    <w:p w14:paraId="25A957E4" w14:textId="77777777" w:rsidR="00956FBD" w:rsidRPr="00CE1BBA" w:rsidRDefault="00956FBD" w:rsidP="004C289C">
      <w:pPr>
        <w:pStyle w:val="Head1"/>
        <w:spacing w:after="0"/>
        <w:jc w:val="both"/>
        <w:rPr>
          <w:rFonts w:ascii="Arial" w:hAnsi="Arial" w:cs="Arial"/>
        </w:rPr>
      </w:pPr>
    </w:p>
    <w:p w14:paraId="73833A2F" w14:textId="77777777" w:rsidR="00C32B0C" w:rsidRPr="00C32B0C" w:rsidRDefault="00C32B0C" w:rsidP="00C32B0C">
      <w:pPr>
        <w:jc w:val="both"/>
        <w:rPr>
          <w:rFonts w:ascii="Arial" w:hAnsi="Arial" w:cs="Arial"/>
        </w:rPr>
      </w:pPr>
      <w:r w:rsidRPr="00C32B0C">
        <w:rPr>
          <w:rFonts w:ascii="Arial" w:hAnsi="Arial" w:cs="Arial"/>
        </w:rPr>
        <w:t xml:space="preserve">The study highlights significant variability and long-term growth trends in groundnut exports from India during 2005–2024. Using nonparametric tests, a major structural shift was identified in 2010, likely influenced by trade policies, global demand, and currency movements. Trend analysis showed a statistically significant increase in both export quantity and value during the overall period. Export quantity increased by 23.84 thousand </w:t>
      </w:r>
      <w:proofErr w:type="spellStart"/>
      <w:r w:rsidRPr="00C32B0C">
        <w:rPr>
          <w:rFonts w:ascii="Arial" w:hAnsi="Arial" w:cs="Arial"/>
        </w:rPr>
        <w:t>tonnes</w:t>
      </w:r>
      <w:proofErr w:type="spellEnd"/>
      <w:r w:rsidRPr="00C32B0C">
        <w:rPr>
          <w:rFonts w:ascii="Arial" w:hAnsi="Arial" w:cs="Arial"/>
        </w:rPr>
        <w:t>/year and value by 35.24 million USD/year, with the quadratic model best capturing the export dynamics. The findings emphasize the importance of strengthening trade strategies and export infrastructure to sustain India’s upward trajectory in groundnut exports.</w:t>
      </w:r>
    </w:p>
    <w:p w14:paraId="41A842E3" w14:textId="77777777" w:rsidR="004C289C" w:rsidRPr="00CE1BBA" w:rsidRDefault="004C289C" w:rsidP="00C32B0C">
      <w:pPr>
        <w:pStyle w:val="Head1"/>
        <w:spacing w:after="0"/>
        <w:jc w:val="both"/>
        <w:rPr>
          <w:rFonts w:ascii="Arial" w:hAnsi="Arial" w:cs="Arial"/>
        </w:rPr>
      </w:pPr>
    </w:p>
    <w:p w14:paraId="47A44C95" w14:textId="77777777" w:rsidR="001C2659" w:rsidRDefault="001C2659" w:rsidP="001C2659">
      <w:pPr>
        <w:pStyle w:val="ReferHead"/>
        <w:spacing w:after="0"/>
        <w:jc w:val="both"/>
        <w:rPr>
          <w:rFonts w:ascii="Arial" w:hAnsi="Arial" w:cs="Arial"/>
          <w:b w:val="0"/>
          <w:caps w:val="0"/>
          <w:sz w:val="20"/>
        </w:rPr>
      </w:pPr>
    </w:p>
    <w:p w14:paraId="20D017FA" w14:textId="77777777" w:rsidR="001C2659" w:rsidRDefault="001C2659" w:rsidP="001C2659">
      <w:pPr>
        <w:pStyle w:val="ReferHead"/>
        <w:spacing w:after="0"/>
        <w:jc w:val="both"/>
        <w:rPr>
          <w:rFonts w:ascii="Arial" w:hAnsi="Arial" w:cs="Arial"/>
          <w:b w:val="0"/>
          <w:caps w:val="0"/>
          <w:sz w:val="20"/>
        </w:rPr>
      </w:pPr>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1D0FB753" w14:textId="3D28649C" w:rsidR="00BE068E" w:rsidRPr="00795690" w:rsidRDefault="00BE068E" w:rsidP="00956FBD">
      <w:pPr>
        <w:pStyle w:val="NormalWeb"/>
        <w:ind w:left="720" w:hanging="720"/>
        <w:jc w:val="both"/>
        <w:rPr>
          <w:rFonts w:ascii="Arial" w:hAnsi="Arial" w:cs="Arial"/>
          <w:sz w:val="20"/>
          <w:szCs w:val="20"/>
        </w:rPr>
      </w:pPr>
      <w:r w:rsidRPr="00795690">
        <w:rPr>
          <w:rFonts w:ascii="Arial" w:hAnsi="Arial" w:cs="Arial"/>
          <w:sz w:val="20"/>
          <w:szCs w:val="20"/>
        </w:rPr>
        <w:t xml:space="preserve">Alexandersson, H. (1986). A homogeneity test applied to precipitation data. </w:t>
      </w:r>
      <w:r w:rsidRPr="00795690">
        <w:rPr>
          <w:rFonts w:ascii="Arial" w:hAnsi="Arial" w:cs="Arial"/>
          <w:i/>
          <w:iCs/>
          <w:sz w:val="20"/>
          <w:szCs w:val="20"/>
        </w:rPr>
        <w:t>The   International Journal of Climatology,</w:t>
      </w:r>
      <w:r w:rsidR="00795690" w:rsidRPr="00795690">
        <w:rPr>
          <w:rFonts w:ascii="Arial" w:hAnsi="Arial" w:cs="Arial"/>
          <w:sz w:val="20"/>
          <w:szCs w:val="20"/>
        </w:rPr>
        <w:t xml:space="preserve"> 6, 661-</w:t>
      </w:r>
      <w:r w:rsidRPr="00795690">
        <w:rPr>
          <w:rFonts w:ascii="Arial" w:hAnsi="Arial" w:cs="Arial"/>
          <w:sz w:val="20"/>
          <w:szCs w:val="20"/>
        </w:rPr>
        <w:t>675.</w:t>
      </w:r>
    </w:p>
    <w:p w14:paraId="7EF8A42B" w14:textId="43C93C04" w:rsidR="00BE068E" w:rsidRPr="00795690" w:rsidRDefault="00BE068E" w:rsidP="00956FBD">
      <w:pPr>
        <w:pStyle w:val="NormalWeb"/>
        <w:ind w:left="720" w:hanging="720"/>
        <w:jc w:val="both"/>
        <w:rPr>
          <w:rFonts w:ascii="Arial" w:hAnsi="Arial" w:cs="Arial"/>
          <w:sz w:val="20"/>
          <w:szCs w:val="20"/>
        </w:rPr>
      </w:pPr>
      <w:r w:rsidRPr="00795690">
        <w:rPr>
          <w:rFonts w:ascii="Arial" w:hAnsi="Arial" w:cs="Arial"/>
          <w:sz w:val="20"/>
          <w:szCs w:val="20"/>
        </w:rPr>
        <w:t xml:space="preserve">Arunachalam, R. </w:t>
      </w:r>
      <w:r w:rsidR="00795690" w:rsidRPr="00795690">
        <w:rPr>
          <w:rFonts w:ascii="Arial" w:hAnsi="Arial" w:cs="Arial"/>
          <w:sz w:val="20"/>
          <w:szCs w:val="20"/>
        </w:rPr>
        <w:t>&amp;</w:t>
      </w:r>
      <w:r w:rsidRPr="00795690">
        <w:rPr>
          <w:rFonts w:ascii="Arial" w:hAnsi="Arial" w:cs="Arial"/>
          <w:sz w:val="20"/>
          <w:szCs w:val="20"/>
        </w:rPr>
        <w:t xml:space="preserve"> </w:t>
      </w:r>
      <w:proofErr w:type="spellStart"/>
      <w:r w:rsidRPr="00795690">
        <w:rPr>
          <w:rFonts w:ascii="Arial" w:hAnsi="Arial" w:cs="Arial"/>
          <w:sz w:val="20"/>
          <w:szCs w:val="20"/>
        </w:rPr>
        <w:t>Balakrishnam</w:t>
      </w:r>
      <w:proofErr w:type="spellEnd"/>
      <w:r w:rsidRPr="00795690">
        <w:rPr>
          <w:rFonts w:ascii="Arial" w:hAnsi="Arial" w:cs="Arial"/>
          <w:sz w:val="20"/>
          <w:szCs w:val="20"/>
        </w:rPr>
        <w:t xml:space="preserve">, V. (2012). Statistical modeling for wheat crop production. </w:t>
      </w:r>
      <w:r w:rsidRPr="00795690">
        <w:rPr>
          <w:rFonts w:ascii="Arial" w:hAnsi="Arial" w:cs="Arial"/>
          <w:i/>
          <w:iCs/>
          <w:sz w:val="20"/>
          <w:szCs w:val="20"/>
        </w:rPr>
        <w:t xml:space="preserve">International Journal of Statistics and </w:t>
      </w:r>
      <w:proofErr w:type="spellStart"/>
      <w:r w:rsidRPr="00795690">
        <w:rPr>
          <w:rFonts w:ascii="Arial" w:hAnsi="Arial" w:cs="Arial"/>
          <w:i/>
          <w:iCs/>
          <w:sz w:val="20"/>
          <w:szCs w:val="20"/>
        </w:rPr>
        <w:t>Appilication</w:t>
      </w:r>
      <w:proofErr w:type="spellEnd"/>
      <w:r w:rsidRPr="00795690">
        <w:rPr>
          <w:rFonts w:ascii="Arial" w:hAnsi="Arial" w:cs="Arial"/>
          <w:i/>
          <w:iCs/>
          <w:sz w:val="20"/>
          <w:szCs w:val="20"/>
        </w:rPr>
        <w:t>, 2</w:t>
      </w:r>
      <w:r w:rsidRPr="00795690">
        <w:rPr>
          <w:rFonts w:ascii="Arial" w:hAnsi="Arial" w:cs="Arial"/>
          <w:sz w:val="20"/>
          <w:szCs w:val="20"/>
        </w:rPr>
        <w:t>(4),</w:t>
      </w:r>
      <w:r w:rsidRPr="00795690">
        <w:rPr>
          <w:rFonts w:ascii="Arial" w:hAnsi="Arial" w:cs="Arial"/>
          <w:b/>
          <w:bCs/>
          <w:sz w:val="20"/>
          <w:szCs w:val="20"/>
        </w:rPr>
        <w:t xml:space="preserve"> </w:t>
      </w:r>
      <w:r w:rsidRPr="00795690">
        <w:rPr>
          <w:rFonts w:ascii="Arial" w:hAnsi="Arial" w:cs="Arial"/>
          <w:sz w:val="20"/>
          <w:szCs w:val="20"/>
        </w:rPr>
        <w:t>40-46</w:t>
      </w:r>
    </w:p>
    <w:p w14:paraId="4CFA271A" w14:textId="42DB4FD4" w:rsidR="001E37F6" w:rsidRPr="00795690" w:rsidRDefault="001E37F6" w:rsidP="001E37F6">
      <w:pPr>
        <w:pStyle w:val="NormalWeb"/>
        <w:ind w:left="720" w:hanging="720"/>
        <w:jc w:val="both"/>
        <w:rPr>
          <w:rFonts w:ascii="Arial" w:hAnsi="Arial" w:cs="Arial"/>
          <w:sz w:val="20"/>
          <w:szCs w:val="20"/>
        </w:rPr>
      </w:pPr>
      <w:proofErr w:type="spellStart"/>
      <w:r w:rsidRPr="00795690">
        <w:rPr>
          <w:rFonts w:ascii="Arial" w:hAnsi="Arial" w:cs="Arial"/>
          <w:sz w:val="20"/>
          <w:szCs w:val="20"/>
        </w:rPr>
        <w:t>Bharodia</w:t>
      </w:r>
      <w:proofErr w:type="spellEnd"/>
      <w:r w:rsidR="00C37210" w:rsidRPr="00795690">
        <w:rPr>
          <w:rFonts w:ascii="Arial" w:hAnsi="Arial" w:cs="Arial"/>
          <w:sz w:val="20"/>
          <w:szCs w:val="20"/>
        </w:rPr>
        <w:t>,</w:t>
      </w:r>
      <w:r w:rsidRPr="00795690">
        <w:rPr>
          <w:rFonts w:ascii="Arial" w:hAnsi="Arial" w:cs="Arial"/>
          <w:sz w:val="20"/>
          <w:szCs w:val="20"/>
        </w:rPr>
        <w:t xml:space="preserve"> C.</w:t>
      </w:r>
      <w:r w:rsidR="00C37210" w:rsidRPr="00795690">
        <w:rPr>
          <w:rFonts w:ascii="Arial" w:hAnsi="Arial" w:cs="Arial"/>
          <w:sz w:val="20"/>
          <w:szCs w:val="20"/>
        </w:rPr>
        <w:t xml:space="preserve"> </w:t>
      </w:r>
      <w:r w:rsidRPr="00795690">
        <w:rPr>
          <w:rFonts w:ascii="Arial" w:hAnsi="Arial" w:cs="Arial"/>
          <w:sz w:val="20"/>
          <w:szCs w:val="20"/>
        </w:rPr>
        <w:t xml:space="preserve">R., </w:t>
      </w:r>
      <w:proofErr w:type="spellStart"/>
      <w:r w:rsidR="009C4556" w:rsidRPr="00795690">
        <w:rPr>
          <w:rFonts w:ascii="Arial" w:hAnsi="Arial" w:cs="Arial"/>
          <w:sz w:val="20"/>
          <w:szCs w:val="20"/>
        </w:rPr>
        <w:t>Lakhlani</w:t>
      </w:r>
      <w:proofErr w:type="spellEnd"/>
      <w:r w:rsidR="009C4556" w:rsidRPr="00795690">
        <w:rPr>
          <w:rFonts w:ascii="Arial" w:hAnsi="Arial" w:cs="Arial"/>
          <w:sz w:val="20"/>
          <w:szCs w:val="20"/>
        </w:rPr>
        <w:t xml:space="preserve">, </w:t>
      </w:r>
      <w:r w:rsidRPr="00795690">
        <w:rPr>
          <w:rFonts w:ascii="Arial" w:hAnsi="Arial" w:cs="Arial"/>
          <w:sz w:val="20"/>
          <w:szCs w:val="20"/>
        </w:rPr>
        <w:t>C.</w:t>
      </w:r>
      <w:r w:rsidR="00C37210" w:rsidRPr="00795690">
        <w:rPr>
          <w:rFonts w:ascii="Arial" w:hAnsi="Arial" w:cs="Arial"/>
          <w:sz w:val="20"/>
          <w:szCs w:val="20"/>
        </w:rPr>
        <w:t xml:space="preserve"> </w:t>
      </w:r>
      <w:r w:rsidRPr="00795690">
        <w:rPr>
          <w:rFonts w:ascii="Arial" w:hAnsi="Arial" w:cs="Arial"/>
          <w:sz w:val="20"/>
          <w:szCs w:val="20"/>
        </w:rPr>
        <w:t xml:space="preserve">D., </w:t>
      </w:r>
      <w:proofErr w:type="spellStart"/>
      <w:r w:rsidRPr="00795690">
        <w:rPr>
          <w:rFonts w:ascii="Arial" w:hAnsi="Arial" w:cs="Arial"/>
          <w:sz w:val="20"/>
          <w:szCs w:val="20"/>
        </w:rPr>
        <w:t>Maheta</w:t>
      </w:r>
      <w:proofErr w:type="spellEnd"/>
      <w:r w:rsidR="009C4556" w:rsidRPr="00795690">
        <w:rPr>
          <w:rFonts w:ascii="Arial" w:hAnsi="Arial" w:cs="Arial"/>
          <w:sz w:val="20"/>
          <w:szCs w:val="20"/>
        </w:rPr>
        <w:t>, H.</w:t>
      </w:r>
      <w:r w:rsidR="00C37210" w:rsidRPr="00795690">
        <w:rPr>
          <w:rFonts w:ascii="Arial" w:hAnsi="Arial" w:cs="Arial"/>
          <w:sz w:val="20"/>
          <w:szCs w:val="20"/>
        </w:rPr>
        <w:t xml:space="preserve"> </w:t>
      </w:r>
      <w:r w:rsidR="009C4556" w:rsidRPr="00795690">
        <w:rPr>
          <w:rFonts w:ascii="Arial" w:hAnsi="Arial" w:cs="Arial"/>
          <w:sz w:val="20"/>
          <w:szCs w:val="20"/>
        </w:rPr>
        <w:t xml:space="preserve">Y. </w:t>
      </w:r>
      <w:r w:rsidRPr="00795690">
        <w:rPr>
          <w:rFonts w:ascii="Arial" w:hAnsi="Arial" w:cs="Arial"/>
          <w:sz w:val="20"/>
          <w:szCs w:val="20"/>
        </w:rPr>
        <w:t xml:space="preserve"> </w:t>
      </w:r>
      <w:r w:rsidR="009C4556" w:rsidRPr="00795690">
        <w:rPr>
          <w:rFonts w:ascii="Arial" w:hAnsi="Arial" w:cs="Arial"/>
          <w:sz w:val="20"/>
          <w:szCs w:val="20"/>
        </w:rPr>
        <w:t>&amp;</w:t>
      </w:r>
      <w:r w:rsidRPr="00795690">
        <w:rPr>
          <w:rFonts w:ascii="Arial" w:hAnsi="Arial" w:cs="Arial"/>
          <w:sz w:val="20"/>
          <w:szCs w:val="20"/>
        </w:rPr>
        <w:t xml:space="preserve"> Kumar</w:t>
      </w:r>
      <w:r w:rsidR="009C4556" w:rsidRPr="00795690">
        <w:rPr>
          <w:rFonts w:ascii="Arial" w:hAnsi="Arial" w:cs="Arial"/>
          <w:sz w:val="20"/>
          <w:szCs w:val="20"/>
        </w:rPr>
        <w:t>, K.</w:t>
      </w:r>
      <w:r w:rsidRPr="00795690">
        <w:rPr>
          <w:rFonts w:ascii="Arial" w:hAnsi="Arial" w:cs="Arial"/>
          <w:sz w:val="20"/>
          <w:szCs w:val="20"/>
        </w:rPr>
        <w:t xml:space="preserve"> (2025). Market integration and price transmission in fruits price export from India. </w:t>
      </w:r>
      <w:r w:rsidRPr="00795690">
        <w:rPr>
          <w:rFonts w:ascii="Arial" w:hAnsi="Arial" w:cs="Arial"/>
          <w:i/>
          <w:iCs/>
          <w:sz w:val="20"/>
          <w:szCs w:val="20"/>
        </w:rPr>
        <w:t>Plant Archives</w:t>
      </w:r>
      <w:r w:rsidR="009C4556" w:rsidRPr="00795690">
        <w:rPr>
          <w:rFonts w:ascii="Arial" w:hAnsi="Arial" w:cs="Arial"/>
          <w:sz w:val="20"/>
          <w:szCs w:val="20"/>
        </w:rPr>
        <w:t>,</w:t>
      </w:r>
      <w:r w:rsidRPr="00795690">
        <w:rPr>
          <w:rFonts w:ascii="Arial" w:hAnsi="Arial" w:cs="Arial"/>
          <w:sz w:val="20"/>
          <w:szCs w:val="20"/>
        </w:rPr>
        <w:t xml:space="preserve"> 25</w:t>
      </w:r>
      <w:r w:rsidR="009C4556" w:rsidRPr="00795690">
        <w:rPr>
          <w:rFonts w:ascii="Arial" w:hAnsi="Arial" w:cs="Arial"/>
          <w:sz w:val="20"/>
          <w:szCs w:val="20"/>
        </w:rPr>
        <w:t>(</w:t>
      </w:r>
      <w:r w:rsidRPr="00795690">
        <w:rPr>
          <w:rFonts w:ascii="Arial" w:hAnsi="Arial" w:cs="Arial"/>
          <w:sz w:val="20"/>
          <w:szCs w:val="20"/>
        </w:rPr>
        <w:t>Special Issue</w:t>
      </w:r>
      <w:r w:rsidR="009C4556" w:rsidRPr="00795690">
        <w:rPr>
          <w:rFonts w:ascii="Arial" w:hAnsi="Arial" w:cs="Arial"/>
          <w:sz w:val="20"/>
          <w:szCs w:val="20"/>
        </w:rPr>
        <w:t>),</w:t>
      </w:r>
      <w:r w:rsidR="00795690" w:rsidRPr="00795690">
        <w:rPr>
          <w:rFonts w:ascii="Arial" w:hAnsi="Arial" w:cs="Arial"/>
          <w:sz w:val="20"/>
          <w:szCs w:val="20"/>
        </w:rPr>
        <w:t xml:space="preserve"> </w:t>
      </w:r>
      <w:r w:rsidRPr="00795690">
        <w:rPr>
          <w:rFonts w:ascii="Arial" w:hAnsi="Arial" w:cs="Arial"/>
          <w:sz w:val="20"/>
          <w:szCs w:val="20"/>
        </w:rPr>
        <w:t>627-632</w:t>
      </w:r>
      <w:r w:rsidR="009C4556" w:rsidRPr="00795690">
        <w:rPr>
          <w:rFonts w:ascii="Arial" w:hAnsi="Arial" w:cs="Arial"/>
          <w:sz w:val="20"/>
          <w:szCs w:val="20"/>
        </w:rPr>
        <w:t>.</w:t>
      </w:r>
    </w:p>
    <w:p w14:paraId="23BF0E98" w14:textId="77777777" w:rsidR="00BE068E" w:rsidRPr="00795690" w:rsidRDefault="00BE068E" w:rsidP="00956FBD">
      <w:pPr>
        <w:ind w:left="743" w:hanging="720"/>
        <w:jc w:val="both"/>
        <w:rPr>
          <w:rFonts w:ascii="Arial" w:hAnsi="Arial" w:cs="Arial"/>
          <w:iCs/>
        </w:rPr>
      </w:pPr>
      <w:proofErr w:type="spellStart"/>
      <w:r w:rsidRPr="00795690">
        <w:rPr>
          <w:rFonts w:ascii="Arial" w:hAnsi="Arial" w:cs="Arial"/>
          <w:iCs/>
        </w:rPr>
        <w:t>Buishand</w:t>
      </w:r>
      <w:proofErr w:type="spellEnd"/>
      <w:r w:rsidRPr="00795690">
        <w:rPr>
          <w:rFonts w:ascii="Arial" w:hAnsi="Arial" w:cs="Arial"/>
          <w:iCs/>
        </w:rPr>
        <w:t xml:space="preserve">, T. A. (1982). Some methods for testing the homogeneity of rainfall records. </w:t>
      </w:r>
      <w:r w:rsidRPr="00795690">
        <w:rPr>
          <w:rFonts w:ascii="Arial" w:hAnsi="Arial" w:cs="Arial"/>
          <w:i/>
        </w:rPr>
        <w:t>Journal of Hydrology</w:t>
      </w:r>
      <w:r w:rsidRPr="00795690">
        <w:rPr>
          <w:rFonts w:ascii="Arial" w:hAnsi="Arial" w:cs="Arial"/>
          <w:iCs/>
        </w:rPr>
        <w:t xml:space="preserve">, </w:t>
      </w:r>
      <w:r w:rsidRPr="00795690">
        <w:rPr>
          <w:rFonts w:ascii="Arial" w:hAnsi="Arial" w:cs="Arial"/>
          <w:i/>
        </w:rPr>
        <w:t>58</w:t>
      </w:r>
      <w:r w:rsidRPr="00795690">
        <w:rPr>
          <w:rFonts w:ascii="Arial" w:hAnsi="Arial" w:cs="Arial"/>
          <w:iCs/>
        </w:rPr>
        <w:t>(1–2), 11-27.</w:t>
      </w:r>
    </w:p>
    <w:p w14:paraId="631DC1B2" w14:textId="42178877" w:rsidR="00E51629" w:rsidRPr="00795690" w:rsidRDefault="009C4556" w:rsidP="00E51629">
      <w:pPr>
        <w:ind w:left="743" w:hanging="720"/>
        <w:jc w:val="both"/>
        <w:rPr>
          <w:rFonts w:ascii="Arial" w:hAnsi="Arial" w:cs="Arial"/>
        </w:rPr>
      </w:pPr>
      <w:proofErr w:type="spellStart"/>
      <w:r w:rsidRPr="00795690">
        <w:rPr>
          <w:rFonts w:ascii="Arial" w:hAnsi="Arial" w:cs="Arial"/>
        </w:rPr>
        <w:t>Ghadiya</w:t>
      </w:r>
      <w:proofErr w:type="spellEnd"/>
      <w:r w:rsidRPr="00795690">
        <w:rPr>
          <w:rFonts w:ascii="Arial" w:hAnsi="Arial" w:cs="Arial"/>
        </w:rPr>
        <w:t>,</w:t>
      </w:r>
      <w:r w:rsidR="00E51629" w:rsidRPr="00795690">
        <w:rPr>
          <w:rFonts w:ascii="Arial" w:hAnsi="Arial" w:cs="Arial"/>
        </w:rPr>
        <w:t xml:space="preserve"> M</w:t>
      </w:r>
      <w:r w:rsidRPr="00795690">
        <w:rPr>
          <w:rFonts w:ascii="Arial" w:hAnsi="Arial" w:cs="Arial"/>
        </w:rPr>
        <w:t>.</w:t>
      </w:r>
      <w:r w:rsidR="00E51629" w:rsidRPr="00795690">
        <w:rPr>
          <w:rFonts w:ascii="Arial" w:hAnsi="Arial" w:cs="Arial"/>
        </w:rPr>
        <w:t xml:space="preserve"> </w:t>
      </w:r>
      <w:r w:rsidRPr="00795690">
        <w:rPr>
          <w:rFonts w:ascii="Arial" w:hAnsi="Arial" w:cs="Arial"/>
        </w:rPr>
        <w:t xml:space="preserve">&amp; </w:t>
      </w:r>
      <w:proofErr w:type="spellStart"/>
      <w:r w:rsidRPr="00795690">
        <w:rPr>
          <w:rFonts w:ascii="Arial" w:hAnsi="Arial" w:cs="Arial"/>
        </w:rPr>
        <w:t>Maheta</w:t>
      </w:r>
      <w:proofErr w:type="spellEnd"/>
      <w:r w:rsidR="00E51629" w:rsidRPr="00795690">
        <w:rPr>
          <w:rFonts w:ascii="Arial" w:hAnsi="Arial" w:cs="Arial"/>
        </w:rPr>
        <w:t xml:space="preserve">, H. Y. (2018). </w:t>
      </w:r>
      <w:r w:rsidRPr="00795690">
        <w:rPr>
          <w:rFonts w:ascii="Arial" w:hAnsi="Arial" w:cs="Arial"/>
        </w:rPr>
        <w:t>Trend of area, production and productivity of groundnut in Gujarat</w:t>
      </w:r>
      <w:r w:rsidR="00E51629" w:rsidRPr="00795690">
        <w:rPr>
          <w:rFonts w:ascii="Arial" w:hAnsi="Arial" w:cs="Arial"/>
        </w:rPr>
        <w:t xml:space="preserve">. </w:t>
      </w:r>
      <w:r w:rsidR="00E51629" w:rsidRPr="00795690">
        <w:rPr>
          <w:rFonts w:ascii="Arial" w:hAnsi="Arial" w:cs="Arial"/>
          <w:i/>
          <w:iCs/>
        </w:rPr>
        <w:t>AGRES – An International e. Journal</w:t>
      </w:r>
      <w:r w:rsidRPr="00795690">
        <w:rPr>
          <w:rFonts w:ascii="Arial" w:hAnsi="Arial" w:cs="Arial"/>
        </w:rPr>
        <w:t xml:space="preserve">, </w:t>
      </w:r>
      <w:r w:rsidR="00E51629" w:rsidRPr="00795690">
        <w:rPr>
          <w:rFonts w:ascii="Arial" w:hAnsi="Arial" w:cs="Arial"/>
        </w:rPr>
        <w:t>7</w:t>
      </w:r>
      <w:r w:rsidRPr="00795690">
        <w:rPr>
          <w:rFonts w:ascii="Arial" w:hAnsi="Arial" w:cs="Arial"/>
        </w:rPr>
        <w:t>(</w:t>
      </w:r>
      <w:r w:rsidR="00E51629" w:rsidRPr="00795690">
        <w:rPr>
          <w:rFonts w:ascii="Arial" w:hAnsi="Arial" w:cs="Arial"/>
        </w:rPr>
        <w:t>3</w:t>
      </w:r>
      <w:r w:rsidRPr="00795690">
        <w:rPr>
          <w:rFonts w:ascii="Arial" w:hAnsi="Arial" w:cs="Arial"/>
        </w:rPr>
        <w:t xml:space="preserve">), </w:t>
      </w:r>
      <w:r w:rsidR="00E51629" w:rsidRPr="00795690">
        <w:rPr>
          <w:rFonts w:ascii="Arial" w:hAnsi="Arial" w:cs="Arial"/>
        </w:rPr>
        <w:t>355-360.</w:t>
      </w:r>
    </w:p>
    <w:p w14:paraId="739F9231" w14:textId="554504E5" w:rsidR="00BE068E" w:rsidRPr="00795690" w:rsidRDefault="00BE068E" w:rsidP="00956FBD">
      <w:pPr>
        <w:pStyle w:val="NormalWeb"/>
        <w:ind w:left="720" w:hanging="720"/>
        <w:jc w:val="both"/>
        <w:rPr>
          <w:rFonts w:ascii="Arial" w:hAnsi="Arial" w:cs="Arial"/>
          <w:sz w:val="20"/>
          <w:szCs w:val="20"/>
          <w:lang w:val="en-IN"/>
        </w:rPr>
      </w:pPr>
      <w:r w:rsidRPr="00795690">
        <w:rPr>
          <w:rFonts w:ascii="Arial" w:hAnsi="Arial" w:cs="Arial"/>
          <w:sz w:val="20"/>
          <w:szCs w:val="20"/>
          <w:lang w:val="en-IN"/>
        </w:rPr>
        <w:t xml:space="preserve">ICRISAT (2024). Groundnut crop. </w:t>
      </w:r>
      <w:r w:rsidRPr="00795690">
        <w:rPr>
          <w:rFonts w:ascii="Arial" w:hAnsi="Arial" w:cs="Arial"/>
          <w:sz w:val="20"/>
          <w:szCs w:val="20"/>
        </w:rPr>
        <w:t>The International Crops Research</w:t>
      </w:r>
      <w:r w:rsidR="00795690" w:rsidRPr="00795690">
        <w:rPr>
          <w:rFonts w:ascii="Arial" w:hAnsi="Arial" w:cs="Arial"/>
          <w:sz w:val="20"/>
          <w:szCs w:val="20"/>
        </w:rPr>
        <w:t xml:space="preserve"> Institute for the Semi-Arid </w:t>
      </w:r>
      <w:r w:rsidRPr="00795690">
        <w:rPr>
          <w:rFonts w:ascii="Arial" w:hAnsi="Arial" w:cs="Arial"/>
          <w:sz w:val="20"/>
          <w:szCs w:val="20"/>
        </w:rPr>
        <w:t>Tropics</w:t>
      </w:r>
      <w:r w:rsidRPr="00795690">
        <w:rPr>
          <w:rFonts w:ascii="Arial" w:hAnsi="Arial" w:cs="Arial"/>
          <w:sz w:val="20"/>
          <w:szCs w:val="20"/>
          <w:lang w:val="en-IN"/>
        </w:rPr>
        <w:t>. </w:t>
      </w:r>
    </w:p>
    <w:p w14:paraId="4BB84BC0" w14:textId="2C56217E" w:rsidR="00BE068E" w:rsidRPr="00795690" w:rsidRDefault="00BE068E" w:rsidP="00956FBD">
      <w:pPr>
        <w:pStyle w:val="BodyText"/>
        <w:spacing w:before="60"/>
        <w:ind w:left="743" w:hanging="720"/>
        <w:jc w:val="both"/>
        <w:rPr>
          <w:rFonts w:ascii="Arial" w:hAnsi="Arial" w:cs="Arial"/>
        </w:rPr>
      </w:pPr>
      <w:r w:rsidRPr="00795690">
        <w:rPr>
          <w:rFonts w:ascii="Arial" w:hAnsi="Arial" w:cs="Arial"/>
        </w:rPr>
        <w:t>Kendall, M.</w:t>
      </w:r>
      <w:r w:rsidR="00795690" w:rsidRPr="00795690">
        <w:rPr>
          <w:rFonts w:ascii="Arial" w:hAnsi="Arial" w:cs="Arial"/>
        </w:rPr>
        <w:t xml:space="preserve"> </w:t>
      </w:r>
      <w:r w:rsidRPr="00795690">
        <w:rPr>
          <w:rFonts w:ascii="Arial" w:hAnsi="Arial" w:cs="Arial"/>
        </w:rPr>
        <w:t>G. (1975). Rank Correlation Methods. 4th ed., Charles Grifin</w:t>
      </w:r>
      <w:r w:rsidRPr="00795690">
        <w:rPr>
          <w:rFonts w:ascii="Arial" w:hAnsi="Arial" w:cs="Arial"/>
          <w:i/>
          <w:iCs/>
        </w:rPr>
        <w:t>,</w:t>
      </w:r>
      <w:r w:rsidRPr="00795690">
        <w:rPr>
          <w:rFonts w:ascii="Arial" w:hAnsi="Arial" w:cs="Arial"/>
        </w:rPr>
        <w:t xml:space="preserve"> London.</w:t>
      </w:r>
    </w:p>
    <w:p w14:paraId="783ED897" w14:textId="77777777" w:rsidR="00BE068E" w:rsidRPr="00795690" w:rsidRDefault="00BE068E" w:rsidP="00956FBD">
      <w:pPr>
        <w:pStyle w:val="BodyText"/>
        <w:spacing w:before="60"/>
        <w:ind w:left="743" w:hanging="720"/>
        <w:jc w:val="both"/>
        <w:rPr>
          <w:rFonts w:ascii="Arial" w:hAnsi="Arial" w:cs="Arial"/>
        </w:rPr>
      </w:pPr>
      <w:r w:rsidRPr="00795690">
        <w:rPr>
          <w:rFonts w:ascii="Arial" w:hAnsi="Arial" w:cs="Arial"/>
        </w:rPr>
        <w:t xml:space="preserve">Mann, H. B. (1945). Non-parametric tests against trend. </w:t>
      </w:r>
      <w:proofErr w:type="spellStart"/>
      <w:r w:rsidRPr="00795690">
        <w:rPr>
          <w:rFonts w:ascii="Arial" w:hAnsi="Arial" w:cs="Arial"/>
          <w:i/>
          <w:iCs/>
        </w:rPr>
        <w:t>Econometrica</w:t>
      </w:r>
      <w:proofErr w:type="spellEnd"/>
      <w:r w:rsidRPr="00795690">
        <w:rPr>
          <w:rFonts w:ascii="Arial" w:hAnsi="Arial" w:cs="Arial"/>
        </w:rPr>
        <w:t xml:space="preserve">, </w:t>
      </w:r>
      <w:r w:rsidRPr="00795690">
        <w:rPr>
          <w:rFonts w:ascii="Arial" w:hAnsi="Arial" w:cs="Arial"/>
          <w:i/>
          <w:iCs/>
        </w:rPr>
        <w:t>13</w:t>
      </w:r>
      <w:r w:rsidRPr="00795690">
        <w:rPr>
          <w:rFonts w:ascii="Arial" w:hAnsi="Arial" w:cs="Arial"/>
        </w:rPr>
        <w:t>, 245-259.</w:t>
      </w:r>
    </w:p>
    <w:p w14:paraId="6C67E923" w14:textId="4BEA3979" w:rsidR="001E37F6" w:rsidRPr="00795690" w:rsidRDefault="001E37F6" w:rsidP="00795690">
      <w:pPr>
        <w:pStyle w:val="Default"/>
        <w:ind w:left="851" w:hanging="851"/>
        <w:jc w:val="both"/>
        <w:rPr>
          <w:color w:val="auto"/>
          <w:sz w:val="20"/>
          <w:szCs w:val="20"/>
          <w:lang w:val="en-US" w:bidi="ar-SA"/>
        </w:rPr>
      </w:pPr>
      <w:proofErr w:type="spellStart"/>
      <w:r w:rsidRPr="00795690">
        <w:rPr>
          <w:color w:val="auto"/>
          <w:sz w:val="20"/>
          <w:szCs w:val="20"/>
          <w:lang w:val="en-US" w:bidi="ar-SA"/>
        </w:rPr>
        <w:t>Maheta</w:t>
      </w:r>
      <w:proofErr w:type="spellEnd"/>
      <w:r w:rsidR="00962BCC" w:rsidRPr="00795690">
        <w:rPr>
          <w:color w:val="auto"/>
          <w:sz w:val="20"/>
          <w:szCs w:val="20"/>
          <w:lang w:val="en-US" w:bidi="ar-SA"/>
        </w:rPr>
        <w:t>,</w:t>
      </w:r>
      <w:r w:rsidRPr="00795690">
        <w:rPr>
          <w:color w:val="auto"/>
          <w:sz w:val="20"/>
          <w:szCs w:val="20"/>
          <w:lang w:val="en-US" w:bidi="ar-SA"/>
        </w:rPr>
        <w:t xml:space="preserve"> H</w:t>
      </w:r>
      <w:r w:rsidR="00962BCC" w:rsidRPr="00795690">
        <w:rPr>
          <w:color w:val="auto"/>
          <w:sz w:val="20"/>
          <w:szCs w:val="20"/>
          <w:lang w:val="en-US" w:bidi="ar-SA"/>
        </w:rPr>
        <w:t>.</w:t>
      </w:r>
      <w:r w:rsidRPr="00795690">
        <w:rPr>
          <w:color w:val="auto"/>
          <w:sz w:val="20"/>
          <w:szCs w:val="20"/>
          <w:lang w:val="en-US" w:bidi="ar-SA"/>
        </w:rPr>
        <w:t>Y</w:t>
      </w:r>
      <w:r w:rsidR="00962BCC" w:rsidRPr="00795690">
        <w:rPr>
          <w:color w:val="auto"/>
          <w:sz w:val="20"/>
          <w:szCs w:val="20"/>
          <w:lang w:val="en-US" w:bidi="ar-SA"/>
        </w:rPr>
        <w:t>. &amp;</w:t>
      </w:r>
      <w:r w:rsidRPr="00795690">
        <w:rPr>
          <w:color w:val="auto"/>
          <w:sz w:val="20"/>
          <w:szCs w:val="20"/>
          <w:lang w:val="en-US" w:bidi="ar-SA"/>
        </w:rPr>
        <w:t xml:space="preserve"> Rank</w:t>
      </w:r>
      <w:r w:rsidR="00962BCC" w:rsidRPr="00795690">
        <w:rPr>
          <w:color w:val="auto"/>
          <w:sz w:val="20"/>
          <w:szCs w:val="20"/>
          <w:lang w:val="en-US" w:bidi="ar-SA"/>
        </w:rPr>
        <w:t>,</w:t>
      </w:r>
      <w:r w:rsidRPr="00795690">
        <w:rPr>
          <w:color w:val="auto"/>
          <w:sz w:val="20"/>
          <w:szCs w:val="20"/>
          <w:lang w:val="en-US" w:bidi="ar-SA"/>
        </w:rPr>
        <w:t xml:space="preserve"> H</w:t>
      </w:r>
      <w:r w:rsidR="00962BCC" w:rsidRPr="00795690">
        <w:rPr>
          <w:color w:val="auto"/>
          <w:sz w:val="20"/>
          <w:szCs w:val="20"/>
          <w:lang w:val="en-US" w:bidi="ar-SA"/>
        </w:rPr>
        <w:t xml:space="preserve">. </w:t>
      </w:r>
      <w:r w:rsidRPr="00795690">
        <w:rPr>
          <w:color w:val="auto"/>
          <w:sz w:val="20"/>
          <w:szCs w:val="20"/>
          <w:lang w:val="en-US" w:bidi="ar-SA"/>
        </w:rPr>
        <w:t>D.</w:t>
      </w:r>
      <w:r w:rsidR="00962BCC" w:rsidRPr="00795690">
        <w:rPr>
          <w:color w:val="auto"/>
          <w:sz w:val="20"/>
          <w:szCs w:val="20"/>
          <w:lang w:val="en-US" w:bidi="ar-SA"/>
        </w:rPr>
        <w:t xml:space="preserve"> (2017).</w:t>
      </w:r>
      <w:r w:rsidRPr="00795690">
        <w:rPr>
          <w:color w:val="auto"/>
          <w:sz w:val="20"/>
          <w:szCs w:val="20"/>
          <w:lang w:val="en-US" w:bidi="ar-SA"/>
        </w:rPr>
        <w:t xml:space="preserve"> Trend analysis of rainfall using </w:t>
      </w:r>
      <w:proofErr w:type="spellStart"/>
      <w:r w:rsidRPr="00795690">
        <w:rPr>
          <w:color w:val="auto"/>
          <w:sz w:val="20"/>
          <w:szCs w:val="20"/>
          <w:lang w:val="en-US" w:bidi="ar-SA"/>
        </w:rPr>
        <w:t>mann-kendall</w:t>
      </w:r>
      <w:proofErr w:type="spellEnd"/>
      <w:r w:rsidRPr="00795690">
        <w:rPr>
          <w:color w:val="auto"/>
          <w:sz w:val="20"/>
          <w:szCs w:val="20"/>
          <w:lang w:val="en-US" w:bidi="ar-SA"/>
        </w:rPr>
        <w:t xml:space="preserve"> test in </w:t>
      </w:r>
      <w:proofErr w:type="spellStart"/>
      <w:r w:rsidRPr="00795690">
        <w:rPr>
          <w:color w:val="auto"/>
          <w:sz w:val="20"/>
          <w:szCs w:val="20"/>
          <w:lang w:val="en-US" w:bidi="ar-SA"/>
        </w:rPr>
        <w:t>Karmal</w:t>
      </w:r>
      <w:proofErr w:type="spellEnd"/>
      <w:r w:rsidRPr="00795690">
        <w:rPr>
          <w:color w:val="auto"/>
          <w:sz w:val="20"/>
          <w:szCs w:val="20"/>
          <w:lang w:val="en-US" w:bidi="ar-SA"/>
        </w:rPr>
        <w:t xml:space="preserve"> watershed of </w:t>
      </w:r>
      <w:proofErr w:type="spellStart"/>
      <w:r w:rsidR="00962BCC" w:rsidRPr="00795690">
        <w:rPr>
          <w:color w:val="auto"/>
          <w:sz w:val="20"/>
          <w:szCs w:val="20"/>
          <w:lang w:val="en-US" w:bidi="ar-SA"/>
        </w:rPr>
        <w:t>B</w:t>
      </w:r>
      <w:r w:rsidRPr="00795690">
        <w:rPr>
          <w:color w:val="auto"/>
          <w:sz w:val="20"/>
          <w:szCs w:val="20"/>
          <w:lang w:val="en-US" w:bidi="ar-SA"/>
        </w:rPr>
        <w:t>hadar</w:t>
      </w:r>
      <w:proofErr w:type="spellEnd"/>
      <w:r w:rsidRPr="00795690">
        <w:rPr>
          <w:color w:val="auto"/>
          <w:sz w:val="20"/>
          <w:szCs w:val="20"/>
          <w:lang w:val="en-US" w:bidi="ar-SA"/>
        </w:rPr>
        <w:t xml:space="preserve"> basin. </w:t>
      </w:r>
      <w:r w:rsidRPr="00795690">
        <w:rPr>
          <w:i/>
          <w:iCs/>
          <w:color w:val="auto"/>
          <w:sz w:val="20"/>
          <w:szCs w:val="20"/>
          <w:lang w:val="en-US" w:bidi="ar-SA"/>
        </w:rPr>
        <w:t>An International E. Journal</w:t>
      </w:r>
      <w:r w:rsidR="00962BCC" w:rsidRPr="00795690">
        <w:rPr>
          <w:color w:val="auto"/>
          <w:sz w:val="20"/>
          <w:szCs w:val="20"/>
          <w:lang w:val="en-US" w:bidi="ar-SA"/>
        </w:rPr>
        <w:t xml:space="preserve">, </w:t>
      </w:r>
      <w:r w:rsidRPr="00795690">
        <w:rPr>
          <w:color w:val="auto"/>
          <w:sz w:val="20"/>
          <w:szCs w:val="20"/>
          <w:lang w:val="en-US" w:bidi="ar-SA"/>
        </w:rPr>
        <w:t>6(3)</w:t>
      </w:r>
      <w:r w:rsidR="00962BCC" w:rsidRPr="00795690">
        <w:rPr>
          <w:color w:val="auto"/>
          <w:sz w:val="20"/>
          <w:szCs w:val="20"/>
          <w:lang w:val="en-US" w:bidi="ar-SA"/>
        </w:rPr>
        <w:t xml:space="preserve">, </w:t>
      </w:r>
      <w:r w:rsidRPr="00795690">
        <w:rPr>
          <w:color w:val="auto"/>
          <w:sz w:val="20"/>
          <w:szCs w:val="20"/>
          <w:lang w:val="en-US" w:bidi="ar-SA"/>
        </w:rPr>
        <w:t xml:space="preserve">435-441. </w:t>
      </w:r>
    </w:p>
    <w:p w14:paraId="41F101A5" w14:textId="790FEFEE" w:rsidR="00707EE7" w:rsidRPr="00795690" w:rsidRDefault="00962BCC" w:rsidP="00795690">
      <w:pPr>
        <w:pStyle w:val="Default"/>
        <w:ind w:left="851" w:hanging="851"/>
        <w:jc w:val="both"/>
        <w:rPr>
          <w:color w:val="auto"/>
          <w:sz w:val="20"/>
          <w:szCs w:val="20"/>
          <w:lang w:val="en-US" w:bidi="ar-SA"/>
        </w:rPr>
      </w:pPr>
      <w:proofErr w:type="spellStart"/>
      <w:r w:rsidRPr="00795690">
        <w:rPr>
          <w:color w:val="auto"/>
          <w:sz w:val="20"/>
          <w:szCs w:val="20"/>
          <w:lang w:val="en-US" w:bidi="ar-SA"/>
        </w:rPr>
        <w:t>Maheta</w:t>
      </w:r>
      <w:proofErr w:type="spellEnd"/>
      <w:r w:rsidRPr="00795690">
        <w:rPr>
          <w:color w:val="auto"/>
          <w:sz w:val="20"/>
          <w:szCs w:val="20"/>
          <w:lang w:val="en-US" w:bidi="ar-SA"/>
        </w:rPr>
        <w:t xml:space="preserve">, H.Y., Rank, H. D., </w:t>
      </w:r>
      <w:proofErr w:type="spellStart"/>
      <w:r w:rsidRPr="00795690">
        <w:rPr>
          <w:color w:val="auto"/>
          <w:sz w:val="20"/>
          <w:szCs w:val="20"/>
          <w:lang w:val="en-US" w:bidi="ar-SA"/>
        </w:rPr>
        <w:t>P</w:t>
      </w:r>
      <w:r w:rsidR="00707EE7" w:rsidRPr="00795690">
        <w:rPr>
          <w:color w:val="auto"/>
          <w:sz w:val="20"/>
          <w:szCs w:val="20"/>
          <w:lang w:val="en-US" w:bidi="ar-SA"/>
        </w:rPr>
        <w:t>arajapati</w:t>
      </w:r>
      <w:proofErr w:type="spellEnd"/>
      <w:r w:rsidR="00707EE7" w:rsidRPr="00795690">
        <w:rPr>
          <w:color w:val="auto"/>
          <w:sz w:val="20"/>
          <w:szCs w:val="20"/>
          <w:lang w:val="en-US" w:bidi="ar-SA"/>
        </w:rPr>
        <w:t>,</w:t>
      </w:r>
      <w:r w:rsidRPr="00795690">
        <w:rPr>
          <w:color w:val="auto"/>
          <w:sz w:val="20"/>
          <w:szCs w:val="20"/>
          <w:lang w:val="en-US" w:bidi="ar-SA"/>
        </w:rPr>
        <w:t xml:space="preserve"> G. V.,</w:t>
      </w:r>
      <w:r w:rsidR="00707EE7" w:rsidRPr="00795690">
        <w:rPr>
          <w:color w:val="auto"/>
          <w:sz w:val="20"/>
          <w:szCs w:val="20"/>
          <w:lang w:val="en-US" w:bidi="ar-SA"/>
        </w:rPr>
        <w:t xml:space="preserve"> Kumar</w:t>
      </w:r>
      <w:r w:rsidRPr="00795690">
        <w:rPr>
          <w:color w:val="auto"/>
          <w:sz w:val="20"/>
          <w:szCs w:val="20"/>
          <w:lang w:val="en-US" w:bidi="ar-SA"/>
        </w:rPr>
        <w:t>,</w:t>
      </w:r>
      <w:r w:rsidR="00707EE7" w:rsidRPr="00795690">
        <w:rPr>
          <w:color w:val="auto"/>
          <w:sz w:val="20"/>
          <w:szCs w:val="20"/>
          <w:lang w:val="en-US" w:bidi="ar-SA"/>
        </w:rPr>
        <w:t xml:space="preserve"> </w:t>
      </w:r>
      <w:r w:rsidRPr="00795690">
        <w:rPr>
          <w:color w:val="auto"/>
          <w:sz w:val="20"/>
          <w:szCs w:val="20"/>
          <w:lang w:val="en-US" w:bidi="ar-SA"/>
        </w:rPr>
        <w:t xml:space="preserve">K. &amp; </w:t>
      </w:r>
      <w:proofErr w:type="spellStart"/>
      <w:r w:rsidR="00707EE7" w:rsidRPr="00795690">
        <w:rPr>
          <w:color w:val="auto"/>
          <w:sz w:val="20"/>
          <w:szCs w:val="20"/>
          <w:lang w:val="en-US" w:bidi="ar-SA"/>
        </w:rPr>
        <w:t>Bharodia</w:t>
      </w:r>
      <w:proofErr w:type="spellEnd"/>
      <w:r w:rsidRPr="00795690">
        <w:rPr>
          <w:color w:val="auto"/>
          <w:sz w:val="20"/>
          <w:szCs w:val="20"/>
          <w:lang w:val="en-US" w:bidi="ar-SA"/>
        </w:rPr>
        <w:t>, C. R.</w:t>
      </w:r>
      <w:r w:rsidR="00707EE7" w:rsidRPr="00795690">
        <w:rPr>
          <w:color w:val="auto"/>
          <w:sz w:val="20"/>
          <w:szCs w:val="20"/>
          <w:lang w:val="en-US" w:bidi="ar-SA"/>
        </w:rPr>
        <w:t xml:space="preserve"> (2025). Regional rainfall frequency analysis of </w:t>
      </w:r>
      <w:proofErr w:type="spellStart"/>
      <w:r w:rsidRPr="00795690">
        <w:rPr>
          <w:color w:val="auto"/>
          <w:sz w:val="20"/>
          <w:szCs w:val="20"/>
          <w:lang w:val="en-US" w:bidi="ar-SA"/>
        </w:rPr>
        <w:t>B</w:t>
      </w:r>
      <w:r w:rsidR="00707EE7" w:rsidRPr="00795690">
        <w:rPr>
          <w:color w:val="auto"/>
          <w:sz w:val="20"/>
          <w:szCs w:val="20"/>
          <w:lang w:val="en-US" w:bidi="ar-SA"/>
        </w:rPr>
        <w:t>hadar</w:t>
      </w:r>
      <w:proofErr w:type="spellEnd"/>
      <w:r w:rsidR="00707EE7" w:rsidRPr="00795690">
        <w:rPr>
          <w:color w:val="auto"/>
          <w:sz w:val="20"/>
          <w:szCs w:val="20"/>
          <w:lang w:val="en-US" w:bidi="ar-SA"/>
        </w:rPr>
        <w:t xml:space="preserve"> basin using L-moment approach.</w:t>
      </w:r>
      <w:r w:rsidR="00795690" w:rsidRPr="00795690">
        <w:rPr>
          <w:color w:val="auto"/>
          <w:sz w:val="20"/>
          <w:szCs w:val="20"/>
          <w:lang w:val="en-US" w:bidi="ar-SA"/>
        </w:rPr>
        <w:t xml:space="preserve"> </w:t>
      </w:r>
      <w:r w:rsidRPr="00795690">
        <w:rPr>
          <w:i/>
          <w:iCs/>
          <w:color w:val="auto"/>
          <w:sz w:val="20"/>
          <w:szCs w:val="20"/>
          <w:lang w:val="en-US" w:bidi="ar-SA"/>
        </w:rPr>
        <w:t>Plant Archives</w:t>
      </w:r>
      <w:r w:rsidRPr="00795690">
        <w:rPr>
          <w:color w:val="auto"/>
          <w:sz w:val="20"/>
          <w:szCs w:val="20"/>
          <w:lang w:val="en-US" w:bidi="ar-SA"/>
        </w:rPr>
        <w:t xml:space="preserve">, 25(Special Issue), </w:t>
      </w:r>
      <w:r w:rsidR="00707EE7" w:rsidRPr="00795690">
        <w:rPr>
          <w:color w:val="auto"/>
          <w:sz w:val="20"/>
          <w:szCs w:val="20"/>
          <w:lang w:val="en-US" w:bidi="ar-SA"/>
        </w:rPr>
        <w:t>633-640</w:t>
      </w:r>
      <w:r w:rsidRPr="00795690">
        <w:rPr>
          <w:color w:val="auto"/>
          <w:sz w:val="20"/>
          <w:szCs w:val="20"/>
          <w:lang w:val="en-US" w:bidi="ar-SA"/>
        </w:rPr>
        <w:t>.</w:t>
      </w:r>
    </w:p>
    <w:p w14:paraId="26745BAC" w14:textId="3F296AE6" w:rsidR="00BE068E" w:rsidRPr="00795690" w:rsidRDefault="00BE068E" w:rsidP="00956FBD">
      <w:pPr>
        <w:ind w:left="709" w:hanging="709"/>
        <w:jc w:val="both"/>
        <w:rPr>
          <w:rFonts w:ascii="Arial" w:hAnsi="Arial" w:cs="Arial"/>
        </w:rPr>
      </w:pPr>
      <w:proofErr w:type="spellStart"/>
      <w:r w:rsidRPr="00795690">
        <w:rPr>
          <w:rFonts w:ascii="Arial" w:hAnsi="Arial" w:cs="Arial"/>
        </w:rPr>
        <w:t>Oganja</w:t>
      </w:r>
      <w:proofErr w:type="spellEnd"/>
      <w:r w:rsidRPr="00795690">
        <w:rPr>
          <w:rFonts w:ascii="Arial" w:hAnsi="Arial" w:cs="Arial"/>
        </w:rPr>
        <w:t xml:space="preserve">, Y. H., </w:t>
      </w:r>
      <w:proofErr w:type="spellStart"/>
      <w:r w:rsidRPr="00795690">
        <w:rPr>
          <w:rFonts w:ascii="Arial" w:hAnsi="Arial" w:cs="Arial"/>
        </w:rPr>
        <w:t>Maheta</w:t>
      </w:r>
      <w:proofErr w:type="spellEnd"/>
      <w:r w:rsidRPr="00795690">
        <w:rPr>
          <w:rFonts w:ascii="Arial" w:hAnsi="Arial" w:cs="Arial"/>
        </w:rPr>
        <w:t xml:space="preserve">, H. Y., Kumar, K., &amp; </w:t>
      </w:r>
      <w:proofErr w:type="spellStart"/>
      <w:r w:rsidRPr="00795690">
        <w:rPr>
          <w:rFonts w:ascii="Arial" w:hAnsi="Arial" w:cs="Arial"/>
        </w:rPr>
        <w:t>Bharodia</w:t>
      </w:r>
      <w:proofErr w:type="spellEnd"/>
      <w:r w:rsidRPr="00795690">
        <w:rPr>
          <w:rFonts w:ascii="Arial" w:hAnsi="Arial" w:cs="Arial"/>
        </w:rPr>
        <w:t xml:space="preserve">, C. R. (2024). Identification of mutation point and trend analysis of area, production, and yield of wheat crop in Gujarat, India. </w:t>
      </w:r>
      <w:r w:rsidRPr="00795690">
        <w:rPr>
          <w:rFonts w:ascii="Arial" w:hAnsi="Arial" w:cs="Arial"/>
          <w:i/>
          <w:iCs/>
        </w:rPr>
        <w:t>Asian Research Journal of Agriculture</w:t>
      </w:r>
      <w:r w:rsidRPr="00795690">
        <w:rPr>
          <w:rFonts w:ascii="Arial" w:hAnsi="Arial" w:cs="Arial"/>
        </w:rPr>
        <w:t xml:space="preserve">, </w:t>
      </w:r>
      <w:r w:rsidRPr="00795690">
        <w:rPr>
          <w:rFonts w:ascii="Arial" w:hAnsi="Arial" w:cs="Arial"/>
          <w:i/>
          <w:iCs/>
        </w:rPr>
        <w:t>17</w:t>
      </w:r>
      <w:r w:rsidRPr="00795690">
        <w:rPr>
          <w:rFonts w:ascii="Arial" w:hAnsi="Arial" w:cs="Arial"/>
        </w:rPr>
        <w:t>(4), 150-156. DOI: https://doi.org/10.9734/arja/2024/v17i4510</w:t>
      </w:r>
    </w:p>
    <w:p w14:paraId="1E0822E0" w14:textId="7F82E7B5" w:rsidR="00BE068E" w:rsidRPr="00795690" w:rsidRDefault="00BE068E" w:rsidP="00956FBD">
      <w:pPr>
        <w:ind w:left="743" w:hanging="720"/>
        <w:jc w:val="both"/>
        <w:rPr>
          <w:rFonts w:ascii="Arial" w:hAnsi="Arial" w:cs="Arial"/>
        </w:rPr>
      </w:pPr>
      <w:r w:rsidRPr="00795690">
        <w:rPr>
          <w:rFonts w:ascii="Arial" w:hAnsi="Arial" w:cs="Arial"/>
        </w:rPr>
        <w:t>Pettitt, A. N. (19</w:t>
      </w:r>
      <w:r w:rsidR="00795690" w:rsidRPr="00795690">
        <w:rPr>
          <w:rFonts w:ascii="Arial" w:hAnsi="Arial" w:cs="Arial"/>
        </w:rPr>
        <w:t>8</w:t>
      </w:r>
      <w:r w:rsidRPr="00795690">
        <w:rPr>
          <w:rFonts w:ascii="Arial" w:hAnsi="Arial" w:cs="Arial"/>
        </w:rPr>
        <w:t xml:space="preserve">). A non-parametric approach to the change point problem. </w:t>
      </w:r>
      <w:r w:rsidRPr="00795690">
        <w:rPr>
          <w:rFonts w:ascii="Arial" w:hAnsi="Arial" w:cs="Arial"/>
          <w:i/>
          <w:iCs/>
        </w:rPr>
        <w:t>Journal of Applied Statistics</w:t>
      </w:r>
      <w:r w:rsidRPr="00795690">
        <w:rPr>
          <w:rFonts w:ascii="Arial" w:hAnsi="Arial" w:cs="Arial"/>
        </w:rPr>
        <w:t xml:space="preserve">, </w:t>
      </w:r>
      <w:r w:rsidRPr="00795690">
        <w:rPr>
          <w:rFonts w:ascii="Arial" w:hAnsi="Arial" w:cs="Arial"/>
          <w:i/>
          <w:iCs/>
        </w:rPr>
        <w:t>28</w:t>
      </w:r>
      <w:r w:rsidRPr="00795690">
        <w:rPr>
          <w:rFonts w:ascii="Arial" w:hAnsi="Arial" w:cs="Arial"/>
        </w:rPr>
        <w:t>(2), 126-135.</w:t>
      </w:r>
    </w:p>
    <w:p w14:paraId="392EB554" w14:textId="5C8CFD6D" w:rsidR="00BE068E" w:rsidRPr="00795690" w:rsidRDefault="00BE068E" w:rsidP="00956FBD">
      <w:pPr>
        <w:ind w:left="743" w:hanging="720"/>
        <w:jc w:val="both"/>
        <w:rPr>
          <w:rFonts w:ascii="Arial" w:hAnsi="Arial" w:cs="Arial"/>
        </w:rPr>
      </w:pPr>
      <w:r w:rsidRPr="00795690">
        <w:rPr>
          <w:rFonts w:ascii="Arial" w:hAnsi="Arial" w:cs="Arial"/>
        </w:rPr>
        <w:t xml:space="preserve">Sajindra, H., </w:t>
      </w:r>
      <w:proofErr w:type="spellStart"/>
      <w:r w:rsidRPr="00795690">
        <w:rPr>
          <w:rFonts w:ascii="Arial" w:hAnsi="Arial" w:cs="Arial"/>
        </w:rPr>
        <w:t>Abekoon</w:t>
      </w:r>
      <w:proofErr w:type="spellEnd"/>
      <w:r w:rsidRPr="00795690">
        <w:rPr>
          <w:rFonts w:ascii="Arial" w:hAnsi="Arial" w:cs="Arial"/>
        </w:rPr>
        <w:t>, T</w:t>
      </w:r>
      <w:r w:rsidR="00795690" w:rsidRPr="00795690">
        <w:rPr>
          <w:rFonts w:ascii="Arial" w:hAnsi="Arial" w:cs="Arial"/>
        </w:rPr>
        <w:t xml:space="preserve">., </w:t>
      </w:r>
      <w:proofErr w:type="spellStart"/>
      <w:r w:rsidR="00795690" w:rsidRPr="00795690">
        <w:rPr>
          <w:rFonts w:ascii="Arial" w:hAnsi="Arial" w:cs="Arial"/>
        </w:rPr>
        <w:t>Wimalasiri</w:t>
      </w:r>
      <w:proofErr w:type="spellEnd"/>
      <w:r w:rsidR="00795690" w:rsidRPr="00795690">
        <w:rPr>
          <w:rFonts w:ascii="Arial" w:hAnsi="Arial" w:cs="Arial"/>
        </w:rPr>
        <w:t>, E. M., Mehta, D.</w:t>
      </w:r>
      <w:r w:rsidRPr="00795690">
        <w:rPr>
          <w:rFonts w:ascii="Arial" w:hAnsi="Arial" w:cs="Arial"/>
        </w:rPr>
        <w:t xml:space="preserve"> </w:t>
      </w:r>
      <w:r w:rsidR="00795690" w:rsidRPr="00795690">
        <w:rPr>
          <w:rFonts w:ascii="Arial" w:hAnsi="Arial" w:cs="Arial"/>
        </w:rPr>
        <w:t>&amp;</w:t>
      </w:r>
      <w:r w:rsidRPr="00795690">
        <w:rPr>
          <w:rFonts w:ascii="Arial" w:hAnsi="Arial" w:cs="Arial"/>
        </w:rPr>
        <w:t xml:space="preserve"> Rathnayake, U. (2023). An artificial neural network for predicting groundnut yield using climatic data. </w:t>
      </w:r>
      <w:proofErr w:type="spellStart"/>
      <w:r w:rsidRPr="00795690">
        <w:rPr>
          <w:rFonts w:ascii="Arial" w:hAnsi="Arial" w:cs="Arial"/>
          <w:i/>
          <w:iCs/>
        </w:rPr>
        <w:t>AgriEngineering</w:t>
      </w:r>
      <w:proofErr w:type="spellEnd"/>
      <w:r w:rsidRPr="00795690">
        <w:rPr>
          <w:rFonts w:ascii="Arial" w:hAnsi="Arial" w:cs="Arial"/>
        </w:rPr>
        <w:t>,</w:t>
      </w:r>
      <w:r w:rsidRPr="00795690">
        <w:rPr>
          <w:rFonts w:ascii="Arial" w:hAnsi="Arial" w:cs="Arial"/>
          <w:b/>
          <w:bCs/>
        </w:rPr>
        <w:t> </w:t>
      </w:r>
      <w:r w:rsidRPr="00795690">
        <w:rPr>
          <w:rFonts w:ascii="Arial" w:hAnsi="Arial" w:cs="Arial"/>
          <w:i/>
          <w:iCs/>
        </w:rPr>
        <w:t>5</w:t>
      </w:r>
      <w:r w:rsidRPr="00795690">
        <w:rPr>
          <w:rFonts w:ascii="Arial" w:hAnsi="Arial" w:cs="Arial"/>
        </w:rPr>
        <w:t>(4), 1713-1736.</w:t>
      </w:r>
    </w:p>
    <w:p w14:paraId="4FEF3C12" w14:textId="7D883677" w:rsidR="00BE068E" w:rsidRPr="00795690" w:rsidRDefault="00BE068E" w:rsidP="00956FBD">
      <w:pPr>
        <w:ind w:left="743" w:hanging="720"/>
        <w:jc w:val="both"/>
        <w:rPr>
          <w:rFonts w:ascii="Arial" w:hAnsi="Arial" w:cs="Arial"/>
        </w:rPr>
      </w:pPr>
      <w:r w:rsidRPr="00795690">
        <w:rPr>
          <w:rFonts w:ascii="Arial" w:hAnsi="Arial" w:cs="Arial"/>
        </w:rPr>
        <w:t xml:space="preserve">Sen, P. K. (1968). Estimates of the regression coefficient based on Kendall’s tau. </w:t>
      </w:r>
      <w:r w:rsidRPr="00795690">
        <w:rPr>
          <w:rFonts w:ascii="Arial" w:hAnsi="Arial" w:cs="Arial"/>
          <w:i/>
          <w:iCs/>
        </w:rPr>
        <w:t>Journal of the American Statistical Association,</w:t>
      </w:r>
      <w:r w:rsidRPr="00795690">
        <w:rPr>
          <w:rFonts w:ascii="Arial" w:hAnsi="Arial" w:cs="Arial"/>
        </w:rPr>
        <w:t xml:space="preserve"> </w:t>
      </w:r>
      <w:r w:rsidRPr="00795690">
        <w:rPr>
          <w:rFonts w:ascii="Arial" w:hAnsi="Arial" w:cs="Arial"/>
          <w:i/>
          <w:iCs/>
        </w:rPr>
        <w:t>63</w:t>
      </w:r>
      <w:r w:rsidR="00795690" w:rsidRPr="00795690">
        <w:rPr>
          <w:rFonts w:ascii="Arial" w:hAnsi="Arial" w:cs="Arial"/>
        </w:rPr>
        <w:t>, 1379-</w:t>
      </w:r>
      <w:r w:rsidRPr="00795690">
        <w:rPr>
          <w:rFonts w:ascii="Arial" w:hAnsi="Arial" w:cs="Arial"/>
        </w:rPr>
        <w:t>1389.</w:t>
      </w:r>
    </w:p>
    <w:p w14:paraId="7D36DAE3" w14:textId="6DA1CBD2" w:rsidR="004D4277" w:rsidRPr="00956FBD" w:rsidRDefault="00BE068E" w:rsidP="00216840">
      <w:pPr>
        <w:spacing w:after="100" w:afterAutospacing="1"/>
        <w:ind w:left="720" w:hanging="720"/>
        <w:jc w:val="both"/>
        <w:rPr>
          <w:rFonts w:ascii="Arial" w:eastAsia="Calibri" w:hAnsi="Arial" w:cs="Arial"/>
          <w:lang w:val="en-IN" w:eastAsia="en-IN"/>
        </w:rPr>
        <w:sectPr w:rsidR="004D4277" w:rsidRPr="00956FBD" w:rsidSect="00122C0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795690">
        <w:rPr>
          <w:rFonts w:ascii="Arial" w:eastAsia="Calibri" w:hAnsi="Arial" w:cs="Arial"/>
          <w:lang w:eastAsia="en-IN"/>
        </w:rPr>
        <w:t xml:space="preserve">Vignesh, M. </w:t>
      </w:r>
      <w:r w:rsidR="00795690" w:rsidRPr="00795690">
        <w:rPr>
          <w:rFonts w:ascii="Arial" w:eastAsia="Calibri" w:hAnsi="Arial" w:cs="Arial"/>
          <w:lang w:eastAsia="en-IN"/>
        </w:rPr>
        <w:t>&amp;</w:t>
      </w:r>
      <w:r w:rsidRPr="00795690">
        <w:rPr>
          <w:rFonts w:ascii="Arial" w:eastAsia="Calibri" w:hAnsi="Arial" w:cs="Arial"/>
          <w:lang w:eastAsia="en-IN"/>
        </w:rPr>
        <w:t xml:space="preserve"> Selvakumar, R. (2024). Export performance of Groundnut and its </w:t>
      </w:r>
      <w:proofErr w:type="gramStart"/>
      <w:r w:rsidRPr="00795690">
        <w:rPr>
          <w:rFonts w:ascii="Arial" w:eastAsia="Calibri" w:hAnsi="Arial" w:cs="Arial"/>
          <w:lang w:eastAsia="en-IN"/>
        </w:rPr>
        <w:t>value added</w:t>
      </w:r>
      <w:proofErr w:type="gramEnd"/>
      <w:r w:rsidRPr="00795690">
        <w:rPr>
          <w:rFonts w:ascii="Arial" w:eastAsia="Calibri" w:hAnsi="Arial" w:cs="Arial"/>
          <w:lang w:eastAsia="en-IN"/>
        </w:rPr>
        <w:t xml:space="preserve"> products in the study area. </w:t>
      </w:r>
      <w:r w:rsidRPr="00795690">
        <w:rPr>
          <w:rFonts w:ascii="Arial" w:eastAsia="Calibri" w:hAnsi="Arial" w:cs="Arial"/>
          <w:i/>
          <w:iCs/>
          <w:lang w:val="en-IN" w:eastAsia="en-IN"/>
        </w:rPr>
        <w:t>Indian Journal of Applied and Pure Biology, 39</w:t>
      </w:r>
      <w:r w:rsidRPr="00795690">
        <w:rPr>
          <w:rFonts w:ascii="Arial" w:eastAsia="Calibri" w:hAnsi="Arial" w:cs="Arial"/>
          <w:lang w:val="en-IN" w:eastAsia="en-IN"/>
        </w:rPr>
        <w:t>(3), 1921-1924.</w:t>
      </w: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122C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09F1" w14:textId="77777777" w:rsidR="007E569A" w:rsidRDefault="007E569A" w:rsidP="00C37E61">
      <w:r>
        <w:separator/>
      </w:r>
    </w:p>
  </w:endnote>
  <w:endnote w:type="continuationSeparator" w:id="0">
    <w:p w14:paraId="3146BD5E" w14:textId="77777777" w:rsidR="007E569A" w:rsidRDefault="007E56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34B7" w14:textId="77777777" w:rsidR="009D2AC1" w:rsidRDefault="009D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CD44" w14:textId="77777777" w:rsidR="001E37F6" w:rsidRPr="00C37E61" w:rsidRDefault="001E37F6"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CBC2" w14:textId="77777777" w:rsidR="009D2AC1" w:rsidRDefault="009D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A1641" w14:textId="77777777" w:rsidR="007E569A" w:rsidRDefault="007E569A" w:rsidP="00C37E61">
      <w:r>
        <w:separator/>
      </w:r>
    </w:p>
  </w:footnote>
  <w:footnote w:type="continuationSeparator" w:id="0">
    <w:p w14:paraId="2AC88EB2" w14:textId="77777777" w:rsidR="007E569A" w:rsidRDefault="007E56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6168" w14:textId="7BF59D92" w:rsidR="009D2AC1" w:rsidRDefault="009D2AC1">
    <w:pPr>
      <w:pStyle w:val="Header"/>
    </w:pPr>
    <w:r>
      <w:rPr>
        <w:noProof/>
      </w:rPr>
      <w:pict w14:anchorId="70F18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CA5C" w14:textId="76079561" w:rsidR="009D2AC1" w:rsidRDefault="009D2AC1">
    <w:pPr>
      <w:pStyle w:val="Header"/>
    </w:pPr>
    <w:r>
      <w:rPr>
        <w:noProof/>
      </w:rPr>
      <w:pict w14:anchorId="5B661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7FA8" w14:textId="28FCED9C" w:rsidR="009D2AC1" w:rsidRDefault="009D2AC1">
    <w:pPr>
      <w:pStyle w:val="Header"/>
    </w:pPr>
    <w:r>
      <w:rPr>
        <w:noProof/>
      </w:rPr>
      <w:pict w14:anchorId="1DAA4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8612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47B0"/>
    <w:rsid w:val="00070400"/>
    <w:rsid w:val="0008566A"/>
    <w:rsid w:val="000A47FA"/>
    <w:rsid w:val="000A65D3"/>
    <w:rsid w:val="000B1E33"/>
    <w:rsid w:val="000D4948"/>
    <w:rsid w:val="000D689F"/>
    <w:rsid w:val="000E2E98"/>
    <w:rsid w:val="000E7B7B"/>
    <w:rsid w:val="000E7D62"/>
    <w:rsid w:val="0010328F"/>
    <w:rsid w:val="00103357"/>
    <w:rsid w:val="00107383"/>
    <w:rsid w:val="00122C01"/>
    <w:rsid w:val="00123C9F"/>
    <w:rsid w:val="00126190"/>
    <w:rsid w:val="00130F17"/>
    <w:rsid w:val="001320BF"/>
    <w:rsid w:val="001354FC"/>
    <w:rsid w:val="00163BC4"/>
    <w:rsid w:val="00165358"/>
    <w:rsid w:val="001655E4"/>
    <w:rsid w:val="00170785"/>
    <w:rsid w:val="00191062"/>
    <w:rsid w:val="00192B72"/>
    <w:rsid w:val="001A29D8"/>
    <w:rsid w:val="001A5CAA"/>
    <w:rsid w:val="001B0427"/>
    <w:rsid w:val="001C2659"/>
    <w:rsid w:val="001C4577"/>
    <w:rsid w:val="001D3A51"/>
    <w:rsid w:val="001E10D2"/>
    <w:rsid w:val="001E25B4"/>
    <w:rsid w:val="001E37F6"/>
    <w:rsid w:val="001E44FE"/>
    <w:rsid w:val="001F4B45"/>
    <w:rsid w:val="00200595"/>
    <w:rsid w:val="00204835"/>
    <w:rsid w:val="002141F3"/>
    <w:rsid w:val="00216840"/>
    <w:rsid w:val="00231920"/>
    <w:rsid w:val="0023195C"/>
    <w:rsid w:val="0024282C"/>
    <w:rsid w:val="002460DC"/>
    <w:rsid w:val="002461D6"/>
    <w:rsid w:val="00250985"/>
    <w:rsid w:val="002556F6"/>
    <w:rsid w:val="002733F3"/>
    <w:rsid w:val="00275158"/>
    <w:rsid w:val="00275DDE"/>
    <w:rsid w:val="0028103D"/>
    <w:rsid w:val="00283105"/>
    <w:rsid w:val="00284C4C"/>
    <w:rsid w:val="00287E68"/>
    <w:rsid w:val="00287F57"/>
    <w:rsid w:val="00296529"/>
    <w:rsid w:val="002B27FB"/>
    <w:rsid w:val="002B685A"/>
    <w:rsid w:val="002C57D2"/>
    <w:rsid w:val="002E0D56"/>
    <w:rsid w:val="002F5124"/>
    <w:rsid w:val="00315186"/>
    <w:rsid w:val="00317A54"/>
    <w:rsid w:val="00326048"/>
    <w:rsid w:val="0033343E"/>
    <w:rsid w:val="003406F6"/>
    <w:rsid w:val="003512C2"/>
    <w:rsid w:val="00371FB6"/>
    <w:rsid w:val="00375231"/>
    <w:rsid w:val="003763C1"/>
    <w:rsid w:val="00376933"/>
    <w:rsid w:val="00376BBE"/>
    <w:rsid w:val="003877C3"/>
    <w:rsid w:val="0039224F"/>
    <w:rsid w:val="00394308"/>
    <w:rsid w:val="003A43A4"/>
    <w:rsid w:val="003A745C"/>
    <w:rsid w:val="003A7E18"/>
    <w:rsid w:val="003B1C95"/>
    <w:rsid w:val="003B3789"/>
    <w:rsid w:val="003C4C86"/>
    <w:rsid w:val="003C6258"/>
    <w:rsid w:val="003E2904"/>
    <w:rsid w:val="00401927"/>
    <w:rsid w:val="0041027F"/>
    <w:rsid w:val="00412475"/>
    <w:rsid w:val="00422AAA"/>
    <w:rsid w:val="00423616"/>
    <w:rsid w:val="00423789"/>
    <w:rsid w:val="00423D64"/>
    <w:rsid w:val="00436689"/>
    <w:rsid w:val="00440F43"/>
    <w:rsid w:val="00441B6F"/>
    <w:rsid w:val="00446221"/>
    <w:rsid w:val="0044684F"/>
    <w:rsid w:val="004509CB"/>
    <w:rsid w:val="00450E62"/>
    <w:rsid w:val="00451556"/>
    <w:rsid w:val="00451640"/>
    <w:rsid w:val="004539DB"/>
    <w:rsid w:val="00466C2E"/>
    <w:rsid w:val="00471A80"/>
    <w:rsid w:val="00484226"/>
    <w:rsid w:val="004A0F30"/>
    <w:rsid w:val="004C214F"/>
    <w:rsid w:val="004C289C"/>
    <w:rsid w:val="004D305E"/>
    <w:rsid w:val="004D4277"/>
    <w:rsid w:val="004D6935"/>
    <w:rsid w:val="004E19E8"/>
    <w:rsid w:val="00500A7E"/>
    <w:rsid w:val="00500AE2"/>
    <w:rsid w:val="005017C6"/>
    <w:rsid w:val="00502516"/>
    <w:rsid w:val="00505F06"/>
    <w:rsid w:val="00506828"/>
    <w:rsid w:val="0051626F"/>
    <w:rsid w:val="00522158"/>
    <w:rsid w:val="0053015D"/>
    <w:rsid w:val="0053056E"/>
    <w:rsid w:val="00554FDA"/>
    <w:rsid w:val="0055744B"/>
    <w:rsid w:val="0056388B"/>
    <w:rsid w:val="00566FE9"/>
    <w:rsid w:val="00571F06"/>
    <w:rsid w:val="005A5B28"/>
    <w:rsid w:val="005A74C5"/>
    <w:rsid w:val="005C68E8"/>
    <w:rsid w:val="005C784C"/>
    <w:rsid w:val="005D17F6"/>
    <w:rsid w:val="005D3677"/>
    <w:rsid w:val="005E200F"/>
    <w:rsid w:val="005E5539"/>
    <w:rsid w:val="00602BF5"/>
    <w:rsid w:val="00617FDD"/>
    <w:rsid w:val="0062363F"/>
    <w:rsid w:val="00633614"/>
    <w:rsid w:val="00633F68"/>
    <w:rsid w:val="006347D9"/>
    <w:rsid w:val="00636EB2"/>
    <w:rsid w:val="006375B8"/>
    <w:rsid w:val="00647971"/>
    <w:rsid w:val="00650BD8"/>
    <w:rsid w:val="0066510A"/>
    <w:rsid w:val="00670BB9"/>
    <w:rsid w:val="00673F9F"/>
    <w:rsid w:val="00686953"/>
    <w:rsid w:val="00687DEA"/>
    <w:rsid w:val="00687E67"/>
    <w:rsid w:val="00692913"/>
    <w:rsid w:val="006967F7"/>
    <w:rsid w:val="006A0D4E"/>
    <w:rsid w:val="006A250C"/>
    <w:rsid w:val="006B21D3"/>
    <w:rsid w:val="006B29E7"/>
    <w:rsid w:val="006B57D0"/>
    <w:rsid w:val="006C135A"/>
    <w:rsid w:val="006D30FF"/>
    <w:rsid w:val="006D6940"/>
    <w:rsid w:val="006F11EC"/>
    <w:rsid w:val="0070082C"/>
    <w:rsid w:val="00707EE7"/>
    <w:rsid w:val="00716927"/>
    <w:rsid w:val="00721661"/>
    <w:rsid w:val="007369E6"/>
    <w:rsid w:val="00741B11"/>
    <w:rsid w:val="00743D58"/>
    <w:rsid w:val="007459A1"/>
    <w:rsid w:val="00746E59"/>
    <w:rsid w:val="0074729C"/>
    <w:rsid w:val="00754C9A"/>
    <w:rsid w:val="0075599A"/>
    <w:rsid w:val="00761D52"/>
    <w:rsid w:val="007634E9"/>
    <w:rsid w:val="00765CB9"/>
    <w:rsid w:val="0077749E"/>
    <w:rsid w:val="00790ADA"/>
    <w:rsid w:val="00795690"/>
    <w:rsid w:val="00795901"/>
    <w:rsid w:val="007B4B5F"/>
    <w:rsid w:val="007B69DD"/>
    <w:rsid w:val="007D2288"/>
    <w:rsid w:val="007E088F"/>
    <w:rsid w:val="007E0895"/>
    <w:rsid w:val="007E569A"/>
    <w:rsid w:val="007F7B32"/>
    <w:rsid w:val="00804BC2"/>
    <w:rsid w:val="008107BA"/>
    <w:rsid w:val="0081431A"/>
    <w:rsid w:val="0083216F"/>
    <w:rsid w:val="0084148F"/>
    <w:rsid w:val="00860000"/>
    <w:rsid w:val="00863BD3"/>
    <w:rsid w:val="008641ED"/>
    <w:rsid w:val="00866D66"/>
    <w:rsid w:val="00866E62"/>
    <w:rsid w:val="008671C6"/>
    <w:rsid w:val="00875803"/>
    <w:rsid w:val="008B459E"/>
    <w:rsid w:val="008D6A08"/>
    <w:rsid w:val="008E13AE"/>
    <w:rsid w:val="008E1506"/>
    <w:rsid w:val="008E710C"/>
    <w:rsid w:val="008F69D6"/>
    <w:rsid w:val="009001B6"/>
    <w:rsid w:val="00902823"/>
    <w:rsid w:val="00910EDE"/>
    <w:rsid w:val="00915CA6"/>
    <w:rsid w:val="00921E95"/>
    <w:rsid w:val="00927834"/>
    <w:rsid w:val="00947364"/>
    <w:rsid w:val="009500A6"/>
    <w:rsid w:val="00956FBD"/>
    <w:rsid w:val="009570CB"/>
    <w:rsid w:val="00957C18"/>
    <w:rsid w:val="00962BCC"/>
    <w:rsid w:val="009659BA"/>
    <w:rsid w:val="00973808"/>
    <w:rsid w:val="00983040"/>
    <w:rsid w:val="0098582D"/>
    <w:rsid w:val="009B3FB9"/>
    <w:rsid w:val="009B72E5"/>
    <w:rsid w:val="009C1147"/>
    <w:rsid w:val="009C2465"/>
    <w:rsid w:val="009C4556"/>
    <w:rsid w:val="009D16D4"/>
    <w:rsid w:val="009D2AC1"/>
    <w:rsid w:val="009D35A0"/>
    <w:rsid w:val="009D7EB7"/>
    <w:rsid w:val="009E048A"/>
    <w:rsid w:val="009E08E9"/>
    <w:rsid w:val="009E3DB9"/>
    <w:rsid w:val="009E6E35"/>
    <w:rsid w:val="009F0EDA"/>
    <w:rsid w:val="00A03B96"/>
    <w:rsid w:val="00A05B19"/>
    <w:rsid w:val="00A1134E"/>
    <w:rsid w:val="00A24E7E"/>
    <w:rsid w:val="00A258C3"/>
    <w:rsid w:val="00A347C0"/>
    <w:rsid w:val="00A36705"/>
    <w:rsid w:val="00A4020E"/>
    <w:rsid w:val="00A419BD"/>
    <w:rsid w:val="00A51431"/>
    <w:rsid w:val="00A539AD"/>
    <w:rsid w:val="00A55AF5"/>
    <w:rsid w:val="00A62139"/>
    <w:rsid w:val="00A75FF7"/>
    <w:rsid w:val="00A83E49"/>
    <w:rsid w:val="00A9226E"/>
    <w:rsid w:val="00A93BF2"/>
    <w:rsid w:val="00A94063"/>
    <w:rsid w:val="00A9772B"/>
    <w:rsid w:val="00AA6219"/>
    <w:rsid w:val="00AA74E0"/>
    <w:rsid w:val="00AB703F"/>
    <w:rsid w:val="00AC53E3"/>
    <w:rsid w:val="00AC6BB8"/>
    <w:rsid w:val="00AE008F"/>
    <w:rsid w:val="00B01FCD"/>
    <w:rsid w:val="00B1776C"/>
    <w:rsid w:val="00B33A71"/>
    <w:rsid w:val="00B345CA"/>
    <w:rsid w:val="00B360CC"/>
    <w:rsid w:val="00B52583"/>
    <w:rsid w:val="00B52896"/>
    <w:rsid w:val="00B56EAC"/>
    <w:rsid w:val="00B723DF"/>
    <w:rsid w:val="00B921A5"/>
    <w:rsid w:val="00B93104"/>
    <w:rsid w:val="00B95236"/>
    <w:rsid w:val="00B96BD9"/>
    <w:rsid w:val="00BA1B01"/>
    <w:rsid w:val="00BA2641"/>
    <w:rsid w:val="00BB37AA"/>
    <w:rsid w:val="00BB3CA7"/>
    <w:rsid w:val="00BB6554"/>
    <w:rsid w:val="00BC50E4"/>
    <w:rsid w:val="00BC53A0"/>
    <w:rsid w:val="00BE068E"/>
    <w:rsid w:val="00BE276F"/>
    <w:rsid w:val="00BE4576"/>
    <w:rsid w:val="00BE62AD"/>
    <w:rsid w:val="00BF121F"/>
    <w:rsid w:val="00BF1F80"/>
    <w:rsid w:val="00C00DC1"/>
    <w:rsid w:val="00C166EF"/>
    <w:rsid w:val="00C17EB0"/>
    <w:rsid w:val="00C226ED"/>
    <w:rsid w:val="00C27F5F"/>
    <w:rsid w:val="00C30A0F"/>
    <w:rsid w:val="00C32B0C"/>
    <w:rsid w:val="00C34A2B"/>
    <w:rsid w:val="00C34F43"/>
    <w:rsid w:val="00C37210"/>
    <w:rsid w:val="00C37E61"/>
    <w:rsid w:val="00C50918"/>
    <w:rsid w:val="00C64763"/>
    <w:rsid w:val="00C70F1B"/>
    <w:rsid w:val="00C71A47"/>
    <w:rsid w:val="00C7464C"/>
    <w:rsid w:val="00C85588"/>
    <w:rsid w:val="00CA2A2F"/>
    <w:rsid w:val="00CA322E"/>
    <w:rsid w:val="00CD6755"/>
    <w:rsid w:val="00CD6856"/>
    <w:rsid w:val="00CE0089"/>
    <w:rsid w:val="00CE1BBA"/>
    <w:rsid w:val="00CE793C"/>
    <w:rsid w:val="00CF193C"/>
    <w:rsid w:val="00D0782B"/>
    <w:rsid w:val="00D11F6B"/>
    <w:rsid w:val="00D173F1"/>
    <w:rsid w:val="00D17C30"/>
    <w:rsid w:val="00D27B99"/>
    <w:rsid w:val="00D3196F"/>
    <w:rsid w:val="00D3323D"/>
    <w:rsid w:val="00D72869"/>
    <w:rsid w:val="00D74127"/>
    <w:rsid w:val="00D74CB0"/>
    <w:rsid w:val="00D82586"/>
    <w:rsid w:val="00D8295D"/>
    <w:rsid w:val="00DA4A80"/>
    <w:rsid w:val="00DC2A65"/>
    <w:rsid w:val="00DC3726"/>
    <w:rsid w:val="00DC4A83"/>
    <w:rsid w:val="00DD2D40"/>
    <w:rsid w:val="00DD3384"/>
    <w:rsid w:val="00DE15F0"/>
    <w:rsid w:val="00DE5663"/>
    <w:rsid w:val="00DE78AA"/>
    <w:rsid w:val="00E016C2"/>
    <w:rsid w:val="00E03CB2"/>
    <w:rsid w:val="00E053D0"/>
    <w:rsid w:val="00E12840"/>
    <w:rsid w:val="00E15994"/>
    <w:rsid w:val="00E21573"/>
    <w:rsid w:val="00E2764A"/>
    <w:rsid w:val="00E30897"/>
    <w:rsid w:val="00E3114E"/>
    <w:rsid w:val="00E31A70"/>
    <w:rsid w:val="00E35B02"/>
    <w:rsid w:val="00E51629"/>
    <w:rsid w:val="00E52531"/>
    <w:rsid w:val="00E54F8E"/>
    <w:rsid w:val="00E64A3B"/>
    <w:rsid w:val="00E66496"/>
    <w:rsid w:val="00E66B35"/>
    <w:rsid w:val="00E66E10"/>
    <w:rsid w:val="00E73A3B"/>
    <w:rsid w:val="00E769F6"/>
    <w:rsid w:val="00E76B55"/>
    <w:rsid w:val="00E8407C"/>
    <w:rsid w:val="00E84F3C"/>
    <w:rsid w:val="00E8659F"/>
    <w:rsid w:val="00E91974"/>
    <w:rsid w:val="00EA012C"/>
    <w:rsid w:val="00EB2D10"/>
    <w:rsid w:val="00EC6A55"/>
    <w:rsid w:val="00ED0288"/>
    <w:rsid w:val="00ED2C89"/>
    <w:rsid w:val="00ED5DDB"/>
    <w:rsid w:val="00EE52CB"/>
    <w:rsid w:val="00EE6A50"/>
    <w:rsid w:val="00EF0D44"/>
    <w:rsid w:val="00EF581D"/>
    <w:rsid w:val="00EF7FD8"/>
    <w:rsid w:val="00F0505A"/>
    <w:rsid w:val="00F06F59"/>
    <w:rsid w:val="00F17988"/>
    <w:rsid w:val="00F348F0"/>
    <w:rsid w:val="00F379C7"/>
    <w:rsid w:val="00F469F0"/>
    <w:rsid w:val="00F53273"/>
    <w:rsid w:val="00F5467F"/>
    <w:rsid w:val="00F67A97"/>
    <w:rsid w:val="00F755E4"/>
    <w:rsid w:val="00F77D02"/>
    <w:rsid w:val="00FB1162"/>
    <w:rsid w:val="00FB3A86"/>
    <w:rsid w:val="00FB5FBF"/>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68E"/>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B33A71"/>
    <w:pPr>
      <w:spacing w:after="120"/>
    </w:pPr>
  </w:style>
  <w:style w:type="character" w:customStyle="1" w:styleId="BodyTextChar">
    <w:name w:val="Body Text Char"/>
    <w:basedOn w:val="DefaultParagraphFont"/>
    <w:link w:val="BodyText"/>
    <w:semiHidden/>
    <w:rsid w:val="00B33A71"/>
    <w:rPr>
      <w:rFonts w:ascii="Helvetica" w:hAnsi="Helvetica"/>
    </w:rPr>
  </w:style>
  <w:style w:type="paragraph" w:styleId="NormalWeb">
    <w:name w:val="Normal (Web)"/>
    <w:basedOn w:val="Normal"/>
    <w:uiPriority w:val="99"/>
    <w:unhideWhenUsed/>
    <w:rsid w:val="00B360CC"/>
    <w:pPr>
      <w:widowControl w:val="0"/>
      <w:autoSpaceDE w:val="0"/>
      <w:autoSpaceDN w:val="0"/>
    </w:pPr>
    <w:rPr>
      <w:rFonts w:ascii="Times New Roman" w:hAnsi="Times New Roman"/>
      <w:sz w:val="24"/>
      <w:szCs w:val="24"/>
    </w:rPr>
  </w:style>
  <w:style w:type="paragraph" w:customStyle="1" w:styleId="TableParagraph">
    <w:name w:val="Table Paragraph"/>
    <w:basedOn w:val="Normal"/>
    <w:uiPriority w:val="1"/>
    <w:qFormat/>
    <w:rsid w:val="00650BD8"/>
    <w:pPr>
      <w:widowControl w:val="0"/>
      <w:autoSpaceDE w:val="0"/>
      <w:autoSpaceDN w:val="0"/>
      <w:spacing w:line="275" w:lineRule="exact"/>
      <w:jc w:val="center"/>
    </w:pPr>
    <w:rPr>
      <w:rFonts w:ascii="Times New Roman" w:hAnsi="Times New Roman"/>
      <w:sz w:val="22"/>
      <w:szCs w:val="22"/>
    </w:rPr>
  </w:style>
  <w:style w:type="paragraph" w:customStyle="1" w:styleId="Default">
    <w:name w:val="Default"/>
    <w:rsid w:val="001E37F6"/>
    <w:pPr>
      <w:autoSpaceDE w:val="0"/>
      <w:autoSpaceDN w:val="0"/>
      <w:adjustRightInd w:val="0"/>
    </w:pPr>
    <w:rPr>
      <w:rFonts w:ascii="Arial" w:hAnsi="Arial" w:cs="Arial"/>
      <w:color w:val="000000"/>
      <w:sz w:val="24"/>
      <w:szCs w:val="24"/>
      <w:lang w:val="en-IN" w:bidi="gu-IN"/>
    </w:rPr>
  </w:style>
  <w:style w:type="character" w:styleId="UnresolvedMention">
    <w:name w:val="Unresolved Mention"/>
    <w:basedOn w:val="DefaultParagraphFont"/>
    <w:uiPriority w:val="99"/>
    <w:semiHidden/>
    <w:unhideWhenUsed/>
    <w:rsid w:val="00BB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9B9F-D39E-454A-BE68-A1116266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337</TotalTime>
  <Pages>8</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178</cp:revision>
  <cp:lastPrinted>1999-07-06T11:00:00Z</cp:lastPrinted>
  <dcterms:created xsi:type="dcterms:W3CDTF">2025-02-18T09:52:00Z</dcterms:created>
  <dcterms:modified xsi:type="dcterms:W3CDTF">2025-08-20T07:27:00Z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0aa08bdd-8ecf-41c8-b506-5b37d1ddc2f4</vt:lpwstr>
  </property>
</Properties>
</file>