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8C41" w14:textId="35308A0B" w:rsidR="00C8704A" w:rsidRPr="00C8704A" w:rsidRDefault="00C8704A" w:rsidP="00C8704A">
      <w:pPr>
        <w:spacing w:after="0" w:line="240" w:lineRule="auto"/>
        <w:rPr>
          <w:rFonts w:ascii="Times New Roman" w:hAnsi="Times New Roman" w:cs="Times New Roman"/>
          <w:b/>
          <w:bCs/>
          <w:sz w:val="28"/>
          <w:szCs w:val="28"/>
          <w:u w:val="single"/>
        </w:rPr>
      </w:pPr>
      <w:r w:rsidRPr="00C8704A">
        <w:rPr>
          <w:rFonts w:ascii="Times New Roman" w:hAnsi="Times New Roman" w:cs="Times New Roman"/>
          <w:b/>
          <w:bCs/>
          <w:sz w:val="28"/>
          <w:szCs w:val="28"/>
          <w:u w:val="single"/>
        </w:rPr>
        <w:t>Review Article</w:t>
      </w:r>
    </w:p>
    <w:p w14:paraId="5B49E185" w14:textId="5F04D55F" w:rsidR="00E05C51" w:rsidRPr="008D5D58" w:rsidRDefault="00FB52EF" w:rsidP="009346B0">
      <w:pPr>
        <w:spacing w:after="0" w:line="240" w:lineRule="auto"/>
        <w:jc w:val="center"/>
        <w:rPr>
          <w:rFonts w:ascii="Times New Roman" w:hAnsi="Times New Roman" w:cs="Times New Roman"/>
          <w:b/>
          <w:bCs/>
          <w:sz w:val="28"/>
          <w:szCs w:val="28"/>
        </w:rPr>
      </w:pPr>
      <w:r w:rsidRPr="00FB52EF">
        <w:rPr>
          <w:rFonts w:ascii="Times New Roman" w:hAnsi="Times New Roman" w:cs="Times New Roman"/>
          <w:b/>
          <w:bCs/>
          <w:sz w:val="28"/>
          <w:szCs w:val="28"/>
        </w:rPr>
        <w:t>Climate Change and Its Impact: A Review of Global Strategies for Adaptation and Mitigation</w:t>
      </w:r>
    </w:p>
    <w:p w14:paraId="6D8D4163" w14:textId="77777777" w:rsidR="00E05C51" w:rsidRDefault="00E05C51" w:rsidP="009346B0">
      <w:pPr>
        <w:spacing w:after="0" w:line="240" w:lineRule="auto"/>
        <w:rPr>
          <w:rFonts w:ascii="Times New Roman" w:hAnsi="Times New Roman" w:cs="Times New Roman"/>
          <w:b/>
          <w:bCs/>
          <w:sz w:val="24"/>
          <w:szCs w:val="24"/>
        </w:rPr>
      </w:pPr>
    </w:p>
    <w:p w14:paraId="1AFDB517" w14:textId="77777777" w:rsidR="00FE66A9" w:rsidRDefault="00FE66A9" w:rsidP="009346B0">
      <w:pPr>
        <w:spacing w:after="0" w:line="240" w:lineRule="auto"/>
        <w:rPr>
          <w:rFonts w:ascii="Times New Roman" w:hAnsi="Times New Roman" w:cs="Times New Roman"/>
          <w:b/>
          <w:bCs/>
          <w:sz w:val="24"/>
          <w:szCs w:val="24"/>
        </w:rPr>
      </w:pPr>
    </w:p>
    <w:p w14:paraId="250EABD7" w14:textId="77777777" w:rsidR="00971F12" w:rsidRDefault="00971F12" w:rsidP="009346B0">
      <w:pPr>
        <w:spacing w:after="0" w:line="240" w:lineRule="auto"/>
        <w:rPr>
          <w:rFonts w:ascii="Times New Roman" w:hAnsi="Times New Roman" w:cs="Times New Roman"/>
          <w:b/>
          <w:bCs/>
          <w:sz w:val="28"/>
          <w:szCs w:val="28"/>
        </w:rPr>
      </w:pPr>
    </w:p>
    <w:p w14:paraId="2CB14766" w14:textId="77777777" w:rsidR="00971F12" w:rsidRDefault="00971F12" w:rsidP="009346B0">
      <w:pPr>
        <w:spacing w:after="0" w:line="240" w:lineRule="auto"/>
        <w:rPr>
          <w:rFonts w:ascii="Times New Roman" w:hAnsi="Times New Roman" w:cs="Times New Roman"/>
          <w:b/>
          <w:bCs/>
          <w:sz w:val="28"/>
          <w:szCs w:val="28"/>
        </w:rPr>
      </w:pPr>
    </w:p>
    <w:p w14:paraId="1023DD7E" w14:textId="77777777" w:rsidR="00971F12" w:rsidRDefault="00971F12" w:rsidP="009346B0">
      <w:pPr>
        <w:spacing w:after="0" w:line="240" w:lineRule="auto"/>
        <w:rPr>
          <w:rFonts w:ascii="Times New Roman" w:hAnsi="Times New Roman" w:cs="Times New Roman"/>
          <w:b/>
          <w:bCs/>
          <w:sz w:val="28"/>
          <w:szCs w:val="28"/>
        </w:rPr>
      </w:pPr>
    </w:p>
    <w:p w14:paraId="2E86545B" w14:textId="77777777" w:rsidR="00971F12" w:rsidRDefault="00971F12" w:rsidP="009346B0">
      <w:pPr>
        <w:spacing w:after="0" w:line="240" w:lineRule="auto"/>
        <w:rPr>
          <w:rFonts w:ascii="Times New Roman" w:hAnsi="Times New Roman" w:cs="Times New Roman"/>
          <w:b/>
          <w:bCs/>
          <w:sz w:val="28"/>
          <w:szCs w:val="28"/>
        </w:rPr>
      </w:pPr>
    </w:p>
    <w:p w14:paraId="5F552756" w14:textId="41B97C02" w:rsidR="00E05C51" w:rsidRPr="008D5D58" w:rsidRDefault="00E05C51" w:rsidP="009346B0">
      <w:pPr>
        <w:spacing w:after="0" w:line="240" w:lineRule="auto"/>
        <w:rPr>
          <w:rFonts w:ascii="Times New Roman" w:hAnsi="Times New Roman" w:cs="Times New Roman"/>
          <w:b/>
          <w:bCs/>
          <w:sz w:val="28"/>
          <w:szCs w:val="28"/>
        </w:rPr>
      </w:pPr>
      <w:r w:rsidRPr="008D5D58">
        <w:rPr>
          <w:rFonts w:ascii="Times New Roman" w:hAnsi="Times New Roman" w:cs="Times New Roman"/>
          <w:b/>
          <w:bCs/>
          <w:sz w:val="28"/>
          <w:szCs w:val="28"/>
        </w:rPr>
        <w:t>Abstract</w:t>
      </w:r>
    </w:p>
    <w:p w14:paraId="1CB82694" w14:textId="40D04395" w:rsidR="00E05C51" w:rsidRPr="00971F12" w:rsidRDefault="00971F12" w:rsidP="00971F12">
      <w:pPr>
        <w:spacing w:after="0" w:line="240" w:lineRule="auto"/>
        <w:jc w:val="both"/>
        <w:rPr>
          <w:rFonts w:ascii="Times New Roman" w:hAnsi="Times New Roman" w:cs="Times New Roman"/>
        </w:rPr>
      </w:pPr>
      <w:r w:rsidRPr="00971F12">
        <w:rPr>
          <w:rFonts w:ascii="Times New Roman" w:hAnsi="Times New Roman" w:cs="Times New Roman"/>
        </w:rPr>
        <w:t>Climate change conveys an existential threat to global ecosystems and human societies, primarily from human activities that amplify greenhouse gas emissions. This review focuses on the drivers, impacts, and responses related to climate change. It highlights the need for adaptation and mitigation to develop in an integrated way and at a pace and scale commensurate with the urgency of the challenge posed. The role of fossil fuel reliance, deforestation, and intensive agriculture in accelerating global warming is well established, and so is its exacerbation of extreme weather events, biodiversity loss, and the socio-economic inequitie</w:t>
      </w:r>
      <w:bookmarkStart w:id="0" w:name="_GoBack"/>
      <w:bookmarkEnd w:id="0"/>
      <w:r w:rsidRPr="00971F12">
        <w:rPr>
          <w:rFonts w:ascii="Times New Roman" w:hAnsi="Times New Roman" w:cs="Times New Roman"/>
        </w:rPr>
        <w:t>s faced by the most vulnerable, often in the Global South. However, Paris and NDCs measures</w:t>
      </w:r>
      <w:r w:rsidR="002038FA">
        <w:rPr>
          <w:rFonts w:ascii="Times New Roman" w:hAnsi="Times New Roman" w:cs="Times New Roman"/>
        </w:rPr>
        <w:t>,</w:t>
      </w:r>
      <w:r w:rsidRPr="00971F12">
        <w:rPr>
          <w:rFonts w:ascii="Times New Roman" w:hAnsi="Times New Roman" w:cs="Times New Roman"/>
        </w:rPr>
        <w:t xml:space="preserve"> such as renewable energy transition, carbon pricing, and carbon capture technologies</w:t>
      </w:r>
      <w:r w:rsidR="002038FA">
        <w:rPr>
          <w:rFonts w:ascii="Times New Roman" w:hAnsi="Times New Roman" w:cs="Times New Roman"/>
        </w:rPr>
        <w:t>,</w:t>
      </w:r>
      <w:r w:rsidRPr="00971F12">
        <w:rPr>
          <w:rFonts w:ascii="Times New Roman" w:hAnsi="Times New Roman" w:cs="Times New Roman"/>
        </w:rPr>
        <w:t xml:space="preserve"> are addressed in the article as international frameworks. Simultaneously, adaptation strategies, climate-resilient infrastructure, ecosystem-based approaches, and community-led initiatives are examined for their effectiveness in building resilience. We can learn from successful policy </w:t>
      </w:r>
      <w:r w:rsidR="009C216A">
        <w:rPr>
          <w:rFonts w:ascii="Times New Roman" w:hAnsi="Times New Roman" w:cs="Times New Roman"/>
        </w:rPr>
        <w:t>implementations in Denmark, the Netherlands, and Small Island Developing States through case studies on renewable energy integration, adaptive water management, and the utilization of traditional knowledge</w:t>
      </w:r>
      <w:r w:rsidRPr="00971F12">
        <w:rPr>
          <w:rFonts w:ascii="Times New Roman" w:hAnsi="Times New Roman" w:cs="Times New Roman"/>
        </w:rPr>
        <w:t>. Even as they advance, these Climate Solutions are Facing Mass Adoption. Both emphasize the need for mitigation and adaptation to be framed through a justice lens, privileging vulnerable communities and inter-generational justice. It demands enhanced global cooperation, scalable financing mechanisms, and inclusive governance to close implementation gaps. Understandably, addressing the climate crisis must involve systemic transformation, marrying ambitious policy frameworks with on-the-ground innovations to establish a livable world for everybody.</w:t>
      </w:r>
    </w:p>
    <w:p w14:paraId="29DD4204" w14:textId="77777777" w:rsidR="00971F12" w:rsidRDefault="00971F12" w:rsidP="00971F12">
      <w:pPr>
        <w:spacing w:after="0" w:line="240" w:lineRule="auto"/>
        <w:jc w:val="both"/>
        <w:rPr>
          <w:rFonts w:ascii="Times New Roman" w:hAnsi="Times New Roman" w:cs="Times New Roman"/>
          <w:sz w:val="24"/>
          <w:szCs w:val="24"/>
        </w:rPr>
      </w:pPr>
    </w:p>
    <w:p w14:paraId="1466D382" w14:textId="77777777" w:rsidR="00971F12" w:rsidRDefault="00971F12" w:rsidP="00971F12">
      <w:pPr>
        <w:spacing w:after="0" w:line="240" w:lineRule="auto"/>
        <w:jc w:val="both"/>
        <w:rPr>
          <w:rFonts w:ascii="Times New Roman" w:hAnsi="Times New Roman" w:cs="Times New Roman"/>
          <w:sz w:val="24"/>
          <w:szCs w:val="24"/>
        </w:rPr>
      </w:pPr>
    </w:p>
    <w:p w14:paraId="1BEF40DF" w14:textId="77777777" w:rsidR="00971F12" w:rsidRPr="00B75873" w:rsidRDefault="00971F12" w:rsidP="00971F12">
      <w:pPr>
        <w:spacing w:after="0" w:line="240" w:lineRule="auto"/>
        <w:jc w:val="both"/>
        <w:rPr>
          <w:rFonts w:ascii="Times New Roman" w:hAnsi="Times New Roman" w:cs="Times New Roman"/>
          <w:sz w:val="24"/>
          <w:szCs w:val="24"/>
        </w:rPr>
      </w:pPr>
    </w:p>
    <w:p w14:paraId="09D74F07" w14:textId="77777777" w:rsidR="00E05C51" w:rsidRDefault="00E05C51" w:rsidP="00E64A8B">
      <w:pPr>
        <w:spacing w:after="0" w:line="240" w:lineRule="auto"/>
        <w:jc w:val="both"/>
        <w:rPr>
          <w:rFonts w:ascii="Times New Roman" w:hAnsi="Times New Roman" w:cs="Times New Roman"/>
          <w:b/>
          <w:bCs/>
          <w:sz w:val="24"/>
          <w:szCs w:val="24"/>
        </w:rPr>
      </w:pPr>
    </w:p>
    <w:p w14:paraId="0C29A3D2" w14:textId="77777777" w:rsidR="007A0876" w:rsidRDefault="00E05C51" w:rsidP="004665A4">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Keyword</w:t>
      </w:r>
      <w:r w:rsidR="00DD3D17" w:rsidRPr="008D5D58">
        <w:rPr>
          <w:rFonts w:ascii="Times New Roman" w:hAnsi="Times New Roman" w:cs="Times New Roman"/>
          <w:b/>
          <w:bCs/>
          <w:sz w:val="28"/>
          <w:szCs w:val="28"/>
        </w:rPr>
        <w:t>s</w:t>
      </w:r>
    </w:p>
    <w:p w14:paraId="546159D3" w14:textId="347E6B75" w:rsidR="004665A4" w:rsidRPr="004665A4" w:rsidRDefault="004665A4" w:rsidP="004665A4">
      <w:pPr>
        <w:spacing w:after="0" w:line="240" w:lineRule="auto"/>
        <w:jc w:val="both"/>
        <w:rPr>
          <w:rFonts w:ascii="Times New Roman" w:hAnsi="Times New Roman" w:cs="Times New Roman"/>
          <w:sz w:val="24"/>
          <w:szCs w:val="24"/>
        </w:rPr>
      </w:pPr>
      <w:r w:rsidRPr="004665A4">
        <w:rPr>
          <w:rFonts w:ascii="Times New Roman" w:eastAsia="Times New Roman" w:hAnsi="Times New Roman" w:cs="Times New Roman"/>
          <w:kern w:val="0"/>
          <w14:ligatures w14:val="none"/>
        </w:rPr>
        <w:t>Climate Change</w:t>
      </w:r>
      <w:r w:rsidRPr="004665A4">
        <w:rPr>
          <w:rFonts w:ascii="Times New Roman" w:hAnsi="Times New Roman" w:cs="Times New Roman"/>
        </w:rPr>
        <w:t xml:space="preserve">, </w:t>
      </w:r>
      <w:r w:rsidRPr="004665A4">
        <w:rPr>
          <w:rFonts w:ascii="Times New Roman" w:eastAsia="Times New Roman" w:hAnsi="Times New Roman" w:cs="Times New Roman"/>
          <w:kern w:val="0"/>
          <w14:ligatures w14:val="none"/>
        </w:rPr>
        <w:t>Global Warming</w:t>
      </w:r>
      <w:r w:rsidRPr="004665A4">
        <w:rPr>
          <w:rFonts w:ascii="Times New Roman" w:hAnsi="Times New Roman" w:cs="Times New Roman"/>
        </w:rPr>
        <w:t xml:space="preserve">, </w:t>
      </w:r>
      <w:r w:rsidRPr="004665A4">
        <w:rPr>
          <w:rFonts w:ascii="Times New Roman" w:eastAsia="Times New Roman" w:hAnsi="Times New Roman" w:cs="Times New Roman"/>
          <w:kern w:val="0"/>
          <w14:ligatures w14:val="none"/>
        </w:rPr>
        <w:t>Climate Adaptation</w:t>
      </w:r>
      <w:r w:rsidRPr="004665A4">
        <w:rPr>
          <w:rFonts w:ascii="Times New Roman" w:hAnsi="Times New Roman" w:cs="Times New Roman"/>
        </w:rPr>
        <w:t xml:space="preserve">, </w:t>
      </w:r>
      <w:r w:rsidRPr="004665A4">
        <w:rPr>
          <w:rFonts w:ascii="Times New Roman" w:eastAsia="Times New Roman" w:hAnsi="Times New Roman" w:cs="Times New Roman"/>
          <w:kern w:val="0"/>
          <w14:ligatures w14:val="none"/>
        </w:rPr>
        <w:t xml:space="preserve">Climate Mitigation, </w:t>
      </w:r>
      <w:r w:rsidRPr="004665A4">
        <w:rPr>
          <w:rFonts w:ascii="Times New Roman" w:hAnsi="Times New Roman" w:cs="Times New Roman"/>
        </w:rPr>
        <w:t>Climate-Smart Agriculture.</w:t>
      </w:r>
    </w:p>
    <w:p w14:paraId="723515FD" w14:textId="35BFCCBE" w:rsidR="00DE4297" w:rsidRDefault="00DE4297" w:rsidP="009346B0">
      <w:pPr>
        <w:spacing w:after="0" w:line="240" w:lineRule="auto"/>
        <w:jc w:val="both"/>
        <w:rPr>
          <w:rFonts w:ascii="Times New Roman" w:hAnsi="Times New Roman" w:cs="Times New Roman"/>
          <w:sz w:val="24"/>
          <w:szCs w:val="24"/>
        </w:rPr>
      </w:pPr>
    </w:p>
    <w:p w14:paraId="2721D7F7" w14:textId="77777777" w:rsidR="00276FD3" w:rsidRDefault="00276FD3" w:rsidP="009346B0">
      <w:pPr>
        <w:spacing w:after="0" w:line="240" w:lineRule="auto"/>
        <w:jc w:val="both"/>
        <w:rPr>
          <w:rFonts w:ascii="Times New Roman" w:hAnsi="Times New Roman" w:cs="Times New Roman"/>
          <w:sz w:val="24"/>
          <w:szCs w:val="24"/>
        </w:rPr>
      </w:pPr>
    </w:p>
    <w:p w14:paraId="54D86431" w14:textId="77777777" w:rsidR="00AE44B3" w:rsidRDefault="00AE44B3" w:rsidP="009346B0">
      <w:pPr>
        <w:spacing w:after="0" w:line="240" w:lineRule="auto"/>
        <w:jc w:val="both"/>
        <w:rPr>
          <w:rFonts w:ascii="Times New Roman" w:hAnsi="Times New Roman" w:cs="Times New Roman"/>
          <w:sz w:val="24"/>
          <w:szCs w:val="24"/>
        </w:rPr>
      </w:pPr>
    </w:p>
    <w:p w14:paraId="329168B5" w14:textId="77777777" w:rsidR="009C216A" w:rsidRDefault="009C216A" w:rsidP="009346B0">
      <w:pPr>
        <w:spacing w:after="0" w:line="240" w:lineRule="auto"/>
        <w:jc w:val="both"/>
        <w:rPr>
          <w:rFonts w:ascii="Times New Roman" w:hAnsi="Times New Roman" w:cs="Times New Roman"/>
          <w:sz w:val="24"/>
          <w:szCs w:val="24"/>
        </w:rPr>
      </w:pPr>
    </w:p>
    <w:p w14:paraId="0AEE3449" w14:textId="77777777" w:rsidR="009C216A" w:rsidRDefault="009C216A" w:rsidP="009346B0">
      <w:pPr>
        <w:spacing w:after="0" w:line="240" w:lineRule="auto"/>
        <w:jc w:val="both"/>
        <w:rPr>
          <w:rFonts w:ascii="Times New Roman" w:hAnsi="Times New Roman" w:cs="Times New Roman"/>
          <w:sz w:val="24"/>
          <w:szCs w:val="24"/>
        </w:rPr>
      </w:pPr>
    </w:p>
    <w:p w14:paraId="33BC23EB" w14:textId="77777777" w:rsidR="009C216A" w:rsidRDefault="009C216A" w:rsidP="009346B0">
      <w:pPr>
        <w:spacing w:after="0" w:line="240" w:lineRule="auto"/>
        <w:jc w:val="both"/>
        <w:rPr>
          <w:rFonts w:ascii="Times New Roman" w:hAnsi="Times New Roman" w:cs="Times New Roman"/>
          <w:sz w:val="24"/>
          <w:szCs w:val="24"/>
        </w:rPr>
      </w:pPr>
    </w:p>
    <w:p w14:paraId="39E56FF4" w14:textId="77777777" w:rsidR="000466D9" w:rsidRDefault="000466D9" w:rsidP="009346B0">
      <w:pPr>
        <w:spacing w:after="0" w:line="240" w:lineRule="auto"/>
        <w:jc w:val="both"/>
        <w:rPr>
          <w:rFonts w:ascii="Times New Roman" w:hAnsi="Times New Roman" w:cs="Times New Roman"/>
          <w:sz w:val="24"/>
          <w:szCs w:val="24"/>
        </w:rPr>
      </w:pPr>
    </w:p>
    <w:p w14:paraId="1596015C" w14:textId="4E65FE9B" w:rsidR="00DD3D17" w:rsidRPr="008D5D58" w:rsidRDefault="00475B6F"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1.</w:t>
      </w:r>
      <w:r w:rsidR="008D5D58" w:rsidRP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DD3D17" w:rsidRPr="008D5D58">
        <w:rPr>
          <w:rFonts w:ascii="Times New Roman" w:hAnsi="Times New Roman" w:cs="Times New Roman"/>
          <w:b/>
          <w:bCs/>
          <w:sz w:val="28"/>
          <w:szCs w:val="28"/>
        </w:rPr>
        <w:t>Introduction</w:t>
      </w:r>
    </w:p>
    <w:p w14:paraId="0C932B36" w14:textId="77777777" w:rsidR="007B512B" w:rsidRDefault="007B512B" w:rsidP="007B512B">
      <w:pPr>
        <w:spacing w:after="0" w:line="240" w:lineRule="auto"/>
        <w:jc w:val="both"/>
        <w:rPr>
          <w:rFonts w:ascii="Times New Roman" w:hAnsi="Times New Roman" w:cs="Times New Roman"/>
          <w:sz w:val="24"/>
          <w:szCs w:val="24"/>
        </w:rPr>
      </w:pPr>
    </w:p>
    <w:p w14:paraId="15DA80B3" w14:textId="2569FE56" w:rsidR="00543397" w:rsidRPr="00543397" w:rsidRDefault="00543397" w:rsidP="00543397">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 xml:space="preserve">Climate change is one of humanity's most daunting and complicated problems in the 21st century. Climate change is </w:t>
      </w:r>
      <w:r w:rsidR="00544AEC">
        <w:rPr>
          <w:rFonts w:ascii="Times New Roman" w:hAnsi="Times New Roman" w:cs="Times New Roman"/>
          <w:sz w:val="24"/>
          <w:szCs w:val="24"/>
        </w:rPr>
        <w:t xml:space="preserve">a </w:t>
      </w:r>
      <w:r w:rsidRPr="00543397">
        <w:rPr>
          <w:rFonts w:ascii="Times New Roman" w:hAnsi="Times New Roman" w:cs="Times New Roman"/>
          <w:sz w:val="24"/>
          <w:szCs w:val="24"/>
        </w:rPr>
        <w:t xml:space="preserve">long-term </w:t>
      </w:r>
      <w:r w:rsidR="00544AEC">
        <w:rPr>
          <w:rFonts w:ascii="Times New Roman" w:hAnsi="Times New Roman" w:cs="Times New Roman"/>
          <w:sz w:val="24"/>
          <w:szCs w:val="24"/>
        </w:rPr>
        <w:t>change</w:t>
      </w:r>
      <w:r w:rsidRPr="00543397">
        <w:rPr>
          <w:rFonts w:ascii="Times New Roman" w:hAnsi="Times New Roman" w:cs="Times New Roman"/>
          <w:sz w:val="24"/>
          <w:szCs w:val="24"/>
        </w:rPr>
        <w:t xml:space="preserve"> in temperatures and weather patterns, </w:t>
      </w:r>
      <w:r w:rsidR="00544AEC">
        <w:rPr>
          <w:rFonts w:ascii="Times New Roman" w:hAnsi="Times New Roman" w:cs="Times New Roman"/>
          <w:sz w:val="24"/>
          <w:szCs w:val="24"/>
        </w:rPr>
        <w:t>occurring</w:t>
      </w:r>
      <w:r w:rsidRPr="00543397">
        <w:rPr>
          <w:rFonts w:ascii="Times New Roman" w:hAnsi="Times New Roman" w:cs="Times New Roman"/>
          <w:sz w:val="24"/>
          <w:szCs w:val="24"/>
        </w:rPr>
        <w:t xml:space="preserve"> naturally on geological timescales. However, during the past century, human activity has dramatically </w:t>
      </w:r>
      <w:r w:rsidRPr="00543397">
        <w:rPr>
          <w:rFonts w:ascii="Times New Roman" w:hAnsi="Times New Roman" w:cs="Times New Roman"/>
          <w:sz w:val="24"/>
          <w:szCs w:val="24"/>
        </w:rPr>
        <w:lastRenderedPageBreak/>
        <w:t xml:space="preserve">accelerated these changes. Climate change is defined by the Intergovernmental Panel on Climate Change (IPCC) as a "change in the state of the climate that can be identified by changes in the mean and/or variability of its properties and that persists for an extended period, typically decades or longer </w:t>
      </w:r>
      <w:r w:rsidR="000E29A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{"citationID":"9ZHlnx1C","properties":{"formattedCitation":"(Waseem et al., 2024)","plainCitation":"(Waseem et al., 2024)","noteIndex":0},"citationItems":[{"id":1847,"uris":["http://zotero.org/users/local/OSBVH90z/items/FLUHGYN3"],"itemData":{"id":1847,"type":"article-journal","container-title":"Natural Hazards Research","DOI":"10.1016/j.nhres.2023.11.005","ISSN":"26665921","issue":"3","journalAbbreviation":"Natural Hazards Research","language":"en","page":"459-469","source":"DOI.org (Crossref)","title":"Adaptation planning for climate change: An application of the advanced bibliometric analytical framework","title-short":"Adaptation planning for climate change","volume":"4","author":[{"family":"Waseem","given":"Hassam Bin"},{"family":"Mirza","given":"Muhammad Noor E Elahi"},{"family":"Rana","given":"Irfan Ahmad"},{"family":"Waheed","given":"Abdul"}],"issued":{"date-parts":[["2024",9]]}}}],"schema":"https://github.com/citation-style-language/schema/raw/master/csl-citation.json"} </w:instrText>
      </w:r>
      <w:r w:rsidR="000E29AD">
        <w:rPr>
          <w:rFonts w:ascii="Times New Roman" w:hAnsi="Times New Roman" w:cs="Times New Roman"/>
          <w:sz w:val="24"/>
          <w:szCs w:val="24"/>
        </w:rPr>
        <w:fldChar w:fldCharType="separate"/>
      </w:r>
      <w:r w:rsidR="009D5529" w:rsidRPr="009D5529">
        <w:rPr>
          <w:rFonts w:ascii="Times New Roman" w:hAnsi="Times New Roman" w:cs="Times New Roman"/>
          <w:sz w:val="24"/>
        </w:rPr>
        <w:t>(Waseem et al., 2024)</w:t>
      </w:r>
      <w:r w:rsidR="000E29AD">
        <w:rPr>
          <w:rFonts w:ascii="Times New Roman" w:hAnsi="Times New Roman" w:cs="Times New Roman"/>
          <w:sz w:val="24"/>
          <w:szCs w:val="24"/>
        </w:rPr>
        <w:fldChar w:fldCharType="end"/>
      </w:r>
      <w:r w:rsidRPr="00543397">
        <w:rPr>
          <w:rFonts w:ascii="Times New Roman" w:hAnsi="Times New Roman" w:cs="Times New Roman"/>
          <w:sz w:val="24"/>
          <w:szCs w:val="24"/>
        </w:rPr>
        <w:t xml:space="preserve">. Earth's climate has always exhibited natural variability, driven by volcanic activity, solar radiation, and oceanic circulation. However, </w:t>
      </w:r>
      <w:r w:rsidR="00544AEC">
        <w:rPr>
          <w:rFonts w:ascii="Times New Roman" w:hAnsi="Times New Roman" w:cs="Times New Roman"/>
          <w:sz w:val="24"/>
          <w:szCs w:val="24"/>
        </w:rPr>
        <w:t xml:space="preserve">the rapid rate of climate change </w:t>
      </w:r>
      <w:r w:rsidRPr="00543397">
        <w:rPr>
          <w:rFonts w:ascii="Times New Roman" w:hAnsi="Times New Roman" w:cs="Times New Roman"/>
          <w:sz w:val="24"/>
          <w:szCs w:val="24"/>
        </w:rPr>
        <w:t>and global scale are mainly associated with human activities.</w:t>
      </w:r>
      <w:r>
        <w:rPr>
          <w:rFonts w:ascii="Times New Roman" w:hAnsi="Times New Roman" w:cs="Times New Roman"/>
          <w:sz w:val="24"/>
          <w:szCs w:val="24"/>
        </w:rPr>
        <w:t xml:space="preserve"> </w:t>
      </w:r>
      <w:r w:rsidRPr="00543397">
        <w:rPr>
          <w:rFonts w:ascii="Times New Roman" w:hAnsi="Times New Roman" w:cs="Times New Roman"/>
          <w:sz w:val="24"/>
          <w:szCs w:val="24"/>
        </w:rPr>
        <w:t>The amplified greenhouse effect is a significant cause of modern climate change. Greenhouse gases (GHGs) like carbon dioxide (CO₂), methane (CH₄), and nitrous oxide (N₂O) are naturally found in the atmosphere and are critically important in regulating the Earth's energy balance through heat-trapping</w:t>
      </w:r>
      <w:r w:rsidR="00FA37C9">
        <w:rPr>
          <w:rFonts w:ascii="Times New Roman" w:hAnsi="Times New Roman" w:cs="Times New Roman"/>
          <w:sz w:val="24"/>
          <w:szCs w:val="24"/>
        </w:rPr>
        <w:t>, in</w:t>
      </w:r>
      <w:r w:rsidRPr="00543397">
        <w:rPr>
          <w:rFonts w:ascii="Times New Roman" w:hAnsi="Times New Roman" w:cs="Times New Roman"/>
          <w:sz w:val="24"/>
          <w:szCs w:val="24"/>
        </w:rPr>
        <w:t xml:space="preserve"> the case of the natural greenhouse effect</w:t>
      </w:r>
      <w:r w:rsidR="00CF7CC5">
        <w:rPr>
          <w:rFonts w:ascii="Times New Roman" w:hAnsi="Times New Roman" w:cs="Times New Roman"/>
          <w:sz w:val="24"/>
          <w:szCs w:val="24"/>
        </w:rPr>
        <w:t xml:space="preserve">. </w:t>
      </w:r>
      <w:r w:rsidRPr="00543397">
        <w:rPr>
          <w:rFonts w:ascii="Times New Roman" w:hAnsi="Times New Roman" w:cs="Times New Roman"/>
          <w:sz w:val="24"/>
          <w:szCs w:val="24"/>
        </w:rPr>
        <w:t xml:space="preserve"> However, the atmospheric concentration of these gases has increased due to human activity since the Industrial Revolution, magnifying the natural greenhouse effect and causing global warming. According to the IPCC Sixth Assessment Report, global surface temperature has risen by approximately 1.1°C above pre-industrial levels, meaning by the century's </w:t>
      </w:r>
      <w:r w:rsidR="00010BD7">
        <w:rPr>
          <w:rFonts w:ascii="Times New Roman" w:hAnsi="Times New Roman" w:cs="Times New Roman"/>
          <w:sz w:val="24"/>
          <w:szCs w:val="24"/>
        </w:rPr>
        <w:t>end</w:t>
      </w:r>
      <w:r w:rsidRPr="00543397">
        <w:rPr>
          <w:rFonts w:ascii="Times New Roman" w:hAnsi="Times New Roman" w:cs="Times New Roman"/>
          <w:sz w:val="24"/>
          <w:szCs w:val="24"/>
        </w:rPr>
        <w:t xml:space="preserve">, temperature can increase by 1.5°C to 2°C or more, according to emission trajectories </w:t>
      </w:r>
      <w:r w:rsidR="000E29A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{"citationID":"3YXiLQ0m","properties":{"formattedCitation":"(Mondal et al., 2022)","plainCitation":"(Mondal et al., 2022)","noteIndex":0},"citationItems":[{"id":1848,"uris":["http://zotero.org/users/local/OSBVH90z/items/AAW6KIUR"],"itemData":{"id":1848,"type":"article-journal","container-title":"Atmospheric Research","DOI":"10.1016/j.atmosres.2021.105961","ISSN":"01698095","journalAbbreviation":"Atmospheric Research","language":"en","page":"105961","source":"DOI.org (Crossref)","title":"Changes in extreme precipitation across South Asia for each 0.5 °C of warming from 1.5 °C to 3.0°C above pre-industrial levels","volume":"266","author":[{"family":"Mondal","given":"Sanjit Kumar"},{"family":"Huang","given":"Jinglong"},{"family":"Wang","given":"Yanjun"},{"family":"Su","given":"Buda"},{"family":"Kundzewicz","given":"Zbigniew W."},{"family":"Jiang","given":"Shan"},{"family":"Zhai","given":"Jianqing"},{"family":"Chen","given":"Ziyan"},{"family":"Jing","given":"Cheng"},{"family":"Jiang","given":"Tong"}],"issued":{"date-parts":[["2022",3]]}}}],"schema":"https://github.com/citation-style-language/schema/raw/master/csl-citation.json"} </w:instrText>
      </w:r>
      <w:r w:rsidR="000E29AD">
        <w:rPr>
          <w:rFonts w:ascii="Times New Roman" w:hAnsi="Times New Roman" w:cs="Times New Roman"/>
          <w:sz w:val="24"/>
          <w:szCs w:val="24"/>
        </w:rPr>
        <w:fldChar w:fldCharType="separate"/>
      </w:r>
      <w:r w:rsidR="009D5529" w:rsidRPr="009D5529">
        <w:rPr>
          <w:rFonts w:ascii="Times New Roman" w:hAnsi="Times New Roman" w:cs="Times New Roman"/>
          <w:sz w:val="24"/>
        </w:rPr>
        <w:t>(Mondal et al., 2022)</w:t>
      </w:r>
      <w:r w:rsidR="000E29AD">
        <w:rPr>
          <w:rFonts w:ascii="Times New Roman" w:hAnsi="Times New Roman" w:cs="Times New Roman"/>
          <w:sz w:val="24"/>
          <w:szCs w:val="24"/>
        </w:rPr>
        <w:fldChar w:fldCharType="end"/>
      </w:r>
      <w:r w:rsidRPr="00543397">
        <w:rPr>
          <w:rFonts w:ascii="Times New Roman" w:hAnsi="Times New Roman" w:cs="Times New Roman"/>
          <w:sz w:val="24"/>
          <w:szCs w:val="24"/>
        </w:rPr>
        <w:t>.</w:t>
      </w:r>
    </w:p>
    <w:p w14:paraId="7A8808E6" w14:textId="76F26B99" w:rsidR="00543397" w:rsidRPr="00543397" w:rsidRDefault="00543397" w:rsidP="00543397">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 xml:space="preserve">The main human-made contributor to greenhouse gas emissions is fossil-fuel combustion, which occurs when coal, oil, and natural gas are burned to generate electricity, power vehicles, and fuel industrial processes. These sources account for almost three-quarters of the world's C02 emissions. In addition, climate change is compounded to a great extent by deforestation and land-use change, as these processes reduce the ability of the planet to absorb carbon from the atmosphere via photosynthesis. Forest ecosystems provide essential carbon sinks, </w:t>
      </w:r>
      <w:r w:rsidR="000E52EC">
        <w:rPr>
          <w:rFonts w:ascii="Times New Roman" w:hAnsi="Times New Roman" w:cs="Times New Roman"/>
          <w:sz w:val="24"/>
          <w:szCs w:val="24"/>
        </w:rPr>
        <w:t>so</w:t>
      </w:r>
      <w:r w:rsidRPr="00543397">
        <w:rPr>
          <w:rFonts w:ascii="Times New Roman" w:hAnsi="Times New Roman" w:cs="Times New Roman"/>
          <w:sz w:val="24"/>
          <w:szCs w:val="24"/>
        </w:rPr>
        <w:t xml:space="preserve"> their destruction liberates bound carbon and reduces future carbon-sequestration capacity. Agriculture, especially livestock farming and rice growing, is also responsible for the release in significant quantities of CH₄ and N₂O to the atmosphere, which are far more potent greenhouse gases than CO₂ over a 100-year time frame </w:t>
      </w:r>
      <w:r w:rsidR="000E29A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{"citationID":"xwhzDhxL","properties":{"formattedCitation":"(M. W. Jones et al., 2023; Md Shahriar Kabir et al., 2025)","plainCitation":"(M. W. Jones et al., 2023; Md Shahriar Kabir et al., 2025)","noteIndex":0},"citationItems":[{"id":1849,"uris":["http://zotero.org/users/local/OSBVH90z/items/V9QG9V5W"],"itemData":{"id":1849,"type":"article-journal","abstract":"Abstract\n            \n              Anthropogenic emissions of carbon dioxide (CO\n              2\n              ), methane (CH\n              4\n              ) and nitrous oxide (N\n              2\n              O) have made significant contributions to global warming since the pre-industrial period and are therefore targeted in international climate policy. There is substantial interest in tracking and apportioning national contributions to climate change and informing equitable commitments to decarbonisation. Here, we introduce a new dataset of national contributions to global warming caused by historical emissions of carbon dioxide, methane, and nitrous oxide during the years 1851–2021, which are consistent with the latest findings of the IPCC. We calculate the global mean surface temperature response to historical emissions of the three gases, including recent refinements which account for the short atmospheric lifetime of CH\n              4\n              . We report national contributions to global warming resulting from emissions of each gas, including a disaggregation to fossil and land use sectors. This dataset will be updated annually as national emissions datasets are updated.","container-title":"Scientific Data","DOI":"10.1038/s41597-023-02041-1","ISSN":"2052-4463","issue":"1","journalAbbreviation":"Sci Data","language":"en","page":"155","source":"DOI.org (Crossref)","title":"National contributions to climate change due to historical emissions of carbon dioxide, methane, and nitrous oxide since 1850","volume":"10","author":[{"family":"Jones","given":"Matthew W."},{"family":"Peters","given":"Glen P."},{"family":"Gasser","given":"Thomas"},{"family":"Andrew","given":"Robbie M."},{"family":"Schwingshackl","given":"Clemens"},{"family":"Gütschow","given":"Johannes"},{"family":"Houghton","given":"Richard A."},{"family":"Friedlingstein","given":"Pierre"},{"family":"Pongratz","given":"Julia"},{"family":"Le Quéré","given":"Corinne"}],"issued":{"date-parts":[["2023",3,29]]}}},{"id":1851,"uris":["http://zotero.org/users/local/OSBVH90z/items/TRDWTHHV"],"itemData":{"id":1851,"type":"article-journal","abstract":"This bibliometric analysis explores the rapid growth and evolving research dynamics of precision agriculture (PA) from 1999 to 2023 based on data from the Scopus database. Analyzing 1,219 publications, the study identifies a substantial global collaboration and an annual growth rate of 7.97% in PA research. Key findings highlight advancements in artificial intelligence and remote sensing technologies and significant contributions from leading institutions such as Nanjing Agricultural University, the University of Florida, and the University of Bonn. Notably, the study underscores the prominent role of institutions from Germany, the USA, and China in shaping PA research. The insights gained emphasize the critical role of interdisciplinary research in fostering sustainable agricultural practices. Precision agriculture demonstrates the potential for enhanced yields, reduced environmental impacts, and increased efficiency by addressing resource management and food security challenges, particularly in regions like Bangladesh. However, challenges such as high implementation costs and the need for technical expertise persist. This analysis underscores the importance of continued research, policy support, and global interest in advancing precision agriculture, providing a foundation for future innovations and policy development in sustainable agriculture systems worldwide.","container-title":"World Journal of Advanced Research and Reviews","DOI":"10.30574/wjarr.2025.25.3.0733","ISSN":"25819615","issue":"3","journalAbbreviation":"World J. Adv. Res. Rev.","page":"1087-1098","source":"DOI.org (Crossref)","title":"Bibliometric analysis of 'precision agriculture' in the Scopus database","volume":"25","author":[{"literal":"Md Shahriar Kabir"},{"literal":"Md Mahedi"},{"literal":"A K M Kanak Pervez"},{"literal":"Md Jahangir Alam"},{"literal":"Shabrin Jahan Shaili"}],"issued":{"date-parts":[["2025",3,30]]}}}],"schema":"https://github.com/citation-style-language/schema/raw/master/csl-citation.json"} </w:instrText>
      </w:r>
      <w:r w:rsidR="000E29AD">
        <w:rPr>
          <w:rFonts w:ascii="Times New Roman" w:hAnsi="Times New Roman" w:cs="Times New Roman"/>
          <w:sz w:val="24"/>
          <w:szCs w:val="24"/>
        </w:rPr>
        <w:fldChar w:fldCharType="separate"/>
      </w:r>
      <w:r w:rsidR="009D5529" w:rsidRPr="009D5529">
        <w:rPr>
          <w:rFonts w:ascii="Times New Roman" w:hAnsi="Times New Roman" w:cs="Times New Roman"/>
          <w:sz w:val="24"/>
        </w:rPr>
        <w:t>(M. W. Jones et al., 2023; Md Shahriar Kabir et al., 2025)</w:t>
      </w:r>
      <w:r w:rsidR="000E29AD">
        <w:rPr>
          <w:rFonts w:ascii="Times New Roman" w:hAnsi="Times New Roman" w:cs="Times New Roman"/>
          <w:sz w:val="24"/>
          <w:szCs w:val="24"/>
        </w:rPr>
        <w:fldChar w:fldCharType="end"/>
      </w:r>
      <w:r w:rsidRPr="00543397">
        <w:rPr>
          <w:rFonts w:ascii="Times New Roman" w:hAnsi="Times New Roman" w:cs="Times New Roman"/>
          <w:sz w:val="24"/>
          <w:szCs w:val="24"/>
        </w:rPr>
        <w:t>.</w:t>
      </w:r>
    </w:p>
    <w:p w14:paraId="1F7B21D0" w14:textId="399A22E5" w:rsidR="00543397" w:rsidRPr="00543397" w:rsidRDefault="00543397" w:rsidP="00543397">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The impact of these emissions is now seen on every continent and ocean. The physical aspect of climate change is tangible, from soaring global temperatures and melting glaciers and polar ice to rising sea levels, changes in precipitation</w:t>
      </w:r>
      <w:r>
        <w:rPr>
          <w:rFonts w:ascii="Times New Roman" w:hAnsi="Times New Roman" w:cs="Times New Roman"/>
          <w:sz w:val="24"/>
          <w:szCs w:val="24"/>
        </w:rPr>
        <w:t>,</w:t>
      </w:r>
      <w:r w:rsidRPr="00543397">
        <w:rPr>
          <w:rFonts w:ascii="Times New Roman" w:hAnsi="Times New Roman" w:cs="Times New Roman"/>
          <w:sz w:val="24"/>
          <w:szCs w:val="24"/>
        </w:rPr>
        <w:t xml:space="preserve"> and the escalation and frequency of extreme events like </w:t>
      </w:r>
      <w:r>
        <w:rPr>
          <w:rFonts w:ascii="Times New Roman" w:hAnsi="Times New Roman" w:cs="Times New Roman"/>
          <w:sz w:val="24"/>
          <w:szCs w:val="24"/>
        </w:rPr>
        <w:t>heat waves</w:t>
      </w:r>
      <w:r w:rsidRPr="00543397">
        <w:rPr>
          <w:rFonts w:ascii="Times New Roman" w:hAnsi="Times New Roman" w:cs="Times New Roman"/>
          <w:sz w:val="24"/>
          <w:szCs w:val="24"/>
        </w:rPr>
        <w:t>, hurricanes, droughts</w:t>
      </w:r>
      <w:r>
        <w:rPr>
          <w:rFonts w:ascii="Times New Roman" w:hAnsi="Times New Roman" w:cs="Times New Roman"/>
          <w:sz w:val="24"/>
          <w:szCs w:val="24"/>
        </w:rPr>
        <w:t>,</w:t>
      </w:r>
      <w:r w:rsidRPr="00543397">
        <w:rPr>
          <w:rFonts w:ascii="Times New Roman" w:hAnsi="Times New Roman" w:cs="Times New Roman"/>
          <w:sz w:val="24"/>
          <w:szCs w:val="24"/>
        </w:rPr>
        <w:t xml:space="preserve"> and floods. These modifications seriously affect biodiversity, ecosystem functions and services, agriculture, water resources, and human health. Furthermore, the effects of climate change are not evenly distributed. Lower-income nations and disenfranchised populations</w:t>
      </w:r>
      <w:r w:rsidR="00010BD7">
        <w:rPr>
          <w:rFonts w:ascii="Times New Roman" w:hAnsi="Times New Roman" w:cs="Times New Roman"/>
          <w:sz w:val="24"/>
          <w:szCs w:val="24"/>
        </w:rPr>
        <w:t xml:space="preserve">, </w:t>
      </w:r>
      <w:r w:rsidRPr="00543397">
        <w:rPr>
          <w:rFonts w:ascii="Times New Roman" w:hAnsi="Times New Roman" w:cs="Times New Roman"/>
          <w:sz w:val="24"/>
          <w:szCs w:val="24"/>
        </w:rPr>
        <w:t>the group least implicated in producing emissions</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are overrepresented among those who bear the costs of climate change because they cannot adapt and are more exposed to environmental dangers.</w:t>
      </w:r>
      <w:r>
        <w:rPr>
          <w:rFonts w:ascii="Times New Roman" w:hAnsi="Times New Roman" w:cs="Times New Roman"/>
          <w:sz w:val="24"/>
          <w:szCs w:val="24"/>
        </w:rPr>
        <w:t xml:space="preserve"> </w:t>
      </w:r>
      <w:r w:rsidRPr="00543397">
        <w:rPr>
          <w:rFonts w:ascii="Times New Roman" w:hAnsi="Times New Roman" w:cs="Times New Roman"/>
          <w:sz w:val="24"/>
          <w:szCs w:val="24"/>
        </w:rPr>
        <w:t>As such, dealing with climate change is not just an environmental necessity but a social, economic, and ethical imperative. The transboundary nature of climate change implies that no country can insulate itself from its impact, irrespective of the level of its development. In addition, climate change compounds other global stressors</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including poverty, food insecurity, population pressure</w:t>
      </w:r>
      <w:r>
        <w:rPr>
          <w:rFonts w:ascii="Times New Roman" w:hAnsi="Times New Roman" w:cs="Times New Roman"/>
          <w:sz w:val="24"/>
          <w:szCs w:val="24"/>
        </w:rPr>
        <w:t>,</w:t>
      </w:r>
      <w:r w:rsidRPr="00543397">
        <w:rPr>
          <w:rFonts w:ascii="Times New Roman" w:hAnsi="Times New Roman" w:cs="Times New Roman"/>
          <w:sz w:val="24"/>
          <w:szCs w:val="24"/>
        </w:rPr>
        <w:t xml:space="preserve"> and resource scarcity</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deepening existing vulnerabilities and inequalities. Without vigorous and sustained action in the next few years, climate change will undermine decades of hard-won advances in global health, economic development</w:t>
      </w:r>
      <w:r>
        <w:rPr>
          <w:rFonts w:ascii="Times New Roman" w:hAnsi="Times New Roman" w:cs="Times New Roman"/>
          <w:sz w:val="24"/>
          <w:szCs w:val="24"/>
        </w:rPr>
        <w:t>,</w:t>
      </w:r>
      <w:r w:rsidRPr="00543397">
        <w:rPr>
          <w:rFonts w:ascii="Times New Roman" w:hAnsi="Times New Roman" w:cs="Times New Roman"/>
          <w:sz w:val="24"/>
          <w:szCs w:val="24"/>
        </w:rPr>
        <w:t xml:space="preserve"> and environmental protection.</w:t>
      </w:r>
    </w:p>
    <w:p w14:paraId="51CCEA59" w14:textId="77777777" w:rsidR="00543397" w:rsidRPr="00543397" w:rsidRDefault="00543397" w:rsidP="00543397">
      <w:pPr>
        <w:spacing w:after="0" w:line="240" w:lineRule="auto"/>
        <w:jc w:val="both"/>
        <w:rPr>
          <w:rFonts w:ascii="Times New Roman" w:hAnsi="Times New Roman" w:cs="Times New Roman"/>
          <w:sz w:val="24"/>
          <w:szCs w:val="24"/>
        </w:rPr>
      </w:pPr>
    </w:p>
    <w:p w14:paraId="3D47449B" w14:textId="601C86B7" w:rsidR="00543397" w:rsidRPr="00543397" w:rsidRDefault="00543397" w:rsidP="00543397">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To address this issue, the world has rallied around several international frameworks and agreements, including</w:t>
      </w:r>
      <w:r>
        <w:rPr>
          <w:rFonts w:ascii="Times New Roman" w:hAnsi="Times New Roman" w:cs="Times New Roman"/>
          <w:sz w:val="24"/>
          <w:szCs w:val="24"/>
        </w:rPr>
        <w:t>,</w:t>
      </w:r>
      <w:r w:rsidRPr="00543397">
        <w:rPr>
          <w:rFonts w:ascii="Times New Roman" w:hAnsi="Times New Roman" w:cs="Times New Roman"/>
          <w:sz w:val="24"/>
          <w:szCs w:val="24"/>
        </w:rPr>
        <w:t xml:space="preserve"> most prominently, the United Nations Framework Convention on Climate Change (UNFCCC), the Kyoto Protocol</w:t>
      </w:r>
      <w:r>
        <w:rPr>
          <w:rFonts w:ascii="Times New Roman" w:hAnsi="Times New Roman" w:cs="Times New Roman"/>
          <w:sz w:val="24"/>
          <w:szCs w:val="24"/>
        </w:rPr>
        <w:t>,</w:t>
      </w:r>
      <w:r w:rsidRPr="00543397">
        <w:rPr>
          <w:rFonts w:ascii="Times New Roman" w:hAnsi="Times New Roman" w:cs="Times New Roman"/>
          <w:sz w:val="24"/>
          <w:szCs w:val="24"/>
        </w:rPr>
        <w:t xml:space="preserve"> and the Paris Agreement</w:t>
      </w:r>
      <w:r w:rsidR="000E29AD">
        <w:rPr>
          <w:rFonts w:ascii="Times New Roman" w:hAnsi="Times New Roman" w:cs="Times New Roman"/>
          <w:sz w:val="24"/>
          <w:szCs w:val="24"/>
        </w:rPr>
        <w:t xml:space="preserve"> </w:t>
      </w:r>
      <w:r w:rsidR="00A3701A">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{"citationID":"5mtTQa87","properties":{"formattedCitation":"(Soares &amp; Aquino, 2024)","plainCitation":"(Soares &amp; Aquino, 2024)","noteIndex":0},"citationItems":[{"id":1852,"uris":["http://zotero.org/users/local/OSBVH90z/items/CM95RC6Q"],"itemData":{"id":1852,"type":"article-journal","abstract":"ABSTRACT\n            Calculative practices are everywhere, including the enactment and diffusion of sustainable development goals, such as quantifying and monetizing carbon markets, criteria for allocating donations for sustainability programs, and performance measurement of compromises and goals. We critically explore the performativity and counter‐performativity from the calculative practices orbiting and shaping the annual debate on climate governance and how they are related to the vulnerability of populations. Our qualitative analysis comprised a comprehensive set of documents produced by enrolled participants of meetings and workshops between two annual Conferences of the Parties of the United Nations. We identified and exemplified three calculative practices, and despite their intended performativity, some counter‐effects, like social exclusion and criticism by stakeholders, arise.","container-title":"Financial Accountability &amp; Management","DOI":"10.1111/faam.12419","ISSN":"0267-4424, 1468-0408","journalAbbreviation":"Financ Acc Manag","language":"en","page":"faam.12419","source":"DOI.org (Crossref)","title":"Calculative Practices Shaping the Global Accountability Forum for Climate Agenda","author":[{"family":"Soares","given":"Thiago Vitor Ferreira"},{"family":"Aquino","given":"André Carlos Busanelli De"}],"issued":{"date-parts":[["2024",11,3]]}}}],"schema":"https://github.com/citation-style-language/schema/raw/master/csl-citation.json"} </w:instrText>
      </w:r>
      <w:r w:rsidR="00A3701A">
        <w:rPr>
          <w:rFonts w:ascii="Times New Roman" w:hAnsi="Times New Roman" w:cs="Times New Roman"/>
          <w:sz w:val="24"/>
          <w:szCs w:val="24"/>
        </w:rPr>
        <w:fldChar w:fldCharType="separate"/>
      </w:r>
      <w:r w:rsidR="009D5529" w:rsidRPr="009D5529">
        <w:rPr>
          <w:rFonts w:ascii="Times New Roman" w:hAnsi="Times New Roman" w:cs="Times New Roman"/>
          <w:sz w:val="24"/>
        </w:rPr>
        <w:t>(Soares &amp; Aquino, 2024)</w:t>
      </w:r>
      <w:r w:rsidR="00A3701A">
        <w:rPr>
          <w:rFonts w:ascii="Times New Roman" w:hAnsi="Times New Roman" w:cs="Times New Roman"/>
          <w:sz w:val="24"/>
          <w:szCs w:val="24"/>
        </w:rPr>
        <w:fldChar w:fldCharType="end"/>
      </w:r>
      <w:r w:rsidRPr="00543397">
        <w:rPr>
          <w:rFonts w:ascii="Times New Roman" w:hAnsi="Times New Roman" w:cs="Times New Roman"/>
          <w:sz w:val="24"/>
          <w:szCs w:val="24"/>
        </w:rPr>
        <w:t xml:space="preserve">. An instrument that aims to pull countries together in an initiative towards keeping a lid on average </w:t>
      </w:r>
      <w:r w:rsidRPr="00543397">
        <w:rPr>
          <w:rFonts w:ascii="Times New Roman" w:hAnsi="Times New Roman" w:cs="Times New Roman"/>
          <w:sz w:val="24"/>
          <w:szCs w:val="24"/>
        </w:rPr>
        <w:lastRenderedPageBreak/>
        <w:t>global temperature rise and enabling adaptation to already unavoidable climate impacts. The 2015 Paris Agreement represented a paradigm shift requiring developed and developing states to contribute to mitigation through their Nationally Determined Contributions (NDCs). Concurrently, adaptation strategies</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including climate-resilient infrastructure, early warning systems, and ecosystem-based approaches</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are increasingly acknowledged as vital for a comprehensive climate response.</w:t>
      </w:r>
    </w:p>
    <w:p w14:paraId="35F74DDC" w14:textId="11BD2181" w:rsidR="00180E21" w:rsidRPr="00B33657" w:rsidRDefault="00543397" w:rsidP="00180E21">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 xml:space="preserve">The most recent Emissions Gap Report estimates that even if the world achieved all current commitments to cut emissions, global greenhouse gas emissions will still not decrease enough to meet the Paris Agreement's 1.5 °C goal, risking catastrophic environmental and </w:t>
      </w:r>
      <w:r>
        <w:rPr>
          <w:rFonts w:ascii="Times New Roman" w:hAnsi="Times New Roman" w:cs="Times New Roman"/>
          <w:sz w:val="24"/>
          <w:szCs w:val="24"/>
        </w:rPr>
        <w:t>socio-economic</w:t>
      </w:r>
      <w:r w:rsidRPr="00543397">
        <w:rPr>
          <w:rFonts w:ascii="Times New Roman" w:hAnsi="Times New Roman" w:cs="Times New Roman"/>
          <w:sz w:val="24"/>
          <w:szCs w:val="24"/>
        </w:rPr>
        <w:t xml:space="preserve"> implications. This realization reaffirms the need to align with these to raise ambition and deliver it, which is supported by financing, technology transfer, and capacity building to implement it, especially in vulnerable regions.</w:t>
      </w:r>
      <w:r w:rsidR="00010BD7">
        <w:rPr>
          <w:rFonts w:ascii="Times New Roman" w:hAnsi="Times New Roman" w:cs="Times New Roman"/>
          <w:sz w:val="24"/>
          <w:szCs w:val="24"/>
        </w:rPr>
        <w:t xml:space="preserve"> </w:t>
      </w:r>
      <w:r w:rsidRPr="00543397">
        <w:rPr>
          <w:rFonts w:ascii="Times New Roman" w:hAnsi="Times New Roman" w:cs="Times New Roman"/>
          <w:sz w:val="24"/>
          <w:szCs w:val="24"/>
        </w:rPr>
        <w:t>Recognizing these challenges, this review article will bring together the current knowledge around climate change impacts and assess the global strategies for adaptation and mitigation. By identifying successes, gaps, and areas needing improvement, the review will contribute to the global conversation for building a sustainable and climate-resilient future.</w:t>
      </w:r>
      <w:r w:rsidR="00B33657">
        <w:rPr>
          <w:rFonts w:ascii="Times New Roman" w:hAnsi="Times New Roman" w:cs="Times New Roman"/>
          <w:sz w:val="24"/>
          <w:szCs w:val="24"/>
        </w:rPr>
        <w:t xml:space="preserve"> </w:t>
      </w:r>
      <w:r w:rsidR="00180E21">
        <w:rPr>
          <w:rFonts w:ascii="Times New Roman" w:hAnsi="Times New Roman" w:cs="Times New Roman"/>
        </w:rPr>
        <w:t xml:space="preserve">The Primary objectives for this research are: a) </w:t>
      </w:r>
      <w:r w:rsidR="00180E21" w:rsidRPr="00180E21">
        <w:rPr>
          <w:rFonts w:ascii="Times New Roman" w:hAnsi="Times New Roman" w:cs="Times New Roman"/>
          <w:sz w:val="24"/>
          <w:szCs w:val="24"/>
        </w:rPr>
        <w:t>To articulate and frame climate change as a socio-economic and global environmental challenge</w:t>
      </w:r>
      <w:r w:rsidR="00180E21">
        <w:rPr>
          <w:rFonts w:ascii="Times New Roman" w:hAnsi="Times New Roman" w:cs="Times New Roman"/>
          <w:sz w:val="24"/>
          <w:szCs w:val="24"/>
        </w:rPr>
        <w:t xml:space="preserve">; b) </w:t>
      </w:r>
      <w:r w:rsidR="00180E21" w:rsidRPr="00180E21">
        <w:rPr>
          <w:rFonts w:ascii="Times New Roman" w:hAnsi="Times New Roman" w:cs="Times New Roman"/>
          <w:sz w:val="24"/>
          <w:szCs w:val="24"/>
        </w:rPr>
        <w:t>To analyze the primary human drivers of climate change (e.g., burning fossil fuels, deforestation, and land-use changes)</w:t>
      </w:r>
      <w:r w:rsidR="00180E21">
        <w:rPr>
          <w:rFonts w:ascii="Times New Roman" w:hAnsi="Times New Roman" w:cs="Times New Roman"/>
          <w:sz w:val="24"/>
          <w:szCs w:val="24"/>
        </w:rPr>
        <w:t>;</w:t>
      </w:r>
      <w:r w:rsidR="00180E21">
        <w:rPr>
          <w:rFonts w:ascii="Times New Roman" w:hAnsi="Times New Roman" w:cs="Times New Roman"/>
        </w:rPr>
        <w:t xml:space="preserve"> c) </w:t>
      </w:r>
      <w:r w:rsidR="00180E21" w:rsidRPr="00180E21">
        <w:rPr>
          <w:rFonts w:ascii="Times New Roman" w:hAnsi="Times New Roman" w:cs="Times New Roman"/>
          <w:sz w:val="24"/>
          <w:szCs w:val="24"/>
        </w:rPr>
        <w:t>To assess global mitigation strategies, such as international Treaties, technological solutions, and policies</w:t>
      </w:r>
      <w:r w:rsidR="00180E21">
        <w:rPr>
          <w:rFonts w:ascii="Times New Roman" w:hAnsi="Times New Roman" w:cs="Times New Roman"/>
          <w:sz w:val="24"/>
          <w:szCs w:val="24"/>
        </w:rPr>
        <w:t xml:space="preserve">; d) </w:t>
      </w:r>
      <w:r w:rsidR="00180E21" w:rsidRPr="00180E21">
        <w:rPr>
          <w:rFonts w:ascii="Times New Roman" w:hAnsi="Times New Roman" w:cs="Times New Roman"/>
          <w:sz w:val="24"/>
          <w:szCs w:val="24"/>
        </w:rPr>
        <w:t>To evaluate adaptation actions taken in various sectors and regions to improve climate resilience</w:t>
      </w:r>
      <w:r w:rsidR="00180E21">
        <w:rPr>
          <w:rFonts w:ascii="Times New Roman" w:hAnsi="Times New Roman" w:cs="Times New Roman"/>
          <w:sz w:val="24"/>
          <w:szCs w:val="24"/>
        </w:rPr>
        <w:t xml:space="preserve">; e) </w:t>
      </w:r>
      <w:r w:rsidR="00180E21" w:rsidRPr="00180E21">
        <w:rPr>
          <w:rFonts w:ascii="Times New Roman" w:hAnsi="Times New Roman" w:cs="Times New Roman"/>
          <w:sz w:val="24"/>
          <w:szCs w:val="24"/>
        </w:rPr>
        <w:t>To identify gaps, barriers, and inequities among existing climate policies, particularly in vulnerable and low-income regions.</w:t>
      </w:r>
    </w:p>
    <w:p w14:paraId="37DC83E0" w14:textId="545AE764" w:rsidR="002C71B4" w:rsidRDefault="002C71B4" w:rsidP="009346B0">
      <w:pPr>
        <w:spacing w:after="0" w:line="240" w:lineRule="auto"/>
        <w:jc w:val="both"/>
        <w:rPr>
          <w:rFonts w:ascii="Times New Roman" w:hAnsi="Times New Roman" w:cs="Times New Roman"/>
          <w:sz w:val="24"/>
          <w:szCs w:val="24"/>
        </w:rPr>
      </w:pPr>
    </w:p>
    <w:p w14:paraId="41711464" w14:textId="73C74CCD" w:rsidR="00475B6F" w:rsidRPr="008D5D58" w:rsidRDefault="00475B6F"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2.</w:t>
      </w:r>
      <w:r w:rsid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230BDD" w:rsidRPr="00230BDD">
        <w:rPr>
          <w:rFonts w:ascii="Times New Roman" w:hAnsi="Times New Roman" w:cs="Times New Roman"/>
          <w:b/>
          <w:bCs/>
          <w:sz w:val="28"/>
          <w:szCs w:val="28"/>
        </w:rPr>
        <w:t>Scientific Understanding of Climate Change</w:t>
      </w:r>
    </w:p>
    <w:p w14:paraId="3F2BB1DC" w14:textId="77777777" w:rsidR="00475B6F" w:rsidRDefault="00475B6F" w:rsidP="009346B0">
      <w:pPr>
        <w:spacing w:after="0" w:line="240" w:lineRule="auto"/>
        <w:jc w:val="both"/>
        <w:rPr>
          <w:rFonts w:ascii="Times New Roman" w:hAnsi="Times New Roman" w:cs="Times New Roman"/>
          <w:sz w:val="24"/>
          <w:szCs w:val="24"/>
        </w:rPr>
      </w:pPr>
    </w:p>
    <w:p w14:paraId="3360D94C" w14:textId="77777777" w:rsidR="007B10EF" w:rsidRPr="007A0876" w:rsidRDefault="007B10EF" w:rsidP="007B10EF">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2.1 Evidence for Climate Change</w:t>
      </w:r>
    </w:p>
    <w:p w14:paraId="257D118D" w14:textId="2F64876B"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As a reminder, the scientific consensus on climate change is built upon decades worth of observational evidence from dozens of fields of science (e.g., climatology, atmospheric sciences, oceanography, glaciology, etc.). The most direct and compelling sign of climate change is the increased global average surface temperature. According to </w:t>
      </w:r>
      <w:r w:rsidR="00A3701A">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{"citationID":"moIEiIQC","properties":{"formattedCitation":"(Lu et al., 2022)","plainCitation":"(Lu et al., 2022)","noteIndex":0},"citationItems":[{"id":1853,"uris":["http://zotero.org/users/local/OSBVH90z/items/9XJ2GPFV"],"itemData":{"id":1853,"type":"article-journal","container-title":"China Geology","DOI":"10.31035/cg2022034","ISSN":"2096-5192, 2589-9430","issue":"3","journalAbbreviation":"zgdzyw","language":"en","page":"1-35","source":"DOI.org (Crossref)","title":"Changes in natural gas hydrates in permafrost on the Qinghai-Tibet Plateau under the background of global warming and their impacts on carbon emissions","volume":"5","author":[{"family":"Lu","given":"Zhen-quan"},{"family":"Wu","given":"Chu-guo"},{"family":"Wu","given":"Neng-you"},{"family":"Lu","given":"Hai-long"},{"family":"Wang","given":"Ting"},{"family":"Xiao","given":"Rui"},{"family":"Liu","given":"Hui"},{"family":"Wu","given":"Xin-he"},{"literal":"Oil and Gas Survey, China Geological Survey, Ministry of Natural Resources, Beijing 100083, China"},{"literal":"Information Center, Ministry of Natural Resources, Beijing 100036, China"},{"literal":"Qingdao Institute of Marine Geology, China Geological Survey, Qingdao 266237, China"},{"literal":"School of Earth and Space Sciences, Peking University, Beijing 100871, China"}],"issued":{"date-parts":[["2022"]]}}}],"schema":"https://github.com/citation-style-language/schema/raw/master/csl-citation.json"} </w:instrText>
      </w:r>
      <w:r w:rsidR="00A3701A">
        <w:rPr>
          <w:rFonts w:ascii="Times New Roman" w:hAnsi="Times New Roman" w:cs="Times New Roman"/>
          <w:sz w:val="24"/>
          <w:szCs w:val="24"/>
        </w:rPr>
        <w:fldChar w:fldCharType="separate"/>
      </w:r>
      <w:r w:rsidR="009D5529" w:rsidRPr="009D5529">
        <w:rPr>
          <w:rFonts w:ascii="Times New Roman" w:hAnsi="Times New Roman" w:cs="Times New Roman"/>
          <w:sz w:val="24"/>
        </w:rPr>
        <w:t>(Lu et al., 2022)</w:t>
      </w:r>
      <w:r w:rsidR="00A3701A">
        <w:rPr>
          <w:rFonts w:ascii="Times New Roman" w:hAnsi="Times New Roman" w:cs="Times New Roman"/>
          <w:sz w:val="24"/>
          <w:szCs w:val="24"/>
        </w:rPr>
        <w:fldChar w:fldCharType="end"/>
      </w:r>
      <w:r w:rsidRPr="007A0876">
        <w:rPr>
          <w:rFonts w:ascii="Times New Roman" w:hAnsi="Times New Roman" w:cs="Times New Roman"/>
          <w:sz w:val="24"/>
          <w:szCs w:val="24"/>
        </w:rPr>
        <w:t>, based on data collected from the National Aeronautics and Space Administration (NASA) and the National Oceanic and Atmospheric Administration (NOAA), the average surface temperature of the planet has risen about 1.1°C since the end of the 19th century, with the majority of the warming taking place over the last 40 years. The last 10 years have been the warmest on record, and 2016 and 2020 are tied for the hottest years worldwide.</w:t>
      </w:r>
    </w:p>
    <w:p w14:paraId="4A171900" w14:textId="77777777"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The frequency and severity of extreme weather events have grown markedly, along with rising temperatures. Indeed, protracted droughts, heatwaves, storms with greater intensity, and unprecedented rainfall have been observed more frequently and intensively; thus, they align with model predictions for a warming planet 2. The 2021 European floods, for instance, as well as the 2022 South Asian heatwaves, are paradigmatic of the aggravating hydrological cycle and temperature anomalies propelled by anthropogenic climate change.</w:t>
      </w:r>
    </w:p>
    <w:p w14:paraId="7326F97A" w14:textId="77777777" w:rsidR="007B10EF" w:rsidRPr="007A0876" w:rsidRDefault="007B10EF" w:rsidP="007B10EF">
      <w:pPr>
        <w:spacing w:after="0" w:line="240" w:lineRule="auto"/>
        <w:jc w:val="both"/>
        <w:rPr>
          <w:rFonts w:ascii="Times New Roman" w:hAnsi="Times New Roman" w:cs="Times New Roman"/>
          <w:sz w:val="24"/>
          <w:szCs w:val="24"/>
        </w:rPr>
      </w:pPr>
    </w:p>
    <w:p w14:paraId="393DAD6A" w14:textId="7616D7C1"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Empirical climate data provide more evidence of changes in progress. The levels of carbon dioxide (CO₂), the most prevalent long-lived greenhouse gas currently in the atmosphere, exceed 420 parts per million (ppm), a concentration not reached for at least 3 million years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{"citationID":"oA3L77hb","properties":{"formattedCitation":"(Kundu et al., 2024)","plainCitation":"(Kundu et al., 2024)","noteIndex":0},"citationItems":[{"id":1854,"uris":["http://zotero.org/users/local/OSBVH90z/items/XTII8VFS"],"itemData":{"id":1854,"type":"chapter","container-title":"Advances and Technology Development in Greenhouse Gases:  Emission, Capture and Conversion","ISBN":"978-0-443-19066-7","language":"en","license":"https://www.elsevier.com/tdm/userlicense/1.0/","note":"DOI: 10.1016/B978-0-443-19066-7.00008-4","page":"3-18","publisher":"Elsevier","source":"DOI.org (Crossref)","title":"Introduction to greenhouse gases composition and characteristics","URL":"https://linkinghub.elsevier.com/retrieve/pii/B9780443190667000084","author":[{"family":"Kundu","given":"Tripti"},{"family":"Suyash","given":"Shreyansh"},{"family":"Gupta","given":"Madhulika"},{"family":"Chowdhury","given":"Biswajit"}],"accessed":{"date-parts":[["2025",4,8]]},"issued":{"date-parts":[["2024"]]}}}],"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(Kundu et al., 2024)</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 xml:space="preserve">. This sharp change aligns almost perfectly with industrial activity and fossil fuel </w:t>
      </w:r>
      <w:r w:rsidRPr="007A0876">
        <w:rPr>
          <w:rFonts w:ascii="Times New Roman" w:hAnsi="Times New Roman" w:cs="Times New Roman"/>
          <w:sz w:val="24"/>
          <w:szCs w:val="24"/>
        </w:rPr>
        <w:lastRenderedPageBreak/>
        <w:t xml:space="preserve">combustion growth since the mid-20th century. At the same time, the global sea level has risen about 20–25 cm since 1900, primarily due to the thermal expansion of seawater and melting of land-based ice, with significant contributions from the Greenland and Antarctic ice sheets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{"citationID":"UAfRZB2j","properties":{"formattedCitation":"(Elneel et al., 2024)","plainCitation":"(Elneel et al., 2024)","noteIndex":0},"citationItems":[{"id":1855,"uris":["http://zotero.org/users/local/OSBVH90z/items/Q6BTPA3U"],"itemData":{"id":1855,"type":"article-journal","abstract":"Sea level rise (SLR) is one of the most pressing challenges of climate change and has drawn noticeable research interest over the past few decades. Factors induced by global climate change, such as temperature increase, have resulted in both direct and indirect changes in sea levels at different spatial scales. Various climatic and non-climatic events contribute to sea level changes, posing risks to coastal and low-lying areas. Nevertheless, changes in sea level are not uniformly distributed globally due to several regional factors such as wave actions, storm surge frequencies, and tectonic land movement. The high exposure to those factors increases the vulnerability of subjected areas to SLR impacts. The impacts of events induced by climate change and SLR are reflected in biophysical, socioeconomic, and environmental aspects. Different indicator-based and model-based approaches are used to assess coastal areas’ vulnerabilities, response to impacts, and implementation of adaptation and mitigation measures. Various studies have been conducted to project future SLR impacts and evaluate implemented protection and adaptation approaches, aiding policymakers in planning effective adaptation and mitigation measures to reduce damage. This paper provides an overview of SLR and its key elements, encompassing contributing factors, impacts, and mitigation and adaptation measures, featuring a dedicated section on the Arabian Gulf, a semi-enclosed sea.","container-title":"Water","DOI":"10.3390/w16030388","ISSN":"2073-4441","issue":"3","journalAbbreviation":"Water","language":"en","license":"https://creativecommons.org/licenses/by/4.0/","page":"388","source":"DOI.org (Crossref)","title":"Exploring Key Aspects of Sea Level Rise and Their Implications: An Overview","title-short":"Exploring Key Aspects of Sea Level Rise and Their Implications","volume":"16","author":[{"family":"Elneel","given":"Leena"},{"family":"Zitouni","given":"M. Sami"},{"family":"Mukhtar","given":"Husameldin"},{"family":"Galli","given":"Paolo"},{"family":"Al-Ahmad","given":"Hussain"}],"issued":{"date-parts":[["2024",1,24]]}}}],"schema":"https://github.com/citation-style-language/schema/raw/master/csl-citation.json"}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(Elneel et al., 2024)</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0E328B29" w14:textId="4E8850D3"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Satellite monitoring also shows a significant reduction in Arctic Sea ice, shrinking at approximately 13% each decade compared to the 1981–2010 average</w:t>
      </w:r>
      <w:r w:rsidR="005A3E3D">
        <w:rPr>
          <w:rFonts w:ascii="Times New Roman" w:hAnsi="Times New Roman" w:cs="Times New Roman"/>
          <w:sz w:val="24"/>
          <w:szCs w:val="24"/>
        </w:rPr>
        <w:t xml:space="preserve">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{"citationID":"nkeOwfoX","properties":{"formattedCitation":"(Marcianesi et al., 2021)","plainCitation":"(Marcianesi et al., 2021)","noteIndex":0},"citationItems":[{"id":1857,"uris":["http://zotero.org/users/local/OSBVH90z/items/HWB8PRNL"],"itemData":{"id":1857,"type":"article-journal","container-title":"Polar Science","DOI":"10.1016/j.polar.2020.100617","ISSN":"18739652","journalAbbreviation":"Polar Science","language":"en","page":"100617","source":"DOI.org (Crossref)","title":"Arctic sea ice and snow cover albedo variability and trends during the last three decades","volume":"28","author":[{"family":"Marcianesi","given":"F."},{"family":"Aulicino","given":"G."},{"family":"Wadhams","given":"P."}],"issued":{"date-parts":[["2021",6]]}}}],"schema":"https://github.com/citation-style-language/schema/raw/master/csl-citation.json"}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(Marcianesi et al., 2021)</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 xml:space="preserve">. Similarly, continental glaciers across the Andes, Himalayas, Alps, and elsewhere are melting back, adding to global sea level rise and threatening fresh water supplies for millions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{"citationID":"9CJWaLeT","properties":{"formattedCitation":"(Pepin et al., 2022)","plainCitation":"(Pepin et al., 2022)","noteIndex":0},"citationItems":[{"id":1858,"uris":["http://zotero.org/users/local/OSBVH90z/items/WG2J3KI5"],"itemData":{"id":1858,"type":"article-journal","abstract":"Abstract\n            Quantifying rates of climate change in mountain regions is of considerable interest, not least because mountains are viewed as climate “hotspots” where change can anticipate or amplify what is occurring elsewhere. Accelerating mountain climate change has extensive environmental impacts, including depletion of snow/ice reserves, critical for the world's water supply. Whilst the concept of elevation‐dependent warming (EDW), whereby warming rates are stratified by elevation, is widely accepted, no consistent EDW profile at the global scale has been identified. Past assessments have also neglected elevation‐dependent changes in precipitation. In this comprehensive analysis, both in situ station temperature and precipitation data from mountain regions, and global gridded data sets (observations, reanalyses, and model hindcasts) are employed to examine the elevation dependency of temperature and precipitation changes since 1900. In situ observations in paired studies (using adjacent stations) show a tendency toward enhanced warming at higher elevations. However, when all mountain/lowland studies are pooled into two groups, no systematic difference in high versus low elevation group warming rates is found. Precipitation changes based on station data are inconsistent with no systematic contrast between mountain and lowland precipitation trends. Gridded data sets (CRU, GISTEMP, GPCC, ERA5, and CMIP5) show increased warming rates at higher elevations in some regions, but on a global scale there is no universal amplification of warming in mountains. Increases in mountain precipitation are weaker than for low elevations worldwide, meaning reduced elevation‐dependency of precipitation, especially in midlatitudes. Agreement on elevation‐dependent changes between gridded data sets is weak for temperature but stronger for precipitation.\n          , \n            Plain Language Summary\n            Mountains cover a large part of the Earth's surface and harbor distinct ecosystems, hold most of snow and ice outside the polar regions, and provide water for billions of people. This research looks at recent climate changes in mountains and compares them with simultaneous changes in lowland regions using weather station data, large global data sets, and climate models. We examine changes since 1900, but also concentrate on the last 40 years since this is when many changes have started to accelerate. Nearly all regions of the globe are getting warmer. When we make local comparisons, mountain sites are usually warming faster than lower areas nearby. However, when we average data from all global mountains and compare them with those from all lowland areas, there is no significant difference. Rainfall/snowfall on the other hand is decreasing in some areas, and increasing in others. In nearly all cases the strongest increase is occurring in the lowland areas, with increases in the mountains being more subdued (if at all). One consequence of our findings is that stores of mountain snow and ice may decline even faster than previously assumed due to the combination of enhanced mountain warming and reduced elevation dependency of rainfall/snowfall.\n          , \n            Key Points\n            \n              \n                \n                  Using station and gridded data sets, we compare global precipitation and temperature trends by elevation\n                \n                \n                  Local comparisons of paired stations and regional comparisons using gridded data often show faster mountain than lowland warming\n                \n                \n                  Precipitation differences between mountains and adjacent lowlands are reducing, often driven by stronger precipitation increase in lowlands","container-title":"Reviews of Geophysics","DOI":"10.1029/2020RG000730","ISSN":"8755-1209, 1944-9208","issue":"1","journalAbbreviation":"Reviews of Geophysics","language":"en","page":"e2020RG000730","source":"DOI.org (Crossref)","title":"Climate Changes and Their Elevational Patterns in the Mountains of the World","volume":"60","author":[{"family":"Pepin","given":"N. C."},{"family":"Arnone","given":"E."},{"family":"Gobiet","given":"A."},{"family":"Haslinger","given":"K."},{"family":"Kotlarski","given":"S."},{"family":"Notarnicola","given":"C."},{"family":"Palazzi","given":"E."},{"family":"Seibert","given":"P."},{"family":"Serafin","given":"S."},{"family":"Schöner","given":"W."},{"family":"Terzago","given":"S."},{"family":"Thornton","given":"J. M."},{"family":"Vuille","given":"M."},{"family":"Adler","given":"C."}],"issued":{"date-parts":[["2022",3]]}}}],"schema":"https://github.com/citation-style-language/schema/raw/master/csl-citation.json"}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(Pepin et al., 2022)</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 Changes in the cryosphere are a cause and consequence of climate systems, and they amplify climate warming by decreasing albedo and increasing heat absorption.</w:t>
      </w:r>
    </w:p>
    <w:p w14:paraId="44115A98" w14:textId="77777777" w:rsidR="007B10EF" w:rsidRPr="007A0876" w:rsidRDefault="007B10EF" w:rsidP="007B10EF">
      <w:pPr>
        <w:spacing w:after="0" w:line="240" w:lineRule="auto"/>
        <w:jc w:val="both"/>
        <w:rPr>
          <w:rFonts w:ascii="Times New Roman" w:hAnsi="Times New Roman" w:cs="Times New Roman"/>
          <w:b/>
          <w:bCs/>
          <w:sz w:val="24"/>
          <w:szCs w:val="24"/>
        </w:rPr>
      </w:pPr>
    </w:p>
    <w:p w14:paraId="68CD439F" w14:textId="77777777" w:rsidR="007B10EF" w:rsidRPr="007A0876" w:rsidRDefault="007B10EF" w:rsidP="007B10EF">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2.2 Drivers of Climate Change</w:t>
      </w:r>
    </w:p>
    <w:p w14:paraId="25A812C4" w14:textId="3DF0D3DB"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Human activities have led to the accumulation of greenhouse gases (GHGs) in the atmosphere, the primary driver of recent global warming. The enhanced greenhouse effect is dominated by a few naturally occurring greenhouse gases, including carbon dioxide (CO₂), methane (CH₄), and nitrous oxide (N₂O)</w:t>
      </w:r>
      <w:r w:rsidR="005A3E3D">
        <w:rPr>
          <w:rFonts w:ascii="Times New Roman" w:hAnsi="Times New Roman" w:cs="Times New Roman"/>
          <w:sz w:val="24"/>
          <w:szCs w:val="24"/>
        </w:rPr>
        <w:t xml:space="preserve">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{"citationID":"Z8HZBXKC","properties":{"formattedCitation":"(Filonchyk et al., 2024)","plainCitation":"(Filonchyk et al., 2024)","noteIndex":0},"citationItems":[{"id":1860,"uris":["http://zotero.org/users/local/OSBVH90z/items/BEA6VNRC"],"itemData":{"id":1860,"type":"article-journal","container-title":"Science of The Total Environment","DOI":"10.1016/j.scitotenv.2024.173359","ISSN":"00489697","journalAbbreviation":"Science of The Total Environment","language":"en","page":"173359","source":"DOI.org (Crossref)","title":"Greenhouse gases emissions and global climate change: Examining the influence of CO2, CH4, and N2O","title-short":"Greenhouse gases emissions and global climate change","volume":"935","author":[{"family":"Filonchyk","given":"Mikalai"},{"family":"Peterson","given":"Michael P."},{"family":"Zhang","given":"Lifeng"},{"family":"Hurynovich","given":"Volha"},{"family":"He","given":"Yi"}],"issued":{"date-parts":[["2024",7]]}}}],"schema":"https://github.com/citation-style-language/schema/raw/master/csl-citation.json"}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(Filonchyk et al., 2024)</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 These gases vary in their lifetimes in the atmosphere and radiative forcing, with CO₂ the most important on a cumulative basis because CO₂, on average, is abundant and relatively long-lived.</w:t>
      </w:r>
    </w:p>
    <w:p w14:paraId="3BE4A12D" w14:textId="06AA7350"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Most carbon dioxide is released by burning fossil fuels, coal, oil, and natural gas in energy generation, transportation, and industrial processes. Cement production and other industrial processes emit CO2 as well. Methane, a GHG with a global warming potential of more than 80 times </w:t>
      </w:r>
      <w:r w:rsidR="00544AEC">
        <w:rPr>
          <w:rFonts w:ascii="Times New Roman" w:hAnsi="Times New Roman" w:cs="Times New Roman"/>
          <w:sz w:val="24"/>
          <w:szCs w:val="24"/>
        </w:rPr>
        <w:t>that</w:t>
      </w:r>
      <w:r w:rsidRPr="007A0876">
        <w:rPr>
          <w:rFonts w:ascii="Times New Roman" w:hAnsi="Times New Roman" w:cs="Times New Roman"/>
          <w:sz w:val="24"/>
          <w:szCs w:val="24"/>
        </w:rPr>
        <w:t xml:space="preserve"> </w:t>
      </w:r>
      <w:r w:rsidR="00544AEC">
        <w:rPr>
          <w:rFonts w:ascii="Times New Roman" w:hAnsi="Times New Roman" w:cs="Times New Roman"/>
          <w:sz w:val="24"/>
          <w:szCs w:val="24"/>
        </w:rPr>
        <w:t xml:space="preserve">of </w:t>
      </w:r>
      <w:r w:rsidRPr="007A0876">
        <w:rPr>
          <w:rFonts w:ascii="Times New Roman" w:hAnsi="Times New Roman" w:cs="Times New Roman"/>
          <w:sz w:val="24"/>
          <w:szCs w:val="24"/>
        </w:rPr>
        <w:t>CO₂ over a 20-year horizon, is released during agricultural practices (notably for livestock digestion), rice paddies, and leakages from natural gas systems and landfills. Nitrous oxide has a global warming potential almost 300 times that of CO₂ and a long atmospheric residence time, primarily resulting from agricultural fertilizers and industrial activities.</w:t>
      </w:r>
    </w:p>
    <w:p w14:paraId="4D08091F" w14:textId="50204840"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Beyond emissions, land-use changes, mainly deforestation, are major drivers of climate change. Forests are important terrestrial carbon sinks, taking up around one-third of the anthropogenic CO₂ emissions yearly</w:t>
      </w:r>
      <w:r w:rsidR="005A3E3D">
        <w:rPr>
          <w:rFonts w:ascii="Times New Roman" w:hAnsi="Times New Roman" w:cs="Times New Roman"/>
          <w:sz w:val="24"/>
          <w:szCs w:val="24"/>
        </w:rPr>
        <w:t xml:space="preserve"> </w:t>
      </w:r>
      <w:r w:rsidR="00DC0AB5">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{"citationID":"RPl6y8cC","properties":{"formattedCitation":"(Sitch et al., 2024)","plainCitation":"(Sitch et al., 2024)","noteIndex":0},"citationItems":[{"id":1861,"uris":["http://zotero.org/users/local/OSBVH90z/items/58N9TMLG"],"itemData":{"id":1861,"type":"article-journal","abstract":"Abstract\n            \n              The terrestrial biosphere plays a major role in the global carbon cycle, and there is a recognized need for regularly updated estimates of land‐atmosphere exchange at regional and global scales. An international ensemble of Dynamic Global Vegetation Models (DGVMs), known as the “Trends and drivers of the regional scale terrestrial sources and sinks of carbon dioxide” (TRENDY) project, quantifies land biophysical exchange processes and biogeochemistry cycles in support of the annual Global Carbon Budget assessments and the REgional Carbon Cycle Assessment and Processes, phase 2 project. DGVMs use a common protocol and set of driving data sets. A set of factorial simulations allows attribution of spatio‐temporal changes in land surface processes to three primary global change drivers: changes in atmospheric CO\n              2\n              , climate change and variability, and Land Use and Land Cover Changes (LULCC). Here, we describe the TRENDY project, benchmark DGVM performance using remote‐sensing and other observational data, and present results for the contemporary period. Simulation results show a large global carbon sink in natural vegetation over 2012–2021, attributed to the CO\n              2\n              fertilization effect (3.8 ± 0.8 PgC/yr) and climate (−0.58 ± 0.54 PgC/yr). Forests and semi‐arid ecosystems contribute approximately equally to the mean and trend in the natural land sink, and semi‐arid ecosystems continue to dominate interannual variability. The natural sink is offset by net emissions from LULCC (−1.6 ± 0.5 PgC/yr), with a net land sink of 1.7 ± 0.6 PgC/yr. Despite the largest gross fluxes being in the tropics, the largest net land‐atmosphere exchange is simulated in the extratropical regions.\n            \n          , \n            Plain Language Summary\n            \n              Around one third of human‐induced CO\n              2\n              emissions are absorbed by land ecosystems and thus act to mitigate climate change. It is essential to understand the processes, ecosystems and regions responsible for this natural carbon sink, to inform on the efficiency of the sinks into the future. These sinks are susceptible to year‐to‐year variation in response to climate variations and extremes. At the same time deforestation and other forms of land management are changing the land surface, which overall adds significantly to the human‐induced CO\n              2\n              emissions. There is a need to regularly update our estimate of land carbon dynamics to aid global stock takes for the Paris agreement to avoid dangerous climate change. Here we present an international initiative that on an annual basis assesses “Trends and drivers of the regional scale terrestrial sources and sinks of carbon dioxide” (TRENDY) using computer models of the land carbon cycle. We quantify the land sink during the contemporary period (2012–2021), and attribute to processes, mainly the large opposing effects of CO\n              2\n              fertilization enhancing plant productivity and land‐use change. Forests and semi‐arid ecosystems are largely responsible for the mean and trend in the land sink, with the latter most important for its year‐to‐year variation.\n            \n          , \n            Key Points\n            \n              \n                \n                  We quantify and attribute land carbon dynamics to underlying processes at regional scales, contributing bottom‐up estimates to RECCAP‐2\n                \n                \n                  \n                    Models simulate a contemporary net land sink of 1.7 ± 0.6 PgC/yr, with large opposing effects of CO\n                    2\n                    fertilization and land‐use change\n                  \n                \n                \n                  Despite the largest gross fluxes being in the tropics, the largest net land‐atmosphere exchange is simulated in the extratropical regions","container-title":"Global Biogeochemical Cycles","DOI":"10.1029/2024GB008102","ISSN":"0886-6236, 1944-9224","issue":"7","journalAbbreviation":"Global Biogeochemical Cycles","language":"en","page":"e2024GB008102","source":"DOI.org (Crossref)","title":"Trends and Drivers of Terrestrial Sources and Sinks of Carbon Dioxide: An Overview of the TRENDY Project","title-short":"Trends and Drivers of Terrestrial Sources and Sinks of Carbon Dioxide","volume":"38","author":[{"family":"Sitch","given":"Stephen"},{"family":"O’Sullivan","given":"Michael"},{"family":"Robertson","given":"Eddy"},{"family":"Friedlingstein","given":"Pierre"},{"family":"Albergel","given":"Clément"},{"family":"Anthoni","given":"Peter"},{"family":"Arneth","given":"Almut"},{"family":"Arora","given":"Vivek K."},{"family":"Bastos","given":"Ana"},{"family":"Bastrikov","given":"Vladislav"},{"family":"Bellouin","given":"Nicolas"},{"family":"Canadell","given":"Josep G."},{"family":"Chini","given":"Louise"},{"family":"Ciais","given":"Philippe"},{"family":"Falk","given":"Stefanie"},{"family":"Harris","given":"Ian"},{"family":"Hurtt","given":"George"},{"family":"Ito","given":"Akihiko"},{"family":"Jain","given":"Atul K."},{"family":"Jones","given":"Matthew W."},{"family":"Joos","given":"Fortunat"},{"family":"Kato","given":"Etsushi"},{"family":"Kennedy","given":"Daniel"},{"family":"Klein Goldewijk","given":"Kees"},{"family":"Kluzek","given":"Erik"},{"family":"Knauer","given":"Jürgen"},{"family":"Lawrence","given":"Peter J."},{"family":"Lombardozzi","given":"Danica"},{"family":"Melton","given":"Joe R."},{"family":"Nabel","given":"Julia E. M. S."},{"family":"Pan","given":"Naiqing"},{"family":"Peylin","given":"Philippe"},{"family":"Pongratz","given":"Julia"},{"family":"Poulter","given":"Benjamin"},{"family":"Rosan","given":"Thais M."},{"family":"Sun","given":"Qing"},{"family":"Tian","given":"Hanqin"},{"family":"Walker","given":"Anthony P."},{"family":"Weber","given":"Ulrich"},{"family":"Yuan","given":"Wenping"},{"family":"Yue","given":"Xu"},{"family":"Zaehle","given":"Sönke"}],"issued":{"date-parts":[["2024",7]]}}}],"schema":"https://github.com/citation-style-language/schema/raw/master/csl-citation.json"} </w:instrText>
      </w:r>
      <w:r w:rsidR="00DC0AB5">
        <w:rPr>
          <w:rFonts w:ascii="Times New Roman" w:hAnsi="Times New Roman" w:cs="Times New Roman"/>
          <w:sz w:val="24"/>
          <w:szCs w:val="24"/>
        </w:rPr>
        <w:fldChar w:fldCharType="separate"/>
      </w:r>
      <w:r w:rsidR="009D5529" w:rsidRPr="009D5529">
        <w:rPr>
          <w:rFonts w:ascii="Times New Roman" w:hAnsi="Times New Roman" w:cs="Times New Roman"/>
          <w:sz w:val="24"/>
        </w:rPr>
        <w:t>(Sitch et al., 2024)</w:t>
      </w:r>
      <w:r w:rsidR="00DC0AB5">
        <w:rPr>
          <w:rFonts w:ascii="Times New Roman" w:hAnsi="Times New Roman" w:cs="Times New Roman"/>
          <w:sz w:val="24"/>
          <w:szCs w:val="24"/>
        </w:rPr>
        <w:fldChar w:fldCharType="end"/>
      </w:r>
      <w:r w:rsidRPr="007A0876">
        <w:rPr>
          <w:rFonts w:ascii="Times New Roman" w:hAnsi="Times New Roman" w:cs="Times New Roman"/>
          <w:sz w:val="24"/>
          <w:szCs w:val="24"/>
        </w:rPr>
        <w:t>. Nevertheless, large-scale deforestation for agriculture, mining, and urban development not only releases stored carbon but also diminishes the biosphere’s ability to absorb future emissions. Deforestation in the tropics, notably the Amazon and Southeast Asia, is especially troubling because of the knock-on effects on the planet.</w:t>
      </w:r>
    </w:p>
    <w:p w14:paraId="4852D8EE" w14:textId="77777777"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Industrial and agricultural processes have also released numerous short-lived climate pollutants (SLCPs), including black carbon and hydrofluorocarbons (HFCs), contributing to warming and air pollution. These emissions are commonly localized in urban and high-development areas, harming public health and amplifying regional climate abnormalities.</w:t>
      </w:r>
    </w:p>
    <w:p w14:paraId="7C5DDCD8" w14:textId="05558758" w:rsidR="008D5D58" w:rsidRDefault="007B10EF" w:rsidP="009346B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How these drivers interact shows the complexity of the climate system and demonstrates the need for multifaceted, integrated responses. Cumulative and synergistic effects of GHG emissions, land-use change, and industrial activities highlight the necessity of broad-spectrum mitigation strategies that incorporate not just technological innovation but systemic socio-economic transformation.</w:t>
      </w:r>
      <w:r w:rsidR="00FB52EF" w:rsidRPr="007A0876">
        <w:rPr>
          <w:rFonts w:ascii="Times New Roman" w:hAnsi="Times New Roman" w:cs="Times New Roman"/>
          <w:sz w:val="24"/>
          <w:szCs w:val="24"/>
        </w:rPr>
        <w:t xml:space="preserve"> </w:t>
      </w:r>
    </w:p>
    <w:p w14:paraId="6524328B" w14:textId="77777777" w:rsidR="00DC0AB5" w:rsidRDefault="00DC0AB5" w:rsidP="009346B0">
      <w:pPr>
        <w:spacing w:after="0" w:line="240" w:lineRule="auto"/>
        <w:jc w:val="both"/>
        <w:rPr>
          <w:rFonts w:ascii="Times New Roman" w:hAnsi="Times New Roman" w:cs="Times New Roman"/>
          <w:b/>
          <w:bCs/>
          <w:sz w:val="28"/>
          <w:szCs w:val="28"/>
        </w:rPr>
      </w:pPr>
    </w:p>
    <w:p w14:paraId="31E6EF7A" w14:textId="0C10373F" w:rsidR="00475B6F" w:rsidRPr="008D5D58" w:rsidRDefault="00475B6F"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3.</w:t>
      </w:r>
      <w:r w:rsidR="008D5D58" w:rsidRPr="008D5D58">
        <w:rPr>
          <w:rFonts w:ascii="Times New Roman" w:hAnsi="Times New Roman" w:cs="Times New Roman"/>
          <w:b/>
          <w:bCs/>
          <w:sz w:val="28"/>
          <w:szCs w:val="28"/>
        </w:rPr>
        <w:t>0</w:t>
      </w:r>
      <w:r w:rsidR="009346B0" w:rsidRPr="009346B0">
        <w:rPr>
          <w:rFonts w:ascii="Times New Roman" w:hAnsi="Times New Roman" w:cs="Times New Roman"/>
          <w:b/>
          <w:bCs/>
          <w:sz w:val="28"/>
          <w:szCs w:val="28"/>
        </w:rPr>
        <w:t xml:space="preserve"> Method</w:t>
      </w:r>
      <w:r w:rsidR="00594F00">
        <w:rPr>
          <w:rFonts w:ascii="Times New Roman" w:hAnsi="Times New Roman" w:cs="Times New Roman"/>
          <w:b/>
          <w:bCs/>
          <w:sz w:val="28"/>
          <w:szCs w:val="28"/>
        </w:rPr>
        <w:t>ology</w:t>
      </w:r>
    </w:p>
    <w:p w14:paraId="72BEE344" w14:textId="77777777" w:rsidR="00FD6387" w:rsidRDefault="00FD6387" w:rsidP="00782315">
      <w:pPr>
        <w:spacing w:after="0" w:line="240" w:lineRule="auto"/>
        <w:jc w:val="both"/>
        <w:rPr>
          <w:rFonts w:ascii="Times New Roman" w:hAnsi="Times New Roman" w:cs="Times New Roman"/>
        </w:rPr>
      </w:pPr>
    </w:p>
    <w:p w14:paraId="4A1DE769" w14:textId="00DB28F5" w:rsidR="00782315" w:rsidRPr="007A0876" w:rsidRDefault="00782315" w:rsidP="00782315">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This research also explores the multiple effects of climate change and assesses worldwide adaptive and mitigating strategies. Through the synthesis of qualitative and quantitative data, the methodology allows for a comprehensive and evidence-based understanding of the dynamics, </w:t>
      </w:r>
      <w:r w:rsidRPr="007A0876">
        <w:rPr>
          <w:rFonts w:ascii="Times New Roman" w:hAnsi="Times New Roman" w:cs="Times New Roman"/>
          <w:sz w:val="24"/>
          <w:szCs w:val="24"/>
        </w:rPr>
        <w:lastRenderedPageBreak/>
        <w:t>impacts, and policy responses of climate change across varying mixtures of socio-economic and ecological settings.</w:t>
      </w:r>
    </w:p>
    <w:p w14:paraId="78439091" w14:textId="77777777" w:rsidR="00782315" w:rsidRPr="007A0876" w:rsidRDefault="00782315" w:rsidP="00782315">
      <w:pPr>
        <w:spacing w:after="0" w:line="240" w:lineRule="auto"/>
        <w:jc w:val="both"/>
        <w:rPr>
          <w:rFonts w:ascii="Times New Roman" w:hAnsi="Times New Roman" w:cs="Times New Roman"/>
          <w:sz w:val="24"/>
          <w:szCs w:val="24"/>
        </w:rPr>
      </w:pPr>
    </w:p>
    <w:p w14:paraId="530DFA51" w14:textId="45B4D242" w:rsidR="00782315" w:rsidRPr="007A0876" w:rsidRDefault="00FD6387" w:rsidP="00782315">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3</w:t>
      </w:r>
      <w:r w:rsidR="00782315" w:rsidRPr="007A0876">
        <w:rPr>
          <w:rFonts w:ascii="Times New Roman" w:hAnsi="Times New Roman" w:cs="Times New Roman"/>
          <w:b/>
          <w:bCs/>
          <w:sz w:val="24"/>
          <w:szCs w:val="24"/>
        </w:rPr>
        <w:t>.1 Data Collection</w:t>
      </w:r>
    </w:p>
    <w:p w14:paraId="5A48E824" w14:textId="77777777" w:rsidR="00782315" w:rsidRPr="007A0876" w:rsidRDefault="00782315" w:rsidP="00782315">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The study drew upon secondary data from various sources to provide multidimensional and comprehensive evidence for climate change (Table 1). Relevant peer-reviewed journal articles, technical reports, and policy papers were retrieved from reputable sources, including the Intergovernmental Panel on Climate Change (IPCC), the United Nations Framework Convention on Climate Change (UNFCCC), and top research entities. Agency (NOAA) datasets and datasets from national meteorological services, environmental ministries, and statistical bureaus were also used. Global and regional trends were also available through the joint efforts of international organizations (including the World Bank, UNDP, and ADB). As it was a large-scale project, satellite and remote sensing data were also combined to analyze physical climate indicators (temperature anomaly, sea level rise, and glacier retreat, to name a few). Accessed through academic databases such as Google Scholar and ResearchGate, this collection encompassed a broad array of both quantitative measurements and qualitative case studies.</w:t>
      </w:r>
    </w:p>
    <w:p w14:paraId="39FE8A71" w14:textId="77777777" w:rsidR="00782315" w:rsidRPr="007A0876" w:rsidRDefault="00782315" w:rsidP="00782315">
      <w:pPr>
        <w:spacing w:after="0" w:line="240" w:lineRule="auto"/>
        <w:jc w:val="both"/>
        <w:rPr>
          <w:rFonts w:ascii="Times New Roman" w:hAnsi="Times New Roman" w:cs="Times New Roman"/>
          <w:sz w:val="24"/>
          <w:szCs w:val="24"/>
        </w:rPr>
      </w:pPr>
    </w:p>
    <w:p w14:paraId="7511D0F6" w14:textId="39BF1743" w:rsidR="00782315" w:rsidRPr="007A0876" w:rsidRDefault="00FD6387" w:rsidP="00782315">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3</w:t>
      </w:r>
      <w:r w:rsidR="00782315" w:rsidRPr="007A0876">
        <w:rPr>
          <w:rFonts w:ascii="Times New Roman" w:hAnsi="Times New Roman" w:cs="Times New Roman"/>
          <w:b/>
          <w:bCs/>
          <w:sz w:val="24"/>
          <w:szCs w:val="24"/>
        </w:rPr>
        <w:t>.2 Assessment</w:t>
      </w:r>
    </w:p>
    <w:p w14:paraId="1392D7A0" w14:textId="5A1CD170" w:rsidR="00424842" w:rsidRPr="007A0876" w:rsidRDefault="00782315" w:rsidP="00782315">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This research evaluates the implications of climate change based on three key dimensions: environmental, socio-economic, and technological. Environmental effects were quantified by assessing trends in global temperature, extreme weather events, and the disruption of ecosystems. The socioeconomic impacts measured were public health, agricultural productivity, and urban infrastructure resilience</w:t>
      </w:r>
      <w:r w:rsidR="00287E6A">
        <w:rPr>
          <w:rFonts w:ascii="Times New Roman" w:hAnsi="Times New Roman" w:cs="Times New Roman"/>
          <w:sz w:val="24"/>
          <w:szCs w:val="24"/>
        </w:rPr>
        <w:t xml:space="preserve"> </w:t>
      </w:r>
      <w:r w:rsidR="00287E6A">
        <w:rPr>
          <w:rFonts w:ascii="Times New Roman" w:hAnsi="Times New Roman" w:cs="Times New Roman"/>
          <w:sz w:val="24"/>
          <w:szCs w:val="24"/>
        </w:rPr>
        <w:fldChar w:fldCharType="begin"/>
      </w:r>
      <w:r w:rsidR="00287E6A">
        <w:rPr>
          <w:rFonts w:ascii="Times New Roman" w:hAnsi="Times New Roman" w:cs="Times New Roman"/>
          <w:sz w:val="24"/>
          <w:szCs w:val="24"/>
        </w:rPr>
        <w:instrText xml:space="preserve"> ADDIN ZOTERO_ITEM CSL_CITATION {"citationID":"vefwPSvC","properties":{"formattedCitation":"(M. Uddin et al., 2025)","plainCitation":"(M. Uddin et al., 2025)","noteIndex":0},"citationItems":[{"id":2017,"uris":["http://zotero.org/users/local/OSBVH90z/items/DYKFR4GM"],"itemData":{"id":2017,"type":"article-journal","abstract":"Agribusiness involves the multifaceted interactions among activities related to \nthe supply, distribution, and marketing of agricultural goods. As agricultural\nvalue chains have evolved, so have the many facets of agricultural value chain\nanalysis, such as management and market dynamics. The current study\ninvestigates the growing trend of agribusiness and related issues worldwide,\nfocusing on developing agribusiness in developing countries. The research\nintegrates the latest agribusiness, rural entrepreneurship, and rural self\nemployment research with sophisticated bibliometric analysis, showing trends\nand contributions in these sectors. Leading sources include in Agribusiness\nresearch \"World Development,\" \"PLOS ONE,\" and \"Journal of Rural\nDevelopment.\" Across different countries, with the USA, India, China, Australia,\nthe UK, Canada, South Africa, Spain, Germany, and Brazil being the top\nproducing countries. However, developing countries have lower average income\nfrom agricultural sectors, and Africa needs more private investment to promote\nagribusiness in modernizing agriculture and the financial system. Finally,\nagribusiness is vital for mitigating economic crises and alleviating food\nshortages. Agribusiness can contribute to a more sustainable and prosperous\nfuture by integrating women and micro-credit programs.","page":"41-53","source":"ResearchGate","title":"The Trend of Agribusiness Research Worldwide: A Bibliometric Analysis Based on the Scopus Database","title-short":"The Trend of Agribusiness Research Worldwide","volume":"3","author":[{"family":"Uddin","given":"Mohammad"},{"family":"Pervez","given":"A.K.M."},{"family":"Kabir","given":"Md"},{"family":"Mahedi","given":"Md"}],"issued":{"date-parts":[["2025",4,25]]}}}],"schema":"https://github.com/citation-style-language/schema/raw/master/csl-citation.json"} </w:instrText>
      </w:r>
      <w:r w:rsidR="00287E6A">
        <w:rPr>
          <w:rFonts w:ascii="Times New Roman" w:hAnsi="Times New Roman" w:cs="Times New Roman"/>
          <w:sz w:val="24"/>
          <w:szCs w:val="24"/>
        </w:rPr>
        <w:fldChar w:fldCharType="separate"/>
      </w:r>
      <w:r w:rsidR="009D5529" w:rsidRPr="009D5529">
        <w:rPr>
          <w:rFonts w:ascii="Times New Roman" w:hAnsi="Times New Roman" w:cs="Times New Roman"/>
          <w:sz w:val="24"/>
        </w:rPr>
        <w:t>(M. Uddin et al., 2025)</w:t>
      </w:r>
      <w:r w:rsidR="00287E6A">
        <w:rPr>
          <w:rFonts w:ascii="Times New Roman" w:hAnsi="Times New Roman" w:cs="Times New Roman"/>
          <w:sz w:val="24"/>
          <w:szCs w:val="24"/>
        </w:rPr>
        <w:fldChar w:fldCharType="end"/>
      </w:r>
      <w:r w:rsidRPr="007A0876">
        <w:rPr>
          <w:rFonts w:ascii="Times New Roman" w:hAnsi="Times New Roman" w:cs="Times New Roman"/>
          <w:sz w:val="24"/>
          <w:szCs w:val="24"/>
        </w:rPr>
        <w:t>. Policy and technological interventions were analyzed, focusing on adaptation and mitigation measures, including renewable energy adoption, carbon pricing mechanisms, and climate-resilient infrastructure. Analyzing all of these angles highlights success stories, obstacles, and where there are still opportunities for global action, thus providing a broader overview of influencing developments.</w:t>
      </w:r>
    </w:p>
    <w:p w14:paraId="09345553" w14:textId="30173D11" w:rsidR="002B50F0" w:rsidRPr="007A0876" w:rsidRDefault="00BF55B4" w:rsidP="00BF55B4">
      <w:pPr>
        <w:pStyle w:val="NormalWeb"/>
        <w:jc w:val="center"/>
      </w:pPr>
      <w:bookmarkStart w:id="1" w:name="_Hlk194954143"/>
      <w:r w:rsidRPr="007A0876">
        <w:rPr>
          <w:noProof/>
        </w:rPr>
        <w:drawing>
          <wp:inline distT="0" distB="0" distL="0" distR="0" wp14:anchorId="2C84F02F" wp14:editId="63213638">
            <wp:extent cx="5562600" cy="1943344"/>
            <wp:effectExtent l="19050" t="19050" r="19050" b="19050"/>
            <wp:docPr id="300537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715" b="12128"/>
                    <a:stretch/>
                  </pic:blipFill>
                  <pic:spPr bwMode="auto">
                    <a:xfrm>
                      <a:off x="0" y="0"/>
                      <a:ext cx="5583864" cy="1950773"/>
                    </a:xfrm>
                    <a:prstGeom prst="rect">
                      <a:avLst/>
                    </a:prstGeom>
                    <a:noFill/>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r w:rsidR="00B63D5C" w:rsidRPr="007A0876">
        <w:rPr>
          <w:b/>
          <w:bCs/>
        </w:rPr>
        <w:t xml:space="preserve">Figure 1. </w:t>
      </w:r>
      <w:r w:rsidR="00B63D5C" w:rsidRPr="007A0876">
        <w:t>Methodology of this study</w:t>
      </w:r>
      <w:bookmarkEnd w:id="1"/>
    </w:p>
    <w:p w14:paraId="43C19886" w14:textId="5B6B5EB1" w:rsidR="00424842" w:rsidRPr="008D5D58" w:rsidRDefault="00424842"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4.</w:t>
      </w:r>
      <w:r w:rsidR="008D5D58" w:rsidRP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7B10EF" w:rsidRPr="007B10EF">
        <w:rPr>
          <w:rFonts w:ascii="Times New Roman" w:hAnsi="Times New Roman" w:cs="Times New Roman"/>
          <w:b/>
          <w:bCs/>
          <w:sz w:val="28"/>
          <w:szCs w:val="28"/>
        </w:rPr>
        <w:t>Impacts of Climate Change</w:t>
      </w:r>
    </w:p>
    <w:p w14:paraId="0BC16F8E" w14:textId="77777777" w:rsidR="0032195B" w:rsidRDefault="0032195B" w:rsidP="0032195B">
      <w:pPr>
        <w:spacing w:after="0" w:line="240" w:lineRule="auto"/>
        <w:rPr>
          <w:rFonts w:ascii="Times New Roman" w:hAnsi="Times New Roman" w:cs="Times New Roman"/>
          <w:b/>
          <w:sz w:val="24"/>
          <w:szCs w:val="24"/>
        </w:rPr>
      </w:pPr>
    </w:p>
    <w:p w14:paraId="5368B879" w14:textId="272DD849"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Climate change has major and interrelated impacts on natural systems, human societies, and world economies. These effects are no longer theoretical forecasts; they are real and visible, disrupting environmental balance, aggravating socio-economic insecurity, and threatening the </w:t>
      </w:r>
      <w:r w:rsidR="009702E1" w:rsidRPr="007A0876">
        <w:rPr>
          <w:rFonts w:ascii="Times New Roman" w:hAnsi="Times New Roman" w:cs="Times New Roman"/>
          <w:bCs/>
          <w:sz w:val="24"/>
          <w:szCs w:val="24"/>
        </w:rPr>
        <w:t xml:space="preserve">world's </w:t>
      </w:r>
      <w:r w:rsidR="009702E1" w:rsidRPr="007A0876">
        <w:rPr>
          <w:rFonts w:ascii="Times New Roman" w:hAnsi="Times New Roman" w:cs="Times New Roman"/>
          <w:bCs/>
          <w:sz w:val="24"/>
          <w:szCs w:val="24"/>
        </w:rPr>
        <w:lastRenderedPageBreak/>
        <w:t>development</w:t>
      </w:r>
      <w:r w:rsidRPr="007A0876">
        <w:rPr>
          <w:rFonts w:ascii="Times New Roman" w:hAnsi="Times New Roman" w:cs="Times New Roman"/>
          <w:bCs/>
          <w:sz w:val="24"/>
          <w:szCs w:val="24"/>
        </w:rPr>
        <w:t>. Gaining a more nuanced understanding of these impacts is critical to informing mitigation and adaptation strategies.</w:t>
      </w:r>
    </w:p>
    <w:p w14:paraId="2EFEFE32" w14:textId="77777777" w:rsidR="007B10EF" w:rsidRPr="007A0876" w:rsidRDefault="007B10EF" w:rsidP="007B10EF">
      <w:pPr>
        <w:spacing w:after="0" w:line="240" w:lineRule="auto"/>
        <w:jc w:val="both"/>
        <w:rPr>
          <w:rFonts w:ascii="Times New Roman" w:hAnsi="Times New Roman" w:cs="Times New Roman"/>
          <w:b/>
          <w:sz w:val="24"/>
          <w:szCs w:val="24"/>
        </w:rPr>
      </w:pPr>
    </w:p>
    <w:p w14:paraId="7379D298" w14:textId="1EF4C38F" w:rsidR="007B10EF" w:rsidRPr="007A0876" w:rsidRDefault="007B10EF" w:rsidP="007B10EF">
      <w:pPr>
        <w:spacing w:after="0" w:line="240" w:lineRule="auto"/>
        <w:jc w:val="both"/>
        <w:rPr>
          <w:rFonts w:ascii="Times New Roman" w:hAnsi="Times New Roman" w:cs="Times New Roman"/>
          <w:b/>
          <w:sz w:val="24"/>
          <w:szCs w:val="24"/>
        </w:rPr>
      </w:pPr>
      <w:r w:rsidRPr="007A0876">
        <w:rPr>
          <w:rFonts w:ascii="Times New Roman" w:hAnsi="Times New Roman" w:cs="Times New Roman"/>
          <w:b/>
          <w:sz w:val="24"/>
          <w:szCs w:val="24"/>
        </w:rPr>
        <w:t>4.1 Environmental Impacts</w:t>
      </w:r>
    </w:p>
    <w:p w14:paraId="23910CDA" w14:textId="0699562C"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One of the most prominent impacts of climate change is the global rise in temperature, with average surface temperatures surpassing 1.1°C above pre-industrial levels (1990 baseline) in 2023 </w:t>
      </w:r>
      <w:r w:rsidR="00CB7F04">
        <w:rPr>
          <w:rFonts w:ascii="Times New Roman" w:hAnsi="Times New Roman" w:cs="Times New Roman"/>
          <w:bCs/>
          <w:sz w:val="24"/>
          <w:szCs w:val="24"/>
        </w:rPr>
        <w:fldChar w:fldCharType="begin"/>
      </w:r>
      <w:r w:rsidR="00544AEC">
        <w:rPr>
          <w:rFonts w:ascii="Times New Roman" w:hAnsi="Times New Roman" w:cs="Times New Roman"/>
          <w:bCs/>
          <w:sz w:val="24"/>
          <w:szCs w:val="24"/>
        </w:rPr>
        <w:instrText xml:space="preserve"> ADDIN ZOTERO_ITEM CSL_CITATION {"citationID":"6PNF9fOT","properties":{"formattedCitation":"(R. N. Jones, 2024)","plainCitation":"(R. N. Jones, 2024)","noteIndex":0},"citationItems":[{"id":1863,"uris":["http://zotero.org/users/local/OSBVH90z/items/J45LQVJE"],"itemData":{"id":1863,"type":"article-journal","abstract":"In 2023, the rapid increase in global temperature of around 0.25 °C caught the scientific community by surprise. Its cause has been investigated largely by exploring variations on a long-term trend, with little success. Building on previous work, this paper proposes an alternative explanation—on decadal timescales, observed temperature shows a complex, nonlinear response to forcing, stepping through a series of steady-state regimes. The 2023 event is nominated as the latest in the sequence. Step changes in historical and modeled global mean surface temperatures (GMSTs) were detected using the bivariate test. Each time series was then separated into gradual (trends) and rapid components (shifts) and tested using probative criteria. For sea surface, global and land surface temperatures from the NOAA Global Surface Temperature Dataset V6.0 1880–2022, the rapid component of total warming was 94% of 0.72 °C, 78% of 1.16 °C and 74% of 1.93 °C, respectively. These changes are too large to support the gradual warming hypothesis. The recent warming was initiated in March 2023 by sea surface temperatures (SSTs) in the southern hemisphere, followed by an El Niño signal further north. Global temperatures followed, then land. A preceding regime shift in 2014 and subsequent steady-state 2015–2022 was also initiated and sustained by SSTs. Analysis of the top 100 m annual average ocean temperature from 1955 shows that it forms distinct regimes, providing a substantial ‘heat bank’ that sustains the changes overhead. Regime shifts are also produced by climate models. Archived data show these shifts emerged with coupling of the ocean and atmosphere. Comparing shifts and trends with equilibrium climate sensitivity (ECS) in an ensemble of 94 CMIP5 RCP4.5 models 2006–2095 showed that shifts had 2.9 times the influence on ECS than trends. Factors affecting this relationship include ocean structure, initialization times, physical parameters and model skill. Single model runs with skill ≥75 showed that shifts were 6.0 times more influential than trends. These findings show that the dominant warming mechanism is the sudden release of heat from the ocean rather than gradual warming in the atmosphere. The model ensemble predicted all regime changes since the 1970s within ±1 year, including 2023. The next shift is projected for 2036, but current emissions are tracking higher than projected by RCP4.5. Understanding what these changes mean for the estimation of current and future climate risks is an urgent task.","container-title":"Atmosphere","DOI":"10.3390/atmos15121507","ISSN":"2073-4433","issue":"12","journalAbbreviation":"Atmosphere","language":"en","license":"https://creativecommons.org/licenses/by/4.0/","page":"1507","source":"DOI.org (Crossref)","title":"Evidence and Explanation for the 2023 Global Warming Anomaly","volume":"15","author":[{"family":"Jones","given":"Roger N."}],"issued":{"date-parts":[["2024",12,17]]}}}],"schema":"https://github.com/citation-style-language/schema/raw/master/csl-citation.json"}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(R. N. Jones, 2024)</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 We know this warming trend is causing changes in ecosystems: changing the geographic ranges of species, disrupting their phenological cycles, changing things like breeding and migration, and reducing the ability of ecosystems to resist environmental stressors. Species not accustomed to such changes are becoming more vulnerable to extinction with the escalating pace of climate-based habitat alterations.</w:t>
      </w:r>
    </w:p>
    <w:p w14:paraId="0EA6D5F3" w14:textId="35B2188C"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Alternatively, take the melting of the polar ice caps and glaciers. The Greenland and Antarctic ice sheets are losing mass at accelerating rates, contributing to global sea-level rise, averaging approximately 3.3 mm per year </w:t>
      </w:r>
      <w:r w:rsidR="00CB7F04">
        <w:rPr>
          <w:rFonts w:ascii="Times New Roman" w:hAnsi="Times New Roman" w:cs="Times New Roman"/>
          <w:bCs/>
          <w:sz w:val="24"/>
          <w:szCs w:val="24"/>
        </w:rPr>
        <w:fldChar w:fldCharType="begin"/>
      </w:r>
      <w:r w:rsidR="00544AEC">
        <w:rPr>
          <w:rFonts w:ascii="Times New Roman" w:hAnsi="Times New Roman" w:cs="Times New Roman"/>
          <w:bCs/>
          <w:sz w:val="24"/>
          <w:szCs w:val="24"/>
        </w:rPr>
        <w:instrText xml:space="preserve"> ADDIN ZOTERO_ITEM CSL_CITATION {"citationID":"jSrf5nes","properties":{"formattedCitation":"(Rignot et al., 2011)","plainCitation":"(Rignot et al., 2011)","noteIndex":0},"citationItems":[{"id":1865,"uris":["http://zotero.org/users/local/OSBVH90z/items/9HQV8PTW"],"itemData":{"id":1865,"type":"article-journal","container-title":"Geophysical Research Letters","DOI":"10.1029/2011GL046583","ISSN":"00948276","issue":"5","journalAbbreviation":"Geophys. Res. Lett.","language":"en","license":"http://doi.wiley.com/10.1002/tdm_license_1.1","page":"n/a-n/a","source":"DOI.org (Crossref)","title":"Acceleration of the contribution of the Greenland and Antarctic ice sheets to sea level rise: ACCELERATION OF ICE SHEET LOSS","title-short":"Acceleration of the contribution of the Greenland and Antarctic ice sheets to sea level rise","volume":"38","author":[{"family":"Rignot","given":"E."},{"family":"Velicogna","given":"I."},{"family":"Van Den Broeke","given":"M. R."},{"family":"Monaghan","given":"A."},{"family":"Lenaerts","given":"J. T. M."}],"issued":{"date-parts":[["2011",3,16]]}}}],"schema":"https://github.com/citation-style-language/schema/raw/master/csl-citation.json"}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(Rignot et al., 2011)</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 This endangers low-lying coastal areas and small island states with flooding, saltwater intrusion, and loss of arable land. The loss of Arctic Sea ice also limits the habitat for polar species, interrupts Indigenous lifestyles, and intensifies warming via the albedo feedback effect.</w:t>
      </w:r>
    </w:p>
    <w:p w14:paraId="316A7B15" w14:textId="5E41B10A"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The impacts of climate change on biodiversity and ecosystem services Coral reefs, which support vast biodiversity and deliver vital ecosystem services, including fisheries and coastal protection, are undergoing widespread coral bleaching because of the warming and acidification of the oceans. Forest ecosystems are increasingly threatened by drought, pest outbreaks, and wildfires, all exacerbated by climatic changes. The degradation of these ecosystems also leads to a reduction in the services </w:t>
      </w:r>
      <w:r w:rsidR="00544AEC">
        <w:rPr>
          <w:rFonts w:ascii="Times New Roman" w:hAnsi="Times New Roman" w:cs="Times New Roman"/>
          <w:bCs/>
          <w:sz w:val="24"/>
          <w:szCs w:val="24"/>
        </w:rPr>
        <w:t>they</w:t>
      </w:r>
      <w:r w:rsidRPr="007A0876">
        <w:rPr>
          <w:rFonts w:ascii="Times New Roman" w:hAnsi="Times New Roman" w:cs="Times New Roman"/>
          <w:bCs/>
          <w:sz w:val="24"/>
          <w:szCs w:val="24"/>
        </w:rPr>
        <w:t xml:space="preserve"> can provide, including carbon sequestration, water purification, and food provisioning.</w:t>
      </w:r>
    </w:p>
    <w:p w14:paraId="63A13516" w14:textId="77777777" w:rsidR="009702E1" w:rsidRPr="007A0876" w:rsidRDefault="009702E1" w:rsidP="007B10EF">
      <w:pPr>
        <w:spacing w:after="0" w:line="240" w:lineRule="auto"/>
        <w:jc w:val="both"/>
        <w:rPr>
          <w:rFonts w:ascii="Times New Roman" w:hAnsi="Times New Roman" w:cs="Times New Roman"/>
          <w:bCs/>
          <w:sz w:val="24"/>
          <w:szCs w:val="24"/>
        </w:rPr>
      </w:pPr>
    </w:p>
    <w:p w14:paraId="1C0764A4" w14:textId="77777777" w:rsidR="009702E1" w:rsidRPr="007A0876" w:rsidRDefault="009702E1" w:rsidP="00C865DD">
      <w:pPr>
        <w:spacing w:after="0" w:line="240" w:lineRule="auto"/>
        <w:jc w:val="center"/>
        <w:rPr>
          <w:rFonts w:ascii="Times New Roman" w:eastAsia="Times New Roman" w:hAnsi="Times New Roman" w:cs="Times New Roman"/>
          <w:kern w:val="0"/>
          <w:sz w:val="24"/>
          <w:szCs w:val="24"/>
          <w14:ligatures w14:val="none"/>
        </w:rPr>
      </w:pPr>
      <w:r w:rsidRPr="007A0876">
        <w:rPr>
          <w:rFonts w:ascii="Times New Roman" w:eastAsia="Times New Roman" w:hAnsi="Times New Roman" w:cs="Times New Roman"/>
          <w:b/>
          <w:bCs/>
          <w:kern w:val="0"/>
          <w:sz w:val="24"/>
          <w:szCs w:val="24"/>
          <w14:ligatures w14:val="none"/>
        </w:rPr>
        <w:t>Table 1. Summary of Climate Change Impacts</w:t>
      </w:r>
    </w:p>
    <w:tbl>
      <w:tblPr>
        <w:tblStyle w:val="TableGrid"/>
        <w:tblW w:w="0" w:type="auto"/>
        <w:jc w:val="center"/>
        <w:tblLook w:val="04A0" w:firstRow="1" w:lastRow="0" w:firstColumn="1" w:lastColumn="0" w:noHBand="0" w:noVBand="1"/>
      </w:tblPr>
      <w:tblGrid>
        <w:gridCol w:w="2826"/>
        <w:gridCol w:w="3321"/>
        <w:gridCol w:w="3203"/>
      </w:tblGrid>
      <w:tr w:rsidR="0027426A" w:rsidRPr="007A0876" w14:paraId="6E158E90" w14:textId="77777777" w:rsidTr="0027426A">
        <w:trPr>
          <w:trHeight w:val="305"/>
          <w:jc w:val="center"/>
        </w:trPr>
        <w:tc>
          <w:tcPr>
            <w:tcW w:w="3060" w:type="dxa"/>
            <w:hideMark/>
          </w:tcPr>
          <w:p w14:paraId="33B0D28B" w14:textId="77777777" w:rsidR="009702E1" w:rsidRPr="007A0876" w:rsidRDefault="009702E1" w:rsidP="009702E1">
            <w:pPr>
              <w:jc w:val="center"/>
              <w:rPr>
                <w:rFonts w:ascii="Times New Roman" w:hAnsi="Times New Roman" w:cs="Times New Roman"/>
                <w:b/>
                <w:bCs/>
                <w:sz w:val="24"/>
                <w:szCs w:val="24"/>
              </w:rPr>
            </w:pPr>
            <w:r w:rsidRPr="007A0876">
              <w:rPr>
                <w:rFonts w:ascii="Times New Roman" w:hAnsi="Times New Roman" w:cs="Times New Roman"/>
                <w:b/>
                <w:bCs/>
                <w:sz w:val="24"/>
                <w:szCs w:val="24"/>
              </w:rPr>
              <w:t>Impact Domain</w:t>
            </w:r>
          </w:p>
        </w:tc>
        <w:tc>
          <w:tcPr>
            <w:tcW w:w="3542" w:type="dxa"/>
            <w:hideMark/>
          </w:tcPr>
          <w:p w14:paraId="2189F15E" w14:textId="77777777" w:rsidR="009702E1" w:rsidRPr="007A0876" w:rsidRDefault="009702E1" w:rsidP="009702E1">
            <w:pPr>
              <w:jc w:val="center"/>
              <w:rPr>
                <w:rFonts w:ascii="Times New Roman" w:hAnsi="Times New Roman" w:cs="Times New Roman"/>
                <w:b/>
                <w:bCs/>
                <w:sz w:val="24"/>
                <w:szCs w:val="24"/>
              </w:rPr>
            </w:pPr>
            <w:r w:rsidRPr="007A0876">
              <w:rPr>
                <w:rFonts w:ascii="Times New Roman" w:hAnsi="Times New Roman" w:cs="Times New Roman"/>
                <w:b/>
                <w:bCs/>
                <w:sz w:val="24"/>
                <w:szCs w:val="24"/>
              </w:rPr>
              <w:t>Key Observations</w:t>
            </w:r>
          </w:p>
        </w:tc>
        <w:tc>
          <w:tcPr>
            <w:tcW w:w="3568" w:type="dxa"/>
            <w:hideMark/>
          </w:tcPr>
          <w:p w14:paraId="43FD78F1" w14:textId="77777777" w:rsidR="009702E1" w:rsidRPr="007A0876" w:rsidRDefault="009702E1" w:rsidP="009702E1">
            <w:pPr>
              <w:jc w:val="center"/>
              <w:rPr>
                <w:rFonts w:ascii="Times New Roman" w:hAnsi="Times New Roman" w:cs="Times New Roman"/>
                <w:b/>
                <w:bCs/>
                <w:sz w:val="24"/>
                <w:szCs w:val="24"/>
              </w:rPr>
            </w:pPr>
            <w:r w:rsidRPr="007A0876">
              <w:rPr>
                <w:rFonts w:ascii="Times New Roman" w:hAnsi="Times New Roman" w:cs="Times New Roman"/>
                <w:b/>
                <w:bCs/>
                <w:sz w:val="24"/>
                <w:szCs w:val="24"/>
              </w:rPr>
              <w:t>Implications</w:t>
            </w:r>
          </w:p>
        </w:tc>
      </w:tr>
      <w:tr w:rsidR="009702E1" w:rsidRPr="007A0876" w14:paraId="507CC42B" w14:textId="77777777" w:rsidTr="00C423FB">
        <w:trPr>
          <w:trHeight w:val="440"/>
          <w:jc w:val="center"/>
        </w:trPr>
        <w:tc>
          <w:tcPr>
            <w:tcW w:w="3060" w:type="dxa"/>
            <w:hideMark/>
          </w:tcPr>
          <w:p w14:paraId="4C0B226C" w14:textId="77777777" w:rsidR="009702E1" w:rsidRPr="007A0876" w:rsidRDefault="009702E1" w:rsidP="009702E1">
            <w:pPr>
              <w:jc w:val="both"/>
              <w:rPr>
                <w:rFonts w:ascii="Times New Roman" w:hAnsi="Times New Roman" w:cs="Times New Roman"/>
                <w:b/>
                <w:bCs/>
                <w:sz w:val="24"/>
                <w:szCs w:val="24"/>
              </w:rPr>
            </w:pPr>
            <w:r w:rsidRPr="007A0876">
              <w:rPr>
                <w:rFonts w:ascii="Times New Roman" w:hAnsi="Times New Roman" w:cs="Times New Roman"/>
                <w:b/>
                <w:bCs/>
                <w:sz w:val="24"/>
                <w:szCs w:val="24"/>
              </w:rPr>
              <w:t>Environmental Impacts</w:t>
            </w:r>
          </w:p>
        </w:tc>
        <w:tc>
          <w:tcPr>
            <w:tcW w:w="3542" w:type="dxa"/>
            <w:hideMark/>
          </w:tcPr>
          <w:p w14:paraId="2CDAF880" w14:textId="0130D5BA"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xml:space="preserve">• Global temperature rise surpassing </w:t>
            </w:r>
            <w:r w:rsidR="00C865DD" w:rsidRPr="007A0876">
              <w:rPr>
                <w:rFonts w:ascii="Times New Roman" w:hAnsi="Times New Roman" w:cs="Times New Roman"/>
                <w:bCs/>
                <w:sz w:val="24"/>
                <w:szCs w:val="24"/>
              </w:rPr>
              <w:t>1.1°C</w:t>
            </w:r>
            <w:r w:rsidRPr="007A0876">
              <w:rPr>
                <w:rFonts w:ascii="Times New Roman" w:hAnsi="Times New Roman" w:cs="Times New Roman"/>
                <w:bCs/>
                <w:sz w:val="24"/>
                <w:szCs w:val="24"/>
              </w:rPr>
              <w:t xml:space="preserve"> above pre-industrial levels (2023 baseline).</w:t>
            </w:r>
          </w:p>
          <w:p w14:paraId="677C1A91"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Ecosystem alterations: shifts in species’ ranges, disrupted breeding/migration, increased extinction risk.</w:t>
            </w:r>
          </w:p>
          <w:p w14:paraId="1F14253D"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Accelerated melting of polar ice caps and glaciers (e.g., Greenland/Antarctic), contributing to ~3.3 mm/year sea-level rise.</w:t>
            </w:r>
          </w:p>
          <w:p w14:paraId="623469AA" w14:textId="62E55299"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Coral bleaching and degradation of forest ecosystems due to increased drought, pests, and wildfires.</w:t>
            </w:r>
          </w:p>
        </w:tc>
        <w:tc>
          <w:tcPr>
            <w:tcW w:w="3568" w:type="dxa"/>
            <w:hideMark/>
          </w:tcPr>
          <w:p w14:paraId="2867A746"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Loss of biodiversity and diminished ecosystem services such as carbon sequestration, water purification, and food provisioning.</w:t>
            </w:r>
          </w:p>
          <w:p w14:paraId="2B890292"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Heightened vulnerability of coastal and island regions.</w:t>
            </w:r>
          </w:p>
          <w:p w14:paraId="42346239"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p w14:paraId="0FC69632" w14:textId="6EA8ED9C"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tc>
      </w:tr>
      <w:tr w:rsidR="009702E1" w:rsidRPr="007A0876" w14:paraId="6E2D2FE2" w14:textId="77777777" w:rsidTr="0027426A">
        <w:trPr>
          <w:trHeight w:val="3051"/>
          <w:jc w:val="center"/>
        </w:trPr>
        <w:tc>
          <w:tcPr>
            <w:tcW w:w="3060" w:type="dxa"/>
            <w:hideMark/>
          </w:tcPr>
          <w:p w14:paraId="36D160C7" w14:textId="77777777" w:rsidR="009702E1" w:rsidRPr="007A0876" w:rsidRDefault="009702E1" w:rsidP="009702E1">
            <w:pPr>
              <w:jc w:val="both"/>
              <w:rPr>
                <w:rFonts w:ascii="Times New Roman" w:hAnsi="Times New Roman" w:cs="Times New Roman"/>
                <w:b/>
                <w:bCs/>
                <w:sz w:val="24"/>
                <w:szCs w:val="24"/>
              </w:rPr>
            </w:pPr>
            <w:r w:rsidRPr="007A0876">
              <w:rPr>
                <w:rFonts w:ascii="Times New Roman" w:hAnsi="Times New Roman" w:cs="Times New Roman"/>
                <w:b/>
                <w:bCs/>
                <w:sz w:val="24"/>
                <w:szCs w:val="24"/>
              </w:rPr>
              <w:lastRenderedPageBreak/>
              <w:t>Socioeconomic Consequences</w:t>
            </w:r>
          </w:p>
        </w:tc>
        <w:tc>
          <w:tcPr>
            <w:tcW w:w="3542" w:type="dxa"/>
            <w:hideMark/>
          </w:tcPr>
          <w:p w14:paraId="0151CD36"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Increased health risks: higher incidence of heat-related illnesses and the spread of vector-borne diseases (malaria, dengue, Lyme disease).</w:t>
            </w:r>
          </w:p>
          <w:p w14:paraId="3A3A51BB"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Food and water insecurity from disrupted agricultural productivity.</w:t>
            </w:r>
          </w:p>
          <w:p w14:paraId="6A5E46DA"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Damage to infrastructure (roads, power grids, buildings) due to extreme weather.</w:t>
            </w:r>
          </w:p>
          <w:p w14:paraId="197A9008" w14:textId="3DD10F48"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Exacerbated socio-economic inequities in vulnerable populations.</w:t>
            </w:r>
          </w:p>
        </w:tc>
        <w:tc>
          <w:tcPr>
            <w:tcW w:w="3568" w:type="dxa"/>
            <w:hideMark/>
          </w:tcPr>
          <w:p w14:paraId="581EA97D"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Elevated public health burdens and rising economic repair costs.</w:t>
            </w:r>
          </w:p>
          <w:p w14:paraId="2B5916A6"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Increased social disparities and challenges in resource allocation, particularly in low-income and marginalized communities.</w:t>
            </w:r>
          </w:p>
          <w:p w14:paraId="13C6A9E9"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p w14:paraId="0DF43F4D" w14:textId="47710DAF"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tc>
      </w:tr>
      <w:tr w:rsidR="009702E1" w:rsidRPr="007A0876" w14:paraId="4C07D1CE" w14:textId="77777777" w:rsidTr="0027426A">
        <w:trPr>
          <w:trHeight w:val="3289"/>
          <w:jc w:val="center"/>
        </w:trPr>
        <w:tc>
          <w:tcPr>
            <w:tcW w:w="3060" w:type="dxa"/>
            <w:hideMark/>
          </w:tcPr>
          <w:p w14:paraId="550B6AD8" w14:textId="77777777" w:rsidR="009702E1" w:rsidRPr="007A0876" w:rsidRDefault="009702E1" w:rsidP="009702E1">
            <w:pPr>
              <w:jc w:val="both"/>
              <w:rPr>
                <w:rFonts w:ascii="Times New Roman" w:hAnsi="Times New Roman" w:cs="Times New Roman"/>
                <w:b/>
                <w:bCs/>
                <w:sz w:val="24"/>
                <w:szCs w:val="24"/>
              </w:rPr>
            </w:pPr>
            <w:r w:rsidRPr="007A0876">
              <w:rPr>
                <w:rFonts w:ascii="Times New Roman" w:hAnsi="Times New Roman" w:cs="Times New Roman"/>
                <w:b/>
                <w:bCs/>
                <w:sz w:val="24"/>
                <w:szCs w:val="24"/>
              </w:rPr>
              <w:t>Extreme Weather Events</w:t>
            </w:r>
          </w:p>
        </w:tc>
        <w:tc>
          <w:tcPr>
            <w:tcW w:w="3542" w:type="dxa"/>
            <w:hideMark/>
          </w:tcPr>
          <w:p w14:paraId="718EEA9A"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Greater frequency, intensity, and duration of events such as hurricanes, cyclones, prolonged droughts, heat waves, and wildfires.</w:t>
            </w:r>
          </w:p>
          <w:p w14:paraId="12CB0225"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Case example: 2023 wildfires in Canada with significant carbon emissions and public health impacts.</w:t>
            </w:r>
          </w:p>
          <w:p w14:paraId="111E0402"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Disruption of food security and water supply due to erratic rainfall and drought.</w:t>
            </w:r>
          </w:p>
          <w:p w14:paraId="320EB643" w14:textId="478C8DE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Rising rates of forced displacement (e.g., &gt;20 million annually; with surges during crises).</w:t>
            </w:r>
          </w:p>
        </w:tc>
        <w:tc>
          <w:tcPr>
            <w:tcW w:w="3568" w:type="dxa"/>
            <w:hideMark/>
          </w:tcPr>
          <w:p w14:paraId="2163292A"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Strain on social systems, urban migration pressures, and heightened political instability and conflict risk.</w:t>
            </w:r>
          </w:p>
          <w:p w14:paraId="742F04ED"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Long-term challenges for infrastructure and sustainable development.</w:t>
            </w:r>
          </w:p>
          <w:p w14:paraId="4ADCDBAD"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p w14:paraId="7973015A" w14:textId="15E46520"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tc>
      </w:tr>
    </w:tbl>
    <w:p w14:paraId="5D00AA1F" w14:textId="77777777" w:rsidR="007B10EF" w:rsidRPr="007A0876" w:rsidRDefault="007B10EF" w:rsidP="007B10EF">
      <w:pPr>
        <w:spacing w:after="0" w:line="240" w:lineRule="auto"/>
        <w:jc w:val="both"/>
        <w:rPr>
          <w:rFonts w:ascii="Times New Roman" w:hAnsi="Times New Roman" w:cs="Times New Roman"/>
          <w:b/>
          <w:sz w:val="24"/>
          <w:szCs w:val="24"/>
        </w:rPr>
      </w:pPr>
    </w:p>
    <w:p w14:paraId="7D8B4AC3" w14:textId="5F29C809" w:rsidR="007B10EF" w:rsidRPr="007A0876" w:rsidRDefault="007B10EF" w:rsidP="007B10EF">
      <w:pPr>
        <w:spacing w:after="0" w:line="240" w:lineRule="auto"/>
        <w:jc w:val="both"/>
        <w:rPr>
          <w:rFonts w:ascii="Times New Roman" w:hAnsi="Times New Roman" w:cs="Times New Roman"/>
          <w:b/>
          <w:sz w:val="24"/>
          <w:szCs w:val="24"/>
        </w:rPr>
      </w:pPr>
      <w:r w:rsidRPr="007A0876">
        <w:rPr>
          <w:rFonts w:ascii="Times New Roman" w:hAnsi="Times New Roman" w:cs="Times New Roman"/>
          <w:b/>
          <w:sz w:val="24"/>
          <w:szCs w:val="24"/>
        </w:rPr>
        <w:t>4.2 Socioeconomic Consequences</w:t>
      </w:r>
    </w:p>
    <w:p w14:paraId="63C0236F" w14:textId="546AE71B"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Climate change has many health impacts and broad repercussions. Rising temperatures are associated with a higher rate of illness and mortality due to heat-related conditions, especially in older adults, children, and people with existing health conditions. Warmer weather also pushes the habitats of vector-borne diseases like malaria, dengue fever, and Lyme disease into previously unexposed regions. In addition, food and water insecurity driven by climate change can lead to malnutrition and worsening public health conditions.</w:t>
      </w:r>
    </w:p>
    <w:p w14:paraId="5D1C3842" w14:textId="63AA8037"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On an economic level, climate change threatens critical infrastructure, agriculture, and energy systems. More frequent and intense floods, storms, and heatwaves destroy roads, power grids, and buildings, raising repair costs and insurance claims. The agricultural sector is especially susceptible to changing precipitation patterns and extreme weather events that decrease crop resilience and livestock productivity</w:t>
      </w:r>
      <w:r w:rsidR="00CB7F04">
        <w:rPr>
          <w:rFonts w:ascii="Times New Roman" w:hAnsi="Times New Roman" w:cs="Times New Roman"/>
          <w:bCs/>
          <w:sz w:val="24"/>
          <w:szCs w:val="24"/>
        </w:rPr>
        <w:t xml:space="preserve"> </w:t>
      </w:r>
      <w:r w:rsidR="00CB7F04">
        <w:rPr>
          <w:rFonts w:ascii="Times New Roman" w:hAnsi="Times New Roman" w:cs="Times New Roman"/>
          <w:bCs/>
          <w:sz w:val="24"/>
          <w:szCs w:val="24"/>
        </w:rPr>
        <w:fldChar w:fldCharType="begin"/>
      </w:r>
      <w:r w:rsidR="00287E6A">
        <w:rPr>
          <w:rFonts w:ascii="Times New Roman" w:hAnsi="Times New Roman" w:cs="Times New Roman"/>
          <w:bCs/>
          <w:sz w:val="24"/>
          <w:szCs w:val="24"/>
        </w:rPr>
        <w:instrText xml:space="preserve"> ADDIN ZOTERO_ITEM CSL_CITATION {"citationID":"duLCLNpL","properties":{"formattedCitation":"(Md. E. Uddin et al., 2022)","plainCitation":"(Md. E. Uddin et al., 2022)","noteIndex":0},"citationItems":[{"id":1867,"uris":["http://zotero.org/users/local/OSBVH90z/items/I93LUXP6"],"itemData":{"id":1867,"type":"article-journal","container-title":"GeoJournal","DOI":"10.1007/s10708-020-10218-z","ISSN":"0343-2521, 1572-9893","issue":"1","journalAbbreviation":"GeoJournal","language":"en","page":"111-130","source":"DOI.org (Crossref)","title":"Effect of voluntary cooperativisation on livelihood capital of smallholder dairy farmers in the southwest of Bangladesh","volume":"87","author":[{"family":"Uddin","given":"Md. Ektear"},{"family":"Pervez","given":"A. K. M. Kanak"},{"family":"Gao","given":"Qijie"}],"issued":{"date-parts":[["2022",2]]}}}],"schema":"https://github.com/citation-style-language/schema/raw/master/csl-citation.json"}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(Md. E. Uddin et al., 2022)</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 This can create volatility in food prices and exacerbate the risk of famine, especially in regions where hunger is already a significant issue.</w:t>
      </w:r>
    </w:p>
    <w:p w14:paraId="1EA71B23" w14:textId="77777777"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lastRenderedPageBreak/>
        <w:t>Climate impacts disproportionately affect vulnerable populations and regions, including low-lying islands, coastal communities, and developing nations. These groups often have limited financial resources, institutional capacity, and infrastructure to support effective adaptation. Climate change deepens socio-economic divides, driving tough trade-offs between development priorities and climate resilience.</w:t>
      </w:r>
    </w:p>
    <w:p w14:paraId="1818DD60" w14:textId="77777777" w:rsidR="007B10EF" w:rsidRPr="007A0876" w:rsidRDefault="007B10EF" w:rsidP="007B10EF">
      <w:pPr>
        <w:spacing w:after="0" w:line="240" w:lineRule="auto"/>
        <w:jc w:val="both"/>
        <w:rPr>
          <w:rFonts w:ascii="Times New Roman" w:hAnsi="Times New Roman" w:cs="Times New Roman"/>
          <w:b/>
          <w:sz w:val="24"/>
          <w:szCs w:val="24"/>
        </w:rPr>
      </w:pPr>
    </w:p>
    <w:p w14:paraId="0BC8DB6B" w14:textId="2182202B" w:rsidR="007B10EF" w:rsidRPr="007A0876" w:rsidRDefault="007B10EF" w:rsidP="007B10EF">
      <w:pPr>
        <w:spacing w:after="0" w:line="240" w:lineRule="auto"/>
        <w:jc w:val="both"/>
        <w:rPr>
          <w:rFonts w:ascii="Times New Roman" w:hAnsi="Times New Roman" w:cs="Times New Roman"/>
          <w:b/>
          <w:sz w:val="24"/>
          <w:szCs w:val="24"/>
        </w:rPr>
      </w:pPr>
      <w:r w:rsidRPr="007A0876">
        <w:rPr>
          <w:rFonts w:ascii="Times New Roman" w:hAnsi="Times New Roman" w:cs="Times New Roman"/>
          <w:b/>
          <w:sz w:val="24"/>
          <w:szCs w:val="24"/>
        </w:rPr>
        <w:t>4.3 Extreme Weather Events</w:t>
      </w:r>
    </w:p>
    <w:p w14:paraId="29E92F15" w14:textId="07E5EB0D"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One of the most prominent hallmarks of a warming climate is the growing frequency, intensity, and duration of extreme weather events. Scientific evidence connects climate change with more intense hurricanes, cyclones, prolonged drought, </w:t>
      </w:r>
      <w:r w:rsidR="003B13C0" w:rsidRPr="007A0876">
        <w:rPr>
          <w:rFonts w:ascii="Times New Roman" w:hAnsi="Times New Roman" w:cs="Times New Roman"/>
          <w:bCs/>
          <w:sz w:val="24"/>
          <w:szCs w:val="24"/>
        </w:rPr>
        <w:t>heat waves</w:t>
      </w:r>
      <w:r w:rsidRPr="007A0876">
        <w:rPr>
          <w:rFonts w:ascii="Times New Roman" w:hAnsi="Times New Roman" w:cs="Times New Roman"/>
          <w:bCs/>
          <w:sz w:val="24"/>
          <w:szCs w:val="24"/>
        </w:rPr>
        <w:t xml:space="preserve">, and wildfires. These events led to mass property destruction, mass death, and massive disruption to the economy. For example, the 2023 wildfires in Canada resulted in unprecedented amounts of carbon emissions and burdened public health systems throughout North America </w:t>
      </w:r>
      <w:r w:rsidR="00CB7F04">
        <w:rPr>
          <w:rFonts w:ascii="Times New Roman" w:hAnsi="Times New Roman" w:cs="Times New Roman"/>
          <w:bCs/>
          <w:sz w:val="24"/>
          <w:szCs w:val="24"/>
        </w:rPr>
        <w:fldChar w:fldCharType="begin"/>
      </w:r>
      <w:r w:rsidR="00544AEC">
        <w:rPr>
          <w:rFonts w:ascii="Times New Roman" w:hAnsi="Times New Roman" w:cs="Times New Roman"/>
          <w:bCs/>
          <w:sz w:val="24"/>
          <w:szCs w:val="24"/>
        </w:rPr>
        <w:instrText xml:space="preserve"> ADDIN ZOTERO_ITEM CSL_CITATION {"citationID":"6LFffXsK","properties":{"formattedCitation":"(Grigorieva, 2024)","plainCitation":"(Grigorieva, 2024)","noteIndex":0},"citationItems":[{"id":1868,"uris":["http://zotero.org/users/local/OSBVH90z/items/V35APAJB"],"itemData":{"id":1868,"type":"article-journal","abstract":"Over recent decades, the Arctic has begun facing a range of climate-related challenges, from rising temperatures to melting ice caps and permafrost thaw, with significant implications for ecosystems and human well-being. Addressing the health impacts of these issues requires a comprehensive approach, integrating scientific research, community engagement, and policy interventions. This study conducts a literature review to assess the effects of climate change on human health in northern latitudes and to compile adaptation strategies from the Arctic countries. A literature search was performed between January and April 2024 for papers published after 2000, using the electronic databases Web of Science, Pubmed, Science Direct, Scopus, Google Scholar, and eLibrary.RU, with specific questions formulated to direct the search: (i) What are the climate changes? (ii) How does climate change affect human health? (iii) What adaptation measures and policies are required? The key phrases “climate change”, “human health”, “adaptation practices”, and “Arctic” were employed for searching. Ultimately, 56 relevant studies were identified, reviewing health risks such as infectious diseases, mental health issues, and diseases connected with extreme weather events; wildfires and their associated pollution; permafrost degradation; pure water; and food quality. The paper also examines mitigation and adaptation strategies at all levels of governance, emphasizing the need for international cooperation and policy action to combat negative health outcomes, investments in healthcare infrastructure, emergency preparedness, and public health education. Incorporating diverse perspectives, including Indigenous knowledge, Community-Based Adaptation, EcoHealth and One Health approaches, is crucial for effectively addressing the health risks associated with climate change. In conclusion, the paper proposes adaptation strategies to mitigate the health impacts of climate change in the Arctic.","container-title":"Climate","DOI":"10.3390/cli12070089","ISSN":"2225-1154","issue":"7","journalAbbreviation":"Climate","language":"en","license":"https://creativecommons.org/licenses/by/4.0/","page":"89","source":"DOI.org (Crossref)","title":"Climate Change and Human Health in the Arctic: A Review","title-short":"Climate Change and Human Health in the Arctic","volume":"12","author":[{"family":"Grigorieva","given":"Elena A."}],"issued":{"date-parts":[["2024",6,22]]}}}],"schema":"https://github.com/citation-style-language/schema/raw/master/csl-citation.json"}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(Grigorieva, 2024)</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w:t>
      </w:r>
    </w:p>
    <w:p w14:paraId="71BFF086" w14:textId="02FE5E13"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Such extreme events ripple through global food security, disrupting planting and harvesting cycles, damaging crops</w:t>
      </w:r>
      <w:r w:rsidR="003B13C0" w:rsidRPr="007A0876">
        <w:rPr>
          <w:rFonts w:ascii="Times New Roman" w:hAnsi="Times New Roman" w:cs="Times New Roman"/>
          <w:bCs/>
          <w:sz w:val="24"/>
          <w:szCs w:val="24"/>
        </w:rPr>
        <w:t>,</w:t>
      </w:r>
      <w:r w:rsidRPr="007A0876">
        <w:rPr>
          <w:rFonts w:ascii="Times New Roman" w:hAnsi="Times New Roman" w:cs="Times New Roman"/>
          <w:bCs/>
          <w:sz w:val="24"/>
          <w:szCs w:val="24"/>
        </w:rPr>
        <w:t xml:space="preserve"> and draining water supplies. In much of the world, droughts and erratic rainfall are curbing agricultural production, putting the livelihoods of millions of smallholder farmers at risk</w:t>
      </w:r>
      <w:r w:rsidR="00287E6A">
        <w:rPr>
          <w:rFonts w:ascii="Times New Roman" w:hAnsi="Times New Roman" w:cs="Times New Roman"/>
          <w:bCs/>
          <w:sz w:val="24"/>
          <w:szCs w:val="24"/>
        </w:rPr>
        <w:t xml:space="preserve"> </w:t>
      </w:r>
      <w:r w:rsidR="00287E6A">
        <w:rPr>
          <w:rFonts w:ascii="Times New Roman" w:hAnsi="Times New Roman" w:cs="Times New Roman"/>
          <w:bCs/>
          <w:sz w:val="24"/>
          <w:szCs w:val="24"/>
        </w:rPr>
        <w:fldChar w:fldCharType="begin"/>
      </w:r>
      <w:r w:rsidR="00287E6A">
        <w:rPr>
          <w:rFonts w:ascii="Times New Roman" w:hAnsi="Times New Roman" w:cs="Times New Roman"/>
          <w:bCs/>
          <w:sz w:val="24"/>
          <w:szCs w:val="24"/>
        </w:rPr>
        <w:instrText xml:space="preserve"> ADDIN ZOTERO_ITEM CSL_CITATION {"citationID":"swAcBxJ4","properties":{"formattedCitation":"(Mahedi et al., 2024)","plainCitation":"(Mahedi et al., 2024)","noteIndex":0},"citationItems":[{"id":2011,"uris":["http://zotero.org/users/local/OSBVH90z/items/B8YRMMEP"],"itemData":{"id":2011,"type":"article-journal","abstract":"This paper reviews the many aspects of livelihood diversification in rural Bangladesh, particularly emphasizing its causes, consequences, and policy implications. Because natural catastrophes, economic shocks, and restricted possibilities are commonplace in rural Bangladesh, diversifying one’s income stream is crucial to fostering resilience and lowering poverty. Secondary sources like academic journals, government documents, online repositories, foreign reports, and local case studies were used to inform and corroborate the recommended integrated farming approaches. The study looks at the theoretical underpinnings, relevance, and conceptual framework of livelihood diversification in Bangladesh. It also evaluates the impact of various methods on social capital, food security, and stable income. It highlights how diversification may disperse risk and provide new revenue streams to boost rural resilience. This research adds to the current conversation on rural development and poverty reduction by analyzing the dynamics of livelihood diversification in Bangladesh. The findings will be helpful to development experts and policymakers who want to help rural families achieve resilient and sustainable livelihoods in Bangladesh and also to find out the research gap in this area.","source":"ResearchGate","title":"Livelihood Diversification as a Reduce to Rural Vulnerability in Bangladesh: A Review","title-short":"Livelihood Diversification as a Reduce to Rural Vulnerability in Bangladesh","author":[{"family":"Mahedi","given":"Md"},{"family":"Shaili","given":"Shabrin Jahan"},{"family":"Shihab","given":"Arafatur"}],"issued":{"date-parts":[["2024",9,11]]}}}],"schema":"https://github.com/citation-style-language/schema/raw/master/csl-citation.json"} </w:instrText>
      </w:r>
      <w:r w:rsidR="00287E6A">
        <w:rPr>
          <w:rFonts w:ascii="Times New Roman" w:hAnsi="Times New Roman" w:cs="Times New Roman"/>
          <w:bCs/>
          <w:sz w:val="24"/>
          <w:szCs w:val="24"/>
        </w:rPr>
        <w:fldChar w:fldCharType="separate"/>
      </w:r>
      <w:r w:rsidR="009D5529" w:rsidRPr="009D5529">
        <w:rPr>
          <w:rFonts w:ascii="Times New Roman" w:hAnsi="Times New Roman" w:cs="Times New Roman"/>
          <w:sz w:val="24"/>
        </w:rPr>
        <w:t>(Mahedi et al., 2024)</w:t>
      </w:r>
      <w:r w:rsidR="00287E6A">
        <w:rPr>
          <w:rFonts w:ascii="Times New Roman" w:hAnsi="Times New Roman" w:cs="Times New Roman"/>
          <w:bCs/>
          <w:sz w:val="24"/>
          <w:szCs w:val="24"/>
        </w:rPr>
        <w:fldChar w:fldCharType="end"/>
      </w:r>
      <w:r w:rsidRPr="007A0876">
        <w:rPr>
          <w:rFonts w:ascii="Times New Roman" w:hAnsi="Times New Roman" w:cs="Times New Roman"/>
          <w:bCs/>
          <w:sz w:val="24"/>
          <w:szCs w:val="24"/>
        </w:rPr>
        <w:t>. Drying out – In arid parts of the world already suffering from scarce water, changing hydrologic patterns heighten the risk of reduced water availability for drinking, sanitation, and irrigation.</w:t>
      </w:r>
    </w:p>
    <w:p w14:paraId="7CCB1B2E" w14:textId="23F808AC" w:rsidR="00664096"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Moreover, migration, forced displacement, climate-induced disasters</w:t>
      </w:r>
      <w:r w:rsidR="007A067E" w:rsidRPr="007A0876">
        <w:rPr>
          <w:rFonts w:ascii="Times New Roman" w:hAnsi="Times New Roman" w:cs="Times New Roman"/>
          <w:bCs/>
          <w:sz w:val="24"/>
          <w:szCs w:val="24"/>
        </w:rPr>
        <w:t>,</w:t>
      </w:r>
      <w:r w:rsidRPr="007A0876">
        <w:rPr>
          <w:rFonts w:ascii="Times New Roman" w:hAnsi="Times New Roman" w:cs="Times New Roman"/>
          <w:bCs/>
          <w:sz w:val="24"/>
          <w:szCs w:val="24"/>
        </w:rPr>
        <w:t xml:space="preserve"> and resource scarcity are taking off. Over 20 million individuals are displaced annually due to weather-related disasters</w:t>
      </w:r>
      <w:r w:rsidR="00CB7F04">
        <w:rPr>
          <w:rFonts w:ascii="Times New Roman" w:hAnsi="Times New Roman" w:cs="Times New Roman"/>
          <w:bCs/>
          <w:sz w:val="24"/>
          <w:szCs w:val="24"/>
        </w:rPr>
        <w:t xml:space="preserve"> </w:t>
      </w:r>
      <w:r w:rsidR="00CB7F04">
        <w:rPr>
          <w:rFonts w:ascii="Times New Roman" w:hAnsi="Times New Roman" w:cs="Times New Roman"/>
          <w:bCs/>
          <w:sz w:val="24"/>
          <w:szCs w:val="24"/>
        </w:rPr>
        <w:fldChar w:fldCharType="begin"/>
      </w:r>
      <w:r w:rsidR="00544AEC">
        <w:rPr>
          <w:rFonts w:ascii="Times New Roman" w:hAnsi="Times New Roman" w:cs="Times New Roman"/>
          <w:bCs/>
          <w:sz w:val="24"/>
          <w:szCs w:val="24"/>
        </w:rPr>
        <w:instrText xml:space="preserve"> ADDIN ZOTERO_ITEM CSL_CITATION {"citationID":"TqZRg9Jn","properties":{"formattedCitation":"(Mao et al., 2024)","plainCitation":"(Mao et al., 2024)","noteIndex":0},"citationItems":[{"id":1870,"uris":["http://zotero.org/users/local/OSBVH90z/items/4ZFKLGEK"],"itemData":{"id":1870,"type":"article-journal","abstract":"Background: Since March 2023, hundreds of fires have burned from coast to coast throughout the country, placing Canada on track to have the worst wildfire season ever recorded. From East to West, provinces such as Quebec, Ontario, Nova Scotia, Alberta, and British Columbia have been particularly affected by large and uncontrollable wildfires. Objectives: The objective of this study was to determine the prevalence of depression symptoms and predictors among residents living in extreme climate conditions during the Canadian wildfires of 2023 in Alberta and Nova Scotia and to update the literature with data related to those wildfires. Methods: A cross-sectional quantitative survey was conducted in this study. REDCap was used to administer an online survey between 14 May and 23 June 2023. Through the Text4Hope program, participants subscribe to receive supportive SMS messages daily. As part of the initial welcome message, participants were invited to complete an online questionnaire, containing demographic information, wildfire-related information, and responses to the Patient Health Questionnaire-9 (PHQ-9) for depression assessment. SPSS version 25 was used to analyze the data. Descriptive, univariate, and multivariate regression analyses were employed. Results: A total of 298 respondents completed the survey out of 1802 who self-subscribed to the Text4Hope program in Alberta and Nova Scotia and received a link to the online survey, producing a response rate of 16.54%. Most of the respondents were females (85.2%, 253), below 40 years of age (28.3%, 84), employed (63.6%, 189), and in a relationship (56.4%, 167). A historical depression diagnosis (OR = 3.15; 95% CI: 1.39–7.14) was a significant predictor of moderate to severe MDD in our study. The unemployed individuals were two times more likely to report moderate to severe symptoms of MDD than employed individuals (OR = 2.46; 95% CI: 1.06–5.67). Among the total sample population, the moderate to severe MDD prevalence was 50.4%, whereas it was 56.1% among those living in areas affected by wildfires. Conclusion: Based on our study findings, unemployment and a history of depression diagnosis were independently significant risk factors associated with the developing moderate to severe MDD symptoms during wildfire disasters. Further research is required to identify robust predictors of mental health disorders in disaster survivors and provide appropriate interventions to the most vulnerable communities and individuals.","container-title":"Behavioral Sciences","DOI":"10.3390/bs14030209","ISSN":"2076-328X","issue":"3","journalAbbreviation":"Behavioral Sciences","language":"en","license":"https://creativecommons.org/licenses/by/4.0/","page":"209","source":"DOI.org (Crossref)","title":"Devastating Wildfires and Mental Health: Major Depressive Disorder Prevalence and Associated Factors among Residents in Alberta and Nova Scotia, Canada","title-short":"Devastating Wildfires and Mental Health","volume":"14","author":[{"family":"Mao","given":"Wanying"},{"family":"Shalaby","given":"Reham"},{"family":"Agyapong","given":"Belinda"},{"family":"Obuobi-Donkor","given":"Gloria"},{"family":"Da Luz Dias","given":"Raquel"},{"family":"Agyapong","given":"Vincent I. O."}],"issued":{"date-parts":[["2024",3,5]]}}}],"schema":"https://github.com/citation-style-language/schema/raw/master/csl-citation.json"}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(Mao et al., 2024)</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 This figure could significantly increase as climate impacts amplify, and that was the case in 2023, with an estimated 24 million people displaced in the first weeks of the war. It adds to urban migration pressures, strains infrastructure and social systems, and risks fueling political instability and conflict in vulnerable areas.</w:t>
      </w:r>
      <w:r w:rsidR="00FB52EF" w:rsidRPr="007A0876">
        <w:rPr>
          <w:rFonts w:ascii="Times New Roman" w:hAnsi="Times New Roman" w:cs="Times New Roman"/>
          <w:bCs/>
          <w:sz w:val="24"/>
          <w:szCs w:val="24"/>
        </w:rPr>
        <w:t xml:space="preserve"> </w:t>
      </w:r>
    </w:p>
    <w:p w14:paraId="14B28527" w14:textId="77777777" w:rsidR="00CD53B6" w:rsidRPr="007A0876" w:rsidRDefault="00CD53B6" w:rsidP="009346B0">
      <w:pPr>
        <w:spacing w:after="0" w:line="240" w:lineRule="auto"/>
        <w:jc w:val="both"/>
        <w:rPr>
          <w:rFonts w:ascii="Times New Roman" w:hAnsi="Times New Roman" w:cs="Times New Roman"/>
          <w:b/>
          <w:bCs/>
          <w:sz w:val="24"/>
          <w:szCs w:val="24"/>
        </w:rPr>
      </w:pPr>
    </w:p>
    <w:p w14:paraId="73E319F0" w14:textId="16D5DF06" w:rsidR="009702E1" w:rsidRPr="007A0876" w:rsidRDefault="009702E1" w:rsidP="009702E1">
      <w:pPr>
        <w:spacing w:after="0" w:line="240" w:lineRule="auto"/>
        <w:jc w:val="center"/>
        <w:rPr>
          <w:rFonts w:ascii="Times New Roman" w:hAnsi="Times New Roman" w:cs="Times New Roman"/>
          <w:b/>
          <w:bCs/>
          <w:sz w:val="24"/>
          <w:szCs w:val="24"/>
        </w:rPr>
      </w:pPr>
      <w:r w:rsidRPr="007A0876">
        <w:rPr>
          <w:rFonts w:ascii="Times New Roman" w:hAnsi="Times New Roman" w:cs="Times New Roman"/>
          <w:b/>
          <w:bCs/>
          <w:noProof/>
          <w:sz w:val="24"/>
          <w:szCs w:val="24"/>
        </w:rPr>
        <w:lastRenderedPageBreak/>
        <w:drawing>
          <wp:inline distT="0" distB="0" distL="0" distR="0" wp14:anchorId="6638DC5E" wp14:editId="3B0BAE67">
            <wp:extent cx="6353175" cy="4343400"/>
            <wp:effectExtent l="19050" t="19050" r="28575" b="19050"/>
            <wp:docPr id="979449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68" t="4267" r="1763" b="7470"/>
                    <a:stretch/>
                  </pic:blipFill>
                  <pic:spPr bwMode="auto">
                    <a:xfrm>
                      <a:off x="0" y="0"/>
                      <a:ext cx="6356845" cy="434590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A6074BA" w14:textId="097D988E" w:rsidR="009702E1" w:rsidRPr="007A0876" w:rsidRDefault="009702E1" w:rsidP="00A61760">
      <w:pPr>
        <w:spacing w:after="0" w:line="240" w:lineRule="auto"/>
        <w:jc w:val="center"/>
        <w:rPr>
          <w:rFonts w:ascii="Times New Roman" w:hAnsi="Times New Roman" w:cs="Times New Roman"/>
          <w:sz w:val="24"/>
          <w:szCs w:val="24"/>
        </w:rPr>
      </w:pPr>
      <w:r w:rsidRPr="007A0876">
        <w:rPr>
          <w:rFonts w:ascii="Times New Roman" w:hAnsi="Times New Roman" w:cs="Times New Roman"/>
          <w:b/>
          <w:bCs/>
          <w:sz w:val="24"/>
          <w:szCs w:val="24"/>
        </w:rPr>
        <w:t>Figure 2.</w:t>
      </w:r>
      <w:r w:rsidR="00A61760" w:rsidRPr="007A0876">
        <w:rPr>
          <w:rFonts w:ascii="Times New Roman" w:hAnsi="Times New Roman" w:cs="Times New Roman"/>
          <w:b/>
          <w:bCs/>
          <w:sz w:val="24"/>
          <w:szCs w:val="24"/>
        </w:rPr>
        <w:t xml:space="preserve"> </w:t>
      </w:r>
      <w:r w:rsidR="00A61760" w:rsidRPr="007A0876">
        <w:rPr>
          <w:rFonts w:ascii="Times New Roman" w:hAnsi="Times New Roman" w:cs="Times New Roman"/>
          <w:sz w:val="24"/>
          <w:szCs w:val="24"/>
        </w:rPr>
        <w:t xml:space="preserve">Framework of Climate Change Impacts </w:t>
      </w:r>
    </w:p>
    <w:p w14:paraId="39DD866A" w14:textId="77777777" w:rsidR="00A61760" w:rsidRDefault="00A61760" w:rsidP="00A61760">
      <w:pPr>
        <w:spacing w:after="0" w:line="240" w:lineRule="auto"/>
        <w:jc w:val="center"/>
        <w:rPr>
          <w:rFonts w:ascii="Times New Roman" w:hAnsi="Times New Roman" w:cs="Times New Roman"/>
          <w:b/>
          <w:bCs/>
          <w:sz w:val="28"/>
          <w:szCs w:val="28"/>
        </w:rPr>
      </w:pPr>
    </w:p>
    <w:p w14:paraId="18F9C0C3" w14:textId="6C725CD6" w:rsidR="00862C2D" w:rsidRDefault="00424842"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5.</w:t>
      </w:r>
      <w:r w:rsidR="008D5D58" w:rsidRP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137569" w:rsidRPr="00137569">
        <w:rPr>
          <w:rFonts w:ascii="Times New Roman" w:hAnsi="Times New Roman" w:cs="Times New Roman"/>
          <w:b/>
          <w:bCs/>
          <w:sz w:val="28"/>
          <w:szCs w:val="28"/>
        </w:rPr>
        <w:t>Global Strategies for Mitigation</w:t>
      </w:r>
    </w:p>
    <w:p w14:paraId="631B9E36" w14:textId="77777777" w:rsidR="00116A5D" w:rsidRDefault="00116A5D" w:rsidP="009346B0">
      <w:pPr>
        <w:spacing w:after="0" w:line="240" w:lineRule="auto"/>
        <w:jc w:val="both"/>
        <w:rPr>
          <w:rFonts w:ascii="Times New Roman" w:hAnsi="Times New Roman" w:cs="Times New Roman"/>
          <w:b/>
          <w:bCs/>
          <w:sz w:val="28"/>
          <w:szCs w:val="28"/>
        </w:rPr>
      </w:pPr>
    </w:p>
    <w:p w14:paraId="3EE9AEA1" w14:textId="29F8B671" w:rsidR="00F66308" w:rsidRPr="007A0876" w:rsidRDefault="00F66308"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The world has risked some stakes in combating climate change, so </w:t>
      </w:r>
      <w:r w:rsidR="00A61760" w:rsidRPr="007A0876">
        <w:rPr>
          <w:rFonts w:ascii="Times New Roman" w:hAnsi="Times New Roman" w:cs="Times New Roman"/>
          <w:sz w:val="24"/>
          <w:szCs w:val="24"/>
        </w:rPr>
        <w:t>reducing</w:t>
      </w:r>
      <w:r w:rsidRPr="007A0876">
        <w:rPr>
          <w:rFonts w:ascii="Times New Roman" w:hAnsi="Times New Roman" w:cs="Times New Roman"/>
          <w:sz w:val="24"/>
          <w:szCs w:val="24"/>
        </w:rPr>
        <w:t xml:space="preserve"> climate change is an element of the global contributions model focused on mitigation. These measures attempt to mitigate and/or prevent the release of GHGs to see how much warming will be experienced in the future. Given the enormity, urgency, and complexity of the climate crisis, mitigation represents an integrated and diverse approach to a confluence of challenges whose deployment will require international cooperation, technological innovation, and robust policy architectures. These strategies are key to lowering global emissions and establishing sustainable development pathways aligned with intergenerational equity and climate justice.</w:t>
      </w:r>
    </w:p>
    <w:p w14:paraId="413487B2" w14:textId="12C8FB6C"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Signed in 2015 under the United Nations Framework Convention on Climate Change (UNFCCC) umbrella, the Paris Agreement is the foundation of global mitigation efforts</w:t>
      </w:r>
      <w:r w:rsidR="00C70CCB">
        <w:rPr>
          <w:rFonts w:ascii="Times New Roman" w:hAnsi="Times New Roman" w:cs="Times New Roman"/>
          <w:sz w:val="24"/>
          <w:szCs w:val="24"/>
        </w:rPr>
        <w:t xml:space="preserve"> </w:t>
      </w:r>
      <w:r w:rsidR="00C70CCB">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{"citationID":"A7wx6FgJ","properties":{"formattedCitation":"(Nhamo &amp; Nhamo, 2016)","plainCitation":"(Nhamo &amp; Nhamo, 2016)","noteIndex":0},"citationItems":[{"id":1872,"uris":["http://zotero.org/users/local/OSBVH90z/items/RNLT6IGS"],"itemData":{"id":1872,"type":"article-journal","container-title":"South African Journal of International Affairs","DOI":"10.1080/10220461.2016.1252281","ISSN":"1022-0461, 1938-0275","issue":"3","journalAbbreviation":"South African Journal of International Affairs","language":"en","page":"323-346","source":"DOI.org (Crossref)","title":"One global deal from Paris 2015: Convergence and contestations on the future climate mitigation agenda","title-short":"One global deal from Paris 2015","volume":"23","author":[{"family":"Nhamo","given":"Godwell"},{"family":"Nhamo","given":"Senia"}],"issued":{"date-parts":[["2016",7,2]]}}}],"schema":"https://github.com/citation-style-language/schema/raw/master/csl-citation.json"} </w:instrText>
      </w:r>
      <w:r w:rsidR="00C70CCB">
        <w:rPr>
          <w:rFonts w:ascii="Times New Roman" w:hAnsi="Times New Roman" w:cs="Times New Roman"/>
          <w:sz w:val="24"/>
          <w:szCs w:val="24"/>
        </w:rPr>
        <w:fldChar w:fldCharType="separate"/>
      </w:r>
      <w:r w:rsidR="009D5529" w:rsidRPr="009D5529">
        <w:rPr>
          <w:rFonts w:ascii="Times New Roman" w:hAnsi="Times New Roman" w:cs="Times New Roman"/>
          <w:sz w:val="24"/>
        </w:rPr>
        <w:t>(Nhamo &amp; Nhamo, 2016)</w:t>
      </w:r>
      <w:r w:rsidR="00C70CCB">
        <w:rPr>
          <w:rFonts w:ascii="Times New Roman" w:hAnsi="Times New Roman" w:cs="Times New Roman"/>
          <w:sz w:val="24"/>
          <w:szCs w:val="24"/>
        </w:rPr>
        <w:fldChar w:fldCharType="end"/>
      </w:r>
      <w:r w:rsidRPr="007A0876">
        <w:rPr>
          <w:rFonts w:ascii="Times New Roman" w:hAnsi="Times New Roman" w:cs="Times New Roman"/>
          <w:sz w:val="24"/>
          <w:szCs w:val="24"/>
        </w:rPr>
        <w:t>. This legally binding international treaty was agreed to in Paris in 2015, aiming to limit global warming to well below 2ºC, with efforts to limit the increase to 1.5ºC above pre-industrial levels. Countries that are parties to the Paris Agreement submit their Nationally Determined Contributions (NDCs), detailing their specific mitigation targets and planned actions. These reference NDCs are updated every five years, creating a "ratchet mechanism" that incentivizes increasingly ambitious climate action over time.</w:t>
      </w:r>
    </w:p>
    <w:p w14:paraId="1746910E" w14:textId="3C8A5660"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lastRenderedPageBreak/>
        <w:t xml:space="preserve">The UNFCCC, created in 1992, is the leading international forum for coordinating global climate action. They aim to promote the annual Conferences of the Parties (COP) to negotiate the most important tools of policy-making, monitoring progress, and strengthening cooperation in technology and financial matters. The Kyoto Protocol (1997), which was intended as a precursor to the Paris Agreement, established binding emission reduction targets for developed countries but has since been superseded due to its limited global coverage. The Global Stock Take is an essential mechanism of the Paris Agreement that evaluates collective achievements with long-term climate objectives and helps shape future national plans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{"citationID":"96GzKvJk","properties":{"formattedCitation":"(Doukas et al., 2018)","plainCitation":"(Doukas et al., 2018)","noteIndex":0},"citationItems":[{"id":1873,"uris":["http://zotero.org/users/local/OSBVH90z/items/NY6SCGI6"],"itemData":{"id":1873,"type":"article-journal","abstract":"In pursuit of the drastic transformations necessary for effectively responding to climate change, the Paris Agreement stresses the need to design and implement sustainable, robust, and socially acceptable policy pathways in a globally coordinated and cooperative manner. For decades, the scientific community has been carrying out quantitative modelling exercises in support of climate policy design, primarily by means of energy systems and integrated assessment modelling frameworks. Here, we describe in detail the context of a hitherto ineffective scientific contribution to policymaking, highlight the available means to formulate a new paradigm that overcomes existing and emerging challenges, and ultimately call for change. In particular, we argue that individual modelling exercises alone widen the gap between formal representation and real-life context in which decisions are taken, and investigate major criticisms to which formalised modelling frameworks are subject. We essentially highlight the importance of employing diverse modelling ensembles, placing the human factor at the core of all modelling processes, and enhancing the robustness of model-driven policy prescriptions through decision support systems. These altogether compose a truly integrative approach to supporting the design of effective climate policy and sustainable transitions and, therefore, strengthen the modelling–policymaking interface.","container-title":"Sustainability","DOI":"10.3390/su10072299","ISSN":"2071-1050","issue":"7","journalAbbreviation":"Sustainability","language":"en","license":"https://creativecommons.org/licenses/by/4.0/","page":"2299","source":"DOI.org (Crossref)","title":"From Integrated to Integrative: Delivering on the Paris Agreement","title-short":"From Integrated to Integrative","volume":"10","author":[{"family":"Doukas","given":"Haris"},{"family":"Nikas","given":"Alexandros"},{"family":"González-Eguino","given":"Mikel"},{"family":"Arto","given":"Iñaki"},{"family":"Anger-Kraavi","given":"Annela"}],"issued":{"date-parts":[["2018",7,3]]}}}],"schema":"https://github.com/citation-style-language/schema/raw/master/csl-citation.json"} </w:instrText>
      </w:r>
      <w:r w:rsidR="0057216C">
        <w:rPr>
          <w:rFonts w:ascii="Times New Roman" w:hAnsi="Times New Roman" w:cs="Times New Roman"/>
          <w:sz w:val="24"/>
          <w:szCs w:val="24"/>
        </w:rPr>
        <w:fldChar w:fldCharType="separate"/>
      </w:r>
      <w:r w:rsidR="00331E5F" w:rsidRPr="009D5529">
        <w:rPr>
          <w:rFonts w:ascii="Times New Roman" w:hAnsi="Times New Roman" w:cs="Times New Roman"/>
          <w:sz w:val="24"/>
        </w:rPr>
        <w:t>(Doukas et al., 2018)</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51C3F9E7" w14:textId="4A9F9351"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Notwithstanding these frameworks, the gap between current pledges and the emissions trajectories required for the 1.5°C target remains large. The 2023 UN Emissions Gap Report indicates that the world is headed toward a temperature increase of about </w:t>
      </w:r>
      <w:r w:rsidR="0057216C">
        <w:rPr>
          <w:rFonts w:ascii="Times New Roman" w:hAnsi="Times New Roman" w:cs="Times New Roman"/>
          <w:sz w:val="24"/>
          <w:szCs w:val="24"/>
        </w:rPr>
        <w:t>2.5°C</w:t>
      </w:r>
      <w:r w:rsidRPr="007A0876">
        <w:rPr>
          <w:rFonts w:ascii="Times New Roman" w:hAnsi="Times New Roman" w:cs="Times New Roman"/>
          <w:sz w:val="24"/>
          <w:szCs w:val="24"/>
        </w:rPr>
        <w:t xml:space="preserve"> to </w:t>
      </w:r>
      <w:r w:rsidR="0057216C">
        <w:rPr>
          <w:rFonts w:ascii="Times New Roman" w:hAnsi="Times New Roman" w:cs="Times New Roman"/>
          <w:sz w:val="24"/>
          <w:szCs w:val="24"/>
        </w:rPr>
        <w:t>2.9°C</w:t>
      </w:r>
      <w:r w:rsidRPr="007A0876">
        <w:rPr>
          <w:rFonts w:ascii="Times New Roman" w:hAnsi="Times New Roman" w:cs="Times New Roman"/>
          <w:sz w:val="24"/>
          <w:szCs w:val="24"/>
        </w:rPr>
        <w:t xml:space="preserve"> by the end of the century unless immediate and deep reductions in emissions occur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{"citationID":"04bBcSHk","properties":{"formattedCitation":"(Ure, 2024)","plainCitation":"(Ure, 2024)","noteIndex":0},"citationItems":[{"id":1875,"uris":["http://zotero.org/users/local/OSBVH90z/items/BF63KGDA"],"itemData":{"id":1875,"type":"chapter","container-title":"Achieving the United Nations Sustainable Development Goals: Late or Too Late?","ISBN":"978-1-83549-407-3","license":"https://www.emerald.com/insight/site-policies","note":"DOI: 10.1108/978-1-83549-404-220241003","page":"61-114","publisher":"Emerald Publishing Limited","source":"DOI.org (Crossref)","title":"Climate Change and the Environment (SDGs 13, 6, 7, 11, 14, 15)","URL":"https://www.emerald.com/insight/content/doi/10.1108/978-1-83549-404-220241003/full/html","container-author":[{"family":"Ure","given":"John"}],"author":[{"family":"Ure","given":"John"}],"accessed":{"date-parts":[["2025",4,8]]},"issued":{"date-parts":[["2024",10,14]]}}}],"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(Ure, 2024)</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6656F3CC" w14:textId="20A6DE00"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Technological innovation is key to decarbonization. One of the most promising tools is renewable energy systems, such as solar, wind, hydroelectric, and geothermal energy. These sources emit little or no GHGs and are increasingly competitive with fossil fuels. For instance, since 2010, the international average price of solar photovoltaics has dropped by over 85%, making this technology regularly suitable for grid-based and decentralized energy generation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{"citationID":"eHQ53bgt","properties":{"formattedCitation":"(Oyekale et al., 2020)","plainCitation":"(Oyekale et al., 2020)","noteIndex":0},"citationItems":[{"id":1876,"uris":["http://zotero.org/users/local/OSBVH90z/items/L5QSGNJP"],"itemData":{"id":1876,"type":"article-journal","abstract":"This study is aimed at a succinct review of practical impacts of grid integration of renewable energy systems on effectiveness of power networks, as well as often employed state-of-the-art solution strategies. The renewable energy resources focused on include solar energy, wind energy, biomass energy and geothermal energy, as well as renewable hydrogen/fuel cells, which, although not classified purely as renewable resources, are a famous energy carrier vital for future energy sustainability. Although several world energy outlooks have suggested that the renewable resources available worldwide are sufficient to satisfy global energy needs in multiples of thousands, the different challenges often associated with practical exploitation have made this assertion an illusion to date. Thus, more research efforts are required to synthesize the nature of these challenges as well as viable solution strategies, hence, the need for this review study. First, brief overviews are provided for each of the studied renewable energy sources. Next, challenges and solution strategies associated with each of them at generation phase are discussed, with reference to power grid integration. Thereafter, challenges and common solution strategies at the grid/electrical interface are discussed for each of the renewable resources. Finally, expert opinions are provided, comprising a number of aphorisms deducible from the review study, which reveal knowledge gaps in the field and potential roadmap for future research. In particular, these opinions include the essential roles that renewable hydrogen will play in future energy systems; the need for multi-sectoral coupling, specifically by promoting electric vehicle usage and integration with renewable-based power grids; the need for cheaper energy storage devices, attainable possibly by using abandoned electric vehicle batteries for electrical storage, and by further development of advanced thermal energy storage systems (overviews of state-of-the-art thermal and electrochemical energy storage are also provided); amongst others.","container-title":"Energies","DOI":"10.3390/en13184856","ISSN":"1996-1073","issue":"18","journalAbbreviation":"Energies","language":"en","license":"https://creativecommons.org/licenses/by/4.0/","page":"4856","source":"DOI.org (Crossref)","title":"Impacts of Renewable Energy Resources on Effectiveness of Grid-Integrated Systems: Succinct Review of Current Challenges and Potential Solution Strategies","title-short":"Impacts of Renewable Energy Resources on Effectiveness of Grid-Integrated Systems","volume":"13","author":[{"family":"Oyekale","given":"Joseph"},{"family":"Petrollese","given":"Mario"},{"family":"Tola","given":"Vittorio"},{"family":"Cau","given":"Giorgio"}],"issued":{"date-parts":[["2020",9,16]]}}}],"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(Oyekale et al., 2020)</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30D3D3FE" w14:textId="77777777"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Another major innovation is carbon capture and storage (CCS), which includes capturing power plant and industrial facility CO₂ emissions and injecting it underground into geological formations for storage. Although still at a nascent deployment stage, CCS is still deemed necessary for hard-to-abate sectors (such as cement and steel production) and for providing net-negative emissions in conjunction with bioenergy (BECCS).</w:t>
      </w:r>
    </w:p>
    <w:p w14:paraId="49788CEB" w14:textId="3DD5D314"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Energy efficiency is also a major player in mitigation. Improving the efficiency of buildings, appliances, industrial processes, and transport systems could also help to minimize energy demand and related emissions</w:t>
      </w:r>
      <w:r w:rsidR="0057216C">
        <w:rPr>
          <w:rFonts w:ascii="Times New Roman" w:hAnsi="Times New Roman" w:cs="Times New Roman"/>
          <w:sz w:val="24"/>
          <w:szCs w:val="24"/>
        </w:rPr>
        <w:t xml:space="preserve">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{"citationID":"cb8VnHZe","properties":{"formattedCitation":"(Min et al., 2022)","plainCitation":"(Min et al., 2022)","noteIndex":0},"citationItems":[{"id":1878,"uris":["http://zotero.org/users/local/OSBVH90z/items/RFJ2GRC9"],"itemData":{"id":1878,"type":"article-journal","container-title":"Fuel","DOI":"10.1016/j.fuel.2022.124842","ISSN":"00162361","journalAbbreviation":"Fuel","language":"en","page":"124842","source":"DOI.org (Crossref)","title":"The effect of carbon dioxide emissions on the building energy efficiency","volume":"326","author":[{"family":"Min","given":"Ji"},{"family":"Yan","given":"Gongxing"},{"family":"Abed","given":"Azher M."},{"family":"Elattar","given":"Samia"},{"family":"Amine Khadimallah","given":"Mohamed"},{"family":"Jan","given":"Amin"},{"family":"Elhosiny Ali","given":"H."}],"issued":{"date-parts":[["2022",10]]}}}],"schema":"https://github.com/citation-style-language/schema/raw/master/csl-citation.json"}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(Min et al., 2022)</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 Specifically, the electrification of transport through electric vehicles (EVs) and support for charging infrastructure represents an opportunity to decarbonize a significant emissions sector. They are currently under development and integrated with smart grids, battery storage, and clean hydrogen technologies, further optimizing energy systems' resilience and flexibility in a low-carbon future.</w:t>
      </w:r>
    </w:p>
    <w:p w14:paraId="351C2DD0" w14:textId="77777777"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Mitigation is not just a technological problem; it requires a robust path, incentive-setting policy, and regulatory tools so that behavioral and system change can happen. The most widely endorsed tool is carbon pricing, which internalizes the environmental cost of emissions by putting a price on carbon. This could be in the form of carbon taxes or emissions trading systems (ETS), like the European Union Emissions Trading Scheme (EU ETS), the world's largest carbon trading market.</w:t>
      </w:r>
    </w:p>
    <w:p w14:paraId="151655B6" w14:textId="77777777"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Many countries and regions have established long-term emissions reduction goals, including pursuing net-zero emissions by 2050. These overarching goals are enshrined in national law and climate action plans, ensuring that economic development goes hand in hand with climate objectives. Policies that accommodate clean energy subsidies, fossil fuel divestment, and green public procurement are crucial in transforming market signals and encouraging innovation.</w:t>
      </w:r>
    </w:p>
    <w:p w14:paraId="14D69D76" w14:textId="14E2F618"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Second, existing environmental regulations and standards, including fuel economy standards, building codes, and industrial emissions limits, assure compliance with mitigation targets. This would require robust institutional capacity, transparency in monitoring systems, and participatory stakeholder engagement.</w:t>
      </w:r>
    </w:p>
    <w:p w14:paraId="7549B85C" w14:textId="7D954E42" w:rsidR="00EE2354" w:rsidRDefault="00FB52EF" w:rsidP="009346B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20169DA" w14:textId="77777777" w:rsidR="00BF09F0" w:rsidRDefault="00BF09F0" w:rsidP="009346B0">
      <w:pPr>
        <w:spacing w:after="0" w:line="240" w:lineRule="auto"/>
        <w:jc w:val="both"/>
        <w:rPr>
          <w:rFonts w:ascii="Times New Roman" w:hAnsi="Times New Roman" w:cs="Times New Roman"/>
          <w:b/>
          <w:bCs/>
          <w:sz w:val="28"/>
          <w:szCs w:val="28"/>
        </w:rPr>
      </w:pPr>
    </w:p>
    <w:p w14:paraId="27698350" w14:textId="672A04A7" w:rsidR="00137569" w:rsidRDefault="00424842"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lastRenderedPageBreak/>
        <w:t>6.</w:t>
      </w:r>
      <w:r w:rsidR="008D5D58" w:rsidRP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137569" w:rsidRPr="00137569">
        <w:rPr>
          <w:rFonts w:ascii="Times New Roman" w:hAnsi="Times New Roman" w:cs="Times New Roman"/>
          <w:b/>
          <w:bCs/>
          <w:sz w:val="28"/>
          <w:szCs w:val="28"/>
        </w:rPr>
        <w:t>Global Strategies for Adaptation</w:t>
      </w:r>
    </w:p>
    <w:p w14:paraId="337A5747" w14:textId="77777777" w:rsidR="00137569" w:rsidRDefault="00137569" w:rsidP="009346B0">
      <w:pPr>
        <w:spacing w:after="0" w:line="240" w:lineRule="auto"/>
        <w:jc w:val="both"/>
        <w:rPr>
          <w:rFonts w:ascii="Times New Roman" w:hAnsi="Times New Roman" w:cs="Times New Roman"/>
          <w:b/>
          <w:bCs/>
          <w:sz w:val="28"/>
          <w:szCs w:val="28"/>
        </w:rPr>
      </w:pPr>
    </w:p>
    <w:p w14:paraId="182081D5" w14:textId="64F3073D" w:rsidR="0036418D" w:rsidRPr="007A0876" w:rsidRDefault="00BC368F"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Mitigation tackles the causes of climate change; adaptation tries to limit the effects already being felt and expected soon. Adaptation strategies are vital for the most vulnerable populations in the world, those in flood-prone deltas, drought-stricken areas, or low-lying coastal zones, who often contribute little to climate change but face the worst of it out of nowhere. Adaptation cannot be addressed in a silo infrastructure; ecological systems, agriculture, urban planning, and social inclusion must consider what climate-resilient societies need to thrive.</w:t>
      </w:r>
    </w:p>
    <w:p w14:paraId="6CC6D529" w14:textId="77777777" w:rsidR="00BC368F" w:rsidRPr="007A0876" w:rsidRDefault="00BC368F" w:rsidP="0036418D">
      <w:pPr>
        <w:spacing w:after="0" w:line="240" w:lineRule="auto"/>
        <w:jc w:val="both"/>
        <w:rPr>
          <w:rFonts w:ascii="Times New Roman" w:hAnsi="Times New Roman" w:cs="Times New Roman"/>
          <w:b/>
          <w:bCs/>
          <w:sz w:val="24"/>
          <w:szCs w:val="24"/>
        </w:rPr>
      </w:pPr>
    </w:p>
    <w:p w14:paraId="32218213" w14:textId="3ED42CC8" w:rsidR="0036418D" w:rsidRPr="007A0876" w:rsidRDefault="0036418D" w:rsidP="0036418D">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6.1 Resilience Building in Vulnerable Communities</w:t>
      </w:r>
    </w:p>
    <w:p w14:paraId="4A87E77F" w14:textId="45528F51"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Sensitivity to climate hazards differs by geography, socioeconomic conditions, and governance capacity. Infrastructure resilience is a primary concern in places vulnerable to flooding, drought, or sea-level rise. Many countries, including Bangladesh and the Netherlands, have invested significantly in multi-layered flood defenses, which may include embankments, storm surge barriers, and wetland buffers, to protect coastal settlements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{"citationID":"zLrYLx5D","properties":{"formattedCitation":"(Dedekorkut-Howes et al., 2020)","plainCitation":"(Dedekorkut-Howes et al., 2020)","noteIndex":0},"citationItems":[{"id":1879,"uris":["http://zotero.org/users/local/OSBVH90z/items/BKK5QTS4"],"itemData":{"id":1879,"type":"article-journal","container-title":"Journal of Environmental Planning and Management","DOI":"10.1080/09640568.2019.1708709","ISSN":"0964-0568, 1360-0559","issue":"12","journalAbbreviation":"Journal of Environmental Planning and Management","language":"en","page":"2102-2143","source":"DOI.org (Crossref)","title":"When the tide gets high: a review of adaptive responses to sea level rise and coastal flooding","title-short":"When the tide gets high","volume":"63","author":[{"family":"Dedekorkut-Howes","given":"Ayşın"},{"family":"Torabi","given":"Elnaz"},{"family":"Howes","given":"Michael"}],"issued":{"date-parts":[["2020",10,14]]}}}],"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(Dedekorkut-Howes et al., 2020)</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5AC8CFBF" w14:textId="45ABB3C5"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Community-based adaptation (CBA) programs that involve local populations in prioritizing, identifying, and implementing adaptation actions are equally important. With these programs, we leverage traditional knowledge, regional capacity, and participatory governance models to enhance ownership and sustainability. In sub-Saharan Africa, for example, CBA interventions have effectively brought drought-tolerant varieties of crops, rainwater harvesting, and early warning systems to the rural poor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{"citationID":"yQytolOp","properties":{"formattedCitation":"(Kephe et al., 2022)","plainCitation":"(Kephe et al., 2022)","noteIndex":0},"citationItems":[{"id":1880,"uris":["http://zotero.org/users/local/OSBVH90z/items/PAUNKEI8"],"itemData":{"id":1880,"type":"article-journal","abstract":"Smallholder farmers like those in Limpopo and the Free State (FS) Province of South Africa sometimes incur high production costs due to their crop choices. This cost is exacerbated by the challenges posed by climate change and the socio-economic position of the smallholder farmers. The opportunity cost of producing cost-intensive crops is the forgone benefits these smallholder farmers would have gained if they grew cheaper options. Therefore, a tool to assist farmers and stakeholders when choosing, advising on, or assisting with production and management decisions at farm levels to ensure profitability and sustainability is needed. This paper aimed at providing a framework to assist farmers in identifying profitable crops for production under the present day and possible future scenarios in Limpopo and the FS. This framework uses a multi-stage process with forward and backward linkages to refine analysis and results. Through reviews, interviews, focus groups and transect walks, the state of the biophysical, socio-economic, and political environment and their impact on smallholder farming were collected from 600 farmers and 40 key informants. Inferential statistics and cost-benefit analysis were used for data analysis. The results indicate that maize, though widely cultivated in both Provinces, has the highest average total production cost of R 29,694.39 /ha while the lowest was sunflower with R 6,453.78 /ha. Irrigated maize had the highest break-even price per hectare of R 38 351.85, while sunflower had the lowest R 4 685.85. In both provinces, groundnut ranked first on Net Present Value (NPVs) at discount rates of 8% and 10%, while low yield maize ranked last, scoring values of –R 4 163 894 and –R 3 953 393. Groundnut had the highest Benefit Cost Ratio (BCR) at 2.22 and 6.70 in Limpopo and FS. The BCR for low-yield maize was the lowest of all the crops. The base scenario results in economic and financial terms indicate it is better to farm sunflower, soybean, grain sorghum, and groundnuts than maize because of lower production cost and maize substitutes. Furthermore, climate change projections suggest a drier future for these provinces, implying the yield targets for farmers producing maize would be difficult to achieve when faced with climate change. Such information is vital for stakeholders.","container-title":"Frontiers in Sustainable Food Systems","DOI":"10.3389/fsufs.2022.738267","ISSN":"2571-581X","journalAbbreviation":"Front. Sustain. Food Syst.","page":"738267","source":"DOI.org (Crossref)","title":"Optimizing Smallholder Farmers' Productivity Through Crop Selection, Targeting and Prioritization Framework in the Limpopo and Free State Provinces, South Africa","volume":"6","author":[{"family":"Kephe","given":"Priscilla Ntuchu"},{"family":"Siewe","given":"Lendeu Constantain"},{"family":"Lekalakala","given":"Ratunku Gabriel"},{"family":"Kwabena Ayisi","given":"Kingsley"},{"family":"Petja","given":"Brilliant Mareme"}],"issued":{"date-parts":[["2022",3,29]]}}}],"schema":"https://github.com/citation-style-language/schema/raw/master/csl-citation.json"}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(Kephe et al., 2022)</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64D6BFB5" w14:textId="77777777"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Strengthening social capital, improving access to climate information, and promoting inclusive decision-making in climate-related matters are vital to enhancing the adaptive capacity of marginalized groups (especially women, Indigenous peoples, and low-income populations).</w:t>
      </w:r>
    </w:p>
    <w:p w14:paraId="1D855D1F" w14:textId="77777777" w:rsidR="0036418D" w:rsidRPr="007A0876" w:rsidRDefault="0036418D" w:rsidP="0036418D">
      <w:pPr>
        <w:spacing w:after="0" w:line="240" w:lineRule="auto"/>
        <w:jc w:val="both"/>
        <w:rPr>
          <w:rFonts w:ascii="Times New Roman" w:hAnsi="Times New Roman" w:cs="Times New Roman"/>
          <w:sz w:val="24"/>
          <w:szCs w:val="24"/>
        </w:rPr>
      </w:pPr>
    </w:p>
    <w:p w14:paraId="205223FD" w14:textId="77777777" w:rsidR="0036418D" w:rsidRPr="007A0876" w:rsidRDefault="0036418D" w:rsidP="0036418D">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6.2 Ecosystem-based Adaptation</w:t>
      </w:r>
    </w:p>
    <w:p w14:paraId="0A3B5D75" w14:textId="7003A451"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Nature-based solutions are emerging as affordable and sustainable adaptation options. Ecosystem-based adaptation (</w:t>
      </w:r>
      <w:proofErr w:type="spellStart"/>
      <w:r w:rsidRPr="007A0876">
        <w:rPr>
          <w:rFonts w:ascii="Times New Roman" w:hAnsi="Times New Roman" w:cs="Times New Roman"/>
          <w:sz w:val="24"/>
          <w:szCs w:val="24"/>
        </w:rPr>
        <w:t>EbA</w:t>
      </w:r>
      <w:proofErr w:type="spellEnd"/>
      <w:r w:rsidRPr="007A0876">
        <w:rPr>
          <w:rFonts w:ascii="Times New Roman" w:hAnsi="Times New Roman" w:cs="Times New Roman"/>
          <w:sz w:val="24"/>
          <w:szCs w:val="24"/>
        </w:rPr>
        <w:t>) involves protecting, sustainably managing, and restoring ecosystems to help buffer communities from climate-related risks. Mangroves protect against storm surges, wetlands reduce floods, and forests stabilize soil, moderate microclimates, and store carbon.</w:t>
      </w:r>
    </w:p>
    <w:p w14:paraId="227CFBFE" w14:textId="48EB12FE" w:rsidR="0036418D" w:rsidRPr="007A0876" w:rsidRDefault="0036418D" w:rsidP="0036418D">
      <w:pPr>
        <w:spacing w:after="0" w:line="240" w:lineRule="auto"/>
        <w:jc w:val="both"/>
        <w:rPr>
          <w:rFonts w:ascii="Times New Roman" w:hAnsi="Times New Roman" w:cs="Times New Roman"/>
          <w:sz w:val="24"/>
          <w:szCs w:val="24"/>
        </w:rPr>
      </w:pPr>
      <w:proofErr w:type="spellStart"/>
      <w:r w:rsidRPr="007A0876">
        <w:rPr>
          <w:rFonts w:ascii="Times New Roman" w:hAnsi="Times New Roman" w:cs="Times New Roman"/>
          <w:sz w:val="24"/>
          <w:szCs w:val="24"/>
        </w:rPr>
        <w:t>EbA</w:t>
      </w:r>
      <w:proofErr w:type="spellEnd"/>
      <w:r w:rsidRPr="007A0876">
        <w:rPr>
          <w:rFonts w:ascii="Times New Roman" w:hAnsi="Times New Roman" w:cs="Times New Roman"/>
          <w:sz w:val="24"/>
          <w:szCs w:val="24"/>
        </w:rPr>
        <w:t xml:space="preserve"> has been incorporated into national adaptation plans in several countries. For example, mangrove reforestation in Vietnam has mitigated coastal erosion and improved local fisheries and biodiversity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{"citationID":"5WU3871l","properties":{"formattedCitation":"(Nguyen et al., 2021)","plainCitation":"(Nguyen et al., 2021)","noteIndex":0},"citationItems":[{"id":1882,"uris":["http://zotero.org/users/local/OSBVH90z/items/UW3NMS7B"],"itemData":{"id":1882,"type":"article-journal","abstract":"Mangrove forests can ameliorate the impacts of typhoons and storms, but their extent is threatened by coastal development. The northern coast of Vietnam is especially vulnerable as typhoons frequently hit it during the monsoon season. However, temporal change information in mangrove cover distribution in this region is incomplete. Therefore, this study was undertaken to detect change in the spatial distribution of mangroves in Thanh Hoa and Nghe An provinces and identify reasons for the cover change. Landsat satellite images from 1973 to 2020 were analyzed using the NDVI method combined with visual interpretation to detect mangrove area change. Six LULC classes were categorized: mangrove forest, other forests, aquaculture, other land use, mudflat, and water. The mangrove cover in Nghe An province was estimated to be 66.5 ha in 1973 and increased to 323.0 ha in 2020. Mangrove cover in Thanh Hoa province was 366.1 ha in 1973, decreased to 61.7 ha in 1995, and rose to 791.1 ha in 2020. Aquaculture was the main reason for the loss of mangroves in both provinces. Overall, the percentage of mangrove loss from aquaculture was 42.5% for Nghe An province and 60.1% for Thanh Hoa province. Mangrove restoration efforts have contributed significantly to mangrove cover, with more than 1300 ha being planted by 2020. This study reveals that improving mangrove restoration success remains a challenge for these provinces, and further refinement of engineering techniques is needed to improve restoration outcomes.","container-title":"Forests","DOI":"10.3390/f12050637","ISSN":"1999-4907","issue":"5","journalAbbreviation":"Forests","language":"en","license":"https://creativecommons.org/licenses/by/4.0/","page":"637","source":"DOI.org (Crossref)","title":"Mangrove Forest Landcover Changes in Coastal Vietnam: A Case Study from 1973 to 2020 in Thanh Hoa and Nghe An Provinces","title-short":"Mangrove Forest Landcover Changes in Coastal Vietnam","volume":"12","author":[{"family":"Nguyen","given":"Huong Thi Thuy"},{"family":"Hardy","given":"Giles E. S."},{"family":"Le","given":"Tuat Van"},{"family":"Nguyen","given":"Huy Quoc"},{"family":"Nguyen","given":"Hoang Huy"},{"family":"Nguyen","given":"Thinh Van"},{"family":"Dell","given":"Bernard"}],"issued":{"date-parts":[["2021",5,18]]}}}],"schema":"https://github.com/citation-style-language/schema/raw/master/csl-citation.json"}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(Nguyen et al., 2021)</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 Maintaining biodiversity in these ecosystems is necessary since diverse biological communities are generally more resistant to disturbances and continue to provide critical ecological functions despite changing climate conditions.</w:t>
      </w:r>
    </w:p>
    <w:p w14:paraId="2FDBF260" w14:textId="77777777" w:rsidR="0036418D" w:rsidRPr="007A0876" w:rsidRDefault="0036418D" w:rsidP="0036418D">
      <w:pPr>
        <w:spacing w:after="0" w:line="240" w:lineRule="auto"/>
        <w:jc w:val="both"/>
        <w:rPr>
          <w:rFonts w:ascii="Times New Roman" w:hAnsi="Times New Roman" w:cs="Times New Roman"/>
          <w:sz w:val="24"/>
          <w:szCs w:val="24"/>
        </w:rPr>
      </w:pPr>
    </w:p>
    <w:p w14:paraId="23EE2212" w14:textId="0D1089CA"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b/>
          <w:bCs/>
          <w:sz w:val="24"/>
          <w:szCs w:val="24"/>
        </w:rPr>
        <w:t>6.3 Agriculture in a Changing Climate and Water Resilience</w:t>
      </w:r>
    </w:p>
    <w:p w14:paraId="019DD42D" w14:textId="45E2EFE8"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Agriculture, which guarantees over 60% of livelihoods in developing countries, is highly climate-sensitive</w:t>
      </w:r>
      <w:r w:rsidR="0057216C">
        <w:rPr>
          <w:rFonts w:ascii="Times New Roman" w:hAnsi="Times New Roman" w:cs="Times New Roman"/>
          <w:sz w:val="24"/>
          <w:szCs w:val="24"/>
        </w:rPr>
        <w:t xml:space="preserve">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{"citationID":"ISbFM64G","properties":{"formattedCitation":"(Ires, 2021)","plainCitation":"(Ires, 2021)","noteIndex":0},"citationItems":[{"id":1884,"uris":["http://zotero.org/users/local/OSBVH90z/items/FGR7BVQF"],"itemData":{"id":1884,"type":"article-journal","abstract":"Tanzania is one of the East African countries most vulnerable to climate change impacts. Droughts and floods in 2015–16 had devastating effects on food production, crop failures and livestock deaths reaching record levels. One of the underlying projects of the Tanzanian government to mitigate these impacts is the Southern Agricultural Growth Corridors of Tanzania (SAGCOT), an area spanning the country’s largest river basin, the Rufiji, where it collaborates with national and transnational companies to intensify irrigated crop production. Irrigation, drought-tolerant seeds, and employment are three of the key government-advised strategies to help smallholders increase crop yield, adapt to climate change, and alleviate poverty through the corridor. However, little research is available on whether these goals have been achieved. This paper aims to contribute to the literature by assessing harvest and income levels following the 2015–16 drought. Through fieldwork conducted in 2016–17 in Usangu, a key paddy production area in the Great Ruaha Basin within SAGCOT, data is collected from documents and 114 informants. This study finds that irrigation did not significantly contribute to rising paddy production in the case study. Prioritizing the downstream national park and the energy sector, the government periodically cut down the water access of the case-study irrigation scheme, which exacerbated water stress. Moreover, though farmers widely shifted to intensive farming and used hybrid seeds, mainly, the high-income groups ensured and increased the crop yield and profit. The-low income groups encountered crop failure and, due to rising production costs, debt. Many of them left farming, impoverished, and sought to secure subsistence through wage laboring. This study discusses the shortcomings of the transitions from traditional to intensive farming and from farming to employment as climate change adaptation strategies and draws critical policy-relevant conclusions.","container-title":"Frontiers in Environmental Science","DOI":"10.3389/fenvs.2021.674363","ISSN":"2296-665X","journalAbbreviation":"Front. Environ. Sci.","page":"674363","source":"DOI.org (Crossref)","title":"Intensive Agriculture as Climate Change Adaptation? Economic and Environmental Tradeoffs in Securing Rural Livelihoods in Tanzanian River Basins","title-short":"Intensive Agriculture as Climate Change Adaptation?","volume":"9","author":[{"family":"Ires","given":"Idil"}],"issued":{"date-parts":[["2021",11,26]]}}}],"schema":"https://github.com/citation-style-language/schema/raw/master/csl-citation.json"}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(Ires, 2021)</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 Adaptation in this sector involves building agroecological resilience and innovations in crop science, irrigation, and land-use planning. For example, scientists encourage farmers to sow drought-resistant crop varieties and adopt climate-smart farming techniques to reduce vulnerability to erratic rainfall patterns and temperature extremes. At the same time, conservation experts urge soil conservation practices to prevent erosion.</w:t>
      </w:r>
    </w:p>
    <w:p w14:paraId="1EE16857" w14:textId="79CC5701"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Efficient water management is critical in drought-prone and flood-prone contexts. Integrated water resources management (IWRM) seeks to balance competing water, agricultural, industrial, and domestic needs, especially in arid and semi-arid areas. Examples of excellent large-scale </w:t>
      </w:r>
      <w:r w:rsidRPr="007A0876">
        <w:rPr>
          <w:rFonts w:ascii="Times New Roman" w:hAnsi="Times New Roman" w:cs="Times New Roman"/>
          <w:sz w:val="24"/>
          <w:szCs w:val="24"/>
        </w:rPr>
        <w:lastRenderedPageBreak/>
        <w:t xml:space="preserve">desalination, drip irrigation, and reuse of treated wastewater in countries such as Israel now serve as models for water-scarce nations that seek to adapt to climate change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{"citationID":"4rstzGC5","properties":{"formattedCitation":"(Kramer et al., 2022)","plainCitation":"(Kramer et al., 2022)","noteIndex":0},"citationItems":[{"id":1885,"uris":["http://zotero.org/users/local/OSBVH90z/items/IKR7FJ76"],"itemData":{"id":1885,"type":"article-journal","abstract":"Abstract\n            \n              In 2005, Israel began using desalination to augment limited natural water supplies. While desalination has helped Israel overcome chronic water shortages, high-population growth may test this approach. We examine how three population growth scenarios (low, medium, high) could affect water demand and supply by 2065. Our projections show that Israel will need to desalinate as much as 3.7 billion m\n              3\n              annually, compared to 0.5 billion m\n              3\n              in 2020. Meeting this demand could require the construction of 30 new desalination units. The effects of population growth on Israel’s water supply are likely to dwarf those of climate change. Increased desalination would, however, increase electricity demand, requiring over 11 TWh electricity annually. Population growth is also likely to challenge Israel’s wastewater management policies, producing more effluent than farmers will have the capacity to consume. The Israeli experience will provide important lessons for regions facing similar pressures.","container-title":"npj Clean Water","DOI":"10.1038/s41545-022-00215-9","ISSN":"2059-7037","issue":"1","journalAbbreviation":"npj Clean Water","language":"en","page":"67","source":"DOI.org (Crossref)","title":"Effects of population growth on Israel’s demand for desalinated water","volume":"5","author":[{"family":"Kramer","given":"Isaac"},{"family":"Tsairi","given":"Yaara"},{"family":"Roth","given":"Michael Buchdahl"},{"family":"Tal","given":"Alon"},{"family":"Mau","given":"Yair"}],"issued":{"date-parts":[["2022",12,27]]}}}],"schema":"https://github.com/citation-style-language/schema/raw/master/csl-citation.json"}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(Kramer et al., 2022)</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727CC828" w14:textId="77777777" w:rsidR="0040663F" w:rsidRPr="007A0876" w:rsidRDefault="0040663F" w:rsidP="0036418D">
      <w:pPr>
        <w:spacing w:after="0" w:line="240" w:lineRule="auto"/>
        <w:jc w:val="both"/>
        <w:rPr>
          <w:rFonts w:ascii="Times New Roman" w:hAnsi="Times New Roman" w:cs="Times New Roman"/>
          <w:sz w:val="24"/>
          <w:szCs w:val="24"/>
        </w:rPr>
      </w:pPr>
    </w:p>
    <w:p w14:paraId="486C889B" w14:textId="44830C54" w:rsidR="0036418D" w:rsidRPr="007A0876" w:rsidRDefault="0036418D" w:rsidP="0036418D">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6.4 Urban Adaptation Strategies </w:t>
      </w:r>
    </w:p>
    <w:p w14:paraId="06C16DBA" w14:textId="5CB16A7C"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More than half the world's population currently lives in cities, a figure projected to rise to 70% by 2050, making urban adaptation a pressing priority</w:t>
      </w:r>
      <w:r w:rsidR="00141C60">
        <w:rPr>
          <w:rFonts w:ascii="Times New Roman" w:hAnsi="Times New Roman" w:cs="Times New Roman"/>
          <w:sz w:val="24"/>
          <w:szCs w:val="24"/>
        </w:rPr>
        <w:t xml:space="preserve">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{"citationID":"PHrW7Ywl","properties":{"formattedCitation":"(Huang et al., 2022)","plainCitation":"(Huang et al., 2022)","noteIndex":0},"citationItems":[{"id":1888,"uris":["http://zotero.org/users/local/OSBVH90z/items/Q5UEJYB5"],"itemData":{"id":1888,"type":"article-journal","abstract":"Half the world’s population now lives in cities, and this figure is expected to reach 70% by 2050. To ensure future cities offer equity for multiple age groups, it is important to plan for spatially inclusive features such as pedestrian accessibility. This feature is strongly related to many emerging global challenges regarding health, an ageing population, and an inclusive society, and should be carefully considered when designing future cities to meet the mobility requirements of different groups of people, reduce reliance on cars, and encourage greater participation by all residents. Independent travel to public open spaces, particularly green spaces, is widely considered a key factor that affects human health and well-being and is considered a primary motivation for walking. At the same time, unfavourable steepness and restrictive access points to open spaces can limit accessibility and restrict the activities of older adults or people with mobility impairments. This paper introduces a novel open access proximity modelling web application, PedestrianCatch, that simulates pedestrian catchments for user-specified destinations utilising a crowd-source road network and open topographic data. Based on this tool, we offer a multi-criteria evaluation approach that considers travel speed, time, urban topography, and visualisation modes to accommodate various simulation needs for different urban scenarios. Two case studies are conducted to demonstrate the technical feasibility and flexibility using the proposed evaluation approach, and explain how new renewal strategies can be tested when designing a more inclusive neighbourhood. This evaluation tool is immediately relevant to urban designers, health planners, and disability communities, and will be increasingly relevant to the wider community as populations age, while the corresponding analysis approach has a huge potential to contribute to the pre-design and design process for developing more walkable and accessible communities for all.","container-title":"Buildings","DOI":"10.3390/buildings12081191","ISSN":"2075-5309","issue":"8","journalAbbreviation":"Buildings","language":"en","license":"https://creativecommons.org/licenses/by/4.0/","page":"1191","source":"DOI.org (Crossref)","title":"Towards an Inclusive Walking Community—A Multi-Criteria Digital Evaluation Approach to Facilitate Accessible Journeys","volume":"12","author":[{"family":"Huang","given":"Xiaoran"},{"family":"White","given":"Marcus"},{"family":"Langenheim","given":"Nano"}],"issued":{"date-parts":[["2022",8,9]]}}}],"schema":"https://github.com/citation-style-language/schema/raw/master/csl-citation.json"}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(Huang et al., 2022)</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 Cities are not just hubs of economic dynamism but also centers of susceptibility, with heat islands, inadequate drainage, and congested infrastructure. Green urban planning incorporates elements of nature into a city's design, such as green roofs, urban forests, permeable surfaces, and cooling corridors, all of which help manage heat and stormwater.</w:t>
      </w:r>
    </w:p>
    <w:p w14:paraId="459B3869" w14:textId="77777777"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Furthermore, renovated with insulation, rainwater harvesting systems, and passive cooling designs, climate-proof buildings consume less energy and achieve better thermal comfort. Cities such as Rotterdam, Singapore, and Copenhagen have even incorporated urban resilience strategies with the help of nature-based solutions, zoning regulations, and integrated smart infrastructure.</w:t>
      </w:r>
    </w:p>
    <w:p w14:paraId="142EBFEB" w14:textId="6ECFE4B1" w:rsidR="00137569"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Investment in resilient urban infrastructure and upgrading drainage systems, early warning systems, and emergency response planning are also vital to minimizing the impacts of extreme weather events. Closing the gap in access to these protections, especially for low-income neighborhoods and informal settlements, is an important challenge.</w:t>
      </w:r>
    </w:p>
    <w:p w14:paraId="41141D71" w14:textId="77777777" w:rsidR="00A61760" w:rsidRPr="007A0876" w:rsidRDefault="00A61760" w:rsidP="0036418D">
      <w:pPr>
        <w:spacing w:after="0" w:line="240" w:lineRule="auto"/>
        <w:jc w:val="both"/>
        <w:rPr>
          <w:rFonts w:ascii="Times New Roman" w:hAnsi="Times New Roman" w:cs="Times New Roman"/>
          <w:sz w:val="24"/>
          <w:szCs w:val="24"/>
        </w:rPr>
      </w:pPr>
    </w:p>
    <w:p w14:paraId="01CA4D95" w14:textId="513E3D39" w:rsidR="00A61760" w:rsidRPr="007A0876" w:rsidRDefault="00A61760" w:rsidP="00A61760">
      <w:pPr>
        <w:spacing w:after="0" w:line="240" w:lineRule="auto"/>
        <w:jc w:val="center"/>
        <w:rPr>
          <w:rFonts w:ascii="Times New Roman" w:hAnsi="Times New Roman" w:cs="Times New Roman"/>
          <w:sz w:val="24"/>
          <w:szCs w:val="24"/>
        </w:rPr>
      </w:pPr>
      <w:r w:rsidRPr="007A0876">
        <w:rPr>
          <w:rFonts w:ascii="Times New Roman" w:hAnsi="Times New Roman" w:cs="Times New Roman"/>
          <w:noProof/>
          <w:sz w:val="24"/>
          <w:szCs w:val="24"/>
        </w:rPr>
        <w:drawing>
          <wp:inline distT="0" distB="0" distL="0" distR="0" wp14:anchorId="4C8ABEE6" wp14:editId="7E69BB65">
            <wp:extent cx="5543550" cy="3267075"/>
            <wp:effectExtent l="19050" t="19050" r="19050" b="28575"/>
            <wp:docPr id="1614412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84" t="7812" r="3846" b="8461"/>
                    <a:stretch/>
                  </pic:blipFill>
                  <pic:spPr bwMode="auto">
                    <a:xfrm>
                      <a:off x="0" y="0"/>
                      <a:ext cx="5543550" cy="326707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F22F4AA" w14:textId="14A330E2" w:rsidR="00E55E7A" w:rsidRPr="007A0876" w:rsidRDefault="00A61760" w:rsidP="00A61760">
      <w:pPr>
        <w:spacing w:after="0" w:line="240" w:lineRule="auto"/>
        <w:jc w:val="center"/>
        <w:rPr>
          <w:rFonts w:ascii="Times New Roman" w:hAnsi="Times New Roman" w:cs="Times New Roman"/>
          <w:sz w:val="24"/>
          <w:szCs w:val="24"/>
        </w:rPr>
      </w:pPr>
      <w:r w:rsidRPr="007A0876">
        <w:rPr>
          <w:rFonts w:ascii="Times New Roman" w:hAnsi="Times New Roman" w:cs="Times New Roman"/>
          <w:b/>
          <w:bCs/>
          <w:sz w:val="24"/>
          <w:szCs w:val="24"/>
        </w:rPr>
        <w:t>Figure 3.</w:t>
      </w:r>
      <w:r w:rsidRPr="007A0876">
        <w:rPr>
          <w:rFonts w:ascii="Times New Roman" w:hAnsi="Times New Roman" w:cs="Times New Roman"/>
          <w:sz w:val="24"/>
          <w:szCs w:val="24"/>
        </w:rPr>
        <w:t xml:space="preserve"> Conceptual Framework of Global Adaptation Strategies</w:t>
      </w:r>
    </w:p>
    <w:p w14:paraId="242AAFB3" w14:textId="77777777" w:rsidR="00A61760" w:rsidRPr="0016183E" w:rsidRDefault="00A61760" w:rsidP="009346B0">
      <w:pPr>
        <w:spacing w:after="0" w:line="240" w:lineRule="auto"/>
        <w:jc w:val="both"/>
        <w:rPr>
          <w:rFonts w:ascii="Times New Roman" w:hAnsi="Times New Roman" w:cs="Times New Roman"/>
          <w:sz w:val="24"/>
          <w:szCs w:val="24"/>
        </w:rPr>
      </w:pPr>
    </w:p>
    <w:p w14:paraId="5987041C" w14:textId="48B1D3BC" w:rsidR="00F878AF" w:rsidRDefault="00E55E7A"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7.0 </w:t>
      </w:r>
      <w:r w:rsidR="00F878AF" w:rsidRPr="00F878AF">
        <w:rPr>
          <w:rFonts w:ascii="Times New Roman" w:hAnsi="Times New Roman" w:cs="Times New Roman"/>
          <w:b/>
          <w:bCs/>
          <w:sz w:val="28"/>
          <w:szCs w:val="28"/>
        </w:rPr>
        <w:t>Case Studies of Successful Mitigation and Adaptation Efforts</w:t>
      </w:r>
    </w:p>
    <w:p w14:paraId="420AF62D" w14:textId="77777777" w:rsidR="00F878AF" w:rsidRDefault="00F878AF" w:rsidP="009346B0">
      <w:pPr>
        <w:spacing w:after="0" w:line="240" w:lineRule="auto"/>
        <w:jc w:val="both"/>
        <w:rPr>
          <w:rFonts w:ascii="Times New Roman" w:hAnsi="Times New Roman" w:cs="Times New Roman"/>
          <w:b/>
          <w:bCs/>
          <w:sz w:val="28"/>
          <w:szCs w:val="28"/>
        </w:rPr>
      </w:pPr>
    </w:p>
    <w:p w14:paraId="2DE302D9" w14:textId="77777777"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As every region of the planet begins to experience the impacts of climate change, many countries, cities, and communities have adopted effective mitigation and adaptation approaches that highlight important lessons learned and replicable best practices. Such initiatives show that, although challenges remain, we can make significant progress with the proper political will, technological </w:t>
      </w:r>
      <w:r w:rsidRPr="007A0876">
        <w:rPr>
          <w:rFonts w:ascii="Times New Roman" w:hAnsi="Times New Roman" w:cs="Times New Roman"/>
          <w:sz w:val="24"/>
          <w:szCs w:val="24"/>
        </w:rPr>
        <w:lastRenderedPageBreak/>
        <w:t>innovation, and natural community engagement. Here, we look at some key global and national initiatives that show strong responses to climate change.</w:t>
      </w:r>
    </w:p>
    <w:p w14:paraId="78F10689" w14:textId="77777777" w:rsidR="000539EE" w:rsidRPr="007A0876" w:rsidRDefault="000539EE" w:rsidP="000539EE">
      <w:pPr>
        <w:spacing w:after="0" w:line="240" w:lineRule="auto"/>
        <w:jc w:val="both"/>
        <w:rPr>
          <w:rFonts w:ascii="Times New Roman" w:hAnsi="Times New Roman" w:cs="Times New Roman"/>
          <w:sz w:val="24"/>
          <w:szCs w:val="24"/>
        </w:rPr>
      </w:pPr>
    </w:p>
    <w:p w14:paraId="5194AF74" w14:textId="77777777" w:rsidR="000539EE" w:rsidRPr="007A0876" w:rsidRDefault="000539EE" w:rsidP="000539EE">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7.1 International Success Stories </w:t>
      </w:r>
    </w:p>
    <w:p w14:paraId="501BCE61" w14:textId="77777777"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Some countries have managed to decouple economically from greenhouse gas (GHG) emissions while achieving sound economic performance. Denmark and Sweden are two of the world's leading mitigation authorities, thanks to their integrated energy policies and long-term sustainability goals.</w:t>
      </w:r>
    </w:p>
    <w:p w14:paraId="55C945E4" w14:textId="0A4EDC5D"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For instance, Denmark emerged as a global leader in wind energy deployment, with wind turbines providing almost 50% of its electricity in 2022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{"citationID":"2vkcOtuD","properties":{"formattedCitation":"(Gallaher et al., 2023)","plainCitation":"(Gallaher et al., 2023)","noteIndex":0},"citationItems":[{"id":1890,"uris":["http://zotero.org/users/local/OSBVH90z/items/SUJ76EPX"],"itemData":{"id":1890,"type":"article-journal","container-title":"Renewable and Sustainable Energy Reviews","DOI":"10.1016/j.rser.2023.113766","ISSN":"13640321","journalAbbreviation":"Renewable and Sustainable Energy Reviews","language":"en","page":"113766","source":"DOI.org (Crossref)","title":"Breaking wind: A comparison between U.S. and European approaches in offshore wind energy leadership in the North Atlantic region","title-short":"Breaking wind","volume":"187","author":[{"family":"Gallaher","given":"Adam"},{"family":"Graziano","given":"Marcello"},{"family":"Axon","given":"Stephen"},{"family":"Bertana","given":"Amanda"}],"issued":{"date-parts":[["2023",11]]}}}],"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(Gallaher et al., 2023)</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 However, the Danish government's early and proactive investment in renewable infrastructure, building efficiency standards, and a carbon tax in the early 1990s have allowed the country to decouple emissions from economic growth. Copenhagen is well on its way to being the world's first carbon-neutral capital (planned for 2025), incentivized by district heating systems, bike-able urban infrastructure, and biomass energy 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{"citationID":"PfNkldPf","properties":{"formattedCitation":"(Hansen &amp; Agger, 2023)","plainCitation":"(Hansen &amp; Agger, 2023)","noteIndex":0},"citationItems":[{"id":1891,"uris":["http://zotero.org/users/local/OSBVH90z/items/JKW3BJWV"],"itemData":{"id":1891,"type":"article-journal","abstract":"Abstract\n            \n              In 2009, the City of Copenhagen declared its objective to become the first CO\n              2\n              ‐neutral city in the world by 2025 by practicing a collaborative climate governance approach. However, a 2020 status reported a further need for decarbonisation of at least 33% to reach this target. By applying a synthesised polycentric concept—supplemented by participatory climate governance studies—we analyse the deficient results of collaborative climate governance in Copenhagen 2006–2020. The empirical analysis reveals an altered political prioritisation of climate issues in 2010 and, as a crucial aspect of that, an inadequate mobilisation of civic society actors and waning departmental collaboration. We conclude that, since 2010, Copenhagen has mainly applied a rather monocentric governance approach and relied on technological innovation instead of behavioural change via civic society mobilisation, which does not promote sufficient carbon mitigation processes to reach carbon neutrality in 2025. Finally, we discuss what the synthesised polycentric concept adds to the debate about bold urban climate governance and how it could be further developed. Empirically, we draw on document analysis and interviews with 32 key actors in Copenhagen.","container-title":"Environmental Policy and Governance","DOI":"10.1002/eet.2030","ISSN":"1756-932X, 1756-9338","issue":"3","journalAbbreviation":"Env Pol Gov","language":"en","page":"288-300","source":"DOI.org (Crossref)","title":"Copenhagen &lt;span style=\"font-variant:small-caps;\"&gt; CO&lt;sub&gt;2&lt;/sub&gt; &lt;/span&gt; neutrality in 2025? A polycentric analysis of urban climate governance in Copenhagen 2006–2020","title-short":"Copenhagen &lt;span style=\"font-variant","volume":"33","author":[{"family":"Hansen","given":"Karsten Bruun"},{"family":"Agger","given":"Annika"}],"issued":{"date-parts":[["2023",6]]}}}],"schema":"https://github.com/citation-style-language/schema/raw/master/csl-citation.json"}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(Hansen &amp; Agger, 2023)</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258B0FD3" w14:textId="7D08124C"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On the other hand, Sweden has performed admirably</w:t>
      </w:r>
      <w:r w:rsidR="006D1362" w:rsidRPr="007A0876">
        <w:rPr>
          <w:rFonts w:ascii="Times New Roman" w:hAnsi="Times New Roman" w:cs="Times New Roman"/>
          <w:sz w:val="24"/>
          <w:szCs w:val="24"/>
        </w:rPr>
        <w:t>,</w:t>
      </w:r>
      <w:r w:rsidRPr="007A0876">
        <w:rPr>
          <w:rFonts w:ascii="Times New Roman" w:hAnsi="Times New Roman" w:cs="Times New Roman"/>
          <w:sz w:val="24"/>
          <w:szCs w:val="24"/>
        </w:rPr>
        <w:t xml:space="preserve"> thanks to a mix of carbon pricing, forest management, and low-carbon transportation policies. Its national carbon tax — adopted in 1991 and now one of the world's highest — has sharply reduced fossil fuel use. The majority of electricity in Sweden comes from hydropower and nuclear; underground electricity production aims to be 100% renewable by 2040</w:t>
      </w:r>
      <w:r w:rsidR="00141C60">
        <w:rPr>
          <w:rFonts w:ascii="Times New Roman" w:hAnsi="Times New Roman" w:cs="Times New Roman"/>
          <w:sz w:val="24"/>
          <w:szCs w:val="24"/>
        </w:rPr>
        <w:t xml:space="preserve">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{"citationID":"Ou5r5DnL","properties":{"formattedCitation":"(N\\uc0\\u248{}land et al., 2022)","plainCitation":"(Nøland et al., 2022)","noteIndex":0},"citationItems":[{"id":1892,"uris":["http://zotero.org/users/local/OSBVH90z/items/5BAKDCXL"],"itemData":{"id":1892,"type":"article-journal","abstract":"Abstract\n            This paper introduces the annual energy density concept for electric power generation, which is proposed as an informative metric to capture the impacts on the environmental footprint. Our investigation covers a wide range of sources classified by rated power and compares different regions to establish typical spatial flows of energy and evaluate the corresponding scalability to meet future net-zero emission (NZE) goals. Our analysis is conducted based on publicly available information pertaining to different regions and remote satellite image data. The results of our systematic analysis indicate that the spatial extent of electric power generation toward 2050 will increase approximately sixfold, from approximately 0.5% to nearly 3.0% of the world’s land area, based on International Energy Agency (IEA) NZE 2050 targets. We investigate the worldwide energy density for ten types of power generation facilities, two involving nonrenewable sources (i.e., nuclear power and natural gas) and eight involving renewable sources (i.e., hydropower, concentrated solar power (CSP), solar photovoltaic (PV) power, onshore wind power, geothermal power, offshore wind power, tidal power, and wave power). In total, our study covers 870 electric power plants worldwide, where not only the energy density but also the resulting land or sea area requirements to power the world are estimated. Based on the provided meta-analysis results, this paper challenges the common notion that solar power is the most energy-dense renewable fuel source by demonstrating that hydropower supersedes solar power in terms of land use in certain regions of the world, depending on the topography.","container-title":"Scientific Reports","DOI":"10.1038/s41598-022-25341-9","ISSN":"2045-2322","issue":"1","journalAbbreviation":"Sci Rep","language":"en","page":"21280","source":"DOI.org (Crossref)","title":"Spatial energy density of large-scale electricity generation from power sources worldwide","volume":"12","author":[{"family":"Nøland","given":"Jonas Kristiansen"},{"family":"Auxepaules","given":"Juliette"},{"family":"Rousset","given":"Antoine"},{"family":"Perney","given":"Benjamin"},{"family":"Falletti","given":"Guillaume"}],"issued":{"date-parts":[["2022",12,8]]}}}],"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kern w:val="0"/>
          <w:sz w:val="24"/>
        </w:rPr>
        <w:t>(Nøland et al., 2022)</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62EADCE1" w14:textId="2485DAD2"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With adaptation to climate change, the order of the day, the Netherlands has become a poster child for making infrastructure more climate-resilient. Threatened by rising sea levels and flooding rivers, the country has embraced an adaptive policy in which "Room for the River" permits rivers to burst their banks in lived areas to spare the cities from floods. The Netherlands has become a leader in water management and climate adaptation engineering through innovations like floating homes, elevated dikes, and storm surge barriers 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{"citationID":"yHf0CAGx","properties":{"formattedCitation":"(Huebner, 2025)","plainCitation":"(Huebner, 2025)","noteIndex":0},"citationItems":[{"id":1894,"uris":["http://zotero.org/users/local/OSBVH90z/items/HJUD84P5"],"itemData":{"id":1894,"type":"article-journal","container-title":"Ocean &amp; Coastal Management","DOI":"10.1016/j.ocecoaman.2024.107433","ISSN":"09645691","journalAbbreviation":"Ocean &amp; Coastal Management","language":"en","page":"107433","source":"DOI.org (Crossref)","title":"Coastal urban climate adaptation and the advance onto aquatic surfaces using floating solutions: Historical challenges and potential future benefits of floating homes and similar structures","title-short":"Coastal urban climate adaptation and the advance onto aquatic surfaces using floating solutions","volume":"261","author":[{"family":"Huebner","given":"Stefan"}],"issued":{"date-parts":[["2025",2]]}}}],"schema":"https://github.com/citation-style-language/schema/raw/master/csl-citation.json"}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(Huebner, 2025)</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67288BA9" w14:textId="3EBD9A77"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While making only a fraction of the contribution to global emissions, Small Island Developing States (SIDS) have displayed resilience through capacity building to adapt. </w:t>
      </w:r>
      <w:r w:rsidR="006D1362" w:rsidRPr="007A0876">
        <w:rPr>
          <w:rFonts w:ascii="Times New Roman" w:hAnsi="Times New Roman" w:cs="Times New Roman"/>
          <w:sz w:val="24"/>
          <w:szCs w:val="24"/>
        </w:rPr>
        <w:t>The Pacific Island</w:t>
      </w:r>
      <w:r w:rsidRPr="007A0876">
        <w:rPr>
          <w:rFonts w:ascii="Times New Roman" w:hAnsi="Times New Roman" w:cs="Times New Roman"/>
          <w:sz w:val="24"/>
          <w:szCs w:val="24"/>
        </w:rPr>
        <w:t xml:space="preserve"> nation of Vanuatu, learning from its past, has combined traditional ecological knowledge and disaster risk reduction measures like raised housing structures, mangrove replantation efforts, and early warning systems. International climate finance mechanisms such as the Green Climate Fund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{"citationID":"vRH70MQm","properties":{"formattedCitation":"(Bhandary et al., 2021)","plainCitation":"(Bhandary et al., 2021)","noteIndex":0},"citationItems":[{"id":1895,"uris":["http://zotero.org/users/local/OSBVH90z/items/QQNTYITM"],"itemData":{"id":1895,"type":"article-journal","container-title":"Climate Policy","DOI":"10.1080/14693062.2020.1871313","ISSN":"1469-3062, 1752-7457","issue":"4","journalAbbreviation":"Climate Policy","language":"en","page":"529-545","source":"DOI.org (Crossref)","title":"Climate finance policy in practice: a review of the evidence","title-short":"Climate finance policy in practice","volume":"21","author":[{"family":"Bhandary","given":"Rishikesh Ram"},{"family":"Gallagher","given":"Kelly Sims"},{"family":"Zhang","given":"Fang"}],"issued":{"date-parts":[["2021",4,21]]}}}],"schema":"https://github.com/citation-style-language/schema/raw/master/csl-citation.json"}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(Bhandary et al., 2021)</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 xml:space="preserve"> have supported community-based resilience projects.</w:t>
      </w:r>
    </w:p>
    <w:p w14:paraId="1982D020" w14:textId="77777777" w:rsidR="000539EE" w:rsidRPr="007A0876" w:rsidRDefault="000539EE" w:rsidP="000539EE">
      <w:pPr>
        <w:spacing w:after="0" w:line="240" w:lineRule="auto"/>
        <w:jc w:val="both"/>
        <w:rPr>
          <w:rFonts w:ascii="Times New Roman" w:hAnsi="Times New Roman" w:cs="Times New Roman"/>
          <w:sz w:val="24"/>
          <w:szCs w:val="24"/>
        </w:rPr>
      </w:pPr>
    </w:p>
    <w:p w14:paraId="4A772D85" w14:textId="77777777" w:rsidR="000539EE" w:rsidRPr="007A0876" w:rsidRDefault="000539EE" w:rsidP="000539EE">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7.2 Local and Regional Action</w:t>
      </w:r>
    </w:p>
    <w:p w14:paraId="591A359C" w14:textId="184BDD83"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National governments set national climate agendas, but regional and local governments play important roles in transitioning from global targets to real-life objectives. Globally, decentralized (decentralized autonomous organizations, or DAOs) and community-driven (such as community land trusts) initiatives have become robust mitigation and adaptation tools</w:t>
      </w:r>
      <w:r w:rsidR="00141C60">
        <w:rPr>
          <w:rFonts w:ascii="Times New Roman" w:hAnsi="Times New Roman" w:cs="Times New Roman"/>
          <w:sz w:val="24"/>
          <w:szCs w:val="24"/>
        </w:rPr>
        <w:t xml:space="preserve">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{"citationID":"yHXBcP5L","properties":{"formattedCitation":"(Li &amp; Chen, 2024)","plainCitation":"(Li &amp; Chen, 2024)","noteIndex":0},"citationItems":[{"id":1897,"uris":["http://zotero.org/users/local/OSBVH90z/items/RAXV7EYQ"],"itemData":{"id":1897,"type":"article-journal","container-title":"Journal of Business Venturing Insights","DOI":"10.1016/j.jbvi.2024.e00450","ISSN":"23526734","journalAbbreviation":"Journal of Business Venturing Insights","language":"en","page":"e00450","source":"DOI.org (Crossref)","title":"Governing decentralized autonomous organizations as digital commons","volume":"21","author":[{"family":"Li","given":"Sen"},{"family":"Chen","given":"Yan"}],"issued":{"date-parts":[["2024",6]]}}}],"schema":"https://github.com/citation-style-language/schema/raw/master/csl-citation.json"}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(Li &amp; Chen, 2024)</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5D8789E5" w14:textId="46F3E746"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For example, renewable energy cooperatives have changed the energy game in Germany, allowing citizens to own and maintain their clean energy systems. Typically based in rural locations, these cooperatives have played a critical role in Germany's Energiewende (energy transition) success. They have installed wind turbines and solar panels, giving local communities energy independence and the ability to keep wealth in the community.</w:t>
      </w:r>
    </w:p>
    <w:p w14:paraId="33C2096F" w14:textId="47E5EEF4"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There is probably no more ambitious local decarbonization strategy in North America than the one led by Ithaca, New York, in the United States. The municipal government unveiled a Green New Deal, which aims for carbon neutrality by 2030 through building electrification, sustainable </w:t>
      </w:r>
      <w:r w:rsidRPr="007A0876">
        <w:rPr>
          <w:rFonts w:ascii="Times New Roman" w:hAnsi="Times New Roman" w:cs="Times New Roman"/>
          <w:sz w:val="24"/>
          <w:szCs w:val="24"/>
        </w:rPr>
        <w:lastRenderedPageBreak/>
        <w:t xml:space="preserve">transport, and just transition workforce development. The initiative is notable for emphasizing environmental justice through prioritizing investments in historically marginalized neighborhoods, demonstrating the interconnectedness between climate action and social equity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{"citationID":"tlrNOwjg","properties":{"formattedCitation":"(Fitzgerald, 2022)","plainCitation":"(Fitzgerald, 2022)","noteIndex":0},"citationItems":[{"id":1898,"uris":["http://zotero.org/users/local/OSBVH90z/items/29BVW6CM"],"itemData":{"id":1898,"type":"article-journal","container-title":"Journal of the American Planning Association","DOI":"10.1080/01944363.2021.2013301","ISSN":"0194-4363, 1939-0130","issue":"4","journalAbbreviation":"Journal of the American Planning Association","language":"en","page":"508-523","source":"DOI.org (Crossref)","title":"Transitioning From Urban Climate Action to Climate Equity","volume":"88","author":[{"family":"Fitzgerald","given":"Joan"}],"issued":{"date-parts":[["2022",10,2]]}}}],"schema":"https://github.com/citation-style-language/schema/raw/master/csl-citation.json"}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(Fitzgerald, 2022)</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35F0A8BD" w14:textId="77777777"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 South Asia, one example is the state of Gujarat in India, which introduced climate-smart agriculture through the Krishi Mahotsav initiative, reaching out to smallholder farmers with climate-resilient farming techniques, soil health cards, and drought-tolerant seeds. Such efforts have enhanced food security and reduced susceptibility to erratic monsoon patterns.</w:t>
      </w:r>
    </w:p>
    <w:p w14:paraId="4065DE93" w14:textId="4FC65FEA"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 addition, community-based disaster preparedness programs have effectively protected those living in hazardous areas from extreme weather events. In the Philippines, Tacloban, which was flattened by Typhoon Haiyan in 2013, has focused its rebuilding efforts on climate-resilient housing, early warning systems, and risk education at the barangay (neighborhood) level. Involving local voices in planning has shored up public faith and preparedness for future disasters.</w:t>
      </w:r>
    </w:p>
    <w:p w14:paraId="570994F4" w14:textId="77777777" w:rsidR="00F878AF" w:rsidRDefault="00F878AF" w:rsidP="009346B0">
      <w:pPr>
        <w:spacing w:after="0" w:line="240" w:lineRule="auto"/>
        <w:jc w:val="both"/>
        <w:rPr>
          <w:rFonts w:ascii="Times New Roman" w:hAnsi="Times New Roman" w:cs="Times New Roman"/>
          <w:b/>
          <w:bCs/>
          <w:sz w:val="28"/>
          <w:szCs w:val="28"/>
        </w:rPr>
      </w:pPr>
    </w:p>
    <w:p w14:paraId="6CE8A5AA" w14:textId="3992FD3B" w:rsidR="00F878AF" w:rsidRDefault="00F878AF"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8.0 </w:t>
      </w:r>
      <w:r w:rsidRPr="00F878AF">
        <w:rPr>
          <w:rFonts w:ascii="Times New Roman" w:hAnsi="Times New Roman" w:cs="Times New Roman"/>
          <w:b/>
          <w:bCs/>
          <w:sz w:val="28"/>
          <w:szCs w:val="28"/>
        </w:rPr>
        <w:t>Challenges and Barriers to Effective Climate Action</w:t>
      </w:r>
    </w:p>
    <w:p w14:paraId="0C1DE265" w14:textId="77777777" w:rsidR="00F878AF" w:rsidRDefault="00F878AF" w:rsidP="009346B0">
      <w:pPr>
        <w:spacing w:after="0" w:line="240" w:lineRule="auto"/>
        <w:jc w:val="both"/>
        <w:rPr>
          <w:rFonts w:ascii="Times New Roman" w:hAnsi="Times New Roman" w:cs="Times New Roman"/>
          <w:b/>
          <w:bCs/>
          <w:sz w:val="28"/>
          <w:szCs w:val="28"/>
        </w:rPr>
      </w:pPr>
    </w:p>
    <w:p w14:paraId="05F99E88" w14:textId="4F7E9A33"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As a dire scientific consensus emerges worldwide on urgent action to address climate change, global efforts to mitigate and adapt to its impacts remain mixed and inadequate. A compound of interlocking political, economic, social, and technological barriers continues to block the scale and pace of climate action needed to meet international targets, including those under the Paris Agreement</w:t>
      </w:r>
      <w:r w:rsidR="002555E8">
        <w:rPr>
          <w:rFonts w:ascii="Times New Roman" w:hAnsi="Times New Roman" w:cs="Times New Roman"/>
          <w:sz w:val="24"/>
          <w:szCs w:val="24"/>
        </w:rPr>
        <w:t xml:space="preserve"> </w:t>
      </w:r>
      <w:r w:rsidR="002555E8">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{"citationID":"tT9BYhwq","properties":{"formattedCitation":"(Fitzgerald, 2022)","plainCitation":"(Fitzgerald, 2022)","noteIndex":0},"citationItems":[{"id":1898,"uris":["http://zotero.org/users/local/OSBVH90z/items/29BVW6CM"],"itemData":{"id":1898,"type":"article-journal","container-title":"Journal of the American Planning Association","DOI":"10.1080/01944363.2021.2013301","ISSN":"0194-4363, 1939-0130","issue":"4","journalAbbreviation":"Journal of the American Planning Association","language":"en","page":"508-523","source":"DOI.org (Crossref)","title":"Transitioning From Urban Climate Action to Climate Equity","volume":"88","author":[{"family":"Fitzgerald","given":"Joan"}],"issued":{"date-parts":[["2022",10,2]]}}}],"schema":"https://github.com/citation-style-language/schema/raw/master/csl-citation.json"} </w:instrText>
      </w:r>
      <w:r w:rsidR="002555E8">
        <w:rPr>
          <w:rFonts w:ascii="Times New Roman" w:hAnsi="Times New Roman" w:cs="Times New Roman"/>
          <w:sz w:val="24"/>
          <w:szCs w:val="24"/>
        </w:rPr>
        <w:fldChar w:fldCharType="separate"/>
      </w:r>
      <w:r w:rsidR="00331E5F" w:rsidRPr="00331E5F">
        <w:rPr>
          <w:rFonts w:ascii="Times New Roman" w:hAnsi="Times New Roman" w:cs="Times New Roman"/>
          <w:sz w:val="24"/>
        </w:rPr>
        <w:t>(Fitzgerald, 2022)</w:t>
      </w:r>
      <w:r w:rsidR="002555E8">
        <w:rPr>
          <w:rFonts w:ascii="Times New Roman" w:hAnsi="Times New Roman" w:cs="Times New Roman"/>
          <w:sz w:val="24"/>
          <w:szCs w:val="24"/>
        </w:rPr>
        <w:fldChar w:fldCharType="end"/>
      </w:r>
      <w:r w:rsidRPr="007A0876">
        <w:rPr>
          <w:rFonts w:ascii="Times New Roman" w:hAnsi="Times New Roman" w:cs="Times New Roman"/>
          <w:sz w:val="24"/>
          <w:szCs w:val="24"/>
        </w:rPr>
        <w:t>. Recognizing the above barriers is essential to creating improved, more inclusive strategies.</w:t>
      </w:r>
    </w:p>
    <w:p w14:paraId="544382D3" w14:textId="284A7236"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One of the most enduring hurdles for scaling up climate action is the absence of political agreement and commitment at the national and international levels. Short-term political cycles, partisan divides, and fossil fuel industry lobbying pressures from the </w:t>
      </w:r>
      <w:r w:rsidR="00F11BF1" w:rsidRPr="007A0876">
        <w:rPr>
          <w:rFonts w:ascii="Times New Roman" w:hAnsi="Times New Roman" w:cs="Times New Roman"/>
          <w:sz w:val="24"/>
          <w:szCs w:val="24"/>
        </w:rPr>
        <w:t>frequent</w:t>
      </w:r>
      <w:r w:rsidRPr="007A0876">
        <w:rPr>
          <w:rFonts w:ascii="Times New Roman" w:hAnsi="Times New Roman" w:cs="Times New Roman"/>
          <w:sz w:val="24"/>
          <w:szCs w:val="24"/>
        </w:rPr>
        <w:t xml:space="preserve"> drive climate policies encounter domestic opposition to imposing severe environmental policies if their action conflicts with economic expansion or job opportunities within high-carbon industries. This absence of long-term political ownership weakens continuity and ambition in climate planning.</w:t>
      </w:r>
    </w:p>
    <w:p w14:paraId="124EBABC" w14:textId="02FD7767"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Wealth inequalities and historical emissions have made negotiations difficult on the global stage. Developing countries make claims for climate justice—arguing that they bear a smaller share of emissions but a more significant share of vulnerability—but developed countries are often reluctant to agree to more outstanding financial contributions or deeper emissions reductions. One other major obstacle is funding. Even as pledges for climate financing have increased recently, the amount released lags what is promised. Moreover, the $100 billion a year </w:t>
      </w:r>
      <w:r w:rsidR="00F11BF1" w:rsidRPr="007A0876">
        <w:rPr>
          <w:rFonts w:ascii="Times New Roman" w:hAnsi="Times New Roman" w:cs="Times New Roman"/>
          <w:sz w:val="24"/>
          <w:szCs w:val="24"/>
        </w:rPr>
        <w:t xml:space="preserve">that </w:t>
      </w:r>
      <w:r w:rsidRPr="007A0876">
        <w:rPr>
          <w:rFonts w:ascii="Times New Roman" w:hAnsi="Times New Roman" w:cs="Times New Roman"/>
          <w:sz w:val="24"/>
          <w:szCs w:val="24"/>
        </w:rPr>
        <w:t>developed countries promised to mobilize for their developing counterparts — a centerpiece of the Paris Agreement — has yet to be fully delivered. On the one hand, transitioning economies are contending with the enormous task of decoupling growth from emissions, which requires significant up-front investments in clean infrastructure, transitions for workers, and restructuring of most energy and transportation systems, all of which first require strong fiscal planning and then substantial international support.</w:t>
      </w:r>
    </w:p>
    <w:p w14:paraId="715E6781" w14:textId="24A02CC1"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Climate action is further challenged by social and cultural dynamics that influence public attitudes, behaviors, and acceptance of policy measures. Climate change is often viewed as a far-off or amorphous threat, especially in places where scientific literacy is low or communities face more pressing socio-economic issues. This leads to poor public engagement and insufficient demand for policy reform.</w:t>
      </w:r>
    </w:p>
    <w:p w14:paraId="4DB5BC52" w14:textId="044014C5"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lastRenderedPageBreak/>
        <w:t xml:space="preserve">Sectors with vested interests also resist change. For example, industries that rely on fossil fuels, automotive manufacturing, and intensive agriculture may view decarbonization as a threat to profit or jobs. Consequently, they actively lobby against climate policies, resulting in delays in the policy process, regulatory loopholes, or greenwashing practices </w:t>
      </w:r>
      <w:r w:rsidR="007375D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{"citationID":"hopVsAnK","properties":{"formattedCitation":"(Culhane et al., 2021)","plainCitation":"(Culhane et al., 2021)","noteIndex":0},"citationItems":[{"id":1902,"uris":["http://zotero.org/users/local/OSBVH90z/items/XG4MAGN6"],"itemData":{"id":1902,"type":"article-journal","container-title":"Energy Research &amp; Social Science","DOI":"10.1016/j.erss.2021.102114","ISSN":"22146296","journalAbbreviation":"Energy Research &amp; Social Science","language":"en","page":"102114","source":"DOI.org (Crossref)","title":"Who delays climate action? Interest groups and coalitions in state legislative struggles in the United States","title-short":"Who delays climate action?","volume":"79","author":[{"family":"Culhane","given":"Trevor"},{"family":"Hall","given":"Galen"},{"family":"Roberts","given":"J. Timmons"}],"issued":{"date-parts":[["2021",9]]}}}],"schema":"https://github.com/citation-style-language/schema/raw/master/csl-citation.json"} </w:instrText>
      </w:r>
      <w:r w:rsidR="007375D0">
        <w:rPr>
          <w:rFonts w:ascii="Times New Roman" w:hAnsi="Times New Roman" w:cs="Times New Roman"/>
          <w:sz w:val="24"/>
          <w:szCs w:val="24"/>
        </w:rPr>
        <w:fldChar w:fldCharType="separate"/>
      </w:r>
      <w:r w:rsidR="00331E5F" w:rsidRPr="00331E5F">
        <w:rPr>
          <w:rFonts w:ascii="Times New Roman" w:hAnsi="Times New Roman" w:cs="Times New Roman"/>
          <w:sz w:val="24"/>
        </w:rPr>
        <w:t>(Culhane et al., 2021)</w:t>
      </w:r>
      <w:r w:rsidR="007375D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50066463" w14:textId="77777777"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Cultural values and identities can also shape climate responses. Sometimes, traditional ways of life may clash with externally imposed adaptation measures, while in other cases, women or Indigenous peoples may face societal norms that restrict their role in climate governance. Building public trust and awareness and localizing climate solutions within citizens’ cultural contexts are key to social acceptance and behavioral change.</w:t>
      </w:r>
    </w:p>
    <w:p w14:paraId="20461890" w14:textId="22F9B273"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Indeed, while technological innovation is critical to climate mitigation and adaptation, technological availability, accessibility, and scalability are uneven across different regions. In many developing countries, high costs, lack of technical know-how, and poor infrastructure make it difficult for them to access advanced technologies. Even in developed economies, scaling up technologies like carbon capture and storage (CCS), green hydrogen, or next-generation battery systems is still limited by economic and regulatory uncertainty </w:t>
      </w:r>
      <w:r w:rsidR="007375D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{"citationID":"YNRCnrvK","properties":{"formattedCitation":"(Arent et al., 2022)","plainCitation":"(Arent et al., 2022)","noteIndex":0},"citationItems":[{"id":1904,"uris":["http://zotero.org/users/local/OSBVH90z/items/I4E8IQGQ"],"itemData":{"id":1904,"type":"article-journal","container-title":"Renewable and Sustainable Energy Reviews","DOI":"10.1016/j.rser.2022.112939","ISSN":"13640321","journalAbbreviation":"Renewable and Sustainable Energy Reviews","language":"en","page":"112939","source":"DOI.org (Crossref)","title":"Challenges and opportunities in decarbonizing the U.S. energy system","volume":"169","author":[{"family":"Arent","given":"Douglas J."},{"family":"Green","given":"Peter"},{"family":"Abdullah","given":"Zia"},{"family":"Barnes","given":"Teresa"},{"family":"Bauer","given":"Sage"},{"family":"Bernstein","given":"Andrey"},{"family":"Berry","given":"Derek"},{"family":"Berry","given":"Joe"},{"family":"Burrell","given":"Tony"},{"family":"Carpenter","given":"Birdie"},{"family":"Cochran","given":"Jaquelin"},{"family":"Cortright","given":"Randy"},{"family":"Curry-Nkansah","given":"Maria"},{"family":"Denholm","given":"Paul"},{"family":"Gevorian","given":"Vahan"},{"family":"Himmel","given":"Michael"},{"family":"Livingood","given":"Bill"},{"family":"Keyser","given":"Matt"},{"family":"King","given":"Jennifer"},{"family":"Kroposki","given":"Ben"},{"family":"Mai","given":"Trieu"},{"family":"Mehos","given":"Mark"},{"family":"Muratori","given":"Matteo"},{"family":"Narumanchi","given":"Sreekant"},{"family":"Pivovar","given":"Bryan"},{"family":"Romero-Lankao","given":"Patty"},{"family":"Ruth","given":"Mark"},{"family":"Stark","given":"Greg"},{"family":"Turchi","given":"Craig"}],"issued":{"date-parts":[["2022",11]]}}}],"schema":"https://github.com/citation-style-language/schema/raw/master/csl-citation.json"} </w:instrText>
      </w:r>
      <w:r w:rsidR="007375D0">
        <w:rPr>
          <w:rFonts w:ascii="Times New Roman" w:hAnsi="Times New Roman" w:cs="Times New Roman"/>
          <w:sz w:val="24"/>
          <w:szCs w:val="24"/>
        </w:rPr>
        <w:fldChar w:fldCharType="separate"/>
      </w:r>
      <w:r w:rsidR="00331E5F" w:rsidRPr="00331E5F">
        <w:rPr>
          <w:rFonts w:ascii="Times New Roman" w:hAnsi="Times New Roman" w:cs="Times New Roman"/>
          <w:sz w:val="24"/>
        </w:rPr>
        <w:t>(Arent et al., 2022)</w:t>
      </w:r>
      <w:r w:rsidR="007375D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3C2903AF" w14:textId="77777777"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Furthermore, adaptation technologies ranging from resilient infrastructure to early warning systems to precision agriculture are capital-intensive and require context-specific customization that is costly and challenging to scale up. Technological adoption and resilience-building capacity are further divided by urban-rural divides.</w:t>
      </w:r>
    </w:p>
    <w:p w14:paraId="45613831" w14:textId="0C7F3355"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The monitoring, reporting, and verification (MRV) of climate actions is another crucial barrier to transparency and accountability in global climate governance. In many countries, institutional capacities to track emissions reductions, analyze climate risks, or evaluate the effectiveness of adaptation programs are weak or underdeveloped. This strains the credibility of climate promises and further complicates attempts to galvanize international backing.</w:t>
      </w:r>
    </w:p>
    <w:p w14:paraId="4138B4A8" w14:textId="77777777" w:rsidR="00594F00" w:rsidRDefault="00594F00" w:rsidP="00F878AF">
      <w:pPr>
        <w:spacing w:after="0" w:line="240" w:lineRule="auto"/>
        <w:jc w:val="both"/>
        <w:rPr>
          <w:rFonts w:ascii="Times New Roman" w:hAnsi="Times New Roman" w:cs="Times New Roman"/>
          <w:b/>
          <w:bCs/>
          <w:sz w:val="28"/>
          <w:szCs w:val="28"/>
        </w:rPr>
      </w:pPr>
    </w:p>
    <w:p w14:paraId="793516BC" w14:textId="4CFDC306" w:rsidR="00594F00" w:rsidRDefault="00F878AF"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9.0 </w:t>
      </w:r>
      <w:r w:rsidR="006D1362" w:rsidRPr="006D1362">
        <w:rPr>
          <w:rFonts w:ascii="Times New Roman" w:hAnsi="Times New Roman" w:cs="Times New Roman"/>
          <w:b/>
          <w:bCs/>
          <w:sz w:val="28"/>
          <w:szCs w:val="28"/>
        </w:rPr>
        <w:t>Future Outlook and Recommendations</w:t>
      </w:r>
    </w:p>
    <w:p w14:paraId="5B5B4451" w14:textId="77777777" w:rsidR="00594F00" w:rsidRDefault="00594F00" w:rsidP="009346B0">
      <w:pPr>
        <w:spacing w:after="0" w:line="240" w:lineRule="auto"/>
        <w:jc w:val="both"/>
        <w:rPr>
          <w:rFonts w:ascii="Times New Roman" w:hAnsi="Times New Roman" w:cs="Times New Roman"/>
          <w:b/>
          <w:bCs/>
          <w:sz w:val="28"/>
          <w:szCs w:val="28"/>
        </w:rPr>
      </w:pPr>
    </w:p>
    <w:p w14:paraId="78A90A5F" w14:textId="13E4A78E"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With the global climate crisis reaching unprecedented levels, the need for widespread coordinated action has never been greater. We have progressed, culminating in international agreements, technological innovations, and local adaptation efforts. However, the current scale of climate action is insufficient to achieve the Paris Agreement's goals </w:t>
      </w:r>
      <w:r w:rsidR="00F11BF1" w:rsidRPr="007A0876">
        <w:rPr>
          <w:rFonts w:ascii="Times New Roman" w:hAnsi="Times New Roman" w:cs="Times New Roman"/>
          <w:sz w:val="24"/>
          <w:szCs w:val="24"/>
        </w:rPr>
        <w:t>or</w:t>
      </w:r>
      <w:r w:rsidRPr="007A0876">
        <w:rPr>
          <w:rFonts w:ascii="Times New Roman" w:hAnsi="Times New Roman" w:cs="Times New Roman"/>
          <w:sz w:val="24"/>
          <w:szCs w:val="24"/>
        </w:rPr>
        <w:t xml:space="preserve"> to avoid the worst impacts of global warming. This section lays out a way forward for robust climate mitigation and climate adaptation, presents global policy recommendations, and emphasizes the central role of local communities and individuals in achieving a sustainable future.</w:t>
      </w:r>
    </w:p>
    <w:p w14:paraId="07FFD0DB" w14:textId="77777777" w:rsidR="002C1050" w:rsidRPr="007A0876" w:rsidRDefault="002C1050" w:rsidP="002C1050">
      <w:pPr>
        <w:spacing w:after="0" w:line="240" w:lineRule="auto"/>
        <w:jc w:val="both"/>
        <w:rPr>
          <w:rFonts w:ascii="Times New Roman" w:hAnsi="Times New Roman" w:cs="Times New Roman"/>
          <w:sz w:val="24"/>
          <w:szCs w:val="24"/>
        </w:rPr>
      </w:pPr>
    </w:p>
    <w:p w14:paraId="7BFC1C39" w14:textId="77777777" w:rsidR="002C1050" w:rsidRPr="007A0876" w:rsidRDefault="002C1050" w:rsidP="002C1050">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9.1 The Way Ahead for Mitigation and Adaptation</w:t>
      </w:r>
    </w:p>
    <w:p w14:paraId="11D3BF87" w14:textId="7777777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We can no longer afford to view climate change as a separate issue; its intertwined nature with all sectors of society means that the solutions to the multifaceted problem of the climate crisis will be best suited in the form of accelerated, systemic transformations of all facets of society. Scientists, policymakers, and civil society widely agree that current efforts must be rapidly scaled up and synchronized. Doing so will require profound emissions reduction and widespread adaptation to unavoidable impacts.</w:t>
      </w:r>
    </w:p>
    <w:p w14:paraId="03676B99" w14:textId="1E92C28F"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The urgent need for mitigation must focus on a rapid transition to low-carbon energy systems, exploiting advances in renewable energy technologies (solar, wind, geothermal, and green hydrogen). The recent fall in the costs of renewables and the emergence of positive policy environments provide a promising path for decarbonizing electricity generation. Moreover, </w:t>
      </w:r>
      <w:r w:rsidRPr="007A0876">
        <w:rPr>
          <w:rFonts w:ascii="Times New Roman" w:hAnsi="Times New Roman" w:cs="Times New Roman"/>
          <w:sz w:val="24"/>
          <w:szCs w:val="24"/>
        </w:rPr>
        <w:lastRenderedPageBreak/>
        <w:t xml:space="preserve">energy storage systems, innovative grid technologies, and digital innovations like artificial intelligence and machine learning can increase efficiency and integration across energy systems </w:t>
      </w:r>
      <w:r w:rsidR="007375D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{"citationID":"kIZiiUgy","properties":{"formattedCitation":"(Kiasari et al., 2024)","plainCitation":"(Kiasari et al., 2024)","noteIndex":0},"citationItems":[{"id":1905,"uris":["http://zotero.org/users/local/OSBVH90z/items/454A36GN"],"itemData":{"id":1905,"type":"article-journal","abstract":"The integration of renewable energy sources (RES) into smart grids has been considered crucial for advancing towards a sustainable and resilient energy infrastructure. Their integration is vital for achieving energy sustainability among all clean energy sources, including wind, solar, and hydropower. This review paper provides a thoughtful analysis of the current status of the smart grid, focusing on integrating various RES, such as wind and solar, into the smart grid. This review highlights the significant role of RES in reducing greenhouse gas emissions and reducing traditional fossil fuel reliability, thereby contributing to environmental sustainability and empowering energy security. Moreover, key advancements in smart grid technologies, such as Advanced Metering Infrastructure (AMI), Distributed Control Systems (DCS), and Supervisory Control and Data Acquisition (SCADA) systems, are explored to clarify the related topics to the smart grid. The usage of various technologies enhances grid reliability, efficiency, and resilience are introduced. This paper also investigates the application of Machine Learning (ML) techniques in energy management optimization within smart grids with the usage of various optimization techniques. The findings emphasize the transformative impact of integrating RES and advanced smart grid technologies alongside the need for continued innovation and supportive policy frameworks to achieve a sustainable energy future.","container-title":"Energies","DOI":"10.3390/en17164128","ISSN":"1996-1073","issue":"16","journalAbbreviation":"Energies","language":"en","license":"https://creativecommons.org/licenses/by/4.0/","page":"4128","source":"DOI.org (Crossref)","title":"A Comprehensive Review of the Current Status of Smart Grid Technologies for Renewable Energies Integration and Future Trends: The Role of Machine Learning and Energy Storage Systems","title-short":"A Comprehensive Review of the Current Status of Smart Grid Technologies for Renewable Energies Integration and Future Trends","volume":"17","author":[{"family":"Kiasari","given":"Mahmoud"},{"family":"Ghaffari","given":"Mahdi"},{"family":"Aly","given":"Hamed"}],"issued":{"date-parts":[["2024",8,19]]}}}],"schema":"https://github.com/citation-style-language/schema/raw/master/csl-citation.json"} </w:instrText>
      </w:r>
      <w:r w:rsidR="007375D0">
        <w:rPr>
          <w:rFonts w:ascii="Times New Roman" w:hAnsi="Times New Roman" w:cs="Times New Roman"/>
          <w:sz w:val="24"/>
          <w:szCs w:val="24"/>
        </w:rPr>
        <w:fldChar w:fldCharType="separate"/>
      </w:r>
      <w:r w:rsidR="00331E5F" w:rsidRPr="00331E5F">
        <w:rPr>
          <w:rFonts w:ascii="Times New Roman" w:hAnsi="Times New Roman" w:cs="Times New Roman"/>
          <w:sz w:val="24"/>
        </w:rPr>
        <w:t>(Kiasari et al., 2024)</w:t>
      </w:r>
      <w:r w:rsidR="007375D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31977FFC" w14:textId="2DE4502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At the same time, global efforts, including the UNFCCC, must continue to promote adaptation. Adaptation </w:t>
      </w:r>
      <w:r w:rsidR="00287E6A">
        <w:rPr>
          <w:rFonts w:ascii="Times New Roman" w:hAnsi="Times New Roman" w:cs="Times New Roman"/>
          <w:sz w:val="24"/>
          <w:szCs w:val="24"/>
        </w:rPr>
        <w:t>must</w:t>
      </w:r>
      <w:r w:rsidRPr="007A0876">
        <w:rPr>
          <w:rFonts w:ascii="Times New Roman" w:hAnsi="Times New Roman" w:cs="Times New Roman"/>
          <w:sz w:val="24"/>
          <w:szCs w:val="24"/>
        </w:rPr>
        <w:t xml:space="preserve"> be built into national development strategies, especially in vulnerable countries and regions. Investments in climate-resilient infrastructure, sustainable agriculture, and nature-based solutions will be critical to protecting livelihoods and ecosystems</w:t>
      </w:r>
      <w:r w:rsidR="00287E6A">
        <w:rPr>
          <w:rFonts w:ascii="Times New Roman" w:hAnsi="Times New Roman" w:cs="Times New Roman"/>
          <w:sz w:val="24"/>
          <w:szCs w:val="24"/>
        </w:rPr>
        <w:t xml:space="preserve"> </w:t>
      </w:r>
      <w:r w:rsidR="00287E6A">
        <w:rPr>
          <w:rFonts w:ascii="Times New Roman" w:hAnsi="Times New Roman" w:cs="Times New Roman"/>
          <w:sz w:val="24"/>
          <w:szCs w:val="24"/>
        </w:rPr>
        <w:fldChar w:fldCharType="begin"/>
      </w:r>
      <w:r w:rsidR="00287E6A">
        <w:rPr>
          <w:rFonts w:ascii="Times New Roman" w:hAnsi="Times New Roman" w:cs="Times New Roman"/>
          <w:sz w:val="24"/>
          <w:szCs w:val="24"/>
        </w:rPr>
        <w:instrText xml:space="preserve"> ADDIN ZOTERO_ITEM CSL_CITATION {"citationID":"4mw6ymZv","properties":{"formattedCitation":"(Mahedi, Pervez, et al., 2025)","plainCitation":"(Mahedi, Pervez, et al., 2025)","noteIndex":0},"citationItems":[{"id":2014,"uris":["http://zotero.org/users/local/OSBVH90z/items/7NRHP246"],"itemData":{"id":2014,"type":"article-journal","abstract":"Livelihood diversification has become an important avenue for rural people to build resilience, \nalleviate poverty, and adjust to socio-economic and environmental changes. The trend is part of a\nbroader change in rural economies, in which diversification has become a way to spread risk,\nsmooth incomes, and enhance well-being. This study examined the idea of Livelihood Diversification in Rural Communities by conducting a thorough Systematic Literature Review and\nbibliometric Analysis. This study uses a combined systematic literature review and bibliometric\nanalysis of 318 Scopus-indexed publications published between 2014 and 2024 to examine\nlivelihood diversification in rural areas. VOSviewer and R-based Biblioshiny software were used to\nanalyze the articles, which show a 5.07% yearly growth rate and an average of 19.08 citations per\ndocument. With 18,548 references, the collection demonstrated the depth of research in this area.\nOne of the most important discoveries is that academics increasingly work together internationally;\n37.74% of articles include international co-authorship. The research also emphasizes how the word\n\"Climate Change\" is becoming increasingly common in the literature, indicating the growing impact\nof climate change. Leading countries in the topic include the USA, Australia, and India; notable\nperiodicals in this area include the Journal of Rural Studies, Sustainability (Switzerland), and\nClimate and Development. According to network analysis, \"livelihood\" is a key idea that is linked to\nconcepts like \"food security,\" \"rural development,\" and \"economic development.\" The study\nconcluded that while much progress has been made in understanding diversification's drivers,\nstrategies, and outcomes, there are still key research gaps, particularly around the need to address\nthe complexities of different rural contexts, the role of intersectional factors, and the long-term\nimpacts of livelihood strategies. The project intends to use these insights to guide evidence-based\npolicy actions that support equitable and sustainable development in rural regions.","DOI":"10.9734/ajaees/2025/v43i42727","page":"162-177","source":"ResearchGate","title":"Emerging Trends in Livelihood Diversification in Rural Communities: A Bibliometric and Systematic Review","title-short":"Emerging Trends in Livelihood Diversification in Rural Communities","volume":"43","author":[{"family":"Mahedi","given":"Md"},{"family":"Pervez","given":"A.K.M."},{"family":"Rahman","given":"S"},{"family":"Sheikh","given":"Md"},{"family":"Shaili","given":"Shabrin Jahan"}],"issued":{"date-parts":[["2025",4,16]]}}}],"schema":"https://github.com/citation-style-language/schema/raw/master/csl-citation.json"} </w:instrText>
      </w:r>
      <w:r w:rsidR="00287E6A">
        <w:rPr>
          <w:rFonts w:ascii="Times New Roman" w:hAnsi="Times New Roman" w:cs="Times New Roman"/>
          <w:sz w:val="24"/>
          <w:szCs w:val="24"/>
        </w:rPr>
        <w:fldChar w:fldCharType="separate"/>
      </w:r>
      <w:r w:rsidR="00331E5F" w:rsidRPr="00331E5F">
        <w:rPr>
          <w:rFonts w:ascii="Times New Roman" w:hAnsi="Times New Roman" w:cs="Times New Roman"/>
          <w:sz w:val="24"/>
        </w:rPr>
        <w:t>(Mahedi et al., 2025)</w:t>
      </w:r>
      <w:r w:rsidR="00287E6A">
        <w:rPr>
          <w:rFonts w:ascii="Times New Roman" w:hAnsi="Times New Roman" w:cs="Times New Roman"/>
          <w:sz w:val="24"/>
          <w:szCs w:val="24"/>
        </w:rPr>
        <w:fldChar w:fldCharType="end"/>
      </w:r>
      <w:r w:rsidRPr="007A0876">
        <w:rPr>
          <w:rFonts w:ascii="Times New Roman" w:hAnsi="Times New Roman" w:cs="Times New Roman"/>
          <w:sz w:val="24"/>
          <w:szCs w:val="24"/>
        </w:rPr>
        <w:t>. It is also crucial to emphasize flexible, anticipatory governance models that respond to emerging risks and uncertainties.</w:t>
      </w:r>
    </w:p>
    <w:p w14:paraId="1C15B141" w14:textId="77777777" w:rsidR="002C1050" w:rsidRPr="007A0876" w:rsidRDefault="002C1050" w:rsidP="002C1050">
      <w:pPr>
        <w:spacing w:after="0" w:line="240" w:lineRule="auto"/>
        <w:jc w:val="both"/>
        <w:rPr>
          <w:rFonts w:ascii="Times New Roman" w:hAnsi="Times New Roman" w:cs="Times New Roman"/>
          <w:sz w:val="24"/>
          <w:szCs w:val="24"/>
        </w:rPr>
      </w:pPr>
    </w:p>
    <w:p w14:paraId="073DC1C4" w14:textId="77777777" w:rsidR="002C1050" w:rsidRPr="007A0876" w:rsidRDefault="002C1050" w:rsidP="002C1050">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9.2 Policy Recommendations at the Global Level</w:t>
      </w:r>
    </w:p>
    <w:p w14:paraId="673F23B0" w14:textId="199AB449"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Strong and inclusive climate governance is the foundation of real action. Complementary, strengthening the international climate architecture – especially the UN balance of powers through the mechanisms established under UNFCCC – will underpin transparency, accountability, and ambition with national pledges. These elements would include more ambitious review cycles, increased assistance to developing countries, and loss and damage compensation mechanisms, particularly for SIDS and LDCs, as future decisions on the Paris Agreement.</w:t>
      </w:r>
    </w:p>
    <w:p w14:paraId="7C490C92" w14:textId="0FE769D4"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It is imperative to mainstream climate action at all levels of governance. Health systems must be prepared to handle the consequences of diseases exacerbated by climate and heat exposure. The agricultural policy should promote climate-resilient crops and sustainable farming practices</w:t>
      </w:r>
      <w:r w:rsidR="00287E6A">
        <w:rPr>
          <w:rFonts w:ascii="Times New Roman" w:hAnsi="Times New Roman" w:cs="Times New Roman"/>
          <w:sz w:val="24"/>
          <w:szCs w:val="24"/>
        </w:rPr>
        <w:t xml:space="preserve"> </w:t>
      </w:r>
      <w:r w:rsidR="00287E6A">
        <w:rPr>
          <w:rFonts w:ascii="Times New Roman" w:hAnsi="Times New Roman" w:cs="Times New Roman"/>
          <w:sz w:val="24"/>
          <w:szCs w:val="24"/>
        </w:rPr>
        <w:fldChar w:fldCharType="begin"/>
      </w:r>
      <w:r w:rsidR="00287E6A">
        <w:rPr>
          <w:rFonts w:ascii="Times New Roman" w:hAnsi="Times New Roman" w:cs="Times New Roman"/>
          <w:sz w:val="24"/>
          <w:szCs w:val="24"/>
        </w:rPr>
        <w:instrText xml:space="preserve"> ADDIN ZOTERO_ITEM CSL_CITATION {"citationID":"jSLyYY3C","properties":{"formattedCitation":"(Mahedi, Shaili, et al., 2025)","plainCitation":"(Mahedi, Shaili, et al., 2025)","noteIndex":0},"citationItems":[{"id":2008,"uris":["http://zotero.org/users/local/OSBVH90z/items/GYB4PYUY"],"itemData":{"id":2008,"type":"article-journal","abstract":"Organic farming is a vital pathway to sustainable agriculture, addressing environmental, economic, and social challenges. This review synthesizes global trends, determinants, and barriers to adoption, analyzing data from international organizations, peer-reviewed studies, and policy frameworks. Despite significant growth—global organic farmland reached 74.9 million hectares (1.6% of total farmland) in 2021, with a market value of $187 billion (projected 12.5% annual growth)—adoption remains uneven. While Europe leads (e.g., EU’s 25% organic farmland target by 2030), developing regions like Bangladesh lag (0.1% adoption) due to economic constraints, weak institutions, and infrastructural gaps. Key drivers include economic incentives (price premiums, long-term profitability), social networks (peer learning), policy support (subsidies, certification), environmental benefits (soil health, biodiversity), and technological innovations (precision tools, blockchain). However, challenges persist: high transition costs, 3-year financial risks for smallholders, fragmented supply chains, certification complexities, and volatile markets. The study highlights the need for equitable policies—simplified certification, targeted subsidies, and investment in grassroots innovations. Future efforts must integrate gender inclusivity, climate resilience, and digital solutions (e.g., mobile apps, blockchain for traceability) to bridge adoption gaps in resource-limited contexts. Collaborative action among governments, NGOs, and the private sector is essential to align organic farming with the UN SDGs, fostering food systems that balance productivity, ecological stewardship, and socio-economic equity. By addressing systemic barriers and prioritizing marginalized voices, organic farming can transition from a niche practice to a global sustainability cornerstone, ensuring resilience in an era of escalating environmental and demographic pressures.","page":"26-45","source":"ResearchGate","title":"ADOPTION OF ORGANIC FARMING PRACTICES: A COMPREHENSIVE REVIEW OF TRENDS, DETERMINANTS, AND CHALLENGES","title-short":"ADOPTION OF ORGANIC FARMING PRACTICES","volume":"8","author":[{"family":"Mahedi","given":"Md"},{"family":"Shaili","given":"Shabrin Jahan"},{"family":"Nurnobi","given":"Md"},{"family":"Sakil","given":"A."},{"family":"Shihab","given":"Arafatur"}],"issued":{"date-parts":[["2025",3,20]]}}}],"schema":"https://github.com/citation-style-language/schema/raw/master/csl-citation.json"} </w:instrText>
      </w:r>
      <w:r w:rsidR="00287E6A">
        <w:rPr>
          <w:rFonts w:ascii="Times New Roman" w:hAnsi="Times New Roman" w:cs="Times New Roman"/>
          <w:sz w:val="24"/>
          <w:szCs w:val="24"/>
        </w:rPr>
        <w:fldChar w:fldCharType="separate"/>
      </w:r>
      <w:r w:rsidR="00331E5F" w:rsidRPr="00331E5F">
        <w:rPr>
          <w:rFonts w:ascii="Times New Roman" w:hAnsi="Times New Roman" w:cs="Times New Roman"/>
          <w:sz w:val="24"/>
        </w:rPr>
        <w:t>(Mahedi</w:t>
      </w:r>
      <w:r w:rsidR="0017695E">
        <w:rPr>
          <w:rFonts w:ascii="Times New Roman" w:hAnsi="Times New Roman" w:cs="Times New Roman"/>
          <w:sz w:val="24"/>
        </w:rPr>
        <w:t xml:space="preserve"> </w:t>
      </w:r>
      <w:r w:rsidR="00331E5F" w:rsidRPr="00331E5F">
        <w:rPr>
          <w:rFonts w:ascii="Times New Roman" w:hAnsi="Times New Roman" w:cs="Times New Roman"/>
          <w:sz w:val="24"/>
        </w:rPr>
        <w:t>et al., 2025)</w:t>
      </w:r>
      <w:r w:rsidR="00287E6A">
        <w:rPr>
          <w:rFonts w:ascii="Times New Roman" w:hAnsi="Times New Roman" w:cs="Times New Roman"/>
          <w:sz w:val="24"/>
          <w:szCs w:val="24"/>
        </w:rPr>
        <w:fldChar w:fldCharType="end"/>
      </w:r>
      <w:r w:rsidRPr="007A0876">
        <w:rPr>
          <w:rFonts w:ascii="Times New Roman" w:hAnsi="Times New Roman" w:cs="Times New Roman"/>
          <w:sz w:val="24"/>
          <w:szCs w:val="24"/>
        </w:rPr>
        <w:t>. Mobile is a group of Architecture, Engineering, and Environmental Science professionals who work together to deliver integrated solutions for sustainable infrastructure. Aerodynamic is a company focused on building climate-resilient infrastructure for the future. A "whole-of-government" approach informed by cross-sectoral coordination and participatory planning is needed to build long-term resilience </w:t>
      </w:r>
      <w:r w:rsidR="004A58BB">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{"citationID":"W57KA802","properties":{"formattedCitation":"(Scott et al., 2022)","plainCitation":"(Scott et al., 2022)","noteIndex":0},"citationItems":[{"id":1906,"uris":["http://zotero.org/users/local/OSBVH90z/items/4W979I49"],"itemData":{"id":1906,"type":"document","publisher":"Retrieved from website: https://www. researchgate. net/publication/362711958","source":"Google Scholar","title":"Built environment climate resilience and adaptation","URL":"https://www.researchgate.net/profile/Mick-Lennon/publication/362711958_Built_Environment_Climate_Resilience_and_Adaptation/links/62fb65ecceb9764f72ff8d61/Built-Environment-Climate-Resilience-and-Adaptation.pdf","author":[{"family":"Scott","given":"Mark"},{"family":"Burns","given":"Louise"},{"family":"Lennon","given":"Mick"},{"family":"Kinnane","given":"Oliver"}],"accessed":{"date-parts":[["2025",4,8]]},"issued":{"date-parts":[["2022"]]}}}],"schema":"https://github.com/citation-style-language/schema/raw/master/csl-citation.json"} </w:instrText>
      </w:r>
      <w:r w:rsidR="004A58BB">
        <w:rPr>
          <w:rFonts w:ascii="Times New Roman" w:hAnsi="Times New Roman" w:cs="Times New Roman"/>
          <w:sz w:val="24"/>
          <w:szCs w:val="24"/>
        </w:rPr>
        <w:fldChar w:fldCharType="separate"/>
      </w:r>
      <w:r w:rsidR="00331E5F" w:rsidRPr="00331E5F">
        <w:rPr>
          <w:rFonts w:ascii="Times New Roman" w:hAnsi="Times New Roman" w:cs="Times New Roman"/>
          <w:sz w:val="24"/>
        </w:rPr>
        <w:t>(Scott et al., 2022)</w:t>
      </w:r>
      <w:r w:rsidR="004A58BB">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197443FD" w14:textId="7777777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 addition, international financial institutions and multilateral development banks must prioritize climate finance, offering concessional loans, grants, and blended financing mechanisms. Increased access to climate finance, especially for local governments and Indigenous peoples, ensures that their adaptation efforts are equitable and effective.</w:t>
      </w:r>
    </w:p>
    <w:p w14:paraId="1C60F9A2" w14:textId="77777777" w:rsidR="002C1050" w:rsidRPr="007A0876" w:rsidRDefault="002C1050" w:rsidP="002C1050">
      <w:pPr>
        <w:spacing w:after="0" w:line="240" w:lineRule="auto"/>
        <w:jc w:val="both"/>
        <w:rPr>
          <w:rFonts w:ascii="Times New Roman" w:hAnsi="Times New Roman" w:cs="Times New Roman"/>
          <w:sz w:val="24"/>
          <w:szCs w:val="24"/>
        </w:rPr>
      </w:pPr>
    </w:p>
    <w:p w14:paraId="4F558295" w14:textId="77777777" w:rsidR="002C1050" w:rsidRPr="007A0876" w:rsidRDefault="002C1050" w:rsidP="002C1050">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9.3 Local Community and Individual Empowerment</w:t>
      </w:r>
    </w:p>
    <w:p w14:paraId="1E7F79F4" w14:textId="7777777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At the grassroots level, local communities and individuals are key drivers of change. Fundamentally, educating locals, building their capacity, and including them in governance are how communities are empowered to be agents of change. This can lead to locally appropriate solutions that are theoretically going to be better accepted and thereby accommodate sustainability. Local, science-based adaptation programs, Indigenous ecological knowledge, and stewardship of natural resources must all be acknowledged and supported as valuable pieces of climate solutions.</w:t>
      </w:r>
    </w:p>
    <w:p w14:paraId="1B7647BB" w14:textId="7777777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Equally, public engagement and awareness play a crucial role in changing behavior. Governments, media, and educational institutions must work together to raise awareness about climate change's causes, effects, and remedies. Campaigns to promote climate literacy, especially for youth, can help cultivate a new generation of climate-conscious citizens and leaders.</w:t>
      </w:r>
    </w:p>
    <w:p w14:paraId="072D2A6A" w14:textId="558C18D4" w:rsidR="006D1362" w:rsidRPr="00EA33A7" w:rsidRDefault="002C1050" w:rsidP="009346B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Individual lifestyle choices, while not a substitute for systemic change, can substantially mitigate emissions when adopted at scale. This can include cutting down on meat consumption, reducing energy consumption, selecting sustainable transportation options, and avoiding single-use plastics, which means we can take many actions as individuals. Incentive behaviors and social norms could support such behaviors in addition to top-down measures.</w:t>
      </w:r>
    </w:p>
    <w:p w14:paraId="1081FD39" w14:textId="04B6294E" w:rsidR="00440B35" w:rsidRDefault="00F878AF"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10.0 </w:t>
      </w:r>
      <w:r w:rsidR="00424842" w:rsidRPr="008D5D58">
        <w:rPr>
          <w:rFonts w:ascii="Times New Roman" w:hAnsi="Times New Roman" w:cs="Times New Roman"/>
          <w:b/>
          <w:bCs/>
          <w:sz w:val="28"/>
          <w:szCs w:val="28"/>
        </w:rPr>
        <w:t>Conclusion</w:t>
      </w:r>
      <w:r w:rsidR="00440B35">
        <w:rPr>
          <w:rFonts w:ascii="Times New Roman" w:hAnsi="Times New Roman" w:cs="Times New Roman"/>
          <w:b/>
          <w:bCs/>
          <w:sz w:val="28"/>
          <w:szCs w:val="28"/>
        </w:rPr>
        <w:t xml:space="preserve"> </w:t>
      </w:r>
    </w:p>
    <w:p w14:paraId="4A08E58C" w14:textId="77777777" w:rsidR="00440B35" w:rsidRDefault="00440B35" w:rsidP="009346B0">
      <w:pPr>
        <w:spacing w:after="0" w:line="240" w:lineRule="auto"/>
        <w:jc w:val="both"/>
        <w:rPr>
          <w:rFonts w:ascii="Times New Roman" w:hAnsi="Times New Roman" w:cs="Times New Roman"/>
          <w:b/>
          <w:bCs/>
          <w:sz w:val="28"/>
          <w:szCs w:val="28"/>
        </w:rPr>
      </w:pPr>
    </w:p>
    <w:p w14:paraId="7562B2C8" w14:textId="238C3C82" w:rsidR="00F11BF1" w:rsidRPr="007A0876" w:rsidRDefault="00F11BF1" w:rsidP="00F11BF1">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This review has thoroughly explored the multidimensionality of climate change, assessed its wide-ranging impacts, and critically appraised the global responses through adaptation and mitigation that have been instigated to avert the threat posed by climate change. Insights derived from recent scientific studies and available policy frameworks confirm that climate change remains a unique challenge for environmental balance, economic growth, and human health. Having made some progress, such as through the Paris Agreement, green infrastructure development, and national adaptation plans, there are still broad implementation, financing, and global equity gaps. The evidence also confirms that adaptation and mitigation are not contradictory but complementary pillars of an effective response to climate change; adaptation </w:t>
      </w:r>
      <w:r w:rsidR="005D324C">
        <w:rPr>
          <w:rFonts w:ascii="Times New Roman" w:hAnsi="Times New Roman" w:cs="Times New Roman"/>
          <w:sz w:val="24"/>
          <w:szCs w:val="24"/>
        </w:rPr>
        <w:t>strategies from</w:t>
      </w:r>
      <w:r w:rsidRPr="007A0876">
        <w:rPr>
          <w:rFonts w:ascii="Times New Roman" w:hAnsi="Times New Roman" w:cs="Times New Roman"/>
          <w:sz w:val="24"/>
          <w:szCs w:val="24"/>
        </w:rPr>
        <w:t xml:space="preserve"> sustainable agriculture to resilient infrastructure to community-based adaptation</w:t>
      </w:r>
      <w:r w:rsidR="005D324C">
        <w:rPr>
          <w:rFonts w:ascii="Times New Roman" w:hAnsi="Times New Roman" w:cs="Times New Roman"/>
          <w:sz w:val="24"/>
          <w:szCs w:val="24"/>
        </w:rPr>
        <w:t xml:space="preserve"> </w:t>
      </w:r>
      <w:r w:rsidRPr="007A0876">
        <w:rPr>
          <w:rFonts w:ascii="Times New Roman" w:hAnsi="Times New Roman" w:cs="Times New Roman"/>
          <w:sz w:val="24"/>
          <w:szCs w:val="24"/>
        </w:rPr>
        <w:t xml:space="preserve">can play a critical role in minimizing the immediate and localized impacts of climate disruptions. In parallel, mitigation measures — such as a shift to renewable energy, afforestation, and carbon pricing mechanisms are critical to reducing greenhouse gas emissions and avoiding irreversible planetary tipping points. Policymakers and international actors must prioritize the integration of both pathways according to regional contexts and vulnerabilities. This review reaffirms the urgency of action and calls for a renewed commitment to coordinated, inclusive, science-informed global responses. Meeting climate targets needs much more than a technical solution; it requires political will, institutional strength, and long-term thinking beyond </w:t>
      </w:r>
      <w:r w:rsidR="005D324C">
        <w:rPr>
          <w:rFonts w:ascii="Times New Roman" w:hAnsi="Times New Roman" w:cs="Times New Roman"/>
          <w:sz w:val="24"/>
          <w:szCs w:val="24"/>
        </w:rPr>
        <w:t xml:space="preserve">the </w:t>
      </w:r>
      <w:r w:rsidR="00544AEC">
        <w:rPr>
          <w:rFonts w:ascii="Times New Roman" w:hAnsi="Times New Roman" w:cs="Times New Roman"/>
          <w:sz w:val="24"/>
          <w:szCs w:val="24"/>
        </w:rPr>
        <w:t>short term</w:t>
      </w:r>
      <w:r w:rsidRPr="007A0876">
        <w:rPr>
          <w:rFonts w:ascii="Times New Roman" w:hAnsi="Times New Roman" w:cs="Times New Roman"/>
          <w:sz w:val="24"/>
          <w:szCs w:val="24"/>
        </w:rPr>
        <w:t>. The climate crisis does not just represent an environmental emergency; it is also a profound moral and intergenerational challenge. Thus, we must commit to solidarity, creativity, and responsibility to make a habitable planet for great present and future generations.</w:t>
      </w:r>
    </w:p>
    <w:p w14:paraId="1E907610" w14:textId="130BE360" w:rsidR="00452B6D" w:rsidRPr="007A0876" w:rsidRDefault="00FB52EF" w:rsidP="00452B6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 </w:t>
      </w:r>
    </w:p>
    <w:p w14:paraId="6040EA21" w14:textId="77777777" w:rsidR="00F878AF" w:rsidRDefault="00F878AF" w:rsidP="009346B0">
      <w:pPr>
        <w:spacing w:after="0" w:line="240" w:lineRule="auto"/>
        <w:jc w:val="both"/>
        <w:rPr>
          <w:rFonts w:ascii="Times New Roman" w:hAnsi="Times New Roman" w:cs="Times New Roman"/>
          <w:b/>
          <w:bCs/>
          <w:sz w:val="28"/>
          <w:szCs w:val="28"/>
        </w:rPr>
      </w:pPr>
    </w:p>
    <w:p w14:paraId="6B559F0F" w14:textId="4EA30D45" w:rsidR="00424842" w:rsidRPr="008D5D58" w:rsidRDefault="00F878AF"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11</w:t>
      </w:r>
      <w:r w:rsidR="00424842" w:rsidRPr="008D5D58">
        <w:rPr>
          <w:rFonts w:ascii="Times New Roman" w:hAnsi="Times New Roman" w:cs="Times New Roman"/>
          <w:b/>
          <w:bCs/>
          <w:sz w:val="28"/>
          <w:szCs w:val="28"/>
        </w:rPr>
        <w:t>.</w:t>
      </w:r>
      <w:r w:rsidR="008D5D58" w:rsidRPr="008D5D58">
        <w:rPr>
          <w:rFonts w:ascii="Times New Roman" w:hAnsi="Times New Roman" w:cs="Times New Roman"/>
          <w:b/>
          <w:bCs/>
          <w:sz w:val="28"/>
          <w:szCs w:val="28"/>
        </w:rPr>
        <w:t>0</w:t>
      </w:r>
      <w:r w:rsidR="00424842" w:rsidRPr="008D5D58">
        <w:rPr>
          <w:rFonts w:ascii="Times New Roman" w:hAnsi="Times New Roman" w:cs="Times New Roman"/>
          <w:b/>
          <w:bCs/>
          <w:sz w:val="28"/>
          <w:szCs w:val="28"/>
        </w:rPr>
        <w:t xml:space="preserve"> References</w:t>
      </w:r>
    </w:p>
    <w:p w14:paraId="1630509B" w14:textId="77777777" w:rsidR="00424842" w:rsidRPr="00475B6F" w:rsidRDefault="00424842" w:rsidP="009346B0">
      <w:pPr>
        <w:spacing w:after="0" w:line="240" w:lineRule="auto"/>
        <w:jc w:val="both"/>
        <w:rPr>
          <w:rFonts w:ascii="Times New Roman" w:hAnsi="Times New Roman" w:cs="Times New Roman"/>
          <w:b/>
          <w:bCs/>
          <w:sz w:val="24"/>
          <w:szCs w:val="24"/>
        </w:rPr>
      </w:pPr>
    </w:p>
    <w:p w14:paraId="2B25C76E" w14:textId="77777777" w:rsidR="00331E5F" w:rsidRPr="00331E5F" w:rsidRDefault="005F7EAF" w:rsidP="00B149CC">
      <w:pPr>
        <w:pStyle w:val="Bibliography"/>
        <w:numPr>
          <w:ilvl w:val="0"/>
          <w:numId w:val="26"/>
        </w:numPr>
        <w:spacing w:line="240" w:lineRule="auto"/>
        <w:jc w:val="both"/>
        <w:rPr>
          <w:rFonts w:ascii="Times New Roman" w:hAnsi="Times New Roman" w:cs="Times New Roman"/>
          <w:sz w:val="24"/>
        </w:rPr>
      </w:pPr>
      <w:r w:rsidRPr="00D0205E">
        <w:rPr>
          <w:sz w:val="24"/>
          <w:szCs w:val="24"/>
        </w:rPr>
        <w:fldChar w:fldCharType="begin"/>
      </w:r>
      <w:r w:rsidR="00331E5F">
        <w:rPr>
          <w:sz w:val="24"/>
          <w:szCs w:val="24"/>
        </w:rPr>
        <w:instrText xml:space="preserve"> ADDIN ZOTERO_BIBL {"uncited":[],"omitted":[],"custom":[]} CSL_BIBLIOGRAPHY </w:instrText>
      </w:r>
      <w:r w:rsidRPr="00D0205E">
        <w:rPr>
          <w:sz w:val="24"/>
          <w:szCs w:val="24"/>
        </w:rPr>
        <w:fldChar w:fldCharType="separate"/>
      </w:r>
      <w:r w:rsidR="00331E5F" w:rsidRPr="00331E5F">
        <w:rPr>
          <w:rFonts w:ascii="Times New Roman" w:hAnsi="Times New Roman" w:cs="Times New Roman"/>
          <w:sz w:val="24"/>
        </w:rPr>
        <w:t xml:space="preserve">Arent, D. J., Green, P., Abdullah, Z., Barnes, T., Bauer, S., Bernstein, A., Berry, D., Berry, J., Burrell, T., Carpenter, B., Cochran, J., Cortright, R., Curry-Nkansah, M., Denholm, P., Gevorian, V., Himmel, M., Livingood, B., Keyser, M., King, J., … Turchi, C. (2022). Challenges and opportunities in decarbonizing the U.S. energy system. </w:t>
      </w:r>
      <w:r w:rsidR="00331E5F" w:rsidRPr="00331E5F">
        <w:rPr>
          <w:rFonts w:ascii="Times New Roman" w:hAnsi="Times New Roman" w:cs="Times New Roman"/>
          <w:i/>
          <w:iCs/>
          <w:sz w:val="24"/>
        </w:rPr>
        <w:t>Renewable and Sustainable Energy Reviews</w:t>
      </w:r>
      <w:r w:rsidR="00331E5F" w:rsidRPr="00331E5F">
        <w:rPr>
          <w:rFonts w:ascii="Times New Roman" w:hAnsi="Times New Roman" w:cs="Times New Roman"/>
          <w:sz w:val="24"/>
        </w:rPr>
        <w:t xml:space="preserve">, </w:t>
      </w:r>
      <w:r w:rsidR="00331E5F" w:rsidRPr="00331E5F">
        <w:rPr>
          <w:rFonts w:ascii="Times New Roman" w:hAnsi="Times New Roman" w:cs="Times New Roman"/>
          <w:i/>
          <w:iCs/>
          <w:sz w:val="24"/>
        </w:rPr>
        <w:t>169</w:t>
      </w:r>
      <w:r w:rsidR="00331E5F" w:rsidRPr="00331E5F">
        <w:rPr>
          <w:rFonts w:ascii="Times New Roman" w:hAnsi="Times New Roman" w:cs="Times New Roman"/>
          <w:sz w:val="24"/>
        </w:rPr>
        <w:t>, 112939. https://doi.org/10.1016/j.rser.2022.112939</w:t>
      </w:r>
    </w:p>
    <w:p w14:paraId="6360878C"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Bhandary, R. R., Gallagher, K. S., &amp; Zhang, F. (2021). Climate finance policy in practice: A review of the evidence. </w:t>
      </w:r>
      <w:r w:rsidRPr="00331E5F">
        <w:rPr>
          <w:rFonts w:ascii="Times New Roman" w:hAnsi="Times New Roman" w:cs="Times New Roman"/>
          <w:i/>
          <w:iCs/>
          <w:sz w:val="24"/>
        </w:rPr>
        <w:t>Climate Policy</w:t>
      </w:r>
      <w:r w:rsidRPr="00331E5F">
        <w:rPr>
          <w:rFonts w:ascii="Times New Roman" w:hAnsi="Times New Roman" w:cs="Times New Roman"/>
          <w:sz w:val="24"/>
        </w:rPr>
        <w:t xml:space="preserve">, </w:t>
      </w:r>
      <w:r w:rsidRPr="00331E5F">
        <w:rPr>
          <w:rFonts w:ascii="Times New Roman" w:hAnsi="Times New Roman" w:cs="Times New Roman"/>
          <w:i/>
          <w:iCs/>
          <w:sz w:val="24"/>
        </w:rPr>
        <w:t>21</w:t>
      </w:r>
      <w:r w:rsidRPr="00331E5F">
        <w:rPr>
          <w:rFonts w:ascii="Times New Roman" w:hAnsi="Times New Roman" w:cs="Times New Roman"/>
          <w:sz w:val="24"/>
        </w:rPr>
        <w:t>(4), 529–545. https://doi.org/10.1080/14693062.2020.1871313</w:t>
      </w:r>
    </w:p>
    <w:p w14:paraId="093CF5BB"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Culhane, T., Hall, G., &amp; Roberts, J. T. (2021). Who delays climate action? Interest groups and coalitions in state legislative struggles in the United States. </w:t>
      </w:r>
      <w:r w:rsidRPr="00331E5F">
        <w:rPr>
          <w:rFonts w:ascii="Times New Roman" w:hAnsi="Times New Roman" w:cs="Times New Roman"/>
          <w:i/>
          <w:iCs/>
          <w:sz w:val="24"/>
        </w:rPr>
        <w:t>Energy Research &amp; Social Science</w:t>
      </w:r>
      <w:r w:rsidRPr="00331E5F">
        <w:rPr>
          <w:rFonts w:ascii="Times New Roman" w:hAnsi="Times New Roman" w:cs="Times New Roman"/>
          <w:sz w:val="24"/>
        </w:rPr>
        <w:t xml:space="preserve">, </w:t>
      </w:r>
      <w:r w:rsidRPr="00331E5F">
        <w:rPr>
          <w:rFonts w:ascii="Times New Roman" w:hAnsi="Times New Roman" w:cs="Times New Roman"/>
          <w:i/>
          <w:iCs/>
          <w:sz w:val="24"/>
        </w:rPr>
        <w:t>79</w:t>
      </w:r>
      <w:r w:rsidRPr="00331E5F">
        <w:rPr>
          <w:rFonts w:ascii="Times New Roman" w:hAnsi="Times New Roman" w:cs="Times New Roman"/>
          <w:sz w:val="24"/>
        </w:rPr>
        <w:t>, 102114. https://doi.org/10.1016/j.erss.2021.102114</w:t>
      </w:r>
    </w:p>
    <w:p w14:paraId="02ABC1AE"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Dedekorkut-Howes, A., Torabi, E., &amp; Howes, M. (2020). When the tide gets high: A review of adaptive responses to sea level rise and coastal flooding. </w:t>
      </w:r>
      <w:r w:rsidRPr="00331E5F">
        <w:rPr>
          <w:rFonts w:ascii="Times New Roman" w:hAnsi="Times New Roman" w:cs="Times New Roman"/>
          <w:i/>
          <w:iCs/>
          <w:sz w:val="24"/>
        </w:rPr>
        <w:t>Journal of Environmental Planning and Management</w:t>
      </w:r>
      <w:r w:rsidRPr="00331E5F">
        <w:rPr>
          <w:rFonts w:ascii="Times New Roman" w:hAnsi="Times New Roman" w:cs="Times New Roman"/>
          <w:sz w:val="24"/>
        </w:rPr>
        <w:t xml:space="preserve">, </w:t>
      </w:r>
      <w:r w:rsidRPr="00331E5F">
        <w:rPr>
          <w:rFonts w:ascii="Times New Roman" w:hAnsi="Times New Roman" w:cs="Times New Roman"/>
          <w:i/>
          <w:iCs/>
          <w:sz w:val="24"/>
        </w:rPr>
        <w:t>63</w:t>
      </w:r>
      <w:r w:rsidRPr="00331E5F">
        <w:rPr>
          <w:rFonts w:ascii="Times New Roman" w:hAnsi="Times New Roman" w:cs="Times New Roman"/>
          <w:sz w:val="24"/>
        </w:rPr>
        <w:t>(12), 2102–2143. https://doi.org/10.1080/09640568.2019.1708709</w:t>
      </w:r>
    </w:p>
    <w:p w14:paraId="1231F346"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Doukas, H., Nikas, A., González-Eguino, M., Arto, I., &amp; Anger-Kraavi, A. (2018). From Integrated to Integrative: Delivering on the Paris Agreement. </w:t>
      </w:r>
      <w:r w:rsidRPr="00331E5F">
        <w:rPr>
          <w:rFonts w:ascii="Times New Roman" w:hAnsi="Times New Roman" w:cs="Times New Roman"/>
          <w:i/>
          <w:iCs/>
          <w:sz w:val="24"/>
        </w:rPr>
        <w:t>Sustainability</w:t>
      </w:r>
      <w:r w:rsidRPr="00331E5F">
        <w:rPr>
          <w:rFonts w:ascii="Times New Roman" w:hAnsi="Times New Roman" w:cs="Times New Roman"/>
          <w:sz w:val="24"/>
        </w:rPr>
        <w:t xml:space="preserve">, </w:t>
      </w:r>
      <w:r w:rsidRPr="00331E5F">
        <w:rPr>
          <w:rFonts w:ascii="Times New Roman" w:hAnsi="Times New Roman" w:cs="Times New Roman"/>
          <w:i/>
          <w:iCs/>
          <w:sz w:val="24"/>
        </w:rPr>
        <w:t>10</w:t>
      </w:r>
      <w:r w:rsidRPr="00331E5F">
        <w:rPr>
          <w:rFonts w:ascii="Times New Roman" w:hAnsi="Times New Roman" w:cs="Times New Roman"/>
          <w:sz w:val="24"/>
        </w:rPr>
        <w:t>(7), 2299. https://doi.org/10.3390/su10072299</w:t>
      </w:r>
    </w:p>
    <w:p w14:paraId="214E8DB7"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lastRenderedPageBreak/>
        <w:t xml:space="preserve">Elneel, L., Zitouni, M. S., Mukhtar, H., Galli, P., &amp; Al-Ahmad, H. (2024). Exploring Key Aspects of Sea Level Rise and Their Implications: An Overview. </w:t>
      </w:r>
      <w:r w:rsidRPr="00331E5F">
        <w:rPr>
          <w:rFonts w:ascii="Times New Roman" w:hAnsi="Times New Roman" w:cs="Times New Roman"/>
          <w:i/>
          <w:iCs/>
          <w:sz w:val="24"/>
        </w:rPr>
        <w:t>Water</w:t>
      </w:r>
      <w:r w:rsidRPr="00331E5F">
        <w:rPr>
          <w:rFonts w:ascii="Times New Roman" w:hAnsi="Times New Roman" w:cs="Times New Roman"/>
          <w:sz w:val="24"/>
        </w:rPr>
        <w:t xml:space="preserve">, </w:t>
      </w:r>
      <w:r w:rsidRPr="00331E5F">
        <w:rPr>
          <w:rFonts w:ascii="Times New Roman" w:hAnsi="Times New Roman" w:cs="Times New Roman"/>
          <w:i/>
          <w:iCs/>
          <w:sz w:val="24"/>
        </w:rPr>
        <w:t>16</w:t>
      </w:r>
      <w:r w:rsidRPr="00331E5F">
        <w:rPr>
          <w:rFonts w:ascii="Times New Roman" w:hAnsi="Times New Roman" w:cs="Times New Roman"/>
          <w:sz w:val="24"/>
        </w:rPr>
        <w:t>(3), 388. https://doi.org/10.3390/w16030388</w:t>
      </w:r>
    </w:p>
    <w:p w14:paraId="5D9F6252"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Filonchyk, M., Peterson, M. P., Zhang, L., Hurynovich, V., &amp; He, Y. (2024). Greenhouse gases emissions and global climate change: Examining the influence of CO2, CH4, and N2O. </w:t>
      </w:r>
      <w:r w:rsidRPr="00331E5F">
        <w:rPr>
          <w:rFonts w:ascii="Times New Roman" w:hAnsi="Times New Roman" w:cs="Times New Roman"/>
          <w:i/>
          <w:iCs/>
          <w:sz w:val="24"/>
        </w:rPr>
        <w:t>Science of The Total Environment</w:t>
      </w:r>
      <w:r w:rsidRPr="00331E5F">
        <w:rPr>
          <w:rFonts w:ascii="Times New Roman" w:hAnsi="Times New Roman" w:cs="Times New Roman"/>
          <w:sz w:val="24"/>
        </w:rPr>
        <w:t xml:space="preserve">, </w:t>
      </w:r>
      <w:r w:rsidRPr="00331E5F">
        <w:rPr>
          <w:rFonts w:ascii="Times New Roman" w:hAnsi="Times New Roman" w:cs="Times New Roman"/>
          <w:i/>
          <w:iCs/>
          <w:sz w:val="24"/>
        </w:rPr>
        <w:t>935</w:t>
      </w:r>
      <w:r w:rsidRPr="00331E5F">
        <w:rPr>
          <w:rFonts w:ascii="Times New Roman" w:hAnsi="Times New Roman" w:cs="Times New Roman"/>
          <w:sz w:val="24"/>
        </w:rPr>
        <w:t>, 173359. https://doi.org/10.1016/j.scitotenv.2024.173359</w:t>
      </w:r>
    </w:p>
    <w:p w14:paraId="468BD083"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Fitzgerald, J. (2022). Transitioning From Urban Climate Action to Climate Equity. </w:t>
      </w:r>
      <w:r w:rsidRPr="00331E5F">
        <w:rPr>
          <w:rFonts w:ascii="Times New Roman" w:hAnsi="Times New Roman" w:cs="Times New Roman"/>
          <w:i/>
          <w:iCs/>
          <w:sz w:val="24"/>
        </w:rPr>
        <w:t>Journal of the American Planning Association</w:t>
      </w:r>
      <w:r w:rsidRPr="00331E5F">
        <w:rPr>
          <w:rFonts w:ascii="Times New Roman" w:hAnsi="Times New Roman" w:cs="Times New Roman"/>
          <w:sz w:val="24"/>
        </w:rPr>
        <w:t xml:space="preserve">, </w:t>
      </w:r>
      <w:r w:rsidRPr="00331E5F">
        <w:rPr>
          <w:rFonts w:ascii="Times New Roman" w:hAnsi="Times New Roman" w:cs="Times New Roman"/>
          <w:i/>
          <w:iCs/>
          <w:sz w:val="24"/>
        </w:rPr>
        <w:t>88</w:t>
      </w:r>
      <w:r w:rsidRPr="00331E5F">
        <w:rPr>
          <w:rFonts w:ascii="Times New Roman" w:hAnsi="Times New Roman" w:cs="Times New Roman"/>
          <w:sz w:val="24"/>
        </w:rPr>
        <w:t>(4), 508–523. https://doi.org/10.1080/01944363.2021.2013301</w:t>
      </w:r>
    </w:p>
    <w:p w14:paraId="7CCAFA91"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Gallaher, A., Graziano, M., Axon, S., &amp; Bertana, A. (2023). Breaking wind: A comparison between U.S. and European approaches in offshore wind energy leadership in the North Atlantic region. </w:t>
      </w:r>
      <w:r w:rsidRPr="00331E5F">
        <w:rPr>
          <w:rFonts w:ascii="Times New Roman" w:hAnsi="Times New Roman" w:cs="Times New Roman"/>
          <w:i/>
          <w:iCs/>
          <w:sz w:val="24"/>
        </w:rPr>
        <w:t>Renewable and Sustainable Energy Reviews</w:t>
      </w:r>
      <w:r w:rsidRPr="00331E5F">
        <w:rPr>
          <w:rFonts w:ascii="Times New Roman" w:hAnsi="Times New Roman" w:cs="Times New Roman"/>
          <w:sz w:val="24"/>
        </w:rPr>
        <w:t xml:space="preserve">, </w:t>
      </w:r>
      <w:r w:rsidRPr="00331E5F">
        <w:rPr>
          <w:rFonts w:ascii="Times New Roman" w:hAnsi="Times New Roman" w:cs="Times New Roman"/>
          <w:i/>
          <w:iCs/>
          <w:sz w:val="24"/>
        </w:rPr>
        <w:t>187</w:t>
      </w:r>
      <w:r w:rsidRPr="00331E5F">
        <w:rPr>
          <w:rFonts w:ascii="Times New Roman" w:hAnsi="Times New Roman" w:cs="Times New Roman"/>
          <w:sz w:val="24"/>
        </w:rPr>
        <w:t>, 113766. https://doi.org/10.1016/j.rser.2023.113766</w:t>
      </w:r>
    </w:p>
    <w:p w14:paraId="11FB89BC"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Grigorieva, E. A. (2024). Climate Change and Human Health in the Arctic: A Review. </w:t>
      </w:r>
      <w:r w:rsidRPr="00331E5F">
        <w:rPr>
          <w:rFonts w:ascii="Times New Roman" w:hAnsi="Times New Roman" w:cs="Times New Roman"/>
          <w:i/>
          <w:iCs/>
          <w:sz w:val="24"/>
        </w:rPr>
        <w:t>Climate</w:t>
      </w:r>
      <w:r w:rsidRPr="00331E5F">
        <w:rPr>
          <w:rFonts w:ascii="Times New Roman" w:hAnsi="Times New Roman" w:cs="Times New Roman"/>
          <w:sz w:val="24"/>
        </w:rPr>
        <w:t xml:space="preserve">, </w:t>
      </w:r>
      <w:r w:rsidRPr="00331E5F">
        <w:rPr>
          <w:rFonts w:ascii="Times New Roman" w:hAnsi="Times New Roman" w:cs="Times New Roman"/>
          <w:i/>
          <w:iCs/>
          <w:sz w:val="24"/>
        </w:rPr>
        <w:t>12</w:t>
      </w:r>
      <w:r w:rsidRPr="00331E5F">
        <w:rPr>
          <w:rFonts w:ascii="Times New Roman" w:hAnsi="Times New Roman" w:cs="Times New Roman"/>
          <w:sz w:val="24"/>
        </w:rPr>
        <w:t>(7), 89. https://doi.org/10.3390/cli12070089</w:t>
      </w:r>
    </w:p>
    <w:p w14:paraId="79DFAAEA"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Hansen, K. B., &amp; Agger, A. (2023). Copenhagen </w:t>
      </w:r>
      <w:r w:rsidRPr="00331E5F">
        <w:rPr>
          <w:rFonts w:ascii="Times New Roman" w:hAnsi="Times New Roman" w:cs="Times New Roman"/>
          <w:smallCaps/>
          <w:sz w:val="24"/>
        </w:rPr>
        <w:t xml:space="preserve"> CO</w:t>
      </w:r>
      <w:r w:rsidRPr="00331E5F">
        <w:rPr>
          <w:rFonts w:ascii="Times New Roman" w:hAnsi="Times New Roman" w:cs="Times New Roman"/>
          <w:smallCaps/>
          <w:sz w:val="24"/>
          <w:vertAlign w:val="subscript"/>
        </w:rPr>
        <w:t>2</w:t>
      </w:r>
      <w:r w:rsidRPr="00331E5F">
        <w:rPr>
          <w:rFonts w:ascii="Times New Roman" w:hAnsi="Times New Roman" w:cs="Times New Roman"/>
          <w:smallCaps/>
          <w:sz w:val="24"/>
        </w:rPr>
        <w:t xml:space="preserve"> </w:t>
      </w:r>
      <w:r w:rsidRPr="00331E5F">
        <w:rPr>
          <w:rFonts w:ascii="Times New Roman" w:hAnsi="Times New Roman" w:cs="Times New Roman"/>
          <w:sz w:val="24"/>
        </w:rPr>
        <w:t xml:space="preserve"> neutrality in 2025? A polycentric analysis of urban climate governance in Copenhagen 2006–2020. </w:t>
      </w:r>
      <w:r w:rsidRPr="00331E5F">
        <w:rPr>
          <w:rFonts w:ascii="Times New Roman" w:hAnsi="Times New Roman" w:cs="Times New Roman"/>
          <w:i/>
          <w:iCs/>
          <w:sz w:val="24"/>
        </w:rPr>
        <w:t>Environmental Policy and Governance</w:t>
      </w:r>
      <w:r w:rsidRPr="00331E5F">
        <w:rPr>
          <w:rFonts w:ascii="Times New Roman" w:hAnsi="Times New Roman" w:cs="Times New Roman"/>
          <w:sz w:val="24"/>
        </w:rPr>
        <w:t xml:space="preserve">, </w:t>
      </w:r>
      <w:r w:rsidRPr="00331E5F">
        <w:rPr>
          <w:rFonts w:ascii="Times New Roman" w:hAnsi="Times New Roman" w:cs="Times New Roman"/>
          <w:i/>
          <w:iCs/>
          <w:sz w:val="24"/>
        </w:rPr>
        <w:t>33</w:t>
      </w:r>
      <w:r w:rsidRPr="00331E5F">
        <w:rPr>
          <w:rFonts w:ascii="Times New Roman" w:hAnsi="Times New Roman" w:cs="Times New Roman"/>
          <w:sz w:val="24"/>
        </w:rPr>
        <w:t>(3), 288–300. https://doi.org/10.1002/eet.2030</w:t>
      </w:r>
    </w:p>
    <w:p w14:paraId="14ACC700"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Huang, X., White, M., &amp; Langenheim, N. (2022). Towards an Inclusive Walking Community—A Multi-Criteria Digital Evaluation Approach to Facilitate Accessible Journeys. </w:t>
      </w:r>
      <w:r w:rsidRPr="00331E5F">
        <w:rPr>
          <w:rFonts w:ascii="Times New Roman" w:hAnsi="Times New Roman" w:cs="Times New Roman"/>
          <w:i/>
          <w:iCs/>
          <w:sz w:val="24"/>
        </w:rPr>
        <w:t>Buildings</w:t>
      </w:r>
      <w:r w:rsidRPr="00331E5F">
        <w:rPr>
          <w:rFonts w:ascii="Times New Roman" w:hAnsi="Times New Roman" w:cs="Times New Roman"/>
          <w:sz w:val="24"/>
        </w:rPr>
        <w:t xml:space="preserve">, </w:t>
      </w:r>
      <w:r w:rsidRPr="00331E5F">
        <w:rPr>
          <w:rFonts w:ascii="Times New Roman" w:hAnsi="Times New Roman" w:cs="Times New Roman"/>
          <w:i/>
          <w:iCs/>
          <w:sz w:val="24"/>
        </w:rPr>
        <w:t>12</w:t>
      </w:r>
      <w:r w:rsidRPr="00331E5F">
        <w:rPr>
          <w:rFonts w:ascii="Times New Roman" w:hAnsi="Times New Roman" w:cs="Times New Roman"/>
          <w:sz w:val="24"/>
        </w:rPr>
        <w:t>(8), 1191. https://doi.org/10.3390/buildings12081191</w:t>
      </w:r>
    </w:p>
    <w:p w14:paraId="435B055F"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Huebner, S. (2025). Coastal urban climate adaptation and the advance onto aquatic surfaces using floating solutions: Historical challenges and potential future benefits of floating homes and similar structures. </w:t>
      </w:r>
      <w:r w:rsidRPr="00331E5F">
        <w:rPr>
          <w:rFonts w:ascii="Times New Roman" w:hAnsi="Times New Roman" w:cs="Times New Roman"/>
          <w:i/>
          <w:iCs/>
          <w:sz w:val="24"/>
        </w:rPr>
        <w:t>Ocean &amp; Coastal Management</w:t>
      </w:r>
      <w:r w:rsidRPr="00331E5F">
        <w:rPr>
          <w:rFonts w:ascii="Times New Roman" w:hAnsi="Times New Roman" w:cs="Times New Roman"/>
          <w:sz w:val="24"/>
        </w:rPr>
        <w:t xml:space="preserve">, </w:t>
      </w:r>
      <w:r w:rsidRPr="00331E5F">
        <w:rPr>
          <w:rFonts w:ascii="Times New Roman" w:hAnsi="Times New Roman" w:cs="Times New Roman"/>
          <w:i/>
          <w:iCs/>
          <w:sz w:val="24"/>
        </w:rPr>
        <w:t>261</w:t>
      </w:r>
      <w:r w:rsidRPr="00331E5F">
        <w:rPr>
          <w:rFonts w:ascii="Times New Roman" w:hAnsi="Times New Roman" w:cs="Times New Roman"/>
          <w:sz w:val="24"/>
        </w:rPr>
        <w:t>, 107433. https://doi.org/10.1016/j.ocecoaman.2024.107433</w:t>
      </w:r>
    </w:p>
    <w:p w14:paraId="15E9D419"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Ires, I. (2021). Intensive Agriculture as Climate Change Adaptation? Economic and Environmental Tradeoffs in Securing Rural Livelihoods in Tanzanian River Basins. </w:t>
      </w:r>
      <w:r w:rsidRPr="00331E5F">
        <w:rPr>
          <w:rFonts w:ascii="Times New Roman" w:hAnsi="Times New Roman" w:cs="Times New Roman"/>
          <w:i/>
          <w:iCs/>
          <w:sz w:val="24"/>
        </w:rPr>
        <w:t>Frontiers in Environmental Science</w:t>
      </w:r>
      <w:r w:rsidRPr="00331E5F">
        <w:rPr>
          <w:rFonts w:ascii="Times New Roman" w:hAnsi="Times New Roman" w:cs="Times New Roman"/>
          <w:sz w:val="24"/>
        </w:rPr>
        <w:t xml:space="preserve">, </w:t>
      </w:r>
      <w:r w:rsidRPr="00331E5F">
        <w:rPr>
          <w:rFonts w:ascii="Times New Roman" w:hAnsi="Times New Roman" w:cs="Times New Roman"/>
          <w:i/>
          <w:iCs/>
          <w:sz w:val="24"/>
        </w:rPr>
        <w:t>9</w:t>
      </w:r>
      <w:r w:rsidRPr="00331E5F">
        <w:rPr>
          <w:rFonts w:ascii="Times New Roman" w:hAnsi="Times New Roman" w:cs="Times New Roman"/>
          <w:sz w:val="24"/>
        </w:rPr>
        <w:t>, 674363. https://doi.org/10.3389/fenvs.2021.674363</w:t>
      </w:r>
    </w:p>
    <w:p w14:paraId="467A7A9B"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Jones, M. W., Peters, G. P., Gasser, T., Andrew, R. M., Schwingshackl, C., Gütschow, J., Houghton, R. A., Friedlingstein, P., Pongratz, J., &amp; Le Quéré, C. (2023). National contributions to climate change due to historical emissions of carbon dioxide, methane, and nitrous oxide since 1850. </w:t>
      </w:r>
      <w:r w:rsidRPr="00331E5F">
        <w:rPr>
          <w:rFonts w:ascii="Times New Roman" w:hAnsi="Times New Roman" w:cs="Times New Roman"/>
          <w:i/>
          <w:iCs/>
          <w:sz w:val="24"/>
        </w:rPr>
        <w:t>Scientific Data</w:t>
      </w:r>
      <w:r w:rsidRPr="00331E5F">
        <w:rPr>
          <w:rFonts w:ascii="Times New Roman" w:hAnsi="Times New Roman" w:cs="Times New Roman"/>
          <w:sz w:val="24"/>
        </w:rPr>
        <w:t xml:space="preserve">, </w:t>
      </w:r>
      <w:r w:rsidRPr="00331E5F">
        <w:rPr>
          <w:rFonts w:ascii="Times New Roman" w:hAnsi="Times New Roman" w:cs="Times New Roman"/>
          <w:i/>
          <w:iCs/>
          <w:sz w:val="24"/>
        </w:rPr>
        <w:t>10</w:t>
      </w:r>
      <w:r w:rsidRPr="00331E5F">
        <w:rPr>
          <w:rFonts w:ascii="Times New Roman" w:hAnsi="Times New Roman" w:cs="Times New Roman"/>
          <w:sz w:val="24"/>
        </w:rPr>
        <w:t>(1), 155. https://doi.org/10.1038/s41597-023-02041-1</w:t>
      </w:r>
    </w:p>
    <w:p w14:paraId="63BE56A3"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Jones, R. N. (2024). Evidence and Explanation for the 2023 Global Warming Anomaly. </w:t>
      </w:r>
      <w:r w:rsidRPr="00331E5F">
        <w:rPr>
          <w:rFonts w:ascii="Times New Roman" w:hAnsi="Times New Roman" w:cs="Times New Roman"/>
          <w:i/>
          <w:iCs/>
          <w:sz w:val="24"/>
        </w:rPr>
        <w:t>Atmosphere</w:t>
      </w:r>
      <w:r w:rsidRPr="00331E5F">
        <w:rPr>
          <w:rFonts w:ascii="Times New Roman" w:hAnsi="Times New Roman" w:cs="Times New Roman"/>
          <w:sz w:val="24"/>
        </w:rPr>
        <w:t xml:space="preserve">, </w:t>
      </w:r>
      <w:r w:rsidRPr="00331E5F">
        <w:rPr>
          <w:rFonts w:ascii="Times New Roman" w:hAnsi="Times New Roman" w:cs="Times New Roman"/>
          <w:i/>
          <w:iCs/>
          <w:sz w:val="24"/>
        </w:rPr>
        <w:t>15</w:t>
      </w:r>
      <w:r w:rsidRPr="00331E5F">
        <w:rPr>
          <w:rFonts w:ascii="Times New Roman" w:hAnsi="Times New Roman" w:cs="Times New Roman"/>
          <w:sz w:val="24"/>
        </w:rPr>
        <w:t>(12), 1507. https://doi.org/10.3390/atmos15121507</w:t>
      </w:r>
    </w:p>
    <w:p w14:paraId="180E8C40"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Kephe, P. N., Siewe, L. C., Lekalakala, R. G., Kwabena Ayisi, K., &amp; Petja, B. M. (2022). Optimizing Smallholder Farmers’ Productivity Through Crop Selection, Targeting and Prioritization Framework in the Limpopo and Free State Provinces, South Africa. </w:t>
      </w:r>
      <w:r w:rsidRPr="00331E5F">
        <w:rPr>
          <w:rFonts w:ascii="Times New Roman" w:hAnsi="Times New Roman" w:cs="Times New Roman"/>
          <w:i/>
          <w:iCs/>
          <w:sz w:val="24"/>
        </w:rPr>
        <w:t>Frontiers in Sustainable Food Systems</w:t>
      </w:r>
      <w:r w:rsidRPr="00331E5F">
        <w:rPr>
          <w:rFonts w:ascii="Times New Roman" w:hAnsi="Times New Roman" w:cs="Times New Roman"/>
          <w:sz w:val="24"/>
        </w:rPr>
        <w:t xml:space="preserve">, </w:t>
      </w:r>
      <w:r w:rsidRPr="00331E5F">
        <w:rPr>
          <w:rFonts w:ascii="Times New Roman" w:hAnsi="Times New Roman" w:cs="Times New Roman"/>
          <w:i/>
          <w:iCs/>
          <w:sz w:val="24"/>
        </w:rPr>
        <w:t>6</w:t>
      </w:r>
      <w:r w:rsidRPr="00331E5F">
        <w:rPr>
          <w:rFonts w:ascii="Times New Roman" w:hAnsi="Times New Roman" w:cs="Times New Roman"/>
          <w:sz w:val="24"/>
        </w:rPr>
        <w:t>, 738267. https://doi.org/10.3389/fsufs.2022.738267</w:t>
      </w:r>
    </w:p>
    <w:p w14:paraId="01272F59"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Kiasari, M., Ghaffari, M., &amp; Aly, H. (2024). A Comprehensive Review of the Current Status of Smart Grid Technologies for Renewable Energies Integration and Future Trends: The Role of Machine Learning and Energy Storage Systems. </w:t>
      </w:r>
      <w:r w:rsidRPr="00331E5F">
        <w:rPr>
          <w:rFonts w:ascii="Times New Roman" w:hAnsi="Times New Roman" w:cs="Times New Roman"/>
          <w:i/>
          <w:iCs/>
          <w:sz w:val="24"/>
        </w:rPr>
        <w:t>Energies</w:t>
      </w:r>
      <w:r w:rsidRPr="00331E5F">
        <w:rPr>
          <w:rFonts w:ascii="Times New Roman" w:hAnsi="Times New Roman" w:cs="Times New Roman"/>
          <w:sz w:val="24"/>
        </w:rPr>
        <w:t xml:space="preserve">, </w:t>
      </w:r>
      <w:r w:rsidRPr="00331E5F">
        <w:rPr>
          <w:rFonts w:ascii="Times New Roman" w:hAnsi="Times New Roman" w:cs="Times New Roman"/>
          <w:i/>
          <w:iCs/>
          <w:sz w:val="24"/>
        </w:rPr>
        <w:t>17</w:t>
      </w:r>
      <w:r w:rsidRPr="00331E5F">
        <w:rPr>
          <w:rFonts w:ascii="Times New Roman" w:hAnsi="Times New Roman" w:cs="Times New Roman"/>
          <w:sz w:val="24"/>
        </w:rPr>
        <w:t>(16), 4128. https://doi.org/10.3390/en17164128</w:t>
      </w:r>
    </w:p>
    <w:p w14:paraId="5750105E"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lastRenderedPageBreak/>
        <w:t xml:space="preserve">Kramer, I., Tsairi, Y., Roth, M. B., Tal, A., &amp; Mau, Y. (2022). Effects of population growth on Israel’s demand for desalinated water. </w:t>
      </w:r>
      <w:r w:rsidRPr="00331E5F">
        <w:rPr>
          <w:rFonts w:ascii="Times New Roman" w:hAnsi="Times New Roman" w:cs="Times New Roman"/>
          <w:i/>
          <w:iCs/>
          <w:sz w:val="24"/>
        </w:rPr>
        <w:t>Npj Clean Water</w:t>
      </w:r>
      <w:r w:rsidRPr="00331E5F">
        <w:rPr>
          <w:rFonts w:ascii="Times New Roman" w:hAnsi="Times New Roman" w:cs="Times New Roman"/>
          <w:sz w:val="24"/>
        </w:rPr>
        <w:t xml:space="preserve">, </w:t>
      </w:r>
      <w:r w:rsidRPr="00331E5F">
        <w:rPr>
          <w:rFonts w:ascii="Times New Roman" w:hAnsi="Times New Roman" w:cs="Times New Roman"/>
          <w:i/>
          <w:iCs/>
          <w:sz w:val="24"/>
        </w:rPr>
        <w:t>5</w:t>
      </w:r>
      <w:r w:rsidRPr="00331E5F">
        <w:rPr>
          <w:rFonts w:ascii="Times New Roman" w:hAnsi="Times New Roman" w:cs="Times New Roman"/>
          <w:sz w:val="24"/>
        </w:rPr>
        <w:t>(1), 67. https://doi.org/10.1038/s41545-022-00215-9</w:t>
      </w:r>
    </w:p>
    <w:p w14:paraId="3590D857"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Kundu, T., Suyash, S., Gupta, M., &amp; Chowdhury, B. (2024). Introduction to greenhouse gases composition and characteristics. In </w:t>
      </w:r>
      <w:r w:rsidRPr="00331E5F">
        <w:rPr>
          <w:rFonts w:ascii="Times New Roman" w:hAnsi="Times New Roman" w:cs="Times New Roman"/>
          <w:i/>
          <w:iCs/>
          <w:sz w:val="24"/>
        </w:rPr>
        <w:t>Advances and Technology Development in Greenhouse Gases: Emission, Capture and Conversion</w:t>
      </w:r>
      <w:r w:rsidRPr="00331E5F">
        <w:rPr>
          <w:rFonts w:ascii="Times New Roman" w:hAnsi="Times New Roman" w:cs="Times New Roman"/>
          <w:sz w:val="24"/>
        </w:rPr>
        <w:t xml:space="preserve"> (pp. 3–18). Elsevier. https://doi.org/10.1016/B978-0-443-19066-7.00008-4</w:t>
      </w:r>
    </w:p>
    <w:p w14:paraId="10C8600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Li, S., &amp; Chen, Y. (2024). Governing decentralized autonomous organizations as digital commons. </w:t>
      </w:r>
      <w:r w:rsidRPr="00331E5F">
        <w:rPr>
          <w:rFonts w:ascii="Times New Roman" w:hAnsi="Times New Roman" w:cs="Times New Roman"/>
          <w:i/>
          <w:iCs/>
          <w:sz w:val="24"/>
        </w:rPr>
        <w:t>Journal of Business Venturing Insights</w:t>
      </w:r>
      <w:r w:rsidRPr="00331E5F">
        <w:rPr>
          <w:rFonts w:ascii="Times New Roman" w:hAnsi="Times New Roman" w:cs="Times New Roman"/>
          <w:sz w:val="24"/>
        </w:rPr>
        <w:t xml:space="preserve">, </w:t>
      </w:r>
      <w:r w:rsidRPr="00331E5F">
        <w:rPr>
          <w:rFonts w:ascii="Times New Roman" w:hAnsi="Times New Roman" w:cs="Times New Roman"/>
          <w:i/>
          <w:iCs/>
          <w:sz w:val="24"/>
        </w:rPr>
        <w:t>21</w:t>
      </w:r>
      <w:r w:rsidRPr="00331E5F">
        <w:rPr>
          <w:rFonts w:ascii="Times New Roman" w:hAnsi="Times New Roman" w:cs="Times New Roman"/>
          <w:sz w:val="24"/>
        </w:rPr>
        <w:t>, e00450. https://doi.org/10.1016/j.jbvi.2024.e00450</w:t>
      </w:r>
    </w:p>
    <w:p w14:paraId="72184E32"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Lu, Z., Wu, C., Wu, N., Lu, H., Wang, T., Xiao, R., Liu, H., Wu, X., Oil and Gas Survey, China Geological Survey, Ministry of Natural Resources, Beijing 100083, China, Information Center, Ministry of Natural Resources, Beijing 100036, China, Qingdao Institute of Marine Geology, China Geological Survey, Qingdao 266237, China, &amp; School of Earth and Space Sciences, Peking University, Beijing 100871, China. (2022). Changes in natural gas hydrates in permafrost on the Qinghai-Tibet Plateau under the background of global warming and their impacts on carbon emissions. </w:t>
      </w:r>
      <w:r w:rsidRPr="00331E5F">
        <w:rPr>
          <w:rFonts w:ascii="Times New Roman" w:hAnsi="Times New Roman" w:cs="Times New Roman"/>
          <w:i/>
          <w:iCs/>
          <w:sz w:val="24"/>
        </w:rPr>
        <w:t>China Geology</w:t>
      </w:r>
      <w:r w:rsidRPr="00331E5F">
        <w:rPr>
          <w:rFonts w:ascii="Times New Roman" w:hAnsi="Times New Roman" w:cs="Times New Roman"/>
          <w:sz w:val="24"/>
        </w:rPr>
        <w:t xml:space="preserve">, </w:t>
      </w:r>
      <w:r w:rsidRPr="00331E5F">
        <w:rPr>
          <w:rFonts w:ascii="Times New Roman" w:hAnsi="Times New Roman" w:cs="Times New Roman"/>
          <w:i/>
          <w:iCs/>
          <w:sz w:val="24"/>
        </w:rPr>
        <w:t>5</w:t>
      </w:r>
      <w:r w:rsidRPr="00331E5F">
        <w:rPr>
          <w:rFonts w:ascii="Times New Roman" w:hAnsi="Times New Roman" w:cs="Times New Roman"/>
          <w:sz w:val="24"/>
        </w:rPr>
        <w:t>(3), 1–35. https://doi.org/10.31035/cg2022034</w:t>
      </w:r>
    </w:p>
    <w:p w14:paraId="297CBEB7"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Mahedi, M., Pervez, A. K. M., Rahman, S., Sheikh, M., &amp; Shaili, S. J. (2025). </w:t>
      </w:r>
      <w:r w:rsidRPr="00331E5F">
        <w:rPr>
          <w:rFonts w:ascii="Times New Roman" w:hAnsi="Times New Roman" w:cs="Times New Roman"/>
          <w:i/>
          <w:iCs/>
          <w:sz w:val="24"/>
        </w:rPr>
        <w:t>Emerging Trends in Livelihood Diversification in Rural Communities: A Bibliometric and Systematic Review</w:t>
      </w:r>
      <w:r w:rsidRPr="00331E5F">
        <w:rPr>
          <w:rFonts w:ascii="Times New Roman" w:hAnsi="Times New Roman" w:cs="Times New Roman"/>
          <w:sz w:val="24"/>
        </w:rPr>
        <w:t xml:space="preserve">. </w:t>
      </w:r>
      <w:r w:rsidRPr="00331E5F">
        <w:rPr>
          <w:rFonts w:ascii="Times New Roman" w:hAnsi="Times New Roman" w:cs="Times New Roman"/>
          <w:i/>
          <w:iCs/>
          <w:sz w:val="24"/>
        </w:rPr>
        <w:t>43</w:t>
      </w:r>
      <w:r w:rsidRPr="00331E5F">
        <w:rPr>
          <w:rFonts w:ascii="Times New Roman" w:hAnsi="Times New Roman" w:cs="Times New Roman"/>
          <w:sz w:val="24"/>
        </w:rPr>
        <w:t>, 162–177. https://doi.org/10.9734/ajaees/2025/v43i42727</w:t>
      </w:r>
    </w:p>
    <w:p w14:paraId="31AD3159"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Mahedi, M., Shaili, S. J., Nurnobi, M., Sakil, A., &amp; Shihab, A. (2025). </w:t>
      </w:r>
      <w:r w:rsidRPr="00331E5F">
        <w:rPr>
          <w:rFonts w:ascii="Times New Roman" w:hAnsi="Times New Roman" w:cs="Times New Roman"/>
          <w:i/>
          <w:iCs/>
          <w:sz w:val="24"/>
        </w:rPr>
        <w:t>ADOPTION OF ORGANIC FARMING PRACTICES: A COMPREHENSIVE REVIEW OF TRENDS, DETERMINANTS, AND CHALLENGES</w:t>
      </w:r>
      <w:r w:rsidRPr="00331E5F">
        <w:rPr>
          <w:rFonts w:ascii="Times New Roman" w:hAnsi="Times New Roman" w:cs="Times New Roman"/>
          <w:sz w:val="24"/>
        </w:rPr>
        <w:t xml:space="preserve">. </w:t>
      </w:r>
      <w:r w:rsidRPr="00331E5F">
        <w:rPr>
          <w:rFonts w:ascii="Times New Roman" w:hAnsi="Times New Roman" w:cs="Times New Roman"/>
          <w:i/>
          <w:iCs/>
          <w:sz w:val="24"/>
        </w:rPr>
        <w:t>8</w:t>
      </w:r>
      <w:r w:rsidRPr="00331E5F">
        <w:rPr>
          <w:rFonts w:ascii="Times New Roman" w:hAnsi="Times New Roman" w:cs="Times New Roman"/>
          <w:sz w:val="24"/>
        </w:rPr>
        <w:t>, 26–45.</w:t>
      </w:r>
    </w:p>
    <w:p w14:paraId="5C4AE604"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Mahedi, M., Shaili, S. J., &amp; Shihab, A. (2024). </w:t>
      </w:r>
      <w:r w:rsidRPr="00331E5F">
        <w:rPr>
          <w:rFonts w:ascii="Times New Roman" w:hAnsi="Times New Roman" w:cs="Times New Roman"/>
          <w:i/>
          <w:iCs/>
          <w:sz w:val="24"/>
        </w:rPr>
        <w:t>Livelihood Diversification as a Reduce to Rural Vulnerability in Bangladesh: A Review</w:t>
      </w:r>
      <w:r w:rsidRPr="00331E5F">
        <w:rPr>
          <w:rFonts w:ascii="Times New Roman" w:hAnsi="Times New Roman" w:cs="Times New Roman"/>
          <w:sz w:val="24"/>
        </w:rPr>
        <w:t>.</w:t>
      </w:r>
    </w:p>
    <w:p w14:paraId="40671A9E"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Mao, W., Shalaby, R., Agyapong, B., Obuobi-Donkor, G., Da Luz Dias, R., &amp; Agyapong, V. I. O. (2024). Devastating Wildfires and Mental Health: Major Depressive Disorder Prevalence and Associated Factors among Residents in Alberta and Nova Scotia, Canada. </w:t>
      </w:r>
      <w:r w:rsidRPr="00331E5F">
        <w:rPr>
          <w:rFonts w:ascii="Times New Roman" w:hAnsi="Times New Roman" w:cs="Times New Roman"/>
          <w:i/>
          <w:iCs/>
          <w:sz w:val="24"/>
        </w:rPr>
        <w:t>Behavioral Sciences</w:t>
      </w:r>
      <w:r w:rsidRPr="00331E5F">
        <w:rPr>
          <w:rFonts w:ascii="Times New Roman" w:hAnsi="Times New Roman" w:cs="Times New Roman"/>
          <w:sz w:val="24"/>
        </w:rPr>
        <w:t xml:space="preserve">, </w:t>
      </w:r>
      <w:r w:rsidRPr="00331E5F">
        <w:rPr>
          <w:rFonts w:ascii="Times New Roman" w:hAnsi="Times New Roman" w:cs="Times New Roman"/>
          <w:i/>
          <w:iCs/>
          <w:sz w:val="24"/>
        </w:rPr>
        <w:t>14</w:t>
      </w:r>
      <w:r w:rsidRPr="00331E5F">
        <w:rPr>
          <w:rFonts w:ascii="Times New Roman" w:hAnsi="Times New Roman" w:cs="Times New Roman"/>
          <w:sz w:val="24"/>
        </w:rPr>
        <w:t>(3), 209. https://doi.org/10.3390/bs14030209</w:t>
      </w:r>
    </w:p>
    <w:p w14:paraId="4E75003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Marcianesi, F., Aulicino, G., &amp; Wadhams, P. (2021). Arctic sea ice and snow cover albedo variability and trends during the last three decades. </w:t>
      </w:r>
      <w:r w:rsidRPr="00331E5F">
        <w:rPr>
          <w:rFonts w:ascii="Times New Roman" w:hAnsi="Times New Roman" w:cs="Times New Roman"/>
          <w:i/>
          <w:iCs/>
          <w:sz w:val="24"/>
        </w:rPr>
        <w:t>Polar Science</w:t>
      </w:r>
      <w:r w:rsidRPr="00331E5F">
        <w:rPr>
          <w:rFonts w:ascii="Times New Roman" w:hAnsi="Times New Roman" w:cs="Times New Roman"/>
          <w:sz w:val="24"/>
        </w:rPr>
        <w:t xml:space="preserve">, </w:t>
      </w:r>
      <w:r w:rsidRPr="00331E5F">
        <w:rPr>
          <w:rFonts w:ascii="Times New Roman" w:hAnsi="Times New Roman" w:cs="Times New Roman"/>
          <w:i/>
          <w:iCs/>
          <w:sz w:val="24"/>
        </w:rPr>
        <w:t>28</w:t>
      </w:r>
      <w:r w:rsidRPr="00331E5F">
        <w:rPr>
          <w:rFonts w:ascii="Times New Roman" w:hAnsi="Times New Roman" w:cs="Times New Roman"/>
          <w:sz w:val="24"/>
        </w:rPr>
        <w:t>, 100617. https://doi.org/10.1016/j.polar.2020.100617</w:t>
      </w:r>
    </w:p>
    <w:p w14:paraId="7995BECD"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Md Shahriar Kabir, Md Mahedi, A K M Kanak Pervez, Md Jahangir Alam, &amp; Shabrin Jahan Shaili. (2025). Bibliometric analysis of “precision agriculture” in the Scopus database. </w:t>
      </w:r>
      <w:r w:rsidRPr="00331E5F">
        <w:rPr>
          <w:rFonts w:ascii="Times New Roman" w:hAnsi="Times New Roman" w:cs="Times New Roman"/>
          <w:i/>
          <w:iCs/>
          <w:sz w:val="24"/>
        </w:rPr>
        <w:t>World Journal of Advanced Research and Reviews</w:t>
      </w:r>
      <w:r w:rsidRPr="00331E5F">
        <w:rPr>
          <w:rFonts w:ascii="Times New Roman" w:hAnsi="Times New Roman" w:cs="Times New Roman"/>
          <w:sz w:val="24"/>
        </w:rPr>
        <w:t xml:space="preserve">, </w:t>
      </w:r>
      <w:r w:rsidRPr="00331E5F">
        <w:rPr>
          <w:rFonts w:ascii="Times New Roman" w:hAnsi="Times New Roman" w:cs="Times New Roman"/>
          <w:i/>
          <w:iCs/>
          <w:sz w:val="24"/>
        </w:rPr>
        <w:t>25</w:t>
      </w:r>
      <w:r w:rsidRPr="00331E5F">
        <w:rPr>
          <w:rFonts w:ascii="Times New Roman" w:hAnsi="Times New Roman" w:cs="Times New Roman"/>
          <w:sz w:val="24"/>
        </w:rPr>
        <w:t>(3), 1087–1098. https://doi.org/10.30574/wjarr.2025.25.3.0733</w:t>
      </w:r>
    </w:p>
    <w:p w14:paraId="00C5BE9B"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Min, J., Yan, G., Abed, A. M., Elattar, S., Amine Khadimallah, M., Jan, A., &amp; Elhosiny Ali, H. (2022). The effect of carbon dioxide emissions on the building energy efficiency. </w:t>
      </w:r>
      <w:r w:rsidRPr="00331E5F">
        <w:rPr>
          <w:rFonts w:ascii="Times New Roman" w:hAnsi="Times New Roman" w:cs="Times New Roman"/>
          <w:i/>
          <w:iCs/>
          <w:sz w:val="24"/>
        </w:rPr>
        <w:t>Fuel</w:t>
      </w:r>
      <w:r w:rsidRPr="00331E5F">
        <w:rPr>
          <w:rFonts w:ascii="Times New Roman" w:hAnsi="Times New Roman" w:cs="Times New Roman"/>
          <w:sz w:val="24"/>
        </w:rPr>
        <w:t xml:space="preserve">, </w:t>
      </w:r>
      <w:r w:rsidRPr="00331E5F">
        <w:rPr>
          <w:rFonts w:ascii="Times New Roman" w:hAnsi="Times New Roman" w:cs="Times New Roman"/>
          <w:i/>
          <w:iCs/>
          <w:sz w:val="24"/>
        </w:rPr>
        <w:t>326</w:t>
      </w:r>
      <w:r w:rsidRPr="00331E5F">
        <w:rPr>
          <w:rFonts w:ascii="Times New Roman" w:hAnsi="Times New Roman" w:cs="Times New Roman"/>
          <w:sz w:val="24"/>
        </w:rPr>
        <w:t>, 124842. https://doi.org/10.1016/j.fuel.2022.124842</w:t>
      </w:r>
    </w:p>
    <w:p w14:paraId="3D2DE4CD"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Mondal, S. K., Huang, J., Wang, Y., Su, B., Kundzewicz, Z. W., Jiang, S., Zhai, J., Chen, Z., Jing, C., &amp; Jiang, T. (2022). Changes in extreme precipitation across South Asia for each 0.5 °C of warming from 1.5 °C to 3.0°C above pre-industrial levels. </w:t>
      </w:r>
      <w:r w:rsidRPr="00331E5F">
        <w:rPr>
          <w:rFonts w:ascii="Times New Roman" w:hAnsi="Times New Roman" w:cs="Times New Roman"/>
          <w:i/>
          <w:iCs/>
          <w:sz w:val="24"/>
        </w:rPr>
        <w:t>Atmospheric Research</w:t>
      </w:r>
      <w:r w:rsidRPr="00331E5F">
        <w:rPr>
          <w:rFonts w:ascii="Times New Roman" w:hAnsi="Times New Roman" w:cs="Times New Roman"/>
          <w:sz w:val="24"/>
        </w:rPr>
        <w:t xml:space="preserve">, </w:t>
      </w:r>
      <w:r w:rsidRPr="00331E5F">
        <w:rPr>
          <w:rFonts w:ascii="Times New Roman" w:hAnsi="Times New Roman" w:cs="Times New Roman"/>
          <w:i/>
          <w:iCs/>
          <w:sz w:val="24"/>
        </w:rPr>
        <w:t>266</w:t>
      </w:r>
      <w:r w:rsidRPr="00331E5F">
        <w:rPr>
          <w:rFonts w:ascii="Times New Roman" w:hAnsi="Times New Roman" w:cs="Times New Roman"/>
          <w:sz w:val="24"/>
        </w:rPr>
        <w:t>, 105961. https://doi.org/10.1016/j.atmosres.2021.105961</w:t>
      </w:r>
    </w:p>
    <w:p w14:paraId="24AF518F"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Nguyen, H. T. T., Hardy, G. E. S., Le, T. V., Nguyen, H. Q., Nguyen, H. H., Nguyen, T. V., &amp; Dell, B. (2021). Mangrove Forest Landcover Changes in Coastal Vietnam: A Case Study </w:t>
      </w:r>
      <w:r w:rsidRPr="00331E5F">
        <w:rPr>
          <w:rFonts w:ascii="Times New Roman" w:hAnsi="Times New Roman" w:cs="Times New Roman"/>
          <w:sz w:val="24"/>
        </w:rPr>
        <w:lastRenderedPageBreak/>
        <w:t xml:space="preserve">from 1973 to 2020 in Thanh Hoa and Nghe An Provinces. </w:t>
      </w:r>
      <w:r w:rsidRPr="00331E5F">
        <w:rPr>
          <w:rFonts w:ascii="Times New Roman" w:hAnsi="Times New Roman" w:cs="Times New Roman"/>
          <w:i/>
          <w:iCs/>
          <w:sz w:val="24"/>
        </w:rPr>
        <w:t>Forests</w:t>
      </w:r>
      <w:r w:rsidRPr="00331E5F">
        <w:rPr>
          <w:rFonts w:ascii="Times New Roman" w:hAnsi="Times New Roman" w:cs="Times New Roman"/>
          <w:sz w:val="24"/>
        </w:rPr>
        <w:t xml:space="preserve">, </w:t>
      </w:r>
      <w:r w:rsidRPr="00331E5F">
        <w:rPr>
          <w:rFonts w:ascii="Times New Roman" w:hAnsi="Times New Roman" w:cs="Times New Roman"/>
          <w:i/>
          <w:iCs/>
          <w:sz w:val="24"/>
        </w:rPr>
        <w:t>12</w:t>
      </w:r>
      <w:r w:rsidRPr="00331E5F">
        <w:rPr>
          <w:rFonts w:ascii="Times New Roman" w:hAnsi="Times New Roman" w:cs="Times New Roman"/>
          <w:sz w:val="24"/>
        </w:rPr>
        <w:t>(5), 637. https://doi.org/10.3390/f12050637</w:t>
      </w:r>
    </w:p>
    <w:p w14:paraId="74D8AC0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Nhamo, G., &amp; Nhamo, S. (2016). One global deal from Paris 2015: Convergence and contestations on the future climate mitigation agenda. </w:t>
      </w:r>
      <w:r w:rsidRPr="00331E5F">
        <w:rPr>
          <w:rFonts w:ascii="Times New Roman" w:hAnsi="Times New Roman" w:cs="Times New Roman"/>
          <w:i/>
          <w:iCs/>
          <w:sz w:val="24"/>
        </w:rPr>
        <w:t>South African Journal of International Affairs</w:t>
      </w:r>
      <w:r w:rsidRPr="00331E5F">
        <w:rPr>
          <w:rFonts w:ascii="Times New Roman" w:hAnsi="Times New Roman" w:cs="Times New Roman"/>
          <w:sz w:val="24"/>
        </w:rPr>
        <w:t xml:space="preserve">, </w:t>
      </w:r>
      <w:r w:rsidRPr="00331E5F">
        <w:rPr>
          <w:rFonts w:ascii="Times New Roman" w:hAnsi="Times New Roman" w:cs="Times New Roman"/>
          <w:i/>
          <w:iCs/>
          <w:sz w:val="24"/>
        </w:rPr>
        <w:t>23</w:t>
      </w:r>
      <w:r w:rsidRPr="00331E5F">
        <w:rPr>
          <w:rFonts w:ascii="Times New Roman" w:hAnsi="Times New Roman" w:cs="Times New Roman"/>
          <w:sz w:val="24"/>
        </w:rPr>
        <w:t>(3), 323–346. https://doi.org/10.1080/10220461.2016.1252281</w:t>
      </w:r>
    </w:p>
    <w:p w14:paraId="374C2A30"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Nøland, J. K., Auxepaules, J., Rousset, A., Perney, B., &amp; Falletti, G. (2022). Spatial energy density of large-scale electricity generation from power sources worldwide. </w:t>
      </w:r>
      <w:r w:rsidRPr="00331E5F">
        <w:rPr>
          <w:rFonts w:ascii="Times New Roman" w:hAnsi="Times New Roman" w:cs="Times New Roman"/>
          <w:i/>
          <w:iCs/>
          <w:sz w:val="24"/>
        </w:rPr>
        <w:t>Scientific Reports</w:t>
      </w:r>
      <w:r w:rsidRPr="00331E5F">
        <w:rPr>
          <w:rFonts w:ascii="Times New Roman" w:hAnsi="Times New Roman" w:cs="Times New Roman"/>
          <w:sz w:val="24"/>
        </w:rPr>
        <w:t xml:space="preserve">, </w:t>
      </w:r>
      <w:r w:rsidRPr="00331E5F">
        <w:rPr>
          <w:rFonts w:ascii="Times New Roman" w:hAnsi="Times New Roman" w:cs="Times New Roman"/>
          <w:i/>
          <w:iCs/>
          <w:sz w:val="24"/>
        </w:rPr>
        <w:t>12</w:t>
      </w:r>
      <w:r w:rsidRPr="00331E5F">
        <w:rPr>
          <w:rFonts w:ascii="Times New Roman" w:hAnsi="Times New Roman" w:cs="Times New Roman"/>
          <w:sz w:val="24"/>
        </w:rPr>
        <w:t>(1), 21280. https://doi.org/10.1038/s41598-022-25341-9</w:t>
      </w:r>
    </w:p>
    <w:p w14:paraId="7FFB3C57"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Oyekale, J., Petrollese, M., Tola, V., &amp; Cau, G. (2020). Impacts of Renewable Energy Resources on Effectiveness of Grid-Integrated Systems: Succinct Review of Current Challenges and Potential Solution Strategies. </w:t>
      </w:r>
      <w:r w:rsidRPr="00331E5F">
        <w:rPr>
          <w:rFonts w:ascii="Times New Roman" w:hAnsi="Times New Roman" w:cs="Times New Roman"/>
          <w:i/>
          <w:iCs/>
          <w:sz w:val="24"/>
        </w:rPr>
        <w:t>Energies</w:t>
      </w:r>
      <w:r w:rsidRPr="00331E5F">
        <w:rPr>
          <w:rFonts w:ascii="Times New Roman" w:hAnsi="Times New Roman" w:cs="Times New Roman"/>
          <w:sz w:val="24"/>
        </w:rPr>
        <w:t xml:space="preserve">, </w:t>
      </w:r>
      <w:r w:rsidRPr="00331E5F">
        <w:rPr>
          <w:rFonts w:ascii="Times New Roman" w:hAnsi="Times New Roman" w:cs="Times New Roman"/>
          <w:i/>
          <w:iCs/>
          <w:sz w:val="24"/>
        </w:rPr>
        <w:t>13</w:t>
      </w:r>
      <w:r w:rsidRPr="00331E5F">
        <w:rPr>
          <w:rFonts w:ascii="Times New Roman" w:hAnsi="Times New Roman" w:cs="Times New Roman"/>
          <w:sz w:val="24"/>
        </w:rPr>
        <w:t>(18), 4856. https://doi.org/10.3390/en13184856</w:t>
      </w:r>
    </w:p>
    <w:p w14:paraId="6446CBB1"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Pepin, N. C., Arnone, E., Gobiet, A., Haslinger, K., Kotlarski, S., Notarnicola, C., Palazzi, E., Seibert, P., Serafin, S., Schöner, W., Terzago, S., Thornton, J. M., Vuille, M., &amp; Adler, C. (2022). Climate Changes and Their Elevational Patterns in the Mountains of the World. </w:t>
      </w:r>
      <w:r w:rsidRPr="00331E5F">
        <w:rPr>
          <w:rFonts w:ascii="Times New Roman" w:hAnsi="Times New Roman" w:cs="Times New Roman"/>
          <w:i/>
          <w:iCs/>
          <w:sz w:val="24"/>
        </w:rPr>
        <w:t>Reviews of Geophysics</w:t>
      </w:r>
      <w:r w:rsidRPr="00331E5F">
        <w:rPr>
          <w:rFonts w:ascii="Times New Roman" w:hAnsi="Times New Roman" w:cs="Times New Roman"/>
          <w:sz w:val="24"/>
        </w:rPr>
        <w:t xml:space="preserve">, </w:t>
      </w:r>
      <w:r w:rsidRPr="00331E5F">
        <w:rPr>
          <w:rFonts w:ascii="Times New Roman" w:hAnsi="Times New Roman" w:cs="Times New Roman"/>
          <w:i/>
          <w:iCs/>
          <w:sz w:val="24"/>
        </w:rPr>
        <w:t>60</w:t>
      </w:r>
      <w:r w:rsidRPr="00331E5F">
        <w:rPr>
          <w:rFonts w:ascii="Times New Roman" w:hAnsi="Times New Roman" w:cs="Times New Roman"/>
          <w:sz w:val="24"/>
        </w:rPr>
        <w:t>(1), e2020RG000730. https://doi.org/10.1029/2020RG000730</w:t>
      </w:r>
    </w:p>
    <w:p w14:paraId="0B01295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Rignot, E., Velicogna, I., Van Den Broeke, M. R., Monaghan, A., &amp; Lenaerts, J. T. M. (2011). Acceleration of the contribution of the Greenland and Antarctic ice sheets to sea level rise: ACCELERATION OF ICE SHEET LOSS. </w:t>
      </w:r>
      <w:r w:rsidRPr="00331E5F">
        <w:rPr>
          <w:rFonts w:ascii="Times New Roman" w:hAnsi="Times New Roman" w:cs="Times New Roman"/>
          <w:i/>
          <w:iCs/>
          <w:sz w:val="24"/>
        </w:rPr>
        <w:t>Geophysical Research Letters</w:t>
      </w:r>
      <w:r w:rsidRPr="00331E5F">
        <w:rPr>
          <w:rFonts w:ascii="Times New Roman" w:hAnsi="Times New Roman" w:cs="Times New Roman"/>
          <w:sz w:val="24"/>
        </w:rPr>
        <w:t xml:space="preserve">, </w:t>
      </w:r>
      <w:r w:rsidRPr="00331E5F">
        <w:rPr>
          <w:rFonts w:ascii="Times New Roman" w:hAnsi="Times New Roman" w:cs="Times New Roman"/>
          <w:i/>
          <w:iCs/>
          <w:sz w:val="24"/>
        </w:rPr>
        <w:t>38</w:t>
      </w:r>
      <w:r w:rsidRPr="00331E5F">
        <w:rPr>
          <w:rFonts w:ascii="Times New Roman" w:hAnsi="Times New Roman" w:cs="Times New Roman"/>
          <w:sz w:val="24"/>
        </w:rPr>
        <w:t>(5), n/a-n/a. https://doi.org/10.1029/2011GL046583</w:t>
      </w:r>
    </w:p>
    <w:p w14:paraId="469B6829"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Scott, M., Burns, L., Lennon, M., &amp; Kinnane, O. (2022). </w:t>
      </w:r>
      <w:r w:rsidRPr="00331E5F">
        <w:rPr>
          <w:rFonts w:ascii="Times New Roman" w:hAnsi="Times New Roman" w:cs="Times New Roman"/>
          <w:i/>
          <w:iCs/>
          <w:sz w:val="24"/>
        </w:rPr>
        <w:t>Built environment climate resilience and adaptation</w:t>
      </w:r>
      <w:r w:rsidRPr="00331E5F">
        <w:rPr>
          <w:rFonts w:ascii="Times New Roman" w:hAnsi="Times New Roman" w:cs="Times New Roman"/>
          <w:sz w:val="24"/>
        </w:rPr>
        <w:t>. Retrieved from website: https://www. researchgate. net/publication/362711958. https://www.researchgate.net/profile/Mick-Lennon/publication/362711958_Built_Environment_Climate_Resilience_and_Adaptation/links/62fb65ecceb9764f72ff8d61/Built-Environment-Climate-Resilience-and-Adaptation.pdf</w:t>
      </w:r>
    </w:p>
    <w:p w14:paraId="52F7D54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Sitch, S., O’Sullivan, M., Robertson, E., Friedlingstein, P., Albergel, C., Anthoni, P., Arneth, A., Arora, V. K., Bastos, A., Bastrikov, V., Bellouin, N., Canadell, J. G., Chini, L., Ciais, P., Falk, S., Harris, I., Hurtt, G., Ito, A., Jain, A. K., … Zaehle, S. (2024). Trends and Drivers of Terrestrial Sources and Sinks of Carbon Dioxide: An Overview of the TRENDY Project. </w:t>
      </w:r>
      <w:r w:rsidRPr="00331E5F">
        <w:rPr>
          <w:rFonts w:ascii="Times New Roman" w:hAnsi="Times New Roman" w:cs="Times New Roman"/>
          <w:i/>
          <w:iCs/>
          <w:sz w:val="24"/>
        </w:rPr>
        <w:t>Global Biogeochemical Cycles</w:t>
      </w:r>
      <w:r w:rsidRPr="00331E5F">
        <w:rPr>
          <w:rFonts w:ascii="Times New Roman" w:hAnsi="Times New Roman" w:cs="Times New Roman"/>
          <w:sz w:val="24"/>
        </w:rPr>
        <w:t xml:space="preserve">, </w:t>
      </w:r>
      <w:r w:rsidRPr="00331E5F">
        <w:rPr>
          <w:rFonts w:ascii="Times New Roman" w:hAnsi="Times New Roman" w:cs="Times New Roman"/>
          <w:i/>
          <w:iCs/>
          <w:sz w:val="24"/>
        </w:rPr>
        <w:t>38</w:t>
      </w:r>
      <w:r w:rsidRPr="00331E5F">
        <w:rPr>
          <w:rFonts w:ascii="Times New Roman" w:hAnsi="Times New Roman" w:cs="Times New Roman"/>
          <w:sz w:val="24"/>
        </w:rPr>
        <w:t>(7), e2024GB008102. https://doi.org/10.1029/2024GB008102</w:t>
      </w:r>
    </w:p>
    <w:p w14:paraId="08BD92E2"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Soares, T. V. F., &amp; Aquino, A. C. B. D. (2024). Calculative Practices Shaping the Global Accountability Forum for Climate Agenda. </w:t>
      </w:r>
      <w:r w:rsidRPr="00331E5F">
        <w:rPr>
          <w:rFonts w:ascii="Times New Roman" w:hAnsi="Times New Roman" w:cs="Times New Roman"/>
          <w:i/>
          <w:iCs/>
          <w:sz w:val="24"/>
        </w:rPr>
        <w:t>Financial Accountability &amp; Management</w:t>
      </w:r>
      <w:r w:rsidRPr="00331E5F">
        <w:rPr>
          <w:rFonts w:ascii="Times New Roman" w:hAnsi="Times New Roman" w:cs="Times New Roman"/>
          <w:sz w:val="24"/>
        </w:rPr>
        <w:t>, faam.12419. https://doi.org/10.1111/faam.12419</w:t>
      </w:r>
    </w:p>
    <w:p w14:paraId="6BB8A14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Uddin, M., Pervez, A. K. M., Kabir, M., &amp; Mahedi, M. (2025). </w:t>
      </w:r>
      <w:r w:rsidRPr="00331E5F">
        <w:rPr>
          <w:rFonts w:ascii="Times New Roman" w:hAnsi="Times New Roman" w:cs="Times New Roman"/>
          <w:i/>
          <w:iCs/>
          <w:sz w:val="24"/>
        </w:rPr>
        <w:t>The Trend of Agribusiness Research Worldwide: A Bibliometric Analysis Based on the Scopus Database</w:t>
      </w:r>
      <w:r w:rsidRPr="00331E5F">
        <w:rPr>
          <w:rFonts w:ascii="Times New Roman" w:hAnsi="Times New Roman" w:cs="Times New Roman"/>
          <w:sz w:val="24"/>
        </w:rPr>
        <w:t xml:space="preserve">. </w:t>
      </w:r>
      <w:r w:rsidRPr="00331E5F">
        <w:rPr>
          <w:rFonts w:ascii="Times New Roman" w:hAnsi="Times New Roman" w:cs="Times New Roman"/>
          <w:i/>
          <w:iCs/>
          <w:sz w:val="24"/>
        </w:rPr>
        <w:t>3</w:t>
      </w:r>
      <w:r w:rsidRPr="00331E5F">
        <w:rPr>
          <w:rFonts w:ascii="Times New Roman" w:hAnsi="Times New Roman" w:cs="Times New Roman"/>
          <w:sz w:val="24"/>
        </w:rPr>
        <w:t>, 41–53.</w:t>
      </w:r>
    </w:p>
    <w:p w14:paraId="250FC49C"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Uddin, Md. E., Pervez, A. K. M. K., &amp; Gao, Q. (2022). Effect of voluntary cooperativisation on livelihood capital of smallholder dairy farmers in the southwest of Bangladesh. </w:t>
      </w:r>
      <w:r w:rsidRPr="00331E5F">
        <w:rPr>
          <w:rFonts w:ascii="Times New Roman" w:hAnsi="Times New Roman" w:cs="Times New Roman"/>
          <w:i/>
          <w:iCs/>
          <w:sz w:val="24"/>
        </w:rPr>
        <w:t>GeoJournal</w:t>
      </w:r>
      <w:r w:rsidRPr="00331E5F">
        <w:rPr>
          <w:rFonts w:ascii="Times New Roman" w:hAnsi="Times New Roman" w:cs="Times New Roman"/>
          <w:sz w:val="24"/>
        </w:rPr>
        <w:t xml:space="preserve">, </w:t>
      </w:r>
      <w:r w:rsidRPr="00331E5F">
        <w:rPr>
          <w:rFonts w:ascii="Times New Roman" w:hAnsi="Times New Roman" w:cs="Times New Roman"/>
          <w:i/>
          <w:iCs/>
          <w:sz w:val="24"/>
        </w:rPr>
        <w:t>87</w:t>
      </w:r>
      <w:r w:rsidRPr="00331E5F">
        <w:rPr>
          <w:rFonts w:ascii="Times New Roman" w:hAnsi="Times New Roman" w:cs="Times New Roman"/>
          <w:sz w:val="24"/>
        </w:rPr>
        <w:t>(1), 111–130. https://doi.org/10.1007/s10708-020-10218-z</w:t>
      </w:r>
    </w:p>
    <w:p w14:paraId="68F667EA"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Ure, J. (2024). Climate Change and the Environment (SDGs 13, 6, 7, 11, 14, 15). In J. Ure, </w:t>
      </w:r>
      <w:r w:rsidRPr="00331E5F">
        <w:rPr>
          <w:rFonts w:ascii="Times New Roman" w:hAnsi="Times New Roman" w:cs="Times New Roman"/>
          <w:i/>
          <w:iCs/>
          <w:sz w:val="24"/>
        </w:rPr>
        <w:t>Achieving the United Nations Sustainable Development Goals: Late or Too Late?</w:t>
      </w:r>
      <w:r w:rsidRPr="00331E5F">
        <w:rPr>
          <w:rFonts w:ascii="Times New Roman" w:hAnsi="Times New Roman" w:cs="Times New Roman"/>
          <w:sz w:val="24"/>
        </w:rPr>
        <w:t xml:space="preserve"> (pp. 61–114). Emerald Publishing Limited. https://doi.org/10.1108/978-1-83549-404-220241003</w:t>
      </w:r>
    </w:p>
    <w:p w14:paraId="4FFD74A4"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Waseem, H. B., Mirza, M. N. E. E., Rana, I. A., &amp; Waheed, A. (2024). Adaptation planning for climate change: An application of the advanced bibliometric analytical framework. </w:t>
      </w:r>
      <w:r w:rsidRPr="00331E5F">
        <w:rPr>
          <w:rFonts w:ascii="Times New Roman" w:hAnsi="Times New Roman" w:cs="Times New Roman"/>
          <w:i/>
          <w:iCs/>
          <w:sz w:val="24"/>
        </w:rPr>
        <w:t>Natural Hazards Research</w:t>
      </w:r>
      <w:r w:rsidRPr="00331E5F">
        <w:rPr>
          <w:rFonts w:ascii="Times New Roman" w:hAnsi="Times New Roman" w:cs="Times New Roman"/>
          <w:sz w:val="24"/>
        </w:rPr>
        <w:t xml:space="preserve">, </w:t>
      </w:r>
      <w:r w:rsidRPr="00331E5F">
        <w:rPr>
          <w:rFonts w:ascii="Times New Roman" w:hAnsi="Times New Roman" w:cs="Times New Roman"/>
          <w:i/>
          <w:iCs/>
          <w:sz w:val="24"/>
        </w:rPr>
        <w:t>4</w:t>
      </w:r>
      <w:r w:rsidRPr="00331E5F">
        <w:rPr>
          <w:rFonts w:ascii="Times New Roman" w:hAnsi="Times New Roman" w:cs="Times New Roman"/>
          <w:sz w:val="24"/>
        </w:rPr>
        <w:t>(3), 459–469. https://doi.org/10.1016/j.nhres.2023.11.005</w:t>
      </w:r>
    </w:p>
    <w:p w14:paraId="07FE35BB" w14:textId="01112A52" w:rsidR="0041153E" w:rsidRPr="00D0205E" w:rsidRDefault="005F7EAF" w:rsidP="00B149CC">
      <w:pPr>
        <w:pStyle w:val="Bibliography"/>
        <w:spacing w:line="240" w:lineRule="auto"/>
        <w:ind w:firstLine="0"/>
        <w:jc w:val="both"/>
        <w:rPr>
          <w:rFonts w:ascii="Times New Roman" w:hAnsi="Times New Roman" w:cs="Times New Roman"/>
          <w:sz w:val="24"/>
          <w:szCs w:val="24"/>
        </w:rPr>
      </w:pPr>
      <w:r w:rsidRPr="00D0205E">
        <w:rPr>
          <w:rFonts w:ascii="Times New Roman" w:hAnsi="Times New Roman" w:cs="Times New Roman"/>
          <w:sz w:val="24"/>
          <w:szCs w:val="24"/>
        </w:rPr>
        <w:lastRenderedPageBreak/>
        <w:fldChar w:fldCharType="end"/>
      </w:r>
    </w:p>
    <w:p w14:paraId="16CE86F9" w14:textId="77777777" w:rsidR="00B0256A" w:rsidRPr="00D0205E" w:rsidRDefault="00B0256A" w:rsidP="00D0205E">
      <w:pPr>
        <w:spacing w:after="0" w:line="240" w:lineRule="auto"/>
        <w:jc w:val="both"/>
        <w:rPr>
          <w:rFonts w:ascii="Times New Roman" w:hAnsi="Times New Roman" w:cs="Times New Roman"/>
          <w:sz w:val="24"/>
          <w:szCs w:val="24"/>
        </w:rPr>
      </w:pPr>
    </w:p>
    <w:p w14:paraId="43225829" w14:textId="77777777" w:rsidR="00B0256A" w:rsidRPr="00D0205E" w:rsidRDefault="00B0256A" w:rsidP="00D0205E">
      <w:pPr>
        <w:spacing w:after="0" w:line="240" w:lineRule="auto"/>
        <w:jc w:val="both"/>
        <w:rPr>
          <w:rFonts w:ascii="Times New Roman" w:hAnsi="Times New Roman" w:cs="Times New Roman"/>
          <w:sz w:val="24"/>
          <w:szCs w:val="24"/>
        </w:rPr>
      </w:pPr>
    </w:p>
    <w:p w14:paraId="2383413A" w14:textId="77777777" w:rsidR="00B0256A" w:rsidRPr="00D0205E" w:rsidRDefault="00B0256A" w:rsidP="00D0205E">
      <w:pPr>
        <w:spacing w:after="0" w:line="240" w:lineRule="auto"/>
        <w:jc w:val="both"/>
        <w:rPr>
          <w:rFonts w:ascii="Times New Roman" w:hAnsi="Times New Roman" w:cs="Times New Roman"/>
          <w:sz w:val="24"/>
          <w:szCs w:val="24"/>
        </w:rPr>
      </w:pPr>
    </w:p>
    <w:p w14:paraId="4F23CBBE" w14:textId="2C91B85A" w:rsidR="00B0256A" w:rsidRPr="00D0205E" w:rsidRDefault="00B0256A" w:rsidP="00D0205E">
      <w:pPr>
        <w:spacing w:after="0" w:line="240" w:lineRule="auto"/>
        <w:jc w:val="both"/>
        <w:rPr>
          <w:rFonts w:ascii="Times New Roman" w:eastAsia="Times New Roman" w:hAnsi="Times New Roman" w:cs="Times New Roman"/>
          <w:kern w:val="0"/>
          <w:sz w:val="24"/>
          <w:szCs w:val="24"/>
          <w14:ligatures w14:val="none"/>
        </w:rPr>
      </w:pPr>
    </w:p>
    <w:p w14:paraId="18EF910A" w14:textId="766D8E0D" w:rsidR="00B0256A" w:rsidRPr="00D0205E" w:rsidRDefault="00B0256A" w:rsidP="00D0205E">
      <w:pPr>
        <w:spacing w:after="0" w:line="240" w:lineRule="auto"/>
        <w:jc w:val="both"/>
        <w:rPr>
          <w:rFonts w:ascii="Times New Roman" w:eastAsia="Times New Roman" w:hAnsi="Times New Roman" w:cs="Times New Roman"/>
          <w:kern w:val="0"/>
          <w:sz w:val="24"/>
          <w:szCs w:val="24"/>
          <w14:ligatures w14:val="none"/>
        </w:rPr>
      </w:pPr>
    </w:p>
    <w:p w14:paraId="23EC41DE" w14:textId="1807A936" w:rsidR="00B0256A" w:rsidRPr="00D0205E" w:rsidRDefault="00B0256A" w:rsidP="00D0205E">
      <w:pPr>
        <w:spacing w:after="0" w:line="240" w:lineRule="auto"/>
        <w:ind w:firstLine="75"/>
        <w:jc w:val="both"/>
        <w:rPr>
          <w:rFonts w:ascii="Times New Roman" w:eastAsia="Times New Roman" w:hAnsi="Times New Roman" w:cs="Times New Roman"/>
          <w:kern w:val="0"/>
          <w:sz w:val="24"/>
          <w:szCs w:val="24"/>
          <w14:ligatures w14:val="none"/>
        </w:rPr>
      </w:pPr>
    </w:p>
    <w:p w14:paraId="6BCF0FB8" w14:textId="77777777" w:rsidR="00B0256A" w:rsidRPr="00D0205E" w:rsidRDefault="00B0256A" w:rsidP="00D0205E">
      <w:pPr>
        <w:spacing w:after="0" w:line="240" w:lineRule="auto"/>
        <w:jc w:val="both"/>
        <w:rPr>
          <w:rFonts w:ascii="Times New Roman" w:hAnsi="Times New Roman" w:cs="Times New Roman"/>
          <w:sz w:val="24"/>
          <w:szCs w:val="24"/>
        </w:rPr>
      </w:pPr>
    </w:p>
    <w:sectPr w:rsidR="00B0256A" w:rsidRPr="00D0205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910BD" w14:textId="77777777" w:rsidR="006708F6" w:rsidRDefault="006708F6" w:rsidP="00004729">
      <w:pPr>
        <w:spacing w:after="0" w:line="240" w:lineRule="auto"/>
      </w:pPr>
      <w:r>
        <w:separator/>
      </w:r>
    </w:p>
  </w:endnote>
  <w:endnote w:type="continuationSeparator" w:id="0">
    <w:p w14:paraId="5D2AA907" w14:textId="77777777" w:rsidR="006708F6" w:rsidRDefault="006708F6" w:rsidP="0000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807B" w14:textId="77777777" w:rsidR="00004729" w:rsidRDefault="00004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60C8" w14:textId="77777777" w:rsidR="00004729" w:rsidRDefault="00004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F1AB" w14:textId="77777777" w:rsidR="00004729" w:rsidRDefault="00004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E59E5" w14:textId="77777777" w:rsidR="006708F6" w:rsidRDefault="006708F6" w:rsidP="00004729">
      <w:pPr>
        <w:spacing w:after="0" w:line="240" w:lineRule="auto"/>
      </w:pPr>
      <w:r>
        <w:separator/>
      </w:r>
    </w:p>
  </w:footnote>
  <w:footnote w:type="continuationSeparator" w:id="0">
    <w:p w14:paraId="3193F46E" w14:textId="77777777" w:rsidR="006708F6" w:rsidRDefault="006708F6" w:rsidP="00004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EE01" w14:textId="2FC2B03D" w:rsidR="00004729" w:rsidRDefault="00004729">
    <w:pPr>
      <w:pStyle w:val="Header"/>
    </w:pPr>
    <w:r>
      <w:rPr>
        <w:noProof/>
      </w:rPr>
      <w:pict w14:anchorId="6DF01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041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69E5" w14:textId="4EA309BB" w:rsidR="00004729" w:rsidRDefault="00004729">
    <w:pPr>
      <w:pStyle w:val="Header"/>
    </w:pPr>
    <w:r>
      <w:rPr>
        <w:noProof/>
      </w:rPr>
      <w:pict w14:anchorId="6D436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041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5736" w14:textId="7F83F730" w:rsidR="00004729" w:rsidRDefault="00004729">
    <w:pPr>
      <w:pStyle w:val="Header"/>
    </w:pPr>
    <w:r>
      <w:rPr>
        <w:noProof/>
      </w:rPr>
      <w:pict w14:anchorId="59ADE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041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3A04"/>
    <w:multiLevelType w:val="multilevel"/>
    <w:tmpl w:val="F3886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6B1BA7"/>
    <w:multiLevelType w:val="multilevel"/>
    <w:tmpl w:val="299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247E0"/>
    <w:multiLevelType w:val="hybridMultilevel"/>
    <w:tmpl w:val="5B4C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9663F"/>
    <w:multiLevelType w:val="hybridMultilevel"/>
    <w:tmpl w:val="0490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66B4B"/>
    <w:multiLevelType w:val="multilevel"/>
    <w:tmpl w:val="BA2CD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12BDA"/>
    <w:multiLevelType w:val="multilevel"/>
    <w:tmpl w:val="22FC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2128D"/>
    <w:multiLevelType w:val="hybridMultilevel"/>
    <w:tmpl w:val="AAF87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D0A4A"/>
    <w:multiLevelType w:val="multilevel"/>
    <w:tmpl w:val="DE6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040F3"/>
    <w:multiLevelType w:val="multilevel"/>
    <w:tmpl w:val="D89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4379F"/>
    <w:multiLevelType w:val="multilevel"/>
    <w:tmpl w:val="FBB03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6043C"/>
    <w:multiLevelType w:val="multilevel"/>
    <w:tmpl w:val="612071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A267E"/>
    <w:multiLevelType w:val="multilevel"/>
    <w:tmpl w:val="DCBA4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90BBB"/>
    <w:multiLevelType w:val="hybridMultilevel"/>
    <w:tmpl w:val="89483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91FE9"/>
    <w:multiLevelType w:val="multilevel"/>
    <w:tmpl w:val="EBFA7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724AF"/>
    <w:multiLevelType w:val="hybridMultilevel"/>
    <w:tmpl w:val="F55E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F56F8"/>
    <w:multiLevelType w:val="hybridMultilevel"/>
    <w:tmpl w:val="7FFC5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513A8"/>
    <w:multiLevelType w:val="multilevel"/>
    <w:tmpl w:val="AB58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F93900"/>
    <w:multiLevelType w:val="multilevel"/>
    <w:tmpl w:val="D094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0C0ABC"/>
    <w:multiLevelType w:val="multilevel"/>
    <w:tmpl w:val="F788B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1615A"/>
    <w:multiLevelType w:val="hybridMultilevel"/>
    <w:tmpl w:val="F432C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02D8A"/>
    <w:multiLevelType w:val="multilevel"/>
    <w:tmpl w:val="6926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639A2"/>
    <w:multiLevelType w:val="multilevel"/>
    <w:tmpl w:val="7C70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E6F32"/>
    <w:multiLevelType w:val="multilevel"/>
    <w:tmpl w:val="2B023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00AAB"/>
    <w:multiLevelType w:val="hybridMultilevel"/>
    <w:tmpl w:val="51DE3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C158A"/>
    <w:multiLevelType w:val="multilevel"/>
    <w:tmpl w:val="F65C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61DC7"/>
    <w:multiLevelType w:val="multilevel"/>
    <w:tmpl w:val="45DEC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6"/>
  </w:num>
  <w:num w:numId="4">
    <w:abstractNumId w:val="21"/>
  </w:num>
  <w:num w:numId="5">
    <w:abstractNumId w:val="20"/>
  </w:num>
  <w:num w:numId="6">
    <w:abstractNumId w:val="1"/>
  </w:num>
  <w:num w:numId="7">
    <w:abstractNumId w:val="7"/>
  </w:num>
  <w:num w:numId="8">
    <w:abstractNumId w:val="12"/>
  </w:num>
  <w:num w:numId="9">
    <w:abstractNumId w:val="19"/>
  </w:num>
  <w:num w:numId="10">
    <w:abstractNumId w:val="23"/>
  </w:num>
  <w:num w:numId="11">
    <w:abstractNumId w:val="14"/>
  </w:num>
  <w:num w:numId="12">
    <w:abstractNumId w:val="18"/>
  </w:num>
  <w:num w:numId="13">
    <w:abstractNumId w:val="13"/>
  </w:num>
  <w:num w:numId="14">
    <w:abstractNumId w:val="4"/>
  </w:num>
  <w:num w:numId="15">
    <w:abstractNumId w:val="11"/>
  </w:num>
  <w:num w:numId="16">
    <w:abstractNumId w:val="22"/>
  </w:num>
  <w:num w:numId="17">
    <w:abstractNumId w:val="24"/>
  </w:num>
  <w:num w:numId="18">
    <w:abstractNumId w:val="9"/>
  </w:num>
  <w:num w:numId="19">
    <w:abstractNumId w:val="25"/>
  </w:num>
  <w:num w:numId="20">
    <w:abstractNumId w:val="5"/>
  </w:num>
  <w:num w:numId="21">
    <w:abstractNumId w:val="8"/>
  </w:num>
  <w:num w:numId="22">
    <w:abstractNumId w:val="17"/>
  </w:num>
  <w:num w:numId="23">
    <w:abstractNumId w:val="6"/>
  </w:num>
  <w:num w:numId="24">
    <w:abstractNumId w:val="0"/>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1sDAyNAZicyNLQyUdpeDU4uLM/DyQAiPTWgAjhz6sLQAAAA=="/>
  </w:docVars>
  <w:rsids>
    <w:rsidRoot w:val="006136E9"/>
    <w:rsid w:val="00003888"/>
    <w:rsid w:val="00004729"/>
    <w:rsid w:val="00010BD7"/>
    <w:rsid w:val="00011BD1"/>
    <w:rsid w:val="000232C2"/>
    <w:rsid w:val="00023976"/>
    <w:rsid w:val="0002648A"/>
    <w:rsid w:val="00037EC7"/>
    <w:rsid w:val="00040E8A"/>
    <w:rsid w:val="000466D9"/>
    <w:rsid w:val="00052D0D"/>
    <w:rsid w:val="000539EE"/>
    <w:rsid w:val="0006115F"/>
    <w:rsid w:val="00061409"/>
    <w:rsid w:val="00076166"/>
    <w:rsid w:val="00081F4F"/>
    <w:rsid w:val="00083866"/>
    <w:rsid w:val="000A7124"/>
    <w:rsid w:val="000C7B3D"/>
    <w:rsid w:val="000D0A0C"/>
    <w:rsid w:val="000D0E79"/>
    <w:rsid w:val="000E29AD"/>
    <w:rsid w:val="000E4123"/>
    <w:rsid w:val="000E52EC"/>
    <w:rsid w:val="000F6318"/>
    <w:rsid w:val="00102CF7"/>
    <w:rsid w:val="00106BEB"/>
    <w:rsid w:val="00116A5D"/>
    <w:rsid w:val="00117A2D"/>
    <w:rsid w:val="00137569"/>
    <w:rsid w:val="00141C60"/>
    <w:rsid w:val="001438EB"/>
    <w:rsid w:val="00152EBB"/>
    <w:rsid w:val="0016183E"/>
    <w:rsid w:val="0017695E"/>
    <w:rsid w:val="001807B9"/>
    <w:rsid w:val="00180E21"/>
    <w:rsid w:val="00181C99"/>
    <w:rsid w:val="00184CF2"/>
    <w:rsid w:val="00187822"/>
    <w:rsid w:val="001A264C"/>
    <w:rsid w:val="001A689B"/>
    <w:rsid w:val="001B1329"/>
    <w:rsid w:val="001C5704"/>
    <w:rsid w:val="001E5067"/>
    <w:rsid w:val="001F05B2"/>
    <w:rsid w:val="001F4214"/>
    <w:rsid w:val="002038FA"/>
    <w:rsid w:val="00214812"/>
    <w:rsid w:val="00230BDD"/>
    <w:rsid w:val="002336CD"/>
    <w:rsid w:val="00254194"/>
    <w:rsid w:val="002555E8"/>
    <w:rsid w:val="00264B60"/>
    <w:rsid w:val="0027426A"/>
    <w:rsid w:val="00276FD3"/>
    <w:rsid w:val="00277D91"/>
    <w:rsid w:val="00282E71"/>
    <w:rsid w:val="00284D35"/>
    <w:rsid w:val="00287E6A"/>
    <w:rsid w:val="00290348"/>
    <w:rsid w:val="002B50F0"/>
    <w:rsid w:val="002B671C"/>
    <w:rsid w:val="002C01A3"/>
    <w:rsid w:val="002C1050"/>
    <w:rsid w:val="002C2269"/>
    <w:rsid w:val="002C71B4"/>
    <w:rsid w:val="002D0530"/>
    <w:rsid w:val="00303DBD"/>
    <w:rsid w:val="0032195B"/>
    <w:rsid w:val="00322DCD"/>
    <w:rsid w:val="00331E5F"/>
    <w:rsid w:val="003377ED"/>
    <w:rsid w:val="00347614"/>
    <w:rsid w:val="0036418D"/>
    <w:rsid w:val="0036499E"/>
    <w:rsid w:val="00365834"/>
    <w:rsid w:val="00366E70"/>
    <w:rsid w:val="00383977"/>
    <w:rsid w:val="00385502"/>
    <w:rsid w:val="003A29DA"/>
    <w:rsid w:val="003A3CBA"/>
    <w:rsid w:val="003A5AEE"/>
    <w:rsid w:val="003A71A1"/>
    <w:rsid w:val="003B13C0"/>
    <w:rsid w:val="003C273C"/>
    <w:rsid w:val="003C6CF8"/>
    <w:rsid w:val="003D1645"/>
    <w:rsid w:val="003D4B8F"/>
    <w:rsid w:val="003D7AA5"/>
    <w:rsid w:val="003E049C"/>
    <w:rsid w:val="003E1E04"/>
    <w:rsid w:val="003E3591"/>
    <w:rsid w:val="0040663F"/>
    <w:rsid w:val="0041153E"/>
    <w:rsid w:val="00412863"/>
    <w:rsid w:val="00416D2E"/>
    <w:rsid w:val="00421274"/>
    <w:rsid w:val="00424842"/>
    <w:rsid w:val="00440B35"/>
    <w:rsid w:val="00441CCC"/>
    <w:rsid w:val="004447CA"/>
    <w:rsid w:val="00450782"/>
    <w:rsid w:val="00450948"/>
    <w:rsid w:val="00452B6D"/>
    <w:rsid w:val="00460FE7"/>
    <w:rsid w:val="004665A4"/>
    <w:rsid w:val="00475B6F"/>
    <w:rsid w:val="0048542B"/>
    <w:rsid w:val="00485E56"/>
    <w:rsid w:val="00497997"/>
    <w:rsid w:val="004A58BB"/>
    <w:rsid w:val="004A7E1A"/>
    <w:rsid w:val="004C419C"/>
    <w:rsid w:val="004D1F44"/>
    <w:rsid w:val="004E2317"/>
    <w:rsid w:val="00505CAD"/>
    <w:rsid w:val="00511B4A"/>
    <w:rsid w:val="0051655E"/>
    <w:rsid w:val="00530310"/>
    <w:rsid w:val="005304B5"/>
    <w:rsid w:val="00541384"/>
    <w:rsid w:val="00543397"/>
    <w:rsid w:val="00544AEC"/>
    <w:rsid w:val="00545FDC"/>
    <w:rsid w:val="00556950"/>
    <w:rsid w:val="0055735F"/>
    <w:rsid w:val="00557696"/>
    <w:rsid w:val="00557758"/>
    <w:rsid w:val="0057216C"/>
    <w:rsid w:val="00594215"/>
    <w:rsid w:val="00594F00"/>
    <w:rsid w:val="005A3E3D"/>
    <w:rsid w:val="005C2AA6"/>
    <w:rsid w:val="005D324C"/>
    <w:rsid w:val="005D3C3E"/>
    <w:rsid w:val="005D3D54"/>
    <w:rsid w:val="005D52B1"/>
    <w:rsid w:val="005F4DF1"/>
    <w:rsid w:val="005F7EAF"/>
    <w:rsid w:val="006101EA"/>
    <w:rsid w:val="006136E9"/>
    <w:rsid w:val="006151BB"/>
    <w:rsid w:val="00621F3D"/>
    <w:rsid w:val="00624232"/>
    <w:rsid w:val="006341AA"/>
    <w:rsid w:val="00637098"/>
    <w:rsid w:val="00642F04"/>
    <w:rsid w:val="006467DD"/>
    <w:rsid w:val="006515C1"/>
    <w:rsid w:val="00664096"/>
    <w:rsid w:val="00665076"/>
    <w:rsid w:val="006708F6"/>
    <w:rsid w:val="00671EF9"/>
    <w:rsid w:val="00677815"/>
    <w:rsid w:val="00682359"/>
    <w:rsid w:val="00682502"/>
    <w:rsid w:val="00686022"/>
    <w:rsid w:val="00694E14"/>
    <w:rsid w:val="006B1531"/>
    <w:rsid w:val="006B69B1"/>
    <w:rsid w:val="006C088B"/>
    <w:rsid w:val="006D1362"/>
    <w:rsid w:val="006E5A6B"/>
    <w:rsid w:val="006E6BBB"/>
    <w:rsid w:val="006F2914"/>
    <w:rsid w:val="0070115F"/>
    <w:rsid w:val="00725520"/>
    <w:rsid w:val="007375A5"/>
    <w:rsid w:val="007375D0"/>
    <w:rsid w:val="0075549A"/>
    <w:rsid w:val="00760F72"/>
    <w:rsid w:val="007815E1"/>
    <w:rsid w:val="00782315"/>
    <w:rsid w:val="007841F2"/>
    <w:rsid w:val="00785BA5"/>
    <w:rsid w:val="00786876"/>
    <w:rsid w:val="007A067E"/>
    <w:rsid w:val="007A0876"/>
    <w:rsid w:val="007B10EF"/>
    <w:rsid w:val="007B512B"/>
    <w:rsid w:val="007E587B"/>
    <w:rsid w:val="007F4E24"/>
    <w:rsid w:val="00811243"/>
    <w:rsid w:val="008117E2"/>
    <w:rsid w:val="00821386"/>
    <w:rsid w:val="00827511"/>
    <w:rsid w:val="00844F06"/>
    <w:rsid w:val="00851C8B"/>
    <w:rsid w:val="00862C2D"/>
    <w:rsid w:val="0087769A"/>
    <w:rsid w:val="008846F4"/>
    <w:rsid w:val="00893A90"/>
    <w:rsid w:val="0089582B"/>
    <w:rsid w:val="008A5355"/>
    <w:rsid w:val="008A66DA"/>
    <w:rsid w:val="008C2890"/>
    <w:rsid w:val="008D5D58"/>
    <w:rsid w:val="008E1962"/>
    <w:rsid w:val="008E41E8"/>
    <w:rsid w:val="008F168C"/>
    <w:rsid w:val="008F3889"/>
    <w:rsid w:val="009346B0"/>
    <w:rsid w:val="00936A6D"/>
    <w:rsid w:val="00946BC9"/>
    <w:rsid w:val="00964A03"/>
    <w:rsid w:val="009702E1"/>
    <w:rsid w:val="00971F12"/>
    <w:rsid w:val="00991FDD"/>
    <w:rsid w:val="009A5455"/>
    <w:rsid w:val="009C216A"/>
    <w:rsid w:val="009D5529"/>
    <w:rsid w:val="009F4C60"/>
    <w:rsid w:val="00A01C97"/>
    <w:rsid w:val="00A078F5"/>
    <w:rsid w:val="00A16631"/>
    <w:rsid w:val="00A1668E"/>
    <w:rsid w:val="00A22366"/>
    <w:rsid w:val="00A24148"/>
    <w:rsid w:val="00A3701A"/>
    <w:rsid w:val="00A378CB"/>
    <w:rsid w:val="00A61760"/>
    <w:rsid w:val="00A647A9"/>
    <w:rsid w:val="00A655E4"/>
    <w:rsid w:val="00A743C6"/>
    <w:rsid w:val="00A82DBA"/>
    <w:rsid w:val="00A84E8F"/>
    <w:rsid w:val="00A87BD6"/>
    <w:rsid w:val="00AA791D"/>
    <w:rsid w:val="00AE44B3"/>
    <w:rsid w:val="00AE4504"/>
    <w:rsid w:val="00AF59FC"/>
    <w:rsid w:val="00AF7932"/>
    <w:rsid w:val="00B01B7C"/>
    <w:rsid w:val="00B0256A"/>
    <w:rsid w:val="00B149CC"/>
    <w:rsid w:val="00B20745"/>
    <w:rsid w:val="00B33657"/>
    <w:rsid w:val="00B36EC1"/>
    <w:rsid w:val="00B4019A"/>
    <w:rsid w:val="00B63D5C"/>
    <w:rsid w:val="00B70402"/>
    <w:rsid w:val="00B73C24"/>
    <w:rsid w:val="00B75873"/>
    <w:rsid w:val="00B81DB6"/>
    <w:rsid w:val="00B86FDC"/>
    <w:rsid w:val="00BA3F15"/>
    <w:rsid w:val="00BB7BA6"/>
    <w:rsid w:val="00BC368F"/>
    <w:rsid w:val="00BD2A33"/>
    <w:rsid w:val="00BD439E"/>
    <w:rsid w:val="00BD649A"/>
    <w:rsid w:val="00BE3962"/>
    <w:rsid w:val="00BF09F0"/>
    <w:rsid w:val="00BF2777"/>
    <w:rsid w:val="00BF3668"/>
    <w:rsid w:val="00BF4177"/>
    <w:rsid w:val="00BF55B4"/>
    <w:rsid w:val="00C1016C"/>
    <w:rsid w:val="00C13C0F"/>
    <w:rsid w:val="00C227C6"/>
    <w:rsid w:val="00C41ACF"/>
    <w:rsid w:val="00C423FB"/>
    <w:rsid w:val="00C42D9B"/>
    <w:rsid w:val="00C45A49"/>
    <w:rsid w:val="00C70CCB"/>
    <w:rsid w:val="00C8360F"/>
    <w:rsid w:val="00C865DD"/>
    <w:rsid w:val="00C8704A"/>
    <w:rsid w:val="00C91FE9"/>
    <w:rsid w:val="00C9398C"/>
    <w:rsid w:val="00C95DDF"/>
    <w:rsid w:val="00CA0267"/>
    <w:rsid w:val="00CB6663"/>
    <w:rsid w:val="00CB7F04"/>
    <w:rsid w:val="00CC16F4"/>
    <w:rsid w:val="00CC1828"/>
    <w:rsid w:val="00CC3F73"/>
    <w:rsid w:val="00CC7918"/>
    <w:rsid w:val="00CD53B6"/>
    <w:rsid w:val="00CF7CC5"/>
    <w:rsid w:val="00D0205E"/>
    <w:rsid w:val="00D065E4"/>
    <w:rsid w:val="00D073D2"/>
    <w:rsid w:val="00D13588"/>
    <w:rsid w:val="00D1434D"/>
    <w:rsid w:val="00D30F76"/>
    <w:rsid w:val="00D541E0"/>
    <w:rsid w:val="00DA753B"/>
    <w:rsid w:val="00DB3154"/>
    <w:rsid w:val="00DB537A"/>
    <w:rsid w:val="00DB6942"/>
    <w:rsid w:val="00DC0A33"/>
    <w:rsid w:val="00DC0AB5"/>
    <w:rsid w:val="00DC0B9C"/>
    <w:rsid w:val="00DC4F4D"/>
    <w:rsid w:val="00DD3D17"/>
    <w:rsid w:val="00DE4297"/>
    <w:rsid w:val="00E019C7"/>
    <w:rsid w:val="00E05C51"/>
    <w:rsid w:val="00E05E40"/>
    <w:rsid w:val="00E06322"/>
    <w:rsid w:val="00E447F1"/>
    <w:rsid w:val="00E55E7A"/>
    <w:rsid w:val="00E61DF6"/>
    <w:rsid w:val="00E64A8B"/>
    <w:rsid w:val="00E66B8B"/>
    <w:rsid w:val="00E73C66"/>
    <w:rsid w:val="00E82EBC"/>
    <w:rsid w:val="00E8445E"/>
    <w:rsid w:val="00E94222"/>
    <w:rsid w:val="00EA33A7"/>
    <w:rsid w:val="00EC0432"/>
    <w:rsid w:val="00EC68D5"/>
    <w:rsid w:val="00ED1774"/>
    <w:rsid w:val="00ED1B05"/>
    <w:rsid w:val="00EE2354"/>
    <w:rsid w:val="00F04748"/>
    <w:rsid w:val="00F11BF1"/>
    <w:rsid w:val="00F256E7"/>
    <w:rsid w:val="00F26069"/>
    <w:rsid w:val="00F41B00"/>
    <w:rsid w:val="00F45217"/>
    <w:rsid w:val="00F52D97"/>
    <w:rsid w:val="00F568C6"/>
    <w:rsid w:val="00F66308"/>
    <w:rsid w:val="00F7410B"/>
    <w:rsid w:val="00F76521"/>
    <w:rsid w:val="00F77841"/>
    <w:rsid w:val="00F878AF"/>
    <w:rsid w:val="00F91F18"/>
    <w:rsid w:val="00F93097"/>
    <w:rsid w:val="00FA37C9"/>
    <w:rsid w:val="00FA78E0"/>
    <w:rsid w:val="00FB3985"/>
    <w:rsid w:val="00FB52EF"/>
    <w:rsid w:val="00FC0DAA"/>
    <w:rsid w:val="00FD6387"/>
    <w:rsid w:val="00FE1DEE"/>
    <w:rsid w:val="00FE3EF5"/>
    <w:rsid w:val="00FE66A9"/>
    <w:rsid w:val="00FE7FD7"/>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3DFD4B"/>
  <w15:chartTrackingRefBased/>
  <w15:docId w15:val="{F3F63B38-C457-4842-8812-AF7D2B4A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64A8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64A8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E1E04"/>
    <w:pPr>
      <w:widowControl w:val="0"/>
      <w:spacing w:after="0" w:line="240" w:lineRule="auto"/>
      <w:jc w:val="both"/>
    </w:pPr>
    <w:rPr>
      <w:lang w:eastAsia="zh-CN"/>
    </w:rPr>
  </w:style>
  <w:style w:type="character" w:customStyle="1" w:styleId="EndnoteTextChar">
    <w:name w:val="Endnote Text Char"/>
    <w:basedOn w:val="DefaultParagraphFont"/>
    <w:link w:val="EndnoteText"/>
    <w:uiPriority w:val="99"/>
    <w:semiHidden/>
    <w:rsid w:val="003E1E04"/>
    <w:rPr>
      <w:kern w:val="2"/>
      <w:lang w:eastAsia="zh-CN"/>
    </w:rPr>
  </w:style>
  <w:style w:type="paragraph" w:styleId="ListParagraph">
    <w:name w:val="List Paragraph"/>
    <w:basedOn w:val="Normal"/>
    <w:uiPriority w:val="34"/>
    <w:qFormat/>
    <w:rsid w:val="00C42D9B"/>
    <w:pPr>
      <w:ind w:left="720"/>
      <w:contextualSpacing/>
    </w:pPr>
  </w:style>
  <w:style w:type="character" w:customStyle="1" w:styleId="Heading2Char">
    <w:name w:val="Heading 2 Char"/>
    <w:basedOn w:val="DefaultParagraphFont"/>
    <w:link w:val="Heading2"/>
    <w:uiPriority w:val="9"/>
    <w:rsid w:val="00E64A8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64A8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E64A8B"/>
    <w:rPr>
      <w:b/>
      <w:bCs/>
    </w:rPr>
  </w:style>
  <w:style w:type="paragraph" w:styleId="NormalWeb">
    <w:name w:val="Normal (Web)"/>
    <w:basedOn w:val="Normal"/>
    <w:uiPriority w:val="99"/>
    <w:unhideWhenUsed/>
    <w:rsid w:val="00E64A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E66A9"/>
    <w:rPr>
      <w:color w:val="0563C1" w:themeColor="hyperlink"/>
      <w:u w:val="single"/>
    </w:rPr>
  </w:style>
  <w:style w:type="character" w:styleId="UnresolvedMention">
    <w:name w:val="Unresolved Mention"/>
    <w:basedOn w:val="DefaultParagraphFont"/>
    <w:uiPriority w:val="99"/>
    <w:semiHidden/>
    <w:unhideWhenUsed/>
    <w:rsid w:val="00FE66A9"/>
    <w:rPr>
      <w:color w:val="605E5C"/>
      <w:shd w:val="clear" w:color="auto" w:fill="E1DFDD"/>
    </w:rPr>
  </w:style>
  <w:style w:type="table" w:styleId="TableGrid">
    <w:name w:val="Table Grid"/>
    <w:basedOn w:val="TableNormal"/>
    <w:uiPriority w:val="39"/>
    <w:rsid w:val="00BF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1655E"/>
    <w:pPr>
      <w:spacing w:after="0" w:line="480" w:lineRule="auto"/>
      <w:ind w:left="720" w:hanging="720"/>
    </w:pPr>
  </w:style>
  <w:style w:type="paragraph" w:styleId="Header">
    <w:name w:val="header"/>
    <w:basedOn w:val="Normal"/>
    <w:link w:val="HeaderChar"/>
    <w:uiPriority w:val="99"/>
    <w:unhideWhenUsed/>
    <w:rsid w:val="00004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729"/>
  </w:style>
  <w:style w:type="paragraph" w:styleId="Footer">
    <w:name w:val="footer"/>
    <w:basedOn w:val="Normal"/>
    <w:link w:val="FooterChar"/>
    <w:uiPriority w:val="99"/>
    <w:unhideWhenUsed/>
    <w:rsid w:val="00004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5677">
      <w:bodyDiv w:val="1"/>
      <w:marLeft w:val="0"/>
      <w:marRight w:val="0"/>
      <w:marTop w:val="0"/>
      <w:marBottom w:val="0"/>
      <w:divBdr>
        <w:top w:val="none" w:sz="0" w:space="0" w:color="auto"/>
        <w:left w:val="none" w:sz="0" w:space="0" w:color="auto"/>
        <w:bottom w:val="none" w:sz="0" w:space="0" w:color="auto"/>
        <w:right w:val="none" w:sz="0" w:space="0" w:color="auto"/>
      </w:divBdr>
    </w:div>
    <w:div w:id="106587525">
      <w:bodyDiv w:val="1"/>
      <w:marLeft w:val="0"/>
      <w:marRight w:val="0"/>
      <w:marTop w:val="0"/>
      <w:marBottom w:val="0"/>
      <w:divBdr>
        <w:top w:val="none" w:sz="0" w:space="0" w:color="auto"/>
        <w:left w:val="none" w:sz="0" w:space="0" w:color="auto"/>
        <w:bottom w:val="none" w:sz="0" w:space="0" w:color="auto"/>
        <w:right w:val="none" w:sz="0" w:space="0" w:color="auto"/>
      </w:divBdr>
    </w:div>
    <w:div w:id="325134208">
      <w:bodyDiv w:val="1"/>
      <w:marLeft w:val="0"/>
      <w:marRight w:val="0"/>
      <w:marTop w:val="0"/>
      <w:marBottom w:val="0"/>
      <w:divBdr>
        <w:top w:val="none" w:sz="0" w:space="0" w:color="auto"/>
        <w:left w:val="none" w:sz="0" w:space="0" w:color="auto"/>
        <w:bottom w:val="none" w:sz="0" w:space="0" w:color="auto"/>
        <w:right w:val="none" w:sz="0" w:space="0" w:color="auto"/>
      </w:divBdr>
    </w:div>
    <w:div w:id="339042900">
      <w:bodyDiv w:val="1"/>
      <w:marLeft w:val="0"/>
      <w:marRight w:val="0"/>
      <w:marTop w:val="0"/>
      <w:marBottom w:val="0"/>
      <w:divBdr>
        <w:top w:val="none" w:sz="0" w:space="0" w:color="auto"/>
        <w:left w:val="none" w:sz="0" w:space="0" w:color="auto"/>
        <w:bottom w:val="none" w:sz="0" w:space="0" w:color="auto"/>
        <w:right w:val="none" w:sz="0" w:space="0" w:color="auto"/>
      </w:divBdr>
    </w:div>
    <w:div w:id="354305433">
      <w:bodyDiv w:val="1"/>
      <w:marLeft w:val="0"/>
      <w:marRight w:val="0"/>
      <w:marTop w:val="0"/>
      <w:marBottom w:val="0"/>
      <w:divBdr>
        <w:top w:val="none" w:sz="0" w:space="0" w:color="auto"/>
        <w:left w:val="none" w:sz="0" w:space="0" w:color="auto"/>
        <w:bottom w:val="none" w:sz="0" w:space="0" w:color="auto"/>
        <w:right w:val="none" w:sz="0" w:space="0" w:color="auto"/>
      </w:divBdr>
    </w:div>
    <w:div w:id="392317899">
      <w:bodyDiv w:val="1"/>
      <w:marLeft w:val="0"/>
      <w:marRight w:val="0"/>
      <w:marTop w:val="0"/>
      <w:marBottom w:val="0"/>
      <w:divBdr>
        <w:top w:val="none" w:sz="0" w:space="0" w:color="auto"/>
        <w:left w:val="none" w:sz="0" w:space="0" w:color="auto"/>
        <w:bottom w:val="none" w:sz="0" w:space="0" w:color="auto"/>
        <w:right w:val="none" w:sz="0" w:space="0" w:color="auto"/>
      </w:divBdr>
    </w:div>
    <w:div w:id="407113390">
      <w:bodyDiv w:val="1"/>
      <w:marLeft w:val="0"/>
      <w:marRight w:val="0"/>
      <w:marTop w:val="0"/>
      <w:marBottom w:val="0"/>
      <w:divBdr>
        <w:top w:val="none" w:sz="0" w:space="0" w:color="auto"/>
        <w:left w:val="none" w:sz="0" w:space="0" w:color="auto"/>
        <w:bottom w:val="none" w:sz="0" w:space="0" w:color="auto"/>
        <w:right w:val="none" w:sz="0" w:space="0" w:color="auto"/>
      </w:divBdr>
    </w:div>
    <w:div w:id="424806065">
      <w:bodyDiv w:val="1"/>
      <w:marLeft w:val="0"/>
      <w:marRight w:val="0"/>
      <w:marTop w:val="0"/>
      <w:marBottom w:val="0"/>
      <w:divBdr>
        <w:top w:val="none" w:sz="0" w:space="0" w:color="auto"/>
        <w:left w:val="none" w:sz="0" w:space="0" w:color="auto"/>
        <w:bottom w:val="none" w:sz="0" w:space="0" w:color="auto"/>
        <w:right w:val="none" w:sz="0" w:space="0" w:color="auto"/>
      </w:divBdr>
    </w:div>
    <w:div w:id="425619131">
      <w:bodyDiv w:val="1"/>
      <w:marLeft w:val="0"/>
      <w:marRight w:val="0"/>
      <w:marTop w:val="0"/>
      <w:marBottom w:val="0"/>
      <w:divBdr>
        <w:top w:val="none" w:sz="0" w:space="0" w:color="auto"/>
        <w:left w:val="none" w:sz="0" w:space="0" w:color="auto"/>
        <w:bottom w:val="none" w:sz="0" w:space="0" w:color="auto"/>
        <w:right w:val="none" w:sz="0" w:space="0" w:color="auto"/>
      </w:divBdr>
    </w:div>
    <w:div w:id="425688192">
      <w:bodyDiv w:val="1"/>
      <w:marLeft w:val="0"/>
      <w:marRight w:val="0"/>
      <w:marTop w:val="0"/>
      <w:marBottom w:val="0"/>
      <w:divBdr>
        <w:top w:val="none" w:sz="0" w:space="0" w:color="auto"/>
        <w:left w:val="none" w:sz="0" w:space="0" w:color="auto"/>
        <w:bottom w:val="none" w:sz="0" w:space="0" w:color="auto"/>
        <w:right w:val="none" w:sz="0" w:space="0" w:color="auto"/>
      </w:divBdr>
    </w:div>
    <w:div w:id="427846782">
      <w:bodyDiv w:val="1"/>
      <w:marLeft w:val="0"/>
      <w:marRight w:val="0"/>
      <w:marTop w:val="0"/>
      <w:marBottom w:val="0"/>
      <w:divBdr>
        <w:top w:val="none" w:sz="0" w:space="0" w:color="auto"/>
        <w:left w:val="none" w:sz="0" w:space="0" w:color="auto"/>
        <w:bottom w:val="none" w:sz="0" w:space="0" w:color="auto"/>
        <w:right w:val="none" w:sz="0" w:space="0" w:color="auto"/>
      </w:divBdr>
    </w:div>
    <w:div w:id="438331764">
      <w:bodyDiv w:val="1"/>
      <w:marLeft w:val="0"/>
      <w:marRight w:val="0"/>
      <w:marTop w:val="0"/>
      <w:marBottom w:val="0"/>
      <w:divBdr>
        <w:top w:val="none" w:sz="0" w:space="0" w:color="auto"/>
        <w:left w:val="none" w:sz="0" w:space="0" w:color="auto"/>
        <w:bottom w:val="none" w:sz="0" w:space="0" w:color="auto"/>
        <w:right w:val="none" w:sz="0" w:space="0" w:color="auto"/>
      </w:divBdr>
      <w:divsChild>
        <w:div w:id="964654646">
          <w:marLeft w:val="0"/>
          <w:marRight w:val="0"/>
          <w:marTop w:val="0"/>
          <w:marBottom w:val="0"/>
          <w:divBdr>
            <w:top w:val="none" w:sz="0" w:space="0" w:color="auto"/>
            <w:left w:val="none" w:sz="0" w:space="0" w:color="auto"/>
            <w:bottom w:val="none" w:sz="0" w:space="0" w:color="auto"/>
            <w:right w:val="none" w:sz="0" w:space="0" w:color="auto"/>
          </w:divBdr>
        </w:div>
      </w:divsChild>
    </w:div>
    <w:div w:id="501894000">
      <w:bodyDiv w:val="1"/>
      <w:marLeft w:val="0"/>
      <w:marRight w:val="0"/>
      <w:marTop w:val="0"/>
      <w:marBottom w:val="0"/>
      <w:divBdr>
        <w:top w:val="none" w:sz="0" w:space="0" w:color="auto"/>
        <w:left w:val="none" w:sz="0" w:space="0" w:color="auto"/>
        <w:bottom w:val="none" w:sz="0" w:space="0" w:color="auto"/>
        <w:right w:val="none" w:sz="0" w:space="0" w:color="auto"/>
      </w:divBdr>
    </w:div>
    <w:div w:id="502740546">
      <w:bodyDiv w:val="1"/>
      <w:marLeft w:val="0"/>
      <w:marRight w:val="0"/>
      <w:marTop w:val="0"/>
      <w:marBottom w:val="0"/>
      <w:divBdr>
        <w:top w:val="none" w:sz="0" w:space="0" w:color="auto"/>
        <w:left w:val="none" w:sz="0" w:space="0" w:color="auto"/>
        <w:bottom w:val="none" w:sz="0" w:space="0" w:color="auto"/>
        <w:right w:val="none" w:sz="0" w:space="0" w:color="auto"/>
      </w:divBdr>
    </w:div>
    <w:div w:id="563956244">
      <w:bodyDiv w:val="1"/>
      <w:marLeft w:val="0"/>
      <w:marRight w:val="0"/>
      <w:marTop w:val="0"/>
      <w:marBottom w:val="0"/>
      <w:divBdr>
        <w:top w:val="none" w:sz="0" w:space="0" w:color="auto"/>
        <w:left w:val="none" w:sz="0" w:space="0" w:color="auto"/>
        <w:bottom w:val="none" w:sz="0" w:space="0" w:color="auto"/>
        <w:right w:val="none" w:sz="0" w:space="0" w:color="auto"/>
      </w:divBdr>
    </w:div>
    <w:div w:id="580287304">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48607">
      <w:bodyDiv w:val="1"/>
      <w:marLeft w:val="0"/>
      <w:marRight w:val="0"/>
      <w:marTop w:val="0"/>
      <w:marBottom w:val="0"/>
      <w:divBdr>
        <w:top w:val="none" w:sz="0" w:space="0" w:color="auto"/>
        <w:left w:val="none" w:sz="0" w:space="0" w:color="auto"/>
        <w:bottom w:val="none" w:sz="0" w:space="0" w:color="auto"/>
        <w:right w:val="none" w:sz="0" w:space="0" w:color="auto"/>
      </w:divBdr>
    </w:div>
    <w:div w:id="749471836">
      <w:bodyDiv w:val="1"/>
      <w:marLeft w:val="0"/>
      <w:marRight w:val="0"/>
      <w:marTop w:val="0"/>
      <w:marBottom w:val="0"/>
      <w:divBdr>
        <w:top w:val="none" w:sz="0" w:space="0" w:color="auto"/>
        <w:left w:val="none" w:sz="0" w:space="0" w:color="auto"/>
        <w:bottom w:val="none" w:sz="0" w:space="0" w:color="auto"/>
        <w:right w:val="none" w:sz="0" w:space="0" w:color="auto"/>
      </w:divBdr>
    </w:div>
    <w:div w:id="835388539">
      <w:bodyDiv w:val="1"/>
      <w:marLeft w:val="0"/>
      <w:marRight w:val="0"/>
      <w:marTop w:val="0"/>
      <w:marBottom w:val="0"/>
      <w:divBdr>
        <w:top w:val="none" w:sz="0" w:space="0" w:color="auto"/>
        <w:left w:val="none" w:sz="0" w:space="0" w:color="auto"/>
        <w:bottom w:val="none" w:sz="0" w:space="0" w:color="auto"/>
        <w:right w:val="none" w:sz="0" w:space="0" w:color="auto"/>
      </w:divBdr>
    </w:div>
    <w:div w:id="845365815">
      <w:bodyDiv w:val="1"/>
      <w:marLeft w:val="0"/>
      <w:marRight w:val="0"/>
      <w:marTop w:val="0"/>
      <w:marBottom w:val="0"/>
      <w:divBdr>
        <w:top w:val="none" w:sz="0" w:space="0" w:color="auto"/>
        <w:left w:val="none" w:sz="0" w:space="0" w:color="auto"/>
        <w:bottom w:val="none" w:sz="0" w:space="0" w:color="auto"/>
        <w:right w:val="none" w:sz="0" w:space="0" w:color="auto"/>
      </w:divBdr>
    </w:div>
    <w:div w:id="858473503">
      <w:bodyDiv w:val="1"/>
      <w:marLeft w:val="0"/>
      <w:marRight w:val="0"/>
      <w:marTop w:val="0"/>
      <w:marBottom w:val="0"/>
      <w:divBdr>
        <w:top w:val="none" w:sz="0" w:space="0" w:color="auto"/>
        <w:left w:val="none" w:sz="0" w:space="0" w:color="auto"/>
        <w:bottom w:val="none" w:sz="0" w:space="0" w:color="auto"/>
        <w:right w:val="none" w:sz="0" w:space="0" w:color="auto"/>
      </w:divBdr>
    </w:div>
    <w:div w:id="935481216">
      <w:bodyDiv w:val="1"/>
      <w:marLeft w:val="0"/>
      <w:marRight w:val="0"/>
      <w:marTop w:val="0"/>
      <w:marBottom w:val="0"/>
      <w:divBdr>
        <w:top w:val="none" w:sz="0" w:space="0" w:color="auto"/>
        <w:left w:val="none" w:sz="0" w:space="0" w:color="auto"/>
        <w:bottom w:val="none" w:sz="0" w:space="0" w:color="auto"/>
        <w:right w:val="none" w:sz="0" w:space="0" w:color="auto"/>
      </w:divBdr>
    </w:div>
    <w:div w:id="963850473">
      <w:bodyDiv w:val="1"/>
      <w:marLeft w:val="0"/>
      <w:marRight w:val="0"/>
      <w:marTop w:val="0"/>
      <w:marBottom w:val="0"/>
      <w:divBdr>
        <w:top w:val="none" w:sz="0" w:space="0" w:color="auto"/>
        <w:left w:val="none" w:sz="0" w:space="0" w:color="auto"/>
        <w:bottom w:val="none" w:sz="0" w:space="0" w:color="auto"/>
        <w:right w:val="none" w:sz="0" w:space="0" w:color="auto"/>
      </w:divBdr>
    </w:div>
    <w:div w:id="1128742108">
      <w:bodyDiv w:val="1"/>
      <w:marLeft w:val="0"/>
      <w:marRight w:val="0"/>
      <w:marTop w:val="0"/>
      <w:marBottom w:val="0"/>
      <w:divBdr>
        <w:top w:val="none" w:sz="0" w:space="0" w:color="auto"/>
        <w:left w:val="none" w:sz="0" w:space="0" w:color="auto"/>
        <w:bottom w:val="none" w:sz="0" w:space="0" w:color="auto"/>
        <w:right w:val="none" w:sz="0" w:space="0" w:color="auto"/>
      </w:divBdr>
    </w:div>
    <w:div w:id="1290236392">
      <w:bodyDiv w:val="1"/>
      <w:marLeft w:val="0"/>
      <w:marRight w:val="0"/>
      <w:marTop w:val="0"/>
      <w:marBottom w:val="0"/>
      <w:divBdr>
        <w:top w:val="none" w:sz="0" w:space="0" w:color="auto"/>
        <w:left w:val="none" w:sz="0" w:space="0" w:color="auto"/>
        <w:bottom w:val="none" w:sz="0" w:space="0" w:color="auto"/>
        <w:right w:val="none" w:sz="0" w:space="0" w:color="auto"/>
      </w:divBdr>
    </w:div>
    <w:div w:id="1340739973">
      <w:bodyDiv w:val="1"/>
      <w:marLeft w:val="0"/>
      <w:marRight w:val="0"/>
      <w:marTop w:val="0"/>
      <w:marBottom w:val="0"/>
      <w:divBdr>
        <w:top w:val="none" w:sz="0" w:space="0" w:color="auto"/>
        <w:left w:val="none" w:sz="0" w:space="0" w:color="auto"/>
        <w:bottom w:val="none" w:sz="0" w:space="0" w:color="auto"/>
        <w:right w:val="none" w:sz="0" w:space="0" w:color="auto"/>
      </w:divBdr>
    </w:div>
    <w:div w:id="1361855654">
      <w:bodyDiv w:val="1"/>
      <w:marLeft w:val="0"/>
      <w:marRight w:val="0"/>
      <w:marTop w:val="0"/>
      <w:marBottom w:val="0"/>
      <w:divBdr>
        <w:top w:val="none" w:sz="0" w:space="0" w:color="auto"/>
        <w:left w:val="none" w:sz="0" w:space="0" w:color="auto"/>
        <w:bottom w:val="none" w:sz="0" w:space="0" w:color="auto"/>
        <w:right w:val="none" w:sz="0" w:space="0" w:color="auto"/>
      </w:divBdr>
    </w:div>
    <w:div w:id="1406952629">
      <w:bodyDiv w:val="1"/>
      <w:marLeft w:val="0"/>
      <w:marRight w:val="0"/>
      <w:marTop w:val="0"/>
      <w:marBottom w:val="0"/>
      <w:divBdr>
        <w:top w:val="none" w:sz="0" w:space="0" w:color="auto"/>
        <w:left w:val="none" w:sz="0" w:space="0" w:color="auto"/>
        <w:bottom w:val="none" w:sz="0" w:space="0" w:color="auto"/>
        <w:right w:val="none" w:sz="0" w:space="0" w:color="auto"/>
      </w:divBdr>
    </w:div>
    <w:div w:id="1453400021">
      <w:bodyDiv w:val="1"/>
      <w:marLeft w:val="0"/>
      <w:marRight w:val="0"/>
      <w:marTop w:val="0"/>
      <w:marBottom w:val="0"/>
      <w:divBdr>
        <w:top w:val="none" w:sz="0" w:space="0" w:color="auto"/>
        <w:left w:val="none" w:sz="0" w:space="0" w:color="auto"/>
        <w:bottom w:val="none" w:sz="0" w:space="0" w:color="auto"/>
        <w:right w:val="none" w:sz="0" w:space="0" w:color="auto"/>
      </w:divBdr>
    </w:div>
    <w:div w:id="1523934107">
      <w:bodyDiv w:val="1"/>
      <w:marLeft w:val="0"/>
      <w:marRight w:val="0"/>
      <w:marTop w:val="0"/>
      <w:marBottom w:val="0"/>
      <w:divBdr>
        <w:top w:val="none" w:sz="0" w:space="0" w:color="auto"/>
        <w:left w:val="none" w:sz="0" w:space="0" w:color="auto"/>
        <w:bottom w:val="none" w:sz="0" w:space="0" w:color="auto"/>
        <w:right w:val="none" w:sz="0" w:space="0" w:color="auto"/>
      </w:divBdr>
    </w:div>
    <w:div w:id="1634872923">
      <w:bodyDiv w:val="1"/>
      <w:marLeft w:val="0"/>
      <w:marRight w:val="0"/>
      <w:marTop w:val="0"/>
      <w:marBottom w:val="0"/>
      <w:divBdr>
        <w:top w:val="none" w:sz="0" w:space="0" w:color="auto"/>
        <w:left w:val="none" w:sz="0" w:space="0" w:color="auto"/>
        <w:bottom w:val="none" w:sz="0" w:space="0" w:color="auto"/>
        <w:right w:val="none" w:sz="0" w:space="0" w:color="auto"/>
      </w:divBdr>
    </w:div>
    <w:div w:id="1667973889">
      <w:bodyDiv w:val="1"/>
      <w:marLeft w:val="0"/>
      <w:marRight w:val="0"/>
      <w:marTop w:val="0"/>
      <w:marBottom w:val="0"/>
      <w:divBdr>
        <w:top w:val="none" w:sz="0" w:space="0" w:color="auto"/>
        <w:left w:val="none" w:sz="0" w:space="0" w:color="auto"/>
        <w:bottom w:val="none" w:sz="0" w:space="0" w:color="auto"/>
        <w:right w:val="none" w:sz="0" w:space="0" w:color="auto"/>
      </w:divBdr>
    </w:div>
    <w:div w:id="1847743314">
      <w:bodyDiv w:val="1"/>
      <w:marLeft w:val="0"/>
      <w:marRight w:val="0"/>
      <w:marTop w:val="0"/>
      <w:marBottom w:val="0"/>
      <w:divBdr>
        <w:top w:val="none" w:sz="0" w:space="0" w:color="auto"/>
        <w:left w:val="none" w:sz="0" w:space="0" w:color="auto"/>
        <w:bottom w:val="none" w:sz="0" w:space="0" w:color="auto"/>
        <w:right w:val="none" w:sz="0" w:space="0" w:color="auto"/>
      </w:divBdr>
    </w:div>
    <w:div w:id="1853179072">
      <w:bodyDiv w:val="1"/>
      <w:marLeft w:val="0"/>
      <w:marRight w:val="0"/>
      <w:marTop w:val="0"/>
      <w:marBottom w:val="0"/>
      <w:divBdr>
        <w:top w:val="none" w:sz="0" w:space="0" w:color="auto"/>
        <w:left w:val="none" w:sz="0" w:space="0" w:color="auto"/>
        <w:bottom w:val="none" w:sz="0" w:space="0" w:color="auto"/>
        <w:right w:val="none" w:sz="0" w:space="0" w:color="auto"/>
      </w:divBdr>
    </w:div>
    <w:div w:id="1937052090">
      <w:bodyDiv w:val="1"/>
      <w:marLeft w:val="0"/>
      <w:marRight w:val="0"/>
      <w:marTop w:val="0"/>
      <w:marBottom w:val="0"/>
      <w:divBdr>
        <w:top w:val="none" w:sz="0" w:space="0" w:color="auto"/>
        <w:left w:val="none" w:sz="0" w:space="0" w:color="auto"/>
        <w:bottom w:val="none" w:sz="0" w:space="0" w:color="auto"/>
        <w:right w:val="none" w:sz="0" w:space="0" w:color="auto"/>
      </w:divBdr>
    </w:div>
    <w:div w:id="21058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4EB7-715D-4FD6-9F5E-C2AFB8B8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22931</Words>
  <Characters>130713</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Mahedi Suvo</dc:creator>
  <cp:keywords/>
  <dc:description/>
  <cp:lastModifiedBy>SDI 1180</cp:lastModifiedBy>
  <cp:revision>43</cp:revision>
  <dcterms:created xsi:type="dcterms:W3CDTF">2025-07-22T18:46:00Z</dcterms:created>
  <dcterms:modified xsi:type="dcterms:W3CDTF">2025-07-23T12:09:00Z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d0ea5a0b-9861-4bb0-b4a6-17c68b2aed59</vt:lpwstr>
  </property>
  <property fmtid="{D5CDD505-2E9C-101B-9397-08002B2CF9AE}" pid="3" name="ZOTERO_PREF_1">
    <vt:lpwstr>&lt;data data-version="3" zotero-version="7.0.11"&gt;&lt;session id="RN2wvqOp"/&gt;&lt;style id="http://www.zotero.org/styles/apa" locale="en-US" hasBibliography="1" bibliographyStyleHasBeenSet="1"/&gt;&lt;prefs&gt;&lt;pref name="fieldType" value="Field"/&gt;&lt;/prefs&gt;&lt;/data&gt;</vt:lpwstr>
  </property>
</Properties>
</file>