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3E7" w:rsidRDefault="00CC53E7" w:rsidP="008B7831">
      <w:pPr>
        <w:spacing w:after="240" w:line="240" w:lineRule="auto"/>
        <w:jc w:val="right"/>
        <w:rPr>
          <w:rFonts w:ascii="Arial" w:hAnsi="Arial" w:cs="Arial"/>
          <w:b/>
          <w:sz w:val="36"/>
          <w:szCs w:val="36"/>
          <w:shd w:val="clear" w:color="auto" w:fill="FFFFFF"/>
        </w:rPr>
      </w:pPr>
      <w:r w:rsidRPr="00CC53E7">
        <w:rPr>
          <w:rFonts w:ascii="Arial" w:hAnsi="Arial" w:cs="Arial"/>
          <w:b/>
          <w:sz w:val="36"/>
          <w:szCs w:val="36"/>
          <w:shd w:val="clear" w:color="auto" w:fill="FFFFFF"/>
        </w:rPr>
        <w:t xml:space="preserve">Original Research Article </w:t>
      </w:r>
    </w:p>
    <w:p w:rsidR="0064510D" w:rsidRDefault="0064510D" w:rsidP="008B7831">
      <w:pPr>
        <w:spacing w:after="240" w:line="240" w:lineRule="auto"/>
        <w:jc w:val="right"/>
        <w:rPr>
          <w:rFonts w:ascii="Arial" w:hAnsi="Arial" w:cs="Arial"/>
          <w:b/>
          <w:sz w:val="36"/>
          <w:szCs w:val="36"/>
          <w:shd w:val="clear" w:color="auto" w:fill="FFFFFF"/>
        </w:rPr>
      </w:pPr>
      <w:r w:rsidRPr="0064510D">
        <w:rPr>
          <w:rFonts w:ascii="Arial" w:hAnsi="Arial" w:cs="Arial"/>
          <w:b/>
          <w:sz w:val="36"/>
          <w:szCs w:val="36"/>
          <w:shd w:val="clear" w:color="auto" w:fill="FFFFFF"/>
        </w:rPr>
        <w:t>Genetic Analysis of Yield and Mosaic Virus Resistance in Bitter Gourd (</w:t>
      </w:r>
      <w:r w:rsidR="006A261D" w:rsidRPr="006A261D">
        <w:rPr>
          <w:rFonts w:ascii="Arial" w:hAnsi="Arial" w:cs="Arial"/>
          <w:b/>
          <w:i/>
          <w:sz w:val="36"/>
          <w:szCs w:val="36"/>
          <w:shd w:val="clear" w:color="auto" w:fill="FFFFFF"/>
        </w:rPr>
        <w:t xml:space="preserve">Momordica </w:t>
      </w:r>
      <w:proofErr w:type="spellStart"/>
      <w:r w:rsidR="006A261D" w:rsidRPr="006A261D">
        <w:rPr>
          <w:rFonts w:ascii="Arial" w:hAnsi="Arial" w:cs="Arial"/>
          <w:b/>
          <w:i/>
          <w:sz w:val="36"/>
          <w:szCs w:val="36"/>
          <w:shd w:val="clear" w:color="auto" w:fill="FFFFFF"/>
        </w:rPr>
        <w:t>charantia</w:t>
      </w:r>
      <w:proofErr w:type="spellEnd"/>
      <w:r w:rsidRPr="0064510D">
        <w:rPr>
          <w:rFonts w:ascii="Arial" w:hAnsi="Arial" w:cs="Arial"/>
          <w:b/>
          <w:sz w:val="36"/>
          <w:szCs w:val="36"/>
          <w:shd w:val="clear" w:color="auto" w:fill="FFFFFF"/>
        </w:rPr>
        <w:t xml:space="preserve"> L.) through Line × Tester Analysis</w:t>
      </w:r>
    </w:p>
    <w:p w:rsidR="002563F3" w:rsidRDefault="002563F3" w:rsidP="009233A8">
      <w:pPr>
        <w:spacing w:after="240" w:line="240" w:lineRule="auto"/>
        <w:rPr>
          <w:rFonts w:ascii="Arial" w:hAnsi="Arial" w:cs="Arial"/>
          <w:b/>
          <w:szCs w:val="24"/>
          <w:shd w:val="clear" w:color="auto" w:fill="FFFFFF"/>
        </w:rPr>
      </w:pPr>
    </w:p>
    <w:p w:rsidR="009233A8" w:rsidRPr="009233A8" w:rsidRDefault="009233A8" w:rsidP="009233A8">
      <w:pPr>
        <w:spacing w:after="240" w:line="240" w:lineRule="auto"/>
        <w:rPr>
          <w:rFonts w:ascii="Arial" w:hAnsi="Arial" w:cs="Arial"/>
          <w:b/>
          <w:szCs w:val="24"/>
          <w:shd w:val="clear" w:color="auto" w:fill="FFFFFF"/>
        </w:rPr>
      </w:pPr>
      <w:r w:rsidRPr="009233A8">
        <w:rPr>
          <w:rFonts w:ascii="Arial" w:hAnsi="Arial" w:cs="Arial"/>
          <w:b/>
          <w:szCs w:val="24"/>
          <w:shd w:val="clear" w:color="auto" w:fill="FFFFFF"/>
        </w:rPr>
        <w:t>ABSTRACT</w:t>
      </w:r>
    </w:p>
    <w:p w:rsidR="0095007F" w:rsidRP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An experiment was conducted to evaluate the genetic potential of bitter gourd genotypes and their hybrids for yield and mosaic virus resistance using a line × tester analysis. The study utilized six high-yielding lines (L1-L6) and three mosaic virus-tolerant testers (T1-T3) to generate 18 F</w:t>
      </w:r>
      <w:r w:rsidRPr="00044CDB">
        <w:rPr>
          <w:rFonts w:ascii="Arial" w:hAnsi="Arial" w:cs="Arial"/>
          <w:szCs w:val="24"/>
          <w:shd w:val="clear" w:color="auto" w:fill="FFFFFF"/>
          <w:vertAlign w:val="subscript"/>
        </w:rPr>
        <w:t>1</w:t>
      </w:r>
      <w:r w:rsidRPr="0095007F">
        <w:rPr>
          <w:rFonts w:ascii="Arial" w:hAnsi="Arial" w:cs="Arial"/>
          <w:szCs w:val="24"/>
          <w:shd w:val="clear" w:color="auto" w:fill="FFFFFF"/>
        </w:rPr>
        <w:t xml:space="preserve"> hybrid combinations. These genotypes were evaluated for 19 traits, including yield components and biochemical markers associated with defense responses,</w:t>
      </w:r>
      <w:r w:rsidR="00D62B28">
        <w:rPr>
          <w:rFonts w:ascii="Arial" w:hAnsi="Arial" w:cs="Arial"/>
          <w:szCs w:val="24"/>
          <w:shd w:val="clear" w:color="auto" w:fill="FFFFFF"/>
        </w:rPr>
        <w:t xml:space="preserve"> such as Peroxidase (PER), Polyphenol</w:t>
      </w:r>
      <w:r w:rsidRPr="0095007F">
        <w:rPr>
          <w:rFonts w:ascii="Arial" w:hAnsi="Arial" w:cs="Arial"/>
          <w:szCs w:val="24"/>
          <w:shd w:val="clear" w:color="auto" w:fill="FFFFFF"/>
        </w:rPr>
        <w:t xml:space="preserve"> Oxidase (PPO), and Phenyl</w:t>
      </w:r>
      <w:r w:rsidR="00727E21">
        <w:rPr>
          <w:rFonts w:ascii="Arial" w:hAnsi="Arial" w:cs="Arial"/>
          <w:szCs w:val="24"/>
          <w:shd w:val="clear" w:color="auto" w:fill="FFFFFF"/>
        </w:rPr>
        <w:t>alanine</w:t>
      </w:r>
      <w:r w:rsidRPr="0095007F">
        <w:rPr>
          <w:rFonts w:ascii="Arial" w:hAnsi="Arial" w:cs="Arial"/>
          <w:szCs w:val="24"/>
          <w:shd w:val="clear" w:color="auto" w:fill="FFFFFF"/>
        </w:rPr>
        <w:t xml:space="preserve"> Ammonia Lyase (PAL).</w:t>
      </w:r>
    </w:p>
    <w:p w:rsidR="0095007F" w:rsidRP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Analysis of variance (ANOVA) revealed significant genetic variability among the parents and hybrids for most traits. The general combining ability (GCA) analysis identified lines L3 and L5 as superior for earliness and enzyme activity, while tester T3 was the best general combiner for both yield and biochemical resistance traits. Specific combining ability (SCA) analysis highlighted strong non-additive gene action, with several crosses exhibiting significant effects. Notably, the hybrids L5 × T2 and L3 × T3 demonstrated exceptional performance, combining high yield potential with enhanced resistance to the mosaic virus complex, as indicated by elevated biochemical marker expression.</w:t>
      </w:r>
    </w:p>
    <w:p w:rsidR="0095007F"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95007F">
        <w:rPr>
          <w:rFonts w:ascii="Arial" w:hAnsi="Arial" w:cs="Arial"/>
          <w:szCs w:val="24"/>
          <w:shd w:val="clear" w:color="auto" w:fill="FFFFFF"/>
        </w:rPr>
        <w:t>Conversely, some high-yielding crosses like L1 × T3 and L2 × T3 showed poor resistance, making them unsuitable for mosaic-prone environments. The study concludes that the hybrid combinations L5 × T2 and L3 × T3 are promising candidates for developing new bitter gourd varieties that are both high-yielding and tolerant to mosaic viruses.</w:t>
      </w:r>
    </w:p>
    <w:p w:rsidR="00044CDB" w:rsidRPr="00044CDB" w:rsidRDefault="00044CDB" w:rsidP="008B7831">
      <w:pPr>
        <w:spacing w:after="240" w:line="240" w:lineRule="auto"/>
        <w:jc w:val="both"/>
        <w:rPr>
          <w:rFonts w:ascii="Arial" w:hAnsi="Arial" w:cs="Arial"/>
          <w:i/>
          <w:shd w:val="clear" w:color="auto" w:fill="FFFFFF"/>
        </w:rPr>
        <w:sectPr w:rsidR="00044CDB" w:rsidRPr="00044CDB" w:rsidSect="00656D32">
          <w:headerReference w:type="even" r:id="rId7"/>
          <w:headerReference w:type="default" r:id="rId8"/>
          <w:footerReference w:type="even" r:id="rId9"/>
          <w:footerReference w:type="default" r:id="rId10"/>
          <w:headerReference w:type="first" r:id="rId11"/>
          <w:footerReference w:type="first" r:id="rId12"/>
          <w:pgSz w:w="12240" w:h="15840"/>
          <w:pgMar w:top="1800" w:right="1440" w:bottom="1440" w:left="1440" w:header="720" w:footer="720" w:gutter="0"/>
          <w:cols w:space="720"/>
          <w:docGrid w:linePitch="360"/>
        </w:sectPr>
      </w:pPr>
      <w:r w:rsidRPr="00044CDB">
        <w:rPr>
          <w:rFonts w:ascii="Arial" w:hAnsi="Arial" w:cs="Arial"/>
          <w:i/>
          <w:shd w:val="clear" w:color="auto" w:fill="FFFFFF"/>
        </w:rPr>
        <w:t>Keywords: Bitter gourd,</w:t>
      </w:r>
      <w:r w:rsidR="003D0530">
        <w:rPr>
          <w:rFonts w:ascii="Arial" w:hAnsi="Arial" w:cs="Arial"/>
          <w:i/>
          <w:shd w:val="clear" w:color="auto" w:fill="FFFFFF"/>
        </w:rPr>
        <w:t xml:space="preserve"> </w:t>
      </w:r>
      <w:r w:rsidR="006A261D" w:rsidRPr="006A261D">
        <w:rPr>
          <w:rFonts w:ascii="Arial" w:hAnsi="Arial" w:cs="Arial"/>
          <w:i/>
          <w:shd w:val="clear" w:color="auto" w:fill="FFFFFF"/>
        </w:rPr>
        <w:t xml:space="preserve">Momordica </w:t>
      </w:r>
      <w:proofErr w:type="spellStart"/>
      <w:r w:rsidR="006A261D" w:rsidRPr="006A261D">
        <w:rPr>
          <w:rFonts w:ascii="Arial" w:hAnsi="Arial" w:cs="Arial"/>
          <w:i/>
          <w:shd w:val="clear" w:color="auto" w:fill="FFFFFF"/>
        </w:rPr>
        <w:t>charantia</w:t>
      </w:r>
      <w:proofErr w:type="spellEnd"/>
      <w:r w:rsidR="003D0530">
        <w:rPr>
          <w:rFonts w:ascii="Arial" w:hAnsi="Arial" w:cs="Arial"/>
          <w:i/>
          <w:shd w:val="clear" w:color="auto" w:fill="FFFFFF"/>
        </w:rPr>
        <w:t xml:space="preserve">, </w:t>
      </w:r>
      <w:proofErr w:type="spellStart"/>
      <w:r w:rsidR="003D0530">
        <w:rPr>
          <w:rFonts w:ascii="Arial" w:hAnsi="Arial" w:cs="Arial"/>
          <w:i/>
          <w:shd w:val="clear" w:color="auto" w:fill="FFFFFF"/>
        </w:rPr>
        <w:t>muricata</w:t>
      </w:r>
      <w:proofErr w:type="spellEnd"/>
      <w:r w:rsidR="003D0530">
        <w:rPr>
          <w:rFonts w:ascii="Arial" w:hAnsi="Arial" w:cs="Arial"/>
          <w:i/>
          <w:shd w:val="clear" w:color="auto" w:fill="FFFFFF"/>
        </w:rPr>
        <w:t xml:space="preserve">, </w:t>
      </w:r>
      <w:r w:rsidRPr="00044CDB">
        <w:rPr>
          <w:rFonts w:ascii="Arial" w:hAnsi="Arial" w:cs="Arial"/>
          <w:i/>
          <w:shd w:val="clear" w:color="auto" w:fill="FFFFFF"/>
        </w:rPr>
        <w:t xml:space="preserve">ANOVA, </w:t>
      </w:r>
      <w:proofErr w:type="spellStart"/>
      <w:r w:rsidRPr="00044CDB">
        <w:rPr>
          <w:rFonts w:ascii="Arial" w:hAnsi="Arial" w:cs="Arial"/>
          <w:i/>
          <w:shd w:val="clear" w:color="auto" w:fill="FFFFFF"/>
        </w:rPr>
        <w:t>LxT</w:t>
      </w:r>
      <w:proofErr w:type="spellEnd"/>
      <w:r w:rsidRPr="00044CDB">
        <w:rPr>
          <w:rFonts w:ascii="Arial" w:hAnsi="Arial" w:cs="Arial"/>
          <w:i/>
          <w:shd w:val="clear" w:color="auto" w:fill="FFFFFF"/>
        </w:rPr>
        <w:t xml:space="preserve"> analysis, GCA, SCA</w:t>
      </w:r>
    </w:p>
    <w:p w:rsidR="00626068" w:rsidRDefault="00626068" w:rsidP="008B7831">
      <w:pPr>
        <w:spacing w:after="240" w:line="240" w:lineRule="auto"/>
        <w:jc w:val="both"/>
        <w:rPr>
          <w:rFonts w:ascii="Arial" w:hAnsi="Arial" w:cs="Arial"/>
          <w:b/>
          <w:shd w:val="clear" w:color="auto" w:fill="FFFFFF"/>
        </w:rPr>
      </w:pPr>
      <w:r w:rsidRPr="00626068">
        <w:rPr>
          <w:rFonts w:ascii="Arial" w:hAnsi="Arial" w:cs="Arial"/>
          <w:b/>
          <w:shd w:val="clear" w:color="auto" w:fill="FFFFFF"/>
        </w:rPr>
        <w:t>1.</w:t>
      </w:r>
      <w:r>
        <w:rPr>
          <w:rFonts w:ascii="Arial" w:hAnsi="Arial" w:cs="Arial"/>
          <w:b/>
          <w:shd w:val="clear" w:color="auto" w:fill="FFFFFF"/>
        </w:rPr>
        <w:t xml:space="preserve"> </w:t>
      </w:r>
      <w:r w:rsidRPr="00626068">
        <w:rPr>
          <w:rFonts w:ascii="Arial" w:hAnsi="Arial" w:cs="Arial"/>
          <w:b/>
          <w:shd w:val="clear" w:color="auto" w:fill="FFFFFF"/>
        </w:rPr>
        <w:t>INTRODUCTION</w:t>
      </w:r>
    </w:p>
    <w:p w:rsidR="00A14355" w:rsidRPr="0095007F" w:rsidRDefault="006A261D" w:rsidP="007131B1">
      <w:pPr>
        <w:spacing w:after="240" w:line="240" w:lineRule="auto"/>
        <w:jc w:val="both"/>
        <w:rPr>
          <w:rFonts w:ascii="Arial" w:hAnsi="Arial" w:cs="Arial"/>
          <w:sz w:val="20"/>
          <w:shd w:val="clear" w:color="auto" w:fill="FFFFFF"/>
        </w:rPr>
      </w:pPr>
      <w:r w:rsidRPr="006A261D">
        <w:rPr>
          <w:rFonts w:ascii="Arial" w:hAnsi="Arial" w:cs="Arial"/>
          <w:i/>
          <w:sz w:val="20"/>
          <w:shd w:val="clear" w:color="auto" w:fill="FFFFFF"/>
        </w:rPr>
        <w:t xml:space="preserve">Momordica </w:t>
      </w:r>
      <w:proofErr w:type="spellStart"/>
      <w:r w:rsidRPr="006A261D">
        <w:rPr>
          <w:rFonts w:ascii="Arial" w:hAnsi="Arial" w:cs="Arial"/>
          <w:i/>
          <w:sz w:val="20"/>
          <w:shd w:val="clear" w:color="auto" w:fill="FFFFFF"/>
        </w:rPr>
        <w:t>charantia</w:t>
      </w:r>
      <w:proofErr w:type="spellEnd"/>
      <w:r w:rsidR="00A14355" w:rsidRPr="0095007F">
        <w:rPr>
          <w:rFonts w:ascii="Arial" w:hAnsi="Arial" w:cs="Arial"/>
          <w:i/>
          <w:sz w:val="20"/>
          <w:shd w:val="clear" w:color="auto" w:fill="FFFFFF"/>
        </w:rPr>
        <w:t xml:space="preserve"> </w:t>
      </w:r>
      <w:r w:rsidR="00A14355" w:rsidRPr="0095007F">
        <w:rPr>
          <w:rFonts w:ascii="Arial" w:hAnsi="Arial" w:cs="Arial"/>
          <w:sz w:val="20"/>
          <w:shd w:val="clear" w:color="auto" w:fill="FFFFFF"/>
        </w:rPr>
        <w:t xml:space="preserve">(bitter gourd, balsam pear or bitter melon), a cucurbitaceous plant of Indo-Burma origin, is an important global vegetable crop with significant medicinal importance </w:t>
      </w:r>
      <w:r w:rsidR="00F318FF">
        <w:rPr>
          <w:rFonts w:ascii="Arial" w:hAnsi="Arial" w:cs="Arial"/>
          <w:sz w:val="20"/>
          <w:shd w:val="clear" w:color="auto" w:fill="FFFFFF"/>
        </w:rPr>
        <w:t>[</w:t>
      </w:r>
      <w:r w:rsidR="00202445">
        <w:rPr>
          <w:rFonts w:ascii="Arial" w:hAnsi="Arial" w:cs="Arial"/>
          <w:sz w:val="20"/>
          <w:shd w:val="clear" w:color="auto" w:fill="FFFFFF"/>
        </w:rPr>
        <w:t xml:space="preserve">1, </w:t>
      </w:r>
      <w:r w:rsidR="00F318FF">
        <w:rPr>
          <w:rFonts w:ascii="Arial" w:hAnsi="Arial" w:cs="Arial"/>
          <w:sz w:val="20"/>
          <w:shd w:val="clear" w:color="auto" w:fill="FFFFFF"/>
        </w:rPr>
        <w:t>22]</w:t>
      </w:r>
      <w:r w:rsidR="00A14355" w:rsidRPr="0095007F">
        <w:rPr>
          <w:rFonts w:ascii="Arial" w:hAnsi="Arial" w:cs="Arial"/>
          <w:sz w:val="20"/>
          <w:shd w:val="clear" w:color="auto" w:fill="FFFFFF"/>
        </w:rPr>
        <w:t xml:space="preserve">. </w:t>
      </w:r>
      <w:r w:rsidR="0064510D" w:rsidRPr="0095007F">
        <w:rPr>
          <w:rFonts w:ascii="Arial" w:hAnsi="Arial" w:cs="Arial"/>
          <w:sz w:val="20"/>
          <w:shd w:val="clear" w:color="auto" w:fill="FFFFFF"/>
        </w:rPr>
        <w:t>Bitter gourd is highly valued among cucurbits due to its significant nutritional and medicinal properties, which include being a rich source of pr</w:t>
      </w:r>
      <w:r w:rsidR="00F318FF">
        <w:rPr>
          <w:rFonts w:ascii="Arial" w:hAnsi="Arial" w:cs="Arial"/>
          <w:sz w:val="20"/>
          <w:shd w:val="clear" w:color="auto" w:fill="FFFFFF"/>
        </w:rPr>
        <w:t>otein, minerals, and Vitamin C [14]</w:t>
      </w:r>
      <w:r w:rsidR="0064510D" w:rsidRPr="0095007F">
        <w:rPr>
          <w:rFonts w:ascii="Arial" w:hAnsi="Arial" w:cs="Arial"/>
          <w:sz w:val="20"/>
          <w:shd w:val="clear" w:color="auto" w:fill="FFFFFF"/>
        </w:rPr>
        <w:t xml:space="preserve">. Research has shown that bitter gourd extracts have beneficial effects, such as antidiabetic, antimicrobial, anticancer, and antihypertensive </w:t>
      </w:r>
      <w:r w:rsidR="00F318FF" w:rsidRPr="0095007F">
        <w:rPr>
          <w:rFonts w:ascii="Arial" w:hAnsi="Arial" w:cs="Arial"/>
          <w:sz w:val="20"/>
          <w:shd w:val="clear" w:color="auto" w:fill="FFFFFF"/>
        </w:rPr>
        <w:t>properties</w:t>
      </w:r>
      <w:r w:rsidR="00F318FF">
        <w:rPr>
          <w:rFonts w:ascii="Arial" w:hAnsi="Arial" w:cs="Arial"/>
          <w:sz w:val="20"/>
          <w:shd w:val="clear" w:color="auto" w:fill="FFFFFF"/>
        </w:rPr>
        <w:t xml:space="preserve"> [7]</w:t>
      </w:r>
      <w:r w:rsidR="0064510D" w:rsidRPr="0095007F">
        <w:rPr>
          <w:rFonts w:ascii="Arial" w:hAnsi="Arial" w:cs="Arial"/>
          <w:sz w:val="20"/>
          <w:shd w:val="clear" w:color="auto" w:fill="FFFFFF"/>
        </w:rPr>
        <w:t xml:space="preserve">. These health benefits, combined with the potential for increased yield through </w:t>
      </w:r>
      <w:r w:rsidR="0064510D" w:rsidRPr="0095007F">
        <w:rPr>
          <w:rFonts w:ascii="Arial" w:hAnsi="Arial" w:cs="Arial"/>
          <w:sz w:val="20"/>
          <w:shd w:val="clear" w:color="auto" w:fill="FFFFFF"/>
        </w:rPr>
        <w:t>heterosis, make bitter gourd a highly preferred crop for both consumers and breeders.</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t>A primary challenge in bitter gourd breeding is selecting optimal parent lines to improve traits like yield and disease resistance</w:t>
      </w:r>
      <w:r w:rsidR="00F318FF">
        <w:rPr>
          <w:rFonts w:ascii="Arial" w:hAnsi="Arial" w:cs="Arial"/>
          <w:sz w:val="20"/>
          <w:shd w:val="clear" w:color="auto" w:fill="FFFFFF"/>
        </w:rPr>
        <w:t xml:space="preserve"> [10]</w:t>
      </w:r>
      <w:r w:rsidRPr="0095007F">
        <w:rPr>
          <w:rFonts w:ascii="Arial" w:hAnsi="Arial" w:cs="Arial"/>
          <w:sz w:val="20"/>
          <w:shd w:val="clear" w:color="auto" w:fill="FFFFFF"/>
        </w:rPr>
        <w:t>. The line × tester analysis is a crucial biometrical tool for evaluating general combining ability (GCA) and specific combining ability (SCA), which helps breeders identify superior parental lines</w:t>
      </w:r>
      <w:r w:rsidR="00F318FF">
        <w:rPr>
          <w:rFonts w:ascii="Arial" w:hAnsi="Arial" w:cs="Arial"/>
          <w:sz w:val="20"/>
          <w:shd w:val="clear" w:color="auto" w:fill="FFFFFF"/>
        </w:rPr>
        <w:t xml:space="preserve"> [6,26]</w:t>
      </w:r>
      <w:r w:rsidRPr="0095007F">
        <w:rPr>
          <w:rFonts w:ascii="Arial" w:hAnsi="Arial" w:cs="Arial"/>
          <w:sz w:val="20"/>
          <w:shd w:val="clear" w:color="auto" w:fill="FFFFFF"/>
        </w:rPr>
        <w:t>. GCA reflects consistent performance across hybrids due to additive gene action, while SCA indicates exceptional performance in specific crosses due to non-additive interactions.</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lastRenderedPageBreak/>
        <w:t xml:space="preserve">Despite these advances, a major constraint is the vulnerability of bitter gourd to various viruses, such as Cucumber Mosaic Virus (CMV) and </w:t>
      </w:r>
      <w:proofErr w:type="spellStart"/>
      <w:r w:rsidRPr="0095007F">
        <w:rPr>
          <w:rFonts w:ascii="Arial" w:hAnsi="Arial" w:cs="Arial"/>
          <w:sz w:val="20"/>
          <w:shd w:val="clear" w:color="auto" w:fill="FFFFFF"/>
        </w:rPr>
        <w:t>begomoviruses</w:t>
      </w:r>
      <w:proofErr w:type="spellEnd"/>
      <w:r w:rsidRPr="0095007F">
        <w:rPr>
          <w:rFonts w:ascii="Arial" w:hAnsi="Arial" w:cs="Arial"/>
          <w:sz w:val="20"/>
          <w:shd w:val="clear" w:color="auto" w:fill="FFFFFF"/>
        </w:rPr>
        <w:t>, which are transmitted by vectors like aphids and whiteflies</w:t>
      </w:r>
      <w:r w:rsidR="00F318FF">
        <w:rPr>
          <w:rFonts w:ascii="Arial" w:hAnsi="Arial" w:cs="Arial"/>
          <w:sz w:val="20"/>
          <w:shd w:val="clear" w:color="auto" w:fill="FFFFFF"/>
        </w:rPr>
        <w:t xml:space="preserve"> [15]</w:t>
      </w:r>
      <w:r w:rsidRPr="0095007F">
        <w:rPr>
          <w:rFonts w:ascii="Arial" w:hAnsi="Arial" w:cs="Arial"/>
          <w:sz w:val="20"/>
          <w:shd w:val="clear" w:color="auto" w:fill="FFFFFF"/>
        </w:rPr>
        <w:t>. These viruses cause mosaic patterns and result in significant crop losses, especially during the summer months</w:t>
      </w:r>
      <w:r w:rsidR="00E53F2A">
        <w:rPr>
          <w:rFonts w:ascii="Arial" w:hAnsi="Arial" w:cs="Arial"/>
          <w:sz w:val="20"/>
          <w:shd w:val="clear" w:color="auto" w:fill="FFFFFF"/>
        </w:rPr>
        <w:t xml:space="preserve"> [12]</w:t>
      </w:r>
      <w:r w:rsidRPr="0095007F">
        <w:rPr>
          <w:rFonts w:ascii="Arial" w:hAnsi="Arial" w:cs="Arial"/>
          <w:sz w:val="20"/>
          <w:shd w:val="clear" w:color="auto" w:fill="FFFFFF"/>
        </w:rPr>
        <w:t>. Breeding for resistance is considered the most effective and cost-efficient method to mitigate viral impacts</w:t>
      </w:r>
      <w:r w:rsidR="00E53F2A">
        <w:rPr>
          <w:rFonts w:ascii="Arial" w:hAnsi="Arial" w:cs="Arial"/>
          <w:sz w:val="20"/>
          <w:shd w:val="clear" w:color="auto" w:fill="FFFFFF"/>
        </w:rPr>
        <w:t xml:space="preserve"> [9]</w:t>
      </w:r>
      <w:r w:rsidRPr="0095007F">
        <w:rPr>
          <w:rFonts w:ascii="Arial" w:hAnsi="Arial" w:cs="Arial"/>
          <w:sz w:val="20"/>
          <w:shd w:val="clear" w:color="auto" w:fill="FFFFFF"/>
        </w:rPr>
        <w:t>.</w:t>
      </w:r>
    </w:p>
    <w:p w:rsidR="00A14355" w:rsidRPr="0095007F" w:rsidRDefault="00A14355" w:rsidP="007131B1">
      <w:pPr>
        <w:spacing w:after="240" w:line="240" w:lineRule="auto"/>
        <w:jc w:val="both"/>
        <w:rPr>
          <w:rFonts w:ascii="Arial" w:hAnsi="Arial" w:cs="Arial"/>
          <w:sz w:val="20"/>
          <w:shd w:val="clear" w:color="auto" w:fill="FFFFFF"/>
        </w:rPr>
      </w:pPr>
      <w:r w:rsidRPr="0095007F">
        <w:rPr>
          <w:rFonts w:ascii="Arial" w:hAnsi="Arial" w:cs="Arial"/>
          <w:sz w:val="20"/>
          <w:shd w:val="clear" w:color="auto" w:fill="FFFFFF"/>
        </w:rPr>
        <w:t>Therefore, this study aims to address these challenges by employing hybridization techniques to develop superior bitter gourd lines that combine high yield with resistance to the mosaic virus complex.</w:t>
      </w:r>
    </w:p>
    <w:p w:rsidR="006D53A4" w:rsidRPr="00097C87" w:rsidRDefault="006D53A4" w:rsidP="008B7831">
      <w:pPr>
        <w:spacing w:after="240" w:line="240" w:lineRule="auto"/>
        <w:jc w:val="both"/>
        <w:rPr>
          <w:rFonts w:ascii="Arial" w:hAnsi="Arial" w:cs="Arial"/>
          <w:b/>
          <w:shd w:val="clear" w:color="auto" w:fill="FFFFFF"/>
        </w:rPr>
      </w:pPr>
      <w:r w:rsidRPr="00097C87">
        <w:rPr>
          <w:rFonts w:ascii="Arial" w:hAnsi="Arial" w:cs="Arial"/>
          <w:b/>
          <w:shd w:val="clear" w:color="auto" w:fill="FFFFFF"/>
        </w:rPr>
        <w:t>2. MATERIALS AND METHODS</w:t>
      </w:r>
    </w:p>
    <w:p w:rsidR="006D53A4" w:rsidRPr="0095007F" w:rsidRDefault="00D4499E" w:rsidP="007131B1">
      <w:pPr>
        <w:spacing w:before="240" w:after="240" w:line="240" w:lineRule="auto"/>
        <w:jc w:val="both"/>
        <w:rPr>
          <w:rFonts w:ascii="Arial" w:eastAsia="Times New Roman" w:hAnsi="Arial" w:cs="Arial"/>
          <w:sz w:val="20"/>
        </w:rPr>
      </w:pPr>
      <w:r w:rsidRPr="0095007F">
        <w:rPr>
          <w:rFonts w:ascii="Arial" w:eastAsia="Times New Roman" w:hAnsi="Arial" w:cs="Arial"/>
          <w:color w:val="000000"/>
          <w:sz w:val="20"/>
        </w:rPr>
        <w:t>Six high-yielding genotypes were chosen as female parents (lines), while three mosaic complex-tolerant genotypes were selected as male parents (testers) for the experiment. A total of eighteen hybrid combinations were produced using a Line x Tester mating design. </w:t>
      </w:r>
      <w:r w:rsidR="005A1552" w:rsidRPr="0095007F">
        <w:rPr>
          <w:rFonts w:ascii="Arial" w:eastAsia="Times New Roman" w:hAnsi="Arial" w:cs="Arial"/>
          <w:color w:val="000000"/>
          <w:sz w:val="20"/>
        </w:rPr>
        <w:t xml:space="preserve">Specifically, the resistant genotypes </w:t>
      </w:r>
      <w:r w:rsidR="009E61CA">
        <w:rPr>
          <w:rFonts w:ascii="Arial" w:eastAsia="Times New Roman" w:hAnsi="Arial" w:cs="Arial"/>
          <w:color w:val="000000"/>
          <w:sz w:val="20"/>
        </w:rPr>
        <w:t xml:space="preserve">of </w:t>
      </w:r>
      <w:r w:rsidR="006A261D" w:rsidRPr="003524FC">
        <w:rPr>
          <w:rFonts w:ascii="Arial" w:hAnsi="Arial" w:cs="Arial"/>
          <w:i/>
          <w:iCs/>
          <w:sz w:val="20"/>
          <w:szCs w:val="20"/>
        </w:rPr>
        <w:t xml:space="preserve">Momordica </w:t>
      </w:r>
      <w:proofErr w:type="spellStart"/>
      <w:r w:rsidR="006A261D" w:rsidRPr="003524FC">
        <w:rPr>
          <w:rFonts w:ascii="Arial" w:hAnsi="Arial" w:cs="Arial"/>
          <w:i/>
          <w:iCs/>
          <w:sz w:val="20"/>
          <w:szCs w:val="20"/>
        </w:rPr>
        <w:t>charantia</w:t>
      </w:r>
      <w:proofErr w:type="spellEnd"/>
      <w:r w:rsidR="009E61CA" w:rsidRPr="003524FC">
        <w:rPr>
          <w:rFonts w:ascii="Arial" w:hAnsi="Arial" w:cs="Arial"/>
          <w:sz w:val="20"/>
          <w:szCs w:val="20"/>
        </w:rPr>
        <w:t xml:space="preserve"> var. </w:t>
      </w:r>
      <w:proofErr w:type="spellStart"/>
      <w:r w:rsidR="009E61CA" w:rsidRPr="003524FC">
        <w:rPr>
          <w:rFonts w:ascii="Arial" w:hAnsi="Arial" w:cs="Arial"/>
          <w:i/>
          <w:iCs/>
          <w:sz w:val="20"/>
          <w:szCs w:val="20"/>
        </w:rPr>
        <w:t>muricata</w:t>
      </w:r>
      <w:proofErr w:type="spellEnd"/>
      <w:r w:rsidR="009E61CA" w:rsidRPr="003524FC">
        <w:rPr>
          <w:rFonts w:ascii="Arial" w:eastAsia="Times New Roman" w:hAnsi="Arial" w:cs="Arial"/>
          <w:color w:val="000000"/>
          <w:sz w:val="20"/>
          <w:szCs w:val="20"/>
        </w:rPr>
        <w:t xml:space="preserve">- </w:t>
      </w:r>
      <w:proofErr w:type="spellStart"/>
      <w:r w:rsidR="005A1552" w:rsidRPr="003524FC">
        <w:rPr>
          <w:rFonts w:ascii="Arial" w:eastAsia="Times New Roman" w:hAnsi="Arial" w:cs="Arial"/>
          <w:color w:val="000000"/>
          <w:sz w:val="20"/>
          <w:szCs w:val="20"/>
        </w:rPr>
        <w:t>Udayagiri</w:t>
      </w:r>
      <w:proofErr w:type="spellEnd"/>
      <w:r w:rsidR="005A1552" w:rsidRPr="003524FC">
        <w:rPr>
          <w:rFonts w:ascii="Arial" w:eastAsia="Times New Roman" w:hAnsi="Arial" w:cs="Arial"/>
          <w:color w:val="000000"/>
          <w:sz w:val="20"/>
          <w:szCs w:val="20"/>
        </w:rPr>
        <w:t xml:space="preserve"> local (T1), </w:t>
      </w:r>
      <w:proofErr w:type="spellStart"/>
      <w:r w:rsidR="005A1552" w:rsidRPr="003524FC">
        <w:rPr>
          <w:rFonts w:ascii="Arial" w:eastAsia="Times New Roman" w:hAnsi="Arial" w:cs="Arial"/>
          <w:color w:val="000000"/>
          <w:sz w:val="20"/>
          <w:szCs w:val="20"/>
        </w:rPr>
        <w:t>Therthali</w:t>
      </w:r>
      <w:proofErr w:type="spellEnd"/>
      <w:r w:rsidR="005A1552" w:rsidRPr="003524FC">
        <w:rPr>
          <w:rFonts w:ascii="Arial" w:eastAsia="Times New Roman" w:hAnsi="Arial" w:cs="Arial"/>
          <w:color w:val="000000"/>
          <w:sz w:val="20"/>
          <w:szCs w:val="20"/>
        </w:rPr>
        <w:t xml:space="preserve"> local (T2), and </w:t>
      </w:r>
      <w:r w:rsidR="009E61CA" w:rsidRPr="003524FC">
        <w:rPr>
          <w:rFonts w:ascii="Arial" w:hAnsi="Arial" w:cs="Arial"/>
          <w:i/>
          <w:iCs/>
          <w:sz w:val="20"/>
          <w:szCs w:val="20"/>
        </w:rPr>
        <w:t xml:space="preserve">M. </w:t>
      </w:r>
      <w:proofErr w:type="spellStart"/>
      <w:r w:rsidR="009E61CA" w:rsidRPr="003524FC">
        <w:rPr>
          <w:rFonts w:ascii="Arial" w:hAnsi="Arial" w:cs="Arial"/>
          <w:i/>
          <w:iCs/>
          <w:sz w:val="20"/>
          <w:szCs w:val="20"/>
        </w:rPr>
        <w:t>charantia</w:t>
      </w:r>
      <w:proofErr w:type="spellEnd"/>
      <w:r w:rsidR="009E61CA" w:rsidRPr="003524FC">
        <w:rPr>
          <w:rFonts w:ascii="Arial" w:hAnsi="Arial" w:cs="Arial"/>
          <w:sz w:val="20"/>
          <w:szCs w:val="20"/>
        </w:rPr>
        <w:t xml:space="preserve"> var. </w:t>
      </w:r>
      <w:proofErr w:type="spellStart"/>
      <w:r w:rsidR="009E61CA" w:rsidRPr="003524FC">
        <w:rPr>
          <w:rFonts w:ascii="Arial" w:hAnsi="Arial" w:cs="Arial"/>
          <w:i/>
          <w:iCs/>
          <w:sz w:val="20"/>
          <w:szCs w:val="20"/>
        </w:rPr>
        <w:t>charantia</w:t>
      </w:r>
      <w:proofErr w:type="spellEnd"/>
      <w:r w:rsidR="009E61CA" w:rsidRPr="003524FC">
        <w:rPr>
          <w:rFonts w:ascii="Arial" w:eastAsia="Times New Roman" w:hAnsi="Arial" w:cs="Arial"/>
          <w:color w:val="000000"/>
          <w:sz w:val="20"/>
          <w:szCs w:val="20"/>
        </w:rPr>
        <w:t xml:space="preserve">- </w:t>
      </w:r>
      <w:r w:rsidR="005A1552" w:rsidRPr="003524FC">
        <w:rPr>
          <w:rFonts w:ascii="Arial" w:eastAsia="Times New Roman" w:hAnsi="Arial" w:cs="Arial"/>
          <w:color w:val="000000"/>
          <w:sz w:val="20"/>
          <w:szCs w:val="20"/>
        </w:rPr>
        <w:t xml:space="preserve">Lodhi local (T3) were crossed with six </w:t>
      </w:r>
      <w:r w:rsidR="009E61CA" w:rsidRPr="003524FC">
        <w:rPr>
          <w:rFonts w:ascii="Arial" w:hAnsi="Arial" w:cs="Arial"/>
          <w:sz w:val="20"/>
          <w:szCs w:val="20"/>
        </w:rPr>
        <w:t xml:space="preserve">female parents of the bitter gourd variety, </w:t>
      </w:r>
      <w:r w:rsidR="009E61CA" w:rsidRPr="003524FC">
        <w:rPr>
          <w:rFonts w:ascii="Arial" w:hAnsi="Arial" w:cs="Arial"/>
          <w:i/>
          <w:iCs/>
          <w:sz w:val="20"/>
          <w:szCs w:val="20"/>
        </w:rPr>
        <w:t>M</w:t>
      </w:r>
      <w:r w:rsidR="00707332" w:rsidRPr="003524FC">
        <w:rPr>
          <w:rFonts w:ascii="Arial" w:hAnsi="Arial" w:cs="Arial"/>
          <w:i/>
          <w:iCs/>
          <w:sz w:val="20"/>
          <w:szCs w:val="20"/>
        </w:rPr>
        <w:t xml:space="preserve">. </w:t>
      </w:r>
      <w:proofErr w:type="spellStart"/>
      <w:r w:rsidR="009E61CA" w:rsidRPr="003524FC">
        <w:rPr>
          <w:rFonts w:ascii="Arial" w:hAnsi="Arial" w:cs="Arial"/>
          <w:i/>
          <w:iCs/>
          <w:sz w:val="20"/>
          <w:szCs w:val="20"/>
        </w:rPr>
        <w:t>charantia</w:t>
      </w:r>
      <w:proofErr w:type="spellEnd"/>
      <w:r w:rsidR="009E61CA" w:rsidRPr="003524FC">
        <w:rPr>
          <w:rFonts w:ascii="Arial" w:hAnsi="Arial" w:cs="Arial"/>
          <w:sz w:val="20"/>
          <w:szCs w:val="20"/>
        </w:rPr>
        <w:t xml:space="preserve"> var. </w:t>
      </w:r>
      <w:proofErr w:type="spellStart"/>
      <w:r w:rsidR="009E61CA" w:rsidRPr="003524FC">
        <w:rPr>
          <w:rFonts w:ascii="Arial" w:hAnsi="Arial" w:cs="Arial"/>
          <w:i/>
          <w:iCs/>
          <w:sz w:val="20"/>
          <w:szCs w:val="20"/>
        </w:rPr>
        <w:t>charantia</w:t>
      </w:r>
      <w:proofErr w:type="spellEnd"/>
      <w:r w:rsidR="005A1552" w:rsidRPr="003524FC">
        <w:rPr>
          <w:rFonts w:ascii="Arial" w:eastAsia="Times New Roman" w:hAnsi="Arial" w:cs="Arial"/>
          <w:color w:val="000000"/>
          <w:sz w:val="20"/>
          <w:szCs w:val="20"/>
        </w:rPr>
        <w:t xml:space="preserve">: Preethi (L1), Priyanka (L2), Bangalore local (L3), </w:t>
      </w:r>
      <w:proofErr w:type="spellStart"/>
      <w:r w:rsidR="005A1552" w:rsidRPr="003524FC">
        <w:rPr>
          <w:rFonts w:ascii="Arial" w:eastAsia="Times New Roman" w:hAnsi="Arial" w:cs="Arial"/>
          <w:color w:val="000000"/>
          <w:sz w:val="20"/>
          <w:szCs w:val="20"/>
        </w:rPr>
        <w:t>Wadakkanchery</w:t>
      </w:r>
      <w:proofErr w:type="spellEnd"/>
      <w:r w:rsidR="005A1552" w:rsidRPr="003524FC">
        <w:rPr>
          <w:rFonts w:ascii="Arial" w:eastAsia="Times New Roman" w:hAnsi="Arial" w:cs="Arial"/>
          <w:color w:val="000000"/>
          <w:sz w:val="20"/>
          <w:szCs w:val="20"/>
        </w:rPr>
        <w:t xml:space="preserve"> local (L4), </w:t>
      </w:r>
      <w:proofErr w:type="spellStart"/>
      <w:r w:rsidR="005A1552" w:rsidRPr="003524FC">
        <w:rPr>
          <w:rFonts w:ascii="Arial" w:eastAsia="Times New Roman" w:hAnsi="Arial" w:cs="Arial"/>
          <w:color w:val="000000"/>
          <w:sz w:val="20"/>
          <w:szCs w:val="20"/>
        </w:rPr>
        <w:t>Omalloor</w:t>
      </w:r>
      <w:proofErr w:type="spellEnd"/>
      <w:r w:rsidR="005A1552" w:rsidRPr="003524FC">
        <w:rPr>
          <w:rFonts w:ascii="Arial" w:eastAsia="Times New Roman" w:hAnsi="Arial" w:cs="Arial"/>
          <w:color w:val="000000"/>
          <w:sz w:val="20"/>
          <w:szCs w:val="20"/>
        </w:rPr>
        <w:t xml:space="preserve"> local (L5), and Kollam local (L6) to generate the F</w:t>
      </w:r>
      <w:r w:rsidR="005A1552" w:rsidRPr="003524FC">
        <w:rPr>
          <w:rFonts w:ascii="Arial" w:eastAsia="Times New Roman" w:hAnsi="Arial" w:cs="Arial"/>
          <w:color w:val="000000"/>
          <w:sz w:val="20"/>
          <w:szCs w:val="20"/>
          <w:vertAlign w:val="subscript"/>
        </w:rPr>
        <w:t>1</w:t>
      </w:r>
      <w:r w:rsidR="005A1552" w:rsidRPr="003524FC">
        <w:rPr>
          <w:rFonts w:ascii="Arial" w:eastAsia="Times New Roman" w:hAnsi="Arial" w:cs="Arial"/>
          <w:color w:val="000000"/>
          <w:sz w:val="20"/>
          <w:szCs w:val="20"/>
        </w:rPr>
        <w:t xml:space="preserve"> generation</w:t>
      </w:r>
      <w:r w:rsidR="009E61CA" w:rsidRPr="003524FC">
        <w:rPr>
          <w:rFonts w:ascii="Arial" w:eastAsia="Times New Roman" w:hAnsi="Arial" w:cs="Arial"/>
          <w:color w:val="000000"/>
          <w:sz w:val="20"/>
          <w:szCs w:val="20"/>
        </w:rPr>
        <w:t xml:space="preserve">. </w:t>
      </w:r>
      <w:r w:rsidRPr="003524FC">
        <w:rPr>
          <w:rFonts w:ascii="Arial" w:eastAsia="Times New Roman" w:hAnsi="Arial" w:cs="Arial"/>
          <w:color w:val="000000"/>
          <w:sz w:val="20"/>
          <w:szCs w:val="20"/>
        </w:rPr>
        <w:t>The hybrids</w:t>
      </w:r>
      <w:r w:rsidRPr="0095007F">
        <w:rPr>
          <w:rFonts w:ascii="Arial" w:eastAsia="Times New Roman" w:hAnsi="Arial" w:cs="Arial"/>
          <w:color w:val="000000"/>
          <w:sz w:val="20"/>
        </w:rPr>
        <w:t xml:space="preserve"> along with the parents were e</w:t>
      </w:r>
      <w:r w:rsidR="006D53A4" w:rsidRPr="0095007F">
        <w:rPr>
          <w:rFonts w:ascii="Arial" w:eastAsia="Times New Roman" w:hAnsi="Arial" w:cs="Arial"/>
          <w:color w:val="000000"/>
          <w:sz w:val="20"/>
        </w:rPr>
        <w:t xml:space="preserve">valuated at Farming Systems Research Station, </w:t>
      </w:r>
      <w:proofErr w:type="spellStart"/>
      <w:r w:rsidR="006D53A4" w:rsidRPr="0095007F">
        <w:rPr>
          <w:rFonts w:ascii="Arial" w:eastAsia="Times New Roman" w:hAnsi="Arial" w:cs="Arial"/>
          <w:color w:val="000000"/>
          <w:sz w:val="20"/>
        </w:rPr>
        <w:t>Sadananadapuram</w:t>
      </w:r>
      <w:proofErr w:type="spellEnd"/>
      <w:r w:rsidR="006D53A4" w:rsidRPr="0095007F">
        <w:rPr>
          <w:rFonts w:ascii="Arial" w:eastAsia="Times New Roman" w:hAnsi="Arial" w:cs="Arial"/>
          <w:color w:val="000000"/>
          <w:sz w:val="20"/>
        </w:rPr>
        <w:t xml:space="preserve">, </w:t>
      </w:r>
      <w:proofErr w:type="spellStart"/>
      <w:r w:rsidR="006D53A4" w:rsidRPr="0095007F">
        <w:rPr>
          <w:rFonts w:ascii="Arial" w:eastAsia="Times New Roman" w:hAnsi="Arial" w:cs="Arial"/>
          <w:color w:val="000000"/>
          <w:sz w:val="20"/>
        </w:rPr>
        <w:t>Kottarakara</w:t>
      </w:r>
      <w:proofErr w:type="spellEnd"/>
      <w:r w:rsidR="006D53A4" w:rsidRPr="0095007F">
        <w:rPr>
          <w:rFonts w:ascii="Arial" w:eastAsia="Times New Roman" w:hAnsi="Arial" w:cs="Arial"/>
          <w:color w:val="000000"/>
          <w:sz w:val="20"/>
        </w:rPr>
        <w:t>, Kerala</w:t>
      </w:r>
      <w:r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during September, 2024</w:t>
      </w:r>
      <w:r w:rsidR="005A1552"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 December, 2024. The</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package</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of</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practices</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recommended</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by</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Kerala</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Agricultural</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University</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was</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followed</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in</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adopting</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cultural</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and</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management</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practices.</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The</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evaluation</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was</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based</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on</w:t>
      </w:r>
      <w:r w:rsidR="00C248F3" w:rsidRPr="0095007F">
        <w:rPr>
          <w:rFonts w:ascii="Arial" w:eastAsia="Times New Roman" w:hAnsi="Arial" w:cs="Arial"/>
          <w:color w:val="000000"/>
          <w:sz w:val="20"/>
        </w:rPr>
        <w:t xml:space="preserve"> 19 </w:t>
      </w:r>
      <w:r w:rsidR="006D53A4" w:rsidRPr="0095007F">
        <w:rPr>
          <w:rFonts w:ascii="Arial" w:eastAsia="Times New Roman" w:hAnsi="Arial" w:cs="Arial"/>
          <w:color w:val="000000"/>
          <w:sz w:val="20"/>
        </w:rPr>
        <w:t>characters</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such</w:t>
      </w:r>
      <w:r w:rsidR="00C248F3" w:rsidRPr="0095007F">
        <w:rPr>
          <w:rFonts w:ascii="Arial" w:eastAsia="Times New Roman" w:hAnsi="Arial" w:cs="Arial"/>
          <w:color w:val="000000"/>
          <w:sz w:val="20"/>
        </w:rPr>
        <w:t xml:space="preserve"> </w:t>
      </w:r>
      <w:r w:rsidR="006D53A4" w:rsidRPr="0095007F">
        <w:rPr>
          <w:rFonts w:ascii="Arial" w:eastAsia="Times New Roman" w:hAnsi="Arial" w:cs="Arial"/>
          <w:color w:val="000000"/>
          <w:sz w:val="20"/>
        </w:rPr>
        <w:t>as</w:t>
      </w:r>
      <w:r w:rsidR="00C248F3" w:rsidRPr="0095007F">
        <w:rPr>
          <w:rFonts w:ascii="Arial" w:eastAsia="Times New Roman" w:hAnsi="Arial" w:cs="Arial"/>
          <w:color w:val="000000"/>
          <w:sz w:val="20"/>
        </w:rPr>
        <w:t xml:space="preserve"> DFMF (Days to first male flower), DFFF (Days to first female flower), NFMF (Node of first male flower), NFFF (Node of first female flower), NMF (Number of male flowers per plant), NFF (Number of female flowers per plant), DFH (Days to first harvest), NH (Number of harvests), FL (Fruit length (cm)), FG (Fruit girth (cm)), IFW (Individual fruit weight (g)), VL (Vine length (cm)), NPB (Number of primary branches per plant), NFV </w:t>
      </w:r>
      <w:r w:rsidR="00C248F3" w:rsidRPr="003524FC">
        <w:rPr>
          <w:rFonts w:ascii="Arial" w:eastAsia="Times New Roman" w:hAnsi="Arial" w:cs="Arial"/>
          <w:color w:val="000000"/>
          <w:sz w:val="20"/>
          <w:szCs w:val="20"/>
        </w:rPr>
        <w:t xml:space="preserve">(Number of fruits per plant), NSF (Number of seeds per fruit), YFV (Yield of fruits per plant (g)), </w:t>
      </w:r>
      <w:r w:rsidR="005E412F" w:rsidRPr="003524FC">
        <w:rPr>
          <w:rFonts w:ascii="Arial" w:eastAsia="Times New Roman" w:hAnsi="Arial" w:cs="Arial"/>
          <w:color w:val="000000"/>
          <w:sz w:val="20"/>
          <w:szCs w:val="20"/>
        </w:rPr>
        <w:t xml:space="preserve">and </w:t>
      </w:r>
      <w:r w:rsidR="005E412F" w:rsidRPr="003524FC">
        <w:rPr>
          <w:rFonts w:ascii="Arial" w:hAnsi="Arial" w:cs="Arial"/>
          <w:sz w:val="20"/>
          <w:szCs w:val="20"/>
          <w:shd w:val="clear" w:color="auto" w:fill="FFFFFF"/>
        </w:rPr>
        <w:t>biochemical markers associated with defense responses</w:t>
      </w:r>
      <w:r w:rsidR="005E412F" w:rsidRPr="003524FC">
        <w:rPr>
          <w:rFonts w:ascii="Arial" w:eastAsia="Times New Roman" w:hAnsi="Arial" w:cs="Arial"/>
          <w:color w:val="000000"/>
          <w:sz w:val="20"/>
          <w:szCs w:val="20"/>
        </w:rPr>
        <w:t xml:space="preserve"> </w:t>
      </w:r>
      <w:r w:rsidR="002D32FA">
        <w:rPr>
          <w:rFonts w:ascii="Arial" w:eastAsia="Times New Roman" w:hAnsi="Arial" w:cs="Arial"/>
          <w:i/>
          <w:iCs/>
          <w:color w:val="000000"/>
          <w:sz w:val="20"/>
          <w:szCs w:val="20"/>
        </w:rPr>
        <w:t>viz.</w:t>
      </w:r>
      <w:r w:rsidR="005E412F" w:rsidRPr="003524FC">
        <w:rPr>
          <w:rFonts w:ascii="Arial" w:eastAsia="Times New Roman" w:hAnsi="Arial" w:cs="Arial"/>
          <w:color w:val="000000"/>
          <w:sz w:val="20"/>
          <w:szCs w:val="20"/>
        </w:rPr>
        <w:t xml:space="preserve"> </w:t>
      </w:r>
      <w:r w:rsidR="00D62B28" w:rsidRPr="003524FC">
        <w:rPr>
          <w:rFonts w:ascii="Arial" w:eastAsia="Times New Roman" w:hAnsi="Arial" w:cs="Arial"/>
          <w:color w:val="000000"/>
          <w:sz w:val="20"/>
          <w:szCs w:val="20"/>
        </w:rPr>
        <w:t xml:space="preserve">PER (Peroxidase), PPO </w:t>
      </w:r>
      <w:r w:rsidR="00D62B28" w:rsidRPr="003524FC">
        <w:rPr>
          <w:rFonts w:ascii="Arial" w:eastAsia="Times New Roman" w:hAnsi="Arial" w:cs="Arial"/>
          <w:color w:val="000000"/>
          <w:sz w:val="20"/>
          <w:szCs w:val="20"/>
        </w:rPr>
        <w:t>(Polyphenol</w:t>
      </w:r>
      <w:r w:rsidR="00C248F3" w:rsidRPr="003524FC">
        <w:rPr>
          <w:rFonts w:ascii="Arial" w:eastAsia="Times New Roman" w:hAnsi="Arial" w:cs="Arial"/>
          <w:color w:val="000000"/>
          <w:sz w:val="20"/>
          <w:szCs w:val="20"/>
        </w:rPr>
        <w:t xml:space="preserve"> Oxidase) and PAL (Phenyl</w:t>
      </w:r>
      <w:r w:rsidR="00727E21" w:rsidRPr="003524FC">
        <w:rPr>
          <w:rFonts w:ascii="Arial" w:eastAsia="Times New Roman" w:hAnsi="Arial" w:cs="Arial"/>
          <w:color w:val="000000"/>
          <w:sz w:val="20"/>
          <w:szCs w:val="20"/>
        </w:rPr>
        <w:t>alanine</w:t>
      </w:r>
      <w:r w:rsidR="00C248F3" w:rsidRPr="003524FC">
        <w:rPr>
          <w:rFonts w:ascii="Arial" w:eastAsia="Times New Roman" w:hAnsi="Arial" w:cs="Arial"/>
          <w:color w:val="000000"/>
          <w:sz w:val="20"/>
          <w:szCs w:val="20"/>
        </w:rPr>
        <w:t xml:space="preserve"> Ammonia Lyase). </w:t>
      </w:r>
      <w:r w:rsidR="00446D17" w:rsidRPr="003524FC">
        <w:rPr>
          <w:rFonts w:ascii="Arial" w:eastAsia="Times New Roman" w:hAnsi="Arial" w:cs="Arial"/>
          <w:color w:val="000000"/>
          <w:sz w:val="20"/>
          <w:szCs w:val="20"/>
        </w:rPr>
        <w:t>Statistical analysis like analysis of variance (ANOVA) and</w:t>
      </w:r>
      <w:r w:rsidR="00446D17" w:rsidRPr="0095007F">
        <w:rPr>
          <w:rFonts w:ascii="Arial" w:eastAsia="Times New Roman" w:hAnsi="Arial" w:cs="Arial"/>
          <w:color w:val="000000"/>
          <w:sz w:val="20"/>
        </w:rPr>
        <w:t xml:space="preserve"> estimation of general and specific combining ability (GCA and SCA) were conducted as per the procedures outlined b</w:t>
      </w:r>
      <w:r w:rsidR="00E53F2A">
        <w:rPr>
          <w:rFonts w:ascii="Arial" w:eastAsia="Times New Roman" w:hAnsi="Arial" w:cs="Arial"/>
          <w:color w:val="000000"/>
          <w:sz w:val="20"/>
        </w:rPr>
        <w:t xml:space="preserve">y </w:t>
      </w:r>
      <w:proofErr w:type="spellStart"/>
      <w:r w:rsidR="00E53F2A">
        <w:rPr>
          <w:rFonts w:ascii="Arial" w:eastAsia="Times New Roman" w:hAnsi="Arial" w:cs="Arial"/>
          <w:color w:val="000000"/>
          <w:sz w:val="20"/>
        </w:rPr>
        <w:t>Panse</w:t>
      </w:r>
      <w:proofErr w:type="spellEnd"/>
      <w:r w:rsidR="00E53F2A">
        <w:rPr>
          <w:rFonts w:ascii="Arial" w:eastAsia="Times New Roman" w:hAnsi="Arial" w:cs="Arial"/>
          <w:color w:val="000000"/>
          <w:sz w:val="20"/>
        </w:rPr>
        <w:t xml:space="preserve"> and </w:t>
      </w:r>
      <w:proofErr w:type="spellStart"/>
      <w:r w:rsidR="00E53F2A">
        <w:rPr>
          <w:rFonts w:ascii="Arial" w:eastAsia="Times New Roman" w:hAnsi="Arial" w:cs="Arial"/>
          <w:color w:val="000000"/>
          <w:sz w:val="20"/>
        </w:rPr>
        <w:t>Sukhatme</w:t>
      </w:r>
      <w:proofErr w:type="spellEnd"/>
      <w:r w:rsidR="00E53F2A">
        <w:rPr>
          <w:rFonts w:ascii="Arial" w:eastAsia="Times New Roman" w:hAnsi="Arial" w:cs="Arial"/>
          <w:color w:val="000000"/>
          <w:sz w:val="20"/>
        </w:rPr>
        <w:t xml:space="preserve"> (1967) [18</w:t>
      </w:r>
      <w:r w:rsidR="00446D17" w:rsidRPr="0095007F">
        <w:rPr>
          <w:rFonts w:ascii="Arial" w:eastAsia="Times New Roman" w:hAnsi="Arial" w:cs="Arial"/>
          <w:color w:val="000000"/>
          <w:sz w:val="20"/>
        </w:rPr>
        <w:t>]</w:t>
      </w:r>
      <w:r w:rsidR="00E53F2A">
        <w:rPr>
          <w:rFonts w:ascii="Arial" w:eastAsia="Times New Roman" w:hAnsi="Arial" w:cs="Arial"/>
          <w:color w:val="000000"/>
          <w:sz w:val="20"/>
        </w:rPr>
        <w:t xml:space="preserve"> and </w:t>
      </w:r>
      <w:proofErr w:type="spellStart"/>
      <w:r w:rsidR="00E53F2A">
        <w:rPr>
          <w:rFonts w:ascii="Arial" w:eastAsia="Times New Roman" w:hAnsi="Arial" w:cs="Arial"/>
          <w:color w:val="000000"/>
          <w:sz w:val="20"/>
        </w:rPr>
        <w:t>Kempthrone</w:t>
      </w:r>
      <w:proofErr w:type="spellEnd"/>
      <w:r w:rsidR="00E53F2A">
        <w:rPr>
          <w:rFonts w:ascii="Arial" w:eastAsia="Times New Roman" w:hAnsi="Arial" w:cs="Arial"/>
          <w:color w:val="000000"/>
          <w:sz w:val="20"/>
        </w:rPr>
        <w:t xml:space="preserve"> (1957) [10</w:t>
      </w:r>
      <w:r w:rsidR="00446D17" w:rsidRPr="0095007F">
        <w:rPr>
          <w:rFonts w:ascii="Arial" w:eastAsia="Times New Roman" w:hAnsi="Arial" w:cs="Arial"/>
          <w:color w:val="000000"/>
          <w:sz w:val="20"/>
        </w:rPr>
        <w:t>] respectively.</w:t>
      </w:r>
    </w:p>
    <w:p w:rsidR="006D53A4" w:rsidRPr="00097C87" w:rsidRDefault="006D53A4" w:rsidP="008B7831">
      <w:pPr>
        <w:spacing w:after="240" w:line="240" w:lineRule="auto"/>
        <w:jc w:val="both"/>
        <w:rPr>
          <w:rFonts w:ascii="Arial" w:hAnsi="Arial" w:cs="Arial"/>
          <w:b/>
          <w:shd w:val="clear" w:color="auto" w:fill="FFFFFF"/>
        </w:rPr>
      </w:pPr>
      <w:r w:rsidRPr="00097C87">
        <w:rPr>
          <w:rFonts w:ascii="Arial" w:hAnsi="Arial" w:cs="Arial"/>
          <w:b/>
          <w:shd w:val="clear" w:color="auto" w:fill="FFFFFF"/>
        </w:rPr>
        <w:t>3. RESULTS AND DISCUSSION</w:t>
      </w:r>
    </w:p>
    <w:p w:rsidR="006D53A4" w:rsidRPr="00097C87" w:rsidRDefault="006D53A4" w:rsidP="008B7831">
      <w:pPr>
        <w:spacing w:after="240" w:line="240" w:lineRule="auto"/>
        <w:jc w:val="both"/>
        <w:rPr>
          <w:rFonts w:ascii="Arial" w:eastAsia="Times New Roman" w:hAnsi="Arial" w:cs="Arial"/>
          <w:b/>
          <w:bCs/>
          <w:color w:val="000000"/>
        </w:rPr>
      </w:pPr>
      <w:r w:rsidRPr="00097C87">
        <w:rPr>
          <w:rFonts w:ascii="Arial" w:eastAsia="Times New Roman" w:hAnsi="Arial" w:cs="Arial"/>
          <w:b/>
          <w:color w:val="000000"/>
        </w:rPr>
        <w:t xml:space="preserve">3.1. </w:t>
      </w:r>
      <w:r w:rsidRPr="00097C87">
        <w:rPr>
          <w:rFonts w:ascii="Arial" w:eastAsia="Times New Roman" w:hAnsi="Arial" w:cs="Arial"/>
          <w:b/>
          <w:bCs/>
          <w:color w:val="000000"/>
        </w:rPr>
        <w:t>Field screening of parents and F</w:t>
      </w:r>
      <w:r w:rsidRPr="00097C87">
        <w:rPr>
          <w:rFonts w:ascii="Arial" w:eastAsia="Times New Roman" w:hAnsi="Arial" w:cs="Arial"/>
          <w:b/>
          <w:bCs/>
          <w:color w:val="000000"/>
          <w:vertAlign w:val="subscript"/>
        </w:rPr>
        <w:t>1</w:t>
      </w:r>
      <w:r w:rsidRPr="00097C87">
        <w:rPr>
          <w:rFonts w:ascii="Arial" w:eastAsia="Times New Roman" w:hAnsi="Arial" w:cs="Arial"/>
          <w:b/>
          <w:bCs/>
          <w:color w:val="000000"/>
        </w:rPr>
        <w:t xml:space="preserve"> for yield and tolerance to mosaic complex.</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The present study revealed substantial genetic variability among parental lines, testers, and their hybrids for key morphological and reproductive traits in bitter gourd, indicating the potential for genetic improvement through line × tester analysis</w:t>
      </w:r>
      <w:r w:rsidR="003957FD">
        <w:rPr>
          <w:rFonts w:ascii="Arial" w:eastAsia="Times New Roman" w:hAnsi="Arial" w:cs="Arial"/>
          <w:bCs/>
          <w:color w:val="000000"/>
          <w:sz w:val="20"/>
        </w:rPr>
        <w:t xml:space="preserve"> (Table 1)</w:t>
      </w:r>
      <w:r w:rsidRPr="00720E5A">
        <w:rPr>
          <w:rFonts w:ascii="Arial" w:eastAsia="Times New Roman" w:hAnsi="Arial" w:cs="Arial"/>
          <w:bCs/>
          <w:color w:val="000000"/>
          <w:sz w:val="20"/>
        </w:rPr>
        <w:t>.</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Earliness, a desirable trait for early market advantage, showed significant variation across genotypes. For days to first male and female flower appearance (DFMF and DFFF), hybrids generally flowered earlier than their respective parents. Notably, L3 and L1 were the earliest among lines, while T1 promoted early flowering among testers. Among hybrids, L1×T1, L3×T1, and L5×T1 demonstrated the earliest flowering for both male and female flowers. Early appearance of flowers is critical for shortening the crop cycle and </w:t>
      </w:r>
      <w:r w:rsidR="006377B6">
        <w:rPr>
          <w:rFonts w:ascii="Arial" w:eastAsia="Times New Roman" w:hAnsi="Arial" w:cs="Arial"/>
          <w:bCs/>
          <w:color w:val="000000"/>
          <w:sz w:val="20"/>
        </w:rPr>
        <w:t>similar findings have been reported</w:t>
      </w:r>
      <w:r w:rsidRPr="00720E5A">
        <w:rPr>
          <w:rFonts w:ascii="Arial" w:eastAsia="Times New Roman" w:hAnsi="Arial" w:cs="Arial"/>
          <w:bCs/>
          <w:color w:val="000000"/>
          <w:sz w:val="20"/>
        </w:rPr>
        <w:t xml:space="preserve"> by </w:t>
      </w:r>
      <w:proofErr w:type="spellStart"/>
      <w:r w:rsidRPr="00720E5A">
        <w:rPr>
          <w:rFonts w:ascii="Arial" w:eastAsia="Times New Roman" w:hAnsi="Arial" w:cs="Arial"/>
          <w:bCs/>
          <w:color w:val="000000"/>
          <w:sz w:val="20"/>
        </w:rPr>
        <w:t>Reshmika</w:t>
      </w:r>
      <w:proofErr w:type="spellEnd"/>
      <w:r w:rsidRPr="00720E5A">
        <w:rPr>
          <w:rFonts w:ascii="Arial" w:eastAsia="Times New Roman" w:hAnsi="Arial" w:cs="Arial"/>
          <w:bCs/>
          <w:color w:val="000000"/>
          <w:sz w:val="20"/>
        </w:rPr>
        <w:t xml:space="preserve"> </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00E024D3">
        <w:rPr>
          <w:rFonts w:ascii="Arial" w:eastAsia="Times New Roman" w:hAnsi="Arial" w:cs="Arial"/>
          <w:bCs/>
          <w:color w:val="000000"/>
          <w:sz w:val="20"/>
        </w:rPr>
        <w:t xml:space="preserve">  [21]</w:t>
      </w:r>
      <w:r w:rsidR="006377B6">
        <w:rPr>
          <w:rFonts w:ascii="Arial" w:eastAsia="Times New Roman" w:hAnsi="Arial" w:cs="Arial"/>
          <w:bCs/>
          <w:color w:val="000000"/>
          <w:sz w:val="20"/>
        </w:rPr>
        <w:t>,</w:t>
      </w:r>
      <w:r w:rsidR="00E024D3">
        <w:rPr>
          <w:rFonts w:ascii="Arial" w:eastAsia="Times New Roman" w:hAnsi="Arial" w:cs="Arial"/>
          <w:bCs/>
          <w:color w:val="000000"/>
          <w:sz w:val="20"/>
        </w:rPr>
        <w:t xml:space="preserve"> </w:t>
      </w:r>
      <w:proofErr w:type="spellStart"/>
      <w:r w:rsidR="00E024D3">
        <w:rPr>
          <w:rFonts w:ascii="Arial" w:eastAsia="Times New Roman" w:hAnsi="Arial" w:cs="Arial"/>
          <w:bCs/>
          <w:color w:val="000000"/>
          <w:sz w:val="20"/>
        </w:rPr>
        <w:t>Ankitha</w:t>
      </w:r>
      <w:proofErr w:type="spellEnd"/>
      <w:r w:rsidR="00E024D3">
        <w:rPr>
          <w:rFonts w:ascii="Arial" w:eastAsia="Times New Roman" w:hAnsi="Arial" w:cs="Arial"/>
          <w:bCs/>
          <w:color w:val="000000"/>
          <w:sz w:val="20"/>
        </w:rPr>
        <w:t xml:space="preserve"> [2]</w:t>
      </w:r>
      <w:r w:rsidRPr="00720E5A">
        <w:rPr>
          <w:rFonts w:ascii="Arial" w:eastAsia="Times New Roman" w:hAnsi="Arial" w:cs="Arial"/>
          <w:bCs/>
          <w:color w:val="000000"/>
          <w:sz w:val="20"/>
        </w:rPr>
        <w:t xml:space="preserve"> and Khan </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00E024D3">
        <w:rPr>
          <w:rFonts w:ascii="Arial" w:eastAsia="Times New Roman" w:hAnsi="Arial" w:cs="Arial"/>
          <w:bCs/>
          <w:color w:val="000000"/>
          <w:sz w:val="20"/>
        </w:rPr>
        <w:t xml:space="preserve"> [11]</w:t>
      </w:r>
      <w:r w:rsidRPr="00720E5A">
        <w:rPr>
          <w:rFonts w:ascii="Arial" w:eastAsia="Times New Roman" w:hAnsi="Arial" w:cs="Arial"/>
          <w:bCs/>
          <w:color w:val="000000"/>
          <w:sz w:val="20"/>
        </w:rPr>
        <w:t xml:space="preserve">. </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For nodal positioning of flowers, lines such as L2, L3, and L6 initiated flowers at lower nodes, a desirable trait in bitter gourd. Early-flowering hybrids such as L3×T1, L6×T3, and L5×T1 had lower nodal positions for both male and female flowers, confirming the effectiveness of early-maturing lines and testers in hybrid development. Regarding flower production, both male and female flower counts varied significantly. Testers contributed more to male flower production, with T1 being the most prolific, while L1×T2 and L2×T1 were the highest-yielding hybrids. Female flower production was enhanced in hybrids like L1×T1 and L2×T1, with T1 as the most influential tester, suggesting its strong role in enhancing reproductive potential. These results emphasize the importance of combining high-performing lines like L1 with favorable testers such as T1 to boost sex expression and flowering efficiency.</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lastRenderedPageBreak/>
        <w:t xml:space="preserve">In terms of fruit characteristics, significant variation was recorded for fruit length (FL), girth (FG), and individual fruit weight (IFW). Hybrids showed improvement over parents in all these parameters. L1×T3 was exceptional for both </w:t>
      </w:r>
      <w:r w:rsidR="00646CAD">
        <w:rPr>
          <w:rFonts w:ascii="Arial" w:eastAsia="Times New Roman" w:hAnsi="Arial" w:cs="Arial"/>
          <w:bCs/>
          <w:color w:val="000000"/>
          <w:sz w:val="20"/>
        </w:rPr>
        <w:t>fruit length and girth</w:t>
      </w:r>
      <w:r w:rsidRPr="00720E5A">
        <w:rPr>
          <w:rFonts w:ascii="Arial" w:eastAsia="Times New Roman" w:hAnsi="Arial" w:cs="Arial"/>
          <w:bCs/>
          <w:color w:val="000000"/>
          <w:sz w:val="20"/>
        </w:rPr>
        <w:t xml:space="preserve">, while </w:t>
      </w:r>
      <w:r w:rsidR="00913970">
        <w:rPr>
          <w:rFonts w:ascii="Arial" w:eastAsia="Times New Roman" w:hAnsi="Arial" w:cs="Arial"/>
          <w:bCs/>
          <w:color w:val="000000"/>
          <w:sz w:val="20"/>
        </w:rPr>
        <w:t xml:space="preserve">L2×T3 recorded the highest </w:t>
      </w:r>
      <w:r w:rsidR="00646CAD">
        <w:rPr>
          <w:rFonts w:ascii="Arial" w:eastAsia="Times New Roman" w:hAnsi="Arial" w:cs="Arial"/>
          <w:bCs/>
          <w:color w:val="000000"/>
          <w:sz w:val="20"/>
        </w:rPr>
        <w:t>individual fruit weight</w:t>
      </w:r>
      <w:r w:rsidRPr="00720E5A">
        <w:rPr>
          <w:rFonts w:ascii="Arial" w:eastAsia="Times New Roman" w:hAnsi="Arial" w:cs="Arial"/>
          <w:bCs/>
          <w:color w:val="000000"/>
          <w:sz w:val="20"/>
        </w:rPr>
        <w:t>. These findings ar</w:t>
      </w:r>
      <w:r w:rsidR="00626068" w:rsidRPr="00720E5A">
        <w:rPr>
          <w:rFonts w:ascii="Arial" w:eastAsia="Times New Roman" w:hAnsi="Arial" w:cs="Arial"/>
          <w:bCs/>
          <w:color w:val="000000"/>
          <w:sz w:val="20"/>
        </w:rPr>
        <w:t xml:space="preserve">e supported by earlier studies of </w:t>
      </w:r>
      <w:r w:rsidRPr="00720E5A">
        <w:rPr>
          <w:rFonts w:ascii="Arial" w:eastAsia="Times New Roman" w:hAnsi="Arial" w:cs="Arial"/>
          <w:bCs/>
          <w:color w:val="000000"/>
          <w:sz w:val="20"/>
        </w:rPr>
        <w:t xml:space="preserve">Rani </w:t>
      </w:r>
      <w:r w:rsidR="00C049F3" w:rsidRPr="00C049F3">
        <w:rPr>
          <w:rFonts w:ascii="Arial" w:eastAsia="Times New Roman" w:hAnsi="Arial" w:cs="Arial"/>
          <w:bCs/>
          <w:i/>
          <w:color w:val="000000"/>
          <w:sz w:val="20"/>
        </w:rPr>
        <w:t>et al</w:t>
      </w:r>
      <w:r w:rsidRPr="00720E5A">
        <w:rPr>
          <w:rFonts w:ascii="Arial" w:eastAsia="Times New Roman" w:hAnsi="Arial" w:cs="Arial"/>
          <w:bCs/>
          <w:i/>
          <w:color w:val="000000"/>
          <w:sz w:val="20"/>
        </w:rPr>
        <w:t>.</w:t>
      </w:r>
      <w:r w:rsidRPr="00720E5A">
        <w:rPr>
          <w:rFonts w:ascii="Arial" w:eastAsia="Times New Roman" w:hAnsi="Arial" w:cs="Arial"/>
          <w:bCs/>
          <w:color w:val="000000"/>
          <w:sz w:val="20"/>
        </w:rPr>
        <w:t xml:space="preserve"> </w:t>
      </w:r>
      <w:r w:rsidR="005B7E83">
        <w:rPr>
          <w:rFonts w:ascii="Arial" w:eastAsia="Times New Roman" w:hAnsi="Arial" w:cs="Arial"/>
          <w:bCs/>
          <w:color w:val="000000"/>
          <w:sz w:val="20"/>
        </w:rPr>
        <w:t>[19]</w:t>
      </w:r>
      <w:r w:rsidR="00626068" w:rsidRPr="00720E5A">
        <w:rPr>
          <w:rFonts w:ascii="Arial" w:eastAsia="Times New Roman" w:hAnsi="Arial" w:cs="Arial"/>
          <w:bCs/>
          <w:color w:val="000000"/>
          <w:sz w:val="20"/>
        </w:rPr>
        <w:t xml:space="preserve"> and</w:t>
      </w:r>
      <w:r w:rsidR="00646CAD">
        <w:rPr>
          <w:rFonts w:ascii="Arial" w:eastAsia="Times New Roman" w:hAnsi="Arial" w:cs="Arial"/>
          <w:bCs/>
          <w:color w:val="000000"/>
          <w:sz w:val="20"/>
        </w:rPr>
        <w:t xml:space="preserve"> </w:t>
      </w:r>
      <w:proofErr w:type="spellStart"/>
      <w:r w:rsidR="00646CAD">
        <w:rPr>
          <w:rFonts w:ascii="Arial" w:eastAsia="Times New Roman" w:hAnsi="Arial" w:cs="Arial"/>
          <w:bCs/>
          <w:color w:val="000000"/>
          <w:sz w:val="20"/>
        </w:rPr>
        <w:t>Ankitha</w:t>
      </w:r>
      <w:proofErr w:type="spellEnd"/>
      <w:r w:rsidR="00646CAD">
        <w:rPr>
          <w:rFonts w:ascii="Arial" w:eastAsia="Times New Roman" w:hAnsi="Arial" w:cs="Arial"/>
          <w:bCs/>
          <w:color w:val="000000"/>
          <w:sz w:val="20"/>
        </w:rPr>
        <w:t xml:space="preserve"> </w:t>
      </w:r>
      <w:r w:rsidR="005B7E83">
        <w:rPr>
          <w:rFonts w:ascii="Arial" w:eastAsia="Times New Roman" w:hAnsi="Arial" w:cs="Arial"/>
          <w:bCs/>
          <w:color w:val="000000"/>
          <w:sz w:val="20"/>
        </w:rPr>
        <w:t>[2]</w:t>
      </w:r>
      <w:r w:rsidRPr="00720E5A">
        <w:rPr>
          <w:rFonts w:ascii="Arial" w:eastAsia="Times New Roman" w:hAnsi="Arial" w:cs="Arial"/>
          <w:bCs/>
          <w:color w:val="000000"/>
          <w:sz w:val="20"/>
        </w:rPr>
        <w:t xml:space="preserve">, indicating heterosis in fruit traits. Interestingly, hybrids derived from wild-type parents, especially </w:t>
      </w:r>
      <w:proofErr w:type="spellStart"/>
      <w:r w:rsidRPr="00720E5A">
        <w:rPr>
          <w:rFonts w:ascii="Arial" w:eastAsia="Times New Roman" w:hAnsi="Arial" w:cs="Arial"/>
          <w:bCs/>
          <w:i/>
          <w:color w:val="000000"/>
          <w:sz w:val="20"/>
        </w:rPr>
        <w:t>muricata</w:t>
      </w:r>
      <w:proofErr w:type="spellEnd"/>
      <w:r w:rsidRPr="00720E5A">
        <w:rPr>
          <w:rFonts w:ascii="Arial" w:eastAsia="Times New Roman" w:hAnsi="Arial" w:cs="Arial"/>
          <w:bCs/>
          <w:color w:val="000000"/>
          <w:sz w:val="20"/>
        </w:rPr>
        <w:t xml:space="preserve"> types, exhibited reduced fruit size, reflecting dominance effects from wild genotypes</w:t>
      </w:r>
      <w:r w:rsidR="002C3224">
        <w:rPr>
          <w:rFonts w:ascii="Arial" w:eastAsia="Times New Roman" w:hAnsi="Arial" w:cs="Arial"/>
          <w:bCs/>
          <w:color w:val="000000"/>
          <w:sz w:val="20"/>
        </w:rPr>
        <w:t xml:space="preserve"> [4,</w:t>
      </w:r>
      <w:r w:rsidR="00F852CA">
        <w:rPr>
          <w:rFonts w:ascii="Arial" w:eastAsia="Times New Roman" w:hAnsi="Arial" w:cs="Arial"/>
          <w:bCs/>
          <w:color w:val="000000"/>
          <w:sz w:val="20"/>
        </w:rPr>
        <w:t xml:space="preserve"> </w:t>
      </w:r>
      <w:r w:rsidR="002C3224">
        <w:rPr>
          <w:rFonts w:ascii="Arial" w:eastAsia="Times New Roman" w:hAnsi="Arial" w:cs="Arial"/>
          <w:bCs/>
          <w:color w:val="000000"/>
          <w:sz w:val="20"/>
        </w:rPr>
        <w:t>8]</w:t>
      </w:r>
      <w:r w:rsidRPr="00720E5A">
        <w:rPr>
          <w:rFonts w:ascii="Arial" w:eastAsia="Times New Roman" w:hAnsi="Arial" w:cs="Arial"/>
          <w:bCs/>
          <w:color w:val="000000"/>
          <w:sz w:val="20"/>
        </w:rPr>
        <w:t>.</w:t>
      </w:r>
    </w:p>
    <w:p w:rsidR="00656D32" w:rsidRPr="00720E5A" w:rsidRDefault="00656D32" w:rsidP="007131B1">
      <w:pPr>
        <w:spacing w:after="240" w:line="240" w:lineRule="auto"/>
        <w:jc w:val="both"/>
        <w:rPr>
          <w:rFonts w:ascii="Arial" w:eastAsia="Times New Roman" w:hAnsi="Arial" w:cs="Arial"/>
          <w:bCs/>
          <w:color w:val="000000"/>
          <w:sz w:val="20"/>
        </w:rPr>
      </w:pPr>
      <w:r w:rsidRPr="00720E5A">
        <w:rPr>
          <w:rFonts w:ascii="Arial" w:eastAsia="Times New Roman" w:hAnsi="Arial" w:cs="Arial"/>
          <w:bCs/>
          <w:color w:val="000000"/>
          <w:sz w:val="20"/>
        </w:rPr>
        <w:t xml:space="preserve">The number of fruits per vine (NFV) and </w:t>
      </w:r>
      <w:r w:rsidR="00646CAD">
        <w:rPr>
          <w:rFonts w:ascii="Arial" w:eastAsia="Times New Roman" w:hAnsi="Arial" w:cs="Arial"/>
          <w:bCs/>
          <w:color w:val="000000"/>
          <w:sz w:val="20"/>
        </w:rPr>
        <w:t xml:space="preserve">fruit </w:t>
      </w:r>
      <w:r w:rsidRPr="00720E5A">
        <w:rPr>
          <w:rFonts w:ascii="Arial" w:eastAsia="Times New Roman" w:hAnsi="Arial" w:cs="Arial"/>
          <w:bCs/>
          <w:color w:val="000000"/>
          <w:sz w:val="20"/>
        </w:rPr>
        <w:t xml:space="preserve">yield per vine (YFV) showed highly significant differences, with hybrids outperforming parents in </w:t>
      </w:r>
      <w:r w:rsidR="00646CAD">
        <w:rPr>
          <w:rFonts w:ascii="Arial" w:eastAsia="Times New Roman" w:hAnsi="Arial" w:cs="Arial"/>
          <w:bCs/>
          <w:color w:val="000000"/>
          <w:sz w:val="20"/>
        </w:rPr>
        <w:t>no. of fruits per vine</w:t>
      </w:r>
      <w:r w:rsidRPr="00720E5A">
        <w:rPr>
          <w:rFonts w:ascii="Arial" w:eastAsia="Times New Roman" w:hAnsi="Arial" w:cs="Arial"/>
          <w:bCs/>
          <w:color w:val="000000"/>
          <w:sz w:val="20"/>
        </w:rPr>
        <w:t xml:space="preserve"> but not in </w:t>
      </w:r>
      <w:r w:rsidR="00646CAD">
        <w:rPr>
          <w:rFonts w:ascii="Arial" w:eastAsia="Times New Roman" w:hAnsi="Arial" w:cs="Arial"/>
          <w:bCs/>
          <w:color w:val="000000"/>
          <w:sz w:val="20"/>
        </w:rPr>
        <w:t>yield per vine</w:t>
      </w:r>
      <w:r w:rsidRPr="00720E5A">
        <w:rPr>
          <w:rFonts w:ascii="Arial" w:eastAsia="Times New Roman" w:hAnsi="Arial" w:cs="Arial"/>
          <w:bCs/>
          <w:color w:val="000000"/>
          <w:sz w:val="20"/>
        </w:rPr>
        <w:t xml:space="preserve">. L1×T1 and L2×T1 were superior for NFV, showing up to 9.3% improvement over the hybrid mean. This aligns with findings by </w:t>
      </w:r>
      <w:proofErr w:type="spellStart"/>
      <w:r w:rsidRPr="00720E5A">
        <w:rPr>
          <w:rFonts w:ascii="Arial" w:eastAsia="Times New Roman" w:hAnsi="Arial" w:cs="Arial"/>
          <w:bCs/>
          <w:color w:val="000000"/>
          <w:sz w:val="20"/>
        </w:rPr>
        <w:t>Asna</w:t>
      </w:r>
      <w:proofErr w:type="spellEnd"/>
      <w:r w:rsidR="00F852CA">
        <w:rPr>
          <w:rFonts w:ascii="Arial" w:eastAsia="Times New Roman" w:hAnsi="Arial" w:cs="Arial"/>
          <w:bCs/>
          <w:color w:val="000000"/>
          <w:sz w:val="20"/>
        </w:rPr>
        <w:t xml:space="preserve"> [3] and Singh [24]</w:t>
      </w:r>
      <w:r w:rsidRPr="00720E5A">
        <w:rPr>
          <w:rFonts w:ascii="Arial" w:eastAsia="Times New Roman" w:hAnsi="Arial" w:cs="Arial"/>
          <w:bCs/>
          <w:color w:val="000000"/>
          <w:sz w:val="20"/>
        </w:rPr>
        <w:t xml:space="preserve">, who reported that yield is largely influenced by fruit number and size. The number of harvests among hybrids </w:t>
      </w:r>
      <w:r w:rsidR="005A18C8">
        <w:rPr>
          <w:rFonts w:ascii="Arial" w:eastAsia="Times New Roman" w:hAnsi="Arial" w:cs="Arial"/>
          <w:bCs/>
          <w:color w:val="000000"/>
          <w:sz w:val="20"/>
        </w:rPr>
        <w:t xml:space="preserve">were also </w:t>
      </w:r>
      <w:r w:rsidRPr="00720E5A">
        <w:rPr>
          <w:rFonts w:ascii="Arial" w:eastAsia="Times New Roman" w:hAnsi="Arial" w:cs="Arial"/>
          <w:bCs/>
          <w:color w:val="000000"/>
          <w:sz w:val="20"/>
        </w:rPr>
        <w:t xml:space="preserve">consistent with the findings of </w:t>
      </w:r>
      <w:proofErr w:type="spellStart"/>
      <w:r w:rsidRPr="00720E5A">
        <w:rPr>
          <w:rFonts w:ascii="Arial" w:eastAsia="Times New Roman" w:hAnsi="Arial" w:cs="Arial"/>
          <w:bCs/>
          <w:color w:val="000000"/>
          <w:sz w:val="20"/>
        </w:rPr>
        <w:t>Asna</w:t>
      </w:r>
      <w:proofErr w:type="spellEnd"/>
      <w:r w:rsidR="00F852CA">
        <w:rPr>
          <w:rFonts w:ascii="Arial" w:eastAsia="Times New Roman" w:hAnsi="Arial" w:cs="Arial"/>
          <w:bCs/>
          <w:color w:val="000000"/>
          <w:sz w:val="20"/>
        </w:rPr>
        <w:t xml:space="preserve"> [3]</w:t>
      </w:r>
      <w:r w:rsidRPr="00720E5A">
        <w:rPr>
          <w:rFonts w:ascii="Arial" w:eastAsia="Times New Roman" w:hAnsi="Arial" w:cs="Arial"/>
          <w:bCs/>
          <w:color w:val="000000"/>
          <w:sz w:val="20"/>
        </w:rPr>
        <w:t xml:space="preserve"> and </w:t>
      </w:r>
      <w:proofErr w:type="spellStart"/>
      <w:r w:rsidRPr="00720E5A">
        <w:rPr>
          <w:rFonts w:ascii="Arial" w:eastAsia="Times New Roman" w:hAnsi="Arial" w:cs="Arial"/>
          <w:bCs/>
          <w:color w:val="000000"/>
          <w:sz w:val="20"/>
        </w:rPr>
        <w:t>Ankitha</w:t>
      </w:r>
      <w:proofErr w:type="spellEnd"/>
      <w:r w:rsidR="00F852CA">
        <w:rPr>
          <w:rFonts w:ascii="Arial" w:eastAsia="Times New Roman" w:hAnsi="Arial" w:cs="Arial"/>
          <w:bCs/>
          <w:color w:val="000000"/>
          <w:sz w:val="20"/>
        </w:rPr>
        <w:t xml:space="preserve"> [2]</w:t>
      </w:r>
      <w:r w:rsidRPr="00720E5A">
        <w:rPr>
          <w:rFonts w:ascii="Arial" w:eastAsia="Times New Roman" w:hAnsi="Arial" w:cs="Arial"/>
          <w:bCs/>
          <w:color w:val="000000"/>
          <w:sz w:val="20"/>
        </w:rPr>
        <w:t>, who reported variability based on genotype. Early maturing hybrids with more harvests are preferred for staggered market supply and higher economic returns.</w:t>
      </w:r>
    </w:p>
    <w:p w:rsidR="00656D32" w:rsidRPr="00720E5A" w:rsidRDefault="00656D32"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In field evaluation, the hybrid combinations L5 × T2 and L3 × T3 performed exceptionally well, exhibiting increased resistance to mosaic virus infection and high yield potential. Crosses such as L6 × T1 and L3 × T2 showed moderate resistance characterized by intermediate biochemical responses, though their comparatively lower yields suggest the need for yield enhancement prior to potential commercial adoption. In contrast, although L1 × T3 and L2 × T3 recorded high yields, their poor expression of defense-related enzymes indicates low resistance, making them unsuitable for mosaic-prone environments. </w:t>
      </w:r>
    </w:p>
    <w:p w:rsidR="00656D32" w:rsidRPr="00720E5A" w:rsidRDefault="00656D32" w:rsidP="008B7831">
      <w:pPr>
        <w:spacing w:line="240" w:lineRule="auto"/>
        <w:jc w:val="both"/>
        <w:rPr>
          <w:rFonts w:ascii="Arial" w:eastAsia="Times New Roman" w:hAnsi="Arial" w:cs="Arial"/>
          <w:sz w:val="20"/>
        </w:rPr>
      </w:pPr>
      <w:r w:rsidRPr="00720E5A">
        <w:rPr>
          <w:rFonts w:ascii="Arial" w:eastAsia="Times New Roman" w:hAnsi="Arial" w:cs="Arial"/>
          <w:sz w:val="20"/>
        </w:rPr>
        <w:t xml:space="preserve">In general, hybrids developed using T3 as the male parent frequently exhibited enhanced yield and larger fruit dimensions, whereas crosses involving T1 were associated with earlier flowering and increased flower production. Morphologically, the hybrids displayed intermediate phenotypes, bridging characteristics of both cultivated and wild genotypes, thereby reaffirming the high cross-compatibility between </w:t>
      </w:r>
      <w:r w:rsidR="006A261D" w:rsidRPr="006A261D">
        <w:rPr>
          <w:rFonts w:ascii="Arial" w:eastAsia="Times New Roman" w:hAnsi="Arial" w:cs="Arial"/>
          <w:i/>
          <w:sz w:val="20"/>
        </w:rPr>
        <w:t xml:space="preserve">Momordica </w:t>
      </w:r>
      <w:proofErr w:type="spellStart"/>
      <w:r w:rsidR="006A261D" w:rsidRPr="006A261D">
        <w:rPr>
          <w:rFonts w:ascii="Arial" w:eastAsia="Times New Roman" w:hAnsi="Arial" w:cs="Arial"/>
          <w:i/>
          <w:sz w:val="20"/>
        </w:rPr>
        <w:t>charantia</w:t>
      </w:r>
      <w:proofErr w:type="spellEnd"/>
      <w:r w:rsidRPr="00720E5A">
        <w:rPr>
          <w:rFonts w:ascii="Arial" w:eastAsia="Times New Roman" w:hAnsi="Arial" w:cs="Arial"/>
          <w:i/>
          <w:sz w:val="20"/>
        </w:rPr>
        <w:t xml:space="preserve"> </w:t>
      </w:r>
      <w:r w:rsidRPr="00720E5A">
        <w:rPr>
          <w:rFonts w:ascii="Arial" w:eastAsia="Times New Roman" w:hAnsi="Arial" w:cs="Arial"/>
          <w:sz w:val="20"/>
        </w:rPr>
        <w:t xml:space="preserve">var. </w:t>
      </w:r>
      <w:proofErr w:type="spellStart"/>
      <w:r w:rsidRPr="00720E5A">
        <w:rPr>
          <w:rFonts w:ascii="Arial" w:eastAsia="Times New Roman" w:hAnsi="Arial" w:cs="Arial"/>
          <w:i/>
          <w:sz w:val="20"/>
        </w:rPr>
        <w:t>muricata</w:t>
      </w:r>
      <w:proofErr w:type="spellEnd"/>
      <w:r w:rsidRPr="00720E5A">
        <w:rPr>
          <w:rFonts w:ascii="Arial" w:eastAsia="Times New Roman" w:hAnsi="Arial" w:cs="Arial"/>
          <w:i/>
          <w:sz w:val="20"/>
        </w:rPr>
        <w:t xml:space="preserve"> </w:t>
      </w:r>
      <w:r w:rsidRPr="00720E5A">
        <w:rPr>
          <w:rFonts w:ascii="Arial" w:eastAsia="Times New Roman" w:hAnsi="Arial" w:cs="Arial"/>
          <w:sz w:val="20"/>
        </w:rPr>
        <w:t xml:space="preserve">and </w:t>
      </w:r>
      <w:r w:rsidR="006A261D" w:rsidRPr="006A261D">
        <w:rPr>
          <w:rFonts w:ascii="Arial" w:eastAsia="Times New Roman" w:hAnsi="Arial" w:cs="Arial"/>
          <w:i/>
          <w:sz w:val="20"/>
        </w:rPr>
        <w:t xml:space="preserve">Momordica </w:t>
      </w:r>
      <w:proofErr w:type="spellStart"/>
      <w:r w:rsidR="006A261D" w:rsidRPr="006A261D">
        <w:rPr>
          <w:rFonts w:ascii="Arial" w:eastAsia="Times New Roman" w:hAnsi="Arial" w:cs="Arial"/>
          <w:i/>
          <w:sz w:val="20"/>
        </w:rPr>
        <w:t>charantia</w:t>
      </w:r>
      <w:proofErr w:type="spellEnd"/>
      <w:r w:rsidRPr="00720E5A">
        <w:rPr>
          <w:rFonts w:ascii="Arial" w:eastAsia="Times New Roman" w:hAnsi="Arial" w:cs="Arial"/>
          <w:sz w:val="20"/>
        </w:rPr>
        <w:t xml:space="preserve"> var. </w:t>
      </w:r>
      <w:proofErr w:type="spellStart"/>
      <w:r w:rsidRPr="00720E5A">
        <w:rPr>
          <w:rFonts w:ascii="Arial" w:eastAsia="Times New Roman" w:hAnsi="Arial" w:cs="Arial"/>
          <w:sz w:val="20"/>
        </w:rPr>
        <w:t>c</w:t>
      </w:r>
      <w:r w:rsidRPr="00720E5A">
        <w:rPr>
          <w:rFonts w:ascii="Arial" w:eastAsia="Times New Roman" w:hAnsi="Arial" w:cs="Arial"/>
          <w:i/>
          <w:sz w:val="20"/>
        </w:rPr>
        <w:t>harantia</w:t>
      </w:r>
      <w:proofErr w:type="spellEnd"/>
      <w:r w:rsidRPr="00720E5A">
        <w:rPr>
          <w:rFonts w:ascii="Arial" w:eastAsia="Times New Roman" w:hAnsi="Arial" w:cs="Arial"/>
          <w:sz w:val="20"/>
        </w:rPr>
        <w:t xml:space="preserve">. This observation aligns with previous reports by Bharathi </w:t>
      </w:r>
      <w:r w:rsidR="00C049F3" w:rsidRPr="00C049F3">
        <w:rPr>
          <w:rFonts w:ascii="Arial" w:eastAsia="Times New Roman" w:hAnsi="Arial" w:cs="Arial"/>
          <w:i/>
          <w:sz w:val="20"/>
        </w:rPr>
        <w:t>et al</w:t>
      </w:r>
      <w:r w:rsidRPr="00720E5A">
        <w:rPr>
          <w:rFonts w:ascii="Arial" w:eastAsia="Times New Roman" w:hAnsi="Arial" w:cs="Arial"/>
          <w:i/>
          <w:sz w:val="20"/>
        </w:rPr>
        <w:t>.</w:t>
      </w:r>
      <w:r w:rsidR="00F852CA">
        <w:rPr>
          <w:rFonts w:ascii="Arial" w:eastAsia="Times New Roman" w:hAnsi="Arial" w:cs="Arial"/>
          <w:i/>
          <w:sz w:val="20"/>
        </w:rPr>
        <w:t xml:space="preserve"> </w:t>
      </w:r>
      <w:r w:rsidR="00F852CA">
        <w:rPr>
          <w:rFonts w:ascii="Arial" w:eastAsia="Times New Roman" w:hAnsi="Arial" w:cs="Arial"/>
          <w:sz w:val="20"/>
        </w:rPr>
        <w:t>[5]</w:t>
      </w:r>
      <w:r w:rsidR="00626068" w:rsidRPr="00720E5A">
        <w:rPr>
          <w:rFonts w:ascii="Arial" w:eastAsia="Times New Roman" w:hAnsi="Arial" w:cs="Arial"/>
          <w:sz w:val="20"/>
        </w:rPr>
        <w:t xml:space="preserve">, </w:t>
      </w:r>
      <w:proofErr w:type="spellStart"/>
      <w:r w:rsidR="00626068" w:rsidRPr="00720E5A">
        <w:rPr>
          <w:rFonts w:ascii="Arial" w:eastAsia="Times New Roman" w:hAnsi="Arial" w:cs="Arial"/>
          <w:sz w:val="20"/>
        </w:rPr>
        <w:t>Asna</w:t>
      </w:r>
      <w:proofErr w:type="spellEnd"/>
      <w:r w:rsidR="00F852CA">
        <w:rPr>
          <w:rFonts w:ascii="Arial" w:eastAsia="Times New Roman" w:hAnsi="Arial" w:cs="Arial"/>
          <w:sz w:val="20"/>
        </w:rPr>
        <w:t xml:space="preserve"> [3]</w:t>
      </w:r>
      <w:r w:rsidR="00626068" w:rsidRPr="00720E5A">
        <w:rPr>
          <w:rFonts w:ascii="Arial" w:eastAsia="Times New Roman" w:hAnsi="Arial" w:cs="Arial"/>
          <w:sz w:val="20"/>
        </w:rPr>
        <w:t xml:space="preserve">, </w:t>
      </w:r>
      <w:r w:rsidRPr="00720E5A">
        <w:rPr>
          <w:rFonts w:ascii="Arial" w:eastAsia="Times New Roman" w:hAnsi="Arial" w:cs="Arial"/>
          <w:sz w:val="20"/>
        </w:rPr>
        <w:t xml:space="preserve">Rathod </w:t>
      </w:r>
      <w:r w:rsidR="00C049F3" w:rsidRPr="00C049F3">
        <w:rPr>
          <w:rFonts w:ascii="Arial" w:eastAsia="Times New Roman" w:hAnsi="Arial" w:cs="Arial"/>
          <w:i/>
          <w:sz w:val="20"/>
        </w:rPr>
        <w:t>et al</w:t>
      </w:r>
      <w:r w:rsidRPr="00720E5A">
        <w:rPr>
          <w:rFonts w:ascii="Arial" w:eastAsia="Times New Roman" w:hAnsi="Arial" w:cs="Arial"/>
          <w:i/>
          <w:sz w:val="20"/>
        </w:rPr>
        <w:t xml:space="preserve">. </w:t>
      </w:r>
      <w:r w:rsidR="00F852CA">
        <w:rPr>
          <w:rFonts w:ascii="Arial" w:eastAsia="Times New Roman" w:hAnsi="Arial" w:cs="Arial"/>
          <w:sz w:val="20"/>
        </w:rPr>
        <w:t>[20]</w:t>
      </w:r>
      <w:r w:rsidRPr="00F852CA">
        <w:rPr>
          <w:rFonts w:ascii="Arial" w:eastAsia="Times New Roman" w:hAnsi="Arial" w:cs="Arial"/>
          <w:sz w:val="20"/>
        </w:rPr>
        <w:t xml:space="preserve"> and </w:t>
      </w:r>
      <w:proofErr w:type="spellStart"/>
      <w:r w:rsidRPr="00F852CA">
        <w:rPr>
          <w:rFonts w:ascii="Arial" w:eastAsia="Times New Roman" w:hAnsi="Arial" w:cs="Arial"/>
          <w:sz w:val="20"/>
        </w:rPr>
        <w:t>Ankitha</w:t>
      </w:r>
      <w:proofErr w:type="spellEnd"/>
      <w:r w:rsidR="00F852CA" w:rsidRPr="00F852CA">
        <w:rPr>
          <w:rFonts w:ascii="Arial" w:eastAsia="Times New Roman" w:hAnsi="Arial" w:cs="Arial"/>
          <w:sz w:val="20"/>
        </w:rPr>
        <w:t xml:space="preserve"> [2]</w:t>
      </w:r>
      <w:r w:rsidRPr="00F852CA">
        <w:rPr>
          <w:rFonts w:ascii="Arial" w:eastAsia="Times New Roman" w:hAnsi="Arial" w:cs="Arial"/>
          <w:sz w:val="20"/>
        </w:rPr>
        <w:t>. Collectively, these result</w:t>
      </w:r>
      <w:r w:rsidRPr="00720E5A">
        <w:rPr>
          <w:rFonts w:ascii="Arial" w:eastAsia="Times New Roman" w:hAnsi="Arial" w:cs="Arial"/>
          <w:sz w:val="20"/>
        </w:rPr>
        <w:t xml:space="preserve">s highlight the critical need to balance yield performance with biochemical resistance traits during hybrid development. Among the combinations evaluated, L5 × T2 and L3 × T3 emerged as particularly promising for the development of mosaic virus-tolerant bitter gourd hybrids. </w:t>
      </w:r>
    </w:p>
    <w:p w:rsidR="0095007F" w:rsidRPr="00097C87" w:rsidRDefault="0095007F" w:rsidP="008B7831">
      <w:pPr>
        <w:pStyle w:val="NormalWeb"/>
        <w:rPr>
          <w:rStyle w:val="Strong"/>
          <w:rFonts w:ascii="Arial" w:hAnsi="Arial" w:cs="Arial"/>
          <w:sz w:val="22"/>
          <w:szCs w:val="22"/>
        </w:rPr>
      </w:pPr>
      <w:r w:rsidRPr="00097C87">
        <w:rPr>
          <w:rFonts w:ascii="Arial" w:hAnsi="Arial" w:cs="Arial"/>
          <w:b/>
          <w:color w:val="000000"/>
          <w:sz w:val="22"/>
          <w:szCs w:val="22"/>
        </w:rPr>
        <w:t xml:space="preserve">3.2. </w:t>
      </w:r>
      <w:r w:rsidRPr="00097C87">
        <w:rPr>
          <w:rStyle w:val="Strong"/>
          <w:rFonts w:ascii="Arial" w:hAnsi="Arial" w:cs="Arial"/>
          <w:sz w:val="22"/>
          <w:szCs w:val="22"/>
        </w:rPr>
        <w:t>Combining Ability Analysis</w:t>
      </w:r>
    </w:p>
    <w:p w:rsidR="00646CAD" w:rsidRDefault="0095007F" w:rsidP="00044CDB">
      <w:pPr>
        <w:spacing w:after="200" w:line="240" w:lineRule="auto"/>
        <w:jc w:val="both"/>
        <w:rPr>
          <w:rFonts w:ascii="Arial" w:eastAsia="Times New Roman" w:hAnsi="Arial" w:cs="Arial"/>
          <w:sz w:val="20"/>
        </w:rPr>
      </w:pPr>
      <w:r w:rsidRPr="00720E5A">
        <w:rPr>
          <w:rFonts w:ascii="Arial" w:eastAsia="Times New Roman" w:hAnsi="Arial" w:cs="Arial"/>
          <w:sz w:val="20"/>
        </w:rPr>
        <w:t>The general combining ability (GCA) analysis revealed significant genetic variability among parental lines and testers, offering valuable insights for strategic hybrid development in bitter gourd</w:t>
      </w:r>
      <w:r w:rsidR="009D1458">
        <w:rPr>
          <w:rFonts w:ascii="Arial" w:eastAsia="Times New Roman" w:hAnsi="Arial" w:cs="Arial"/>
          <w:sz w:val="20"/>
        </w:rPr>
        <w:t xml:space="preserve"> (Table 2)</w:t>
      </w:r>
      <w:r w:rsidRPr="00720E5A">
        <w:rPr>
          <w:rFonts w:ascii="Arial" w:eastAsia="Times New Roman" w:hAnsi="Arial" w:cs="Arial"/>
          <w:sz w:val="20"/>
        </w:rPr>
        <w:t xml:space="preserve">. Lines L3 and L5 emerged as superior general combiners for earliness, exhibiting strong negative GCA effects for days to first male flower, while L3 and L1 were also effective for early female flowering. Tester T1 played a key role in promoting reproductive earliness, making it a suitable pollen parent for early-maturing hybrids. In contrast, L6 demonstrated favorable GCA for lower nodal flowering, supporting its potential contribution to early reproductive initiation. These results </w:t>
      </w:r>
      <w:proofErr w:type="gramStart"/>
      <w:r w:rsidRPr="00720E5A">
        <w:rPr>
          <w:rFonts w:ascii="Arial" w:eastAsia="Times New Roman" w:hAnsi="Arial" w:cs="Arial"/>
          <w:sz w:val="20"/>
        </w:rPr>
        <w:t>are in agreemen</w:t>
      </w:r>
      <w:r w:rsidR="00B34348">
        <w:rPr>
          <w:rFonts w:ascii="Arial" w:eastAsia="Times New Roman" w:hAnsi="Arial" w:cs="Arial"/>
          <w:sz w:val="20"/>
        </w:rPr>
        <w:t>t</w:t>
      </w:r>
      <w:proofErr w:type="gramEnd"/>
      <w:r w:rsidR="00B34348">
        <w:rPr>
          <w:rFonts w:ascii="Arial" w:eastAsia="Times New Roman" w:hAnsi="Arial" w:cs="Arial"/>
          <w:sz w:val="20"/>
        </w:rPr>
        <w:t xml:space="preserve"> with those reported by Singh [24]</w:t>
      </w:r>
      <w:r w:rsidR="001B494D">
        <w:rPr>
          <w:rFonts w:ascii="Arial" w:eastAsia="Times New Roman" w:hAnsi="Arial" w:cs="Arial"/>
          <w:sz w:val="20"/>
        </w:rPr>
        <w:t>.</w:t>
      </w:r>
    </w:p>
    <w:p w:rsidR="001B494D" w:rsidRDefault="001B494D" w:rsidP="00044CDB">
      <w:pPr>
        <w:spacing w:after="200" w:line="240" w:lineRule="auto"/>
        <w:jc w:val="both"/>
        <w:rPr>
          <w:rFonts w:ascii="Arial" w:eastAsia="Times New Roman" w:hAnsi="Arial" w:cs="Arial"/>
          <w:sz w:val="20"/>
        </w:rPr>
      </w:pPr>
      <w:r w:rsidRPr="00720E5A">
        <w:rPr>
          <w:rFonts w:ascii="Arial" w:eastAsia="Times New Roman" w:hAnsi="Arial" w:cs="Arial"/>
          <w:sz w:val="20"/>
        </w:rPr>
        <w:t xml:space="preserve">For reproductive capacity, L1 showed the highest positive GCA for </w:t>
      </w:r>
      <w:r w:rsidR="00646CAD">
        <w:rPr>
          <w:rFonts w:ascii="Arial" w:eastAsia="Times New Roman" w:hAnsi="Arial" w:cs="Arial"/>
          <w:sz w:val="20"/>
        </w:rPr>
        <w:t xml:space="preserve">number of </w:t>
      </w:r>
      <w:r w:rsidRPr="00720E5A">
        <w:rPr>
          <w:rFonts w:ascii="Arial" w:eastAsia="Times New Roman" w:hAnsi="Arial" w:cs="Arial"/>
          <w:sz w:val="20"/>
        </w:rPr>
        <w:t>both male and female flower</w:t>
      </w:r>
      <w:r w:rsidR="00646CAD">
        <w:rPr>
          <w:rFonts w:ascii="Arial" w:eastAsia="Times New Roman" w:hAnsi="Arial" w:cs="Arial"/>
          <w:sz w:val="20"/>
        </w:rPr>
        <w:t>s</w:t>
      </w:r>
      <w:r w:rsidRPr="00720E5A">
        <w:rPr>
          <w:rFonts w:ascii="Arial" w:eastAsia="Times New Roman" w:hAnsi="Arial" w:cs="Arial"/>
          <w:sz w:val="20"/>
        </w:rPr>
        <w:t xml:space="preserve">, while T2 contributed significantly to </w:t>
      </w:r>
      <w:r>
        <w:rPr>
          <w:rFonts w:ascii="Arial" w:eastAsia="Times New Roman" w:hAnsi="Arial" w:cs="Arial"/>
          <w:sz w:val="20"/>
        </w:rPr>
        <w:t>floral</w:t>
      </w:r>
      <w:r w:rsidRPr="00720E5A">
        <w:rPr>
          <w:rFonts w:ascii="Arial" w:eastAsia="Times New Roman" w:hAnsi="Arial" w:cs="Arial"/>
          <w:sz w:val="20"/>
        </w:rPr>
        <w:t xml:space="preserve"> abundance, underscoring their combined utility in enhancing flowering traits. Lines L1 and T1 also supported early harvesting, with negative GCA for days to first harvest. Meanwhile, L2 and L6 positively influenced the number of harvests, suggesting their value in boosting cumulative yield.</w:t>
      </w:r>
      <w:r w:rsidRPr="00720E5A">
        <w:rPr>
          <w:rFonts w:ascii="Arial" w:hAnsi="Arial" w:cs="Arial"/>
          <w:sz w:val="20"/>
        </w:rPr>
        <w:t xml:space="preserve"> </w:t>
      </w:r>
      <w:r w:rsidRPr="00720E5A">
        <w:rPr>
          <w:rFonts w:ascii="Arial" w:eastAsia="Times New Roman" w:hAnsi="Arial" w:cs="Arial"/>
          <w:sz w:val="20"/>
        </w:rPr>
        <w:t>This was</w:t>
      </w:r>
      <w:r>
        <w:rPr>
          <w:rFonts w:ascii="Arial" w:eastAsia="Times New Roman" w:hAnsi="Arial" w:cs="Arial"/>
          <w:sz w:val="20"/>
        </w:rPr>
        <w:t xml:space="preserve"> </w:t>
      </w:r>
      <w:r w:rsidRPr="00720E5A">
        <w:rPr>
          <w:rFonts w:ascii="Arial" w:eastAsia="Times New Roman" w:hAnsi="Arial" w:cs="Arial"/>
          <w:sz w:val="20"/>
        </w:rPr>
        <w:t xml:space="preserve">similar to the findings by Kumar </w:t>
      </w:r>
      <w:r w:rsidRPr="00C049F3">
        <w:rPr>
          <w:rFonts w:ascii="Arial" w:eastAsia="Times New Roman" w:hAnsi="Arial" w:cs="Arial"/>
          <w:i/>
          <w:sz w:val="20"/>
        </w:rPr>
        <w:t>et al</w:t>
      </w:r>
      <w:r w:rsidRPr="00720E5A">
        <w:rPr>
          <w:rFonts w:ascii="Arial" w:eastAsia="Times New Roman" w:hAnsi="Arial" w:cs="Arial"/>
          <w:i/>
          <w:sz w:val="20"/>
        </w:rPr>
        <w:t>.</w:t>
      </w:r>
      <w:r>
        <w:rPr>
          <w:rFonts w:ascii="Arial" w:eastAsia="Times New Roman" w:hAnsi="Arial" w:cs="Arial"/>
          <w:i/>
          <w:sz w:val="20"/>
        </w:rPr>
        <w:t xml:space="preserve"> </w:t>
      </w:r>
      <w:r>
        <w:rPr>
          <w:rFonts w:ascii="Arial" w:eastAsia="Times New Roman" w:hAnsi="Arial" w:cs="Arial"/>
          <w:sz w:val="20"/>
        </w:rPr>
        <w:t>[13]</w:t>
      </w:r>
      <w:r w:rsidRPr="00720E5A">
        <w:rPr>
          <w:rFonts w:ascii="Arial" w:eastAsia="Times New Roman" w:hAnsi="Arial" w:cs="Arial"/>
          <w:sz w:val="20"/>
        </w:rPr>
        <w:t xml:space="preserve"> and Mishra </w:t>
      </w:r>
      <w:r w:rsidRPr="00C049F3">
        <w:rPr>
          <w:rFonts w:ascii="Arial" w:eastAsia="Times New Roman" w:hAnsi="Arial" w:cs="Arial"/>
          <w:i/>
          <w:sz w:val="20"/>
        </w:rPr>
        <w:t>et al</w:t>
      </w:r>
      <w:r w:rsidRPr="00720E5A">
        <w:rPr>
          <w:rFonts w:ascii="Arial" w:eastAsia="Times New Roman" w:hAnsi="Arial" w:cs="Arial"/>
          <w:i/>
          <w:sz w:val="20"/>
        </w:rPr>
        <w:t>.</w:t>
      </w:r>
      <w:r w:rsidRPr="00720E5A">
        <w:rPr>
          <w:rFonts w:ascii="Arial" w:eastAsia="Times New Roman" w:hAnsi="Arial" w:cs="Arial"/>
          <w:sz w:val="20"/>
        </w:rPr>
        <w:t xml:space="preserve"> </w:t>
      </w:r>
      <w:r>
        <w:rPr>
          <w:rFonts w:ascii="Arial" w:eastAsia="Times New Roman" w:hAnsi="Arial" w:cs="Arial"/>
          <w:sz w:val="20"/>
        </w:rPr>
        <w:t xml:space="preserve">[16]. </w:t>
      </w:r>
    </w:p>
    <w:p w:rsidR="001B494D" w:rsidRPr="00720E5A" w:rsidRDefault="001B494D" w:rsidP="00044CDB">
      <w:pPr>
        <w:spacing w:after="200" w:line="240" w:lineRule="auto"/>
        <w:jc w:val="both"/>
        <w:rPr>
          <w:rFonts w:ascii="Arial" w:eastAsia="Times New Roman" w:hAnsi="Arial" w:cs="Arial"/>
          <w:sz w:val="20"/>
        </w:rPr>
        <w:sectPr w:rsidR="001B494D" w:rsidRPr="00720E5A" w:rsidSect="00B32195">
          <w:headerReference w:type="even" r:id="rId13"/>
          <w:headerReference w:type="default" r:id="rId14"/>
          <w:footerReference w:type="default" r:id="rId15"/>
          <w:headerReference w:type="first" r:id="rId16"/>
          <w:type w:val="continuous"/>
          <w:pgSz w:w="12240" w:h="15840"/>
          <w:pgMar w:top="1800" w:right="1440" w:bottom="1440" w:left="1440" w:header="720" w:footer="720" w:gutter="0"/>
          <w:cols w:num="2" w:space="720"/>
          <w:docGrid w:linePitch="360"/>
        </w:sectPr>
      </w:pPr>
      <w:r w:rsidRPr="00720E5A">
        <w:rPr>
          <w:rFonts w:ascii="Arial" w:eastAsia="Times New Roman" w:hAnsi="Arial" w:cs="Arial"/>
          <w:sz w:val="20"/>
        </w:rPr>
        <w:t>In terms of fruit attributes, L1 and L2 were favorable general combiners for fruit length and girth, while L5 and T3 had notable GCA for</w:t>
      </w:r>
      <w:r>
        <w:rPr>
          <w:rFonts w:ascii="Arial" w:eastAsia="Times New Roman" w:hAnsi="Arial" w:cs="Arial"/>
          <w:sz w:val="20"/>
        </w:rPr>
        <w:t xml:space="preserve"> </w:t>
      </w:r>
      <w:r w:rsidRPr="00720E5A">
        <w:rPr>
          <w:rFonts w:ascii="Arial" w:eastAsia="Times New Roman" w:hAnsi="Arial" w:cs="Arial"/>
          <w:sz w:val="20"/>
        </w:rPr>
        <w:t>individual</w:t>
      </w:r>
      <w:r>
        <w:rPr>
          <w:rFonts w:ascii="Arial" w:eastAsia="Times New Roman" w:hAnsi="Arial" w:cs="Arial"/>
          <w:sz w:val="20"/>
        </w:rPr>
        <w:t xml:space="preserve"> </w:t>
      </w:r>
      <w:r w:rsidRPr="00720E5A">
        <w:rPr>
          <w:rFonts w:ascii="Arial" w:eastAsia="Times New Roman" w:hAnsi="Arial" w:cs="Arial"/>
          <w:sz w:val="20"/>
        </w:rPr>
        <w:t>fruit weight.</w:t>
      </w:r>
    </w:p>
    <w:p w:rsidR="00656D32" w:rsidRPr="00720E5A" w:rsidRDefault="008B7831" w:rsidP="008B7831">
      <w:pPr>
        <w:spacing w:line="240" w:lineRule="auto"/>
        <w:jc w:val="center"/>
        <w:rPr>
          <w:rFonts w:ascii="Arial" w:eastAsia="Times New Roman" w:hAnsi="Arial" w:cs="Arial"/>
          <w:sz w:val="20"/>
          <w:szCs w:val="20"/>
        </w:rPr>
      </w:pPr>
      <w:r>
        <w:rPr>
          <w:rFonts w:ascii="Arial" w:eastAsia="Times New Roman" w:hAnsi="Arial" w:cs="Arial"/>
          <w:sz w:val="20"/>
          <w:szCs w:val="20"/>
        </w:rPr>
        <w:lastRenderedPageBreak/>
        <w:t>Table 1</w:t>
      </w:r>
      <w:r w:rsidR="00656D32" w:rsidRPr="00720E5A">
        <w:rPr>
          <w:rFonts w:ascii="Arial" w:eastAsia="Times New Roman" w:hAnsi="Arial" w:cs="Arial"/>
          <w:sz w:val="20"/>
          <w:szCs w:val="20"/>
        </w:rPr>
        <w:t xml:space="preserve">: </w:t>
      </w:r>
      <w:r w:rsidR="00656D32" w:rsidRPr="00720E5A">
        <w:rPr>
          <w:rFonts w:ascii="Arial" w:eastAsia="Times New Roman" w:hAnsi="Arial" w:cs="Arial"/>
          <w:color w:val="000000"/>
          <w:sz w:val="20"/>
          <w:szCs w:val="20"/>
        </w:rPr>
        <w:t>Analysis of variance for Lx T analysis</w:t>
      </w:r>
    </w:p>
    <w:tbl>
      <w:tblPr>
        <w:tblStyle w:val="TableGrid"/>
        <w:tblW w:w="94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540"/>
        <w:gridCol w:w="636"/>
        <w:gridCol w:w="174"/>
        <w:gridCol w:w="810"/>
        <w:gridCol w:w="571"/>
        <w:gridCol w:w="239"/>
        <w:gridCol w:w="810"/>
        <w:gridCol w:w="717"/>
        <w:gridCol w:w="713"/>
        <w:gridCol w:w="797"/>
        <w:gridCol w:w="713"/>
        <w:gridCol w:w="713"/>
        <w:gridCol w:w="713"/>
        <w:gridCol w:w="12"/>
      </w:tblGrid>
      <w:tr w:rsidR="002E5838" w:rsidRPr="0048109A" w:rsidTr="00666B17">
        <w:trPr>
          <w:gridAfter w:val="1"/>
          <w:wAfter w:w="12" w:type="dxa"/>
          <w:trHeight w:val="291"/>
        </w:trPr>
        <w:tc>
          <w:tcPr>
            <w:tcW w:w="1260" w:type="dxa"/>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Factor</w:t>
            </w:r>
          </w:p>
        </w:tc>
        <w:tc>
          <w:tcPr>
            <w:tcW w:w="540" w:type="dxa"/>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w:t>
            </w:r>
          </w:p>
        </w:tc>
        <w:tc>
          <w:tcPr>
            <w:tcW w:w="810" w:type="dxa"/>
            <w:gridSpan w:val="2"/>
            <w:tcBorders>
              <w:top w:val="single" w:sz="4" w:space="0" w:color="auto"/>
              <w:bottom w:val="single" w:sz="4" w:space="0" w:color="auto"/>
            </w:tcBorders>
            <w:vAlign w:val="center"/>
            <w:hideMark/>
          </w:tcPr>
          <w:p w:rsidR="00656D32" w:rsidRPr="0048109A" w:rsidRDefault="00656D32" w:rsidP="0048109A">
            <w:pPr>
              <w:jc w:val="center"/>
              <w:rPr>
                <w:rFonts w:ascii="Arial" w:eastAsia="Times New Roman" w:hAnsi="Arial" w:cs="Arial"/>
                <w:b/>
                <w:bCs/>
                <w:sz w:val="20"/>
                <w:szCs w:val="20"/>
              </w:rPr>
            </w:pPr>
            <w:r w:rsidRPr="0048109A">
              <w:rPr>
                <w:rFonts w:ascii="Arial" w:eastAsia="Times New Roman" w:hAnsi="Arial" w:cs="Arial"/>
                <w:b/>
                <w:bCs/>
                <w:sz w:val="20"/>
                <w:szCs w:val="20"/>
              </w:rPr>
              <w:t>DFMF</w:t>
            </w:r>
          </w:p>
        </w:tc>
        <w:tc>
          <w:tcPr>
            <w:tcW w:w="810"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DFFF</w:t>
            </w:r>
          </w:p>
        </w:tc>
        <w:tc>
          <w:tcPr>
            <w:tcW w:w="810" w:type="dxa"/>
            <w:gridSpan w:val="2"/>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NFMF</w:t>
            </w:r>
          </w:p>
        </w:tc>
        <w:tc>
          <w:tcPr>
            <w:tcW w:w="810"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NFFF</w:t>
            </w:r>
          </w:p>
        </w:tc>
        <w:tc>
          <w:tcPr>
            <w:tcW w:w="717"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NMF</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NFF</w:t>
            </w:r>
          </w:p>
        </w:tc>
        <w:tc>
          <w:tcPr>
            <w:tcW w:w="797"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DFH</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NH</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FL</w:t>
            </w:r>
          </w:p>
        </w:tc>
        <w:tc>
          <w:tcPr>
            <w:tcW w:w="713" w:type="dxa"/>
            <w:tcBorders>
              <w:top w:val="single" w:sz="4" w:space="0" w:color="auto"/>
              <w:bottom w:val="single" w:sz="4" w:space="0" w:color="auto"/>
            </w:tcBorders>
            <w:noWrap/>
            <w:vAlign w:val="center"/>
            <w:hideMark/>
          </w:tcPr>
          <w:p w:rsidR="00656D32" w:rsidRPr="0048109A" w:rsidRDefault="00656D32" w:rsidP="0048109A">
            <w:pPr>
              <w:jc w:val="center"/>
              <w:rPr>
                <w:rFonts w:ascii="Arial" w:eastAsia="Times New Roman" w:hAnsi="Arial" w:cs="Arial"/>
                <w:b/>
                <w:sz w:val="20"/>
                <w:szCs w:val="20"/>
              </w:rPr>
            </w:pPr>
            <w:r w:rsidRPr="0048109A">
              <w:rPr>
                <w:rFonts w:ascii="Arial" w:eastAsia="Times New Roman" w:hAnsi="Arial" w:cs="Arial"/>
                <w:b/>
                <w:sz w:val="20"/>
                <w:szCs w:val="20"/>
              </w:rPr>
              <w:t>FG</w:t>
            </w:r>
          </w:p>
        </w:tc>
      </w:tr>
      <w:tr w:rsidR="00656D32" w:rsidRPr="00720E5A" w:rsidTr="00666B17">
        <w:trPr>
          <w:trHeight w:val="291"/>
        </w:trPr>
        <w:tc>
          <w:tcPr>
            <w:tcW w:w="1260" w:type="dxa"/>
          </w:tcPr>
          <w:p w:rsidR="00656D32" w:rsidRPr="00720E5A" w:rsidRDefault="00656D32" w:rsidP="008B7831">
            <w:pPr>
              <w:jc w:val="center"/>
              <w:rPr>
                <w:rFonts w:ascii="Arial" w:eastAsia="Times New Roman" w:hAnsi="Arial" w:cs="Arial"/>
                <w:b/>
                <w:sz w:val="20"/>
                <w:szCs w:val="20"/>
              </w:rPr>
            </w:pPr>
          </w:p>
        </w:tc>
        <w:tc>
          <w:tcPr>
            <w:tcW w:w="540" w:type="dxa"/>
          </w:tcPr>
          <w:p w:rsidR="00656D32" w:rsidRPr="00720E5A" w:rsidRDefault="00656D32" w:rsidP="008B7831">
            <w:pPr>
              <w:jc w:val="center"/>
              <w:rPr>
                <w:rFonts w:ascii="Arial" w:eastAsia="Times New Roman" w:hAnsi="Arial" w:cs="Arial"/>
                <w:b/>
                <w:sz w:val="20"/>
                <w:szCs w:val="20"/>
              </w:rPr>
            </w:pPr>
          </w:p>
        </w:tc>
        <w:tc>
          <w:tcPr>
            <w:tcW w:w="7618" w:type="dxa"/>
            <w:gridSpan w:val="13"/>
          </w:tcPr>
          <w:p w:rsidR="00656D32" w:rsidRPr="00720E5A" w:rsidRDefault="00656D32" w:rsidP="008B7831">
            <w:pPr>
              <w:jc w:val="center"/>
              <w:rPr>
                <w:rFonts w:ascii="Arial" w:eastAsia="Times New Roman" w:hAnsi="Arial" w:cs="Arial"/>
                <w:b/>
                <w:sz w:val="20"/>
                <w:szCs w:val="20"/>
              </w:rPr>
            </w:pPr>
            <w:r w:rsidRPr="00720E5A">
              <w:rPr>
                <w:rFonts w:ascii="Arial" w:eastAsia="Times New Roman" w:hAnsi="Arial" w:cs="Arial"/>
                <w:b/>
                <w:sz w:val="20"/>
                <w:szCs w:val="20"/>
              </w:rPr>
              <w:t>Mean Sum of Squares</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4.7</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4.01</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0.75</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251.44</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1.83</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0.78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5.85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1.64</w:t>
            </w:r>
          </w:p>
        </w:tc>
      </w:tr>
      <w:tr w:rsidR="002E5838" w:rsidRPr="00720E5A" w:rsidTr="00666B17">
        <w:trPr>
          <w:gridAfter w:val="1"/>
          <w:wAfter w:w="12" w:type="dxa"/>
          <w:trHeight w:val="485"/>
        </w:trPr>
        <w:tc>
          <w:tcPr>
            <w:tcW w:w="1260" w:type="dxa"/>
            <w:hideMark/>
          </w:tcPr>
          <w:p w:rsidR="00656D32" w:rsidRPr="0048109A" w:rsidRDefault="002E5838" w:rsidP="008B7831">
            <w:pPr>
              <w:jc w:val="center"/>
              <w:rPr>
                <w:rFonts w:ascii="Arial" w:eastAsia="Times New Roman" w:hAnsi="Arial" w:cs="Arial"/>
                <w:b/>
                <w:sz w:val="20"/>
                <w:szCs w:val="20"/>
              </w:rPr>
            </w:pPr>
            <w:r w:rsidRPr="0048109A">
              <w:rPr>
                <w:rFonts w:ascii="Arial" w:eastAsia="Times New Roman" w:hAnsi="Arial" w:cs="Arial"/>
                <w:b/>
                <w:sz w:val="20"/>
                <w:szCs w:val="20"/>
              </w:rPr>
              <w:t>Treatment</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128.03*</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146.67**</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27.02**</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24.58**</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28610.37**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19.27**</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56.67**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33.10**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21.39**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11.72**</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180.53*</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231.58**</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39.87**</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29.87**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49339.33**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35.87**</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123.20**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60.58**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19.12**</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 vs. 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5.9</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42.52**</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2.23</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47.80**</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82960.22**</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107.55**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33.54**</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61.38**</w:t>
            </w:r>
          </w:p>
        </w:tc>
      </w:tr>
      <w:tr w:rsidR="002E5838" w:rsidRPr="00720E5A" w:rsidTr="00666B17">
        <w:trPr>
          <w:gridAfter w:val="1"/>
          <w:wAfter w:w="12" w:type="dxa"/>
          <w:trHeight w:val="720"/>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110.51*</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112.84**</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22.44**</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20.73**</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15658.51**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12.36**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22.37**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20.68**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9.00</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5.32*</w:t>
            </w:r>
          </w:p>
        </w:tc>
      </w:tr>
      <w:tr w:rsidR="002E5838" w:rsidRPr="00720E5A" w:rsidTr="00666B17">
        <w:trPr>
          <w:gridAfter w:val="1"/>
          <w:wAfter w:w="12" w:type="dxa"/>
          <w:trHeight w:val="291"/>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261.57*</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177.26*</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39.05*</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50.56**</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5571.11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14.56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5.19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6.48</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Testers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106.2</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296.46*</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48.22*</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29.40*</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104802.39**</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17.56</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50.91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86.05*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31.65*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10.73</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 X Testers</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35.84*</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43.91**</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8.98**</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4.07**</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2873.43**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10.22**</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25.55</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17.01**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6.38**</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3.65</w:t>
            </w:r>
          </w:p>
        </w:tc>
      </w:tr>
      <w:tr w:rsidR="002E5838" w:rsidRPr="00720E5A" w:rsidTr="00666B17">
        <w:trPr>
          <w:gridAfter w:val="1"/>
          <w:wAfter w:w="12" w:type="dxa"/>
          <w:trHeight w:val="485"/>
        </w:trPr>
        <w:tc>
          <w:tcPr>
            <w:tcW w:w="1260" w:type="dxa"/>
            <w:hideMark/>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Error</w:t>
            </w:r>
          </w:p>
        </w:tc>
        <w:tc>
          <w:tcPr>
            <w:tcW w:w="540"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52</w:t>
            </w:r>
          </w:p>
        </w:tc>
        <w:tc>
          <w:tcPr>
            <w:tcW w:w="636"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w:t>
            </w:r>
          </w:p>
        </w:tc>
        <w:tc>
          <w:tcPr>
            <w:tcW w:w="984"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2.08</w:t>
            </w:r>
          </w:p>
        </w:tc>
        <w:tc>
          <w:tcPr>
            <w:tcW w:w="571"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0.80</w:t>
            </w:r>
          </w:p>
        </w:tc>
        <w:tc>
          <w:tcPr>
            <w:tcW w:w="1049" w:type="dxa"/>
            <w:gridSpan w:val="2"/>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1.32</w:t>
            </w:r>
          </w:p>
        </w:tc>
        <w:tc>
          <w:tcPr>
            <w:tcW w:w="71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169.53</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1.03</w:t>
            </w:r>
          </w:p>
        </w:tc>
        <w:tc>
          <w:tcPr>
            <w:tcW w:w="797"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1.47</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0.61</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2.36</w:t>
            </w:r>
          </w:p>
        </w:tc>
        <w:tc>
          <w:tcPr>
            <w:tcW w:w="713" w:type="dxa"/>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2.81</w:t>
            </w:r>
          </w:p>
        </w:tc>
      </w:tr>
    </w:tbl>
    <w:p w:rsidR="00656D32" w:rsidRPr="00A552EC" w:rsidRDefault="00656D32" w:rsidP="008B7831">
      <w:pPr>
        <w:spacing w:before="240" w:after="240" w:line="240" w:lineRule="auto"/>
        <w:jc w:val="both"/>
        <w:rPr>
          <w:rFonts w:ascii="Arial" w:eastAsia="Times New Roman" w:hAnsi="Arial" w:cs="Arial"/>
          <w:sz w:val="16"/>
          <w:szCs w:val="20"/>
        </w:rPr>
      </w:pPr>
      <w:r w:rsidRPr="00A552EC">
        <w:rPr>
          <w:rFonts w:ascii="Arial" w:eastAsia="Times New Roman" w:hAnsi="Arial" w:cs="Arial"/>
          <w:sz w:val="16"/>
          <w:szCs w:val="20"/>
        </w:rPr>
        <w:t>** Significant at 1% level of significance *Significant at 5 % level of significance</w:t>
      </w:r>
    </w:p>
    <w:p w:rsidR="00656D32" w:rsidRPr="00720E5A" w:rsidRDefault="008B7831" w:rsidP="008B7831">
      <w:pPr>
        <w:spacing w:line="240" w:lineRule="auto"/>
        <w:jc w:val="center"/>
        <w:rPr>
          <w:rFonts w:ascii="Arial" w:eastAsia="Times New Roman" w:hAnsi="Arial" w:cs="Arial"/>
          <w:sz w:val="20"/>
          <w:szCs w:val="20"/>
        </w:rPr>
      </w:pPr>
      <w:r>
        <w:rPr>
          <w:rFonts w:ascii="Arial" w:eastAsia="Times New Roman" w:hAnsi="Arial" w:cs="Arial"/>
          <w:sz w:val="20"/>
          <w:szCs w:val="20"/>
        </w:rPr>
        <w:t xml:space="preserve">Table 1 </w:t>
      </w:r>
      <w:r w:rsidR="00656D32" w:rsidRPr="00720E5A">
        <w:rPr>
          <w:rFonts w:ascii="Arial" w:eastAsia="Times New Roman" w:hAnsi="Arial" w:cs="Arial"/>
          <w:color w:val="000000"/>
          <w:sz w:val="20"/>
          <w:szCs w:val="20"/>
        </w:rPr>
        <w:t>(cont.)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8"/>
        <w:gridCol w:w="563"/>
        <w:gridCol w:w="914"/>
        <w:gridCol w:w="945"/>
        <w:gridCol w:w="762"/>
        <w:gridCol w:w="762"/>
        <w:gridCol w:w="762"/>
        <w:gridCol w:w="1222"/>
        <w:gridCol w:w="762"/>
        <w:gridCol w:w="762"/>
        <w:gridCol w:w="848"/>
      </w:tblGrid>
      <w:tr w:rsidR="00656D32" w:rsidRPr="0048109A" w:rsidTr="00240E78">
        <w:trPr>
          <w:trHeight w:val="315"/>
        </w:trPr>
        <w:tc>
          <w:tcPr>
            <w:tcW w:w="565" w:type="pct"/>
            <w:tcBorders>
              <w:top w:val="single" w:sz="4" w:space="0" w:color="auto"/>
              <w:bottom w:val="single" w:sz="4" w:space="0" w:color="auto"/>
            </w:tcBorders>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Factor</w:t>
            </w:r>
          </w:p>
        </w:tc>
        <w:tc>
          <w:tcPr>
            <w:tcW w:w="301" w:type="pct"/>
            <w:tcBorders>
              <w:top w:val="single" w:sz="4" w:space="0" w:color="auto"/>
              <w:bottom w:val="single" w:sz="4" w:space="0" w:color="auto"/>
            </w:tcBorders>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DF</w:t>
            </w:r>
          </w:p>
        </w:tc>
        <w:tc>
          <w:tcPr>
            <w:tcW w:w="488"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IFW</w:t>
            </w:r>
          </w:p>
        </w:tc>
        <w:tc>
          <w:tcPr>
            <w:tcW w:w="505"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VL</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NPB</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NFV</w:t>
            </w:r>
          </w:p>
        </w:tc>
        <w:tc>
          <w:tcPr>
            <w:tcW w:w="407" w:type="pct"/>
            <w:tcBorders>
              <w:top w:val="single" w:sz="4" w:space="0" w:color="auto"/>
              <w:bottom w:val="single" w:sz="4" w:space="0" w:color="auto"/>
            </w:tcBorders>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NSF</w:t>
            </w:r>
          </w:p>
        </w:tc>
        <w:tc>
          <w:tcPr>
            <w:tcW w:w="653" w:type="pct"/>
            <w:tcBorders>
              <w:top w:val="single" w:sz="4" w:space="0" w:color="auto"/>
              <w:bottom w:val="single" w:sz="4" w:space="0" w:color="auto"/>
            </w:tcBorders>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YFV</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PER</w:t>
            </w:r>
          </w:p>
        </w:tc>
        <w:tc>
          <w:tcPr>
            <w:tcW w:w="407"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PPO</w:t>
            </w:r>
          </w:p>
        </w:tc>
        <w:tc>
          <w:tcPr>
            <w:tcW w:w="456" w:type="pct"/>
            <w:tcBorders>
              <w:top w:val="single" w:sz="4" w:space="0" w:color="auto"/>
              <w:bottom w:val="single" w:sz="4" w:space="0" w:color="auto"/>
            </w:tcBorders>
            <w:noWrap/>
            <w:hideMark/>
          </w:tcPr>
          <w:p w:rsidR="00656D32" w:rsidRPr="0048109A" w:rsidRDefault="00656D32" w:rsidP="002E5838">
            <w:pPr>
              <w:jc w:val="center"/>
              <w:rPr>
                <w:rFonts w:ascii="Arial" w:eastAsia="Times New Roman" w:hAnsi="Arial" w:cs="Arial"/>
                <w:b/>
                <w:sz w:val="20"/>
                <w:szCs w:val="20"/>
              </w:rPr>
            </w:pPr>
            <w:r w:rsidRPr="0048109A">
              <w:rPr>
                <w:rFonts w:ascii="Arial" w:eastAsia="Times New Roman" w:hAnsi="Arial" w:cs="Arial"/>
                <w:b/>
                <w:sz w:val="20"/>
                <w:szCs w:val="20"/>
              </w:rPr>
              <w:t>PAL</w:t>
            </w:r>
          </w:p>
        </w:tc>
      </w:tr>
      <w:tr w:rsidR="00656D32" w:rsidRPr="00720E5A" w:rsidTr="00240E78">
        <w:trPr>
          <w:trHeight w:val="315"/>
        </w:trPr>
        <w:tc>
          <w:tcPr>
            <w:tcW w:w="565" w:type="pct"/>
            <w:tcBorders>
              <w:top w:val="single" w:sz="4" w:space="0" w:color="auto"/>
            </w:tcBorders>
          </w:tcPr>
          <w:p w:rsidR="00656D32" w:rsidRPr="00720E5A" w:rsidRDefault="00656D32" w:rsidP="008B7831">
            <w:pPr>
              <w:jc w:val="center"/>
              <w:rPr>
                <w:rFonts w:ascii="Arial" w:eastAsia="Times New Roman" w:hAnsi="Arial" w:cs="Arial"/>
                <w:b/>
                <w:sz w:val="20"/>
                <w:szCs w:val="20"/>
              </w:rPr>
            </w:pPr>
          </w:p>
        </w:tc>
        <w:tc>
          <w:tcPr>
            <w:tcW w:w="301" w:type="pct"/>
            <w:tcBorders>
              <w:top w:val="single" w:sz="4" w:space="0" w:color="auto"/>
            </w:tcBorders>
          </w:tcPr>
          <w:p w:rsidR="00656D32" w:rsidRPr="00720E5A" w:rsidRDefault="00656D32" w:rsidP="008B7831">
            <w:pPr>
              <w:jc w:val="center"/>
              <w:rPr>
                <w:rFonts w:ascii="Arial" w:eastAsia="Times New Roman" w:hAnsi="Arial" w:cs="Arial"/>
                <w:b/>
                <w:sz w:val="20"/>
                <w:szCs w:val="20"/>
              </w:rPr>
            </w:pPr>
          </w:p>
        </w:tc>
        <w:tc>
          <w:tcPr>
            <w:tcW w:w="4135" w:type="pct"/>
            <w:gridSpan w:val="9"/>
            <w:tcBorders>
              <w:top w:val="single" w:sz="4" w:space="0" w:color="auto"/>
            </w:tcBorders>
            <w:noWrap/>
          </w:tcPr>
          <w:p w:rsidR="00656D32" w:rsidRPr="00720E5A" w:rsidRDefault="00656D32" w:rsidP="008B7831">
            <w:pPr>
              <w:jc w:val="center"/>
              <w:rPr>
                <w:rFonts w:ascii="Arial" w:eastAsia="Times New Roman" w:hAnsi="Arial" w:cs="Arial"/>
                <w:b/>
                <w:sz w:val="20"/>
                <w:szCs w:val="20"/>
              </w:rPr>
            </w:pPr>
            <w:r w:rsidRPr="00720E5A">
              <w:rPr>
                <w:rFonts w:ascii="Arial" w:eastAsia="Times New Roman" w:hAnsi="Arial" w:cs="Arial"/>
                <w:b/>
                <w:sz w:val="20"/>
                <w:szCs w:val="20"/>
              </w:rPr>
              <w:t>Mean Sum of Squares</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32.04</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64.38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1.86</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257.04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0.024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0.029**</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0.29*</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Treatments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14156.49**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2650.86**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42.18**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27.10**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19.14**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6283373**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6.033**</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2.07**</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46.10**</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29077.32**</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4236.28**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59.65**</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45.43**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23.5**</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10385930.7**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8.98**</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3.37**</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58.09**</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Parents vs. 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38900.51**</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1657.66**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5.56*</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33.80**</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31273690.5**</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2.66**</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116.01**</w:t>
            </w:r>
          </w:p>
        </w:tc>
      </w:tr>
      <w:tr w:rsidR="00656D32" w:rsidRPr="00720E5A" w:rsidTr="00240E78">
        <w:trPr>
          <w:trHeight w:val="780"/>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Crosses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5679.39**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1963.20**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36.11**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20.03**</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16.23</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2882738**</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4.39**</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1.42**</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36.35**</w:t>
            </w:r>
          </w:p>
        </w:tc>
      </w:tr>
      <w:tr w:rsidR="00656D32" w:rsidRPr="00720E5A" w:rsidTr="00240E78">
        <w:trPr>
          <w:trHeight w:val="31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Lines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775.89</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1051.61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87.54*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29.72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21.81</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242609.10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5.644</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1.53</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33.85</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Testers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28861.95**</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9186.19**</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3.02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21.91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20.24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13603534*</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0.697</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0.32</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22.97</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lastRenderedPageBreak/>
              <w:t>Lines X Testers</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3494.62**</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974.40**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17.02**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14.82**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12.64**</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2058643.1**</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4.51**</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1.59**</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40.27**</w:t>
            </w:r>
          </w:p>
        </w:tc>
      </w:tr>
      <w:tr w:rsidR="00656D32" w:rsidRPr="00720E5A" w:rsidTr="00240E78">
        <w:trPr>
          <w:trHeight w:val="525"/>
        </w:trPr>
        <w:tc>
          <w:tcPr>
            <w:tcW w:w="565" w:type="pct"/>
          </w:tcPr>
          <w:p w:rsidR="00656D32" w:rsidRPr="0048109A" w:rsidRDefault="00656D32" w:rsidP="008B7831">
            <w:pPr>
              <w:jc w:val="center"/>
              <w:rPr>
                <w:rFonts w:ascii="Arial" w:eastAsia="Times New Roman" w:hAnsi="Arial" w:cs="Arial"/>
                <w:b/>
                <w:sz w:val="20"/>
                <w:szCs w:val="20"/>
              </w:rPr>
            </w:pPr>
            <w:r w:rsidRPr="0048109A">
              <w:rPr>
                <w:rFonts w:ascii="Arial" w:eastAsia="Times New Roman" w:hAnsi="Arial" w:cs="Arial"/>
                <w:b/>
                <w:sz w:val="20"/>
                <w:szCs w:val="20"/>
              </w:rPr>
              <w:t>Error</w:t>
            </w:r>
          </w:p>
        </w:tc>
        <w:tc>
          <w:tcPr>
            <w:tcW w:w="301" w:type="pct"/>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52</w:t>
            </w:r>
          </w:p>
        </w:tc>
        <w:tc>
          <w:tcPr>
            <w:tcW w:w="488"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109.65</w:t>
            </w:r>
          </w:p>
        </w:tc>
        <w:tc>
          <w:tcPr>
            <w:tcW w:w="505"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102.82</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0.87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0.97</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1.01</w:t>
            </w:r>
          </w:p>
        </w:tc>
        <w:tc>
          <w:tcPr>
            <w:tcW w:w="653"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4102.20</w:t>
            </w:r>
          </w:p>
        </w:tc>
        <w:tc>
          <w:tcPr>
            <w:tcW w:w="407" w:type="pct"/>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0.011</w:t>
            </w:r>
          </w:p>
        </w:tc>
        <w:tc>
          <w:tcPr>
            <w:tcW w:w="407"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0.0165</w:t>
            </w:r>
          </w:p>
        </w:tc>
        <w:tc>
          <w:tcPr>
            <w:tcW w:w="456" w:type="pct"/>
            <w:noWrap/>
            <w:hideMark/>
          </w:tcPr>
          <w:p w:rsidR="00656D32" w:rsidRPr="00720E5A" w:rsidRDefault="00656D32" w:rsidP="008B7831">
            <w:pPr>
              <w:jc w:val="center"/>
              <w:rPr>
                <w:rFonts w:ascii="Arial" w:eastAsia="Times New Roman" w:hAnsi="Arial" w:cs="Arial"/>
                <w:sz w:val="20"/>
                <w:szCs w:val="20"/>
              </w:rPr>
            </w:pPr>
            <w:r w:rsidRPr="00720E5A">
              <w:rPr>
                <w:rFonts w:ascii="Arial" w:eastAsia="Times New Roman" w:hAnsi="Arial" w:cs="Arial"/>
                <w:sz w:val="20"/>
                <w:szCs w:val="20"/>
              </w:rPr>
              <w:t>0.092</w:t>
            </w:r>
          </w:p>
        </w:tc>
      </w:tr>
    </w:tbl>
    <w:p w:rsidR="0095007F" w:rsidRPr="00A552EC" w:rsidRDefault="00656D32" w:rsidP="00044CDB">
      <w:pPr>
        <w:spacing w:before="240" w:after="240" w:line="240" w:lineRule="auto"/>
        <w:jc w:val="both"/>
        <w:rPr>
          <w:rFonts w:ascii="Arial" w:eastAsia="Times New Roman" w:hAnsi="Arial" w:cs="Arial"/>
          <w:sz w:val="16"/>
          <w:szCs w:val="20"/>
        </w:rPr>
        <w:sectPr w:rsidR="0095007F" w:rsidRPr="00A552EC">
          <w:pgSz w:w="12240" w:h="15840"/>
          <w:pgMar w:top="1440" w:right="1440" w:bottom="1440" w:left="1440" w:header="720" w:footer="720" w:gutter="0"/>
          <w:cols w:space="720"/>
          <w:docGrid w:linePitch="360"/>
        </w:sectPr>
      </w:pPr>
      <w:r w:rsidRPr="00A552EC">
        <w:rPr>
          <w:rFonts w:ascii="Arial" w:eastAsia="Times New Roman" w:hAnsi="Arial" w:cs="Arial"/>
          <w:sz w:val="16"/>
          <w:szCs w:val="20"/>
        </w:rPr>
        <w:t>** Significant at 1% level of significance *Significa</w:t>
      </w:r>
      <w:r w:rsidR="00044CDB" w:rsidRPr="00A552EC">
        <w:rPr>
          <w:rFonts w:ascii="Arial" w:eastAsia="Times New Roman" w:hAnsi="Arial" w:cs="Arial"/>
          <w:sz w:val="16"/>
          <w:szCs w:val="20"/>
        </w:rPr>
        <w:t>nt at 5 % level of significance</w:t>
      </w:r>
    </w:p>
    <w:p w:rsidR="00044CDB" w:rsidRPr="00720E5A" w:rsidRDefault="00044CDB" w:rsidP="00044CDB">
      <w:pPr>
        <w:spacing w:after="200" w:line="240" w:lineRule="auto"/>
        <w:jc w:val="both"/>
        <w:rPr>
          <w:rFonts w:ascii="Arial" w:eastAsia="Times New Roman" w:hAnsi="Arial" w:cs="Arial"/>
          <w:sz w:val="20"/>
        </w:rPr>
      </w:pPr>
      <w:r w:rsidRPr="00720E5A">
        <w:rPr>
          <w:rFonts w:ascii="Arial" w:eastAsia="Times New Roman" w:hAnsi="Arial" w:cs="Arial"/>
          <w:sz w:val="20"/>
        </w:rPr>
        <w:t>Tester T3 stood out as the best general combiner for biochemical traits, with s</w:t>
      </w:r>
      <w:r w:rsidR="00646CAD">
        <w:rPr>
          <w:rFonts w:ascii="Arial" w:eastAsia="Times New Roman" w:hAnsi="Arial" w:cs="Arial"/>
          <w:sz w:val="20"/>
        </w:rPr>
        <w:t>trong positive GCA for PER, PPO</w:t>
      </w:r>
      <w:r w:rsidRPr="00720E5A">
        <w:rPr>
          <w:rFonts w:ascii="Arial" w:eastAsia="Times New Roman" w:hAnsi="Arial" w:cs="Arial"/>
          <w:sz w:val="20"/>
        </w:rPr>
        <w:t xml:space="preserve"> and PAL, indicating its significance in breeding for disease resistance and stress response. Among </w:t>
      </w:r>
      <w:r w:rsidR="00646CAD">
        <w:rPr>
          <w:rFonts w:ascii="Arial" w:eastAsia="Times New Roman" w:hAnsi="Arial" w:cs="Arial"/>
          <w:sz w:val="20"/>
        </w:rPr>
        <w:t xml:space="preserve">the </w:t>
      </w:r>
      <w:r w:rsidRPr="00720E5A">
        <w:rPr>
          <w:rFonts w:ascii="Arial" w:eastAsia="Times New Roman" w:hAnsi="Arial" w:cs="Arial"/>
          <w:sz w:val="20"/>
        </w:rPr>
        <w:t xml:space="preserve">lines, L2 was favorable for PER and PAL, while L5 excelled in PPO. In contrast, L4 showed consistently negative GCA across biochemical traits, suggesting its limited utility for enhancing these parameters. </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The evaluation of specific combining ability (SCA) revealed significant hybrid-specific effects across a range of traits, indicating the presence of strong non-additive gene action influencing both agronomic and biochemical performance in bitter gourd</w:t>
      </w:r>
      <w:r w:rsidR="009D1458">
        <w:rPr>
          <w:rFonts w:ascii="Arial" w:eastAsia="Times New Roman" w:hAnsi="Arial" w:cs="Arial"/>
          <w:sz w:val="20"/>
        </w:rPr>
        <w:t xml:space="preserve"> (Table 3)</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For earliness in flowering and harvest, hybrids such as L1 × T1, L5 × T2, and L2 × T3 demonstrated highly negative and statistically significant SCA effects for days to first male flower (DFMF), days to first female flower (DFFF), and days to first harvest (DFH). These results highlight the presence of synergistic gene interactions in these crosses, promoting accelerated reproductive development and early maturity—critical traits for early market targeting.</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In terms of reproductive output, hybrids L2 × T2 and L5 × T2 recorded the highest positive SCA effects for number of female flowers per plant, indicating effective allelic complementation that enhances female sex expression. For yield, outstanding SCA effects were observed in L6 × T1, L4 × T1, and L3 × T1, positioning these crosses as highly promising for yield improvement initiatives.</w:t>
      </w:r>
      <w:r w:rsidRPr="00720E5A">
        <w:rPr>
          <w:rFonts w:ascii="Arial" w:hAnsi="Arial" w:cs="Arial"/>
          <w:sz w:val="20"/>
        </w:rPr>
        <w:t xml:space="preserve"> </w:t>
      </w:r>
      <w:r w:rsidRPr="00720E5A">
        <w:rPr>
          <w:rFonts w:ascii="Arial" w:eastAsia="Times New Roman" w:hAnsi="Arial" w:cs="Arial"/>
          <w:sz w:val="20"/>
        </w:rPr>
        <w:t>Comparable results have been documented by Sundaram</w:t>
      </w:r>
      <w:r w:rsidR="000A6C7E">
        <w:rPr>
          <w:rFonts w:ascii="Arial" w:eastAsia="Times New Roman" w:hAnsi="Arial" w:cs="Arial"/>
          <w:sz w:val="20"/>
        </w:rPr>
        <w:t xml:space="preserve"> [27]</w:t>
      </w:r>
      <w:r w:rsidRPr="00720E5A">
        <w:rPr>
          <w:rFonts w:ascii="Arial" w:eastAsia="Times New Roman" w:hAnsi="Arial" w:cs="Arial"/>
          <w:sz w:val="20"/>
        </w:rPr>
        <w:t xml:space="preserve">, </w:t>
      </w:r>
      <w:proofErr w:type="spellStart"/>
      <w:r w:rsidRPr="00720E5A">
        <w:rPr>
          <w:rFonts w:ascii="Arial" w:eastAsia="Times New Roman" w:hAnsi="Arial" w:cs="Arial"/>
          <w:sz w:val="20"/>
        </w:rPr>
        <w:t>Thangamani</w:t>
      </w:r>
      <w:proofErr w:type="spellEnd"/>
      <w:r w:rsidRPr="00720E5A">
        <w:rPr>
          <w:rFonts w:ascii="Arial" w:eastAsia="Times New Roman" w:hAnsi="Arial" w:cs="Arial"/>
          <w:sz w:val="20"/>
        </w:rPr>
        <w:t xml:space="preserve"> </w:t>
      </w:r>
      <w:r w:rsidR="00C049F3" w:rsidRPr="00C049F3">
        <w:rPr>
          <w:rFonts w:ascii="Arial" w:eastAsia="Times New Roman" w:hAnsi="Arial" w:cs="Arial"/>
          <w:i/>
          <w:sz w:val="20"/>
        </w:rPr>
        <w:t>et al</w:t>
      </w:r>
      <w:r w:rsidRPr="00720E5A">
        <w:rPr>
          <w:rFonts w:ascii="Arial" w:eastAsia="Times New Roman" w:hAnsi="Arial" w:cs="Arial"/>
          <w:i/>
          <w:sz w:val="20"/>
        </w:rPr>
        <w:t>.</w:t>
      </w:r>
      <w:r w:rsidR="000A6C7E">
        <w:rPr>
          <w:rFonts w:ascii="Arial" w:eastAsia="Times New Roman" w:hAnsi="Arial" w:cs="Arial"/>
          <w:i/>
          <w:sz w:val="20"/>
        </w:rPr>
        <w:t xml:space="preserve"> </w:t>
      </w:r>
      <w:r w:rsidR="000A6C7E">
        <w:rPr>
          <w:rFonts w:ascii="Arial" w:eastAsia="Times New Roman" w:hAnsi="Arial" w:cs="Arial"/>
          <w:sz w:val="20"/>
        </w:rPr>
        <w:t>[28]</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6D72FA">
        <w:rPr>
          <w:rFonts w:ascii="Arial" w:eastAsia="Times New Roman" w:hAnsi="Arial" w:cs="Arial"/>
          <w:i/>
          <w:sz w:val="20"/>
        </w:rPr>
        <w:t xml:space="preserve"> </w:t>
      </w:r>
      <w:r w:rsidR="006D72FA">
        <w:rPr>
          <w:rFonts w:ascii="Arial" w:eastAsia="Times New Roman" w:hAnsi="Arial" w:cs="Arial"/>
          <w:sz w:val="20"/>
        </w:rPr>
        <w:t>[16]</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Despite high yield in some combinations, L2 × T3, L3 × T3, and L4 × T3 exhibited significantly negative SCA effects for yield, suggesting detrimental dominance or epistatic interactions affecting productivity in these hybrids. However, L2 × T3, L5 × T3, and L4 × T3 excelled in fruit number per vine, while L6 × T2 and L6 × T1 </w:t>
      </w:r>
      <w:r w:rsidRPr="00720E5A">
        <w:rPr>
          <w:rFonts w:ascii="Arial" w:eastAsia="Times New Roman" w:hAnsi="Arial" w:cs="Arial"/>
          <w:sz w:val="20"/>
        </w:rPr>
        <w:t>showed significant gains in individual fruit weight, suggesting targeted strengths in specific yield components.</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For plant architecture, crosses such as L5 × T3, L4 × T3, and L6 × T3 exhibited high SCA for number of primary branches, while L6 × T1, L5 × T1, and L4 × T1 were superior for vine length, indicating their utility in modifying growth habits and improving canopy structure for better fruiting. This aligns with the findings of Singh </w:t>
      </w:r>
      <w:r w:rsidR="00C049F3" w:rsidRPr="00C049F3">
        <w:rPr>
          <w:rFonts w:ascii="Arial" w:eastAsia="Times New Roman" w:hAnsi="Arial" w:cs="Arial"/>
          <w:i/>
          <w:sz w:val="20"/>
        </w:rPr>
        <w:t>et al</w:t>
      </w:r>
      <w:r w:rsidRPr="00720E5A">
        <w:rPr>
          <w:rFonts w:ascii="Arial" w:eastAsia="Times New Roman" w:hAnsi="Arial" w:cs="Arial"/>
          <w:i/>
          <w:sz w:val="20"/>
        </w:rPr>
        <w:t>.</w:t>
      </w:r>
      <w:r w:rsidR="00654100">
        <w:rPr>
          <w:rFonts w:ascii="Arial" w:eastAsia="Times New Roman" w:hAnsi="Arial" w:cs="Arial"/>
          <w:sz w:val="20"/>
        </w:rPr>
        <w:t xml:space="preserve"> [23]</w:t>
      </w:r>
      <w:r w:rsidR="00327078">
        <w:rPr>
          <w:rFonts w:ascii="Arial" w:eastAsia="Times New Roman" w:hAnsi="Arial" w:cs="Arial"/>
          <w:sz w:val="20"/>
        </w:rPr>
        <w:t>,</w:t>
      </w:r>
      <w:r w:rsidR="00654100">
        <w:rPr>
          <w:rFonts w:ascii="Arial" w:eastAsia="Times New Roman" w:hAnsi="Arial" w:cs="Arial"/>
          <w:sz w:val="20"/>
        </w:rPr>
        <w:t xml:space="preserve"> </w:t>
      </w:r>
      <w:r w:rsidRPr="00720E5A">
        <w:rPr>
          <w:rFonts w:ascii="Arial" w:eastAsia="Times New Roman" w:hAnsi="Arial" w:cs="Arial"/>
          <w:color w:val="000000"/>
          <w:sz w:val="20"/>
        </w:rPr>
        <w:t>Naik</w:t>
      </w:r>
      <w:r w:rsidRPr="00720E5A">
        <w:rPr>
          <w:rFonts w:ascii="Arial" w:eastAsia="Times New Roman" w:hAnsi="Arial" w:cs="Arial"/>
          <w:sz w:val="20"/>
        </w:rPr>
        <w:t xml:space="preserve"> </w:t>
      </w:r>
      <w:r w:rsidR="00C049F3" w:rsidRPr="00C049F3">
        <w:rPr>
          <w:rFonts w:ascii="Arial" w:eastAsia="Times New Roman" w:hAnsi="Arial" w:cs="Arial"/>
          <w:i/>
          <w:sz w:val="20"/>
        </w:rPr>
        <w:t>et al</w:t>
      </w:r>
      <w:r w:rsidRPr="00720E5A">
        <w:rPr>
          <w:rFonts w:ascii="Arial" w:eastAsia="Times New Roman" w:hAnsi="Arial" w:cs="Arial"/>
          <w:i/>
          <w:sz w:val="20"/>
        </w:rPr>
        <w:t>.</w:t>
      </w:r>
      <w:r w:rsidR="00654100">
        <w:rPr>
          <w:rFonts w:ascii="Arial" w:eastAsia="Times New Roman" w:hAnsi="Arial" w:cs="Arial"/>
          <w:i/>
          <w:sz w:val="20"/>
        </w:rPr>
        <w:t xml:space="preserve"> </w:t>
      </w:r>
      <w:r w:rsidR="00654100">
        <w:rPr>
          <w:rFonts w:ascii="Arial" w:eastAsia="Times New Roman" w:hAnsi="Arial" w:cs="Arial"/>
          <w:sz w:val="20"/>
        </w:rPr>
        <w:t>[17]</w:t>
      </w:r>
      <w:r w:rsidR="00327078">
        <w:rPr>
          <w:rFonts w:ascii="Arial" w:eastAsia="Times New Roman" w:hAnsi="Arial" w:cs="Arial"/>
          <w:sz w:val="20"/>
        </w:rPr>
        <w:t>,</w:t>
      </w:r>
      <w:r w:rsidR="00654100">
        <w:rPr>
          <w:rFonts w:ascii="Arial" w:eastAsia="Times New Roman" w:hAnsi="Arial" w:cs="Arial"/>
          <w:sz w:val="20"/>
        </w:rPr>
        <w:t xml:space="preserve"> Singh [24]</w:t>
      </w:r>
      <w:r w:rsidR="00327078">
        <w:rPr>
          <w:rFonts w:ascii="Arial" w:eastAsia="Times New Roman" w:hAnsi="Arial" w:cs="Arial"/>
          <w:sz w:val="20"/>
        </w:rPr>
        <w:t>,</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551250">
        <w:rPr>
          <w:rFonts w:ascii="Arial" w:eastAsia="Times New Roman" w:hAnsi="Arial" w:cs="Arial"/>
          <w:i/>
          <w:sz w:val="20"/>
        </w:rPr>
        <w:t xml:space="preserve"> </w:t>
      </w:r>
      <w:r w:rsidR="00551250">
        <w:rPr>
          <w:rFonts w:ascii="Arial" w:eastAsia="Times New Roman" w:hAnsi="Arial" w:cs="Arial"/>
          <w:sz w:val="20"/>
        </w:rPr>
        <w:t>[16]</w:t>
      </w:r>
      <w:r w:rsidRPr="00720E5A">
        <w:rPr>
          <w:rFonts w:ascii="Arial" w:eastAsia="Times New Roman" w:hAnsi="Arial" w:cs="Arial"/>
          <w:sz w:val="20"/>
        </w:rPr>
        <w:t>.</w:t>
      </w:r>
    </w:p>
    <w:p w:rsidR="00044CDB" w:rsidRPr="00720E5A" w:rsidRDefault="00044CDB" w:rsidP="007131B1">
      <w:pPr>
        <w:spacing w:after="200" w:line="240" w:lineRule="auto"/>
        <w:jc w:val="both"/>
        <w:rPr>
          <w:rFonts w:ascii="Arial" w:eastAsia="Times New Roman" w:hAnsi="Arial" w:cs="Arial"/>
          <w:sz w:val="20"/>
        </w:rPr>
      </w:pPr>
      <w:r w:rsidRPr="00720E5A">
        <w:rPr>
          <w:rFonts w:ascii="Arial" w:eastAsia="Times New Roman" w:hAnsi="Arial" w:cs="Arial"/>
          <w:sz w:val="20"/>
        </w:rPr>
        <w:t xml:space="preserve">The biochemical profile of hybrids reflected marked transgressive performance, particularly in L5 × T2, which displayed the highest SCA for both peroxidase (PER) and phenylalanine ammonia lyase (PAL). Similarly, L3 × T3 was superior for polyphenol oxidase (PPO) and </w:t>
      </w:r>
      <w:r w:rsidR="00327078">
        <w:rPr>
          <w:rFonts w:ascii="Arial" w:eastAsia="Times New Roman" w:hAnsi="Arial" w:cs="Arial"/>
          <w:sz w:val="20"/>
        </w:rPr>
        <w:t>phenyl ammonia lyase (</w:t>
      </w:r>
      <w:r w:rsidRPr="00720E5A">
        <w:rPr>
          <w:rFonts w:ascii="Arial" w:eastAsia="Times New Roman" w:hAnsi="Arial" w:cs="Arial"/>
          <w:sz w:val="20"/>
        </w:rPr>
        <w:t>PAL</w:t>
      </w:r>
      <w:r w:rsidR="00327078">
        <w:rPr>
          <w:rFonts w:ascii="Arial" w:eastAsia="Times New Roman" w:hAnsi="Arial" w:cs="Arial"/>
          <w:sz w:val="20"/>
        </w:rPr>
        <w:t>)</w:t>
      </w:r>
      <w:r w:rsidRPr="00720E5A">
        <w:rPr>
          <w:rFonts w:ascii="Arial" w:eastAsia="Times New Roman" w:hAnsi="Arial" w:cs="Arial"/>
          <w:sz w:val="20"/>
        </w:rPr>
        <w:t>. These hybrids surpassed their parental means by up to 85%, confirming the expression of favorable non-additive gene combinations and their potential for enhancing resistance-related enzymatic activity. In contrast, crosses like L2 × T3 and L1 × T3 consistently recorded negative SCA across all three biochemical markers, indicating potential genetic incompatibilities or unfavorable epistatic interactions</w:t>
      </w:r>
      <w:r w:rsidR="009D1458">
        <w:rPr>
          <w:rFonts w:ascii="Arial" w:eastAsia="Times New Roman" w:hAnsi="Arial" w:cs="Arial"/>
          <w:sz w:val="20"/>
        </w:rPr>
        <w:t xml:space="preserve"> (Table 4)</w:t>
      </w:r>
      <w:r w:rsidRPr="00720E5A">
        <w:rPr>
          <w:rFonts w:ascii="Arial" w:eastAsia="Times New Roman" w:hAnsi="Arial" w:cs="Arial"/>
          <w:sz w:val="20"/>
        </w:rPr>
        <w:t>. Such combinations may be less desirable for breeding programs targeting disease resilience or stress adaptation.</w:t>
      </w:r>
    </w:p>
    <w:p w:rsidR="00656D32" w:rsidRPr="00720E5A" w:rsidRDefault="00656D32" w:rsidP="007131B1">
      <w:pPr>
        <w:spacing w:before="240" w:after="0" w:line="240" w:lineRule="auto"/>
        <w:jc w:val="both"/>
        <w:rPr>
          <w:rFonts w:ascii="Arial" w:eastAsia="Times New Roman" w:hAnsi="Arial" w:cs="Arial"/>
          <w:sz w:val="20"/>
        </w:rPr>
      </w:pPr>
      <w:r w:rsidRPr="00720E5A">
        <w:rPr>
          <w:rFonts w:ascii="Arial" w:eastAsia="Times New Roman" w:hAnsi="Arial" w:cs="Arial"/>
          <w:sz w:val="20"/>
        </w:rPr>
        <w:t>In summary, this study identified several high-performing hybrid combinations based on both general and specific combining ability. Lines L1 and L2 stood out for their GCA across vegetative and reproductive traits, while T3 emerged as the most influential tester for both yield and biochemical enhancement. Hybrids such as L5 × T2, L3 × T3, L6 × T1, and L5 × T3 demonstrated superior SCA effects across key traits, making them ideal candidates for the development of elite high-yielding, early-maturing, and biochemically fortified bitter gourd hybrids. Comparable results have been documented by Singh</w:t>
      </w:r>
      <w:r w:rsidR="00F20724">
        <w:rPr>
          <w:rFonts w:ascii="Arial" w:eastAsia="Times New Roman" w:hAnsi="Arial" w:cs="Arial"/>
          <w:sz w:val="20"/>
        </w:rPr>
        <w:t xml:space="preserve"> [25]</w:t>
      </w:r>
      <w:r w:rsidRPr="00720E5A">
        <w:rPr>
          <w:rFonts w:ascii="Arial" w:eastAsia="Times New Roman" w:hAnsi="Arial" w:cs="Arial"/>
          <w:sz w:val="20"/>
        </w:rPr>
        <w:t>, Singh</w:t>
      </w:r>
      <w:r w:rsidR="00F20724">
        <w:rPr>
          <w:rFonts w:ascii="Arial" w:eastAsia="Times New Roman" w:hAnsi="Arial" w:cs="Arial"/>
          <w:sz w:val="20"/>
        </w:rPr>
        <w:t xml:space="preserve"> [24]</w:t>
      </w:r>
      <w:r w:rsidRPr="00720E5A">
        <w:rPr>
          <w:rFonts w:ascii="Arial" w:eastAsia="Times New Roman" w:hAnsi="Arial" w:cs="Arial"/>
          <w:sz w:val="20"/>
        </w:rPr>
        <w:t xml:space="preserve"> and Mishra </w:t>
      </w:r>
      <w:r w:rsidR="00C049F3" w:rsidRPr="00C049F3">
        <w:rPr>
          <w:rFonts w:ascii="Arial" w:eastAsia="Times New Roman" w:hAnsi="Arial" w:cs="Arial"/>
          <w:i/>
          <w:sz w:val="20"/>
        </w:rPr>
        <w:t>et al</w:t>
      </w:r>
      <w:r w:rsidRPr="00720E5A">
        <w:rPr>
          <w:rFonts w:ascii="Arial" w:eastAsia="Times New Roman" w:hAnsi="Arial" w:cs="Arial"/>
          <w:i/>
          <w:sz w:val="20"/>
        </w:rPr>
        <w:t>.</w:t>
      </w:r>
      <w:r w:rsidR="00F20724">
        <w:rPr>
          <w:rFonts w:ascii="Arial" w:eastAsia="Times New Roman" w:hAnsi="Arial" w:cs="Arial"/>
          <w:i/>
          <w:sz w:val="20"/>
        </w:rPr>
        <w:t xml:space="preserve"> </w:t>
      </w:r>
      <w:r w:rsidR="00F20724">
        <w:rPr>
          <w:rFonts w:ascii="Arial" w:eastAsia="Times New Roman" w:hAnsi="Arial" w:cs="Arial"/>
          <w:sz w:val="20"/>
        </w:rPr>
        <w:t>[16]</w:t>
      </w:r>
      <w:r w:rsidRPr="00720E5A">
        <w:rPr>
          <w:rFonts w:ascii="Arial" w:eastAsia="Times New Roman" w:hAnsi="Arial" w:cs="Arial"/>
          <w:sz w:val="20"/>
        </w:rPr>
        <w:t>.</w:t>
      </w:r>
    </w:p>
    <w:p w:rsidR="0095007F" w:rsidRPr="00720E5A" w:rsidRDefault="0095007F" w:rsidP="007131B1">
      <w:pPr>
        <w:spacing w:before="240" w:after="0" w:line="240" w:lineRule="auto"/>
        <w:jc w:val="both"/>
        <w:rPr>
          <w:rFonts w:ascii="Arial" w:eastAsia="Times New Roman" w:hAnsi="Arial" w:cs="Arial"/>
          <w:sz w:val="20"/>
        </w:rPr>
        <w:sectPr w:rsidR="0095007F" w:rsidRPr="00720E5A" w:rsidSect="0095007F">
          <w:headerReference w:type="even" r:id="rId17"/>
          <w:headerReference w:type="default" r:id="rId18"/>
          <w:footerReference w:type="default" r:id="rId19"/>
          <w:headerReference w:type="first" r:id="rId20"/>
          <w:type w:val="continuous"/>
          <w:pgSz w:w="12240" w:h="15840"/>
          <w:pgMar w:top="1440" w:right="1440" w:bottom="1440" w:left="1440" w:header="720" w:footer="720" w:gutter="0"/>
          <w:cols w:num="2" w:space="720"/>
          <w:docGrid w:linePitch="360"/>
        </w:sectPr>
      </w:pPr>
    </w:p>
    <w:p w:rsidR="00327078" w:rsidRDefault="00327078" w:rsidP="007131B1">
      <w:pPr>
        <w:spacing w:before="240" w:line="240" w:lineRule="auto"/>
        <w:jc w:val="center"/>
        <w:rPr>
          <w:rFonts w:ascii="Arial" w:eastAsia="Times New Roman" w:hAnsi="Arial" w:cs="Arial"/>
          <w:sz w:val="20"/>
          <w:szCs w:val="20"/>
        </w:rPr>
      </w:pPr>
    </w:p>
    <w:p w:rsidR="00656D32" w:rsidRPr="00720E5A" w:rsidRDefault="00044CDB" w:rsidP="007131B1">
      <w:pPr>
        <w:spacing w:before="240" w:line="240" w:lineRule="auto"/>
        <w:jc w:val="center"/>
        <w:rPr>
          <w:rFonts w:ascii="Arial" w:eastAsia="Times New Roman" w:hAnsi="Arial" w:cs="Arial"/>
          <w:color w:val="FF0000"/>
          <w:sz w:val="20"/>
          <w:szCs w:val="20"/>
        </w:rPr>
      </w:pPr>
      <w:r>
        <w:rPr>
          <w:rFonts w:ascii="Arial" w:eastAsia="Times New Roman" w:hAnsi="Arial" w:cs="Arial"/>
          <w:sz w:val="20"/>
          <w:szCs w:val="20"/>
        </w:rPr>
        <w:lastRenderedPageBreak/>
        <w:t>Table 2</w:t>
      </w:r>
      <w:r w:rsidR="00656D32" w:rsidRPr="00720E5A">
        <w:rPr>
          <w:rFonts w:ascii="Arial" w:eastAsia="Times New Roman" w:hAnsi="Arial" w:cs="Arial"/>
          <w:sz w:val="20"/>
          <w:szCs w:val="20"/>
        </w:rPr>
        <w:t xml:space="preserve">: </w:t>
      </w:r>
      <w:r w:rsidR="00656D32" w:rsidRPr="00720E5A">
        <w:rPr>
          <w:rFonts w:ascii="Arial" w:hAnsi="Arial" w:cs="Arial"/>
          <w:sz w:val="20"/>
          <w:szCs w:val="20"/>
        </w:rPr>
        <w:t>Estimate of general combining ability effect of biometric observations of parents</w:t>
      </w:r>
    </w:p>
    <w:tbl>
      <w:tblPr>
        <w:tblStyle w:val="TableGrid"/>
        <w:tblW w:w="516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926"/>
        <w:gridCol w:w="926"/>
        <w:gridCol w:w="926"/>
        <w:gridCol w:w="926"/>
        <w:gridCol w:w="1054"/>
        <w:gridCol w:w="926"/>
        <w:gridCol w:w="926"/>
        <w:gridCol w:w="922"/>
      </w:tblGrid>
      <w:tr w:rsidR="00656D32" w:rsidRPr="00860E7A" w:rsidTr="00860E7A">
        <w:trPr>
          <w:trHeight w:val="650"/>
        </w:trPr>
        <w:tc>
          <w:tcPr>
            <w:tcW w:w="1104" w:type="pct"/>
            <w:tcBorders>
              <w:top w:val="single" w:sz="4" w:space="0" w:color="auto"/>
              <w:bottom w:val="single" w:sz="4" w:space="0" w:color="auto"/>
              <w:right w:val="nil"/>
            </w:tcBorders>
            <w:noWrap/>
            <w:vAlign w:val="center"/>
            <w:hideMark/>
          </w:tcPr>
          <w:p w:rsidR="00656D32" w:rsidRPr="00860E7A" w:rsidRDefault="00656D32" w:rsidP="00860E7A">
            <w:pPr>
              <w:rPr>
                <w:rFonts w:ascii="Arial" w:eastAsia="Times New Roman" w:hAnsi="Arial" w:cs="Arial"/>
                <w:b/>
                <w:sz w:val="20"/>
                <w:szCs w:val="20"/>
              </w:rPr>
            </w:pPr>
            <w:r w:rsidRPr="00860E7A">
              <w:rPr>
                <w:rFonts w:ascii="Arial" w:eastAsia="Times New Roman" w:hAnsi="Arial" w:cs="Arial"/>
                <w:b/>
                <w:sz w:val="20"/>
                <w:szCs w:val="20"/>
              </w:rPr>
              <w:t>Treatments</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DFFF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NFFF</w:t>
            </w:r>
          </w:p>
        </w:tc>
        <w:tc>
          <w:tcPr>
            <w:tcW w:w="545"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NMF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NFF</w:t>
            </w:r>
          </w:p>
        </w:tc>
        <w:tc>
          <w:tcPr>
            <w:tcW w:w="479" w:type="pct"/>
            <w:tcBorders>
              <w:top w:val="single" w:sz="4" w:space="0" w:color="auto"/>
              <w:left w:val="nil"/>
              <w:bottom w:val="single" w:sz="4" w:space="0" w:color="auto"/>
              <w:right w:val="nil"/>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DFH</w:t>
            </w:r>
          </w:p>
        </w:tc>
        <w:tc>
          <w:tcPr>
            <w:tcW w:w="479" w:type="pct"/>
            <w:tcBorders>
              <w:top w:val="single" w:sz="4" w:space="0" w:color="auto"/>
              <w:left w:val="nil"/>
              <w:bottom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NH</w:t>
            </w:r>
          </w:p>
        </w:tc>
      </w:tr>
      <w:tr w:rsidR="00656D32" w:rsidRPr="00720E5A" w:rsidTr="00860E7A">
        <w:trPr>
          <w:trHeight w:val="650"/>
        </w:trPr>
        <w:tc>
          <w:tcPr>
            <w:tcW w:w="1104" w:type="pct"/>
            <w:tcBorders>
              <w:top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3.17**</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3.81**</w:t>
            </w:r>
          </w:p>
        </w:tc>
        <w:tc>
          <w:tcPr>
            <w:tcW w:w="545"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45.78**</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-0.93</w:t>
            </w:r>
          </w:p>
        </w:tc>
        <w:tc>
          <w:tcPr>
            <w:tcW w:w="479" w:type="pct"/>
            <w:tcBorders>
              <w:top w:val="single" w:sz="4" w:space="0" w:color="auto"/>
            </w:tcBorders>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7.31**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5.43**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1.26**</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-9.89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-6.13**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-1.19**</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-8.56*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4.87**</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0.59</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9.44**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-2.52**</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-1.96</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-24.00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1.07</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(Lines) (1%)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1.69</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1.82</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16.41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1.53</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0.99</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1.26**</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37.89**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T2</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0.04*</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49.94**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1.56**</w:t>
            </w:r>
          </w:p>
        </w:tc>
      </w:tr>
      <w:tr w:rsidR="00656D32" w:rsidRPr="00720E5A" w:rsidTr="00860E7A">
        <w:trPr>
          <w:trHeight w:val="650"/>
        </w:trPr>
        <w:tc>
          <w:tcPr>
            <w:tcW w:w="1104"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1.59**</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2.26**</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-1.44**</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-1.30**</w:t>
            </w:r>
          </w:p>
        </w:tc>
        <w:tc>
          <w:tcPr>
            <w:tcW w:w="545"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-87.83**</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1.80**</w:t>
            </w:r>
          </w:p>
        </w:tc>
        <w:tc>
          <w:tcPr>
            <w:tcW w:w="479" w:type="pct"/>
            <w:noWrap/>
            <w:vAlign w:val="center"/>
            <w:hideMark/>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-2.50**</w:t>
            </w:r>
          </w:p>
        </w:tc>
      </w:tr>
      <w:tr w:rsidR="00656D32" w:rsidRPr="00720E5A" w:rsidTr="00860E7A">
        <w:trPr>
          <w:trHeight w:val="650"/>
        </w:trPr>
        <w:tc>
          <w:tcPr>
            <w:tcW w:w="1104"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(Testers) (1%)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1.03</w:t>
            </w:r>
          </w:p>
        </w:tc>
        <w:tc>
          <w:tcPr>
            <w:tcW w:w="545"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11.60</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0.91</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1.08</w:t>
            </w:r>
          </w:p>
        </w:tc>
        <w:tc>
          <w:tcPr>
            <w:tcW w:w="479" w:type="pct"/>
            <w:noWrap/>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0.70</w:t>
            </w:r>
          </w:p>
        </w:tc>
      </w:tr>
    </w:tbl>
    <w:p w:rsidR="00656D32" w:rsidRPr="00720E5A" w:rsidRDefault="00656D32" w:rsidP="008B7831">
      <w:pPr>
        <w:spacing w:before="240" w:after="240" w:line="240" w:lineRule="auto"/>
        <w:jc w:val="both"/>
        <w:rPr>
          <w:rFonts w:ascii="Arial" w:eastAsia="Times New Roman" w:hAnsi="Arial" w:cs="Arial"/>
          <w:sz w:val="18"/>
          <w:szCs w:val="20"/>
        </w:rPr>
      </w:pPr>
      <w:r w:rsidRPr="00720E5A">
        <w:rPr>
          <w:rFonts w:ascii="Arial" w:eastAsia="Times New Roman" w:hAnsi="Arial" w:cs="Arial"/>
          <w:sz w:val="18"/>
          <w:szCs w:val="20"/>
        </w:rPr>
        <w:t>** Significant at 1% level of significance *Significant at 5 % level of significance</w:t>
      </w:r>
    </w:p>
    <w:p w:rsidR="00656D32" w:rsidRPr="00720E5A" w:rsidRDefault="00656D32" w:rsidP="00044CDB">
      <w:pPr>
        <w:spacing w:before="240" w:after="240" w:line="240" w:lineRule="auto"/>
        <w:jc w:val="center"/>
        <w:rPr>
          <w:rFonts w:ascii="Arial" w:eastAsia="Times New Roman" w:hAnsi="Arial" w:cs="Arial"/>
          <w:b/>
          <w:sz w:val="20"/>
          <w:szCs w:val="20"/>
        </w:rPr>
      </w:pPr>
      <w:r w:rsidRPr="00720E5A">
        <w:rPr>
          <w:rFonts w:ascii="Arial" w:eastAsia="Times New Roman" w:hAnsi="Arial" w:cs="Arial"/>
          <w:sz w:val="20"/>
          <w:szCs w:val="20"/>
        </w:rPr>
        <w:t xml:space="preserve">Table </w:t>
      </w:r>
      <w:r w:rsidR="009D1458">
        <w:rPr>
          <w:rFonts w:ascii="Arial" w:eastAsia="Times New Roman" w:hAnsi="Arial" w:cs="Arial"/>
          <w:sz w:val="20"/>
          <w:szCs w:val="20"/>
        </w:rPr>
        <w:t>2</w:t>
      </w:r>
      <w:r w:rsidRPr="00720E5A">
        <w:rPr>
          <w:rFonts w:ascii="Arial" w:eastAsia="Times New Roman" w:hAnsi="Arial" w:cs="Arial"/>
          <w:sz w:val="20"/>
          <w:szCs w:val="20"/>
        </w:rPr>
        <w:t xml:space="preserve">: </w:t>
      </w:r>
      <w:r w:rsidRPr="00720E5A">
        <w:rPr>
          <w:rFonts w:ascii="Arial" w:hAnsi="Arial" w:cs="Arial"/>
          <w:sz w:val="20"/>
          <w:szCs w:val="20"/>
        </w:rPr>
        <w:t>Estimate of general combining ability effect of biometric observations of parents</w:t>
      </w:r>
      <w:r w:rsidR="009D1458">
        <w:rPr>
          <w:rFonts w:ascii="Arial" w:hAnsi="Arial" w:cs="Arial"/>
          <w:sz w:val="20"/>
          <w:szCs w:val="20"/>
        </w:rPr>
        <w:t xml:space="preserve"> (cont.)</w:t>
      </w:r>
    </w:p>
    <w:tbl>
      <w:tblPr>
        <w:tblStyle w:val="TableGrid"/>
        <w:tblW w:w="5000" w:type="pct"/>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396"/>
        <w:gridCol w:w="938"/>
        <w:gridCol w:w="938"/>
        <w:gridCol w:w="1031"/>
        <w:gridCol w:w="1030"/>
        <w:gridCol w:w="938"/>
        <w:gridCol w:w="938"/>
        <w:gridCol w:w="938"/>
        <w:gridCol w:w="1213"/>
      </w:tblGrid>
      <w:tr w:rsidR="00914DFD" w:rsidRPr="00860E7A" w:rsidTr="00860E7A">
        <w:trPr>
          <w:trHeight w:val="667"/>
        </w:trPr>
        <w:tc>
          <w:tcPr>
            <w:tcW w:w="745" w:type="pct"/>
            <w:tcBorders>
              <w:top w:val="single" w:sz="4" w:space="0" w:color="auto"/>
              <w:bottom w:val="single" w:sz="4" w:space="0" w:color="auto"/>
            </w:tcBorders>
            <w:noWrap/>
            <w:vAlign w:val="center"/>
            <w:hideMark/>
          </w:tcPr>
          <w:p w:rsidR="00656D32" w:rsidRPr="00860E7A" w:rsidRDefault="00656D32" w:rsidP="00860E7A">
            <w:pPr>
              <w:rPr>
                <w:rFonts w:ascii="Arial" w:eastAsia="Times New Roman" w:hAnsi="Arial" w:cs="Arial"/>
                <w:b/>
                <w:sz w:val="20"/>
                <w:szCs w:val="20"/>
              </w:rPr>
            </w:pPr>
            <w:r w:rsidRPr="00860E7A">
              <w:rPr>
                <w:rFonts w:ascii="Arial" w:eastAsia="Times New Roman" w:hAnsi="Arial" w:cs="Arial"/>
                <w:b/>
                <w:sz w:val="20"/>
                <w:szCs w:val="20"/>
              </w:rPr>
              <w:t>Treatments</w:t>
            </w:r>
          </w:p>
        </w:tc>
        <w:tc>
          <w:tcPr>
            <w:tcW w:w="501" w:type="pct"/>
            <w:tcBorders>
              <w:top w:val="single" w:sz="4" w:space="0" w:color="auto"/>
              <w:bottom w:val="single" w:sz="4" w:space="0" w:color="auto"/>
            </w:tcBorders>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FL</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FG</w:t>
            </w:r>
          </w:p>
        </w:tc>
        <w:tc>
          <w:tcPr>
            <w:tcW w:w="55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IFW</w:t>
            </w:r>
          </w:p>
        </w:tc>
        <w:tc>
          <w:tcPr>
            <w:tcW w:w="550"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VL</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NPB</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NFV</w:t>
            </w:r>
          </w:p>
        </w:tc>
        <w:tc>
          <w:tcPr>
            <w:tcW w:w="501" w:type="pct"/>
            <w:tcBorders>
              <w:top w:val="single" w:sz="4" w:space="0" w:color="auto"/>
              <w:bottom w:val="single" w:sz="4" w:space="0" w:color="auto"/>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NSV</w:t>
            </w:r>
          </w:p>
        </w:tc>
        <w:tc>
          <w:tcPr>
            <w:tcW w:w="648" w:type="pct"/>
            <w:tcBorders>
              <w:top w:val="single" w:sz="4" w:space="0" w:color="auto"/>
              <w:bottom w:val="single" w:sz="4" w:space="0" w:color="auto"/>
              <w:right w:val="nil"/>
            </w:tcBorders>
            <w:noWrap/>
            <w:vAlign w:val="center"/>
            <w:hideMark/>
          </w:tcPr>
          <w:p w:rsidR="00656D32" w:rsidRPr="00860E7A" w:rsidRDefault="00656D32" w:rsidP="00860E7A">
            <w:pPr>
              <w:rPr>
                <w:rFonts w:ascii="Arial" w:hAnsi="Arial" w:cs="Arial"/>
                <w:b/>
                <w:color w:val="000000"/>
                <w:sz w:val="20"/>
                <w:szCs w:val="20"/>
              </w:rPr>
            </w:pPr>
            <w:r w:rsidRPr="00860E7A">
              <w:rPr>
                <w:rFonts w:ascii="Arial" w:hAnsi="Arial" w:cs="Arial"/>
                <w:b/>
                <w:color w:val="000000"/>
                <w:sz w:val="20"/>
                <w:szCs w:val="20"/>
              </w:rPr>
              <w:t>YFV</w:t>
            </w:r>
          </w:p>
        </w:tc>
      </w:tr>
      <w:tr w:rsidR="00914DFD" w:rsidRPr="00720E5A" w:rsidTr="00860E7A">
        <w:trPr>
          <w:trHeight w:val="667"/>
        </w:trPr>
        <w:tc>
          <w:tcPr>
            <w:tcW w:w="745" w:type="pct"/>
            <w:tcBorders>
              <w:top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w:t>
            </w:r>
          </w:p>
        </w:tc>
        <w:tc>
          <w:tcPr>
            <w:tcW w:w="501" w:type="pct"/>
            <w:tcBorders>
              <w:top w:val="single" w:sz="4" w:space="0" w:color="auto"/>
            </w:tcBorders>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1.32</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1.48</w:t>
            </w:r>
          </w:p>
        </w:tc>
        <w:tc>
          <w:tcPr>
            <w:tcW w:w="55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-6.82</w:t>
            </w:r>
          </w:p>
        </w:tc>
        <w:tc>
          <w:tcPr>
            <w:tcW w:w="550"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12.21*</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4.81*</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2.63*</w:t>
            </w:r>
          </w:p>
        </w:tc>
        <w:tc>
          <w:tcPr>
            <w:tcW w:w="501" w:type="pct"/>
            <w:tcBorders>
              <w:top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-0.85</w:t>
            </w:r>
          </w:p>
        </w:tc>
        <w:tc>
          <w:tcPr>
            <w:tcW w:w="648" w:type="pct"/>
            <w:tcBorders>
              <w:top w:val="single" w:sz="4" w:space="0" w:color="auto"/>
              <w:bottom w:val="nil"/>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157.41*</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-0.24</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5.30</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11.59*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1.70*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1.30*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2.93*</w:t>
            </w:r>
          </w:p>
        </w:tc>
        <w:tc>
          <w:tcPr>
            <w:tcW w:w="648" w:type="pct"/>
            <w:tcBorders>
              <w:top w:val="nil"/>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107.22*</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0.53*</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-12.20*</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2.03*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-0.52*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0.19*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-0.41*</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-140.44*</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-0.44</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7.82</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-6.22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0.04</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-44.03</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lastRenderedPageBreak/>
              <w:t>L5</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-0.70</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10.99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-15.54</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-3.96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-2.59</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-0.07</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151.80</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-0.95**</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-0.62**</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-5.09**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-4.08**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-2.52**</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-1.63**</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-231.96**</w:t>
            </w:r>
          </w:p>
        </w:tc>
      </w:tr>
      <w:tr w:rsidR="00914DFD" w:rsidRPr="00720E5A" w:rsidTr="00860E7A">
        <w:trPr>
          <w:trHeight w:val="667"/>
        </w:trPr>
        <w:tc>
          <w:tcPr>
            <w:tcW w:w="745" w:type="pct"/>
            <w:noWrap/>
            <w:vAlign w:val="center"/>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(Lines) (5%)</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1.58</w:t>
            </w:r>
          </w:p>
        </w:tc>
        <w:tc>
          <w:tcPr>
            <w:tcW w:w="55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9.91</w:t>
            </w:r>
          </w:p>
        </w:tc>
        <w:tc>
          <w:tcPr>
            <w:tcW w:w="550"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9.59</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0.88</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0.93</w:t>
            </w:r>
          </w:p>
        </w:tc>
        <w:tc>
          <w:tcPr>
            <w:tcW w:w="501" w:type="pct"/>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0.95</w:t>
            </w:r>
          </w:p>
        </w:tc>
        <w:tc>
          <w:tcPr>
            <w:tcW w:w="648" w:type="pct"/>
            <w:tcBorders>
              <w:right w:val="nil"/>
            </w:tcBorders>
            <w:noWrap/>
            <w:vAlign w:val="center"/>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60.59</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T1</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-1.23*</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-0.78</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-34.32*</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-24.18*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0.31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-0.80*</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-865.26*</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T2</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-0.18*</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0.01*</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-9.67**</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3.60*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0.15**</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0.80*</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-0.41*</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-8.11**</w:t>
            </w:r>
          </w:p>
        </w:tc>
      </w:tr>
      <w:tr w:rsidR="00914DFD" w:rsidRPr="00720E5A" w:rsidTr="00860E7A">
        <w:trPr>
          <w:trHeight w:val="667"/>
        </w:trPr>
        <w:tc>
          <w:tcPr>
            <w:tcW w:w="745" w:type="pct"/>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T3</w:t>
            </w:r>
          </w:p>
        </w:tc>
        <w:tc>
          <w:tcPr>
            <w:tcW w:w="501" w:type="pct"/>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1.41**</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0.77</w:t>
            </w:r>
          </w:p>
        </w:tc>
        <w:tc>
          <w:tcPr>
            <w:tcW w:w="55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43.99**</w:t>
            </w:r>
          </w:p>
        </w:tc>
        <w:tc>
          <w:tcPr>
            <w:tcW w:w="550"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20.57**</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-0.46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-1.26**</w:t>
            </w:r>
          </w:p>
        </w:tc>
        <w:tc>
          <w:tcPr>
            <w:tcW w:w="501" w:type="pct"/>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1.20**</w:t>
            </w:r>
          </w:p>
        </w:tc>
        <w:tc>
          <w:tcPr>
            <w:tcW w:w="648" w:type="pct"/>
            <w:tcBorders>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873.36**</w:t>
            </w:r>
          </w:p>
        </w:tc>
      </w:tr>
      <w:tr w:rsidR="00914DFD" w:rsidRPr="00720E5A" w:rsidTr="00860E7A">
        <w:trPr>
          <w:trHeight w:val="667"/>
        </w:trPr>
        <w:tc>
          <w:tcPr>
            <w:tcW w:w="745" w:type="pct"/>
            <w:tcBorders>
              <w:bottom w:val="single" w:sz="4" w:space="0" w:color="auto"/>
            </w:tcBorders>
            <w:noWrap/>
            <w:vAlign w:val="center"/>
            <w:hideMark/>
          </w:tcPr>
          <w:p w:rsidR="00656D32" w:rsidRPr="00860E7A" w:rsidRDefault="00656D32"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CD (Testers) (5%)</w:t>
            </w:r>
          </w:p>
        </w:tc>
        <w:tc>
          <w:tcPr>
            <w:tcW w:w="501" w:type="pct"/>
            <w:tcBorders>
              <w:bottom w:val="single" w:sz="4" w:space="0" w:color="auto"/>
            </w:tcBorders>
            <w:vAlign w:val="center"/>
          </w:tcPr>
          <w:p w:rsidR="00656D32" w:rsidRPr="00720E5A" w:rsidRDefault="00656D32"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1.03</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1.12</w:t>
            </w:r>
          </w:p>
        </w:tc>
        <w:tc>
          <w:tcPr>
            <w:tcW w:w="55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7.00</w:t>
            </w:r>
          </w:p>
        </w:tc>
        <w:tc>
          <w:tcPr>
            <w:tcW w:w="550"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6.78</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0.62</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0.66</w:t>
            </w:r>
          </w:p>
        </w:tc>
        <w:tc>
          <w:tcPr>
            <w:tcW w:w="501" w:type="pct"/>
            <w:tcBorders>
              <w:bottom w:val="single" w:sz="4" w:space="0" w:color="auto"/>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0.67</w:t>
            </w:r>
          </w:p>
        </w:tc>
        <w:tc>
          <w:tcPr>
            <w:tcW w:w="648" w:type="pct"/>
            <w:tcBorders>
              <w:bottom w:val="single" w:sz="4" w:space="0" w:color="auto"/>
              <w:right w:val="nil"/>
            </w:tcBorders>
            <w:noWrap/>
            <w:vAlign w:val="center"/>
            <w:hideMark/>
          </w:tcPr>
          <w:p w:rsidR="00656D32" w:rsidRPr="00720E5A" w:rsidRDefault="00656D32" w:rsidP="00860E7A">
            <w:pPr>
              <w:rPr>
                <w:rFonts w:ascii="Arial" w:hAnsi="Arial" w:cs="Arial"/>
                <w:color w:val="000000"/>
                <w:sz w:val="20"/>
                <w:szCs w:val="20"/>
              </w:rPr>
            </w:pPr>
            <w:r w:rsidRPr="00720E5A">
              <w:rPr>
                <w:rFonts w:ascii="Arial" w:hAnsi="Arial" w:cs="Arial"/>
                <w:color w:val="000000"/>
                <w:sz w:val="20"/>
                <w:szCs w:val="20"/>
              </w:rPr>
              <w:t>42.84</w:t>
            </w:r>
          </w:p>
        </w:tc>
      </w:tr>
    </w:tbl>
    <w:p w:rsidR="00656D32" w:rsidRPr="00720E5A" w:rsidRDefault="00656D32" w:rsidP="008B7831">
      <w:pPr>
        <w:spacing w:before="240" w:after="240" w:line="240" w:lineRule="auto"/>
        <w:jc w:val="both"/>
        <w:rPr>
          <w:rFonts w:ascii="Arial" w:eastAsia="Times New Roman" w:hAnsi="Arial" w:cs="Arial"/>
          <w:sz w:val="20"/>
          <w:szCs w:val="20"/>
        </w:rPr>
      </w:pPr>
      <w:r w:rsidRPr="00720E5A">
        <w:rPr>
          <w:rFonts w:ascii="Arial" w:eastAsia="Times New Roman" w:hAnsi="Arial" w:cs="Arial"/>
          <w:sz w:val="18"/>
          <w:szCs w:val="20"/>
        </w:rPr>
        <w:t>** Significant at 1% level of significance *Significant at 5 % level of significance</w:t>
      </w:r>
    </w:p>
    <w:p w:rsidR="0095007F" w:rsidRPr="00720E5A" w:rsidRDefault="00044CDB" w:rsidP="00044CDB">
      <w:pPr>
        <w:spacing w:line="240" w:lineRule="auto"/>
        <w:jc w:val="center"/>
        <w:rPr>
          <w:rFonts w:ascii="Arial" w:hAnsi="Arial" w:cs="Arial"/>
          <w:sz w:val="20"/>
          <w:szCs w:val="20"/>
        </w:rPr>
      </w:pPr>
      <w:r>
        <w:rPr>
          <w:rFonts w:ascii="Arial" w:hAnsi="Arial" w:cs="Arial"/>
          <w:sz w:val="20"/>
          <w:szCs w:val="20"/>
        </w:rPr>
        <w:t xml:space="preserve">Table </w:t>
      </w:r>
      <w:r w:rsidR="009D1458">
        <w:rPr>
          <w:rFonts w:ascii="Arial" w:hAnsi="Arial" w:cs="Arial"/>
          <w:sz w:val="20"/>
          <w:szCs w:val="20"/>
        </w:rPr>
        <w:t>3</w:t>
      </w:r>
      <w:r w:rsidR="0095007F" w:rsidRPr="00720E5A">
        <w:rPr>
          <w:rFonts w:ascii="Arial" w:hAnsi="Arial" w:cs="Arial"/>
          <w:sz w:val="20"/>
          <w:szCs w:val="20"/>
        </w:rPr>
        <w:t>: Estimate of specific combining ability effect of biometric observations of crosses</w:t>
      </w:r>
    </w:p>
    <w:tbl>
      <w:tblPr>
        <w:tblStyle w:val="TableGrid"/>
        <w:tblW w:w="522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069"/>
        <w:gridCol w:w="979"/>
        <w:gridCol w:w="1069"/>
        <w:gridCol w:w="975"/>
        <w:gridCol w:w="1096"/>
        <w:gridCol w:w="979"/>
        <w:gridCol w:w="979"/>
        <w:gridCol w:w="975"/>
      </w:tblGrid>
      <w:tr w:rsidR="00860E7A" w:rsidRPr="00720E5A" w:rsidTr="00860E7A">
        <w:trPr>
          <w:trHeight w:val="504"/>
        </w:trPr>
        <w:tc>
          <w:tcPr>
            <w:tcW w:w="844" w:type="pct"/>
            <w:tcBorders>
              <w:top w:val="single" w:sz="4" w:space="0" w:color="auto"/>
              <w:bottom w:val="single" w:sz="4" w:space="0" w:color="auto"/>
            </w:tcBorders>
            <w:noWrap/>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Treatments</w:t>
            </w:r>
          </w:p>
        </w:tc>
        <w:tc>
          <w:tcPr>
            <w:tcW w:w="54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DFMF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DFFF</w:t>
            </w:r>
          </w:p>
        </w:tc>
        <w:tc>
          <w:tcPr>
            <w:tcW w:w="54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NFMF</w:t>
            </w:r>
          </w:p>
        </w:tc>
        <w:tc>
          <w:tcPr>
            <w:tcW w:w="499"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NFFF</w:t>
            </w:r>
          </w:p>
        </w:tc>
        <w:tc>
          <w:tcPr>
            <w:tcW w:w="56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NMF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NFF</w:t>
            </w:r>
          </w:p>
        </w:tc>
        <w:tc>
          <w:tcPr>
            <w:tcW w:w="501"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DFH</w:t>
            </w:r>
          </w:p>
        </w:tc>
        <w:tc>
          <w:tcPr>
            <w:tcW w:w="500"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NH</w:t>
            </w:r>
          </w:p>
        </w:tc>
      </w:tr>
      <w:tr w:rsidR="00860E7A" w:rsidRPr="00720E5A" w:rsidTr="00860E7A">
        <w:trPr>
          <w:trHeight w:val="504"/>
        </w:trPr>
        <w:tc>
          <w:tcPr>
            <w:tcW w:w="844" w:type="pct"/>
            <w:tcBorders>
              <w:top w:val="single" w:sz="4" w:space="0" w:color="auto"/>
            </w:tcBorders>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L1xT1</w:t>
            </w:r>
          </w:p>
        </w:tc>
        <w:tc>
          <w:tcPr>
            <w:tcW w:w="54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-5.22**</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-5.23**</w:t>
            </w:r>
          </w:p>
        </w:tc>
        <w:tc>
          <w:tcPr>
            <w:tcW w:w="54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2.88**</w:t>
            </w:r>
          </w:p>
        </w:tc>
        <w:tc>
          <w:tcPr>
            <w:tcW w:w="499"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1.06</w:t>
            </w:r>
          </w:p>
        </w:tc>
        <w:tc>
          <w:tcPr>
            <w:tcW w:w="56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20.5</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0.84</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L1xT3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5.72**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2.73**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-44.11**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-2.44**</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-1.38</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15.72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-30.17**</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L2xT3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-3.94**</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0.66</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5.45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L3xT3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-0.86</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L4xT1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4.06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L4xT2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-0.27</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39.61**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-2.56*</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-1.78**</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L4xT3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-1.18</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2.49**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2.16*</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0.56</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L5xT1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lastRenderedPageBreak/>
              <w:t>L5xT2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-3.55**</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L5xT3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1.33</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-43.06**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-30.28**</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L6xT2</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0.39</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0.77</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27.5*</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0.55</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w:t>
            </w:r>
          </w:p>
        </w:tc>
      </w:tr>
      <w:tr w:rsidR="0095007F"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L6xT3</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54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1.22</w:t>
            </w:r>
          </w:p>
        </w:tc>
        <w:tc>
          <w:tcPr>
            <w:tcW w:w="499"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0.62</w:t>
            </w:r>
          </w:p>
        </w:tc>
        <w:tc>
          <w:tcPr>
            <w:tcW w:w="56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-60.22**</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-0.44</w:t>
            </w:r>
          </w:p>
        </w:tc>
        <w:tc>
          <w:tcPr>
            <w:tcW w:w="501"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-2.89**</w:t>
            </w:r>
          </w:p>
        </w:tc>
        <w:tc>
          <w:tcPr>
            <w:tcW w:w="500"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r>
      <w:tr w:rsidR="00860E7A" w:rsidRPr="00720E5A" w:rsidTr="00860E7A">
        <w:trPr>
          <w:trHeight w:val="504"/>
        </w:trPr>
        <w:tc>
          <w:tcPr>
            <w:tcW w:w="844" w:type="pct"/>
            <w:noWrap/>
            <w:vAlign w:val="center"/>
            <w:hideMark/>
          </w:tcPr>
          <w:p w:rsidR="0095007F" w:rsidRPr="002E5838" w:rsidRDefault="0095007F" w:rsidP="00860E7A">
            <w:pPr>
              <w:rPr>
                <w:rFonts w:ascii="Arial" w:eastAsia="Times New Roman" w:hAnsi="Arial" w:cs="Arial"/>
                <w:color w:val="000000"/>
                <w:sz w:val="20"/>
                <w:szCs w:val="20"/>
              </w:rPr>
            </w:pPr>
            <w:r w:rsidRPr="002E5838">
              <w:rPr>
                <w:rFonts w:ascii="Arial" w:eastAsia="Times New Roman" w:hAnsi="Arial" w:cs="Arial"/>
                <w:color w:val="000000"/>
                <w:sz w:val="20"/>
                <w:szCs w:val="20"/>
              </w:rPr>
              <w:t>CD (1%)</w:t>
            </w:r>
          </w:p>
        </w:tc>
        <w:tc>
          <w:tcPr>
            <w:tcW w:w="54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2.20</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2.36</w:t>
            </w:r>
          </w:p>
        </w:tc>
        <w:tc>
          <w:tcPr>
            <w:tcW w:w="54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1.47</w:t>
            </w:r>
          </w:p>
        </w:tc>
        <w:tc>
          <w:tcPr>
            <w:tcW w:w="499"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1.89</w:t>
            </w:r>
          </w:p>
        </w:tc>
        <w:tc>
          <w:tcPr>
            <w:tcW w:w="56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21.33</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1.66</w:t>
            </w:r>
          </w:p>
        </w:tc>
        <w:tc>
          <w:tcPr>
            <w:tcW w:w="501"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1.99</w:t>
            </w:r>
          </w:p>
        </w:tc>
        <w:tc>
          <w:tcPr>
            <w:tcW w:w="500"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1.28</w:t>
            </w:r>
          </w:p>
        </w:tc>
      </w:tr>
    </w:tbl>
    <w:p w:rsidR="0095007F" w:rsidRPr="00720E5A" w:rsidRDefault="0095007F" w:rsidP="008B7831">
      <w:pPr>
        <w:spacing w:before="240" w:after="240" w:line="240" w:lineRule="auto"/>
        <w:jc w:val="both"/>
        <w:rPr>
          <w:rFonts w:ascii="Arial" w:eastAsia="Times New Roman" w:hAnsi="Arial" w:cs="Arial"/>
          <w:sz w:val="18"/>
          <w:szCs w:val="20"/>
        </w:rPr>
      </w:pPr>
      <w:r w:rsidRPr="00720E5A">
        <w:rPr>
          <w:rFonts w:ascii="Arial" w:eastAsia="Times New Roman" w:hAnsi="Arial" w:cs="Arial"/>
          <w:sz w:val="18"/>
          <w:szCs w:val="20"/>
        </w:rPr>
        <w:t>** Significant at 1% level of significance *Significant at 5 % level of significance</w:t>
      </w:r>
    </w:p>
    <w:p w:rsidR="0095007F" w:rsidRPr="00720E5A" w:rsidRDefault="0095007F" w:rsidP="00044CDB">
      <w:pPr>
        <w:spacing w:line="240" w:lineRule="auto"/>
        <w:jc w:val="center"/>
        <w:rPr>
          <w:rFonts w:ascii="Arial" w:hAnsi="Arial" w:cs="Arial"/>
          <w:sz w:val="20"/>
          <w:szCs w:val="20"/>
        </w:rPr>
      </w:pPr>
      <w:r w:rsidRPr="00720E5A">
        <w:rPr>
          <w:rFonts w:ascii="Arial" w:hAnsi="Arial" w:cs="Arial"/>
          <w:sz w:val="20"/>
          <w:szCs w:val="20"/>
        </w:rPr>
        <w:t xml:space="preserve">Table </w:t>
      </w:r>
      <w:r w:rsidR="009D1458">
        <w:rPr>
          <w:rFonts w:ascii="Arial" w:hAnsi="Arial" w:cs="Arial"/>
          <w:sz w:val="20"/>
          <w:szCs w:val="20"/>
        </w:rPr>
        <w:t>3</w:t>
      </w:r>
      <w:r w:rsidRPr="00720E5A">
        <w:rPr>
          <w:rFonts w:ascii="Arial" w:hAnsi="Arial" w:cs="Arial"/>
          <w:sz w:val="20"/>
          <w:szCs w:val="20"/>
        </w:rPr>
        <w:t>: Estimate of Specific combining ability effect of biometric observations of crosses</w:t>
      </w:r>
      <w:r w:rsidR="009D1458">
        <w:rPr>
          <w:rFonts w:ascii="Arial" w:hAnsi="Arial" w:cs="Arial"/>
          <w:sz w:val="20"/>
          <w:szCs w:val="20"/>
        </w:rPr>
        <w:t xml:space="preserve"> (cont.)</w:t>
      </w:r>
    </w:p>
    <w:tbl>
      <w:tblPr>
        <w:tblStyle w:val="TableGrid"/>
        <w:tblW w:w="500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20"/>
        <w:gridCol w:w="720"/>
        <w:gridCol w:w="1176"/>
        <w:gridCol w:w="1063"/>
        <w:gridCol w:w="872"/>
        <w:gridCol w:w="986"/>
        <w:gridCol w:w="949"/>
        <w:gridCol w:w="1288"/>
      </w:tblGrid>
      <w:tr w:rsidR="0095007F" w:rsidRPr="00720E5A" w:rsidTr="00860E7A">
        <w:trPr>
          <w:trHeight w:val="515"/>
        </w:trPr>
        <w:tc>
          <w:tcPr>
            <w:tcW w:w="854" w:type="pct"/>
            <w:tcBorders>
              <w:top w:val="single" w:sz="4" w:space="0" w:color="auto"/>
              <w:bottom w:val="single" w:sz="4" w:space="0" w:color="auto"/>
            </w:tcBorders>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Treatments</w:t>
            </w:r>
          </w:p>
        </w:tc>
        <w:tc>
          <w:tcPr>
            <w:tcW w:w="384" w:type="pct"/>
            <w:tcBorders>
              <w:top w:val="single" w:sz="4" w:space="0" w:color="auto"/>
              <w:bottom w:val="single" w:sz="4" w:space="0" w:color="auto"/>
            </w:tcBorders>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FL</w:t>
            </w:r>
          </w:p>
        </w:tc>
        <w:tc>
          <w:tcPr>
            <w:tcW w:w="384"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FG</w:t>
            </w:r>
          </w:p>
        </w:tc>
        <w:tc>
          <w:tcPr>
            <w:tcW w:w="62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IFW</w:t>
            </w:r>
          </w:p>
        </w:tc>
        <w:tc>
          <w:tcPr>
            <w:tcW w:w="56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VL</w:t>
            </w:r>
          </w:p>
        </w:tc>
        <w:tc>
          <w:tcPr>
            <w:tcW w:w="465"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NPB</w:t>
            </w:r>
          </w:p>
        </w:tc>
        <w:tc>
          <w:tcPr>
            <w:tcW w:w="526"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NFV</w:t>
            </w:r>
          </w:p>
        </w:tc>
        <w:tc>
          <w:tcPr>
            <w:tcW w:w="506"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NSV</w:t>
            </w:r>
          </w:p>
        </w:tc>
        <w:tc>
          <w:tcPr>
            <w:tcW w:w="687" w:type="pct"/>
            <w:tcBorders>
              <w:top w:val="single" w:sz="4" w:space="0" w:color="auto"/>
              <w:bottom w:val="single" w:sz="4" w:space="0" w:color="auto"/>
            </w:tcBorders>
            <w:noWrap/>
            <w:vAlign w:val="center"/>
          </w:tcPr>
          <w:p w:rsidR="0095007F" w:rsidRPr="00860E7A" w:rsidRDefault="0095007F" w:rsidP="00860E7A">
            <w:pPr>
              <w:rPr>
                <w:rFonts w:ascii="Arial" w:hAnsi="Arial" w:cs="Arial"/>
                <w:b/>
                <w:color w:val="000000"/>
                <w:sz w:val="20"/>
                <w:szCs w:val="20"/>
              </w:rPr>
            </w:pPr>
            <w:r w:rsidRPr="00860E7A">
              <w:rPr>
                <w:rFonts w:ascii="Arial" w:hAnsi="Arial" w:cs="Arial"/>
                <w:b/>
                <w:color w:val="000000"/>
                <w:sz w:val="20"/>
                <w:szCs w:val="20"/>
              </w:rPr>
              <w:t>YFV</w:t>
            </w:r>
          </w:p>
        </w:tc>
      </w:tr>
      <w:tr w:rsidR="002E5838" w:rsidRPr="00720E5A" w:rsidTr="00860E7A">
        <w:trPr>
          <w:trHeight w:val="515"/>
        </w:trPr>
        <w:tc>
          <w:tcPr>
            <w:tcW w:w="854" w:type="pct"/>
            <w:tcBorders>
              <w:top w:val="single" w:sz="4" w:space="0" w:color="auto"/>
            </w:tcBorders>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L1xT1</w:t>
            </w:r>
          </w:p>
        </w:tc>
        <w:tc>
          <w:tcPr>
            <w:tcW w:w="384" w:type="pct"/>
            <w:tcBorders>
              <w:top w:val="single" w:sz="4" w:space="0" w:color="auto"/>
            </w:tcBorders>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384"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0.12</w:t>
            </w:r>
          </w:p>
        </w:tc>
        <w:tc>
          <w:tcPr>
            <w:tcW w:w="62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4.62</w:t>
            </w:r>
          </w:p>
        </w:tc>
        <w:tc>
          <w:tcPr>
            <w:tcW w:w="56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5.67</w:t>
            </w:r>
          </w:p>
        </w:tc>
        <w:tc>
          <w:tcPr>
            <w:tcW w:w="465"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-0.43</w:t>
            </w:r>
          </w:p>
        </w:tc>
        <w:tc>
          <w:tcPr>
            <w:tcW w:w="506"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0.61</w:t>
            </w:r>
          </w:p>
        </w:tc>
        <w:tc>
          <w:tcPr>
            <w:tcW w:w="687" w:type="pct"/>
            <w:tcBorders>
              <w:top w:val="single" w:sz="4" w:space="0" w:color="auto"/>
            </w:tcBorders>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60.94</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-0.24</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-7.71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-18.94*</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-134.78*</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L1xT3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-0.49</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-33.93**</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-3.82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-2525.69**</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15.16</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16.25</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-335.41**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-5.07</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-28.76**</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-560.5**</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L2xT3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-60.59**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-2.83</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-2951.41**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14.59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22.02*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262.02**</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-0.51</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4.63</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-22.09*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36.93</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L3xT3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-28.08**</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-7.47</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-2353.98**</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0.76</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0.41</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14.49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49.52**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268.35**</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-0.07</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-6.84</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3.79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43.33</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L4xT3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-0.86</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-0.47</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-92.36**</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-6.05**</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-2347.65**</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42.02</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171.58**</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-0.29</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9.61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-2.99</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-53.51</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L5xT3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-111.85**</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13.41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17.9**</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-2344.42**</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L6xT1</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1.37</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0.85</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15.84</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62.14**</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7.57**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1.94*</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306.62**</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lastRenderedPageBreak/>
              <w:t>L6xT2</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18.99*</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17.41*</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2.33**</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11.57**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81.53</w:t>
            </w:r>
          </w:p>
        </w:tc>
      </w:tr>
      <w:tr w:rsidR="0095007F"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r w:rsidRPr="00860E7A">
              <w:rPr>
                <w:rFonts w:ascii="Arial" w:eastAsia="Times New Roman" w:hAnsi="Arial" w:cs="Arial"/>
                <w:b/>
                <w:color w:val="000000"/>
                <w:sz w:val="20"/>
                <w:szCs w:val="20"/>
              </w:rPr>
              <w:t>L6xT3</w:t>
            </w:r>
          </w:p>
        </w:tc>
        <w:tc>
          <w:tcPr>
            <w:tcW w:w="384" w:type="pct"/>
            <w:vAlign w:val="center"/>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-0.25</w:t>
            </w:r>
          </w:p>
        </w:tc>
        <w:tc>
          <w:tcPr>
            <w:tcW w:w="384"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-0.43</w:t>
            </w:r>
          </w:p>
        </w:tc>
        <w:tc>
          <w:tcPr>
            <w:tcW w:w="62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-68.91**</w:t>
            </w:r>
          </w:p>
        </w:tc>
        <w:tc>
          <w:tcPr>
            <w:tcW w:w="56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32.53**</w:t>
            </w:r>
          </w:p>
        </w:tc>
        <w:tc>
          <w:tcPr>
            <w:tcW w:w="465"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5.67**</w:t>
            </w:r>
          </w:p>
        </w:tc>
        <w:tc>
          <w:tcPr>
            <w:tcW w:w="52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15.57**</w:t>
            </w:r>
          </w:p>
        </w:tc>
        <w:tc>
          <w:tcPr>
            <w:tcW w:w="506"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-4.39**</w:t>
            </w:r>
          </w:p>
        </w:tc>
        <w:tc>
          <w:tcPr>
            <w:tcW w:w="687" w:type="pct"/>
            <w:noWrap/>
            <w:vAlign w:val="center"/>
            <w:hideMark/>
          </w:tcPr>
          <w:p w:rsidR="0095007F" w:rsidRPr="00720E5A" w:rsidRDefault="0095007F"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-2309.38**</w:t>
            </w:r>
          </w:p>
        </w:tc>
      </w:tr>
      <w:tr w:rsidR="002E5838" w:rsidRPr="00720E5A" w:rsidTr="00860E7A">
        <w:trPr>
          <w:trHeight w:val="515"/>
        </w:trPr>
        <w:tc>
          <w:tcPr>
            <w:tcW w:w="854" w:type="pct"/>
            <w:vAlign w:val="center"/>
          </w:tcPr>
          <w:p w:rsidR="0095007F" w:rsidRPr="00860E7A" w:rsidRDefault="0095007F" w:rsidP="00860E7A">
            <w:pPr>
              <w:rPr>
                <w:rFonts w:ascii="Arial" w:eastAsia="Times New Roman" w:hAnsi="Arial" w:cs="Arial"/>
                <w:b/>
                <w:color w:val="000000"/>
                <w:sz w:val="20"/>
                <w:szCs w:val="20"/>
              </w:rPr>
            </w:pPr>
            <w:proofErr w:type="gramStart"/>
            <w:r w:rsidRPr="00860E7A">
              <w:rPr>
                <w:rFonts w:ascii="Arial" w:eastAsia="Times New Roman" w:hAnsi="Arial" w:cs="Arial"/>
                <w:b/>
                <w:color w:val="000000"/>
                <w:sz w:val="20"/>
                <w:szCs w:val="20"/>
              </w:rPr>
              <w:t>CD(</w:t>
            </w:r>
            <w:proofErr w:type="gramEnd"/>
            <w:r w:rsidRPr="00860E7A">
              <w:rPr>
                <w:rFonts w:ascii="Arial" w:eastAsia="Times New Roman" w:hAnsi="Arial" w:cs="Arial"/>
                <w:b/>
                <w:color w:val="000000"/>
                <w:sz w:val="20"/>
                <w:szCs w:val="20"/>
              </w:rPr>
              <w:t>1%)</w:t>
            </w:r>
          </w:p>
        </w:tc>
        <w:tc>
          <w:tcPr>
            <w:tcW w:w="384" w:type="pct"/>
            <w:vAlign w:val="center"/>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2.51</w:t>
            </w:r>
          </w:p>
        </w:tc>
        <w:tc>
          <w:tcPr>
            <w:tcW w:w="384"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2.75</w:t>
            </w:r>
          </w:p>
        </w:tc>
        <w:tc>
          <w:tcPr>
            <w:tcW w:w="62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17.16</w:t>
            </w:r>
          </w:p>
        </w:tc>
        <w:tc>
          <w:tcPr>
            <w:tcW w:w="56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16.61</w:t>
            </w:r>
          </w:p>
        </w:tc>
        <w:tc>
          <w:tcPr>
            <w:tcW w:w="465"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1.53</w:t>
            </w:r>
          </w:p>
        </w:tc>
        <w:tc>
          <w:tcPr>
            <w:tcW w:w="526"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1.61</w:t>
            </w:r>
          </w:p>
        </w:tc>
        <w:tc>
          <w:tcPr>
            <w:tcW w:w="506"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1.64</w:t>
            </w:r>
          </w:p>
        </w:tc>
        <w:tc>
          <w:tcPr>
            <w:tcW w:w="687" w:type="pct"/>
            <w:noWrap/>
            <w:vAlign w:val="center"/>
            <w:hideMark/>
          </w:tcPr>
          <w:p w:rsidR="0095007F" w:rsidRPr="00720E5A" w:rsidRDefault="0095007F" w:rsidP="00860E7A">
            <w:pPr>
              <w:rPr>
                <w:rFonts w:ascii="Arial" w:hAnsi="Arial" w:cs="Arial"/>
                <w:color w:val="000000"/>
                <w:sz w:val="20"/>
                <w:szCs w:val="20"/>
              </w:rPr>
            </w:pPr>
            <w:r w:rsidRPr="00720E5A">
              <w:rPr>
                <w:rFonts w:ascii="Arial" w:hAnsi="Arial" w:cs="Arial"/>
                <w:color w:val="000000"/>
                <w:sz w:val="20"/>
                <w:szCs w:val="20"/>
              </w:rPr>
              <w:t>104.94</w:t>
            </w:r>
          </w:p>
        </w:tc>
      </w:tr>
    </w:tbl>
    <w:p w:rsidR="0095007F" w:rsidRPr="00451EC9" w:rsidRDefault="0095007F" w:rsidP="008B7831">
      <w:pPr>
        <w:spacing w:before="240" w:after="240" w:line="240" w:lineRule="auto"/>
        <w:jc w:val="both"/>
        <w:rPr>
          <w:rFonts w:ascii="Arial" w:eastAsia="Times New Roman" w:hAnsi="Arial" w:cs="Arial"/>
          <w:sz w:val="18"/>
          <w:szCs w:val="20"/>
        </w:rPr>
      </w:pPr>
      <w:r w:rsidRPr="00451EC9">
        <w:rPr>
          <w:rFonts w:ascii="Arial" w:eastAsia="Times New Roman" w:hAnsi="Arial" w:cs="Arial"/>
          <w:sz w:val="16"/>
          <w:szCs w:val="20"/>
        </w:rPr>
        <w:t>** Significant at 1% level of significance *Significant at 5 % level of significance</w:t>
      </w:r>
    </w:p>
    <w:p w:rsidR="00097C87" w:rsidRPr="00720E5A" w:rsidRDefault="00097C87" w:rsidP="00044CDB">
      <w:pPr>
        <w:spacing w:line="240" w:lineRule="auto"/>
        <w:jc w:val="center"/>
        <w:rPr>
          <w:rFonts w:ascii="Arial" w:hAnsi="Arial" w:cs="Arial"/>
          <w:sz w:val="20"/>
          <w:szCs w:val="20"/>
        </w:rPr>
      </w:pPr>
      <w:r w:rsidRPr="00720E5A">
        <w:rPr>
          <w:rFonts w:ascii="Arial" w:hAnsi="Arial" w:cs="Arial"/>
          <w:sz w:val="20"/>
          <w:szCs w:val="20"/>
        </w:rPr>
        <w:t xml:space="preserve">Table </w:t>
      </w:r>
      <w:r w:rsidR="009D1458">
        <w:rPr>
          <w:rFonts w:ascii="Arial" w:hAnsi="Arial" w:cs="Arial"/>
          <w:sz w:val="20"/>
          <w:szCs w:val="20"/>
        </w:rPr>
        <w:t>4</w:t>
      </w:r>
      <w:r w:rsidRPr="00720E5A">
        <w:rPr>
          <w:rFonts w:ascii="Arial" w:hAnsi="Arial" w:cs="Arial"/>
          <w:sz w:val="20"/>
          <w:szCs w:val="20"/>
        </w:rPr>
        <w:t>: Estimate of General combining ability and Specific combining ability effect of parents and cross</w:t>
      </w:r>
      <w:r w:rsidR="00044CDB">
        <w:rPr>
          <w:rFonts w:ascii="Arial" w:hAnsi="Arial" w:cs="Arial"/>
          <w:sz w:val="20"/>
          <w:szCs w:val="20"/>
        </w:rPr>
        <w:t>es for biochemical observations</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2139"/>
        <w:gridCol w:w="1790"/>
        <w:gridCol w:w="1790"/>
      </w:tblGrid>
      <w:tr w:rsidR="00097C87" w:rsidRPr="00720E5A" w:rsidTr="009D1458">
        <w:trPr>
          <w:trHeight w:val="292"/>
          <w:jc w:val="center"/>
        </w:trPr>
        <w:tc>
          <w:tcPr>
            <w:tcW w:w="198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sz w:val="20"/>
                <w:szCs w:val="20"/>
              </w:rPr>
            </w:pPr>
            <w:r w:rsidRPr="00720E5A">
              <w:rPr>
                <w:rFonts w:ascii="Arial" w:eastAsia="Times New Roman" w:hAnsi="Arial" w:cs="Arial"/>
                <w:b/>
                <w:sz w:val="20"/>
                <w:szCs w:val="20"/>
              </w:rPr>
              <w:t>Treatments</w:t>
            </w:r>
          </w:p>
        </w:tc>
        <w:tc>
          <w:tcPr>
            <w:tcW w:w="1128"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PER</w:t>
            </w:r>
          </w:p>
        </w:tc>
        <w:tc>
          <w:tcPr>
            <w:tcW w:w="94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PPO</w:t>
            </w:r>
          </w:p>
        </w:tc>
        <w:tc>
          <w:tcPr>
            <w:tcW w:w="944" w:type="pct"/>
            <w:tcBorders>
              <w:top w:val="single" w:sz="4" w:space="0" w:color="auto"/>
              <w:bottom w:val="single" w:sz="4" w:space="0" w:color="auto"/>
            </w:tcBorders>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PAL</w:t>
            </w:r>
          </w:p>
        </w:tc>
      </w:tr>
      <w:tr w:rsidR="00097C87" w:rsidRPr="00720E5A" w:rsidTr="009D1458">
        <w:trPr>
          <w:trHeight w:val="292"/>
          <w:jc w:val="center"/>
        </w:trPr>
        <w:tc>
          <w:tcPr>
            <w:tcW w:w="5000" w:type="pct"/>
            <w:gridSpan w:val="4"/>
            <w:tcBorders>
              <w:top w:val="single" w:sz="4" w:space="0" w:color="auto"/>
            </w:tcBorders>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GCA</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-2.37**</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1.47**</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2.01**</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0.22**</w:t>
            </w:r>
          </w:p>
        </w:tc>
      </w:tr>
      <w:tr w:rsidR="00097C87" w:rsidRPr="00720E5A" w:rsidTr="009D1458">
        <w:trPr>
          <w:trHeight w:val="292"/>
          <w:jc w:val="center"/>
        </w:trPr>
        <w:tc>
          <w:tcPr>
            <w:tcW w:w="1984" w:type="pct"/>
            <w:noWrap/>
            <w:vAlign w:val="center"/>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(Lines)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(Testers)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0.09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0.11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0.27</w:t>
            </w:r>
          </w:p>
        </w:tc>
      </w:tr>
      <w:tr w:rsidR="00097C87" w:rsidRPr="00720E5A" w:rsidTr="009D1458">
        <w:trPr>
          <w:trHeight w:val="292"/>
          <w:jc w:val="center"/>
        </w:trPr>
        <w:tc>
          <w:tcPr>
            <w:tcW w:w="5000" w:type="pct"/>
            <w:gridSpan w:val="4"/>
            <w:noWrap/>
            <w:vAlign w:val="center"/>
            <w:hideMark/>
          </w:tcPr>
          <w:p w:rsidR="00097C87" w:rsidRPr="00720E5A" w:rsidRDefault="00097C87" w:rsidP="00860E7A">
            <w:pPr>
              <w:rPr>
                <w:rFonts w:ascii="Arial" w:eastAsia="Times New Roman" w:hAnsi="Arial" w:cs="Arial"/>
                <w:b/>
                <w:sz w:val="20"/>
                <w:szCs w:val="20"/>
              </w:rPr>
            </w:pPr>
            <w:r w:rsidRPr="00720E5A">
              <w:rPr>
                <w:rFonts w:ascii="Arial" w:eastAsia="Times New Roman" w:hAnsi="Arial" w:cs="Arial"/>
                <w:b/>
                <w:sz w:val="20"/>
                <w:szCs w:val="20"/>
              </w:rPr>
              <w:t>SCA</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L1xT3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-3.95**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-1.85**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L2xT3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-4.07**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-2.28**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-4.28**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0.46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L3xT3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3.41**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2.30**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-0.71**</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1.30**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-0.74**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0.99**</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L4xT3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-3.43**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-3.28**</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0.57**</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-1.00**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4.52**</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5.17**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L5xT3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-3.56**</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L6xT1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2.04**</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0.35**</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1.27**</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L6xT2</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1.79**</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-0.80**</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0.95**</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L6xT3</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-1.66**</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-1.98**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-2.10**</w:t>
            </w:r>
          </w:p>
        </w:tc>
      </w:tr>
      <w:tr w:rsidR="00097C87" w:rsidRPr="00720E5A" w:rsidTr="009D1458">
        <w:trPr>
          <w:trHeight w:val="292"/>
          <w:jc w:val="center"/>
        </w:trPr>
        <w:tc>
          <w:tcPr>
            <w:tcW w:w="1984" w:type="pct"/>
            <w:noWrap/>
            <w:vAlign w:val="center"/>
            <w:hideMark/>
          </w:tcPr>
          <w:p w:rsidR="00097C87" w:rsidRPr="00720E5A" w:rsidRDefault="00097C87" w:rsidP="00860E7A">
            <w:pPr>
              <w:rPr>
                <w:rFonts w:ascii="Arial" w:eastAsia="Times New Roman" w:hAnsi="Arial" w:cs="Arial"/>
                <w:b/>
                <w:color w:val="000000"/>
                <w:sz w:val="20"/>
                <w:szCs w:val="20"/>
              </w:rPr>
            </w:pPr>
            <w:r w:rsidRPr="00720E5A">
              <w:rPr>
                <w:rFonts w:ascii="Arial" w:eastAsia="Times New Roman" w:hAnsi="Arial" w:cs="Arial"/>
                <w:b/>
                <w:color w:val="000000"/>
                <w:sz w:val="20"/>
                <w:szCs w:val="20"/>
              </w:rPr>
              <w:t>CD (Line × Tester) (1%)</w:t>
            </w:r>
          </w:p>
        </w:tc>
        <w:tc>
          <w:tcPr>
            <w:tcW w:w="1128"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0.23</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0.28</w:t>
            </w:r>
          </w:p>
        </w:tc>
        <w:tc>
          <w:tcPr>
            <w:tcW w:w="944" w:type="pct"/>
            <w:noWrap/>
            <w:vAlign w:val="center"/>
            <w:hideMark/>
          </w:tcPr>
          <w:p w:rsidR="00097C87" w:rsidRPr="00720E5A" w:rsidRDefault="00097C87" w:rsidP="00860E7A">
            <w:pPr>
              <w:rPr>
                <w:rFonts w:ascii="Arial" w:eastAsia="Times New Roman" w:hAnsi="Arial" w:cs="Arial"/>
                <w:color w:val="000000"/>
                <w:sz w:val="20"/>
                <w:szCs w:val="20"/>
              </w:rPr>
            </w:pPr>
            <w:r w:rsidRPr="00720E5A">
              <w:rPr>
                <w:rFonts w:ascii="Arial" w:eastAsia="Times New Roman" w:hAnsi="Arial" w:cs="Arial"/>
                <w:color w:val="000000"/>
                <w:sz w:val="20"/>
                <w:szCs w:val="20"/>
              </w:rPr>
              <w:t>0.66</w:t>
            </w:r>
          </w:p>
        </w:tc>
      </w:tr>
    </w:tbl>
    <w:p w:rsidR="0095007F" w:rsidRPr="00451EC9" w:rsidRDefault="00097C87" w:rsidP="008B7831">
      <w:pPr>
        <w:spacing w:before="240" w:after="240" w:line="240" w:lineRule="auto"/>
        <w:jc w:val="both"/>
        <w:rPr>
          <w:rFonts w:ascii="Arial" w:eastAsia="Times New Roman" w:hAnsi="Arial" w:cs="Arial"/>
          <w:sz w:val="16"/>
          <w:szCs w:val="20"/>
        </w:rPr>
        <w:sectPr w:rsidR="0095007F" w:rsidRPr="00451EC9" w:rsidSect="0095007F">
          <w:type w:val="continuous"/>
          <w:pgSz w:w="12240" w:h="15840"/>
          <w:pgMar w:top="1440" w:right="1440" w:bottom="1440" w:left="1440" w:header="720" w:footer="720" w:gutter="0"/>
          <w:cols w:space="720"/>
          <w:docGrid w:linePitch="360"/>
        </w:sectPr>
      </w:pPr>
      <w:r w:rsidRPr="00451EC9">
        <w:rPr>
          <w:rFonts w:ascii="Arial" w:eastAsia="Times New Roman" w:hAnsi="Arial" w:cs="Arial"/>
          <w:sz w:val="16"/>
          <w:szCs w:val="20"/>
        </w:rPr>
        <w:t>** Significant at 1% level of significance *Significant at 5 % level of significance</w:t>
      </w:r>
    </w:p>
    <w:p w:rsidR="00656D32" w:rsidRPr="00097C87" w:rsidRDefault="00720E5A" w:rsidP="008B7831">
      <w:pPr>
        <w:spacing w:after="200" w:line="240" w:lineRule="auto"/>
        <w:jc w:val="both"/>
        <w:rPr>
          <w:rFonts w:ascii="Arial" w:eastAsia="Times New Roman" w:hAnsi="Arial" w:cs="Arial"/>
          <w:b/>
        </w:rPr>
      </w:pPr>
      <w:r>
        <w:rPr>
          <w:rFonts w:ascii="Arial" w:hAnsi="Arial" w:cs="Arial"/>
          <w:b/>
          <w:shd w:val="clear" w:color="auto" w:fill="FFFFFF"/>
        </w:rPr>
        <w:lastRenderedPageBreak/>
        <w:t xml:space="preserve">4. </w:t>
      </w:r>
      <w:r w:rsidR="00097C87" w:rsidRPr="00097C87">
        <w:rPr>
          <w:rFonts w:ascii="Arial" w:hAnsi="Arial" w:cs="Arial"/>
          <w:b/>
          <w:shd w:val="clear" w:color="auto" w:fill="FFFFFF"/>
        </w:rPr>
        <w:t>CONCLUSION</w:t>
      </w:r>
    </w:p>
    <w:p w:rsidR="00097C87" w:rsidRPr="00720E5A" w:rsidRDefault="00097C87" w:rsidP="00451EC9">
      <w:pPr>
        <w:spacing w:before="100" w:beforeAutospacing="1" w:after="100" w:afterAutospacing="1" w:line="240" w:lineRule="auto"/>
        <w:jc w:val="both"/>
        <w:rPr>
          <w:rFonts w:ascii="Arial" w:hAnsi="Arial" w:cs="Arial"/>
          <w:sz w:val="20"/>
          <w:szCs w:val="20"/>
        </w:rPr>
      </w:pPr>
      <w:r w:rsidRPr="00720E5A">
        <w:rPr>
          <w:rFonts w:ascii="Arial" w:eastAsia="Times New Roman" w:hAnsi="Arial" w:cs="Arial"/>
          <w:sz w:val="20"/>
          <w:szCs w:val="20"/>
        </w:rPr>
        <w:t xml:space="preserve">The results of this comprehensive assessment revealed a notable degree of diversity among the hybrid plants across all the traits examined, indicating a wide spectrum of performance and characteristics within the hybrid population. This suggests the potential for selecting superior individuals with desirable combinations of traits. </w:t>
      </w:r>
      <w:r w:rsidRPr="00720E5A">
        <w:rPr>
          <w:rFonts w:ascii="Arial" w:eastAsia="Times New Roman" w:hAnsi="Arial" w:cs="Arial"/>
          <w:bCs/>
          <w:sz w:val="20"/>
          <w:szCs w:val="20"/>
        </w:rPr>
        <w:t>Analysis of combining ability showed that lines L3 and L5 had significant GCA (general combining ability) effects in traits pertaining to enzyme activity, early flowering, and reproductive efficiency.</w:t>
      </w:r>
      <w:r w:rsidRPr="00720E5A">
        <w:rPr>
          <w:rFonts w:ascii="Arial" w:eastAsia="Times New Roman" w:hAnsi="Arial" w:cs="Arial"/>
          <w:sz w:val="20"/>
          <w:szCs w:val="20"/>
        </w:rPr>
        <w:t xml:space="preserve"> For traits related to yield and resistance, T3 demonstrated </w:t>
      </w:r>
      <w:r w:rsidR="00CE29C7">
        <w:rPr>
          <w:rFonts w:ascii="Arial" w:eastAsia="Times New Roman" w:hAnsi="Arial" w:cs="Arial"/>
          <w:sz w:val="20"/>
          <w:szCs w:val="20"/>
        </w:rPr>
        <w:t>superior</w:t>
      </w:r>
      <w:r w:rsidRPr="00720E5A">
        <w:rPr>
          <w:rFonts w:ascii="Arial" w:eastAsia="Times New Roman" w:hAnsi="Arial" w:cs="Arial"/>
          <w:sz w:val="20"/>
          <w:szCs w:val="20"/>
        </w:rPr>
        <w:t xml:space="preserve"> GCA among the testers. Hybrids such as L5 × T2 and L3 × T3 showed highly significant effects of SCA (specific combining ability), suggesting strong non-additive gene action influencing both yield and mosaic resistance traits. These findings lay the groundwork for developing robust, virus-tolerant bitter gourd varieties that meet the demands of growers and consumers.</w:t>
      </w:r>
    </w:p>
    <w:p w:rsidR="002563F3" w:rsidRDefault="002563F3" w:rsidP="008B7831">
      <w:pPr>
        <w:spacing w:line="240" w:lineRule="auto"/>
        <w:rPr>
          <w:rFonts w:ascii="Arial" w:hAnsi="Arial" w:cs="Arial"/>
          <w:b/>
        </w:rPr>
      </w:pPr>
    </w:p>
    <w:p w:rsidR="002A5518" w:rsidRDefault="002A5518" w:rsidP="008B7831">
      <w:pPr>
        <w:spacing w:line="240" w:lineRule="auto"/>
        <w:rPr>
          <w:rFonts w:ascii="Arial" w:hAnsi="Arial" w:cs="Arial"/>
          <w:b/>
        </w:rPr>
      </w:pPr>
      <w:bookmarkStart w:id="0" w:name="_GoBack"/>
      <w:bookmarkEnd w:id="0"/>
      <w:r w:rsidRPr="002A5518">
        <w:rPr>
          <w:rFonts w:ascii="Arial" w:hAnsi="Arial" w:cs="Arial"/>
          <w:b/>
        </w:rPr>
        <w:t>REFERENCES</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Acharya, S.K., Kaushik, R.A., </w:t>
      </w:r>
      <w:proofErr w:type="spellStart"/>
      <w:r w:rsidRPr="00E752EA">
        <w:rPr>
          <w:rFonts w:ascii="Arial" w:hAnsi="Arial" w:cs="Arial"/>
          <w:sz w:val="20"/>
        </w:rPr>
        <w:t>Ameta</w:t>
      </w:r>
      <w:proofErr w:type="spellEnd"/>
      <w:r w:rsidRPr="00E752EA">
        <w:rPr>
          <w:rFonts w:ascii="Arial" w:hAnsi="Arial" w:cs="Arial"/>
          <w:sz w:val="20"/>
        </w:rPr>
        <w:t>, K.D.,</w:t>
      </w:r>
      <w:r>
        <w:rPr>
          <w:rFonts w:ascii="Arial" w:hAnsi="Arial" w:cs="Arial"/>
          <w:sz w:val="20"/>
        </w:rPr>
        <w:t xml:space="preserve"> Dubey, R.B., Upadhyay, B.</w:t>
      </w:r>
      <w:r w:rsidRPr="00E752EA">
        <w:rPr>
          <w:rFonts w:ascii="Arial" w:hAnsi="Arial" w:cs="Arial"/>
          <w:sz w:val="20"/>
        </w:rPr>
        <w:t xml:space="preserve"> Heterosis and combining ability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Int</w:t>
      </w:r>
      <w:r w:rsidR="00043B35">
        <w:rPr>
          <w:rFonts w:ascii="Arial" w:hAnsi="Arial" w:cs="Arial"/>
          <w:sz w:val="20"/>
        </w:rPr>
        <w:t>.</w:t>
      </w:r>
      <w:r w:rsidRPr="00E752EA">
        <w:rPr>
          <w:rFonts w:ascii="Arial" w:hAnsi="Arial" w:cs="Arial"/>
          <w:sz w:val="20"/>
        </w:rPr>
        <w:t xml:space="preserve"> J</w:t>
      </w:r>
      <w:r w:rsidR="00043B35">
        <w:rPr>
          <w:rFonts w:ascii="Arial" w:hAnsi="Arial" w:cs="Arial"/>
          <w:sz w:val="20"/>
        </w:rPr>
        <w:t>.</w:t>
      </w:r>
      <w:r w:rsidRPr="00E752EA">
        <w:rPr>
          <w:rFonts w:ascii="Arial" w:hAnsi="Arial" w:cs="Arial"/>
          <w:sz w:val="20"/>
        </w:rPr>
        <w:t xml:space="preserve"> Bioassays</w:t>
      </w:r>
      <w:r>
        <w:rPr>
          <w:rFonts w:ascii="Arial" w:hAnsi="Arial" w:cs="Arial"/>
          <w:sz w:val="20"/>
        </w:rPr>
        <w:t xml:space="preserve"> 2019;</w:t>
      </w:r>
      <w:r w:rsidRPr="00E752EA">
        <w:rPr>
          <w:rFonts w:ascii="Arial" w:hAnsi="Arial" w:cs="Arial"/>
          <w:sz w:val="20"/>
        </w:rPr>
        <w:t xml:space="preserve"> 8(1): 5692-5711.</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Ankitha</w:t>
      </w:r>
      <w:proofErr w:type="spellEnd"/>
      <w:r w:rsidRPr="00E752EA">
        <w:rPr>
          <w:rFonts w:ascii="Arial" w:hAnsi="Arial" w:cs="Arial"/>
          <w:sz w:val="20"/>
        </w:rPr>
        <w:t>, M. O. Development and evaluation of high yielding, mosaic tolerant backcross progenies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variety Preethi using morphological, biochemical and molecular markers. PhD. thesis, Kerala Agricultural University, Thrissur, </w:t>
      </w:r>
      <w:r>
        <w:rPr>
          <w:rFonts w:ascii="Arial" w:hAnsi="Arial" w:cs="Arial"/>
          <w:sz w:val="20"/>
        </w:rPr>
        <w:t>2024; 246</w:t>
      </w:r>
      <w:r w:rsidR="00DC3BCD">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Pr>
          <w:rFonts w:ascii="Arial" w:hAnsi="Arial" w:cs="Arial"/>
          <w:sz w:val="20"/>
        </w:rPr>
        <w:t>Asna</w:t>
      </w:r>
      <w:proofErr w:type="spellEnd"/>
      <w:r>
        <w:rPr>
          <w:rFonts w:ascii="Arial" w:hAnsi="Arial" w:cs="Arial"/>
          <w:sz w:val="20"/>
        </w:rPr>
        <w:t>, A. C.</w:t>
      </w:r>
      <w:r w:rsidRPr="00E752EA">
        <w:rPr>
          <w:rFonts w:ascii="Arial" w:hAnsi="Arial" w:cs="Arial"/>
          <w:sz w:val="20"/>
        </w:rPr>
        <w:t xml:space="preserve"> Characterization and distant hybridization for biotic stress tolerance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PhD. thesis, Kerala Agricultural University, Thrissur,</w:t>
      </w:r>
      <w:r>
        <w:rPr>
          <w:rFonts w:ascii="Arial" w:hAnsi="Arial" w:cs="Arial"/>
          <w:sz w:val="20"/>
        </w:rPr>
        <w:t xml:space="preserve"> 2018;</w:t>
      </w:r>
      <w:r w:rsidRPr="00E752EA">
        <w:rPr>
          <w:rFonts w:ascii="Arial" w:hAnsi="Arial" w:cs="Arial"/>
          <w:sz w:val="20"/>
        </w:rPr>
        <w:t xml:space="preserve"> 243</w:t>
      </w:r>
      <w:r w:rsidR="006E1D46">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Behera, T.K., John, K.J., Bharathi, L.K. and </w:t>
      </w:r>
      <w:proofErr w:type="spellStart"/>
      <w:r>
        <w:rPr>
          <w:rFonts w:ascii="Arial" w:hAnsi="Arial" w:cs="Arial"/>
          <w:sz w:val="20"/>
        </w:rPr>
        <w:t>Karuppaiyan</w:t>
      </w:r>
      <w:proofErr w:type="spellEnd"/>
      <w:r>
        <w:rPr>
          <w:rFonts w:ascii="Arial" w:hAnsi="Arial" w:cs="Arial"/>
          <w:sz w:val="20"/>
        </w:rPr>
        <w:t xml:space="preserve">, R. </w:t>
      </w:r>
      <w:r w:rsidRPr="00E752EA">
        <w:rPr>
          <w:rFonts w:ascii="Arial" w:hAnsi="Arial" w:cs="Arial"/>
          <w:sz w:val="20"/>
        </w:rPr>
        <w:t xml:space="preserve"> </w:t>
      </w:r>
      <w:r w:rsidRPr="00043B35">
        <w:rPr>
          <w:rFonts w:ascii="Arial" w:hAnsi="Arial" w:cs="Arial"/>
          <w:i/>
          <w:iCs/>
          <w:sz w:val="20"/>
        </w:rPr>
        <w:t>Momordica</w:t>
      </w:r>
      <w:r w:rsidRPr="00E752EA">
        <w:rPr>
          <w:rFonts w:ascii="Arial" w:hAnsi="Arial" w:cs="Arial"/>
          <w:sz w:val="20"/>
        </w:rPr>
        <w:t>. In</w:t>
      </w:r>
      <w:r w:rsidR="00043B35">
        <w:rPr>
          <w:rFonts w:ascii="Arial" w:hAnsi="Arial" w:cs="Arial"/>
          <w:sz w:val="20"/>
        </w:rPr>
        <w:t>:</w:t>
      </w:r>
      <w:r w:rsidRPr="00E752EA">
        <w:rPr>
          <w:rFonts w:ascii="Arial" w:hAnsi="Arial" w:cs="Arial"/>
          <w:sz w:val="20"/>
        </w:rPr>
        <w:t xml:space="preserve"> Wild Crop Relatives: Genomic and Breeding Resources: Veg. Berlin, Heidelberg: Springer Berlin Heidelberg.</w:t>
      </w:r>
      <w:r>
        <w:rPr>
          <w:rFonts w:ascii="Arial" w:hAnsi="Arial" w:cs="Arial"/>
          <w:sz w:val="20"/>
        </w:rPr>
        <w:t>2011; 217-246.</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Bharathi, L. K., Munshi, A. D., Behera, T. K., Vinod, John, J. K., Bhat, K. V., D</w:t>
      </w:r>
      <w:r>
        <w:rPr>
          <w:rFonts w:ascii="Arial" w:hAnsi="Arial" w:cs="Arial"/>
          <w:sz w:val="20"/>
        </w:rPr>
        <w:t>as, A.B., and Sidhu, A. S.</w:t>
      </w:r>
      <w:r w:rsidRPr="00E752EA">
        <w:rPr>
          <w:rFonts w:ascii="Arial" w:hAnsi="Arial" w:cs="Arial"/>
          <w:sz w:val="20"/>
        </w:rPr>
        <w:t xml:space="preserve"> Production and preliminary characterization of novel </w:t>
      </w:r>
      <w:r w:rsidRPr="00E752EA">
        <w:rPr>
          <w:rFonts w:ascii="Arial" w:hAnsi="Arial" w:cs="Arial"/>
          <w:sz w:val="20"/>
        </w:rPr>
        <w:t xml:space="preserve">inter-specific hybrids derived from </w:t>
      </w:r>
      <w:r w:rsidRPr="00043B35">
        <w:rPr>
          <w:rFonts w:ascii="Arial" w:hAnsi="Arial" w:cs="Arial"/>
          <w:i/>
          <w:iCs/>
          <w:sz w:val="20"/>
        </w:rPr>
        <w:t>Momordica</w:t>
      </w:r>
      <w:r w:rsidRPr="00E752EA">
        <w:rPr>
          <w:rFonts w:ascii="Arial" w:hAnsi="Arial" w:cs="Arial"/>
          <w:sz w:val="20"/>
        </w:rPr>
        <w:t xml:space="preserve"> sp. </w:t>
      </w:r>
      <w:proofErr w:type="spellStart"/>
      <w:r w:rsidRPr="00E752EA">
        <w:rPr>
          <w:rFonts w:ascii="Arial" w:hAnsi="Arial" w:cs="Arial"/>
          <w:sz w:val="20"/>
        </w:rPr>
        <w:t>Curr</w:t>
      </w:r>
      <w:proofErr w:type="spellEnd"/>
      <w:r w:rsidRPr="00E752EA">
        <w:rPr>
          <w:rFonts w:ascii="Arial" w:hAnsi="Arial" w:cs="Arial"/>
          <w:sz w:val="20"/>
        </w:rPr>
        <w:t>. Sci.</w:t>
      </w:r>
      <w:r>
        <w:rPr>
          <w:rFonts w:ascii="Arial" w:hAnsi="Arial" w:cs="Arial"/>
          <w:sz w:val="20"/>
        </w:rPr>
        <w:t xml:space="preserve"> 2012;</w:t>
      </w:r>
      <w:r w:rsidRPr="00E752EA">
        <w:rPr>
          <w:rFonts w:ascii="Arial" w:hAnsi="Arial" w:cs="Arial"/>
          <w:sz w:val="20"/>
        </w:rPr>
        <w:t xml:space="preserve"> 103: 178-18.</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Fasahat</w:t>
      </w:r>
      <w:proofErr w:type="spellEnd"/>
      <w:r w:rsidRPr="00E752EA">
        <w:rPr>
          <w:rFonts w:ascii="Arial" w:hAnsi="Arial" w:cs="Arial"/>
          <w:sz w:val="20"/>
        </w:rPr>
        <w:t xml:space="preserve">, P., </w:t>
      </w:r>
      <w:proofErr w:type="spellStart"/>
      <w:r w:rsidRPr="00E752EA">
        <w:rPr>
          <w:rFonts w:ascii="Arial" w:hAnsi="Arial" w:cs="Arial"/>
          <w:sz w:val="20"/>
        </w:rPr>
        <w:t>Rajabi</w:t>
      </w:r>
      <w:proofErr w:type="spellEnd"/>
      <w:r w:rsidRPr="00E752EA">
        <w:rPr>
          <w:rFonts w:ascii="Arial" w:hAnsi="Arial" w:cs="Arial"/>
          <w:sz w:val="20"/>
        </w:rPr>
        <w:t>, A.,</w:t>
      </w:r>
      <w:r>
        <w:rPr>
          <w:rFonts w:ascii="Arial" w:hAnsi="Arial" w:cs="Arial"/>
          <w:sz w:val="20"/>
        </w:rPr>
        <w:t xml:space="preserve"> Rad, J.M. and </w:t>
      </w:r>
      <w:proofErr w:type="spellStart"/>
      <w:r>
        <w:rPr>
          <w:rFonts w:ascii="Arial" w:hAnsi="Arial" w:cs="Arial"/>
          <w:sz w:val="20"/>
        </w:rPr>
        <w:t>Devera</w:t>
      </w:r>
      <w:proofErr w:type="spellEnd"/>
      <w:r>
        <w:rPr>
          <w:rFonts w:ascii="Arial" w:hAnsi="Arial" w:cs="Arial"/>
          <w:sz w:val="20"/>
        </w:rPr>
        <w:t xml:space="preserve">, J. </w:t>
      </w:r>
      <w:r w:rsidRPr="00E752EA">
        <w:rPr>
          <w:rFonts w:ascii="Arial" w:hAnsi="Arial" w:cs="Arial"/>
          <w:sz w:val="20"/>
        </w:rPr>
        <w:t xml:space="preserve">Principles and </w:t>
      </w:r>
      <w:r w:rsidR="00043B35">
        <w:rPr>
          <w:rFonts w:ascii="Arial" w:hAnsi="Arial" w:cs="Arial"/>
          <w:sz w:val="20"/>
        </w:rPr>
        <w:t>u</w:t>
      </w:r>
      <w:r w:rsidRPr="00E752EA">
        <w:rPr>
          <w:rFonts w:ascii="Arial" w:hAnsi="Arial" w:cs="Arial"/>
          <w:sz w:val="20"/>
        </w:rPr>
        <w:t xml:space="preserve">tilization of combining </w:t>
      </w:r>
      <w:r w:rsidR="00043B35">
        <w:rPr>
          <w:rFonts w:ascii="Arial" w:hAnsi="Arial" w:cs="Arial"/>
          <w:sz w:val="20"/>
        </w:rPr>
        <w:t>a</w:t>
      </w:r>
      <w:r w:rsidRPr="00E752EA">
        <w:rPr>
          <w:rFonts w:ascii="Arial" w:hAnsi="Arial" w:cs="Arial"/>
          <w:sz w:val="20"/>
        </w:rPr>
        <w:t xml:space="preserve">bility in plant breeding. </w:t>
      </w:r>
      <w:proofErr w:type="spellStart"/>
      <w:r w:rsidRPr="00E752EA">
        <w:rPr>
          <w:rFonts w:ascii="Arial" w:hAnsi="Arial" w:cs="Arial"/>
          <w:sz w:val="20"/>
        </w:rPr>
        <w:t>Biom</w:t>
      </w:r>
      <w:proofErr w:type="spellEnd"/>
      <w:r w:rsidR="00043B35">
        <w:rPr>
          <w:rFonts w:ascii="Arial" w:hAnsi="Arial" w:cs="Arial"/>
          <w:sz w:val="20"/>
        </w:rPr>
        <w:t>.</w:t>
      </w:r>
      <w:r w:rsidRPr="00E752EA">
        <w:rPr>
          <w:rFonts w:ascii="Arial" w:hAnsi="Arial" w:cs="Arial"/>
          <w:sz w:val="20"/>
        </w:rPr>
        <w:t xml:space="preserve"> </w:t>
      </w:r>
      <w:proofErr w:type="spellStart"/>
      <w:r w:rsidR="00043B35">
        <w:rPr>
          <w:rFonts w:ascii="Arial" w:hAnsi="Arial" w:cs="Arial"/>
          <w:sz w:val="20"/>
        </w:rPr>
        <w:t>Biostat</w:t>
      </w:r>
      <w:proofErr w:type="spellEnd"/>
      <w:r w:rsidR="00043B35">
        <w:rPr>
          <w:rFonts w:ascii="Arial" w:hAnsi="Arial" w:cs="Arial"/>
          <w:sz w:val="20"/>
        </w:rPr>
        <w:t>.</w:t>
      </w:r>
      <w:r w:rsidRPr="00E752EA">
        <w:rPr>
          <w:rFonts w:ascii="Arial" w:hAnsi="Arial" w:cs="Arial"/>
          <w:sz w:val="20"/>
        </w:rPr>
        <w:t xml:space="preserve"> Int</w:t>
      </w:r>
      <w:r w:rsidR="00043B35">
        <w:rPr>
          <w:rFonts w:ascii="Arial" w:hAnsi="Arial" w:cs="Arial"/>
          <w:sz w:val="20"/>
        </w:rPr>
        <w:t>.</w:t>
      </w:r>
      <w:r w:rsidRPr="00E752EA">
        <w:rPr>
          <w:rFonts w:ascii="Arial" w:hAnsi="Arial" w:cs="Arial"/>
          <w:sz w:val="20"/>
        </w:rPr>
        <w:t xml:space="preserve"> J</w:t>
      </w:r>
      <w:r w:rsidR="00043B35">
        <w:rPr>
          <w:rFonts w:ascii="Arial" w:hAnsi="Arial" w:cs="Arial"/>
          <w:sz w:val="20"/>
        </w:rPr>
        <w:t>.</w:t>
      </w:r>
      <w:r>
        <w:rPr>
          <w:rFonts w:ascii="Arial" w:hAnsi="Arial" w:cs="Arial"/>
          <w:sz w:val="20"/>
        </w:rPr>
        <w:t xml:space="preserve"> 2016;</w:t>
      </w:r>
      <w:r w:rsidRPr="00E752EA">
        <w:rPr>
          <w:rFonts w:ascii="Arial" w:hAnsi="Arial" w:cs="Arial"/>
          <w:sz w:val="20"/>
        </w:rPr>
        <w:t xml:space="preserve"> 4(1): 00085.</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Fuangchan</w:t>
      </w:r>
      <w:proofErr w:type="spellEnd"/>
      <w:r w:rsidRPr="00E752EA">
        <w:rPr>
          <w:rFonts w:ascii="Arial" w:hAnsi="Arial" w:cs="Arial"/>
          <w:sz w:val="20"/>
        </w:rPr>
        <w:t xml:space="preserve">, A., </w:t>
      </w:r>
      <w:proofErr w:type="spellStart"/>
      <w:r w:rsidRPr="00E752EA">
        <w:rPr>
          <w:rFonts w:ascii="Arial" w:hAnsi="Arial" w:cs="Arial"/>
          <w:sz w:val="20"/>
        </w:rPr>
        <w:t>Sonthisombat</w:t>
      </w:r>
      <w:proofErr w:type="spellEnd"/>
      <w:r w:rsidRPr="00E752EA">
        <w:rPr>
          <w:rFonts w:ascii="Arial" w:hAnsi="Arial" w:cs="Arial"/>
          <w:sz w:val="20"/>
        </w:rPr>
        <w:t xml:space="preserve">, P., </w:t>
      </w:r>
      <w:proofErr w:type="spellStart"/>
      <w:r w:rsidRPr="00E752EA">
        <w:rPr>
          <w:rFonts w:ascii="Arial" w:hAnsi="Arial" w:cs="Arial"/>
          <w:sz w:val="20"/>
        </w:rPr>
        <w:t>Seubnukarn</w:t>
      </w:r>
      <w:proofErr w:type="spellEnd"/>
      <w:r w:rsidRPr="00E752EA">
        <w:rPr>
          <w:rFonts w:ascii="Arial" w:hAnsi="Arial" w:cs="Arial"/>
          <w:sz w:val="20"/>
        </w:rPr>
        <w:t xml:space="preserve">, T., </w:t>
      </w:r>
      <w:proofErr w:type="spellStart"/>
      <w:r w:rsidRPr="00E752EA">
        <w:rPr>
          <w:rFonts w:ascii="Arial" w:hAnsi="Arial" w:cs="Arial"/>
          <w:sz w:val="20"/>
        </w:rPr>
        <w:t>Chanouan</w:t>
      </w:r>
      <w:proofErr w:type="spellEnd"/>
      <w:r w:rsidRPr="00E752EA">
        <w:rPr>
          <w:rFonts w:ascii="Arial" w:hAnsi="Arial" w:cs="Arial"/>
          <w:sz w:val="20"/>
        </w:rPr>
        <w:t xml:space="preserve">, R., </w:t>
      </w:r>
      <w:proofErr w:type="spellStart"/>
      <w:r w:rsidRPr="00E752EA">
        <w:rPr>
          <w:rFonts w:ascii="Arial" w:hAnsi="Arial" w:cs="Arial"/>
          <w:sz w:val="20"/>
        </w:rPr>
        <w:t>Chotchaisuwat</w:t>
      </w:r>
      <w:proofErr w:type="spellEnd"/>
      <w:r w:rsidRPr="00E752EA">
        <w:rPr>
          <w:rFonts w:ascii="Arial" w:hAnsi="Arial" w:cs="Arial"/>
          <w:sz w:val="20"/>
        </w:rPr>
        <w:t xml:space="preserve">, P., </w:t>
      </w:r>
      <w:proofErr w:type="spellStart"/>
      <w:r w:rsidRPr="00E752EA">
        <w:rPr>
          <w:rFonts w:ascii="Arial" w:hAnsi="Arial" w:cs="Arial"/>
          <w:sz w:val="20"/>
        </w:rPr>
        <w:t>Sirigulsatien</w:t>
      </w:r>
      <w:proofErr w:type="spellEnd"/>
      <w:r w:rsidRPr="00E752EA">
        <w:rPr>
          <w:rFonts w:ascii="Arial" w:hAnsi="Arial" w:cs="Arial"/>
          <w:sz w:val="20"/>
        </w:rPr>
        <w:t xml:space="preserve">, V., </w:t>
      </w:r>
      <w:proofErr w:type="spellStart"/>
      <w:r w:rsidRPr="00E752EA">
        <w:rPr>
          <w:rFonts w:ascii="Arial" w:hAnsi="Arial" w:cs="Arial"/>
          <w:sz w:val="20"/>
        </w:rPr>
        <w:t>Ingkaninan</w:t>
      </w:r>
      <w:proofErr w:type="spellEnd"/>
      <w:r w:rsidRPr="00E752EA">
        <w:rPr>
          <w:rFonts w:ascii="Arial" w:hAnsi="Arial" w:cs="Arial"/>
          <w:sz w:val="20"/>
        </w:rPr>
        <w:t xml:space="preserve">, K., </w:t>
      </w:r>
      <w:proofErr w:type="spellStart"/>
      <w:r w:rsidRPr="00E752EA">
        <w:rPr>
          <w:rFonts w:ascii="Arial" w:hAnsi="Arial" w:cs="Arial"/>
          <w:sz w:val="20"/>
        </w:rPr>
        <w:t>Plianbangchang</w:t>
      </w:r>
      <w:proofErr w:type="spellEnd"/>
      <w:r w:rsidRPr="00E752EA">
        <w:rPr>
          <w:rFonts w:ascii="Arial" w:hAnsi="Arial" w:cs="Arial"/>
          <w:sz w:val="20"/>
        </w:rPr>
        <w:t>, P., and Hain</w:t>
      </w:r>
      <w:r>
        <w:rPr>
          <w:rFonts w:ascii="Arial" w:hAnsi="Arial" w:cs="Arial"/>
          <w:sz w:val="20"/>
        </w:rPr>
        <w:t xml:space="preserve">es, H. T. </w:t>
      </w:r>
      <w:r w:rsidRPr="00E752EA">
        <w:rPr>
          <w:rFonts w:ascii="Arial" w:hAnsi="Arial" w:cs="Arial"/>
          <w:sz w:val="20"/>
        </w:rPr>
        <w:t xml:space="preserve">Hypoglycemic effect of bitter melon compared with metformin in newly diagnosed type 2 diabetes patients. J. </w:t>
      </w:r>
      <w:proofErr w:type="spellStart"/>
      <w:r w:rsidRPr="00E752EA">
        <w:rPr>
          <w:rFonts w:ascii="Arial" w:hAnsi="Arial" w:cs="Arial"/>
          <w:sz w:val="20"/>
        </w:rPr>
        <w:t>Ethnopharmacol</w:t>
      </w:r>
      <w:proofErr w:type="spellEnd"/>
      <w:r w:rsidRPr="00E752EA">
        <w:rPr>
          <w:rFonts w:ascii="Arial" w:hAnsi="Arial" w:cs="Arial"/>
          <w:sz w:val="20"/>
        </w:rPr>
        <w:t xml:space="preserve">. </w:t>
      </w:r>
      <w:r>
        <w:rPr>
          <w:rFonts w:ascii="Arial" w:hAnsi="Arial" w:cs="Arial"/>
          <w:sz w:val="20"/>
        </w:rPr>
        <w:t xml:space="preserve">2011; </w:t>
      </w:r>
      <w:r w:rsidRPr="00E752EA">
        <w:rPr>
          <w:rFonts w:ascii="Arial" w:hAnsi="Arial" w:cs="Arial"/>
          <w:sz w:val="20"/>
        </w:rPr>
        <w:t>134 (2): 422-428.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Joseph, J. K. and Antony, V. T. A taxonomic revision of the genus </w:t>
      </w:r>
      <w:r w:rsidRPr="00043B35">
        <w:rPr>
          <w:rFonts w:ascii="Arial" w:hAnsi="Arial" w:cs="Arial"/>
          <w:i/>
          <w:iCs/>
          <w:sz w:val="20"/>
        </w:rPr>
        <w:t>Momordica</w:t>
      </w:r>
      <w:r w:rsidRPr="00E752EA">
        <w:rPr>
          <w:rFonts w:ascii="Arial" w:hAnsi="Arial" w:cs="Arial"/>
          <w:sz w:val="20"/>
        </w:rPr>
        <w:t xml:space="preserve"> L. (</w:t>
      </w:r>
      <w:proofErr w:type="spellStart"/>
      <w:r w:rsidRPr="00E752EA">
        <w:rPr>
          <w:rFonts w:ascii="Arial" w:hAnsi="Arial" w:cs="Arial"/>
          <w:sz w:val="20"/>
        </w:rPr>
        <w:t>Cucurbitacaea</w:t>
      </w:r>
      <w:proofErr w:type="spellEnd"/>
      <w:r w:rsidRPr="00E752EA">
        <w:rPr>
          <w:rFonts w:ascii="Arial" w:hAnsi="Arial" w:cs="Arial"/>
          <w:sz w:val="20"/>
        </w:rPr>
        <w:t xml:space="preserve">) in India. Indian J. Plant. Genet. Res. </w:t>
      </w:r>
      <w:r>
        <w:rPr>
          <w:rFonts w:ascii="Arial" w:hAnsi="Arial" w:cs="Arial"/>
          <w:sz w:val="20"/>
        </w:rPr>
        <w:t xml:space="preserve">2010; </w:t>
      </w:r>
      <w:r w:rsidRPr="00E752EA">
        <w:rPr>
          <w:rFonts w:ascii="Arial" w:hAnsi="Arial" w:cs="Arial"/>
          <w:sz w:val="20"/>
        </w:rPr>
        <w:t>23(2): 172-18.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Kaur, G., Pathak, M., Singla, D., Sharma, A., </w:t>
      </w:r>
      <w:proofErr w:type="spellStart"/>
      <w:r w:rsidRPr="00E752EA">
        <w:rPr>
          <w:rFonts w:ascii="Arial" w:hAnsi="Arial" w:cs="Arial"/>
          <w:sz w:val="20"/>
        </w:rPr>
        <w:t>Chhuneja</w:t>
      </w:r>
      <w:proofErr w:type="spellEnd"/>
      <w:r w:rsidRPr="00E752EA">
        <w:rPr>
          <w:rFonts w:ascii="Arial" w:hAnsi="Arial" w:cs="Arial"/>
          <w:sz w:val="20"/>
        </w:rPr>
        <w:t xml:space="preserve">, P., and </w:t>
      </w:r>
      <w:proofErr w:type="spellStart"/>
      <w:r w:rsidRPr="00E752EA">
        <w:rPr>
          <w:rFonts w:ascii="Arial" w:hAnsi="Arial" w:cs="Arial"/>
          <w:sz w:val="20"/>
        </w:rPr>
        <w:t>Sarao</w:t>
      </w:r>
      <w:proofErr w:type="spellEnd"/>
      <w:r w:rsidRPr="00E752EA">
        <w:rPr>
          <w:rFonts w:ascii="Arial" w:hAnsi="Arial" w:cs="Arial"/>
          <w:sz w:val="20"/>
        </w:rPr>
        <w:t>, N. K. High-density GBS-based genetic linkage map construction and QTL identification associated with yellow mosaic disease resistance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Front. Plant Sci. </w:t>
      </w:r>
      <w:r>
        <w:rPr>
          <w:rFonts w:ascii="Arial" w:hAnsi="Arial" w:cs="Arial"/>
          <w:sz w:val="20"/>
        </w:rPr>
        <w:t xml:space="preserve">2021; </w:t>
      </w:r>
      <w:r w:rsidRPr="00E752EA">
        <w:rPr>
          <w:rFonts w:ascii="Arial" w:hAnsi="Arial" w:cs="Arial"/>
          <w:sz w:val="20"/>
        </w:rPr>
        <w:t>12:671620.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Kempthorne, O. An introduction to genetic Statistics, John Wiley and Sons,</w:t>
      </w:r>
      <w:r>
        <w:rPr>
          <w:rFonts w:ascii="Arial" w:hAnsi="Arial" w:cs="Arial"/>
          <w:sz w:val="20"/>
        </w:rPr>
        <w:t xml:space="preserve"> </w:t>
      </w:r>
      <w:r w:rsidRPr="00E752EA">
        <w:rPr>
          <w:rFonts w:ascii="Arial" w:hAnsi="Arial" w:cs="Arial"/>
          <w:sz w:val="20"/>
        </w:rPr>
        <w:t>1957</w:t>
      </w:r>
      <w:r>
        <w:rPr>
          <w:rFonts w:ascii="Arial" w:hAnsi="Arial" w:cs="Arial"/>
          <w:sz w:val="20"/>
        </w:rPr>
        <w:t>;</w:t>
      </w:r>
      <w:r w:rsidRPr="00E752EA">
        <w:rPr>
          <w:rFonts w:ascii="Arial" w:hAnsi="Arial" w:cs="Arial"/>
          <w:sz w:val="20"/>
        </w:rPr>
        <w:t xml:space="preserve"> 468- 472.</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Khan, M. H., </w:t>
      </w:r>
      <w:proofErr w:type="spellStart"/>
      <w:r w:rsidRPr="00E752EA">
        <w:rPr>
          <w:rFonts w:ascii="Arial" w:hAnsi="Arial" w:cs="Arial"/>
          <w:sz w:val="20"/>
        </w:rPr>
        <w:t>Bhyiyan</w:t>
      </w:r>
      <w:proofErr w:type="spellEnd"/>
      <w:r w:rsidRPr="00E752EA">
        <w:rPr>
          <w:rFonts w:ascii="Arial" w:hAnsi="Arial" w:cs="Arial"/>
          <w:sz w:val="20"/>
        </w:rPr>
        <w:t xml:space="preserve">, S. R., </w:t>
      </w:r>
      <w:proofErr w:type="spellStart"/>
      <w:r w:rsidRPr="00E752EA">
        <w:rPr>
          <w:rFonts w:ascii="Arial" w:hAnsi="Arial" w:cs="Arial"/>
          <w:sz w:val="20"/>
        </w:rPr>
        <w:t>Saha</w:t>
      </w:r>
      <w:proofErr w:type="spellEnd"/>
      <w:r w:rsidRPr="00E752EA">
        <w:rPr>
          <w:rFonts w:ascii="Arial" w:hAnsi="Arial" w:cs="Arial"/>
          <w:sz w:val="20"/>
        </w:rPr>
        <w:t xml:space="preserve">, K. C., </w:t>
      </w:r>
      <w:proofErr w:type="spellStart"/>
      <w:r w:rsidRPr="00E752EA">
        <w:rPr>
          <w:rFonts w:ascii="Arial" w:hAnsi="Arial" w:cs="Arial"/>
          <w:sz w:val="20"/>
        </w:rPr>
        <w:t>Bhuyin</w:t>
      </w:r>
      <w:proofErr w:type="spellEnd"/>
      <w:r w:rsidRPr="00E752EA">
        <w:rPr>
          <w:rFonts w:ascii="Arial" w:hAnsi="Arial" w:cs="Arial"/>
          <w:sz w:val="20"/>
        </w:rPr>
        <w:t xml:space="preserve">, </w:t>
      </w:r>
      <w:r>
        <w:rPr>
          <w:rFonts w:ascii="Arial" w:hAnsi="Arial" w:cs="Arial"/>
          <w:sz w:val="20"/>
        </w:rPr>
        <w:t xml:space="preserve">M. R., and Ali, A. S. M. Y. </w:t>
      </w:r>
      <w:r w:rsidRPr="00E752EA">
        <w:rPr>
          <w:rFonts w:ascii="Arial" w:hAnsi="Arial" w:cs="Arial"/>
          <w:sz w:val="20"/>
        </w:rPr>
        <w:t>Variability, correlation and path co-efficient analysis of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Bangladesh J. Agric. Res. </w:t>
      </w:r>
      <w:r>
        <w:rPr>
          <w:rFonts w:ascii="Arial" w:hAnsi="Arial" w:cs="Arial"/>
          <w:sz w:val="20"/>
        </w:rPr>
        <w:t xml:space="preserve">2015; </w:t>
      </w:r>
      <w:r w:rsidRPr="00E752EA">
        <w:rPr>
          <w:rFonts w:ascii="Arial" w:hAnsi="Arial" w:cs="Arial"/>
          <w:sz w:val="20"/>
        </w:rPr>
        <w:t>40(4): 607-618.</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Kumar, A., Kumar, P., </w:t>
      </w:r>
      <w:proofErr w:type="spellStart"/>
      <w:r w:rsidRPr="00E752EA">
        <w:rPr>
          <w:rFonts w:ascii="Arial" w:hAnsi="Arial" w:cs="Arial"/>
          <w:sz w:val="20"/>
        </w:rPr>
        <w:t>Siwach</w:t>
      </w:r>
      <w:proofErr w:type="spellEnd"/>
      <w:r w:rsidRPr="00E752EA">
        <w:rPr>
          <w:rFonts w:ascii="Arial" w:hAnsi="Arial" w:cs="Arial"/>
          <w:sz w:val="20"/>
        </w:rPr>
        <w:t>, J., Sharma, V., Bhandari, S. and Basavara</w:t>
      </w:r>
      <w:r>
        <w:rPr>
          <w:rFonts w:ascii="Arial" w:hAnsi="Arial" w:cs="Arial"/>
          <w:sz w:val="20"/>
        </w:rPr>
        <w:t>j, Y. B.</w:t>
      </w:r>
      <w:r w:rsidRPr="00E752EA">
        <w:rPr>
          <w:rFonts w:ascii="Arial" w:hAnsi="Arial" w:cs="Arial"/>
          <w:sz w:val="20"/>
        </w:rPr>
        <w:t xml:space="preserve"> Occurrence of </w:t>
      </w:r>
      <w:r w:rsidR="00043B35">
        <w:rPr>
          <w:rFonts w:ascii="Arial" w:hAnsi="Arial" w:cs="Arial"/>
          <w:sz w:val="20"/>
        </w:rPr>
        <w:t>p</w:t>
      </w:r>
      <w:r w:rsidRPr="00E752EA">
        <w:rPr>
          <w:rFonts w:ascii="Arial" w:hAnsi="Arial" w:cs="Arial"/>
          <w:sz w:val="20"/>
        </w:rPr>
        <w:t xml:space="preserve">apaya </w:t>
      </w:r>
      <w:r w:rsidR="00043B35">
        <w:rPr>
          <w:rFonts w:ascii="Arial" w:hAnsi="Arial" w:cs="Arial"/>
          <w:sz w:val="20"/>
        </w:rPr>
        <w:t>r</w:t>
      </w:r>
      <w:r w:rsidRPr="00E752EA">
        <w:rPr>
          <w:rFonts w:ascii="Arial" w:hAnsi="Arial" w:cs="Arial"/>
          <w:sz w:val="20"/>
        </w:rPr>
        <w:t xml:space="preserve">ingspot </w:t>
      </w:r>
      <w:r w:rsidR="00043B35">
        <w:rPr>
          <w:rFonts w:ascii="Arial" w:hAnsi="Arial" w:cs="Arial"/>
          <w:sz w:val="20"/>
        </w:rPr>
        <w:t>v</w:t>
      </w:r>
      <w:r w:rsidRPr="00E752EA">
        <w:rPr>
          <w:rFonts w:ascii="Arial" w:hAnsi="Arial" w:cs="Arial"/>
          <w:sz w:val="20"/>
        </w:rPr>
        <w:t xml:space="preserve">irus (PRSV) infection in India. J. </w:t>
      </w:r>
      <w:proofErr w:type="spellStart"/>
      <w:r w:rsidRPr="00E752EA">
        <w:rPr>
          <w:rFonts w:ascii="Arial" w:hAnsi="Arial" w:cs="Arial"/>
          <w:sz w:val="20"/>
        </w:rPr>
        <w:t>Pharmacogn</w:t>
      </w:r>
      <w:proofErr w:type="spellEnd"/>
      <w:r w:rsidRPr="00E752EA">
        <w:rPr>
          <w:rFonts w:ascii="Arial" w:hAnsi="Arial" w:cs="Arial"/>
          <w:sz w:val="20"/>
        </w:rPr>
        <w:t xml:space="preserve">. </w:t>
      </w:r>
      <w:proofErr w:type="spellStart"/>
      <w:r w:rsidRPr="00E752EA">
        <w:rPr>
          <w:rFonts w:ascii="Arial" w:hAnsi="Arial" w:cs="Arial"/>
          <w:sz w:val="20"/>
        </w:rPr>
        <w:t>Phytochem</w:t>
      </w:r>
      <w:proofErr w:type="spellEnd"/>
      <w:r w:rsidRPr="00E752EA">
        <w:rPr>
          <w:rFonts w:ascii="Arial" w:hAnsi="Arial" w:cs="Arial"/>
          <w:sz w:val="20"/>
        </w:rPr>
        <w:t xml:space="preserve">. </w:t>
      </w:r>
      <w:r>
        <w:rPr>
          <w:rFonts w:ascii="Arial" w:hAnsi="Arial" w:cs="Arial"/>
          <w:sz w:val="20"/>
        </w:rPr>
        <w:t xml:space="preserve">2021; </w:t>
      </w:r>
      <w:r w:rsidRPr="00E752EA">
        <w:rPr>
          <w:rFonts w:ascii="Arial" w:hAnsi="Arial" w:cs="Arial"/>
          <w:sz w:val="20"/>
        </w:rPr>
        <w:t>10(2): 110-113.</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Kumar, A., Singh, B.K., Sin</w:t>
      </w:r>
      <w:r>
        <w:rPr>
          <w:rFonts w:ascii="Arial" w:hAnsi="Arial" w:cs="Arial"/>
          <w:sz w:val="20"/>
        </w:rPr>
        <w:t xml:space="preserve">gh, A.K., and Anand, P.K. </w:t>
      </w:r>
      <w:r w:rsidRPr="00E752EA">
        <w:rPr>
          <w:rFonts w:ascii="Arial" w:hAnsi="Arial" w:cs="Arial"/>
          <w:sz w:val="20"/>
        </w:rPr>
        <w:t>Combining ability analysis for yield and yield contributing traits in bitter gourd. I</w:t>
      </w:r>
      <w:r w:rsidR="004D1E5F">
        <w:rPr>
          <w:rFonts w:ascii="Arial" w:hAnsi="Arial" w:cs="Arial"/>
          <w:sz w:val="20"/>
        </w:rPr>
        <w:t xml:space="preserve">nt. </w:t>
      </w:r>
      <w:r w:rsidRPr="00E752EA">
        <w:rPr>
          <w:rFonts w:ascii="Arial" w:hAnsi="Arial" w:cs="Arial"/>
          <w:sz w:val="20"/>
        </w:rPr>
        <w:t>J</w:t>
      </w:r>
      <w:r w:rsidR="004D1E5F">
        <w:rPr>
          <w:rFonts w:ascii="Arial" w:hAnsi="Arial" w:cs="Arial"/>
          <w:sz w:val="20"/>
        </w:rPr>
        <w:t xml:space="preserve">. </w:t>
      </w:r>
      <w:r w:rsidRPr="00E752EA">
        <w:rPr>
          <w:rFonts w:ascii="Arial" w:hAnsi="Arial" w:cs="Arial"/>
          <w:sz w:val="20"/>
        </w:rPr>
        <w:t>A</w:t>
      </w:r>
      <w:r w:rsidR="004D1E5F">
        <w:rPr>
          <w:rFonts w:ascii="Arial" w:hAnsi="Arial" w:cs="Arial"/>
          <w:sz w:val="20"/>
        </w:rPr>
        <w:t xml:space="preserve">ppl. </w:t>
      </w:r>
      <w:r w:rsidRPr="00E752EA">
        <w:rPr>
          <w:rFonts w:ascii="Arial" w:hAnsi="Arial" w:cs="Arial"/>
          <w:sz w:val="20"/>
        </w:rPr>
        <w:t>A</w:t>
      </w:r>
      <w:r w:rsidR="004D1E5F">
        <w:rPr>
          <w:rFonts w:ascii="Arial" w:hAnsi="Arial" w:cs="Arial"/>
          <w:sz w:val="20"/>
        </w:rPr>
        <w:t xml:space="preserve">gric. </w:t>
      </w:r>
      <w:r w:rsidRPr="00E752EA">
        <w:rPr>
          <w:rFonts w:ascii="Arial" w:hAnsi="Arial" w:cs="Arial"/>
          <w:sz w:val="20"/>
        </w:rPr>
        <w:t>S</w:t>
      </w:r>
      <w:r w:rsidR="004D1E5F">
        <w:rPr>
          <w:rFonts w:ascii="Arial" w:hAnsi="Arial" w:cs="Arial"/>
          <w:sz w:val="20"/>
        </w:rPr>
        <w:t xml:space="preserve">ci. </w:t>
      </w:r>
      <w:r>
        <w:rPr>
          <w:rFonts w:ascii="Arial" w:hAnsi="Arial" w:cs="Arial"/>
          <w:sz w:val="20"/>
        </w:rPr>
        <w:t xml:space="preserve"> 2016;</w:t>
      </w:r>
      <w:r w:rsidRPr="00E752EA">
        <w:rPr>
          <w:rFonts w:ascii="Arial" w:hAnsi="Arial" w:cs="Arial"/>
          <w:sz w:val="20"/>
        </w:rPr>
        <w:t xml:space="preserve"> 2(1):50-54.</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Kumar, S., Bhardwaj, A., Kumar, R., Singh, R. S., Jain, K., Singh, P., a</w:t>
      </w:r>
      <w:r>
        <w:rPr>
          <w:rFonts w:ascii="Arial" w:hAnsi="Arial" w:cs="Arial"/>
          <w:sz w:val="20"/>
        </w:rPr>
        <w:t xml:space="preserve">nd Sunny, S. S. </w:t>
      </w:r>
      <w:r w:rsidRPr="00E752EA">
        <w:rPr>
          <w:rFonts w:ascii="Arial" w:hAnsi="Arial" w:cs="Arial"/>
          <w:sz w:val="20"/>
        </w:rPr>
        <w:t xml:space="preserve">Morphological and molecular diversity analysis in bitter gourd. Pharma </w:t>
      </w:r>
      <w:proofErr w:type="spellStart"/>
      <w:r w:rsidRPr="00E752EA">
        <w:rPr>
          <w:rFonts w:ascii="Arial" w:hAnsi="Arial" w:cs="Arial"/>
          <w:sz w:val="20"/>
        </w:rPr>
        <w:t>Innov</w:t>
      </w:r>
      <w:proofErr w:type="spellEnd"/>
      <w:r w:rsidRPr="00E752EA">
        <w:rPr>
          <w:rFonts w:ascii="Arial" w:hAnsi="Arial" w:cs="Arial"/>
          <w:sz w:val="20"/>
        </w:rPr>
        <w:t xml:space="preserve">. </w:t>
      </w:r>
      <w:r>
        <w:rPr>
          <w:rFonts w:ascii="Arial" w:hAnsi="Arial" w:cs="Arial"/>
          <w:sz w:val="20"/>
        </w:rPr>
        <w:t>2020;</w:t>
      </w:r>
      <w:r w:rsidRPr="00E752EA">
        <w:rPr>
          <w:rFonts w:ascii="Arial" w:hAnsi="Arial" w:cs="Arial"/>
          <w:sz w:val="20"/>
        </w:rPr>
        <w:t xml:space="preserve"> 9:94-100.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lastRenderedPageBreak/>
        <w:t>Martín-H</w:t>
      </w:r>
      <w:r>
        <w:rPr>
          <w:rFonts w:ascii="Arial" w:hAnsi="Arial" w:cs="Arial"/>
          <w:sz w:val="20"/>
        </w:rPr>
        <w:t xml:space="preserve">ernández, A.M. and </w:t>
      </w:r>
      <w:proofErr w:type="spellStart"/>
      <w:r>
        <w:rPr>
          <w:rFonts w:ascii="Arial" w:hAnsi="Arial" w:cs="Arial"/>
          <w:sz w:val="20"/>
        </w:rPr>
        <w:t>Picó</w:t>
      </w:r>
      <w:proofErr w:type="spellEnd"/>
      <w:r>
        <w:rPr>
          <w:rFonts w:ascii="Arial" w:hAnsi="Arial" w:cs="Arial"/>
          <w:sz w:val="20"/>
        </w:rPr>
        <w:t>, B.</w:t>
      </w:r>
      <w:r w:rsidRPr="00E752EA">
        <w:rPr>
          <w:rFonts w:ascii="Arial" w:hAnsi="Arial" w:cs="Arial"/>
          <w:sz w:val="20"/>
        </w:rPr>
        <w:t xml:space="preserve"> Natural </w:t>
      </w:r>
      <w:r w:rsidR="006E1D46">
        <w:rPr>
          <w:rFonts w:ascii="Arial" w:hAnsi="Arial" w:cs="Arial"/>
          <w:sz w:val="20"/>
        </w:rPr>
        <w:t>r</w:t>
      </w:r>
      <w:r w:rsidRPr="00E752EA">
        <w:rPr>
          <w:rFonts w:ascii="Arial" w:hAnsi="Arial" w:cs="Arial"/>
          <w:sz w:val="20"/>
        </w:rPr>
        <w:t xml:space="preserve">esistances to </w:t>
      </w:r>
      <w:r w:rsidR="006E1D46">
        <w:rPr>
          <w:rFonts w:ascii="Arial" w:hAnsi="Arial" w:cs="Arial"/>
          <w:sz w:val="20"/>
        </w:rPr>
        <w:t>viruses in c</w:t>
      </w:r>
      <w:r w:rsidRPr="00E752EA">
        <w:rPr>
          <w:rFonts w:ascii="Arial" w:hAnsi="Arial" w:cs="Arial"/>
          <w:sz w:val="20"/>
        </w:rPr>
        <w:t xml:space="preserve">ucurbits. </w:t>
      </w:r>
      <w:proofErr w:type="spellStart"/>
      <w:r w:rsidRPr="00E752EA">
        <w:rPr>
          <w:rFonts w:ascii="Arial" w:hAnsi="Arial" w:cs="Arial"/>
          <w:sz w:val="20"/>
        </w:rPr>
        <w:t>Agron</w:t>
      </w:r>
      <w:proofErr w:type="spellEnd"/>
      <w:r w:rsidR="006E1D46">
        <w:rPr>
          <w:rFonts w:ascii="Arial" w:hAnsi="Arial" w:cs="Arial"/>
          <w:sz w:val="20"/>
        </w:rPr>
        <w:t>.</w:t>
      </w:r>
      <w:r w:rsidRPr="00E752EA">
        <w:rPr>
          <w:rFonts w:ascii="Arial" w:hAnsi="Arial" w:cs="Arial"/>
          <w:sz w:val="20"/>
        </w:rPr>
        <w:t xml:space="preserve"> </w:t>
      </w:r>
      <w:r>
        <w:rPr>
          <w:rFonts w:ascii="Arial" w:hAnsi="Arial" w:cs="Arial"/>
          <w:sz w:val="20"/>
        </w:rPr>
        <w:t xml:space="preserve">2021; </w:t>
      </w:r>
      <w:r w:rsidRPr="00E752EA">
        <w:rPr>
          <w:rFonts w:ascii="Arial" w:hAnsi="Arial" w:cs="Arial"/>
          <w:sz w:val="20"/>
        </w:rPr>
        <w:t xml:space="preserve">11:23.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Mishra, D., Singh, A.K., Singh, P., </w:t>
      </w:r>
      <w:proofErr w:type="spellStart"/>
      <w:r w:rsidRPr="00E752EA">
        <w:rPr>
          <w:rFonts w:ascii="Arial" w:hAnsi="Arial" w:cs="Arial"/>
          <w:sz w:val="20"/>
        </w:rPr>
        <w:t>Pattnaik</w:t>
      </w:r>
      <w:proofErr w:type="spellEnd"/>
      <w:r w:rsidRPr="00E752EA">
        <w:rPr>
          <w:rFonts w:ascii="Arial" w:hAnsi="Arial" w:cs="Arial"/>
          <w:sz w:val="20"/>
        </w:rPr>
        <w:t xml:space="preserve">, P., Kumar, B., Singh, B.J., </w:t>
      </w:r>
      <w:r>
        <w:rPr>
          <w:rFonts w:ascii="Arial" w:hAnsi="Arial" w:cs="Arial"/>
          <w:sz w:val="20"/>
        </w:rPr>
        <w:t xml:space="preserve">Pal, A.K., and Barman, K. </w:t>
      </w:r>
      <w:r w:rsidRPr="00E752EA">
        <w:rPr>
          <w:rFonts w:ascii="Arial" w:hAnsi="Arial" w:cs="Arial"/>
          <w:sz w:val="20"/>
        </w:rPr>
        <w:t>Combining ability estimates for yield and quality traits in line × tester crosses of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Int. J. Chem. Studies</w:t>
      </w:r>
      <w:r>
        <w:rPr>
          <w:rFonts w:ascii="Arial" w:hAnsi="Arial" w:cs="Arial"/>
          <w:sz w:val="20"/>
        </w:rPr>
        <w:t xml:space="preserve"> 2021;</w:t>
      </w:r>
      <w:r w:rsidRPr="00E752EA">
        <w:rPr>
          <w:rFonts w:ascii="Arial" w:hAnsi="Arial" w:cs="Arial"/>
          <w:sz w:val="20"/>
        </w:rPr>
        <w:t xml:space="preserve"> 9(1): 2980-2984.</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Naik, K. B. P., Dalai, S., </w:t>
      </w:r>
      <w:proofErr w:type="spellStart"/>
      <w:r w:rsidRPr="00E752EA">
        <w:rPr>
          <w:rFonts w:ascii="Arial" w:hAnsi="Arial" w:cs="Arial"/>
          <w:sz w:val="20"/>
        </w:rPr>
        <w:t>Mallikarjunarao</w:t>
      </w:r>
      <w:proofErr w:type="spellEnd"/>
      <w:r w:rsidRPr="00E752EA">
        <w:rPr>
          <w:rFonts w:ascii="Arial" w:hAnsi="Arial" w:cs="Arial"/>
          <w:sz w:val="20"/>
        </w:rPr>
        <w:t>, K., and Kumar, P. Heterosis studies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for yield and yield attributes. Int</w:t>
      </w:r>
      <w:r w:rsidR="006E1D46">
        <w:rPr>
          <w:rFonts w:ascii="Arial" w:hAnsi="Arial" w:cs="Arial"/>
          <w:sz w:val="20"/>
        </w:rPr>
        <w:t>.</w:t>
      </w:r>
      <w:r w:rsidRPr="00E752EA">
        <w:rPr>
          <w:rFonts w:ascii="Arial" w:hAnsi="Arial" w:cs="Arial"/>
          <w:sz w:val="20"/>
        </w:rPr>
        <w:t xml:space="preserve"> J</w:t>
      </w:r>
      <w:r w:rsidR="006E1D46">
        <w:rPr>
          <w:rFonts w:ascii="Arial" w:hAnsi="Arial" w:cs="Arial"/>
          <w:sz w:val="20"/>
        </w:rPr>
        <w:t>.</w:t>
      </w:r>
      <w:r w:rsidRPr="00E752EA">
        <w:rPr>
          <w:rFonts w:ascii="Arial" w:hAnsi="Arial" w:cs="Arial"/>
          <w:sz w:val="20"/>
        </w:rPr>
        <w:t xml:space="preserve"> Chem</w:t>
      </w:r>
      <w:r w:rsidR="006E1D46">
        <w:rPr>
          <w:rFonts w:ascii="Arial" w:hAnsi="Arial" w:cs="Arial"/>
          <w:sz w:val="20"/>
        </w:rPr>
        <w:t>.</w:t>
      </w:r>
      <w:r w:rsidRPr="00E752EA">
        <w:rPr>
          <w:rFonts w:ascii="Arial" w:hAnsi="Arial" w:cs="Arial"/>
          <w:sz w:val="20"/>
        </w:rPr>
        <w:t xml:space="preserve"> Stud. </w:t>
      </w:r>
      <w:r>
        <w:rPr>
          <w:rFonts w:ascii="Arial" w:hAnsi="Arial" w:cs="Arial"/>
          <w:sz w:val="20"/>
        </w:rPr>
        <w:t xml:space="preserve">2020; </w:t>
      </w:r>
      <w:r w:rsidRPr="00E752EA">
        <w:rPr>
          <w:rFonts w:ascii="Arial" w:hAnsi="Arial" w:cs="Arial"/>
          <w:sz w:val="20"/>
        </w:rPr>
        <w:t>8(5): 2615-2618.</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Panse</w:t>
      </w:r>
      <w:proofErr w:type="spellEnd"/>
      <w:r w:rsidRPr="00E752EA">
        <w:rPr>
          <w:rFonts w:ascii="Arial" w:hAnsi="Arial" w:cs="Arial"/>
          <w:sz w:val="20"/>
        </w:rPr>
        <w:t xml:space="preserve">, V.G. and </w:t>
      </w:r>
      <w:proofErr w:type="spellStart"/>
      <w:r w:rsidRPr="00E752EA">
        <w:rPr>
          <w:rFonts w:ascii="Arial" w:hAnsi="Arial" w:cs="Arial"/>
          <w:sz w:val="20"/>
        </w:rPr>
        <w:t>Sukhathme</w:t>
      </w:r>
      <w:proofErr w:type="spellEnd"/>
      <w:r w:rsidRPr="00E752EA">
        <w:rPr>
          <w:rFonts w:ascii="Arial" w:hAnsi="Arial" w:cs="Arial"/>
          <w:sz w:val="20"/>
        </w:rPr>
        <w:t xml:space="preserve">, P.V. Statistical Methods for Agricultural Workers (2nd Ed.). Indian Council of Agricultural Research, New Delhi, </w:t>
      </w:r>
      <w:r>
        <w:rPr>
          <w:rFonts w:ascii="Arial" w:hAnsi="Arial" w:cs="Arial"/>
          <w:sz w:val="20"/>
        </w:rPr>
        <w:t xml:space="preserve">1985; </w:t>
      </w:r>
      <w:r w:rsidRPr="00E752EA">
        <w:rPr>
          <w:rFonts w:ascii="Arial" w:hAnsi="Arial" w:cs="Arial"/>
          <w:sz w:val="20"/>
        </w:rPr>
        <w:t>381</w:t>
      </w:r>
      <w:r w:rsidR="006E1D46">
        <w:rPr>
          <w:rFonts w:ascii="Arial" w:hAnsi="Arial" w:cs="Arial"/>
          <w:sz w:val="20"/>
        </w:rPr>
        <w:t>p</w:t>
      </w:r>
      <w:r w:rsidRPr="00E752EA">
        <w:rPr>
          <w:rFonts w:ascii="Arial" w:hAnsi="Arial" w:cs="Arial"/>
          <w:sz w:val="20"/>
        </w:rPr>
        <w:t>.</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Rani, K. R., Raju, C. S. and Reddy, K. R. Variability, correlation and path analysis studies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Agric. Sci. Dig. Res. J. </w:t>
      </w:r>
      <w:r>
        <w:rPr>
          <w:rFonts w:ascii="Arial" w:hAnsi="Arial" w:cs="Arial"/>
          <w:sz w:val="20"/>
        </w:rPr>
        <w:t xml:space="preserve">2015; </w:t>
      </w:r>
      <w:r w:rsidRPr="00E752EA">
        <w:rPr>
          <w:rFonts w:ascii="Arial" w:hAnsi="Arial" w:cs="Arial"/>
          <w:sz w:val="20"/>
        </w:rPr>
        <w:t>35(2): 106-110.</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Rathod, V., Behera, T.K., Mu</w:t>
      </w:r>
      <w:r>
        <w:rPr>
          <w:rFonts w:ascii="Arial" w:hAnsi="Arial" w:cs="Arial"/>
          <w:sz w:val="20"/>
        </w:rPr>
        <w:t xml:space="preserve">nshi, A.D., and </w:t>
      </w:r>
      <w:proofErr w:type="spellStart"/>
      <w:r>
        <w:rPr>
          <w:rFonts w:ascii="Arial" w:hAnsi="Arial" w:cs="Arial"/>
          <w:sz w:val="20"/>
        </w:rPr>
        <w:t>Jat</w:t>
      </w:r>
      <w:proofErr w:type="spellEnd"/>
      <w:r>
        <w:rPr>
          <w:rFonts w:ascii="Arial" w:hAnsi="Arial" w:cs="Arial"/>
          <w:sz w:val="20"/>
        </w:rPr>
        <w:t xml:space="preserve">, G.S. </w:t>
      </w:r>
      <w:r w:rsidRPr="00E752EA">
        <w:rPr>
          <w:rFonts w:ascii="Arial" w:hAnsi="Arial" w:cs="Arial"/>
          <w:sz w:val="20"/>
        </w:rPr>
        <w:t>Vinod</w:t>
      </w:r>
      <w:r>
        <w:rPr>
          <w:rFonts w:ascii="Arial" w:hAnsi="Arial" w:cs="Arial"/>
          <w:sz w:val="20"/>
        </w:rPr>
        <w:t xml:space="preserve">. </w:t>
      </w:r>
      <w:proofErr w:type="spellStart"/>
      <w:r w:rsidRPr="00E752EA">
        <w:rPr>
          <w:rFonts w:ascii="Arial" w:hAnsi="Arial" w:cs="Arial"/>
          <w:sz w:val="20"/>
        </w:rPr>
        <w:t>Crossability</w:t>
      </w:r>
      <w:proofErr w:type="spellEnd"/>
      <w:r w:rsidRPr="00E752EA">
        <w:rPr>
          <w:rFonts w:ascii="Arial" w:hAnsi="Arial" w:cs="Arial"/>
          <w:sz w:val="20"/>
        </w:rPr>
        <w:t xml:space="preserve"> studies among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var. </w:t>
      </w:r>
      <w:proofErr w:type="spellStart"/>
      <w:r w:rsidRPr="00E752EA">
        <w:rPr>
          <w:rFonts w:ascii="Arial" w:hAnsi="Arial" w:cs="Arial"/>
          <w:sz w:val="20"/>
        </w:rPr>
        <w:t>charantia</w:t>
      </w:r>
      <w:proofErr w:type="spellEnd"/>
      <w:r w:rsidRPr="00E752EA">
        <w:rPr>
          <w:rFonts w:ascii="Arial" w:hAnsi="Arial" w:cs="Arial"/>
          <w:sz w:val="20"/>
        </w:rPr>
        <w:t xml:space="preserve"> and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var. </w:t>
      </w:r>
      <w:proofErr w:type="spellStart"/>
      <w:r w:rsidRPr="00E752EA">
        <w:rPr>
          <w:rFonts w:ascii="Arial" w:hAnsi="Arial" w:cs="Arial"/>
          <w:sz w:val="20"/>
        </w:rPr>
        <w:t>muricata</w:t>
      </w:r>
      <w:proofErr w:type="spellEnd"/>
      <w:r w:rsidRPr="00E752EA">
        <w:rPr>
          <w:rFonts w:ascii="Arial" w:hAnsi="Arial" w:cs="Arial"/>
          <w:sz w:val="20"/>
        </w:rPr>
        <w:t xml:space="preserve">. Indian J. Agric. Sci. </w:t>
      </w:r>
      <w:r>
        <w:rPr>
          <w:rFonts w:ascii="Arial" w:hAnsi="Arial" w:cs="Arial"/>
          <w:sz w:val="20"/>
        </w:rPr>
        <w:t xml:space="preserve">2019; </w:t>
      </w:r>
      <w:r w:rsidRPr="00E752EA">
        <w:rPr>
          <w:rFonts w:ascii="Arial" w:hAnsi="Arial" w:cs="Arial"/>
          <w:sz w:val="20"/>
        </w:rPr>
        <w:t>89: 1900–1905.</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Reshmika</w:t>
      </w:r>
      <w:proofErr w:type="spellEnd"/>
      <w:r w:rsidRPr="00E752EA">
        <w:rPr>
          <w:rFonts w:ascii="Arial" w:hAnsi="Arial" w:cs="Arial"/>
          <w:sz w:val="20"/>
        </w:rPr>
        <w:t xml:space="preserve">, P.K., </w:t>
      </w:r>
      <w:proofErr w:type="spellStart"/>
      <w:r w:rsidRPr="00E752EA">
        <w:rPr>
          <w:rFonts w:ascii="Arial" w:hAnsi="Arial" w:cs="Arial"/>
          <w:sz w:val="20"/>
        </w:rPr>
        <w:t>Pradeepkumar</w:t>
      </w:r>
      <w:proofErr w:type="spellEnd"/>
      <w:r w:rsidRPr="00E752EA">
        <w:rPr>
          <w:rFonts w:ascii="Arial" w:hAnsi="Arial" w:cs="Arial"/>
          <w:sz w:val="20"/>
        </w:rPr>
        <w:t xml:space="preserve">, T., Krishnan, S. and </w:t>
      </w:r>
      <w:proofErr w:type="spellStart"/>
      <w:r w:rsidRPr="00E752EA">
        <w:rPr>
          <w:rFonts w:ascii="Arial" w:hAnsi="Arial" w:cs="Arial"/>
          <w:sz w:val="20"/>
        </w:rPr>
        <w:t>Sureshkumar</w:t>
      </w:r>
      <w:proofErr w:type="spellEnd"/>
      <w:r w:rsidRPr="00E752EA">
        <w:rPr>
          <w:rFonts w:ascii="Arial" w:hAnsi="Arial" w:cs="Arial"/>
          <w:sz w:val="20"/>
        </w:rPr>
        <w:t>,</w:t>
      </w:r>
      <w:r w:rsidR="006E1D46">
        <w:rPr>
          <w:rFonts w:ascii="Arial" w:hAnsi="Arial" w:cs="Arial"/>
          <w:sz w:val="20"/>
        </w:rPr>
        <w:t xml:space="preserve"> P. Evaluation of bitter gourd h</w:t>
      </w:r>
      <w:r w:rsidRPr="00E752EA">
        <w:rPr>
          <w:rFonts w:ascii="Arial" w:hAnsi="Arial" w:cs="Arial"/>
          <w:sz w:val="20"/>
        </w:rPr>
        <w:t xml:space="preserve">ybrids. </w:t>
      </w:r>
      <w:proofErr w:type="spellStart"/>
      <w:r w:rsidRPr="00E752EA">
        <w:rPr>
          <w:rFonts w:ascii="Arial" w:hAnsi="Arial" w:cs="Arial"/>
          <w:sz w:val="20"/>
        </w:rPr>
        <w:t>Electr</w:t>
      </w:r>
      <w:proofErr w:type="spellEnd"/>
      <w:r w:rsidRPr="00E752EA">
        <w:rPr>
          <w:rFonts w:ascii="Arial" w:hAnsi="Arial" w:cs="Arial"/>
          <w:sz w:val="20"/>
        </w:rPr>
        <w:t>. J. Plant Breed.</w:t>
      </w:r>
      <w:r>
        <w:rPr>
          <w:rFonts w:ascii="Arial" w:hAnsi="Arial" w:cs="Arial"/>
          <w:sz w:val="20"/>
        </w:rPr>
        <w:t xml:space="preserve"> 2019;</w:t>
      </w:r>
      <w:r w:rsidRPr="00E752EA">
        <w:rPr>
          <w:rFonts w:ascii="Arial" w:hAnsi="Arial" w:cs="Arial"/>
          <w:sz w:val="20"/>
        </w:rPr>
        <w:t xml:space="preserve"> 10(4): 1617-1623.</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Sharma, N., Sharma, N.K. and Malik, Y.S. Estimation of genetic variation in bottle gourd (</w:t>
      </w:r>
      <w:proofErr w:type="spellStart"/>
      <w:r w:rsidRPr="00E752EA">
        <w:rPr>
          <w:rFonts w:ascii="Arial" w:hAnsi="Arial" w:cs="Arial"/>
          <w:i/>
          <w:sz w:val="20"/>
        </w:rPr>
        <w:t>Lagenaria</w:t>
      </w:r>
      <w:proofErr w:type="spellEnd"/>
      <w:r w:rsidRPr="00E752EA">
        <w:rPr>
          <w:rFonts w:ascii="Arial" w:hAnsi="Arial" w:cs="Arial"/>
          <w:i/>
          <w:sz w:val="20"/>
        </w:rPr>
        <w:t xml:space="preserve"> </w:t>
      </w:r>
      <w:proofErr w:type="spellStart"/>
      <w:r w:rsidRPr="00E752EA">
        <w:rPr>
          <w:rFonts w:ascii="Arial" w:hAnsi="Arial" w:cs="Arial"/>
          <w:i/>
          <w:sz w:val="20"/>
        </w:rPr>
        <w:t>siceraria</w:t>
      </w:r>
      <w:proofErr w:type="spellEnd"/>
      <w:r w:rsidRPr="00E752EA">
        <w:rPr>
          <w:rFonts w:ascii="Arial" w:hAnsi="Arial" w:cs="Arial"/>
          <w:sz w:val="20"/>
        </w:rPr>
        <w:t xml:space="preserve"> (Molina) </w:t>
      </w:r>
      <w:proofErr w:type="spellStart"/>
      <w:r w:rsidRPr="00E752EA">
        <w:rPr>
          <w:rFonts w:ascii="Arial" w:hAnsi="Arial" w:cs="Arial"/>
          <w:sz w:val="20"/>
        </w:rPr>
        <w:t>Standl</w:t>
      </w:r>
      <w:proofErr w:type="spellEnd"/>
      <w:r w:rsidRPr="00E752EA">
        <w:rPr>
          <w:rFonts w:ascii="Arial" w:hAnsi="Arial" w:cs="Arial"/>
          <w:sz w:val="20"/>
        </w:rPr>
        <w:t>.). Haryana J</w:t>
      </w:r>
      <w:r w:rsidR="006E1D46">
        <w:rPr>
          <w:rFonts w:ascii="Arial" w:hAnsi="Arial" w:cs="Arial"/>
          <w:sz w:val="20"/>
        </w:rPr>
        <w:t xml:space="preserve">. </w:t>
      </w:r>
      <w:proofErr w:type="spellStart"/>
      <w:r w:rsidRPr="00E752EA">
        <w:rPr>
          <w:rFonts w:ascii="Arial" w:hAnsi="Arial" w:cs="Arial"/>
          <w:sz w:val="20"/>
        </w:rPr>
        <w:t>Hortic</w:t>
      </w:r>
      <w:proofErr w:type="spellEnd"/>
      <w:r w:rsidR="006E1D46">
        <w:rPr>
          <w:rFonts w:ascii="Arial" w:hAnsi="Arial" w:cs="Arial"/>
          <w:sz w:val="20"/>
        </w:rPr>
        <w:t>.</w:t>
      </w:r>
      <w:r w:rsidRPr="00E752EA">
        <w:rPr>
          <w:rFonts w:ascii="Arial" w:hAnsi="Arial" w:cs="Arial"/>
          <w:sz w:val="20"/>
        </w:rPr>
        <w:t xml:space="preserve"> Sci</w:t>
      </w:r>
      <w:r w:rsidR="006E1D46">
        <w:rPr>
          <w:rFonts w:ascii="Arial" w:hAnsi="Arial" w:cs="Arial"/>
          <w:sz w:val="20"/>
        </w:rPr>
        <w:t>.</w:t>
      </w:r>
      <w:r w:rsidRPr="00E752EA">
        <w:rPr>
          <w:rFonts w:ascii="Arial" w:hAnsi="Arial" w:cs="Arial"/>
          <w:sz w:val="20"/>
        </w:rPr>
        <w:t xml:space="preserve"> 2010</w:t>
      </w:r>
      <w:r>
        <w:rPr>
          <w:rFonts w:ascii="Arial" w:hAnsi="Arial" w:cs="Arial"/>
          <w:sz w:val="20"/>
        </w:rPr>
        <w:t>;</w:t>
      </w:r>
      <w:r w:rsidRPr="00E752EA">
        <w:rPr>
          <w:rFonts w:ascii="Arial" w:hAnsi="Arial" w:cs="Arial"/>
          <w:sz w:val="20"/>
        </w:rPr>
        <w:t xml:space="preserve"> 39(3/4): 313-315.</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Singh, A. K., Pan, R. S. and Bhavana, P. Heterosis and combining ability analysis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006E1D46">
        <w:rPr>
          <w:rFonts w:ascii="Arial" w:hAnsi="Arial" w:cs="Arial"/>
          <w:sz w:val="20"/>
        </w:rPr>
        <w:t xml:space="preserve"> L.).  Bio</w:t>
      </w:r>
      <w:r w:rsidRPr="00E752EA">
        <w:rPr>
          <w:rFonts w:ascii="Arial" w:hAnsi="Arial" w:cs="Arial"/>
          <w:sz w:val="20"/>
        </w:rPr>
        <w:t>scan</w:t>
      </w:r>
      <w:r>
        <w:rPr>
          <w:rFonts w:ascii="Arial" w:hAnsi="Arial" w:cs="Arial"/>
          <w:sz w:val="20"/>
        </w:rPr>
        <w:t xml:space="preserve"> 2013;</w:t>
      </w:r>
      <w:r w:rsidRPr="00E752EA">
        <w:rPr>
          <w:rFonts w:ascii="Arial" w:hAnsi="Arial" w:cs="Arial"/>
          <w:sz w:val="20"/>
        </w:rPr>
        <w:t xml:space="preserve"> 8 (4): 1533-1536.</w:t>
      </w:r>
    </w:p>
    <w:p w:rsidR="00F318FF" w:rsidRPr="00E752EA" w:rsidRDefault="00F318FF" w:rsidP="00E752EA">
      <w:pPr>
        <w:pStyle w:val="ListParagraph"/>
        <w:numPr>
          <w:ilvl w:val="0"/>
          <w:numId w:val="1"/>
        </w:numPr>
        <w:spacing w:line="240" w:lineRule="auto"/>
        <w:jc w:val="both"/>
        <w:rPr>
          <w:rFonts w:ascii="Arial" w:hAnsi="Arial" w:cs="Arial"/>
          <w:sz w:val="20"/>
        </w:rPr>
      </w:pPr>
      <w:r>
        <w:rPr>
          <w:rFonts w:ascii="Arial" w:hAnsi="Arial" w:cs="Arial"/>
          <w:sz w:val="20"/>
        </w:rPr>
        <w:t xml:space="preserve">Singh, P. </w:t>
      </w:r>
      <w:r w:rsidRPr="00E752EA">
        <w:rPr>
          <w:rFonts w:ascii="Arial" w:hAnsi="Arial" w:cs="Arial"/>
          <w:sz w:val="20"/>
        </w:rPr>
        <w:t xml:space="preserve">Genetic studies for </w:t>
      </w:r>
      <w:proofErr w:type="spellStart"/>
      <w:r w:rsidRPr="00E752EA">
        <w:rPr>
          <w:rFonts w:ascii="Arial" w:hAnsi="Arial" w:cs="Arial"/>
          <w:sz w:val="20"/>
        </w:rPr>
        <w:t>heterobeltiosis</w:t>
      </w:r>
      <w:proofErr w:type="spellEnd"/>
      <w:r w:rsidRPr="00E752EA">
        <w:rPr>
          <w:rFonts w:ascii="Arial" w:hAnsi="Arial" w:cs="Arial"/>
          <w:sz w:val="20"/>
        </w:rPr>
        <w:t xml:space="preserve"> and combining ability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using Line × Tester design. PhD. thesis, Banaras Hindu University, Varanasi, </w:t>
      </w:r>
      <w:r>
        <w:rPr>
          <w:rFonts w:ascii="Arial" w:hAnsi="Arial" w:cs="Arial"/>
          <w:sz w:val="20"/>
        </w:rPr>
        <w:t>202</w:t>
      </w:r>
      <w:r w:rsidR="00F852CA">
        <w:rPr>
          <w:rFonts w:ascii="Arial" w:hAnsi="Arial" w:cs="Arial"/>
          <w:sz w:val="20"/>
        </w:rPr>
        <w:t>0</w:t>
      </w:r>
      <w:r>
        <w:rPr>
          <w:rFonts w:ascii="Arial" w:hAnsi="Arial" w:cs="Arial"/>
          <w:sz w:val="20"/>
        </w:rPr>
        <w:t xml:space="preserve">; </w:t>
      </w:r>
      <w:r w:rsidRPr="00E752EA">
        <w:rPr>
          <w:rFonts w:ascii="Arial" w:hAnsi="Arial" w:cs="Arial"/>
          <w:sz w:val="20"/>
        </w:rPr>
        <w:t>252</w:t>
      </w:r>
      <w:r w:rsidR="006E1D46">
        <w:rPr>
          <w:rFonts w:ascii="Arial" w:hAnsi="Arial" w:cs="Arial"/>
          <w:sz w:val="20"/>
        </w:rPr>
        <w:t>p</w:t>
      </w:r>
      <w:r w:rsidRPr="00E752EA">
        <w:rPr>
          <w:rFonts w:ascii="Arial" w:hAnsi="Arial" w:cs="Arial"/>
          <w:sz w:val="20"/>
        </w:rPr>
        <w:t>.</w:t>
      </w:r>
    </w:p>
    <w:p w:rsidR="00F318FF" w:rsidRPr="001E60EF" w:rsidRDefault="00F318FF" w:rsidP="00727E21">
      <w:pPr>
        <w:pStyle w:val="ListParagraph"/>
        <w:numPr>
          <w:ilvl w:val="0"/>
          <w:numId w:val="1"/>
        </w:numPr>
        <w:spacing w:line="240" w:lineRule="auto"/>
        <w:jc w:val="both"/>
        <w:rPr>
          <w:rFonts w:ascii="Arial" w:hAnsi="Arial" w:cs="Arial"/>
        </w:rPr>
      </w:pPr>
      <w:r w:rsidRPr="001E60EF">
        <w:rPr>
          <w:rFonts w:ascii="Arial" w:hAnsi="Arial" w:cs="Arial"/>
          <w:sz w:val="20"/>
        </w:rPr>
        <w:t>Singh, V</w:t>
      </w:r>
      <w:r w:rsidR="006E1D46">
        <w:rPr>
          <w:rFonts w:ascii="Arial" w:hAnsi="Arial" w:cs="Arial"/>
          <w:sz w:val="20"/>
        </w:rPr>
        <w:t>. Exploration of Heterosis for q</w:t>
      </w:r>
      <w:r w:rsidRPr="001E60EF">
        <w:rPr>
          <w:rFonts w:ascii="Arial" w:hAnsi="Arial" w:cs="Arial"/>
          <w:sz w:val="20"/>
        </w:rPr>
        <w:t>uanti</w:t>
      </w:r>
      <w:r w:rsidR="006E1D46">
        <w:rPr>
          <w:rFonts w:ascii="Arial" w:hAnsi="Arial" w:cs="Arial"/>
          <w:sz w:val="20"/>
        </w:rPr>
        <w:t>tative and q</w:t>
      </w:r>
      <w:r w:rsidRPr="001E60EF">
        <w:rPr>
          <w:rFonts w:ascii="Arial" w:hAnsi="Arial" w:cs="Arial"/>
          <w:sz w:val="20"/>
        </w:rPr>
        <w:t xml:space="preserve">ualitative Improvement in </w:t>
      </w:r>
      <w:r w:rsidR="006E1D46">
        <w:rPr>
          <w:rFonts w:ascii="Arial" w:hAnsi="Arial" w:cs="Arial"/>
          <w:sz w:val="20"/>
        </w:rPr>
        <w:t>bitter g</w:t>
      </w:r>
      <w:r w:rsidRPr="001E60EF">
        <w:rPr>
          <w:rFonts w:ascii="Arial" w:hAnsi="Arial" w:cs="Arial"/>
          <w:sz w:val="20"/>
        </w:rPr>
        <w:t xml:space="preserve">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1E60EF">
        <w:rPr>
          <w:rFonts w:ascii="Arial" w:hAnsi="Arial" w:cs="Arial"/>
          <w:sz w:val="20"/>
        </w:rPr>
        <w:t xml:space="preserve"> L. under </w:t>
      </w:r>
      <w:r w:rsidR="006E1D46">
        <w:rPr>
          <w:rFonts w:ascii="Arial" w:hAnsi="Arial" w:cs="Arial"/>
          <w:sz w:val="20"/>
        </w:rPr>
        <w:t>s</w:t>
      </w:r>
      <w:r w:rsidRPr="001E60EF">
        <w:rPr>
          <w:rFonts w:ascii="Arial" w:hAnsi="Arial" w:cs="Arial"/>
          <w:sz w:val="20"/>
        </w:rPr>
        <w:t xml:space="preserve">ubtropical conditions of Garhwal Himalaya. PhD. thesis, </w:t>
      </w:r>
      <w:proofErr w:type="spellStart"/>
      <w:r w:rsidRPr="001E60EF">
        <w:rPr>
          <w:rFonts w:ascii="Arial" w:hAnsi="Arial" w:cs="Arial"/>
          <w:sz w:val="20"/>
        </w:rPr>
        <w:t>Hemwati</w:t>
      </w:r>
      <w:proofErr w:type="spellEnd"/>
      <w:r w:rsidRPr="001E60EF">
        <w:rPr>
          <w:rFonts w:ascii="Arial" w:hAnsi="Arial" w:cs="Arial"/>
          <w:sz w:val="20"/>
        </w:rPr>
        <w:t xml:space="preserve"> Nandan </w:t>
      </w:r>
      <w:r w:rsidRPr="001E60EF">
        <w:rPr>
          <w:rFonts w:ascii="Arial" w:hAnsi="Arial" w:cs="Arial"/>
          <w:sz w:val="20"/>
        </w:rPr>
        <w:t>Bahuguna Garhwal University, Uttarakhand, 2017; 246</w:t>
      </w:r>
      <w:r w:rsidR="006E1D46">
        <w:rPr>
          <w:rFonts w:ascii="Arial" w:hAnsi="Arial" w:cs="Arial"/>
          <w:sz w:val="20"/>
        </w:rPr>
        <w:t>p</w:t>
      </w:r>
      <w:r w:rsidRPr="001E60EF">
        <w:rPr>
          <w:rFonts w:ascii="Arial" w:hAnsi="Arial" w:cs="Arial"/>
          <w:sz w:val="20"/>
        </w:rPr>
        <w:t xml:space="preserve">.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S</w:t>
      </w:r>
      <w:r>
        <w:rPr>
          <w:rFonts w:ascii="Arial" w:hAnsi="Arial" w:cs="Arial"/>
          <w:sz w:val="20"/>
        </w:rPr>
        <w:t>prague, G.F. and Tatum, L.</w:t>
      </w:r>
      <w:r w:rsidRPr="00E752EA">
        <w:rPr>
          <w:rFonts w:ascii="Arial" w:hAnsi="Arial" w:cs="Arial"/>
          <w:sz w:val="20"/>
        </w:rPr>
        <w:t xml:space="preserve"> A general versus specific combining abil</w:t>
      </w:r>
      <w:r w:rsidR="006E1D46">
        <w:rPr>
          <w:rFonts w:ascii="Arial" w:hAnsi="Arial" w:cs="Arial"/>
          <w:sz w:val="20"/>
        </w:rPr>
        <w:t>ity in the single cross of corn.</w:t>
      </w:r>
      <w:r w:rsidRPr="00E752EA">
        <w:rPr>
          <w:rFonts w:ascii="Arial" w:hAnsi="Arial" w:cs="Arial"/>
          <w:sz w:val="20"/>
        </w:rPr>
        <w:t xml:space="preserve"> J</w:t>
      </w:r>
      <w:r w:rsidR="006E1D46">
        <w:rPr>
          <w:rFonts w:ascii="Arial" w:hAnsi="Arial" w:cs="Arial"/>
          <w:sz w:val="20"/>
        </w:rPr>
        <w:t>.</w:t>
      </w:r>
      <w:r w:rsidRPr="00E752EA">
        <w:rPr>
          <w:rFonts w:ascii="Arial" w:hAnsi="Arial" w:cs="Arial"/>
          <w:sz w:val="20"/>
        </w:rPr>
        <w:t xml:space="preserve"> Am</w:t>
      </w:r>
      <w:r w:rsidR="006E1D46">
        <w:rPr>
          <w:rFonts w:ascii="Arial" w:hAnsi="Arial" w:cs="Arial"/>
          <w:sz w:val="20"/>
        </w:rPr>
        <w:t>.</w:t>
      </w:r>
      <w:r w:rsidRPr="00E752EA">
        <w:rPr>
          <w:rFonts w:ascii="Arial" w:hAnsi="Arial" w:cs="Arial"/>
          <w:sz w:val="20"/>
        </w:rPr>
        <w:t xml:space="preserve"> Soc</w:t>
      </w:r>
      <w:r w:rsidR="006E1D46">
        <w:rPr>
          <w:rFonts w:ascii="Arial" w:hAnsi="Arial" w:cs="Arial"/>
          <w:sz w:val="20"/>
        </w:rPr>
        <w:t>.</w:t>
      </w:r>
      <w:r w:rsidRPr="00E752EA">
        <w:rPr>
          <w:rFonts w:ascii="Arial" w:hAnsi="Arial" w:cs="Arial"/>
          <w:sz w:val="20"/>
        </w:rPr>
        <w:t xml:space="preserve"> </w:t>
      </w:r>
      <w:proofErr w:type="spellStart"/>
      <w:r w:rsidRPr="00E752EA">
        <w:rPr>
          <w:rFonts w:ascii="Arial" w:hAnsi="Arial" w:cs="Arial"/>
          <w:sz w:val="20"/>
        </w:rPr>
        <w:t>Agron</w:t>
      </w:r>
      <w:proofErr w:type="spellEnd"/>
      <w:r w:rsidR="006E1D46">
        <w:rPr>
          <w:rFonts w:ascii="Arial" w:hAnsi="Arial" w:cs="Arial"/>
          <w:sz w:val="20"/>
        </w:rPr>
        <w:t>.</w:t>
      </w:r>
      <w:r w:rsidRPr="00E752EA">
        <w:rPr>
          <w:rFonts w:ascii="Arial" w:hAnsi="Arial" w:cs="Arial"/>
          <w:sz w:val="20"/>
        </w:rPr>
        <w:t xml:space="preserve"> </w:t>
      </w:r>
      <w:r>
        <w:rPr>
          <w:rFonts w:ascii="Arial" w:hAnsi="Arial" w:cs="Arial"/>
          <w:sz w:val="20"/>
        </w:rPr>
        <w:t xml:space="preserve">1942; </w:t>
      </w:r>
      <w:r w:rsidRPr="00E752EA">
        <w:rPr>
          <w:rFonts w:ascii="Arial" w:hAnsi="Arial" w:cs="Arial"/>
          <w:sz w:val="20"/>
        </w:rPr>
        <w:t xml:space="preserve">34: 923-932. </w:t>
      </w:r>
    </w:p>
    <w:p w:rsidR="00F318FF" w:rsidRPr="00E752EA" w:rsidRDefault="00F318FF" w:rsidP="00E752EA">
      <w:pPr>
        <w:pStyle w:val="ListParagraph"/>
        <w:numPr>
          <w:ilvl w:val="0"/>
          <w:numId w:val="1"/>
        </w:numPr>
        <w:spacing w:line="240" w:lineRule="auto"/>
        <w:jc w:val="both"/>
        <w:rPr>
          <w:rFonts w:ascii="Arial" w:hAnsi="Arial" w:cs="Arial"/>
          <w:sz w:val="20"/>
        </w:rPr>
      </w:pPr>
      <w:r w:rsidRPr="00E752EA">
        <w:rPr>
          <w:rFonts w:ascii="Arial" w:hAnsi="Arial" w:cs="Arial"/>
          <w:sz w:val="20"/>
        </w:rPr>
        <w:t xml:space="preserve">Sundaram V. Studies on hybrid </w:t>
      </w:r>
      <w:proofErr w:type="spellStart"/>
      <w:r w:rsidRPr="00E752EA">
        <w:rPr>
          <w:rFonts w:ascii="Arial" w:hAnsi="Arial" w:cs="Arial"/>
          <w:sz w:val="20"/>
        </w:rPr>
        <w:t>vigour</w:t>
      </w:r>
      <w:proofErr w:type="spellEnd"/>
      <w:r w:rsidRPr="00E752EA">
        <w:rPr>
          <w:rFonts w:ascii="Arial" w:hAnsi="Arial" w:cs="Arial"/>
          <w:sz w:val="20"/>
        </w:rPr>
        <w:t xml:space="preserve">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Pr>
          <w:rFonts w:ascii="Arial" w:hAnsi="Arial" w:cs="Arial"/>
          <w:sz w:val="20"/>
        </w:rPr>
        <w:t xml:space="preserve"> L.) under salinity. </w:t>
      </w:r>
      <w:r w:rsidRPr="00E752EA">
        <w:rPr>
          <w:rFonts w:ascii="Arial" w:hAnsi="Arial" w:cs="Arial"/>
          <w:sz w:val="20"/>
        </w:rPr>
        <w:t>Asian J</w:t>
      </w:r>
      <w:r w:rsidR="006E1D46">
        <w:rPr>
          <w:rFonts w:ascii="Arial" w:hAnsi="Arial" w:cs="Arial"/>
          <w:sz w:val="20"/>
        </w:rPr>
        <w:t>.</w:t>
      </w:r>
      <w:r w:rsidRPr="00E752EA">
        <w:rPr>
          <w:rFonts w:ascii="Arial" w:hAnsi="Arial" w:cs="Arial"/>
          <w:sz w:val="20"/>
        </w:rPr>
        <w:t xml:space="preserve"> Hor</w:t>
      </w:r>
      <w:r w:rsidR="006E1D46">
        <w:rPr>
          <w:rFonts w:ascii="Arial" w:hAnsi="Arial" w:cs="Arial"/>
          <w:sz w:val="20"/>
        </w:rPr>
        <w:t>t.</w:t>
      </w:r>
      <w:r>
        <w:rPr>
          <w:rFonts w:ascii="Arial" w:hAnsi="Arial" w:cs="Arial"/>
          <w:sz w:val="20"/>
        </w:rPr>
        <w:t xml:space="preserve"> 2007; </w:t>
      </w:r>
      <w:r w:rsidRPr="00E752EA">
        <w:rPr>
          <w:rFonts w:ascii="Arial" w:hAnsi="Arial" w:cs="Arial"/>
          <w:sz w:val="20"/>
        </w:rPr>
        <w:t>2(2):151-156.</w:t>
      </w:r>
    </w:p>
    <w:p w:rsidR="00F318FF" w:rsidRPr="00E752EA" w:rsidRDefault="00F318FF" w:rsidP="00E752EA">
      <w:pPr>
        <w:pStyle w:val="ListParagraph"/>
        <w:numPr>
          <w:ilvl w:val="0"/>
          <w:numId w:val="1"/>
        </w:numPr>
        <w:spacing w:line="240" w:lineRule="auto"/>
        <w:jc w:val="both"/>
        <w:rPr>
          <w:rFonts w:ascii="Arial" w:hAnsi="Arial" w:cs="Arial"/>
          <w:sz w:val="20"/>
        </w:rPr>
      </w:pPr>
      <w:proofErr w:type="spellStart"/>
      <w:r w:rsidRPr="00E752EA">
        <w:rPr>
          <w:rFonts w:ascii="Arial" w:hAnsi="Arial" w:cs="Arial"/>
          <w:sz w:val="20"/>
        </w:rPr>
        <w:t>Thangamani</w:t>
      </w:r>
      <w:proofErr w:type="spellEnd"/>
      <w:r w:rsidRPr="00E752EA">
        <w:rPr>
          <w:rFonts w:ascii="Arial" w:hAnsi="Arial" w:cs="Arial"/>
          <w:sz w:val="20"/>
        </w:rPr>
        <w:t xml:space="preserve">, C., </w:t>
      </w:r>
      <w:proofErr w:type="spellStart"/>
      <w:r w:rsidRPr="00E752EA">
        <w:rPr>
          <w:rFonts w:ascii="Arial" w:hAnsi="Arial" w:cs="Arial"/>
          <w:sz w:val="20"/>
        </w:rPr>
        <w:t>Pugalendhi</w:t>
      </w:r>
      <w:proofErr w:type="spellEnd"/>
      <w:r w:rsidRPr="00E752EA">
        <w:rPr>
          <w:rFonts w:ascii="Arial" w:hAnsi="Arial" w:cs="Arial"/>
          <w:sz w:val="20"/>
        </w:rPr>
        <w:t xml:space="preserve">, L., Sumathi, T., Kavitha, C., and </w:t>
      </w:r>
      <w:proofErr w:type="spellStart"/>
      <w:r w:rsidRPr="00E752EA">
        <w:rPr>
          <w:rFonts w:ascii="Arial" w:hAnsi="Arial" w:cs="Arial"/>
          <w:sz w:val="20"/>
        </w:rPr>
        <w:t>Rajashree</w:t>
      </w:r>
      <w:proofErr w:type="spellEnd"/>
      <w:r w:rsidRPr="00E752EA">
        <w:rPr>
          <w:rFonts w:ascii="Arial" w:hAnsi="Arial" w:cs="Arial"/>
          <w:sz w:val="20"/>
        </w:rPr>
        <w:t>, V. Estimation of combining ability and heterosis for yield and quality characters in bitter gourd (</w:t>
      </w:r>
      <w:r w:rsidR="006A261D" w:rsidRPr="006A261D">
        <w:rPr>
          <w:rFonts w:ascii="Arial" w:hAnsi="Arial" w:cs="Arial"/>
          <w:i/>
          <w:sz w:val="20"/>
        </w:rPr>
        <w:t xml:space="preserve">Momordica </w:t>
      </w:r>
      <w:proofErr w:type="spellStart"/>
      <w:r w:rsidR="006A261D" w:rsidRPr="006A261D">
        <w:rPr>
          <w:rFonts w:ascii="Arial" w:hAnsi="Arial" w:cs="Arial"/>
          <w:i/>
          <w:sz w:val="20"/>
        </w:rPr>
        <w:t>charantia</w:t>
      </w:r>
      <w:proofErr w:type="spellEnd"/>
      <w:r w:rsidRPr="00E752EA">
        <w:rPr>
          <w:rFonts w:ascii="Arial" w:hAnsi="Arial" w:cs="Arial"/>
          <w:sz w:val="20"/>
        </w:rPr>
        <w:t xml:space="preserve"> L.). </w:t>
      </w:r>
      <w:proofErr w:type="spellStart"/>
      <w:r w:rsidR="006E1D46" w:rsidRPr="00E752EA">
        <w:rPr>
          <w:rFonts w:ascii="Arial" w:hAnsi="Arial" w:cs="Arial"/>
          <w:sz w:val="20"/>
        </w:rPr>
        <w:t>Electr</w:t>
      </w:r>
      <w:proofErr w:type="spellEnd"/>
      <w:r w:rsidR="006E1D46" w:rsidRPr="00E752EA">
        <w:rPr>
          <w:rFonts w:ascii="Arial" w:hAnsi="Arial" w:cs="Arial"/>
          <w:sz w:val="20"/>
        </w:rPr>
        <w:t>. J. Plant Breed.</w:t>
      </w:r>
      <w:r w:rsidR="006E1D46">
        <w:rPr>
          <w:rFonts w:ascii="Arial" w:hAnsi="Arial" w:cs="Arial"/>
          <w:sz w:val="20"/>
        </w:rPr>
        <w:t xml:space="preserve">  </w:t>
      </w:r>
      <w:r>
        <w:rPr>
          <w:rFonts w:ascii="Arial" w:hAnsi="Arial" w:cs="Arial"/>
          <w:sz w:val="20"/>
        </w:rPr>
        <w:t xml:space="preserve">2011; </w:t>
      </w:r>
      <w:r w:rsidRPr="00E752EA">
        <w:rPr>
          <w:rFonts w:ascii="Arial" w:hAnsi="Arial" w:cs="Arial"/>
          <w:sz w:val="20"/>
        </w:rPr>
        <w:t>2(1):62-66.</w:t>
      </w:r>
    </w:p>
    <w:sectPr w:rsidR="00F318FF" w:rsidRPr="00E752EA" w:rsidSect="001E60E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236" w:rsidRDefault="00DC4236" w:rsidP="00543186">
      <w:pPr>
        <w:spacing w:after="0" w:line="240" w:lineRule="auto"/>
      </w:pPr>
      <w:r>
        <w:separator/>
      </w:r>
    </w:p>
  </w:endnote>
  <w:endnote w:type="continuationSeparator" w:id="0">
    <w:p w:rsidR="00DC4236" w:rsidRDefault="00DC4236" w:rsidP="0054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rtika">
    <w:altName w:val="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B6" w:rsidRDefault="006377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B6" w:rsidRDefault="00637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236" w:rsidRDefault="00DC4236" w:rsidP="00543186">
      <w:pPr>
        <w:spacing w:after="0" w:line="240" w:lineRule="auto"/>
      </w:pPr>
      <w:r>
        <w:separator/>
      </w:r>
    </w:p>
  </w:footnote>
  <w:footnote w:type="continuationSeparator" w:id="0">
    <w:p w:rsidR="00DC4236" w:rsidRDefault="00DC4236" w:rsidP="00543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1"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2"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F3" w:rsidRDefault="002563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0"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71E46"/>
    <w:multiLevelType w:val="hybridMultilevel"/>
    <w:tmpl w:val="33E8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D32"/>
    <w:rsid w:val="00015BD5"/>
    <w:rsid w:val="0003611D"/>
    <w:rsid w:val="00043B35"/>
    <w:rsid w:val="00044CDB"/>
    <w:rsid w:val="00097C87"/>
    <w:rsid w:val="000A6C7E"/>
    <w:rsid w:val="000E6249"/>
    <w:rsid w:val="000F136C"/>
    <w:rsid w:val="00110814"/>
    <w:rsid w:val="001435BC"/>
    <w:rsid w:val="00161D0C"/>
    <w:rsid w:val="001B494D"/>
    <w:rsid w:val="001C331B"/>
    <w:rsid w:val="001E60EF"/>
    <w:rsid w:val="001F204B"/>
    <w:rsid w:val="00202445"/>
    <w:rsid w:val="00234E30"/>
    <w:rsid w:val="00240E78"/>
    <w:rsid w:val="002563F3"/>
    <w:rsid w:val="002A5518"/>
    <w:rsid w:val="002C3224"/>
    <w:rsid w:val="002D32FA"/>
    <w:rsid w:val="002E5838"/>
    <w:rsid w:val="002F1AB2"/>
    <w:rsid w:val="00327078"/>
    <w:rsid w:val="00344001"/>
    <w:rsid w:val="003524FC"/>
    <w:rsid w:val="003957FD"/>
    <w:rsid w:val="003D0530"/>
    <w:rsid w:val="003F2EE3"/>
    <w:rsid w:val="00407F27"/>
    <w:rsid w:val="00446D17"/>
    <w:rsid w:val="00451EC9"/>
    <w:rsid w:val="0048109A"/>
    <w:rsid w:val="004D1E5F"/>
    <w:rsid w:val="004E2C40"/>
    <w:rsid w:val="00543186"/>
    <w:rsid w:val="00551250"/>
    <w:rsid w:val="00591837"/>
    <w:rsid w:val="005A1552"/>
    <w:rsid w:val="005A18C8"/>
    <w:rsid w:val="005B7E83"/>
    <w:rsid w:val="005D78B6"/>
    <w:rsid w:val="005E412F"/>
    <w:rsid w:val="005F141E"/>
    <w:rsid w:val="00604527"/>
    <w:rsid w:val="00626068"/>
    <w:rsid w:val="006377B6"/>
    <w:rsid w:val="0064510D"/>
    <w:rsid w:val="00646CAD"/>
    <w:rsid w:val="00650EF4"/>
    <w:rsid w:val="00654100"/>
    <w:rsid w:val="00656D32"/>
    <w:rsid w:val="00666B17"/>
    <w:rsid w:val="00697E62"/>
    <w:rsid w:val="006A261D"/>
    <w:rsid w:val="006D53A4"/>
    <w:rsid w:val="006D72FA"/>
    <w:rsid w:val="006E1D46"/>
    <w:rsid w:val="00707332"/>
    <w:rsid w:val="0071317F"/>
    <w:rsid w:val="007131B1"/>
    <w:rsid w:val="00720E5A"/>
    <w:rsid w:val="00727E21"/>
    <w:rsid w:val="00816B04"/>
    <w:rsid w:val="00860E7A"/>
    <w:rsid w:val="00863583"/>
    <w:rsid w:val="008B7831"/>
    <w:rsid w:val="008D00E6"/>
    <w:rsid w:val="00913970"/>
    <w:rsid w:val="00914DFD"/>
    <w:rsid w:val="009233A8"/>
    <w:rsid w:val="0095007F"/>
    <w:rsid w:val="00980E0D"/>
    <w:rsid w:val="009C5472"/>
    <w:rsid w:val="009D1458"/>
    <w:rsid w:val="009E61CA"/>
    <w:rsid w:val="00A140BE"/>
    <w:rsid w:val="00A14355"/>
    <w:rsid w:val="00A373B5"/>
    <w:rsid w:val="00A552EC"/>
    <w:rsid w:val="00AB61BB"/>
    <w:rsid w:val="00AD6B40"/>
    <w:rsid w:val="00B107EB"/>
    <w:rsid w:val="00B32195"/>
    <w:rsid w:val="00B34348"/>
    <w:rsid w:val="00B65B54"/>
    <w:rsid w:val="00B70DB8"/>
    <w:rsid w:val="00BC01E5"/>
    <w:rsid w:val="00C049F3"/>
    <w:rsid w:val="00C20618"/>
    <w:rsid w:val="00C248F3"/>
    <w:rsid w:val="00C94767"/>
    <w:rsid w:val="00CC53E7"/>
    <w:rsid w:val="00CE29C7"/>
    <w:rsid w:val="00D4499E"/>
    <w:rsid w:val="00D62B28"/>
    <w:rsid w:val="00D94178"/>
    <w:rsid w:val="00D96B51"/>
    <w:rsid w:val="00D97781"/>
    <w:rsid w:val="00DB15D7"/>
    <w:rsid w:val="00DB3EAB"/>
    <w:rsid w:val="00DC3BCD"/>
    <w:rsid w:val="00DC4236"/>
    <w:rsid w:val="00E024D3"/>
    <w:rsid w:val="00E23B64"/>
    <w:rsid w:val="00E53F2A"/>
    <w:rsid w:val="00E5439B"/>
    <w:rsid w:val="00E57BB7"/>
    <w:rsid w:val="00E6656E"/>
    <w:rsid w:val="00E752EA"/>
    <w:rsid w:val="00EF3DA6"/>
    <w:rsid w:val="00F20724"/>
    <w:rsid w:val="00F318FF"/>
    <w:rsid w:val="00F4170D"/>
    <w:rsid w:val="00F44E41"/>
    <w:rsid w:val="00F546E1"/>
    <w:rsid w:val="00F852CA"/>
    <w:rsid w:val="00FB4978"/>
    <w:rsid w:val="00FF3F7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80A643E"/>
  <w15:chartTrackingRefBased/>
  <w15:docId w15:val="{CDE0C986-D64E-4E1F-8880-B9DE6584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D32"/>
    <w:rPr>
      <w:b/>
      <w:bCs/>
    </w:rPr>
  </w:style>
  <w:style w:type="table" w:styleId="TableGrid">
    <w:name w:val="Table Grid"/>
    <w:basedOn w:val="TableNormal"/>
    <w:uiPriority w:val="39"/>
    <w:rsid w:val="00656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068"/>
    <w:pPr>
      <w:ind w:left="720"/>
      <w:contextualSpacing/>
    </w:pPr>
  </w:style>
  <w:style w:type="table" w:styleId="ListTable1Light">
    <w:name w:val="List Table 1 Light"/>
    <w:basedOn w:val="TableNormal"/>
    <w:uiPriority w:val="46"/>
    <w:rsid w:val="002E583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2E583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2E58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E58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4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186"/>
  </w:style>
  <w:style w:type="paragraph" w:styleId="Footer">
    <w:name w:val="footer"/>
    <w:basedOn w:val="Normal"/>
    <w:link w:val="FooterChar"/>
    <w:uiPriority w:val="99"/>
    <w:unhideWhenUsed/>
    <w:rsid w:val="00543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186"/>
  </w:style>
  <w:style w:type="character" w:styleId="Hyperlink">
    <w:name w:val="Hyperlink"/>
    <w:basedOn w:val="DefaultParagraphFont"/>
    <w:uiPriority w:val="99"/>
    <w:unhideWhenUsed/>
    <w:rsid w:val="00713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52258">
      <w:bodyDiv w:val="1"/>
      <w:marLeft w:val="0"/>
      <w:marRight w:val="0"/>
      <w:marTop w:val="0"/>
      <w:marBottom w:val="0"/>
      <w:divBdr>
        <w:top w:val="none" w:sz="0" w:space="0" w:color="auto"/>
        <w:left w:val="none" w:sz="0" w:space="0" w:color="auto"/>
        <w:bottom w:val="none" w:sz="0" w:space="0" w:color="auto"/>
        <w:right w:val="none" w:sz="0" w:space="0" w:color="auto"/>
      </w:divBdr>
    </w:div>
    <w:div w:id="359210749">
      <w:bodyDiv w:val="1"/>
      <w:marLeft w:val="0"/>
      <w:marRight w:val="0"/>
      <w:marTop w:val="0"/>
      <w:marBottom w:val="0"/>
      <w:divBdr>
        <w:top w:val="none" w:sz="0" w:space="0" w:color="auto"/>
        <w:left w:val="none" w:sz="0" w:space="0" w:color="auto"/>
        <w:bottom w:val="none" w:sz="0" w:space="0" w:color="auto"/>
        <w:right w:val="none" w:sz="0" w:space="0" w:color="auto"/>
      </w:divBdr>
    </w:div>
    <w:div w:id="1463113051">
      <w:bodyDiv w:val="1"/>
      <w:marLeft w:val="0"/>
      <w:marRight w:val="0"/>
      <w:marTop w:val="0"/>
      <w:marBottom w:val="0"/>
      <w:divBdr>
        <w:top w:val="none" w:sz="0" w:space="0" w:color="auto"/>
        <w:left w:val="none" w:sz="0" w:space="0" w:color="auto"/>
        <w:bottom w:val="none" w:sz="0" w:space="0" w:color="auto"/>
        <w:right w:val="none" w:sz="0" w:space="0" w:color="auto"/>
      </w:divBdr>
    </w:div>
    <w:div w:id="19581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11</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89</cp:revision>
  <dcterms:created xsi:type="dcterms:W3CDTF">2025-08-06T05:06:00Z</dcterms:created>
  <dcterms:modified xsi:type="dcterms:W3CDTF">2025-08-18T13:29:00Z</dcterms:modified>
</cp:coreProperties>
</file>