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4E7D" w14:textId="77777777" w:rsidR="00C83DD7" w:rsidRDefault="00C83DD7" w:rsidP="00397367">
      <w:pPr>
        <w:jc w:val="center"/>
        <w:rPr>
          <w:rFonts w:ascii="Arial" w:hAnsi="Arial" w:cs="Arial"/>
          <w:b/>
          <w:sz w:val="24"/>
          <w:szCs w:val="24"/>
        </w:rPr>
      </w:pPr>
      <w:r w:rsidRPr="00C83DD7">
        <w:rPr>
          <w:rFonts w:ascii="Arial" w:hAnsi="Arial" w:cs="Arial"/>
          <w:b/>
          <w:sz w:val="24"/>
          <w:szCs w:val="24"/>
        </w:rPr>
        <w:t>Original Research Article</w:t>
      </w:r>
    </w:p>
    <w:p w14:paraId="074E385F" w14:textId="1E1AC7D7" w:rsidR="00E440D0" w:rsidRPr="00C87872" w:rsidRDefault="00E440D0" w:rsidP="00397367">
      <w:pPr>
        <w:jc w:val="center"/>
        <w:rPr>
          <w:rFonts w:ascii="Arial" w:hAnsi="Arial" w:cs="Arial"/>
          <w:b/>
          <w:sz w:val="24"/>
          <w:szCs w:val="24"/>
        </w:rPr>
      </w:pPr>
      <w:r w:rsidRPr="00C87872">
        <w:rPr>
          <w:rFonts w:ascii="Arial" w:hAnsi="Arial" w:cs="Arial"/>
          <w:b/>
          <w:sz w:val="24"/>
          <w:szCs w:val="24"/>
        </w:rPr>
        <w:t xml:space="preserve">Sustainable </w:t>
      </w:r>
      <w:r w:rsidR="00F82907" w:rsidRPr="00C87872">
        <w:rPr>
          <w:rFonts w:ascii="Arial" w:hAnsi="Arial" w:cs="Arial"/>
          <w:b/>
          <w:sz w:val="24"/>
          <w:szCs w:val="24"/>
        </w:rPr>
        <w:t>M</w:t>
      </w:r>
      <w:r w:rsidR="00397367" w:rsidRPr="00C87872">
        <w:rPr>
          <w:rFonts w:ascii="Arial" w:hAnsi="Arial" w:cs="Arial"/>
          <w:b/>
          <w:sz w:val="24"/>
          <w:szCs w:val="24"/>
        </w:rPr>
        <w:t xml:space="preserve">anagement </w:t>
      </w:r>
      <w:r w:rsidR="00F82907" w:rsidRPr="00C87872">
        <w:rPr>
          <w:rFonts w:ascii="Arial" w:hAnsi="Arial" w:cs="Arial"/>
          <w:b/>
          <w:sz w:val="24"/>
          <w:szCs w:val="24"/>
        </w:rPr>
        <w:t xml:space="preserve">of </w:t>
      </w:r>
      <w:proofErr w:type="spellStart"/>
      <w:r w:rsidR="001C14F8" w:rsidRPr="00C87872">
        <w:rPr>
          <w:rFonts w:ascii="Arial" w:hAnsi="Arial" w:cs="Arial"/>
          <w:b/>
          <w:i/>
          <w:sz w:val="24"/>
          <w:szCs w:val="24"/>
        </w:rPr>
        <w:t>Leucinodes</w:t>
      </w:r>
      <w:proofErr w:type="spellEnd"/>
      <w:r w:rsidR="001C14F8" w:rsidRPr="00C87872">
        <w:rPr>
          <w:rFonts w:ascii="Arial" w:hAnsi="Arial" w:cs="Arial"/>
          <w:b/>
          <w:i/>
          <w:sz w:val="24"/>
          <w:szCs w:val="24"/>
        </w:rPr>
        <w:t xml:space="preserve"> </w:t>
      </w:r>
      <w:proofErr w:type="spellStart"/>
      <w:r w:rsidR="001C14F8" w:rsidRPr="00C87872">
        <w:rPr>
          <w:rFonts w:ascii="Arial" w:hAnsi="Arial" w:cs="Arial"/>
          <w:b/>
          <w:i/>
          <w:sz w:val="24"/>
          <w:szCs w:val="24"/>
        </w:rPr>
        <w:t>orbonalis</w:t>
      </w:r>
      <w:proofErr w:type="spellEnd"/>
      <w:r w:rsidR="001C14F8" w:rsidRPr="00C87872">
        <w:rPr>
          <w:rFonts w:ascii="Arial" w:hAnsi="Arial" w:cs="Arial"/>
          <w:b/>
          <w:i/>
          <w:sz w:val="24"/>
          <w:szCs w:val="24"/>
        </w:rPr>
        <w:t xml:space="preserve"> </w:t>
      </w:r>
      <w:proofErr w:type="spellStart"/>
      <w:r w:rsidR="00A57B3F" w:rsidRPr="00C87872">
        <w:rPr>
          <w:rFonts w:ascii="Arial" w:hAnsi="Arial" w:cs="Arial"/>
          <w:b/>
          <w:sz w:val="24"/>
          <w:szCs w:val="24"/>
        </w:rPr>
        <w:t>G</w:t>
      </w:r>
      <w:r w:rsidRPr="00C87872">
        <w:rPr>
          <w:rFonts w:ascii="Arial" w:hAnsi="Arial" w:cs="Arial"/>
          <w:b/>
          <w:sz w:val="24"/>
          <w:szCs w:val="24"/>
        </w:rPr>
        <w:t>uen</w:t>
      </w:r>
      <w:proofErr w:type="spellEnd"/>
      <w:r w:rsidRPr="00C87872">
        <w:rPr>
          <w:rFonts w:ascii="Arial" w:hAnsi="Arial" w:cs="Arial"/>
          <w:b/>
          <w:sz w:val="24"/>
          <w:szCs w:val="24"/>
        </w:rPr>
        <w:t>.</w:t>
      </w:r>
      <w:r w:rsidR="00F82907" w:rsidRPr="00C87872">
        <w:rPr>
          <w:rFonts w:ascii="Arial" w:hAnsi="Arial" w:cs="Arial"/>
          <w:b/>
          <w:sz w:val="24"/>
          <w:szCs w:val="24"/>
        </w:rPr>
        <w:t xml:space="preserve"> </w:t>
      </w:r>
      <w:r w:rsidR="00397367" w:rsidRPr="00C87872">
        <w:rPr>
          <w:rFonts w:ascii="Arial" w:hAnsi="Arial" w:cs="Arial"/>
          <w:b/>
          <w:sz w:val="24"/>
          <w:szCs w:val="24"/>
        </w:rPr>
        <w:t xml:space="preserve">in </w:t>
      </w:r>
      <w:r w:rsidRPr="00C87872">
        <w:rPr>
          <w:rFonts w:ascii="Arial" w:hAnsi="Arial" w:cs="Arial"/>
          <w:b/>
          <w:sz w:val="24"/>
          <w:szCs w:val="24"/>
        </w:rPr>
        <w:t>B</w:t>
      </w:r>
      <w:r w:rsidR="00397367" w:rsidRPr="00C87872">
        <w:rPr>
          <w:rFonts w:ascii="Arial" w:hAnsi="Arial" w:cs="Arial"/>
          <w:b/>
          <w:sz w:val="24"/>
          <w:szCs w:val="24"/>
        </w:rPr>
        <w:t xml:space="preserve">rinjal </w:t>
      </w:r>
      <w:r w:rsidR="00D76FEA">
        <w:rPr>
          <w:rFonts w:ascii="Arial" w:hAnsi="Arial" w:cs="Arial"/>
          <w:b/>
          <w:sz w:val="24"/>
          <w:szCs w:val="24"/>
        </w:rPr>
        <w:t xml:space="preserve">by </w:t>
      </w:r>
      <w:r w:rsidR="00397367" w:rsidRPr="00C87872">
        <w:rPr>
          <w:rFonts w:ascii="Arial" w:hAnsi="Arial" w:cs="Arial"/>
          <w:b/>
          <w:sz w:val="24"/>
          <w:szCs w:val="24"/>
        </w:rPr>
        <w:t xml:space="preserve">using </w:t>
      </w:r>
      <w:r w:rsidRPr="00C87872">
        <w:rPr>
          <w:rFonts w:ascii="Arial" w:hAnsi="Arial" w:cs="Arial"/>
          <w:b/>
          <w:sz w:val="24"/>
          <w:szCs w:val="24"/>
        </w:rPr>
        <w:t xml:space="preserve">Indigenous Technical Knowledge (ITK) </w:t>
      </w:r>
    </w:p>
    <w:p w14:paraId="1B6A3C7F" w14:textId="556C23BB" w:rsidR="00BA5F25" w:rsidRDefault="00BA5F25" w:rsidP="00397367">
      <w:pPr>
        <w:jc w:val="center"/>
        <w:rPr>
          <w:rStyle w:val="Hyperlink"/>
          <w:rFonts w:ascii="Arial" w:hAnsi="Arial" w:cs="Arial"/>
          <w:sz w:val="24"/>
          <w:szCs w:val="24"/>
        </w:rPr>
      </w:pPr>
    </w:p>
    <w:p w14:paraId="30A3ADED" w14:textId="77777777" w:rsidR="00C90E45" w:rsidRPr="00C87872" w:rsidRDefault="00C90E45" w:rsidP="00397367">
      <w:pPr>
        <w:jc w:val="center"/>
        <w:rPr>
          <w:rStyle w:val="Hyperlink"/>
          <w:rFonts w:ascii="Arial" w:hAnsi="Arial" w:cs="Arial"/>
          <w:sz w:val="24"/>
          <w:szCs w:val="24"/>
        </w:rPr>
      </w:pPr>
    </w:p>
    <w:p w14:paraId="21DD2A90" w14:textId="77777777" w:rsidR="00A54799" w:rsidRPr="00C87872" w:rsidRDefault="00A54799" w:rsidP="001C14F8">
      <w:pPr>
        <w:spacing w:line="360" w:lineRule="auto"/>
        <w:rPr>
          <w:rFonts w:ascii="Arial" w:hAnsi="Arial" w:cs="Arial"/>
          <w:b/>
          <w:sz w:val="24"/>
          <w:szCs w:val="24"/>
        </w:rPr>
      </w:pPr>
      <w:r w:rsidRPr="00C87872">
        <w:rPr>
          <w:rFonts w:ascii="Arial" w:hAnsi="Arial" w:cs="Arial"/>
          <w:b/>
          <w:sz w:val="24"/>
          <w:szCs w:val="24"/>
        </w:rPr>
        <w:t>Abstract</w:t>
      </w:r>
    </w:p>
    <w:p w14:paraId="3CB6A9EF" w14:textId="361F9267" w:rsidR="00397367" w:rsidRPr="00C87872" w:rsidRDefault="00397367" w:rsidP="00096205">
      <w:pPr>
        <w:spacing w:line="360" w:lineRule="auto"/>
        <w:ind w:firstLine="720"/>
        <w:jc w:val="both"/>
        <w:rPr>
          <w:rFonts w:ascii="Arial" w:hAnsi="Arial" w:cs="Arial"/>
          <w:kern w:val="0"/>
          <w:sz w:val="24"/>
          <w:szCs w:val="24"/>
          <w14:ligatures w14:val="none"/>
        </w:rPr>
      </w:pPr>
      <w:r w:rsidRPr="00C87872">
        <w:rPr>
          <w:rFonts w:ascii="Arial" w:hAnsi="Arial" w:cs="Arial"/>
          <w:sz w:val="24"/>
          <w:szCs w:val="24"/>
        </w:rPr>
        <w:t xml:space="preserve">A field investigation was conducted at the Central Farm, Lamphelpat, CAU, Imphal, during Rabi 2024–25 to evaluate the efficacy of Indigenous Technical Knowledge (ITK) and biorational treatments. Ten treatments including wood ash, cow urine, cow dung slurry, </w:t>
      </w:r>
      <w:r w:rsidR="00A54799" w:rsidRPr="00C87872">
        <w:rPr>
          <w:rFonts w:ascii="Arial" w:hAnsi="Arial" w:cs="Arial"/>
          <w:sz w:val="24"/>
          <w:szCs w:val="24"/>
        </w:rPr>
        <w:t>plant</w:t>
      </w:r>
      <w:r w:rsidRPr="00C87872">
        <w:rPr>
          <w:rFonts w:ascii="Arial" w:hAnsi="Arial" w:cs="Arial"/>
          <w:sz w:val="24"/>
          <w:szCs w:val="24"/>
        </w:rPr>
        <w:t xml:space="preserve"> extracts (</w:t>
      </w:r>
      <w:r w:rsidRPr="00C87872">
        <w:rPr>
          <w:rFonts w:ascii="Arial" w:hAnsi="Arial" w:cs="Arial"/>
          <w:i/>
          <w:sz w:val="24"/>
          <w:szCs w:val="24"/>
        </w:rPr>
        <w:t>Azadirachta indica</w:t>
      </w:r>
      <w:r w:rsidRPr="00C87872">
        <w:rPr>
          <w:rFonts w:ascii="Arial" w:hAnsi="Arial" w:cs="Arial"/>
          <w:sz w:val="24"/>
          <w:szCs w:val="24"/>
        </w:rPr>
        <w:t xml:space="preserve">, </w:t>
      </w:r>
      <w:r w:rsidRPr="00C87872">
        <w:rPr>
          <w:rFonts w:ascii="Arial" w:hAnsi="Arial" w:cs="Arial"/>
          <w:i/>
          <w:sz w:val="24"/>
          <w:szCs w:val="24"/>
        </w:rPr>
        <w:t>Melia azedarach</w:t>
      </w:r>
      <w:r w:rsidRPr="00C87872">
        <w:rPr>
          <w:rFonts w:ascii="Arial" w:hAnsi="Arial" w:cs="Arial"/>
          <w:sz w:val="24"/>
          <w:szCs w:val="24"/>
        </w:rPr>
        <w:t xml:space="preserve">, </w:t>
      </w:r>
      <w:r w:rsidRPr="00C87872">
        <w:rPr>
          <w:rFonts w:ascii="Arial" w:hAnsi="Arial" w:cs="Arial"/>
          <w:i/>
          <w:sz w:val="24"/>
          <w:szCs w:val="24"/>
        </w:rPr>
        <w:t>Allium tuberosum</w:t>
      </w:r>
      <w:r w:rsidRPr="00C87872">
        <w:rPr>
          <w:rFonts w:ascii="Arial" w:hAnsi="Arial" w:cs="Arial"/>
          <w:sz w:val="24"/>
          <w:szCs w:val="24"/>
        </w:rPr>
        <w:t>), Green Neem (</w:t>
      </w:r>
      <w:r w:rsidR="004562D0" w:rsidRPr="00C87872">
        <w:rPr>
          <w:rFonts w:ascii="Arial" w:hAnsi="Arial" w:cs="Arial"/>
          <w:i/>
          <w:sz w:val="24"/>
          <w:szCs w:val="24"/>
        </w:rPr>
        <w:t>Azadirachta indica</w:t>
      </w:r>
      <w:r w:rsidRPr="00C87872">
        <w:rPr>
          <w:rFonts w:ascii="Arial" w:hAnsi="Arial" w:cs="Arial"/>
          <w:sz w:val="24"/>
          <w:szCs w:val="24"/>
        </w:rPr>
        <w:t xml:space="preserve"> 0.1% EC), Spinosad, and control were tested using RBD with three replications </w:t>
      </w:r>
      <w:r w:rsidR="00A54799" w:rsidRPr="00C87872">
        <w:rPr>
          <w:rFonts w:ascii="Arial" w:hAnsi="Arial" w:cs="Arial"/>
          <w:sz w:val="24"/>
          <w:szCs w:val="24"/>
        </w:rPr>
        <w:t>on the “Kashi Sandesh” variety.</w:t>
      </w:r>
      <w:r w:rsidR="00E440D0" w:rsidRPr="00C87872">
        <w:rPr>
          <w:rFonts w:ascii="Arial" w:hAnsi="Arial" w:cs="Arial"/>
          <w:sz w:val="24"/>
          <w:szCs w:val="24"/>
        </w:rPr>
        <w:t xml:space="preserve"> </w:t>
      </w:r>
      <w:r w:rsidRPr="00C87872">
        <w:rPr>
          <w:rFonts w:ascii="Arial" w:hAnsi="Arial" w:cs="Arial"/>
          <w:sz w:val="24"/>
          <w:szCs w:val="24"/>
        </w:rPr>
        <w:t>Spinosad showed highest efficacy and yield (67.33 q/ha)</w:t>
      </w:r>
      <w:r w:rsidR="00992A2D" w:rsidRPr="00C87872">
        <w:rPr>
          <w:rFonts w:ascii="Arial" w:hAnsi="Arial" w:cs="Arial"/>
          <w:sz w:val="24"/>
          <w:szCs w:val="24"/>
        </w:rPr>
        <w:t>,</w:t>
      </w:r>
      <w:r w:rsidR="00C2154E" w:rsidRPr="00C87872">
        <w:rPr>
          <w:rFonts w:ascii="Arial" w:hAnsi="Arial" w:cs="Arial"/>
          <w:sz w:val="24"/>
          <w:szCs w:val="24"/>
        </w:rPr>
        <w:t xml:space="preserve"> f</w:t>
      </w:r>
      <w:r w:rsidR="00992A2D" w:rsidRPr="00C87872">
        <w:rPr>
          <w:rFonts w:ascii="Arial" w:hAnsi="Arial" w:cs="Arial"/>
          <w:sz w:val="24"/>
          <w:szCs w:val="24"/>
        </w:rPr>
        <w:t xml:space="preserve">ollowed by </w:t>
      </w:r>
      <w:r w:rsidRPr="00C87872">
        <w:rPr>
          <w:rFonts w:ascii="Arial" w:hAnsi="Arial" w:cs="Arial"/>
          <w:sz w:val="24"/>
          <w:szCs w:val="24"/>
        </w:rPr>
        <w:t xml:space="preserve">Green Neem. Among ITK treatments, Cow urine + </w:t>
      </w:r>
      <w:r w:rsidRPr="00C87872">
        <w:rPr>
          <w:rFonts w:ascii="Arial" w:hAnsi="Arial" w:cs="Arial"/>
          <w:i/>
          <w:sz w:val="24"/>
          <w:szCs w:val="24"/>
        </w:rPr>
        <w:t>Azadirachta indica</w:t>
      </w:r>
      <w:r w:rsidRPr="00C87872">
        <w:rPr>
          <w:rFonts w:ascii="Arial" w:hAnsi="Arial" w:cs="Arial"/>
          <w:sz w:val="24"/>
          <w:szCs w:val="24"/>
        </w:rPr>
        <w:t xml:space="preserve"> and Chinaberry leaf extract were notably effective. Economic analysis ranked Green Neem highest in B:C ratio (9.29:1), followed by Cow urine + </w:t>
      </w:r>
      <w:r w:rsidRPr="00C87872">
        <w:rPr>
          <w:rFonts w:ascii="Arial" w:hAnsi="Arial" w:cs="Arial"/>
          <w:i/>
          <w:sz w:val="24"/>
          <w:szCs w:val="24"/>
        </w:rPr>
        <w:t xml:space="preserve">A. indica </w:t>
      </w:r>
      <w:r w:rsidRPr="00C87872">
        <w:rPr>
          <w:rFonts w:ascii="Arial" w:hAnsi="Arial" w:cs="Arial"/>
          <w:sz w:val="24"/>
          <w:szCs w:val="24"/>
        </w:rPr>
        <w:t>(8.43:1) and Chinaberry leaf extract (8.39:1). The study highlights ITK-based treatments as cost-effective, eco-friendly alternatives for brinjal pest management in the Manipur valley.</w:t>
      </w:r>
    </w:p>
    <w:p w14:paraId="46A20493" w14:textId="77777777" w:rsidR="000550B7" w:rsidRPr="00C87872" w:rsidRDefault="00A54799" w:rsidP="001C14F8">
      <w:pPr>
        <w:spacing w:line="360" w:lineRule="auto"/>
        <w:rPr>
          <w:rFonts w:ascii="Arial" w:hAnsi="Arial" w:cs="Arial"/>
          <w:sz w:val="24"/>
          <w:szCs w:val="24"/>
        </w:rPr>
      </w:pPr>
      <w:r w:rsidRPr="00C87872">
        <w:rPr>
          <w:rStyle w:val="Strong"/>
          <w:rFonts w:ascii="Arial" w:hAnsi="Arial" w:cs="Arial"/>
          <w:sz w:val="24"/>
          <w:szCs w:val="24"/>
        </w:rPr>
        <w:t>Keywords:</w:t>
      </w:r>
      <w:r w:rsidRPr="00C87872">
        <w:rPr>
          <w:rFonts w:ascii="Arial" w:hAnsi="Arial" w:cs="Arial"/>
          <w:sz w:val="24"/>
          <w:szCs w:val="24"/>
        </w:rPr>
        <w:t xml:space="preserve"> Brinjal, ITK, eco-friendly, </w:t>
      </w:r>
      <w:r w:rsidRPr="00C87872">
        <w:rPr>
          <w:rFonts w:ascii="Arial" w:hAnsi="Arial" w:cs="Arial"/>
          <w:i/>
          <w:sz w:val="24"/>
          <w:szCs w:val="24"/>
        </w:rPr>
        <w:t xml:space="preserve">Leucinodes orbonalis, Azadirachta indica, </w:t>
      </w:r>
      <w:r w:rsidR="00C2154E" w:rsidRPr="00C87872">
        <w:rPr>
          <w:rFonts w:ascii="Arial" w:hAnsi="Arial" w:cs="Arial"/>
          <w:i/>
          <w:sz w:val="24"/>
          <w:szCs w:val="24"/>
        </w:rPr>
        <w:t>Melia azedarach</w:t>
      </w:r>
      <w:r w:rsidR="00C2154E" w:rsidRPr="00C87872">
        <w:rPr>
          <w:rFonts w:ascii="Arial" w:hAnsi="Arial" w:cs="Arial"/>
          <w:sz w:val="24"/>
          <w:szCs w:val="24"/>
        </w:rPr>
        <w:t xml:space="preserve">. </w:t>
      </w:r>
    </w:p>
    <w:p w14:paraId="50965192" w14:textId="77777777" w:rsidR="00F5548A" w:rsidRPr="00C87872" w:rsidRDefault="00F5548A" w:rsidP="001C14F8">
      <w:pPr>
        <w:spacing w:line="360" w:lineRule="auto"/>
        <w:rPr>
          <w:rFonts w:ascii="Arial" w:hAnsi="Arial" w:cs="Arial"/>
          <w:b/>
          <w:sz w:val="24"/>
          <w:szCs w:val="24"/>
        </w:rPr>
      </w:pPr>
      <w:r w:rsidRPr="00C87872">
        <w:rPr>
          <w:rFonts w:ascii="Arial" w:hAnsi="Arial" w:cs="Arial"/>
          <w:b/>
          <w:sz w:val="24"/>
          <w:szCs w:val="24"/>
        </w:rPr>
        <w:t xml:space="preserve">Introduction </w:t>
      </w:r>
    </w:p>
    <w:p w14:paraId="31C42389" w14:textId="77777777" w:rsidR="009A5BF0" w:rsidRPr="00C87872" w:rsidRDefault="009A5BF0" w:rsidP="001C14F8">
      <w:pPr>
        <w:spacing w:line="360" w:lineRule="auto"/>
        <w:jc w:val="both"/>
        <w:rPr>
          <w:rFonts w:ascii="Arial" w:hAnsi="Arial" w:cs="Arial"/>
          <w:sz w:val="24"/>
          <w:szCs w:val="24"/>
          <w:shd w:val="clear" w:color="auto" w:fill="FFFFFF"/>
        </w:rPr>
        <w:sectPr w:rsidR="009A5BF0" w:rsidRPr="00C87872" w:rsidSect="00C90E45">
          <w:headerReference w:type="even" r:id="rId8"/>
          <w:headerReference w:type="default" r:id="rId9"/>
          <w:footerReference w:type="even" r:id="rId10"/>
          <w:footerReference w:type="default" r:id="rId11"/>
          <w:headerReference w:type="first" r:id="rId12"/>
          <w:footerReference w:type="first" r:id="rId13"/>
          <w:pgSz w:w="11910" w:h="16840"/>
          <w:pgMar w:top="1480" w:right="992" w:bottom="278" w:left="1418" w:header="720" w:footer="720" w:gutter="0"/>
          <w:cols w:space="708"/>
          <w:docGrid w:linePitch="299"/>
        </w:sectPr>
      </w:pPr>
    </w:p>
    <w:p w14:paraId="4C93FBE9" w14:textId="77777777" w:rsidR="00F5548A" w:rsidRPr="00C87872" w:rsidRDefault="00F5548A" w:rsidP="001C14F8">
      <w:pPr>
        <w:spacing w:line="360" w:lineRule="auto"/>
        <w:jc w:val="both"/>
        <w:rPr>
          <w:rFonts w:ascii="Arial" w:hAnsi="Arial" w:cs="Arial"/>
          <w:sz w:val="24"/>
          <w:szCs w:val="24"/>
          <w:shd w:val="clear" w:color="auto" w:fill="FFFFFF"/>
        </w:rPr>
      </w:pPr>
      <w:r w:rsidRPr="00C87872">
        <w:rPr>
          <w:rFonts w:ascii="Arial" w:hAnsi="Arial" w:cs="Arial"/>
          <w:sz w:val="24"/>
          <w:szCs w:val="24"/>
          <w:shd w:val="clear" w:color="auto" w:fill="FFFFFF"/>
        </w:rPr>
        <w:t xml:space="preserve">Vegetable </w:t>
      </w:r>
      <w:r w:rsidRPr="00C87872">
        <w:rPr>
          <w:rFonts w:ascii="Arial" w:hAnsi="Arial" w:cs="Arial"/>
          <w:sz w:val="24"/>
          <w:szCs w:val="24"/>
          <w:lang w:eastAsia="en-IN"/>
        </w:rPr>
        <w:t xml:space="preserve">are employed as a selective diet and play a crucial function in supplying key protective nutrients </w:t>
      </w:r>
      <w:r w:rsidR="00A35167" w:rsidRPr="00C87872">
        <w:rPr>
          <w:rFonts w:ascii="Arial" w:hAnsi="Arial" w:cs="Arial"/>
          <w:sz w:val="24"/>
          <w:szCs w:val="24"/>
          <w:lang w:eastAsia="en-IN"/>
        </w:rPr>
        <w:t xml:space="preserve">including vitamins and minerals </w:t>
      </w:r>
      <w:r w:rsidRPr="00C87872">
        <w:rPr>
          <w:rFonts w:ascii="Arial" w:hAnsi="Arial" w:cs="Arial"/>
          <w:sz w:val="24"/>
          <w:szCs w:val="24"/>
          <w:shd w:val="clear" w:color="auto" w:fill="FFFFFF"/>
        </w:rPr>
        <w:t xml:space="preserve">(Sharma and Saxena, 2012). Thus they  constitute  a  valuable  supplement  food  and  form  an  important  constituent  of  our  diet. </w:t>
      </w:r>
      <w:r w:rsidRPr="00C87872">
        <w:rPr>
          <w:rFonts w:ascii="Arial" w:hAnsi="Arial" w:cs="Arial"/>
          <w:sz w:val="24"/>
          <w:szCs w:val="24"/>
        </w:rPr>
        <w:t xml:space="preserve">Brinjal belongs to the family Solanaceae, which includes </w:t>
      </w:r>
      <w:r w:rsidR="00A35167" w:rsidRPr="00C87872">
        <w:rPr>
          <w:rFonts w:ascii="Arial" w:hAnsi="Arial" w:cs="Arial"/>
          <w:sz w:val="24"/>
          <w:szCs w:val="24"/>
        </w:rPr>
        <w:t xml:space="preserve">nightshades and genus </w:t>
      </w:r>
      <w:r w:rsidR="00A35167" w:rsidRPr="00C87872">
        <w:rPr>
          <w:rFonts w:ascii="Arial" w:hAnsi="Arial" w:cs="Arial"/>
          <w:i/>
          <w:iCs/>
          <w:sz w:val="24"/>
          <w:szCs w:val="24"/>
        </w:rPr>
        <w:t>Solanum</w:t>
      </w:r>
      <w:r w:rsidR="00A35167" w:rsidRPr="00C87872">
        <w:rPr>
          <w:rFonts w:ascii="Arial" w:hAnsi="Arial" w:cs="Arial"/>
          <w:iCs/>
          <w:sz w:val="24"/>
          <w:szCs w:val="24"/>
        </w:rPr>
        <w:t>.</w:t>
      </w:r>
      <w:r w:rsidR="00A35167" w:rsidRPr="00C87872">
        <w:rPr>
          <w:rFonts w:ascii="Arial" w:hAnsi="Arial" w:cs="Arial"/>
          <w:i/>
          <w:iCs/>
          <w:sz w:val="24"/>
          <w:szCs w:val="24"/>
        </w:rPr>
        <w:t xml:space="preserve"> </w:t>
      </w:r>
      <w:r w:rsidR="00A35167" w:rsidRPr="00C87872">
        <w:rPr>
          <w:rFonts w:ascii="Arial" w:hAnsi="Arial" w:cs="Arial"/>
          <w:sz w:val="24"/>
          <w:szCs w:val="24"/>
        </w:rPr>
        <w:t xml:space="preserve">Brinjal is botanically known as </w:t>
      </w:r>
      <w:r w:rsidR="00A35167" w:rsidRPr="00C87872">
        <w:rPr>
          <w:rFonts w:ascii="Arial" w:hAnsi="Arial" w:cs="Arial"/>
          <w:i/>
          <w:iCs/>
          <w:sz w:val="24"/>
          <w:szCs w:val="24"/>
        </w:rPr>
        <w:t xml:space="preserve">Solanum melongena </w:t>
      </w:r>
      <w:r w:rsidR="00A35167" w:rsidRPr="00C87872">
        <w:rPr>
          <w:rFonts w:ascii="Arial" w:hAnsi="Arial" w:cs="Arial"/>
          <w:sz w:val="24"/>
          <w:szCs w:val="24"/>
        </w:rPr>
        <w:t xml:space="preserve">L. </w:t>
      </w:r>
      <w:r w:rsidR="00A35167" w:rsidRPr="00C87872">
        <w:rPr>
          <w:rFonts w:ascii="Arial" w:hAnsi="Arial" w:cs="Arial"/>
          <w:iCs/>
          <w:sz w:val="24"/>
          <w:szCs w:val="24"/>
        </w:rPr>
        <w:t>(2n =24)</w:t>
      </w:r>
      <w:r w:rsidR="00A35167" w:rsidRPr="00C87872">
        <w:rPr>
          <w:rFonts w:ascii="Arial" w:hAnsi="Arial" w:cs="Arial"/>
          <w:i/>
          <w:iCs/>
          <w:sz w:val="24"/>
          <w:szCs w:val="24"/>
        </w:rPr>
        <w:t xml:space="preserve"> </w:t>
      </w:r>
      <w:r w:rsidR="00A35167" w:rsidRPr="00C87872">
        <w:rPr>
          <w:rFonts w:ascii="Arial" w:hAnsi="Arial" w:cs="Arial"/>
          <w:sz w:val="24"/>
          <w:szCs w:val="24"/>
        </w:rPr>
        <w:t>and can be categorized into cultivated and wild types.</w:t>
      </w:r>
      <w:r w:rsidR="00A35167" w:rsidRPr="00C87872">
        <w:rPr>
          <w:rFonts w:ascii="Arial" w:hAnsi="Arial" w:cs="Arial"/>
          <w:spacing w:val="-1"/>
          <w:sz w:val="24"/>
          <w:szCs w:val="24"/>
        </w:rPr>
        <w:t xml:space="preserve"> Brinjal</w:t>
      </w:r>
      <w:r w:rsidR="00A35167" w:rsidRPr="00C87872">
        <w:rPr>
          <w:rFonts w:ascii="Arial" w:hAnsi="Arial" w:cs="Arial"/>
          <w:spacing w:val="-15"/>
          <w:sz w:val="24"/>
          <w:szCs w:val="24"/>
        </w:rPr>
        <w:t xml:space="preserve"> </w:t>
      </w:r>
      <w:r w:rsidR="00A35167" w:rsidRPr="00C87872">
        <w:rPr>
          <w:rFonts w:ascii="Arial" w:hAnsi="Arial" w:cs="Arial"/>
          <w:spacing w:val="-1"/>
          <w:sz w:val="24"/>
          <w:szCs w:val="24"/>
        </w:rPr>
        <w:t>also</w:t>
      </w:r>
      <w:r w:rsidR="00A35167" w:rsidRPr="00C87872">
        <w:rPr>
          <w:rFonts w:ascii="Arial" w:hAnsi="Arial" w:cs="Arial"/>
          <w:spacing w:val="-13"/>
          <w:sz w:val="24"/>
          <w:szCs w:val="24"/>
        </w:rPr>
        <w:t xml:space="preserve"> </w:t>
      </w:r>
      <w:r w:rsidR="00A35167" w:rsidRPr="00C87872">
        <w:rPr>
          <w:rFonts w:ascii="Arial" w:hAnsi="Arial" w:cs="Arial"/>
          <w:spacing w:val="-1"/>
          <w:sz w:val="24"/>
          <w:szCs w:val="24"/>
        </w:rPr>
        <w:t>known</w:t>
      </w:r>
      <w:r w:rsidR="00A35167" w:rsidRPr="00C87872">
        <w:rPr>
          <w:rFonts w:ascii="Arial" w:hAnsi="Arial" w:cs="Arial"/>
          <w:spacing w:val="-11"/>
          <w:sz w:val="24"/>
          <w:szCs w:val="24"/>
        </w:rPr>
        <w:t xml:space="preserve"> </w:t>
      </w:r>
      <w:r w:rsidR="00A35167" w:rsidRPr="00C87872">
        <w:rPr>
          <w:rFonts w:ascii="Arial" w:hAnsi="Arial" w:cs="Arial"/>
          <w:spacing w:val="-1"/>
          <w:sz w:val="24"/>
          <w:szCs w:val="24"/>
        </w:rPr>
        <w:t>a</w:t>
      </w:r>
      <w:r w:rsidR="00A35167" w:rsidRPr="00C87872">
        <w:rPr>
          <w:rFonts w:ascii="Arial" w:hAnsi="Arial" w:cs="Arial"/>
          <w:sz w:val="24"/>
          <w:szCs w:val="24"/>
        </w:rPr>
        <w:t>s the “King of vegetables”, and originated from the Indian sub-continent, as the probable</w:t>
      </w:r>
      <w:r w:rsidR="00A35167" w:rsidRPr="00C87872">
        <w:rPr>
          <w:rFonts w:ascii="Arial" w:hAnsi="Arial" w:cs="Arial"/>
          <w:spacing w:val="1"/>
          <w:sz w:val="24"/>
          <w:szCs w:val="24"/>
        </w:rPr>
        <w:t xml:space="preserve"> </w:t>
      </w:r>
      <w:r w:rsidR="00A35167" w:rsidRPr="00C87872">
        <w:rPr>
          <w:rFonts w:ascii="Arial" w:hAnsi="Arial" w:cs="Arial"/>
          <w:sz w:val="24"/>
          <w:szCs w:val="24"/>
        </w:rPr>
        <w:t>centre</w:t>
      </w:r>
      <w:r w:rsidR="00A35167" w:rsidRPr="00C87872">
        <w:rPr>
          <w:rFonts w:ascii="Arial" w:hAnsi="Arial" w:cs="Arial"/>
          <w:spacing w:val="-14"/>
          <w:sz w:val="24"/>
          <w:szCs w:val="24"/>
        </w:rPr>
        <w:t xml:space="preserve"> </w:t>
      </w:r>
      <w:r w:rsidR="00A35167" w:rsidRPr="00C87872">
        <w:rPr>
          <w:rFonts w:ascii="Arial" w:hAnsi="Arial" w:cs="Arial"/>
          <w:sz w:val="24"/>
          <w:szCs w:val="24"/>
        </w:rPr>
        <w:t>of</w:t>
      </w:r>
      <w:r w:rsidR="00A35167" w:rsidRPr="00C87872">
        <w:rPr>
          <w:rFonts w:ascii="Arial" w:hAnsi="Arial" w:cs="Arial"/>
          <w:spacing w:val="-12"/>
          <w:sz w:val="24"/>
          <w:szCs w:val="24"/>
        </w:rPr>
        <w:t xml:space="preserve"> </w:t>
      </w:r>
      <w:r w:rsidR="00A35167" w:rsidRPr="00C87872">
        <w:rPr>
          <w:rFonts w:ascii="Arial" w:hAnsi="Arial" w:cs="Arial"/>
          <w:sz w:val="24"/>
          <w:szCs w:val="24"/>
        </w:rPr>
        <w:t>origin</w:t>
      </w:r>
      <w:r w:rsidR="00A35167" w:rsidRPr="00C87872">
        <w:rPr>
          <w:rFonts w:ascii="Arial" w:hAnsi="Arial" w:cs="Arial"/>
          <w:spacing w:val="-13"/>
          <w:sz w:val="24"/>
          <w:szCs w:val="24"/>
        </w:rPr>
        <w:t xml:space="preserve"> </w:t>
      </w:r>
      <w:r w:rsidR="00A35167" w:rsidRPr="00C87872">
        <w:rPr>
          <w:rFonts w:ascii="Arial" w:hAnsi="Arial" w:cs="Arial"/>
          <w:sz w:val="24"/>
          <w:szCs w:val="24"/>
        </w:rPr>
        <w:t>(Gleddie</w:t>
      </w:r>
      <w:r w:rsidR="00A35167" w:rsidRPr="00C87872">
        <w:rPr>
          <w:rFonts w:ascii="Arial" w:hAnsi="Arial" w:cs="Arial"/>
          <w:spacing w:val="-11"/>
          <w:sz w:val="24"/>
          <w:szCs w:val="24"/>
        </w:rPr>
        <w:t xml:space="preserve"> </w:t>
      </w:r>
      <w:r w:rsidR="00A35167" w:rsidRPr="00C87872">
        <w:rPr>
          <w:rFonts w:ascii="Arial" w:hAnsi="Arial" w:cs="Arial"/>
          <w:i/>
          <w:sz w:val="24"/>
          <w:szCs w:val="24"/>
        </w:rPr>
        <w:t>et al.,</w:t>
      </w:r>
      <w:r w:rsidR="00A35167" w:rsidRPr="00C87872">
        <w:rPr>
          <w:rFonts w:ascii="Arial" w:hAnsi="Arial" w:cs="Arial"/>
          <w:spacing w:val="-9"/>
          <w:sz w:val="24"/>
          <w:szCs w:val="24"/>
        </w:rPr>
        <w:t xml:space="preserve"> </w:t>
      </w:r>
      <w:r w:rsidR="00A35167" w:rsidRPr="00C87872">
        <w:rPr>
          <w:rFonts w:ascii="Arial" w:hAnsi="Arial" w:cs="Arial"/>
          <w:sz w:val="24"/>
          <w:szCs w:val="24"/>
        </w:rPr>
        <w:t>1986;</w:t>
      </w:r>
      <w:r w:rsidR="00A35167" w:rsidRPr="00C87872">
        <w:rPr>
          <w:rFonts w:ascii="Arial" w:hAnsi="Arial" w:cs="Arial"/>
          <w:spacing w:val="-11"/>
          <w:sz w:val="24"/>
          <w:szCs w:val="24"/>
        </w:rPr>
        <w:t xml:space="preserve"> </w:t>
      </w:r>
      <w:r w:rsidR="00A35167" w:rsidRPr="00C87872">
        <w:rPr>
          <w:rFonts w:ascii="Arial" w:hAnsi="Arial" w:cs="Arial"/>
          <w:sz w:val="24"/>
          <w:szCs w:val="24"/>
        </w:rPr>
        <w:t>Omprakash</w:t>
      </w:r>
      <w:r w:rsidR="00A35167" w:rsidRPr="00C87872">
        <w:rPr>
          <w:rFonts w:ascii="Arial" w:hAnsi="Arial" w:cs="Arial"/>
          <w:spacing w:val="-14"/>
          <w:sz w:val="24"/>
          <w:szCs w:val="24"/>
        </w:rPr>
        <w:t xml:space="preserve"> </w:t>
      </w:r>
      <w:r w:rsidR="00A35167" w:rsidRPr="00C87872">
        <w:rPr>
          <w:rFonts w:ascii="Arial" w:hAnsi="Arial" w:cs="Arial"/>
          <w:sz w:val="24"/>
          <w:szCs w:val="24"/>
        </w:rPr>
        <w:t>and</w:t>
      </w:r>
      <w:r w:rsidR="00A35167" w:rsidRPr="00C87872">
        <w:rPr>
          <w:rFonts w:ascii="Arial" w:hAnsi="Arial" w:cs="Arial"/>
          <w:spacing w:val="-10"/>
          <w:sz w:val="24"/>
          <w:szCs w:val="24"/>
        </w:rPr>
        <w:t xml:space="preserve"> </w:t>
      </w:r>
      <w:r w:rsidR="00A35167" w:rsidRPr="00C87872">
        <w:rPr>
          <w:rFonts w:ascii="Arial" w:hAnsi="Arial" w:cs="Arial"/>
          <w:sz w:val="24"/>
          <w:szCs w:val="24"/>
        </w:rPr>
        <w:t>Raju,</w:t>
      </w:r>
      <w:r w:rsidR="00A35167" w:rsidRPr="00C87872">
        <w:rPr>
          <w:rFonts w:ascii="Arial" w:hAnsi="Arial" w:cs="Arial"/>
          <w:spacing w:val="-10"/>
          <w:sz w:val="24"/>
          <w:szCs w:val="24"/>
        </w:rPr>
        <w:t xml:space="preserve"> </w:t>
      </w:r>
      <w:r w:rsidR="00A35167" w:rsidRPr="00C87872">
        <w:rPr>
          <w:rFonts w:ascii="Arial" w:hAnsi="Arial" w:cs="Arial"/>
          <w:sz w:val="24"/>
          <w:szCs w:val="24"/>
        </w:rPr>
        <w:t>2014). Three</w:t>
      </w:r>
      <w:r w:rsidRPr="00C87872">
        <w:rPr>
          <w:rFonts w:ascii="Arial" w:hAnsi="Arial" w:cs="Arial"/>
          <w:sz w:val="24"/>
          <w:szCs w:val="24"/>
        </w:rPr>
        <w:t xml:space="preserve"> varieties of aubergine have been identified based on their fruit shapes: dwarf, long, thin and egg-shaped. (Niño </w:t>
      </w:r>
      <w:r w:rsidRPr="00C87872">
        <w:rPr>
          <w:rFonts w:ascii="Arial" w:hAnsi="Arial" w:cs="Arial"/>
          <w:i/>
          <w:sz w:val="24"/>
          <w:szCs w:val="24"/>
        </w:rPr>
        <w:t>et al.,</w:t>
      </w:r>
      <w:r w:rsidRPr="00C87872">
        <w:rPr>
          <w:rFonts w:ascii="Arial" w:hAnsi="Arial" w:cs="Arial"/>
          <w:sz w:val="24"/>
          <w:szCs w:val="24"/>
        </w:rPr>
        <w:t xml:space="preserve"> 2017).</w:t>
      </w:r>
      <w:r w:rsidRPr="00C87872">
        <w:rPr>
          <w:rFonts w:ascii="Arial" w:hAnsi="Arial" w:cs="Arial"/>
          <w:sz w:val="24"/>
          <w:szCs w:val="24"/>
          <w:shd w:val="clear" w:color="auto" w:fill="FFFFFF"/>
        </w:rPr>
        <w:t xml:space="preserve"> The  crop  is  well  adapted  to  high  rainfall  and  high  temperatures  and  is  among  the  few  vegetables  capable  of  yielding  high  in  hot-wet environments (Hanson </w:t>
      </w:r>
      <w:r w:rsidRPr="00C87872">
        <w:rPr>
          <w:rFonts w:ascii="Arial" w:hAnsi="Arial" w:cs="Arial"/>
          <w:i/>
          <w:sz w:val="24"/>
          <w:szCs w:val="24"/>
          <w:shd w:val="clear" w:color="auto" w:fill="FFFFFF"/>
        </w:rPr>
        <w:t>et al.,</w:t>
      </w:r>
      <w:r w:rsidRPr="00C87872">
        <w:rPr>
          <w:rFonts w:ascii="Arial" w:hAnsi="Arial" w:cs="Arial"/>
          <w:sz w:val="24"/>
          <w:szCs w:val="24"/>
          <w:shd w:val="clear" w:color="auto" w:fill="FFFFFF"/>
        </w:rPr>
        <w:t xml:space="preserve"> 2006).</w:t>
      </w:r>
      <w:r w:rsidRPr="00C87872">
        <w:rPr>
          <w:rFonts w:ascii="Arial" w:hAnsi="Arial" w:cs="Arial"/>
          <w:sz w:val="24"/>
          <w:szCs w:val="24"/>
        </w:rPr>
        <w:t xml:space="preserve"> In India during 2023-24, Brinjal acreage was 7.44 lakh hectares with 127.68 lakh tonnes </w:t>
      </w:r>
      <w:r w:rsidRPr="00C87872">
        <w:rPr>
          <w:rFonts w:ascii="Arial" w:hAnsi="Arial" w:cs="Arial"/>
          <w:sz w:val="24"/>
          <w:szCs w:val="24"/>
        </w:rPr>
        <w:lastRenderedPageBreak/>
        <w:t>production (</w:t>
      </w:r>
      <w:r w:rsidR="00A35167" w:rsidRPr="00C87872">
        <w:rPr>
          <w:rFonts w:ascii="Arial" w:hAnsi="Arial" w:cs="Arial"/>
          <w:sz w:val="24"/>
          <w:szCs w:val="24"/>
        </w:rPr>
        <w:t>PIB, 2022</w:t>
      </w:r>
      <w:r w:rsidRPr="00C87872">
        <w:rPr>
          <w:rFonts w:ascii="Arial" w:hAnsi="Arial" w:cs="Arial"/>
          <w:sz w:val="24"/>
          <w:szCs w:val="24"/>
        </w:rPr>
        <w:t xml:space="preserve">). </w:t>
      </w:r>
      <w:r w:rsidRPr="00C87872">
        <w:rPr>
          <w:rFonts w:ascii="Arial" w:hAnsi="Arial" w:cs="Arial"/>
          <w:sz w:val="24"/>
          <w:szCs w:val="24"/>
          <w:shd w:val="clear" w:color="auto" w:fill="FFFFFF"/>
        </w:rPr>
        <w:t xml:space="preserve">India ranks second place both in area and production after China. Major brinjal growing states in India are Odisha, Bihar, Karnataka, West Bengal, Andhra Pradesh, Maharashtra and Uttar Pradesh. </w:t>
      </w:r>
    </w:p>
    <w:p w14:paraId="6433FBE0" w14:textId="77777777" w:rsidR="009A5BF0" w:rsidRPr="00C87872" w:rsidRDefault="009A5BF0" w:rsidP="001C14F8">
      <w:pPr>
        <w:spacing w:line="360" w:lineRule="auto"/>
        <w:jc w:val="both"/>
        <w:rPr>
          <w:rFonts w:ascii="Arial" w:hAnsi="Arial" w:cs="Arial"/>
          <w:sz w:val="24"/>
          <w:szCs w:val="24"/>
        </w:rPr>
        <w:sectPr w:rsidR="009A5BF0" w:rsidRPr="00C87872" w:rsidSect="00C90E45">
          <w:type w:val="continuous"/>
          <w:pgSz w:w="11910" w:h="16840"/>
          <w:pgMar w:top="1480" w:right="992" w:bottom="278" w:left="1418" w:header="720" w:footer="720" w:gutter="0"/>
          <w:cols w:space="708"/>
          <w:docGrid w:linePitch="299"/>
        </w:sectPr>
      </w:pPr>
    </w:p>
    <w:p w14:paraId="39529F3C" w14:textId="0D1D91E4" w:rsidR="00F5548A" w:rsidRPr="00C87872" w:rsidRDefault="00F5548A" w:rsidP="001C14F8">
      <w:pPr>
        <w:spacing w:line="360" w:lineRule="auto"/>
        <w:jc w:val="both"/>
        <w:rPr>
          <w:rFonts w:ascii="Arial" w:hAnsi="Arial" w:cs="Arial"/>
          <w:sz w:val="24"/>
          <w:szCs w:val="24"/>
        </w:rPr>
      </w:pPr>
      <w:r w:rsidRPr="00C87872">
        <w:rPr>
          <w:rFonts w:ascii="Arial" w:hAnsi="Arial" w:cs="Arial"/>
          <w:sz w:val="24"/>
          <w:szCs w:val="24"/>
        </w:rPr>
        <w:t xml:space="preserve">In Manipur, </w:t>
      </w:r>
      <w:r w:rsidRPr="00C87872">
        <w:rPr>
          <w:rFonts w:ascii="Arial" w:hAnsi="Arial" w:cs="Arial"/>
          <w:color w:val="231F20"/>
          <w:sz w:val="24"/>
          <w:szCs w:val="24"/>
        </w:rPr>
        <w:t xml:space="preserve">brinjal is </w:t>
      </w:r>
      <w:r w:rsidRPr="00C87872">
        <w:rPr>
          <w:rFonts w:ascii="Arial" w:hAnsi="Arial" w:cs="Arial"/>
          <w:sz w:val="24"/>
          <w:szCs w:val="24"/>
        </w:rPr>
        <w:t>among the important vegetable crops grown having high production and usually occupies its place as poor man’s crop. The entire area used to grow brinjal is only 150 ha with a production of 2090 MT (</w:t>
      </w:r>
      <w:r w:rsidRPr="00C87872">
        <w:rPr>
          <w:rFonts w:ascii="Arial" w:hAnsi="Arial" w:cs="Arial"/>
          <w:color w:val="000000" w:themeColor="text1"/>
          <w:sz w:val="24"/>
          <w:szCs w:val="24"/>
        </w:rPr>
        <w:t>agriwalfare</w:t>
      </w:r>
      <w:r w:rsidRPr="00C87872">
        <w:rPr>
          <w:rFonts w:ascii="Arial" w:hAnsi="Arial" w:cs="Arial"/>
          <w:sz w:val="24"/>
          <w:szCs w:val="24"/>
        </w:rPr>
        <w:t>.gov.in)</w:t>
      </w:r>
      <w:r w:rsidR="00B762B1" w:rsidRPr="00C87872">
        <w:rPr>
          <w:rFonts w:ascii="Arial" w:hAnsi="Arial" w:cs="Arial"/>
          <w:sz w:val="24"/>
          <w:szCs w:val="24"/>
        </w:rPr>
        <w:t>.</w:t>
      </w:r>
    </w:p>
    <w:p w14:paraId="31B398FD" w14:textId="77777777" w:rsidR="00992A2D" w:rsidRPr="00C87872" w:rsidRDefault="00F5548A" w:rsidP="00AE4688">
      <w:pPr>
        <w:spacing w:line="360" w:lineRule="auto"/>
        <w:ind w:firstLine="851"/>
        <w:jc w:val="both"/>
        <w:rPr>
          <w:rFonts w:ascii="Arial" w:hAnsi="Arial" w:cs="Arial"/>
          <w:sz w:val="24"/>
          <w:szCs w:val="24"/>
        </w:rPr>
      </w:pPr>
      <w:r w:rsidRPr="00C87872">
        <w:rPr>
          <w:rFonts w:ascii="Arial" w:hAnsi="Arial" w:cs="Arial"/>
          <w:color w:val="000000"/>
          <w:sz w:val="24"/>
          <w:szCs w:val="24"/>
          <w:lang w:eastAsia="en-IN"/>
        </w:rPr>
        <w:t xml:space="preserve">Among  </w:t>
      </w:r>
      <w:r w:rsidRPr="00C87872">
        <w:rPr>
          <w:rFonts w:ascii="Arial" w:hAnsi="Arial" w:cs="Arial"/>
          <w:sz w:val="24"/>
          <w:szCs w:val="24"/>
          <w:lang w:eastAsia="en-IN"/>
        </w:rPr>
        <w:t>the primary elements that lead to</w:t>
      </w:r>
      <w:r w:rsidRPr="00C87872">
        <w:rPr>
          <w:rFonts w:ascii="Arial" w:hAnsi="Arial" w:cs="Arial"/>
          <w:color w:val="000000"/>
          <w:sz w:val="24"/>
          <w:szCs w:val="24"/>
          <w:lang w:eastAsia="en-IN"/>
        </w:rPr>
        <w:t xml:space="preserve">  contribute  towards  low  productivity  of  brinjal,  insect  pest  is  the  major  cause  and  inflict  crop </w:t>
      </w:r>
      <w:r w:rsidR="00992A2D" w:rsidRPr="00C87872">
        <w:rPr>
          <w:rFonts w:ascii="Arial" w:hAnsi="Arial" w:cs="Arial"/>
          <w:color w:val="000000"/>
          <w:sz w:val="24"/>
          <w:szCs w:val="24"/>
          <w:lang w:eastAsia="en-IN"/>
        </w:rPr>
        <w:t xml:space="preserve"> losses</w:t>
      </w:r>
      <w:r w:rsidRPr="00C87872">
        <w:rPr>
          <w:rFonts w:ascii="Arial" w:hAnsi="Arial" w:cs="Arial"/>
          <w:color w:val="000000"/>
          <w:sz w:val="24"/>
          <w:szCs w:val="24"/>
          <w:lang w:eastAsia="en-IN"/>
        </w:rPr>
        <w:t xml:space="preserve">. Brinjal is subjected to attack by number of insect pest right from nursery stage till harvesting. </w:t>
      </w:r>
      <w:r w:rsidR="00992A2D" w:rsidRPr="00C87872">
        <w:rPr>
          <w:rFonts w:ascii="Arial" w:hAnsi="Arial" w:cs="Arial"/>
          <w:sz w:val="24"/>
          <w:szCs w:val="24"/>
        </w:rPr>
        <w:t xml:space="preserve">The most serious pest causing extensive damage both in vegetative and reproductive stages of the crop throughout the year in cultivation of brinjal is due to infestation of fruit and shoot borer </w:t>
      </w:r>
      <w:r w:rsidR="00992A2D" w:rsidRPr="00C87872">
        <w:rPr>
          <w:rFonts w:ascii="Arial" w:hAnsi="Arial" w:cs="Arial"/>
          <w:i/>
          <w:sz w:val="24"/>
          <w:szCs w:val="24"/>
        </w:rPr>
        <w:t>L. orbonalis</w:t>
      </w:r>
      <w:r w:rsidR="00992A2D" w:rsidRPr="00C87872">
        <w:rPr>
          <w:rFonts w:ascii="Arial" w:hAnsi="Arial" w:cs="Arial"/>
          <w:sz w:val="24"/>
          <w:szCs w:val="24"/>
        </w:rPr>
        <w:t xml:space="preserve"> (Banerjee </w:t>
      </w:r>
      <w:r w:rsidR="00992A2D" w:rsidRPr="00C87872">
        <w:rPr>
          <w:rFonts w:ascii="Arial" w:hAnsi="Arial" w:cs="Arial"/>
          <w:i/>
          <w:sz w:val="24"/>
          <w:szCs w:val="24"/>
        </w:rPr>
        <w:t>et al.,</w:t>
      </w:r>
      <w:r w:rsidR="00992A2D" w:rsidRPr="00C87872">
        <w:rPr>
          <w:rFonts w:ascii="Arial" w:hAnsi="Arial" w:cs="Arial"/>
          <w:sz w:val="24"/>
          <w:szCs w:val="24"/>
        </w:rPr>
        <w:t xml:space="preserve"> 2009, Panja </w:t>
      </w:r>
      <w:r w:rsidR="00992A2D" w:rsidRPr="00C87872">
        <w:rPr>
          <w:rFonts w:ascii="Arial" w:hAnsi="Arial" w:cs="Arial"/>
          <w:i/>
          <w:sz w:val="24"/>
          <w:szCs w:val="24"/>
        </w:rPr>
        <w:t>et al.,</w:t>
      </w:r>
      <w:r w:rsidR="00992A2D" w:rsidRPr="00C87872">
        <w:rPr>
          <w:rFonts w:ascii="Arial" w:hAnsi="Arial" w:cs="Arial"/>
          <w:sz w:val="24"/>
          <w:szCs w:val="24"/>
        </w:rPr>
        <w:t xml:space="preserve"> 2013). Inflicting loss even upto 48.30% (Singh </w:t>
      </w:r>
      <w:r w:rsidR="00992A2D" w:rsidRPr="00C87872">
        <w:rPr>
          <w:rFonts w:ascii="Arial" w:hAnsi="Arial" w:cs="Arial"/>
          <w:i/>
          <w:sz w:val="24"/>
          <w:szCs w:val="24"/>
        </w:rPr>
        <w:t>et al.,</w:t>
      </w:r>
      <w:r w:rsidR="00992A2D" w:rsidRPr="00C87872">
        <w:rPr>
          <w:rFonts w:ascii="Arial" w:hAnsi="Arial" w:cs="Arial"/>
          <w:sz w:val="24"/>
          <w:szCs w:val="24"/>
        </w:rPr>
        <w:t xml:space="preserve"> 2000) 55.56 to 80% (Lal </w:t>
      </w:r>
      <w:r w:rsidR="00992A2D" w:rsidRPr="00C87872">
        <w:rPr>
          <w:rFonts w:ascii="Arial" w:hAnsi="Arial" w:cs="Arial"/>
          <w:i/>
          <w:sz w:val="24"/>
          <w:szCs w:val="24"/>
        </w:rPr>
        <w:t>et al.,</w:t>
      </w:r>
      <w:r w:rsidR="00992A2D" w:rsidRPr="00C87872">
        <w:rPr>
          <w:rFonts w:ascii="Arial" w:hAnsi="Arial" w:cs="Arial"/>
          <w:sz w:val="24"/>
          <w:szCs w:val="24"/>
        </w:rPr>
        <w:t xml:space="preserve"> 2004) up to 70% (Singh </w:t>
      </w:r>
      <w:r w:rsidR="00992A2D" w:rsidRPr="00C87872">
        <w:rPr>
          <w:rFonts w:ascii="Arial" w:hAnsi="Arial" w:cs="Arial"/>
          <w:i/>
          <w:sz w:val="24"/>
          <w:szCs w:val="24"/>
        </w:rPr>
        <w:t>et al.,</w:t>
      </w:r>
      <w:r w:rsidR="00992A2D" w:rsidRPr="00C87872">
        <w:rPr>
          <w:rFonts w:ascii="Arial" w:hAnsi="Arial" w:cs="Arial"/>
          <w:sz w:val="24"/>
          <w:szCs w:val="24"/>
        </w:rPr>
        <w:t xml:space="preserve"> 2008) 70- 92 % (Reddy and Srinivasa, 2004; Chakraborti and Sarkar, 2011). The </w:t>
      </w:r>
      <w:r w:rsidR="00992A2D" w:rsidRPr="00C87872">
        <w:rPr>
          <w:rFonts w:ascii="Arial" w:hAnsi="Arial" w:cs="Arial"/>
          <w:i/>
          <w:sz w:val="24"/>
          <w:szCs w:val="24"/>
        </w:rPr>
        <w:t>L. orbonalis</w:t>
      </w:r>
      <w:r w:rsidR="00992A2D" w:rsidRPr="00C87872">
        <w:rPr>
          <w:rFonts w:ascii="Arial" w:hAnsi="Arial" w:cs="Arial"/>
          <w:sz w:val="24"/>
          <w:szCs w:val="24"/>
        </w:rPr>
        <w:t xml:space="preserve"> infestation causes 68 percent decrease in vitamin C content in the fruits that were infected (Anwar </w:t>
      </w:r>
      <w:r w:rsidR="00992A2D" w:rsidRPr="00C87872">
        <w:rPr>
          <w:rFonts w:ascii="Arial" w:hAnsi="Arial" w:cs="Arial"/>
          <w:i/>
          <w:sz w:val="24"/>
          <w:szCs w:val="24"/>
        </w:rPr>
        <w:t>et al.,</w:t>
      </w:r>
      <w:r w:rsidR="00992A2D" w:rsidRPr="00C87872">
        <w:rPr>
          <w:rFonts w:ascii="Arial" w:hAnsi="Arial" w:cs="Arial"/>
          <w:sz w:val="24"/>
          <w:szCs w:val="24"/>
        </w:rPr>
        <w:t xml:space="preserve"> 2015).</w:t>
      </w:r>
    </w:p>
    <w:p w14:paraId="5200F3BB" w14:textId="77777777" w:rsidR="00E2243A" w:rsidRPr="00C87872" w:rsidRDefault="00F5548A" w:rsidP="00AE4688">
      <w:pPr>
        <w:spacing w:line="360" w:lineRule="auto"/>
        <w:ind w:firstLine="720"/>
        <w:jc w:val="both"/>
        <w:rPr>
          <w:rFonts w:ascii="Arial" w:hAnsi="Arial" w:cs="Arial"/>
          <w:color w:val="000000"/>
          <w:sz w:val="24"/>
          <w:szCs w:val="24"/>
          <w:lang w:eastAsia="en-IN"/>
        </w:rPr>
      </w:pPr>
      <w:r w:rsidRPr="00C87872">
        <w:rPr>
          <w:rFonts w:ascii="Arial" w:hAnsi="Arial" w:cs="Arial"/>
          <w:color w:val="000000"/>
          <w:sz w:val="24"/>
          <w:szCs w:val="24"/>
          <w:lang w:eastAsia="en-IN"/>
        </w:rPr>
        <w:t xml:space="preserve">A variety of insect pest control strategies have been proposed by researchers, among which chemical control remains the most widely adopted by the farming community due to its practicality and potential for higher economic returns. However, in brinjal cultivation, where fruits are harvested </w:t>
      </w:r>
      <w:r w:rsidR="009A5BF0" w:rsidRPr="00C87872">
        <w:rPr>
          <w:rFonts w:ascii="Arial" w:hAnsi="Arial" w:cs="Arial"/>
          <w:color w:val="000000"/>
          <w:sz w:val="24"/>
          <w:szCs w:val="24"/>
          <w:lang w:eastAsia="en-IN"/>
        </w:rPr>
        <w:t xml:space="preserve">at short intervals, the </w:t>
      </w:r>
      <w:r w:rsidR="00AE4688" w:rsidRPr="00C87872">
        <w:rPr>
          <w:rFonts w:ascii="Arial" w:hAnsi="Arial" w:cs="Arial"/>
          <w:color w:val="000000"/>
          <w:sz w:val="24"/>
          <w:szCs w:val="24"/>
          <w:lang w:eastAsia="en-IN"/>
        </w:rPr>
        <w:t>use of</w:t>
      </w:r>
      <w:r w:rsidRPr="00C87872">
        <w:rPr>
          <w:rFonts w:ascii="Arial" w:hAnsi="Arial" w:cs="Arial"/>
          <w:color w:val="000000"/>
          <w:sz w:val="24"/>
          <w:szCs w:val="24"/>
          <w:lang w:eastAsia="en-IN"/>
        </w:rPr>
        <w:t xml:space="preserve"> chemical pesticides is not advisable. Frequent application leads to several issues, including pest resistance, resurgence, and the presence of harmful residues. The presence of insecticidal residues in brinjal fruits raises significant concerns regarding both domestic consumption and international export standards. This situation necessitates the adoption of environmentally friendly pest control agents to mitigate such problems. It is, therefore, imperative to adopt non-chemical pest management strategies that are both eco-friendly and completely safe for consumers. One such approach involves the use of bio</w:t>
      </w:r>
      <w:r w:rsidR="00AE4688" w:rsidRPr="00C87872">
        <w:rPr>
          <w:rFonts w:ascii="Arial" w:hAnsi="Arial" w:cs="Arial"/>
          <w:color w:val="000000"/>
          <w:sz w:val="24"/>
          <w:szCs w:val="24"/>
          <w:lang w:eastAsia="en-IN"/>
        </w:rPr>
        <w:t>-</w:t>
      </w:r>
      <w:r w:rsidRPr="00C87872">
        <w:rPr>
          <w:rFonts w:ascii="Arial" w:hAnsi="Arial" w:cs="Arial"/>
          <w:color w:val="000000"/>
          <w:sz w:val="24"/>
          <w:szCs w:val="24"/>
          <w:lang w:eastAsia="en-IN"/>
        </w:rPr>
        <w:t>rational insecticides derived from plants, animal and microorganisms, which offer an ecologically sound solution for suppressing insect pests while minimizing environmental contamination.</w:t>
      </w:r>
      <w:r w:rsidR="00E2243A" w:rsidRPr="00C87872">
        <w:rPr>
          <w:rFonts w:ascii="Arial" w:hAnsi="Arial" w:cs="Arial"/>
          <w:color w:val="000000"/>
          <w:sz w:val="24"/>
          <w:szCs w:val="24"/>
          <w:lang w:eastAsia="en-IN"/>
        </w:rPr>
        <w:t xml:space="preserve"> </w:t>
      </w:r>
    </w:p>
    <w:p w14:paraId="09933443" w14:textId="77777777" w:rsidR="00E2243A" w:rsidRPr="00C87872" w:rsidRDefault="00E2243A" w:rsidP="001C14F8">
      <w:pPr>
        <w:pStyle w:val="Heading1"/>
        <w:spacing w:after="0" w:line="360" w:lineRule="auto"/>
        <w:rPr>
          <w:rFonts w:ascii="Arial" w:eastAsia="Calibri" w:hAnsi="Arial" w:cs="Arial"/>
        </w:rPr>
      </w:pPr>
      <w:r w:rsidRPr="00C87872">
        <w:rPr>
          <w:rFonts w:ascii="Arial" w:eastAsia="Calibri" w:hAnsi="Arial" w:cs="Arial"/>
        </w:rPr>
        <w:t>Materials and methods</w:t>
      </w:r>
    </w:p>
    <w:p w14:paraId="6F48B452" w14:textId="77777777" w:rsidR="00E2243A" w:rsidRPr="00C87872" w:rsidRDefault="00E2243A" w:rsidP="00C9542F">
      <w:pPr>
        <w:spacing w:after="0" w:line="360" w:lineRule="auto"/>
        <w:ind w:firstLine="720"/>
        <w:jc w:val="both"/>
        <w:rPr>
          <w:rFonts w:ascii="Arial" w:hAnsi="Arial" w:cs="Arial"/>
          <w:iCs/>
          <w:sz w:val="24"/>
          <w:szCs w:val="24"/>
        </w:rPr>
      </w:pPr>
      <w:r w:rsidRPr="00C87872">
        <w:rPr>
          <w:rFonts w:ascii="Arial" w:hAnsi="Arial" w:cs="Arial"/>
          <w:iCs/>
          <w:sz w:val="24"/>
          <w:szCs w:val="24"/>
        </w:rPr>
        <w:t xml:space="preserve">The experiment was carried out to study the </w:t>
      </w:r>
      <w:r w:rsidR="00F82907" w:rsidRPr="00C87872">
        <w:rPr>
          <w:rFonts w:ascii="Arial" w:hAnsi="Arial" w:cs="Arial"/>
          <w:iCs/>
          <w:sz w:val="24"/>
          <w:szCs w:val="24"/>
        </w:rPr>
        <w:t xml:space="preserve">efficacy of </w:t>
      </w:r>
      <w:r w:rsidRPr="00C87872">
        <w:rPr>
          <w:rFonts w:ascii="Arial" w:hAnsi="Arial" w:cs="Arial"/>
          <w:iCs/>
          <w:sz w:val="24"/>
          <w:szCs w:val="24"/>
        </w:rPr>
        <w:t xml:space="preserve">major insect pest management in brinjal by using indigenous technical knowledge (ITK) in Manipur valley </w:t>
      </w:r>
      <w:r w:rsidRPr="00C87872">
        <w:rPr>
          <w:rFonts w:ascii="Arial" w:hAnsi="Arial" w:cs="Arial"/>
          <w:iCs/>
          <w:sz w:val="24"/>
          <w:szCs w:val="24"/>
        </w:rPr>
        <w:lastRenderedPageBreak/>
        <w:t xml:space="preserve">conditions. </w:t>
      </w:r>
      <w:r w:rsidRPr="00C87872">
        <w:rPr>
          <w:rFonts w:ascii="Arial" w:hAnsi="Arial" w:cs="Arial"/>
          <w:sz w:val="24"/>
          <w:szCs w:val="24"/>
        </w:rPr>
        <w:t>It was conducted in the demonstration plot of Central Farm, Lamphelpat of Central A</w:t>
      </w:r>
      <w:r w:rsidR="00F82907" w:rsidRPr="00C87872">
        <w:rPr>
          <w:rFonts w:ascii="Arial" w:hAnsi="Arial" w:cs="Arial"/>
          <w:sz w:val="24"/>
          <w:szCs w:val="24"/>
        </w:rPr>
        <w:t>gricultural University, Imphal.</w:t>
      </w:r>
      <w:r w:rsidR="00D905FF" w:rsidRPr="00C87872">
        <w:rPr>
          <w:rFonts w:ascii="Arial" w:hAnsi="Arial" w:cs="Arial"/>
          <w:iCs/>
          <w:sz w:val="24"/>
          <w:szCs w:val="24"/>
        </w:rPr>
        <w:t xml:space="preserve"> </w:t>
      </w:r>
      <w:r w:rsidRPr="00C87872">
        <w:rPr>
          <w:rFonts w:ascii="Arial" w:hAnsi="Arial" w:cs="Arial"/>
          <w:sz w:val="24"/>
          <w:szCs w:val="24"/>
        </w:rPr>
        <w:t xml:space="preserve">The experimental design </w:t>
      </w:r>
      <w:r w:rsidR="00F82907" w:rsidRPr="00C87872">
        <w:rPr>
          <w:rFonts w:ascii="Arial" w:hAnsi="Arial" w:cs="Arial"/>
          <w:sz w:val="24"/>
          <w:szCs w:val="24"/>
        </w:rPr>
        <w:t>was</w:t>
      </w:r>
      <w:r w:rsidRPr="00C87872">
        <w:rPr>
          <w:rFonts w:ascii="Arial" w:hAnsi="Arial" w:cs="Arial"/>
          <w:sz w:val="24"/>
          <w:szCs w:val="24"/>
        </w:rPr>
        <w:t xml:space="preserve"> Randomized Block Design (RBD) with 10 treatments and 3 replications with plot size of 3 m × 2 m, spacing of 50 cm × 50 cm. </w:t>
      </w:r>
    </w:p>
    <w:p w14:paraId="533AA0A7" w14:textId="77777777" w:rsidR="009A5BF0" w:rsidRPr="00C87872" w:rsidRDefault="00E2243A" w:rsidP="00E2243A">
      <w:pPr>
        <w:tabs>
          <w:tab w:val="left" w:pos="1170"/>
          <w:tab w:val="left" w:pos="1440"/>
          <w:tab w:val="left" w:pos="1800"/>
          <w:tab w:val="left" w:pos="3510"/>
          <w:tab w:val="left" w:pos="3960"/>
        </w:tabs>
        <w:spacing w:after="0" w:line="360" w:lineRule="auto"/>
        <w:jc w:val="both"/>
        <w:rPr>
          <w:rFonts w:ascii="Arial" w:hAnsi="Arial" w:cs="Arial"/>
          <w:sz w:val="24"/>
          <w:szCs w:val="24"/>
        </w:rPr>
        <w:sectPr w:rsidR="009A5BF0" w:rsidRPr="00C87872" w:rsidSect="00C90E45">
          <w:type w:val="continuous"/>
          <w:pgSz w:w="11910" w:h="16840"/>
          <w:pgMar w:top="2127" w:right="992" w:bottom="278" w:left="1418" w:header="720" w:footer="720" w:gutter="0"/>
          <w:cols w:space="708"/>
          <w:docGrid w:linePitch="299"/>
        </w:sectPr>
      </w:pPr>
      <w:r w:rsidRPr="00C87872">
        <w:rPr>
          <w:rFonts w:ascii="Arial" w:hAnsi="Arial" w:cs="Arial"/>
          <w:sz w:val="24"/>
          <w:szCs w:val="24"/>
        </w:rPr>
        <w:t>The following treatments will be taken up</w:t>
      </w:r>
    </w:p>
    <w:p w14:paraId="1AEAEEA4" w14:textId="77777777" w:rsidR="001C14F8" w:rsidRPr="00C87872" w:rsidRDefault="001C14F8" w:rsidP="00E2243A">
      <w:pPr>
        <w:tabs>
          <w:tab w:val="left" w:pos="1170"/>
          <w:tab w:val="left" w:pos="1440"/>
          <w:tab w:val="left" w:pos="1800"/>
          <w:tab w:val="left" w:pos="3510"/>
          <w:tab w:val="left" w:pos="3960"/>
        </w:tabs>
        <w:spacing w:after="0" w:line="360" w:lineRule="auto"/>
        <w:jc w:val="both"/>
        <w:rPr>
          <w:rFonts w:ascii="Arial" w:hAnsi="Arial" w:cs="Arial"/>
          <w:b/>
          <w:sz w:val="24"/>
          <w:szCs w:val="24"/>
        </w:rPr>
      </w:pPr>
      <w:r w:rsidRPr="00C87872">
        <w:rPr>
          <w:rFonts w:ascii="Arial" w:hAnsi="Arial" w:cs="Arial"/>
          <w:b/>
          <w:sz w:val="24"/>
          <w:szCs w:val="24"/>
        </w:rPr>
        <w:t>Treatment detail</w:t>
      </w:r>
    </w:p>
    <w:tbl>
      <w:tblPr>
        <w:tblStyle w:val="TableGrid"/>
        <w:tblW w:w="8725" w:type="dxa"/>
        <w:tblLook w:val="04A0" w:firstRow="1" w:lastRow="0" w:firstColumn="1" w:lastColumn="0" w:noHBand="0" w:noVBand="1"/>
      </w:tblPr>
      <w:tblGrid>
        <w:gridCol w:w="1975"/>
        <w:gridCol w:w="630"/>
        <w:gridCol w:w="4230"/>
        <w:gridCol w:w="1890"/>
      </w:tblGrid>
      <w:tr w:rsidR="00E12DDB" w:rsidRPr="00C87872" w14:paraId="7468E73F" w14:textId="77777777" w:rsidTr="00C87872">
        <w:tc>
          <w:tcPr>
            <w:tcW w:w="6835" w:type="dxa"/>
            <w:gridSpan w:val="3"/>
          </w:tcPr>
          <w:p w14:paraId="0C67AEF6" w14:textId="3CC6EC31" w:rsidR="00E12DDB" w:rsidRPr="00C87872" w:rsidRDefault="00E12DDB" w:rsidP="00E12DDB">
            <w:pPr>
              <w:tabs>
                <w:tab w:val="left" w:pos="1170"/>
                <w:tab w:val="left" w:pos="1440"/>
                <w:tab w:val="left" w:pos="1800"/>
                <w:tab w:val="left" w:pos="3510"/>
                <w:tab w:val="left" w:pos="3960"/>
              </w:tabs>
              <w:spacing w:line="360" w:lineRule="auto"/>
              <w:jc w:val="center"/>
              <w:rPr>
                <w:rFonts w:ascii="Arial" w:hAnsi="Arial" w:cs="Arial"/>
                <w:b/>
                <w:sz w:val="24"/>
                <w:szCs w:val="24"/>
              </w:rPr>
            </w:pPr>
            <w:r w:rsidRPr="00C87872">
              <w:rPr>
                <w:rFonts w:ascii="Arial" w:hAnsi="Arial" w:cs="Arial"/>
                <w:b/>
                <w:bCs/>
                <w:iCs/>
                <w:sz w:val="24"/>
                <w:szCs w:val="24"/>
              </w:rPr>
              <w:t>TREATMENTS</w:t>
            </w:r>
          </w:p>
        </w:tc>
        <w:tc>
          <w:tcPr>
            <w:tcW w:w="1890" w:type="dxa"/>
          </w:tcPr>
          <w:p w14:paraId="00AFD41C" w14:textId="73C85203" w:rsidR="00E12DDB" w:rsidRPr="00C87872" w:rsidRDefault="00E12DDB" w:rsidP="00E12DDB">
            <w:pPr>
              <w:tabs>
                <w:tab w:val="left" w:pos="1170"/>
                <w:tab w:val="left" w:pos="1440"/>
                <w:tab w:val="left" w:pos="1800"/>
                <w:tab w:val="left" w:pos="3510"/>
                <w:tab w:val="left" w:pos="3960"/>
              </w:tabs>
              <w:spacing w:line="360" w:lineRule="auto"/>
              <w:jc w:val="center"/>
              <w:rPr>
                <w:rFonts w:ascii="Arial" w:hAnsi="Arial" w:cs="Arial"/>
                <w:b/>
                <w:sz w:val="24"/>
                <w:szCs w:val="24"/>
              </w:rPr>
            </w:pPr>
            <w:r w:rsidRPr="00C87872">
              <w:rPr>
                <w:rFonts w:ascii="Arial" w:hAnsi="Arial" w:cs="Arial"/>
                <w:b/>
                <w:bCs/>
                <w:iCs/>
                <w:sz w:val="24"/>
                <w:szCs w:val="24"/>
              </w:rPr>
              <w:t>DOSES</w:t>
            </w:r>
          </w:p>
        </w:tc>
      </w:tr>
      <w:tr w:rsidR="00E12DDB" w:rsidRPr="00C87872" w14:paraId="004F57AB" w14:textId="77777777" w:rsidTr="00C87872">
        <w:tc>
          <w:tcPr>
            <w:tcW w:w="1975" w:type="dxa"/>
            <w:vMerge w:val="restart"/>
          </w:tcPr>
          <w:p w14:paraId="5CFE83C9"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bCs/>
                <w:sz w:val="24"/>
                <w:szCs w:val="24"/>
              </w:rPr>
            </w:pPr>
          </w:p>
          <w:p w14:paraId="039E4BA8"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bCs/>
                <w:sz w:val="24"/>
                <w:szCs w:val="24"/>
              </w:rPr>
            </w:pPr>
          </w:p>
          <w:p w14:paraId="404EF576"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bCs/>
                <w:sz w:val="24"/>
                <w:szCs w:val="24"/>
              </w:rPr>
            </w:pPr>
          </w:p>
          <w:p w14:paraId="777C5B1D" w14:textId="6AC91C48"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bCs/>
                <w:sz w:val="24"/>
                <w:szCs w:val="24"/>
              </w:rPr>
              <w:t>ITK</w:t>
            </w:r>
          </w:p>
        </w:tc>
        <w:tc>
          <w:tcPr>
            <w:tcW w:w="630" w:type="dxa"/>
          </w:tcPr>
          <w:p w14:paraId="78C05D3F" w14:textId="6265533A"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1</w:t>
            </w:r>
          </w:p>
        </w:tc>
        <w:tc>
          <w:tcPr>
            <w:tcW w:w="4230" w:type="dxa"/>
          </w:tcPr>
          <w:p w14:paraId="06C62184" w14:textId="6F1F361D"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Wood Ash (</w:t>
            </w:r>
            <w:r w:rsidRPr="00C87872">
              <w:rPr>
                <w:rFonts w:ascii="Arial" w:hAnsi="Arial" w:cs="Arial"/>
                <w:i/>
                <w:sz w:val="24"/>
                <w:szCs w:val="24"/>
              </w:rPr>
              <w:t xml:space="preserve">Melia </w:t>
            </w:r>
            <w:proofErr w:type="spellStart"/>
            <w:r w:rsidRPr="00C87872">
              <w:rPr>
                <w:rFonts w:ascii="Arial" w:hAnsi="Arial" w:cs="Arial"/>
                <w:i/>
                <w:sz w:val="24"/>
                <w:szCs w:val="24"/>
              </w:rPr>
              <w:t>azaderach</w:t>
            </w:r>
            <w:proofErr w:type="spellEnd"/>
            <w:r w:rsidRPr="00C87872">
              <w:rPr>
                <w:rFonts w:ascii="Arial" w:hAnsi="Arial" w:cs="Arial"/>
                <w:sz w:val="24"/>
                <w:szCs w:val="24"/>
              </w:rPr>
              <w:t>)</w:t>
            </w:r>
          </w:p>
        </w:tc>
        <w:tc>
          <w:tcPr>
            <w:tcW w:w="1890" w:type="dxa"/>
          </w:tcPr>
          <w:p w14:paraId="7A008085" w14:textId="2B968AA8"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50g/plant</w:t>
            </w:r>
          </w:p>
        </w:tc>
      </w:tr>
      <w:tr w:rsidR="00E12DDB" w:rsidRPr="00C87872" w14:paraId="5FB0556A" w14:textId="77777777" w:rsidTr="00C87872">
        <w:tc>
          <w:tcPr>
            <w:tcW w:w="1975" w:type="dxa"/>
            <w:vMerge/>
          </w:tcPr>
          <w:p w14:paraId="7EE2FD94"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65271B63" w14:textId="6436C0E5"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2</w:t>
            </w:r>
          </w:p>
        </w:tc>
        <w:tc>
          <w:tcPr>
            <w:tcW w:w="4230" w:type="dxa"/>
          </w:tcPr>
          <w:p w14:paraId="2852A086" w14:textId="1B6BF6D1"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xml:space="preserve">Cow urine </w:t>
            </w:r>
          </w:p>
        </w:tc>
        <w:tc>
          <w:tcPr>
            <w:tcW w:w="1890" w:type="dxa"/>
          </w:tcPr>
          <w:p w14:paraId="04E4FC51" w14:textId="49521ADC"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1:10</w:t>
            </w:r>
          </w:p>
        </w:tc>
      </w:tr>
      <w:tr w:rsidR="00E12DDB" w:rsidRPr="00C87872" w14:paraId="74641DB3" w14:textId="77777777" w:rsidTr="00C87872">
        <w:tc>
          <w:tcPr>
            <w:tcW w:w="1975" w:type="dxa"/>
            <w:vMerge/>
          </w:tcPr>
          <w:p w14:paraId="0AC9A0DF"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742D4AEC" w14:textId="2392EF74"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3</w:t>
            </w:r>
          </w:p>
        </w:tc>
        <w:tc>
          <w:tcPr>
            <w:tcW w:w="4230" w:type="dxa"/>
          </w:tcPr>
          <w:p w14:paraId="08A03D9E" w14:textId="17E86235"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xml:space="preserve">Cow dung slurry  </w:t>
            </w:r>
          </w:p>
        </w:tc>
        <w:tc>
          <w:tcPr>
            <w:tcW w:w="1890" w:type="dxa"/>
          </w:tcPr>
          <w:p w14:paraId="06688FDF" w14:textId="6DDD3CDD"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1:10</w:t>
            </w:r>
          </w:p>
        </w:tc>
      </w:tr>
      <w:tr w:rsidR="00E12DDB" w:rsidRPr="00C87872" w14:paraId="5736DBAE" w14:textId="77777777" w:rsidTr="00C87872">
        <w:tc>
          <w:tcPr>
            <w:tcW w:w="1975" w:type="dxa"/>
            <w:vMerge/>
          </w:tcPr>
          <w:p w14:paraId="3FD44501"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4D67FD45" w14:textId="56F8FBF2"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4</w:t>
            </w:r>
          </w:p>
        </w:tc>
        <w:tc>
          <w:tcPr>
            <w:tcW w:w="4230" w:type="dxa"/>
          </w:tcPr>
          <w:p w14:paraId="296C2BF7" w14:textId="490C3A29"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Cow dung slurry + Cow urine</w:t>
            </w:r>
          </w:p>
        </w:tc>
        <w:tc>
          <w:tcPr>
            <w:tcW w:w="1890" w:type="dxa"/>
          </w:tcPr>
          <w:p w14:paraId="35DF6BC9" w14:textId="5B74ED69"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bookmarkStart w:id="0" w:name="_GoBack"/>
            <w:r w:rsidRPr="00C87872">
              <w:rPr>
                <w:rFonts w:ascii="Arial" w:hAnsi="Arial" w:cs="Arial"/>
                <w:sz w:val="24"/>
                <w:szCs w:val="24"/>
              </w:rPr>
              <w:t>@</w:t>
            </w:r>
            <w:bookmarkEnd w:id="0"/>
            <w:r w:rsidRPr="00C87872">
              <w:rPr>
                <w:rFonts w:ascii="Arial" w:hAnsi="Arial" w:cs="Arial"/>
                <w:sz w:val="24"/>
                <w:szCs w:val="24"/>
              </w:rPr>
              <w:t xml:space="preserve"> 1:5</w:t>
            </w:r>
          </w:p>
        </w:tc>
      </w:tr>
      <w:tr w:rsidR="00E12DDB" w:rsidRPr="00C87872" w14:paraId="18B7D3E2" w14:textId="77777777" w:rsidTr="00C87872">
        <w:tc>
          <w:tcPr>
            <w:tcW w:w="1975" w:type="dxa"/>
            <w:vMerge/>
          </w:tcPr>
          <w:p w14:paraId="480D1BCF"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39F0C08C" w14:textId="28E665B5"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5</w:t>
            </w:r>
          </w:p>
        </w:tc>
        <w:tc>
          <w:tcPr>
            <w:tcW w:w="4230" w:type="dxa"/>
          </w:tcPr>
          <w:p w14:paraId="6417875C" w14:textId="7520057E"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iCs/>
                <w:sz w:val="24"/>
                <w:szCs w:val="24"/>
              </w:rPr>
              <w:t>Cow urine</w:t>
            </w:r>
            <w:r w:rsidRPr="00C87872">
              <w:rPr>
                <w:rFonts w:ascii="Arial" w:hAnsi="Arial" w:cs="Arial"/>
                <w:i/>
                <w:iCs/>
                <w:sz w:val="24"/>
                <w:szCs w:val="24"/>
              </w:rPr>
              <w:t xml:space="preserve"> + </w:t>
            </w:r>
            <w:proofErr w:type="spellStart"/>
            <w:r w:rsidRPr="00C87872">
              <w:rPr>
                <w:rFonts w:ascii="Arial" w:hAnsi="Arial" w:cs="Arial"/>
                <w:i/>
                <w:iCs/>
                <w:sz w:val="24"/>
                <w:szCs w:val="24"/>
              </w:rPr>
              <w:t>Azadirachta</w:t>
            </w:r>
            <w:proofErr w:type="spellEnd"/>
            <w:r w:rsidRPr="00C87872">
              <w:rPr>
                <w:rFonts w:ascii="Arial" w:hAnsi="Arial" w:cs="Arial"/>
                <w:i/>
                <w:iCs/>
                <w:sz w:val="24"/>
                <w:szCs w:val="24"/>
              </w:rPr>
              <w:t xml:space="preserve"> </w:t>
            </w:r>
            <w:proofErr w:type="spellStart"/>
            <w:r w:rsidRPr="00C87872">
              <w:rPr>
                <w:rFonts w:ascii="Arial" w:hAnsi="Arial" w:cs="Arial"/>
                <w:i/>
                <w:iCs/>
                <w:sz w:val="24"/>
                <w:szCs w:val="24"/>
              </w:rPr>
              <w:t>indica</w:t>
            </w:r>
            <w:proofErr w:type="spellEnd"/>
          </w:p>
        </w:tc>
        <w:tc>
          <w:tcPr>
            <w:tcW w:w="1890" w:type="dxa"/>
          </w:tcPr>
          <w:p w14:paraId="75B0BFB7" w14:textId="2FC4AA31"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10ml /</w:t>
            </w:r>
            <w:proofErr w:type="spellStart"/>
            <w:r w:rsidRPr="00C87872">
              <w:rPr>
                <w:rFonts w:ascii="Arial" w:hAnsi="Arial" w:cs="Arial"/>
                <w:sz w:val="24"/>
                <w:szCs w:val="24"/>
              </w:rPr>
              <w:t>lt</w:t>
            </w:r>
            <w:proofErr w:type="spellEnd"/>
          </w:p>
        </w:tc>
      </w:tr>
      <w:tr w:rsidR="00E12DDB" w:rsidRPr="00C87872" w14:paraId="0BA8FECD" w14:textId="77777777" w:rsidTr="00C87872">
        <w:tc>
          <w:tcPr>
            <w:tcW w:w="1975" w:type="dxa"/>
            <w:vMerge/>
          </w:tcPr>
          <w:p w14:paraId="47A627A8"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4C4C3877" w14:textId="29D88EB9"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6</w:t>
            </w:r>
          </w:p>
        </w:tc>
        <w:tc>
          <w:tcPr>
            <w:tcW w:w="4230" w:type="dxa"/>
          </w:tcPr>
          <w:p w14:paraId="231EFE4E" w14:textId="687FA15E"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xml:space="preserve">Cow Urine+ </w:t>
            </w:r>
            <w:r w:rsidRPr="00C87872">
              <w:rPr>
                <w:rFonts w:ascii="Arial" w:hAnsi="Arial" w:cs="Arial"/>
                <w:i/>
                <w:sz w:val="24"/>
                <w:szCs w:val="24"/>
              </w:rPr>
              <w:t>Allium tuberosum</w:t>
            </w:r>
          </w:p>
        </w:tc>
        <w:tc>
          <w:tcPr>
            <w:tcW w:w="1890" w:type="dxa"/>
          </w:tcPr>
          <w:p w14:paraId="770EBE57" w14:textId="26C1D37F"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10ml /</w:t>
            </w:r>
            <w:proofErr w:type="spellStart"/>
            <w:r w:rsidRPr="00C87872">
              <w:rPr>
                <w:rFonts w:ascii="Arial" w:hAnsi="Arial" w:cs="Arial"/>
                <w:sz w:val="24"/>
                <w:szCs w:val="24"/>
              </w:rPr>
              <w:t>lt</w:t>
            </w:r>
            <w:proofErr w:type="spellEnd"/>
          </w:p>
        </w:tc>
      </w:tr>
      <w:tr w:rsidR="00E12DDB" w:rsidRPr="00C87872" w14:paraId="4CB8B006" w14:textId="77777777" w:rsidTr="00C87872">
        <w:tc>
          <w:tcPr>
            <w:tcW w:w="1975" w:type="dxa"/>
            <w:vMerge/>
          </w:tcPr>
          <w:p w14:paraId="31001818"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6BA915BA" w14:textId="73E80AFF"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7</w:t>
            </w:r>
          </w:p>
        </w:tc>
        <w:tc>
          <w:tcPr>
            <w:tcW w:w="4230" w:type="dxa"/>
          </w:tcPr>
          <w:p w14:paraId="50B36593" w14:textId="553BB1F6" w:rsidR="00E12DDB" w:rsidRPr="00C87872" w:rsidRDefault="00E12DDB" w:rsidP="00E12DDB">
            <w:pPr>
              <w:tabs>
                <w:tab w:val="left" w:pos="1170"/>
                <w:tab w:val="left" w:pos="1440"/>
                <w:tab w:val="left" w:pos="1800"/>
                <w:tab w:val="left" w:pos="3960"/>
                <w:tab w:val="left" w:pos="4030"/>
              </w:tabs>
              <w:ind w:left="-2"/>
              <w:jc w:val="both"/>
              <w:rPr>
                <w:rFonts w:ascii="Arial" w:hAnsi="Arial" w:cs="Arial"/>
                <w:b/>
                <w:sz w:val="24"/>
                <w:szCs w:val="24"/>
              </w:rPr>
            </w:pPr>
            <w:r w:rsidRPr="00C87872">
              <w:rPr>
                <w:rFonts w:ascii="Arial" w:hAnsi="Arial" w:cs="Arial"/>
                <w:sz w:val="24"/>
                <w:szCs w:val="24"/>
              </w:rPr>
              <w:t>Neem leaf Extract (</w:t>
            </w:r>
            <w:r w:rsidRPr="00C87872">
              <w:rPr>
                <w:rFonts w:ascii="Arial" w:hAnsi="Arial" w:cs="Arial"/>
                <w:i/>
                <w:sz w:val="24"/>
                <w:szCs w:val="24"/>
              </w:rPr>
              <w:t>Melia azedarach</w:t>
            </w:r>
            <w:r w:rsidRPr="00C87872">
              <w:rPr>
                <w:rFonts w:ascii="Arial" w:hAnsi="Arial" w:cs="Arial"/>
                <w:sz w:val="24"/>
                <w:szCs w:val="24"/>
              </w:rPr>
              <w:t>)</w:t>
            </w:r>
            <w:r w:rsidRPr="00C87872">
              <w:rPr>
                <w:rFonts w:ascii="Arial" w:hAnsi="Arial" w:cs="Arial"/>
                <w:sz w:val="24"/>
                <w:szCs w:val="24"/>
              </w:rPr>
              <w:tab/>
            </w:r>
          </w:p>
        </w:tc>
        <w:tc>
          <w:tcPr>
            <w:tcW w:w="1890" w:type="dxa"/>
          </w:tcPr>
          <w:p w14:paraId="0D4C8C8D" w14:textId="74DB83BA"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10ml /</w:t>
            </w:r>
            <w:proofErr w:type="spellStart"/>
            <w:r w:rsidRPr="00C87872">
              <w:rPr>
                <w:rFonts w:ascii="Arial" w:hAnsi="Arial" w:cs="Arial"/>
                <w:sz w:val="24"/>
                <w:szCs w:val="24"/>
              </w:rPr>
              <w:t>lt</w:t>
            </w:r>
            <w:proofErr w:type="spellEnd"/>
          </w:p>
        </w:tc>
      </w:tr>
      <w:tr w:rsidR="00E12DDB" w:rsidRPr="00C87872" w14:paraId="036DB3CE" w14:textId="77777777" w:rsidTr="00C87872">
        <w:tc>
          <w:tcPr>
            <w:tcW w:w="1975" w:type="dxa"/>
            <w:vMerge w:val="restart"/>
          </w:tcPr>
          <w:p w14:paraId="0F0FD04B"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bCs/>
                <w:sz w:val="24"/>
                <w:szCs w:val="24"/>
              </w:rPr>
            </w:pPr>
          </w:p>
          <w:p w14:paraId="072CA491" w14:textId="302B7AB9"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bCs/>
                <w:sz w:val="24"/>
                <w:szCs w:val="24"/>
              </w:rPr>
              <w:t>Bio-rational</w:t>
            </w:r>
          </w:p>
        </w:tc>
        <w:tc>
          <w:tcPr>
            <w:tcW w:w="630" w:type="dxa"/>
          </w:tcPr>
          <w:p w14:paraId="56B1F856" w14:textId="5237CA1D"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8</w:t>
            </w:r>
          </w:p>
        </w:tc>
        <w:tc>
          <w:tcPr>
            <w:tcW w:w="4230" w:type="dxa"/>
          </w:tcPr>
          <w:p w14:paraId="0490D4C9" w14:textId="3AECB77F"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xml:space="preserve">Green neem </w:t>
            </w:r>
          </w:p>
        </w:tc>
        <w:tc>
          <w:tcPr>
            <w:tcW w:w="1890" w:type="dxa"/>
          </w:tcPr>
          <w:p w14:paraId="433FD8D1" w14:textId="2459798C"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2 ml/</w:t>
            </w:r>
            <w:proofErr w:type="spellStart"/>
            <w:r w:rsidRPr="00C87872">
              <w:rPr>
                <w:rFonts w:ascii="Arial" w:hAnsi="Arial" w:cs="Arial"/>
                <w:sz w:val="24"/>
                <w:szCs w:val="24"/>
              </w:rPr>
              <w:t>lt</w:t>
            </w:r>
            <w:proofErr w:type="spellEnd"/>
          </w:p>
        </w:tc>
      </w:tr>
      <w:tr w:rsidR="00E12DDB" w:rsidRPr="00C87872" w14:paraId="7722ADD4" w14:textId="77777777" w:rsidTr="00C87872">
        <w:tc>
          <w:tcPr>
            <w:tcW w:w="1975" w:type="dxa"/>
            <w:vMerge/>
          </w:tcPr>
          <w:p w14:paraId="3D34A400" w14:textId="77777777"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p>
        </w:tc>
        <w:tc>
          <w:tcPr>
            <w:tcW w:w="630" w:type="dxa"/>
          </w:tcPr>
          <w:p w14:paraId="278463E0" w14:textId="41518F81"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9</w:t>
            </w:r>
          </w:p>
        </w:tc>
        <w:tc>
          <w:tcPr>
            <w:tcW w:w="4230" w:type="dxa"/>
          </w:tcPr>
          <w:p w14:paraId="1CF853FB" w14:textId="26485A94"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Tracer (Spinosad)45 SC</w:t>
            </w:r>
          </w:p>
        </w:tc>
        <w:tc>
          <w:tcPr>
            <w:tcW w:w="1890" w:type="dxa"/>
          </w:tcPr>
          <w:p w14:paraId="7DBA8239" w14:textId="1798B6D2"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 xml:space="preserve">@ 75g </w:t>
            </w:r>
            <w:proofErr w:type="spellStart"/>
            <w:r w:rsidRPr="00C87872">
              <w:rPr>
                <w:rFonts w:ascii="Arial" w:hAnsi="Arial" w:cs="Arial"/>
                <w:sz w:val="24"/>
                <w:szCs w:val="24"/>
              </w:rPr>
              <w:t>a.i</w:t>
            </w:r>
            <w:proofErr w:type="spellEnd"/>
            <w:r w:rsidRPr="00C87872">
              <w:rPr>
                <w:rFonts w:ascii="Arial" w:hAnsi="Arial" w:cs="Arial"/>
                <w:sz w:val="24"/>
                <w:szCs w:val="24"/>
              </w:rPr>
              <w:t xml:space="preserve">/ha </w:t>
            </w:r>
          </w:p>
        </w:tc>
      </w:tr>
      <w:tr w:rsidR="00E12DDB" w:rsidRPr="00C87872" w14:paraId="384490FD" w14:textId="77777777" w:rsidTr="00C87872">
        <w:tc>
          <w:tcPr>
            <w:tcW w:w="1975" w:type="dxa"/>
          </w:tcPr>
          <w:p w14:paraId="1F6A051B" w14:textId="418FF55C"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bCs/>
                <w:sz w:val="24"/>
                <w:szCs w:val="24"/>
              </w:rPr>
              <w:t xml:space="preserve">Control </w:t>
            </w:r>
          </w:p>
        </w:tc>
        <w:tc>
          <w:tcPr>
            <w:tcW w:w="630" w:type="dxa"/>
          </w:tcPr>
          <w:p w14:paraId="415294B5" w14:textId="495E10D8"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b/>
                <w:sz w:val="24"/>
                <w:szCs w:val="24"/>
              </w:rPr>
              <w:t>T</w:t>
            </w:r>
            <w:r w:rsidRPr="00C87872">
              <w:rPr>
                <w:rFonts w:ascii="Arial" w:hAnsi="Arial" w:cs="Arial"/>
                <w:b/>
                <w:sz w:val="24"/>
                <w:szCs w:val="24"/>
                <w:vertAlign w:val="subscript"/>
              </w:rPr>
              <w:t>10</w:t>
            </w:r>
          </w:p>
        </w:tc>
        <w:tc>
          <w:tcPr>
            <w:tcW w:w="4230" w:type="dxa"/>
          </w:tcPr>
          <w:p w14:paraId="181FAA90" w14:textId="38B90EC1"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Untreated</w:t>
            </w:r>
          </w:p>
        </w:tc>
        <w:tc>
          <w:tcPr>
            <w:tcW w:w="1890" w:type="dxa"/>
          </w:tcPr>
          <w:p w14:paraId="11DF22BE" w14:textId="0D271101" w:rsidR="00E12DDB" w:rsidRPr="00C87872" w:rsidRDefault="00E12DDB" w:rsidP="00E12DDB">
            <w:pPr>
              <w:tabs>
                <w:tab w:val="left" w:pos="1170"/>
                <w:tab w:val="left" w:pos="1440"/>
                <w:tab w:val="left" w:pos="1800"/>
                <w:tab w:val="left" w:pos="3510"/>
                <w:tab w:val="left" w:pos="3960"/>
              </w:tabs>
              <w:spacing w:line="360" w:lineRule="auto"/>
              <w:jc w:val="both"/>
              <w:rPr>
                <w:rFonts w:ascii="Arial" w:hAnsi="Arial" w:cs="Arial"/>
                <w:b/>
                <w:sz w:val="24"/>
                <w:szCs w:val="24"/>
              </w:rPr>
            </w:pPr>
            <w:r w:rsidRPr="00C87872">
              <w:rPr>
                <w:rFonts w:ascii="Arial" w:hAnsi="Arial" w:cs="Arial"/>
                <w:sz w:val="24"/>
                <w:szCs w:val="24"/>
              </w:rPr>
              <w:t>-</w:t>
            </w:r>
          </w:p>
        </w:tc>
      </w:tr>
    </w:tbl>
    <w:p w14:paraId="0EFFEDEB" w14:textId="77777777" w:rsidR="00E12DDB" w:rsidRPr="00C87872" w:rsidRDefault="00E12DDB" w:rsidP="00E2243A">
      <w:pPr>
        <w:tabs>
          <w:tab w:val="left" w:pos="1170"/>
          <w:tab w:val="left" w:pos="1440"/>
          <w:tab w:val="left" w:pos="1800"/>
          <w:tab w:val="left" w:pos="3510"/>
          <w:tab w:val="left" w:pos="3960"/>
        </w:tabs>
        <w:spacing w:after="0" w:line="360" w:lineRule="auto"/>
        <w:jc w:val="both"/>
        <w:rPr>
          <w:rFonts w:ascii="Arial" w:hAnsi="Arial" w:cs="Arial"/>
          <w:b/>
          <w:sz w:val="24"/>
          <w:szCs w:val="24"/>
        </w:rPr>
      </w:pPr>
    </w:p>
    <w:p w14:paraId="6015EB5A" w14:textId="421650B3" w:rsidR="00763CDA" w:rsidRPr="00C87872" w:rsidRDefault="00763CDA" w:rsidP="00C9542F">
      <w:pPr>
        <w:pStyle w:val="BodyText"/>
        <w:tabs>
          <w:tab w:val="left" w:pos="567"/>
        </w:tabs>
        <w:spacing w:line="360" w:lineRule="auto"/>
        <w:ind w:right="42"/>
        <w:rPr>
          <w:rFonts w:ascii="Arial" w:hAnsi="Arial" w:cs="Arial"/>
          <w:b/>
          <w:color w:val="000000" w:themeColor="text1"/>
          <w:kern w:val="24"/>
        </w:rPr>
      </w:pPr>
      <w:r w:rsidRPr="00C87872">
        <w:rPr>
          <w:rFonts w:ascii="Arial" w:hAnsi="Arial" w:cs="Arial"/>
          <w:b/>
          <w:color w:val="000000" w:themeColor="text1"/>
          <w:kern w:val="24"/>
        </w:rPr>
        <w:t>Preparation of treatments</w:t>
      </w:r>
      <w:r w:rsidR="00C9542F" w:rsidRPr="00C87872">
        <w:rPr>
          <w:rFonts w:ascii="Arial" w:hAnsi="Arial" w:cs="Arial"/>
          <w:b/>
          <w:color w:val="000000" w:themeColor="text1"/>
          <w:kern w:val="24"/>
        </w:rPr>
        <w:tab/>
      </w:r>
    </w:p>
    <w:p w14:paraId="5CE20B1E" w14:textId="0E68A887" w:rsidR="00E8620A" w:rsidRPr="00C87872" w:rsidRDefault="00573834" w:rsidP="00C9542F">
      <w:pPr>
        <w:pStyle w:val="BodyText"/>
        <w:tabs>
          <w:tab w:val="left" w:pos="567"/>
        </w:tabs>
        <w:spacing w:line="360" w:lineRule="auto"/>
        <w:ind w:right="42"/>
        <w:rPr>
          <w:rFonts w:ascii="Arial" w:hAnsi="Arial" w:cs="Arial"/>
          <w:color w:val="000000" w:themeColor="dark1"/>
          <w:kern w:val="24"/>
        </w:rPr>
      </w:pPr>
      <w:r w:rsidRPr="00C87872">
        <w:rPr>
          <w:rFonts w:ascii="Arial" w:hAnsi="Arial" w:cs="Arial"/>
          <w:bCs/>
          <w:color w:val="000000" w:themeColor="text1"/>
          <w:kern w:val="24"/>
        </w:rPr>
        <w:t xml:space="preserve">Ash collected by burning wood of </w:t>
      </w:r>
      <w:r w:rsidRPr="00C87872">
        <w:rPr>
          <w:rFonts w:ascii="Arial" w:hAnsi="Arial" w:cs="Arial"/>
          <w:bCs/>
          <w:i/>
          <w:color w:val="000000" w:themeColor="text1"/>
          <w:kern w:val="24"/>
        </w:rPr>
        <w:t>Melia azedarach</w:t>
      </w:r>
      <w:r w:rsidRPr="00C87872">
        <w:rPr>
          <w:rFonts w:ascii="Arial" w:hAnsi="Arial" w:cs="Arial"/>
          <w:bCs/>
          <w:color w:val="000000" w:themeColor="text1"/>
          <w:kern w:val="24"/>
        </w:rPr>
        <w:t xml:space="preserve"> (T</w:t>
      </w:r>
      <w:r w:rsidRPr="00C87872">
        <w:rPr>
          <w:rFonts w:ascii="Arial" w:hAnsi="Arial" w:cs="Arial"/>
          <w:bCs/>
          <w:color w:val="000000" w:themeColor="text1"/>
          <w:kern w:val="24"/>
          <w:vertAlign w:val="subscript"/>
        </w:rPr>
        <w:t xml:space="preserve">1 </w:t>
      </w:r>
      <w:r w:rsidRPr="00C87872">
        <w:rPr>
          <w:rFonts w:ascii="Arial" w:hAnsi="Arial" w:cs="Arial"/>
          <w:bCs/>
          <w:color w:val="000000" w:themeColor="text1"/>
          <w:kern w:val="24"/>
        </w:rPr>
        <w:t xml:space="preserve">), </w:t>
      </w:r>
      <w:r w:rsidRPr="00C87872">
        <w:rPr>
          <w:rFonts w:ascii="Arial" w:hAnsi="Arial" w:cs="Arial"/>
          <w:color w:val="000000" w:themeColor="dark1"/>
          <w:kern w:val="24"/>
        </w:rPr>
        <w:t>Freshly collected cow urine is diluted with water at 1:10 ratio (T</w:t>
      </w:r>
      <w:r w:rsidRPr="00C87872">
        <w:rPr>
          <w:rFonts w:ascii="Arial" w:hAnsi="Arial" w:cs="Arial"/>
          <w:color w:val="000000" w:themeColor="dark1"/>
          <w:kern w:val="24"/>
          <w:vertAlign w:val="subscript"/>
        </w:rPr>
        <w:t>2</w:t>
      </w:r>
      <w:r w:rsidRPr="00C87872">
        <w:rPr>
          <w:rFonts w:ascii="Arial" w:hAnsi="Arial" w:cs="Arial"/>
          <w:color w:val="000000" w:themeColor="dark1"/>
          <w:kern w:val="24"/>
        </w:rPr>
        <w:t>), Cow dung slurry will be made at 1:10 ratio by mixing cow dung &amp; water (T</w:t>
      </w:r>
      <w:r w:rsidRPr="00C87872">
        <w:rPr>
          <w:rFonts w:ascii="Arial" w:hAnsi="Arial" w:cs="Arial"/>
          <w:color w:val="000000" w:themeColor="dark1"/>
          <w:kern w:val="24"/>
          <w:vertAlign w:val="subscript"/>
        </w:rPr>
        <w:t>3</w:t>
      </w:r>
      <w:r w:rsidRPr="00C87872">
        <w:rPr>
          <w:rFonts w:ascii="Arial" w:hAnsi="Arial" w:cs="Arial"/>
          <w:color w:val="000000" w:themeColor="dark1"/>
          <w:kern w:val="24"/>
        </w:rPr>
        <w:t xml:space="preserve">), </w:t>
      </w:r>
      <w:r w:rsidRPr="00C87872">
        <w:rPr>
          <w:rFonts w:ascii="Arial" w:eastAsiaTheme="minorEastAsia" w:hAnsi="Arial" w:cs="Arial"/>
          <w:color w:val="000000" w:themeColor="dark1"/>
          <w:kern w:val="24"/>
        </w:rPr>
        <w:t>Cow dung and Cow urine mixed at 1:1 ratio then the solution will be diluted with water at 1:5 ratio (T</w:t>
      </w:r>
      <w:r w:rsidRPr="00C87872">
        <w:rPr>
          <w:rFonts w:ascii="Arial" w:eastAsiaTheme="minorEastAsia" w:hAnsi="Arial" w:cs="Arial"/>
          <w:color w:val="000000" w:themeColor="dark1"/>
          <w:kern w:val="24"/>
          <w:vertAlign w:val="subscript"/>
        </w:rPr>
        <w:t>4</w:t>
      </w:r>
      <w:r w:rsidRPr="00C87872">
        <w:rPr>
          <w:rFonts w:ascii="Arial" w:eastAsiaTheme="minorEastAsia" w:hAnsi="Arial" w:cs="Arial"/>
          <w:color w:val="000000" w:themeColor="dark1"/>
          <w:kern w:val="24"/>
        </w:rPr>
        <w:t xml:space="preserve">), 500 gram of fresh leaves of </w:t>
      </w:r>
      <w:r w:rsidRPr="00C87872">
        <w:rPr>
          <w:rFonts w:ascii="Arial" w:hAnsi="Arial" w:cs="Arial"/>
          <w:i/>
          <w:iCs/>
          <w:color w:val="000000" w:themeColor="dark1"/>
          <w:kern w:val="2"/>
        </w:rPr>
        <w:t xml:space="preserve">Azadirachta indica </w:t>
      </w:r>
      <w:r w:rsidR="00695FC9" w:rsidRPr="00C87872">
        <w:rPr>
          <w:rFonts w:ascii="Arial" w:eastAsiaTheme="minorEastAsia" w:hAnsi="Arial" w:cs="Arial"/>
          <w:color w:val="000000" w:themeColor="dark1"/>
          <w:kern w:val="24"/>
        </w:rPr>
        <w:t xml:space="preserve">was grounded and </w:t>
      </w:r>
      <w:r w:rsidRPr="00C87872">
        <w:rPr>
          <w:rFonts w:ascii="Arial" w:eastAsiaTheme="minorEastAsia" w:hAnsi="Arial" w:cs="Arial"/>
          <w:color w:val="000000" w:themeColor="dark1"/>
          <w:kern w:val="24"/>
        </w:rPr>
        <w:t>mixed with 1 litre fresh cow-urine</w:t>
      </w:r>
      <w:r w:rsidR="00695FC9" w:rsidRPr="00C87872">
        <w:rPr>
          <w:rFonts w:ascii="Arial" w:eastAsiaTheme="minorEastAsia" w:hAnsi="Arial" w:cs="Arial"/>
          <w:color w:val="000000" w:themeColor="dark1"/>
          <w:kern w:val="24"/>
        </w:rPr>
        <w:t>, the mixture was kept in an air tight earthen pot</w:t>
      </w:r>
      <w:r w:rsidRPr="00C87872">
        <w:rPr>
          <w:rFonts w:ascii="Arial" w:eastAsiaTheme="minorEastAsia" w:hAnsi="Arial" w:cs="Arial"/>
          <w:color w:val="000000" w:themeColor="dark1"/>
          <w:kern w:val="24"/>
        </w:rPr>
        <w:t xml:space="preserve"> for 21 days for fermentation, after 21 days of fermentation, filtration was done using muslin clothes then the solution is diluted at 10 ml/lt water (T</w:t>
      </w:r>
      <w:r w:rsidRPr="00C87872">
        <w:rPr>
          <w:rFonts w:ascii="Arial" w:eastAsiaTheme="minorEastAsia" w:hAnsi="Arial" w:cs="Arial"/>
          <w:color w:val="000000" w:themeColor="dark1"/>
          <w:kern w:val="24"/>
          <w:vertAlign w:val="subscript"/>
        </w:rPr>
        <w:t>5</w:t>
      </w:r>
      <w:r w:rsidRPr="00C87872">
        <w:rPr>
          <w:rFonts w:ascii="Arial" w:eastAsiaTheme="minorEastAsia" w:hAnsi="Arial" w:cs="Arial"/>
          <w:color w:val="000000" w:themeColor="dark1"/>
          <w:kern w:val="24"/>
        </w:rPr>
        <w:t xml:space="preserve">), </w:t>
      </w:r>
      <w:r w:rsidRPr="00C87872">
        <w:rPr>
          <w:rFonts w:ascii="Arial" w:hAnsi="Arial" w:cs="Arial"/>
          <w:color w:val="000000" w:themeColor="dark1"/>
          <w:kern w:val="24"/>
        </w:rPr>
        <w:t xml:space="preserve">500 gram </w:t>
      </w:r>
      <w:r w:rsidRPr="00C87872">
        <w:rPr>
          <w:rFonts w:ascii="Arial" w:hAnsi="Arial" w:cs="Arial"/>
          <w:i/>
          <w:iCs/>
          <w:color w:val="000000" w:themeColor="dark1"/>
          <w:kern w:val="2"/>
        </w:rPr>
        <w:t>Allium tuberosum</w:t>
      </w:r>
      <w:r w:rsidRPr="00C87872">
        <w:rPr>
          <w:rFonts w:ascii="Arial" w:hAnsi="Arial" w:cs="Arial"/>
          <w:color w:val="000000" w:themeColor="dark1"/>
          <w:kern w:val="2"/>
        </w:rPr>
        <w:t xml:space="preserve"> </w:t>
      </w:r>
      <w:r w:rsidRPr="00C87872">
        <w:rPr>
          <w:rFonts w:ascii="Arial" w:hAnsi="Arial" w:cs="Arial"/>
          <w:color w:val="000000" w:themeColor="dark1"/>
          <w:kern w:val="24"/>
        </w:rPr>
        <w:t xml:space="preserve">leaves </w:t>
      </w:r>
      <w:r w:rsidR="00695FC9" w:rsidRPr="00C87872">
        <w:rPr>
          <w:rFonts w:ascii="Arial" w:hAnsi="Arial" w:cs="Arial"/>
          <w:color w:val="000000" w:themeColor="dark1"/>
          <w:kern w:val="24"/>
        </w:rPr>
        <w:t>were</w:t>
      </w:r>
      <w:r w:rsidRPr="00C87872">
        <w:rPr>
          <w:rFonts w:ascii="Arial" w:hAnsi="Arial" w:cs="Arial"/>
          <w:color w:val="000000" w:themeColor="dark1"/>
          <w:kern w:val="24"/>
        </w:rPr>
        <w:t xml:space="preserve"> grounded </w:t>
      </w:r>
      <w:r w:rsidR="00F64573" w:rsidRPr="00C87872">
        <w:rPr>
          <w:rFonts w:ascii="Arial" w:hAnsi="Arial" w:cs="Arial"/>
          <w:color w:val="000000" w:themeColor="dark1"/>
          <w:kern w:val="24"/>
        </w:rPr>
        <w:t>to extract the juice a</w:t>
      </w:r>
      <w:r w:rsidRPr="00C87872">
        <w:rPr>
          <w:rFonts w:ascii="Arial" w:hAnsi="Arial" w:cs="Arial"/>
          <w:color w:val="000000" w:themeColor="dark1"/>
          <w:kern w:val="24"/>
        </w:rPr>
        <w:t>nd mixed with 1 lt of cow urine</w:t>
      </w:r>
      <w:r w:rsidR="00F64573" w:rsidRPr="00C87872">
        <w:rPr>
          <w:rFonts w:ascii="Arial" w:hAnsi="Arial" w:cs="Arial"/>
          <w:color w:val="000000" w:themeColor="dark1"/>
          <w:kern w:val="24"/>
        </w:rPr>
        <w:t xml:space="preserve"> </w:t>
      </w:r>
      <w:r w:rsidRPr="00C87872">
        <w:rPr>
          <w:rFonts w:ascii="Arial" w:hAnsi="Arial" w:cs="Arial"/>
          <w:color w:val="000000" w:themeColor="dark1"/>
          <w:kern w:val="24"/>
        </w:rPr>
        <w:t>(T</w:t>
      </w:r>
      <w:r w:rsidRPr="00C87872">
        <w:rPr>
          <w:rFonts w:ascii="Arial" w:hAnsi="Arial" w:cs="Arial"/>
          <w:color w:val="000000" w:themeColor="dark1"/>
          <w:kern w:val="24"/>
          <w:vertAlign w:val="subscript"/>
        </w:rPr>
        <w:t>6</w:t>
      </w:r>
      <w:r w:rsidRPr="00C87872">
        <w:rPr>
          <w:rFonts w:ascii="Arial" w:hAnsi="Arial" w:cs="Arial"/>
          <w:color w:val="000000" w:themeColor="dark1"/>
          <w:kern w:val="24"/>
        </w:rPr>
        <w:t xml:space="preserve">), 1kg fresh </w:t>
      </w:r>
      <w:r w:rsidRPr="00C87872">
        <w:rPr>
          <w:rFonts w:ascii="Arial" w:hAnsi="Arial" w:cs="Arial"/>
          <w:i/>
        </w:rPr>
        <w:t>Melia azedarach</w:t>
      </w:r>
      <w:r w:rsidRPr="00C87872">
        <w:rPr>
          <w:rFonts w:ascii="Arial" w:eastAsiaTheme="minorEastAsia" w:hAnsi="Arial" w:cs="Arial"/>
          <w:i/>
          <w:iCs/>
          <w:color w:val="000000" w:themeColor="dark1"/>
          <w:kern w:val="24"/>
        </w:rPr>
        <w:t xml:space="preserve">  </w:t>
      </w:r>
      <w:r w:rsidRPr="00C87872">
        <w:rPr>
          <w:rFonts w:ascii="Arial" w:hAnsi="Arial" w:cs="Arial"/>
          <w:color w:val="000000" w:themeColor="dark1"/>
          <w:kern w:val="24"/>
        </w:rPr>
        <w:t xml:space="preserve">leaf </w:t>
      </w:r>
      <w:r w:rsidR="00F64573" w:rsidRPr="00C87872">
        <w:rPr>
          <w:rFonts w:ascii="Arial" w:hAnsi="Arial" w:cs="Arial"/>
          <w:color w:val="000000" w:themeColor="dark1"/>
          <w:kern w:val="24"/>
        </w:rPr>
        <w:t>are</w:t>
      </w:r>
      <w:r w:rsidRPr="00C87872">
        <w:rPr>
          <w:rFonts w:ascii="Arial" w:hAnsi="Arial" w:cs="Arial"/>
          <w:color w:val="000000" w:themeColor="dark1"/>
          <w:kern w:val="24"/>
        </w:rPr>
        <w:t xml:space="preserve"> grounded well </w:t>
      </w:r>
      <w:r w:rsidR="00F64573" w:rsidRPr="00C87872">
        <w:rPr>
          <w:rFonts w:ascii="Arial" w:hAnsi="Arial" w:cs="Arial"/>
          <w:color w:val="000000" w:themeColor="dark1"/>
          <w:kern w:val="24"/>
        </w:rPr>
        <w:t>and prepared a solution as per the standard procedure</w:t>
      </w:r>
      <w:r w:rsidRPr="00C87872">
        <w:rPr>
          <w:rFonts w:ascii="Arial" w:hAnsi="Arial" w:cs="Arial"/>
          <w:color w:val="000000" w:themeColor="dark1"/>
          <w:kern w:val="24"/>
        </w:rPr>
        <w:t xml:space="preserve"> (T</w:t>
      </w:r>
      <w:r w:rsidRPr="00C87872">
        <w:rPr>
          <w:rFonts w:ascii="Arial" w:hAnsi="Arial" w:cs="Arial"/>
          <w:color w:val="000000" w:themeColor="dark1"/>
          <w:kern w:val="24"/>
          <w:vertAlign w:val="subscript"/>
        </w:rPr>
        <w:t>7</w:t>
      </w:r>
      <w:r w:rsidRPr="00C87872">
        <w:rPr>
          <w:rFonts w:ascii="Arial" w:hAnsi="Arial" w:cs="Arial"/>
          <w:color w:val="000000" w:themeColor="dark1"/>
          <w:kern w:val="24"/>
        </w:rPr>
        <w:t>)</w:t>
      </w:r>
    </w:p>
    <w:p w14:paraId="708CF6F5" w14:textId="77777777" w:rsidR="00C87872" w:rsidRDefault="00C87872" w:rsidP="00E8620A">
      <w:pPr>
        <w:pStyle w:val="BodyText"/>
        <w:tabs>
          <w:tab w:val="left" w:pos="142"/>
          <w:tab w:val="left" w:pos="284"/>
        </w:tabs>
        <w:spacing w:line="360" w:lineRule="auto"/>
        <w:ind w:right="42"/>
        <w:rPr>
          <w:rFonts w:ascii="Arial" w:hAnsi="Arial" w:cs="Arial"/>
          <w:b/>
        </w:rPr>
      </w:pPr>
    </w:p>
    <w:p w14:paraId="580F3E9F" w14:textId="77777777" w:rsidR="00C87872" w:rsidRDefault="00C87872" w:rsidP="00E8620A">
      <w:pPr>
        <w:pStyle w:val="BodyText"/>
        <w:tabs>
          <w:tab w:val="left" w:pos="142"/>
          <w:tab w:val="left" w:pos="284"/>
        </w:tabs>
        <w:spacing w:line="360" w:lineRule="auto"/>
        <w:ind w:right="42"/>
        <w:rPr>
          <w:rFonts w:ascii="Arial" w:hAnsi="Arial" w:cs="Arial"/>
          <w:b/>
        </w:rPr>
      </w:pPr>
    </w:p>
    <w:p w14:paraId="66D15B55" w14:textId="6AEB1847" w:rsidR="00D905FF" w:rsidRPr="00C87872" w:rsidRDefault="00D905FF" w:rsidP="00E8620A">
      <w:pPr>
        <w:pStyle w:val="BodyText"/>
        <w:tabs>
          <w:tab w:val="left" w:pos="142"/>
          <w:tab w:val="left" w:pos="284"/>
        </w:tabs>
        <w:spacing w:line="360" w:lineRule="auto"/>
        <w:ind w:right="42"/>
        <w:rPr>
          <w:rFonts w:ascii="Arial" w:hAnsi="Arial" w:cs="Arial"/>
          <w:color w:val="000000" w:themeColor="dark1"/>
          <w:kern w:val="24"/>
        </w:rPr>
      </w:pPr>
      <w:r w:rsidRPr="00C87872">
        <w:rPr>
          <w:rFonts w:ascii="Arial" w:hAnsi="Arial" w:cs="Arial"/>
          <w:b/>
        </w:rPr>
        <w:lastRenderedPageBreak/>
        <w:t>Time of application</w:t>
      </w:r>
    </w:p>
    <w:p w14:paraId="08A9B921" w14:textId="0058879E" w:rsidR="00D905FF" w:rsidRPr="00C87872" w:rsidRDefault="00C9542F" w:rsidP="00C9542F">
      <w:pPr>
        <w:pStyle w:val="BodyText"/>
        <w:tabs>
          <w:tab w:val="left" w:pos="567"/>
        </w:tabs>
        <w:spacing w:line="360" w:lineRule="auto"/>
        <w:ind w:right="42"/>
        <w:rPr>
          <w:rFonts w:ascii="Arial" w:hAnsi="Arial" w:cs="Arial"/>
          <w:b/>
        </w:rPr>
      </w:pPr>
      <w:r w:rsidRPr="00C87872">
        <w:rPr>
          <w:rFonts w:ascii="Arial" w:hAnsi="Arial" w:cs="Arial"/>
        </w:rPr>
        <w:tab/>
      </w:r>
      <w:r w:rsidR="00D905FF" w:rsidRPr="00C87872">
        <w:rPr>
          <w:rFonts w:ascii="Arial" w:hAnsi="Arial" w:cs="Arial"/>
        </w:rPr>
        <w:t>The first spray was applied at (45 DAT) the time when sufficient pest build-up of the target pests was recorded i.e. during December and second spray was applied after 15 days of first spray (55 DAT) and the third spray was applied after 15 days interval of second spray (70 DAT). All the treatments were sprayed with the help of a knapsack sprayer and the spray volume wa</w:t>
      </w:r>
      <w:r w:rsidR="00034A52" w:rsidRPr="00C87872">
        <w:rPr>
          <w:rFonts w:ascii="Arial" w:hAnsi="Arial" w:cs="Arial"/>
        </w:rPr>
        <w:t>s used at the rate of 500 lt</w:t>
      </w:r>
      <w:r w:rsidR="00D905FF" w:rsidRPr="00C87872">
        <w:rPr>
          <w:rFonts w:ascii="Arial" w:hAnsi="Arial" w:cs="Arial"/>
        </w:rPr>
        <w:t>/ha.</w:t>
      </w:r>
    </w:p>
    <w:p w14:paraId="722FD404" w14:textId="77777777" w:rsidR="009A5BF0" w:rsidRPr="00C87872" w:rsidRDefault="009A5BF0" w:rsidP="007D5D72">
      <w:pPr>
        <w:pStyle w:val="BodyText"/>
        <w:tabs>
          <w:tab w:val="left" w:pos="142"/>
          <w:tab w:val="left" w:pos="284"/>
        </w:tabs>
        <w:spacing w:line="360" w:lineRule="auto"/>
        <w:ind w:right="42"/>
        <w:rPr>
          <w:rFonts w:ascii="Arial" w:hAnsi="Arial" w:cs="Arial"/>
          <w:b/>
        </w:rPr>
        <w:sectPr w:rsidR="009A5BF0" w:rsidRPr="00C87872" w:rsidSect="00C90E45">
          <w:type w:val="continuous"/>
          <w:pgSz w:w="11910" w:h="16840"/>
          <w:pgMar w:top="1480" w:right="992" w:bottom="278" w:left="1418" w:header="720" w:footer="720" w:gutter="0"/>
          <w:cols w:space="708"/>
          <w:docGrid w:linePitch="299"/>
        </w:sectPr>
      </w:pPr>
    </w:p>
    <w:p w14:paraId="7C3B867C" w14:textId="41099F3C" w:rsidR="007D5D72" w:rsidRPr="00C87872" w:rsidRDefault="007D5D72" w:rsidP="007D5D72">
      <w:pPr>
        <w:pStyle w:val="BodyText"/>
        <w:tabs>
          <w:tab w:val="left" w:pos="142"/>
          <w:tab w:val="left" w:pos="284"/>
        </w:tabs>
        <w:spacing w:line="360" w:lineRule="auto"/>
        <w:ind w:right="42"/>
        <w:rPr>
          <w:rFonts w:ascii="Arial" w:hAnsi="Arial" w:cs="Arial"/>
          <w:b/>
        </w:rPr>
      </w:pPr>
      <w:r w:rsidRPr="00C87872">
        <w:rPr>
          <w:rFonts w:ascii="Arial" w:hAnsi="Arial" w:cs="Arial"/>
          <w:b/>
        </w:rPr>
        <w:t xml:space="preserve">Observation </w:t>
      </w:r>
      <w:r w:rsidR="00E12DDB" w:rsidRPr="00C87872">
        <w:rPr>
          <w:rFonts w:ascii="Arial" w:hAnsi="Arial" w:cs="Arial"/>
          <w:b/>
        </w:rPr>
        <w:t>recorded</w:t>
      </w:r>
    </w:p>
    <w:p w14:paraId="12A3311F" w14:textId="77777777" w:rsidR="00D905FF" w:rsidRPr="00C87872" w:rsidRDefault="001C14F8" w:rsidP="001C14F8">
      <w:pPr>
        <w:tabs>
          <w:tab w:val="left" w:pos="142"/>
          <w:tab w:val="left" w:pos="284"/>
        </w:tabs>
        <w:spacing w:line="360" w:lineRule="auto"/>
        <w:ind w:right="42"/>
        <w:jc w:val="both"/>
        <w:rPr>
          <w:rFonts w:ascii="Arial" w:hAnsi="Arial" w:cs="Arial"/>
          <w:sz w:val="24"/>
          <w:szCs w:val="24"/>
        </w:rPr>
      </w:pPr>
      <w:r w:rsidRPr="00C87872">
        <w:rPr>
          <w:rFonts w:ascii="Arial" w:hAnsi="Arial" w:cs="Arial"/>
          <w:sz w:val="24"/>
          <w:szCs w:val="24"/>
        </w:rPr>
        <w:t>Observations were taken on 5 plants /plot. One pre-treatment observation was taken one day before the application of the treatments and post-treatment observations were recorded at 3, 5 and 7 days after spraying. For fruit infestation observation were taken on number basis at each harvest (7DAS and 14 DAS). Yield of both infested and marketable fruits were also recorded at each harvest.</w:t>
      </w:r>
      <w:r w:rsidR="00992A2D" w:rsidRPr="00C87872">
        <w:rPr>
          <w:rFonts w:ascii="Arial" w:hAnsi="Arial" w:cs="Arial"/>
          <w:sz w:val="24"/>
          <w:szCs w:val="24"/>
        </w:rPr>
        <w:t xml:space="preserve"> </w:t>
      </w:r>
      <w:r w:rsidR="00D905FF" w:rsidRPr="00C87872">
        <w:rPr>
          <w:rFonts w:ascii="Arial" w:hAnsi="Arial" w:cs="Arial"/>
          <w:sz w:val="24"/>
          <w:szCs w:val="24"/>
        </w:rPr>
        <w:t xml:space="preserve">The shoot and fruit borer </w:t>
      </w:r>
      <w:proofErr w:type="gramStart"/>
      <w:r w:rsidR="00D905FF" w:rsidRPr="00C87872">
        <w:rPr>
          <w:rFonts w:ascii="Arial" w:hAnsi="Arial" w:cs="Arial"/>
          <w:sz w:val="24"/>
          <w:szCs w:val="24"/>
        </w:rPr>
        <w:t>was</w:t>
      </w:r>
      <w:proofErr w:type="gramEnd"/>
      <w:r w:rsidR="00D905FF" w:rsidRPr="00C87872">
        <w:rPr>
          <w:rFonts w:ascii="Arial" w:hAnsi="Arial" w:cs="Arial"/>
          <w:sz w:val="24"/>
          <w:szCs w:val="24"/>
        </w:rPr>
        <w:t xml:space="preserve"> recorded in shoot by counting the drooped shoots and in fruits by counting the damaged fruits after harvest. The fruit and shoot borer infestation was converted into percent infestation by the formula </w:t>
      </w:r>
    </w:p>
    <w:p w14:paraId="19A01F4C" w14:textId="77777777" w:rsidR="00D905FF" w:rsidRPr="00C87872" w:rsidRDefault="00D905FF" w:rsidP="00D905FF">
      <w:pPr>
        <w:tabs>
          <w:tab w:val="left" w:pos="0"/>
        </w:tabs>
        <w:spacing w:before="120" w:after="120" w:line="360" w:lineRule="auto"/>
        <w:jc w:val="both"/>
        <w:rPr>
          <w:rFonts w:ascii="Arial" w:eastAsia="Calibri" w:hAnsi="Arial" w:cs="Arial"/>
          <w:sz w:val="24"/>
          <w:szCs w:val="24"/>
        </w:rPr>
      </w:pPr>
      <m:oMathPara>
        <m:oMath>
          <m:r>
            <m:rPr>
              <m:sty m:val="p"/>
            </m:rPr>
            <w:rPr>
              <w:rFonts w:ascii="Cambria Math" w:eastAsia="Calibri" w:hAnsi="Cambria Math" w:cs="Arial"/>
              <w:sz w:val="24"/>
              <w:szCs w:val="24"/>
            </w:rPr>
            <m:t>Shoot Infestation(%)</m:t>
          </m:r>
          <m:r>
            <w:rPr>
              <w:rFonts w:ascii="Cambria Math" w:eastAsia="Calibri" w:hAnsi="Cambria Math" w:cs="Arial"/>
              <w:sz w:val="24"/>
              <w:szCs w:val="24"/>
            </w:rPr>
            <m:t>= </m:t>
          </m:r>
          <m:f>
            <m:fPr>
              <m:ctrlPr>
                <w:rPr>
                  <w:rFonts w:ascii="Cambria Math" w:eastAsia="Calibri" w:hAnsi="Cambria Math" w:cs="Arial"/>
                  <w:bCs/>
                  <w:i/>
                  <w:iCs/>
                  <w:sz w:val="24"/>
                  <w:szCs w:val="24"/>
                </w:rPr>
              </m:ctrlPr>
            </m:fPr>
            <m:num>
              <m:r>
                <m:rPr>
                  <m:sty m:val="p"/>
                </m:rPr>
                <w:rPr>
                  <w:rFonts w:ascii="Cambria Math" w:eastAsia="Calibri" w:hAnsi="Cambria Math" w:cs="Arial"/>
                  <w:sz w:val="24"/>
                  <w:szCs w:val="24"/>
                </w:rPr>
                <m:t>No. of infested  shoot</m:t>
              </m:r>
            </m:num>
            <m:den>
              <m:r>
                <m:rPr>
                  <m:sty m:val="p"/>
                </m:rPr>
                <w:rPr>
                  <w:rFonts w:ascii="Cambria Math" w:eastAsia="Calibri" w:hAnsi="Cambria Math" w:cs="Arial"/>
                  <w:sz w:val="24"/>
                  <w:szCs w:val="24"/>
                </w:rPr>
                <m:t>Total no. of shoot</m:t>
              </m:r>
            </m:den>
          </m:f>
          <m:r>
            <w:rPr>
              <w:rFonts w:ascii="Cambria Math" w:eastAsia="Calibri" w:hAnsi="Cambria Math" w:cs="Arial"/>
              <w:sz w:val="24"/>
              <w:szCs w:val="24"/>
            </w:rPr>
            <m:t>×100</m:t>
          </m:r>
        </m:oMath>
      </m:oMathPara>
    </w:p>
    <w:p w14:paraId="2EDD6075" w14:textId="77777777" w:rsidR="00D905FF" w:rsidRPr="00C87872" w:rsidRDefault="00D905FF" w:rsidP="00D905FF">
      <w:pPr>
        <w:tabs>
          <w:tab w:val="left" w:pos="0"/>
        </w:tabs>
        <w:spacing w:before="120" w:after="120" w:line="360" w:lineRule="auto"/>
        <w:ind w:firstLine="1418"/>
        <w:jc w:val="both"/>
        <w:rPr>
          <w:rFonts w:ascii="Arial" w:eastAsia="Calibri" w:hAnsi="Arial" w:cs="Arial"/>
          <w:sz w:val="24"/>
          <w:szCs w:val="24"/>
        </w:rPr>
      </w:pPr>
      <m:oMathPara>
        <m:oMath>
          <m:r>
            <m:rPr>
              <m:sty m:val="p"/>
            </m:rPr>
            <w:rPr>
              <w:rFonts w:ascii="Cambria Math" w:eastAsia="Calibri" w:hAnsi="Cambria Math" w:cs="Arial"/>
              <w:sz w:val="24"/>
              <w:szCs w:val="24"/>
            </w:rPr>
            <m:t>Fruit damage(%)</m:t>
          </m:r>
          <m:r>
            <w:rPr>
              <w:rFonts w:ascii="Cambria Math" w:eastAsia="Calibri" w:hAnsi="Cambria Math" w:cs="Arial"/>
              <w:sz w:val="24"/>
              <w:szCs w:val="24"/>
            </w:rPr>
            <m:t>= </m:t>
          </m:r>
          <m:f>
            <m:fPr>
              <m:ctrlPr>
                <w:rPr>
                  <w:rFonts w:ascii="Cambria Math" w:eastAsia="Calibri" w:hAnsi="Cambria Math" w:cs="Arial"/>
                  <w:bCs/>
                  <w:i/>
                  <w:iCs/>
                  <w:sz w:val="24"/>
                  <w:szCs w:val="24"/>
                </w:rPr>
              </m:ctrlPr>
            </m:fPr>
            <m:num>
              <m:r>
                <m:rPr>
                  <m:sty m:val="p"/>
                </m:rPr>
                <w:rPr>
                  <w:rFonts w:ascii="Cambria Math" w:eastAsia="Calibri" w:hAnsi="Cambria Math" w:cs="Arial"/>
                  <w:sz w:val="24"/>
                  <w:szCs w:val="24"/>
                </w:rPr>
                <m:t>No. of infested Fruit</m:t>
              </m:r>
            </m:num>
            <m:den>
              <m:r>
                <m:rPr>
                  <m:sty m:val="p"/>
                </m:rPr>
                <w:rPr>
                  <w:rFonts w:ascii="Cambria Math" w:eastAsia="Calibri" w:hAnsi="Cambria Math" w:cs="Arial"/>
                  <w:sz w:val="24"/>
                  <w:szCs w:val="24"/>
                </w:rPr>
                <m:t>Total no. of Fruit</m:t>
              </m:r>
            </m:den>
          </m:f>
          <m:r>
            <w:rPr>
              <w:rFonts w:ascii="Cambria Math" w:eastAsia="Calibri" w:hAnsi="Cambria Math" w:cs="Arial"/>
              <w:sz w:val="24"/>
              <w:szCs w:val="24"/>
            </w:rPr>
            <m:t>×100</m:t>
          </m:r>
        </m:oMath>
      </m:oMathPara>
    </w:p>
    <w:p w14:paraId="4EEDAEDA" w14:textId="77777777" w:rsidR="00E8620A" w:rsidRPr="00C87872" w:rsidRDefault="00E8620A" w:rsidP="001C14F8">
      <w:pPr>
        <w:pStyle w:val="NormalWeb"/>
        <w:spacing w:line="360" w:lineRule="auto"/>
        <w:jc w:val="both"/>
        <w:rPr>
          <w:rFonts w:ascii="Arial" w:hAnsi="Arial" w:cs="Arial"/>
          <w:b/>
        </w:rPr>
      </w:pPr>
      <w:r w:rsidRPr="00C87872">
        <w:rPr>
          <w:rFonts w:ascii="Arial" w:hAnsi="Arial" w:cs="Arial"/>
          <w:b/>
        </w:rPr>
        <w:t>Results and Discussion</w:t>
      </w:r>
    </w:p>
    <w:p w14:paraId="0F59CF6B" w14:textId="282BBB10" w:rsidR="00E8620A" w:rsidRPr="00C87872" w:rsidRDefault="00E8620A" w:rsidP="001C14F8">
      <w:pPr>
        <w:pStyle w:val="NormalWeb"/>
        <w:spacing w:line="360" w:lineRule="auto"/>
        <w:jc w:val="both"/>
        <w:rPr>
          <w:rFonts w:ascii="Arial" w:hAnsi="Arial" w:cs="Arial"/>
          <w:b/>
        </w:rPr>
      </w:pPr>
      <w:r w:rsidRPr="00C87872">
        <w:rPr>
          <w:rFonts w:ascii="Arial" w:hAnsi="Arial" w:cs="Arial"/>
          <w:b/>
        </w:rPr>
        <w:t xml:space="preserve">Efficacy of </w:t>
      </w:r>
      <w:r w:rsidR="00E12DDB" w:rsidRPr="00C87872">
        <w:rPr>
          <w:rFonts w:ascii="Arial" w:hAnsi="Arial" w:cs="Arial"/>
          <w:b/>
        </w:rPr>
        <w:t>d</w:t>
      </w:r>
      <w:r w:rsidRPr="00C87872">
        <w:rPr>
          <w:rFonts w:ascii="Arial" w:hAnsi="Arial" w:cs="Arial"/>
          <w:b/>
        </w:rPr>
        <w:t xml:space="preserve">ifferent </w:t>
      </w:r>
      <w:r w:rsidR="00E12DDB" w:rsidRPr="00C87872">
        <w:rPr>
          <w:rFonts w:ascii="Arial" w:hAnsi="Arial" w:cs="Arial"/>
          <w:b/>
        </w:rPr>
        <w:t>treatments</w:t>
      </w:r>
      <w:r w:rsidRPr="00C87872">
        <w:rPr>
          <w:rFonts w:ascii="Arial" w:hAnsi="Arial" w:cs="Arial"/>
          <w:b/>
        </w:rPr>
        <w:t xml:space="preserve"> </w:t>
      </w:r>
      <w:r w:rsidR="00AE4688" w:rsidRPr="00C87872">
        <w:rPr>
          <w:rFonts w:ascii="Arial" w:hAnsi="Arial" w:cs="Arial"/>
          <w:b/>
        </w:rPr>
        <w:t>against</w:t>
      </w:r>
      <w:r w:rsidRPr="00C87872">
        <w:rPr>
          <w:rFonts w:ascii="Arial" w:hAnsi="Arial" w:cs="Arial"/>
          <w:b/>
        </w:rPr>
        <w:t xml:space="preserve"> Shoot and Fruit Borer (</w:t>
      </w:r>
      <w:r w:rsidRPr="00C87872">
        <w:rPr>
          <w:rFonts w:ascii="Arial" w:hAnsi="Arial" w:cs="Arial"/>
          <w:b/>
          <w:i/>
        </w:rPr>
        <w:t xml:space="preserve">Leucinodes orbonalis </w:t>
      </w:r>
      <w:r w:rsidRPr="00C87872">
        <w:rPr>
          <w:rFonts w:ascii="Arial" w:hAnsi="Arial" w:cs="Arial"/>
          <w:b/>
        </w:rPr>
        <w:t xml:space="preserve">Guen.) </w:t>
      </w:r>
    </w:p>
    <w:p w14:paraId="0376F6C5" w14:textId="77777777" w:rsidR="00E8620A" w:rsidRPr="00C87872" w:rsidRDefault="00E8620A" w:rsidP="001C14F8">
      <w:pPr>
        <w:pStyle w:val="NormalWeb"/>
        <w:spacing w:line="360" w:lineRule="auto"/>
        <w:jc w:val="both"/>
        <w:rPr>
          <w:rFonts w:ascii="Arial" w:hAnsi="Arial" w:cs="Arial"/>
        </w:rPr>
      </w:pPr>
      <w:r w:rsidRPr="00C87872">
        <w:rPr>
          <w:rFonts w:ascii="Arial" w:hAnsi="Arial" w:cs="Arial"/>
        </w:rPr>
        <w:t xml:space="preserve">The results of the present investigation clearly indicated that Tracer (Spinosad 45 SC) was the most effective treatment for managing shoot and fruit borer infestation in brinjal. A pooled mean shoot infestation of 8.30% and fruit infestation of 10.00% was recorded, with percent reductions over the untreated control being 65.38% and 69.25%, respectively. These findings are in close agreement with those of Akter et al. (2017), who reported an 85.60% reduction in shoot infestation using Spinosad 45 SC. Additionally, previous studies by Adiroubane and Raghuraman (2006), Sharma and Anil (2010), and Kalawate and Dethe (2012) also confirmed Spinosad’s high efficacy in managing </w:t>
      </w:r>
      <w:r w:rsidRPr="00C87872">
        <w:rPr>
          <w:rFonts w:ascii="Arial" w:hAnsi="Arial" w:cs="Arial"/>
          <w:i/>
        </w:rPr>
        <w:t>L. orbonalis</w:t>
      </w:r>
      <w:r w:rsidRPr="00C87872">
        <w:rPr>
          <w:rFonts w:ascii="Arial" w:hAnsi="Arial" w:cs="Arial"/>
        </w:rPr>
        <w:t>, further validating its reliability as a biorational insecticide.</w:t>
      </w:r>
    </w:p>
    <w:p w14:paraId="05E58E34" w14:textId="77777777" w:rsidR="00E8620A" w:rsidRPr="00C87872" w:rsidRDefault="001C14F8" w:rsidP="001C14F8">
      <w:pPr>
        <w:pStyle w:val="NormalWeb"/>
        <w:spacing w:line="360" w:lineRule="auto"/>
        <w:jc w:val="both"/>
        <w:rPr>
          <w:rFonts w:ascii="Arial" w:hAnsi="Arial" w:cs="Arial"/>
        </w:rPr>
      </w:pPr>
      <w:r w:rsidRPr="00C87872">
        <w:rPr>
          <w:rFonts w:ascii="Arial" w:hAnsi="Arial" w:cs="Arial"/>
        </w:rPr>
        <w:lastRenderedPageBreak/>
        <w:t>Green Neem (</w:t>
      </w:r>
      <w:r w:rsidRPr="00C87872">
        <w:rPr>
          <w:rFonts w:ascii="Arial" w:hAnsi="Arial" w:cs="Arial"/>
          <w:i/>
        </w:rPr>
        <w:t>Azadirachta indica</w:t>
      </w:r>
      <w:r w:rsidRPr="00C87872">
        <w:rPr>
          <w:rFonts w:ascii="Arial" w:hAnsi="Arial" w:cs="Arial"/>
        </w:rPr>
        <w:t xml:space="preserve"> </w:t>
      </w:r>
      <w:r w:rsidR="00E8620A" w:rsidRPr="00C87872">
        <w:rPr>
          <w:rFonts w:ascii="Arial" w:hAnsi="Arial" w:cs="Arial"/>
        </w:rPr>
        <w:t>1% EC) also demonstrated strong performance, recording 9.44% shoot and 11.87% fruit infestation, corresponding to 60.59% and 63.50% reductions over control. These results align with earlier reports by Rosaih (2001a, 2001b), Singh (2003), and Mane and Kulkarni (2001), who found that neem-based formulations significantly reduced borer infestation while maintaining eco-friendly standards.</w:t>
      </w:r>
    </w:p>
    <w:p w14:paraId="528D21ED" w14:textId="77777777" w:rsidR="00E8620A" w:rsidRPr="00C87872" w:rsidRDefault="00E8620A" w:rsidP="001C14F8">
      <w:pPr>
        <w:pStyle w:val="NormalWeb"/>
        <w:spacing w:line="360" w:lineRule="auto"/>
        <w:jc w:val="both"/>
        <w:rPr>
          <w:rFonts w:ascii="Arial" w:hAnsi="Arial" w:cs="Arial"/>
        </w:rPr>
      </w:pPr>
      <w:r w:rsidRPr="00C87872">
        <w:rPr>
          <w:rFonts w:ascii="Arial" w:hAnsi="Arial" w:cs="Arial"/>
        </w:rPr>
        <w:t>Chinaberry leaf extract (</w:t>
      </w:r>
      <w:r w:rsidRPr="00C87872">
        <w:rPr>
          <w:rFonts w:ascii="Arial" w:hAnsi="Arial" w:cs="Arial"/>
          <w:i/>
        </w:rPr>
        <w:t>Melia azedarach</w:t>
      </w:r>
      <w:r w:rsidRPr="00C87872">
        <w:rPr>
          <w:rFonts w:ascii="Arial" w:hAnsi="Arial" w:cs="Arial"/>
        </w:rPr>
        <w:t xml:space="preserve">) recorded 10.26% shoot and 13.65% fruit infestation, achieving 57.19% and 58.03% reduction, respectively. Iqbal et al. (2021) similarly highlighted the pesticidal activity of M. azedarach, although slightly less potent than neem-based products. Other ITK-based treatments such as Cow urine + </w:t>
      </w:r>
      <w:r w:rsidRPr="00C87872">
        <w:rPr>
          <w:rFonts w:ascii="Arial" w:hAnsi="Arial" w:cs="Arial"/>
          <w:i/>
        </w:rPr>
        <w:t>Azadirachta indica</w:t>
      </w:r>
      <w:r w:rsidRPr="00C87872">
        <w:rPr>
          <w:rFonts w:ascii="Arial" w:hAnsi="Arial" w:cs="Arial"/>
        </w:rPr>
        <w:t xml:space="preserve"> (10.59% shoot, 14.26% fruit), Cow urine + </w:t>
      </w:r>
      <w:r w:rsidRPr="00C87872">
        <w:rPr>
          <w:rFonts w:ascii="Arial" w:hAnsi="Arial" w:cs="Arial"/>
          <w:i/>
        </w:rPr>
        <w:t>Allium tuberosum</w:t>
      </w:r>
      <w:r w:rsidRPr="00C87872">
        <w:rPr>
          <w:rFonts w:ascii="Arial" w:hAnsi="Arial" w:cs="Arial"/>
        </w:rPr>
        <w:t xml:space="preserve"> (10.96% shoot, 14.70% fruit), and Cow dung slurry + Cow urine (11.19% shoot, 18.76% fruit) also showed moderate efficacy. These findings support the work of Mandal et al. (2018), who emphasized the effectiveness of cow urine and botanical combinations in pest suppression. Additionally, Pawar et al. (2000) and Shi et al. (2015) noted cow urine’s pesticidal properties and </w:t>
      </w:r>
      <w:r w:rsidRPr="00C87872">
        <w:rPr>
          <w:rFonts w:ascii="Arial" w:hAnsi="Arial" w:cs="Arial"/>
          <w:i/>
        </w:rPr>
        <w:t>Allium tuberosum</w:t>
      </w:r>
      <w:r w:rsidRPr="00C87872">
        <w:rPr>
          <w:rFonts w:ascii="Arial" w:hAnsi="Arial" w:cs="Arial"/>
        </w:rPr>
        <w:t>’s toxicity, respectively.</w:t>
      </w:r>
    </w:p>
    <w:p w14:paraId="0B5B746A" w14:textId="77777777" w:rsidR="00E8620A" w:rsidRPr="00C87872" w:rsidRDefault="00E8620A" w:rsidP="001C14F8">
      <w:pPr>
        <w:pStyle w:val="NormalWeb"/>
        <w:spacing w:line="360" w:lineRule="auto"/>
        <w:jc w:val="both"/>
        <w:rPr>
          <w:rFonts w:ascii="Arial" w:hAnsi="Arial" w:cs="Arial"/>
        </w:rPr>
      </w:pPr>
      <w:r w:rsidRPr="00C87872">
        <w:rPr>
          <w:rFonts w:ascii="Arial" w:hAnsi="Arial" w:cs="Arial"/>
        </w:rPr>
        <w:t xml:space="preserve">The least effective treatment was Wood ash derived from </w:t>
      </w:r>
      <w:r w:rsidRPr="00C87872">
        <w:rPr>
          <w:rFonts w:ascii="Arial" w:hAnsi="Arial" w:cs="Arial"/>
          <w:i/>
        </w:rPr>
        <w:t>M. azedarach</w:t>
      </w:r>
      <w:r w:rsidRPr="00C87872">
        <w:rPr>
          <w:rFonts w:ascii="Arial" w:hAnsi="Arial" w:cs="Arial"/>
        </w:rPr>
        <w:t xml:space="preserve">, which resulted in 21.93% fruit infestation and only a 32.57% reduction. These findings agree with Hazarika et al. (2005), who reported minimal residual and contact activity of ash against </w:t>
      </w:r>
      <w:r w:rsidRPr="00C87872">
        <w:rPr>
          <w:rFonts w:ascii="Arial" w:hAnsi="Arial" w:cs="Arial"/>
          <w:i/>
        </w:rPr>
        <w:t>L. orbonalis</w:t>
      </w:r>
      <w:r w:rsidRPr="00C87872">
        <w:rPr>
          <w:rFonts w:ascii="Arial" w:hAnsi="Arial" w:cs="Arial"/>
        </w:rPr>
        <w:t>.</w:t>
      </w:r>
    </w:p>
    <w:p w14:paraId="4E8DCEE3" w14:textId="77777777" w:rsidR="00605FDF" w:rsidRPr="00C87872" w:rsidRDefault="00605FDF" w:rsidP="001C14F8">
      <w:pPr>
        <w:pStyle w:val="NormalWeb"/>
        <w:spacing w:line="360" w:lineRule="auto"/>
        <w:jc w:val="both"/>
        <w:rPr>
          <w:rFonts w:ascii="Arial" w:hAnsi="Arial" w:cs="Arial"/>
          <w:b/>
        </w:rPr>
        <w:sectPr w:rsidR="00605FDF" w:rsidRPr="00C87872" w:rsidSect="00C90E45">
          <w:type w:val="continuous"/>
          <w:pgSz w:w="11910" w:h="16840"/>
          <w:pgMar w:top="1480" w:right="992" w:bottom="278" w:left="1418" w:header="720" w:footer="720" w:gutter="0"/>
          <w:cols w:space="708"/>
          <w:docGrid w:linePitch="299"/>
        </w:sectPr>
      </w:pPr>
    </w:p>
    <w:p w14:paraId="19B1E87B" w14:textId="77777777" w:rsidR="00965601" w:rsidRDefault="00965601" w:rsidP="001C14F8">
      <w:pPr>
        <w:pStyle w:val="NormalWeb"/>
        <w:spacing w:line="360" w:lineRule="auto"/>
        <w:jc w:val="both"/>
        <w:rPr>
          <w:rFonts w:ascii="Arial" w:hAnsi="Arial" w:cs="Arial"/>
          <w:b/>
        </w:rPr>
      </w:pPr>
    </w:p>
    <w:p w14:paraId="2DB88F9A" w14:textId="77777777" w:rsidR="00965601" w:rsidRDefault="00965601" w:rsidP="001C14F8">
      <w:pPr>
        <w:pStyle w:val="NormalWeb"/>
        <w:spacing w:line="360" w:lineRule="auto"/>
        <w:jc w:val="both"/>
        <w:rPr>
          <w:rFonts w:ascii="Arial" w:hAnsi="Arial" w:cs="Arial"/>
          <w:b/>
        </w:rPr>
      </w:pPr>
    </w:p>
    <w:p w14:paraId="2FAB2AD0" w14:textId="77777777" w:rsidR="00965601" w:rsidRDefault="00965601" w:rsidP="001C14F8">
      <w:pPr>
        <w:pStyle w:val="NormalWeb"/>
        <w:spacing w:line="360" w:lineRule="auto"/>
        <w:jc w:val="both"/>
        <w:rPr>
          <w:rFonts w:ascii="Arial" w:hAnsi="Arial" w:cs="Arial"/>
          <w:b/>
        </w:rPr>
      </w:pPr>
    </w:p>
    <w:p w14:paraId="0A6799D9" w14:textId="77777777" w:rsidR="00965601" w:rsidRDefault="00965601" w:rsidP="001C14F8">
      <w:pPr>
        <w:pStyle w:val="NormalWeb"/>
        <w:spacing w:line="360" w:lineRule="auto"/>
        <w:jc w:val="both"/>
        <w:rPr>
          <w:rFonts w:ascii="Arial" w:hAnsi="Arial" w:cs="Arial"/>
          <w:b/>
        </w:rPr>
      </w:pPr>
    </w:p>
    <w:p w14:paraId="3146C623" w14:textId="35290EE6" w:rsidR="00605FDF" w:rsidRPr="00C87872" w:rsidRDefault="00E12DDB" w:rsidP="001C14F8">
      <w:pPr>
        <w:pStyle w:val="NormalWeb"/>
        <w:spacing w:line="360" w:lineRule="auto"/>
        <w:jc w:val="both"/>
        <w:rPr>
          <w:rFonts w:ascii="Arial" w:hAnsi="Arial" w:cs="Arial"/>
          <w:b/>
        </w:rPr>
      </w:pPr>
      <w:r w:rsidRPr="00C87872">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1A139D79" wp14:editId="4446AB7D">
                <wp:simplePos x="0" y="0"/>
                <wp:positionH relativeFrom="column">
                  <wp:posOffset>-219946</wp:posOffset>
                </wp:positionH>
                <wp:positionV relativeFrom="paragraph">
                  <wp:posOffset>291140</wp:posOffset>
                </wp:positionV>
                <wp:extent cx="6560820" cy="3786963"/>
                <wp:effectExtent l="0" t="0" r="0" b="4445"/>
                <wp:wrapNone/>
                <wp:docPr id="1" name="Rectangle 1"/>
                <wp:cNvGraphicFramePr/>
                <a:graphic xmlns:a="http://schemas.openxmlformats.org/drawingml/2006/main">
                  <a:graphicData uri="http://schemas.microsoft.com/office/word/2010/wordprocessingShape">
                    <wps:wsp>
                      <wps:cNvSpPr/>
                      <wps:spPr>
                        <a:xfrm>
                          <a:off x="0" y="0"/>
                          <a:ext cx="6560820" cy="37869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AB510" w14:textId="5955E4BA" w:rsidR="008B25EE" w:rsidRDefault="008B25EE" w:rsidP="00E12D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39D79" id="Rectangle 1" o:spid="_x0000_s1026" style="position:absolute;left:0;text-align:left;margin-left:-17.3pt;margin-top:22.9pt;width:516.6pt;height:2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" filled="f" stroked="f" strokeweight="1pt">
                <v:textbox>
                  <w:txbxContent>
                    <w:p w14:paraId="3BAAB510" w14:textId="5955E4BA" w:rsidR="008B25EE" w:rsidRDefault="008B25EE" w:rsidP="00E12DDB">
                      <w:pPr>
                        <w:jc w:val="center"/>
                      </w:pPr>
                    </w:p>
                  </w:txbxContent>
                </v:textbox>
              </v:rect>
            </w:pict>
          </mc:Fallback>
        </mc:AlternateContent>
      </w:r>
      <w:r w:rsidR="0008626F" w:rsidRPr="00C87872">
        <w:rPr>
          <w:rFonts w:ascii="Arial" w:hAnsi="Arial" w:cs="Arial"/>
          <w:b/>
        </w:rPr>
        <w:t>Table</w:t>
      </w:r>
      <w:r w:rsidR="00965601">
        <w:rPr>
          <w:rFonts w:ascii="Arial" w:hAnsi="Arial" w:cs="Arial"/>
          <w:b/>
        </w:rPr>
        <w:t xml:space="preserve"> 1</w:t>
      </w:r>
      <w:r w:rsidR="0008626F" w:rsidRPr="00C87872">
        <w:rPr>
          <w:rFonts w:ascii="Arial" w:hAnsi="Arial" w:cs="Arial"/>
          <w:b/>
        </w:rPr>
        <w:t xml:space="preserve">: </w:t>
      </w:r>
      <w:r w:rsidR="00605FDF" w:rsidRPr="00C87872">
        <w:rPr>
          <w:rFonts w:ascii="Arial" w:hAnsi="Arial" w:cs="Arial"/>
          <w:b/>
        </w:rPr>
        <w:t xml:space="preserve">Efficacy of </w:t>
      </w:r>
      <w:r w:rsidR="008A3487" w:rsidRPr="00C87872">
        <w:rPr>
          <w:rFonts w:ascii="Arial" w:hAnsi="Arial" w:cs="Arial"/>
          <w:b/>
        </w:rPr>
        <w:t xml:space="preserve">different treatments on </w:t>
      </w:r>
      <w:r w:rsidR="00605FDF" w:rsidRPr="00C87872">
        <w:rPr>
          <w:rFonts w:ascii="Arial" w:hAnsi="Arial" w:cs="Arial"/>
          <w:b/>
        </w:rPr>
        <w:t xml:space="preserve">shoot and fruit borer </w:t>
      </w:r>
    </w:p>
    <w:p w14:paraId="0A55759C" w14:textId="1F1B2286" w:rsidR="00E12DDB" w:rsidRPr="00C87872" w:rsidRDefault="00E12DDB" w:rsidP="001C14F8">
      <w:pPr>
        <w:pStyle w:val="NormalWeb"/>
        <w:spacing w:line="360" w:lineRule="auto"/>
        <w:jc w:val="both"/>
        <w:rPr>
          <w:rFonts w:ascii="Arial" w:hAnsi="Arial" w:cs="Arial"/>
          <w:b/>
        </w:rPr>
      </w:pPr>
    </w:p>
    <w:p w14:paraId="54E6FEB6" w14:textId="77777777" w:rsidR="00E12DDB" w:rsidRPr="00C87872" w:rsidRDefault="00E12DDB" w:rsidP="001C14F8">
      <w:pPr>
        <w:pStyle w:val="NormalWeb"/>
        <w:spacing w:line="360" w:lineRule="auto"/>
        <w:jc w:val="both"/>
        <w:rPr>
          <w:rFonts w:ascii="Arial" w:hAnsi="Arial" w:cs="Arial"/>
          <w:b/>
        </w:rPr>
      </w:pPr>
    </w:p>
    <w:p w14:paraId="25D4508D" w14:textId="77777777" w:rsidR="00E12DDB" w:rsidRPr="00C87872" w:rsidRDefault="00E12DDB" w:rsidP="001C14F8">
      <w:pPr>
        <w:pStyle w:val="NormalWeb"/>
        <w:spacing w:line="360" w:lineRule="auto"/>
        <w:jc w:val="both"/>
        <w:rPr>
          <w:rFonts w:ascii="Arial" w:hAnsi="Arial" w:cs="Arial"/>
          <w:b/>
        </w:rPr>
      </w:pPr>
    </w:p>
    <w:tbl>
      <w:tblPr>
        <w:tblStyle w:val="TableGrid"/>
        <w:tblW w:w="10023" w:type="dxa"/>
        <w:tblInd w:w="-5" w:type="dxa"/>
        <w:tblLayout w:type="fixed"/>
        <w:tblLook w:val="04A0" w:firstRow="1" w:lastRow="0" w:firstColumn="1" w:lastColumn="0" w:noHBand="0" w:noVBand="1"/>
      </w:tblPr>
      <w:tblGrid>
        <w:gridCol w:w="1271"/>
        <w:gridCol w:w="2136"/>
        <w:gridCol w:w="1550"/>
        <w:gridCol w:w="1275"/>
        <w:gridCol w:w="1061"/>
        <w:gridCol w:w="1365"/>
        <w:gridCol w:w="1365"/>
      </w:tblGrid>
      <w:tr w:rsidR="00965601" w:rsidRPr="009A5BF0" w14:paraId="72FC47DB" w14:textId="77777777" w:rsidTr="000F4B76">
        <w:trPr>
          <w:trHeight w:val="531"/>
        </w:trPr>
        <w:tc>
          <w:tcPr>
            <w:tcW w:w="1271" w:type="dxa"/>
            <w:tcBorders>
              <w:top w:val="single" w:sz="4" w:space="0" w:color="auto"/>
              <w:left w:val="single" w:sz="4" w:space="0" w:color="auto"/>
              <w:bottom w:val="single" w:sz="4" w:space="0" w:color="auto"/>
              <w:right w:val="single" w:sz="4" w:space="0" w:color="auto"/>
            </w:tcBorders>
            <w:vAlign w:val="bottom"/>
          </w:tcPr>
          <w:p w14:paraId="6F8A6750" w14:textId="77777777" w:rsidR="00965601" w:rsidRPr="008B25EE" w:rsidRDefault="00965601" w:rsidP="000F4B76">
            <w:pPr>
              <w:spacing w:line="276" w:lineRule="auto"/>
              <w:jc w:val="center"/>
              <w:rPr>
                <w:rFonts w:ascii="Arial" w:eastAsiaTheme="minorHAnsi" w:hAnsi="Arial" w:cs="Arial"/>
                <w:b/>
                <w:bCs/>
                <w:color w:val="000000" w:themeColor="text1"/>
                <w:sz w:val="18"/>
                <w:szCs w:val="18"/>
                <w:lang w:val="en-IN"/>
              </w:rPr>
            </w:pPr>
            <w:r w:rsidRPr="008B25EE">
              <w:rPr>
                <w:rFonts w:ascii="Arial" w:hAnsi="Arial" w:cs="Arial"/>
                <w:b/>
                <w:bCs/>
                <w:color w:val="000000" w:themeColor="text1"/>
                <w:sz w:val="18"/>
                <w:szCs w:val="18"/>
              </w:rPr>
              <w:lastRenderedPageBreak/>
              <w:t>Treatment no.</w:t>
            </w:r>
          </w:p>
          <w:p w14:paraId="2BAA4EA4" w14:textId="77777777" w:rsidR="00965601" w:rsidRPr="008B25EE" w:rsidRDefault="00965601" w:rsidP="000F4B76">
            <w:pPr>
              <w:spacing w:line="276" w:lineRule="auto"/>
              <w:jc w:val="center"/>
              <w:rPr>
                <w:rFonts w:ascii="Arial" w:hAnsi="Arial" w:cs="Arial"/>
                <w:b/>
                <w:bCs/>
                <w:color w:val="000000" w:themeColor="text1"/>
                <w:sz w:val="18"/>
                <w:szCs w:val="18"/>
              </w:rPr>
            </w:pPr>
          </w:p>
        </w:tc>
        <w:tc>
          <w:tcPr>
            <w:tcW w:w="2136" w:type="dxa"/>
            <w:tcBorders>
              <w:top w:val="single" w:sz="4" w:space="0" w:color="auto"/>
              <w:left w:val="single" w:sz="4" w:space="0" w:color="auto"/>
              <w:bottom w:val="single" w:sz="4" w:space="0" w:color="auto"/>
              <w:right w:val="single" w:sz="4" w:space="0" w:color="auto"/>
            </w:tcBorders>
            <w:vAlign w:val="bottom"/>
          </w:tcPr>
          <w:p w14:paraId="3F97B6AE"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Treatment</w:t>
            </w:r>
          </w:p>
          <w:p w14:paraId="3A480787" w14:textId="77777777" w:rsidR="00965601" w:rsidRPr="008B25EE" w:rsidRDefault="00965601" w:rsidP="000F4B76">
            <w:pPr>
              <w:spacing w:line="276" w:lineRule="auto"/>
              <w:jc w:val="center"/>
              <w:rPr>
                <w:rFonts w:ascii="Arial" w:hAnsi="Arial" w:cs="Arial"/>
                <w:b/>
                <w:bCs/>
                <w:color w:val="000000" w:themeColor="text1"/>
                <w:sz w:val="18"/>
                <w:szCs w:val="18"/>
              </w:rPr>
            </w:pPr>
          </w:p>
          <w:p w14:paraId="7855A978" w14:textId="77777777" w:rsidR="00965601" w:rsidRPr="008B25EE" w:rsidRDefault="00965601" w:rsidP="000F4B76">
            <w:pPr>
              <w:spacing w:line="276" w:lineRule="auto"/>
              <w:jc w:val="center"/>
              <w:rPr>
                <w:rFonts w:ascii="Arial" w:hAnsi="Arial" w:cs="Arial"/>
                <w:b/>
                <w:bCs/>
                <w:color w:val="000000" w:themeColor="text1"/>
                <w:sz w:val="18"/>
                <w:szCs w:val="18"/>
              </w:rPr>
            </w:pPr>
          </w:p>
        </w:tc>
        <w:tc>
          <w:tcPr>
            <w:tcW w:w="1550" w:type="dxa"/>
            <w:tcBorders>
              <w:top w:val="single" w:sz="4" w:space="0" w:color="auto"/>
              <w:left w:val="single" w:sz="4" w:space="0" w:color="auto"/>
              <w:bottom w:val="single" w:sz="4" w:space="0" w:color="auto"/>
              <w:right w:val="single" w:sz="4" w:space="0" w:color="auto"/>
            </w:tcBorders>
          </w:tcPr>
          <w:p w14:paraId="09536239" w14:textId="77777777" w:rsidR="00965601" w:rsidRPr="008B25EE" w:rsidRDefault="00965601" w:rsidP="000F4B76">
            <w:pPr>
              <w:spacing w:line="276" w:lineRule="auto"/>
              <w:jc w:val="center"/>
              <w:rPr>
                <w:rFonts w:ascii="Arial" w:hAnsi="Arial" w:cs="Arial"/>
                <w:b/>
                <w:bCs/>
                <w:iCs/>
                <w:color w:val="000000" w:themeColor="text1"/>
                <w:sz w:val="18"/>
                <w:szCs w:val="18"/>
              </w:rPr>
            </w:pPr>
          </w:p>
          <w:p w14:paraId="5EEBE179" w14:textId="77777777" w:rsidR="00965601" w:rsidRPr="008B25EE" w:rsidRDefault="00965601" w:rsidP="000F4B76">
            <w:pPr>
              <w:spacing w:line="276" w:lineRule="auto"/>
              <w:jc w:val="center"/>
              <w:rPr>
                <w:rFonts w:ascii="Arial" w:hAnsi="Arial" w:cs="Arial"/>
                <w:b/>
                <w:bCs/>
                <w:color w:val="000000" w:themeColor="text1"/>
                <w:sz w:val="18"/>
                <w:szCs w:val="18"/>
              </w:rPr>
            </w:pPr>
            <w:r>
              <w:rPr>
                <w:rFonts w:ascii="Arial" w:hAnsi="Arial" w:cs="Arial"/>
                <w:b/>
                <w:bCs/>
                <w:iCs/>
                <w:color w:val="000000" w:themeColor="text1"/>
                <w:sz w:val="18"/>
                <w:szCs w:val="18"/>
              </w:rPr>
              <w:t>Dose</w:t>
            </w:r>
          </w:p>
        </w:tc>
        <w:tc>
          <w:tcPr>
            <w:tcW w:w="1275" w:type="dxa"/>
            <w:tcBorders>
              <w:top w:val="single" w:sz="4" w:space="0" w:color="auto"/>
              <w:left w:val="single" w:sz="4" w:space="0" w:color="auto"/>
              <w:right w:val="single" w:sz="4" w:space="0" w:color="auto"/>
            </w:tcBorders>
          </w:tcPr>
          <w:p w14:paraId="1A35C4B6"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mean</w:t>
            </w:r>
          </w:p>
          <w:p w14:paraId="1BC84739"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 shoot infestation</w:t>
            </w:r>
          </w:p>
        </w:tc>
        <w:tc>
          <w:tcPr>
            <w:tcW w:w="1061" w:type="dxa"/>
            <w:tcBorders>
              <w:top w:val="single" w:sz="4" w:space="0" w:color="auto"/>
              <w:left w:val="single" w:sz="4" w:space="0" w:color="auto"/>
              <w:right w:val="single" w:sz="4" w:space="0" w:color="auto"/>
            </w:tcBorders>
          </w:tcPr>
          <w:p w14:paraId="6D6105A9"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 reduction over control</w:t>
            </w:r>
          </w:p>
        </w:tc>
        <w:tc>
          <w:tcPr>
            <w:tcW w:w="1365" w:type="dxa"/>
            <w:tcBorders>
              <w:top w:val="single" w:sz="4" w:space="0" w:color="auto"/>
              <w:left w:val="single" w:sz="4" w:space="0" w:color="auto"/>
              <w:right w:val="single" w:sz="4" w:space="0" w:color="auto"/>
            </w:tcBorders>
          </w:tcPr>
          <w:p w14:paraId="3E2307D3"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mean % fruit infestation</w:t>
            </w:r>
          </w:p>
        </w:tc>
        <w:tc>
          <w:tcPr>
            <w:tcW w:w="1365" w:type="dxa"/>
            <w:tcBorders>
              <w:top w:val="single" w:sz="4" w:space="0" w:color="auto"/>
              <w:left w:val="single" w:sz="4" w:space="0" w:color="auto"/>
              <w:right w:val="single" w:sz="4" w:space="0" w:color="auto"/>
            </w:tcBorders>
          </w:tcPr>
          <w:p w14:paraId="60F004FD" w14:textId="77777777" w:rsidR="00965601" w:rsidRPr="008B25EE" w:rsidRDefault="00965601" w:rsidP="000F4B76">
            <w:pPr>
              <w:spacing w:line="276" w:lineRule="auto"/>
              <w:jc w:val="center"/>
              <w:rPr>
                <w:rFonts w:ascii="Arial" w:hAnsi="Arial" w:cs="Arial"/>
                <w:b/>
                <w:bCs/>
                <w:color w:val="000000" w:themeColor="text1"/>
                <w:sz w:val="18"/>
                <w:szCs w:val="18"/>
              </w:rPr>
            </w:pPr>
            <w:r w:rsidRPr="008B25EE">
              <w:rPr>
                <w:rFonts w:ascii="Arial" w:hAnsi="Arial" w:cs="Arial"/>
                <w:b/>
                <w:bCs/>
                <w:color w:val="000000" w:themeColor="text1"/>
                <w:sz w:val="18"/>
                <w:szCs w:val="18"/>
              </w:rPr>
              <w:t>% reduction over control</w:t>
            </w:r>
          </w:p>
        </w:tc>
      </w:tr>
      <w:tr w:rsidR="00965601" w:rsidRPr="009A5BF0" w14:paraId="209072BC"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535D969E"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1</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8680131"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xml:space="preserve">Wood Ash </w:t>
            </w:r>
          </w:p>
        </w:tc>
        <w:tc>
          <w:tcPr>
            <w:tcW w:w="1550" w:type="dxa"/>
            <w:tcBorders>
              <w:top w:val="single" w:sz="4" w:space="0" w:color="auto"/>
              <w:left w:val="single" w:sz="4" w:space="0" w:color="auto"/>
              <w:bottom w:val="single" w:sz="4" w:space="0" w:color="auto"/>
              <w:right w:val="single" w:sz="4" w:space="0" w:color="auto"/>
            </w:tcBorders>
            <w:hideMark/>
          </w:tcPr>
          <w:p w14:paraId="59028DD0"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50g/plant</w:t>
            </w:r>
          </w:p>
        </w:tc>
        <w:tc>
          <w:tcPr>
            <w:tcW w:w="1275" w:type="dxa"/>
            <w:tcBorders>
              <w:top w:val="single" w:sz="4" w:space="0" w:color="auto"/>
              <w:left w:val="single" w:sz="4" w:space="0" w:color="auto"/>
              <w:bottom w:val="single" w:sz="4" w:space="0" w:color="auto"/>
              <w:right w:val="single" w:sz="4" w:space="0" w:color="auto"/>
            </w:tcBorders>
            <w:vAlign w:val="bottom"/>
          </w:tcPr>
          <w:p w14:paraId="52075CAC"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12.52</w:t>
            </w:r>
            <w:r w:rsidRPr="008B25EE">
              <w:rPr>
                <w:rFonts w:ascii="Arial" w:hAnsi="Arial" w:cs="Arial"/>
                <w:color w:val="000000" w:themeColor="text1"/>
                <w:sz w:val="18"/>
                <w:szCs w:val="18"/>
                <w:vertAlign w:val="superscript"/>
              </w:rPr>
              <w:t xml:space="preserve"> b</w:t>
            </w:r>
          </w:p>
        </w:tc>
        <w:tc>
          <w:tcPr>
            <w:tcW w:w="1061" w:type="dxa"/>
            <w:tcBorders>
              <w:top w:val="single" w:sz="4" w:space="0" w:color="auto"/>
              <w:left w:val="single" w:sz="4" w:space="0" w:color="auto"/>
              <w:bottom w:val="single" w:sz="4" w:space="0" w:color="auto"/>
              <w:right w:val="single" w:sz="4" w:space="0" w:color="auto"/>
            </w:tcBorders>
            <w:vAlign w:val="bottom"/>
          </w:tcPr>
          <w:p w14:paraId="7F7B12D7"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47.76</w:t>
            </w:r>
          </w:p>
        </w:tc>
        <w:tc>
          <w:tcPr>
            <w:tcW w:w="1365" w:type="dxa"/>
            <w:tcBorders>
              <w:top w:val="single" w:sz="4" w:space="0" w:color="auto"/>
              <w:left w:val="single" w:sz="4" w:space="0" w:color="auto"/>
              <w:bottom w:val="single" w:sz="4" w:space="0" w:color="auto"/>
              <w:right w:val="single" w:sz="4" w:space="0" w:color="auto"/>
            </w:tcBorders>
            <w:vAlign w:val="bottom"/>
          </w:tcPr>
          <w:p w14:paraId="2F8EB293"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21.93</w:t>
            </w:r>
          </w:p>
        </w:tc>
        <w:tc>
          <w:tcPr>
            <w:tcW w:w="1365" w:type="dxa"/>
            <w:tcBorders>
              <w:top w:val="single" w:sz="4" w:space="0" w:color="auto"/>
              <w:left w:val="single" w:sz="4" w:space="0" w:color="auto"/>
              <w:bottom w:val="single" w:sz="4" w:space="0" w:color="auto"/>
              <w:right w:val="single" w:sz="4" w:space="0" w:color="auto"/>
            </w:tcBorders>
            <w:vAlign w:val="bottom"/>
          </w:tcPr>
          <w:p w14:paraId="10657D9C"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32.57</w:t>
            </w:r>
          </w:p>
        </w:tc>
      </w:tr>
      <w:tr w:rsidR="00965601" w:rsidRPr="009A5BF0" w14:paraId="3446C36D" w14:textId="77777777" w:rsidTr="000F4B76">
        <w:trPr>
          <w:trHeight w:val="228"/>
        </w:trPr>
        <w:tc>
          <w:tcPr>
            <w:tcW w:w="1271" w:type="dxa"/>
            <w:tcBorders>
              <w:top w:val="single" w:sz="4" w:space="0" w:color="auto"/>
              <w:left w:val="single" w:sz="4" w:space="0" w:color="auto"/>
              <w:bottom w:val="single" w:sz="4" w:space="0" w:color="auto"/>
              <w:right w:val="single" w:sz="4" w:space="0" w:color="auto"/>
            </w:tcBorders>
            <w:vAlign w:val="center"/>
            <w:hideMark/>
          </w:tcPr>
          <w:p w14:paraId="608E5E73"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2</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0CA5EE8"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xml:space="preserve">Cow urine </w:t>
            </w:r>
          </w:p>
        </w:tc>
        <w:tc>
          <w:tcPr>
            <w:tcW w:w="1550" w:type="dxa"/>
            <w:tcBorders>
              <w:top w:val="single" w:sz="4" w:space="0" w:color="auto"/>
              <w:left w:val="single" w:sz="4" w:space="0" w:color="auto"/>
              <w:bottom w:val="single" w:sz="4" w:space="0" w:color="auto"/>
              <w:right w:val="single" w:sz="4" w:space="0" w:color="auto"/>
            </w:tcBorders>
            <w:hideMark/>
          </w:tcPr>
          <w:p w14:paraId="7EA7D127"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1:10</w:t>
            </w:r>
          </w:p>
        </w:tc>
        <w:tc>
          <w:tcPr>
            <w:tcW w:w="1275" w:type="dxa"/>
            <w:tcBorders>
              <w:top w:val="single" w:sz="4" w:space="0" w:color="auto"/>
              <w:left w:val="single" w:sz="4" w:space="0" w:color="auto"/>
              <w:bottom w:val="single" w:sz="4" w:space="0" w:color="auto"/>
              <w:right w:val="single" w:sz="4" w:space="0" w:color="auto"/>
            </w:tcBorders>
            <w:vAlign w:val="bottom"/>
          </w:tcPr>
          <w:p w14:paraId="070FD46F"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11.74</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61" w:type="dxa"/>
            <w:tcBorders>
              <w:top w:val="single" w:sz="4" w:space="0" w:color="auto"/>
              <w:left w:val="single" w:sz="4" w:space="0" w:color="auto"/>
              <w:bottom w:val="single" w:sz="4" w:space="0" w:color="auto"/>
              <w:right w:val="single" w:sz="4" w:space="0" w:color="auto"/>
            </w:tcBorders>
            <w:vAlign w:val="bottom"/>
          </w:tcPr>
          <w:p w14:paraId="05556531"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51.00</w:t>
            </w:r>
          </w:p>
        </w:tc>
        <w:tc>
          <w:tcPr>
            <w:tcW w:w="1365" w:type="dxa"/>
            <w:tcBorders>
              <w:top w:val="single" w:sz="4" w:space="0" w:color="auto"/>
              <w:left w:val="single" w:sz="4" w:space="0" w:color="auto"/>
              <w:bottom w:val="single" w:sz="4" w:space="0" w:color="auto"/>
              <w:right w:val="single" w:sz="4" w:space="0" w:color="auto"/>
            </w:tcBorders>
            <w:vAlign w:val="bottom"/>
          </w:tcPr>
          <w:p w14:paraId="3817CB7D"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20.09</w:t>
            </w:r>
          </w:p>
        </w:tc>
        <w:tc>
          <w:tcPr>
            <w:tcW w:w="1365" w:type="dxa"/>
            <w:tcBorders>
              <w:top w:val="single" w:sz="4" w:space="0" w:color="auto"/>
              <w:left w:val="single" w:sz="4" w:space="0" w:color="auto"/>
              <w:bottom w:val="single" w:sz="4" w:space="0" w:color="auto"/>
              <w:right w:val="single" w:sz="4" w:space="0" w:color="auto"/>
            </w:tcBorders>
            <w:vAlign w:val="bottom"/>
          </w:tcPr>
          <w:p w14:paraId="03E64737"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38.21</w:t>
            </w:r>
          </w:p>
        </w:tc>
      </w:tr>
      <w:tr w:rsidR="00965601" w:rsidRPr="009A5BF0" w14:paraId="753CE718"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19C3FA27"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3</w:t>
            </w:r>
          </w:p>
        </w:tc>
        <w:tc>
          <w:tcPr>
            <w:tcW w:w="2136" w:type="dxa"/>
            <w:tcBorders>
              <w:top w:val="single" w:sz="4" w:space="0" w:color="auto"/>
              <w:left w:val="single" w:sz="4" w:space="0" w:color="auto"/>
              <w:bottom w:val="single" w:sz="4" w:space="0" w:color="auto"/>
              <w:right w:val="single" w:sz="4" w:space="0" w:color="auto"/>
            </w:tcBorders>
            <w:vAlign w:val="center"/>
            <w:hideMark/>
          </w:tcPr>
          <w:p w14:paraId="0E605D92"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xml:space="preserve">Cow dung slurry  </w:t>
            </w:r>
          </w:p>
        </w:tc>
        <w:tc>
          <w:tcPr>
            <w:tcW w:w="1550" w:type="dxa"/>
            <w:tcBorders>
              <w:top w:val="single" w:sz="4" w:space="0" w:color="auto"/>
              <w:left w:val="single" w:sz="4" w:space="0" w:color="auto"/>
              <w:bottom w:val="single" w:sz="4" w:space="0" w:color="auto"/>
              <w:right w:val="single" w:sz="4" w:space="0" w:color="auto"/>
            </w:tcBorders>
            <w:hideMark/>
          </w:tcPr>
          <w:p w14:paraId="21F274BF"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1:10</w:t>
            </w:r>
          </w:p>
        </w:tc>
        <w:tc>
          <w:tcPr>
            <w:tcW w:w="1275" w:type="dxa"/>
            <w:tcBorders>
              <w:top w:val="single" w:sz="4" w:space="0" w:color="auto"/>
              <w:left w:val="single" w:sz="4" w:space="0" w:color="auto"/>
              <w:bottom w:val="single" w:sz="4" w:space="0" w:color="auto"/>
              <w:right w:val="single" w:sz="4" w:space="0" w:color="auto"/>
            </w:tcBorders>
            <w:vAlign w:val="bottom"/>
          </w:tcPr>
          <w:p w14:paraId="6D757A88"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12.11</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61" w:type="dxa"/>
            <w:tcBorders>
              <w:top w:val="single" w:sz="4" w:space="0" w:color="auto"/>
              <w:left w:val="single" w:sz="4" w:space="0" w:color="auto"/>
              <w:bottom w:val="single" w:sz="4" w:space="0" w:color="auto"/>
              <w:right w:val="single" w:sz="4" w:space="0" w:color="auto"/>
            </w:tcBorders>
            <w:vAlign w:val="bottom"/>
          </w:tcPr>
          <w:p w14:paraId="4EEAA79F"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49.46</w:t>
            </w:r>
          </w:p>
        </w:tc>
        <w:tc>
          <w:tcPr>
            <w:tcW w:w="1365" w:type="dxa"/>
            <w:tcBorders>
              <w:top w:val="single" w:sz="4" w:space="0" w:color="auto"/>
              <w:left w:val="single" w:sz="4" w:space="0" w:color="auto"/>
              <w:bottom w:val="single" w:sz="4" w:space="0" w:color="auto"/>
              <w:right w:val="single" w:sz="4" w:space="0" w:color="auto"/>
            </w:tcBorders>
            <w:vAlign w:val="bottom"/>
          </w:tcPr>
          <w:p w14:paraId="1B2D4E1D"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20.31</w:t>
            </w:r>
          </w:p>
        </w:tc>
        <w:tc>
          <w:tcPr>
            <w:tcW w:w="1365" w:type="dxa"/>
            <w:tcBorders>
              <w:top w:val="single" w:sz="4" w:space="0" w:color="auto"/>
              <w:left w:val="single" w:sz="4" w:space="0" w:color="auto"/>
              <w:bottom w:val="single" w:sz="4" w:space="0" w:color="auto"/>
              <w:right w:val="single" w:sz="4" w:space="0" w:color="auto"/>
            </w:tcBorders>
            <w:vAlign w:val="bottom"/>
          </w:tcPr>
          <w:p w14:paraId="341A6FB9"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37.53</w:t>
            </w:r>
          </w:p>
        </w:tc>
      </w:tr>
      <w:tr w:rsidR="00965601" w:rsidRPr="009A5BF0" w14:paraId="4EB50303"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3C7A6A39"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4</w:t>
            </w:r>
          </w:p>
        </w:tc>
        <w:tc>
          <w:tcPr>
            <w:tcW w:w="2136" w:type="dxa"/>
            <w:tcBorders>
              <w:top w:val="single" w:sz="4" w:space="0" w:color="auto"/>
              <w:left w:val="single" w:sz="4" w:space="0" w:color="auto"/>
              <w:bottom w:val="single" w:sz="4" w:space="0" w:color="auto"/>
              <w:right w:val="single" w:sz="4" w:space="0" w:color="auto"/>
            </w:tcBorders>
            <w:vAlign w:val="center"/>
            <w:hideMark/>
          </w:tcPr>
          <w:p w14:paraId="3F49D2C4"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Cow dung slurry + Cow urine</w:t>
            </w:r>
          </w:p>
        </w:tc>
        <w:tc>
          <w:tcPr>
            <w:tcW w:w="1550" w:type="dxa"/>
            <w:tcBorders>
              <w:top w:val="single" w:sz="4" w:space="0" w:color="auto"/>
              <w:left w:val="single" w:sz="4" w:space="0" w:color="auto"/>
              <w:bottom w:val="single" w:sz="4" w:space="0" w:color="auto"/>
              <w:right w:val="single" w:sz="4" w:space="0" w:color="auto"/>
            </w:tcBorders>
            <w:hideMark/>
          </w:tcPr>
          <w:p w14:paraId="0E277CAD"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1:5</w:t>
            </w:r>
          </w:p>
        </w:tc>
        <w:tc>
          <w:tcPr>
            <w:tcW w:w="1275" w:type="dxa"/>
            <w:tcBorders>
              <w:top w:val="single" w:sz="4" w:space="0" w:color="auto"/>
              <w:left w:val="single" w:sz="4" w:space="0" w:color="auto"/>
              <w:bottom w:val="single" w:sz="4" w:space="0" w:color="auto"/>
              <w:right w:val="single" w:sz="4" w:space="0" w:color="auto"/>
            </w:tcBorders>
            <w:vAlign w:val="bottom"/>
          </w:tcPr>
          <w:p w14:paraId="1BE6B9AA"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11.19</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61" w:type="dxa"/>
            <w:tcBorders>
              <w:top w:val="single" w:sz="4" w:space="0" w:color="auto"/>
              <w:left w:val="single" w:sz="4" w:space="0" w:color="auto"/>
              <w:bottom w:val="single" w:sz="4" w:space="0" w:color="auto"/>
              <w:right w:val="single" w:sz="4" w:space="0" w:color="auto"/>
            </w:tcBorders>
            <w:vAlign w:val="bottom"/>
          </w:tcPr>
          <w:p w14:paraId="7D6D66CD"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53.32</w:t>
            </w:r>
          </w:p>
        </w:tc>
        <w:tc>
          <w:tcPr>
            <w:tcW w:w="1365" w:type="dxa"/>
            <w:tcBorders>
              <w:top w:val="single" w:sz="4" w:space="0" w:color="auto"/>
              <w:left w:val="single" w:sz="4" w:space="0" w:color="auto"/>
              <w:bottom w:val="single" w:sz="4" w:space="0" w:color="auto"/>
              <w:right w:val="single" w:sz="4" w:space="0" w:color="auto"/>
            </w:tcBorders>
            <w:vAlign w:val="bottom"/>
          </w:tcPr>
          <w:p w14:paraId="690DC194"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18.76</w:t>
            </w:r>
          </w:p>
        </w:tc>
        <w:tc>
          <w:tcPr>
            <w:tcW w:w="1365" w:type="dxa"/>
            <w:tcBorders>
              <w:top w:val="single" w:sz="4" w:space="0" w:color="auto"/>
              <w:left w:val="single" w:sz="4" w:space="0" w:color="auto"/>
              <w:bottom w:val="single" w:sz="4" w:space="0" w:color="auto"/>
              <w:right w:val="single" w:sz="4" w:space="0" w:color="auto"/>
            </w:tcBorders>
            <w:vAlign w:val="bottom"/>
          </w:tcPr>
          <w:p w14:paraId="4FC83563"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42.31</w:t>
            </w:r>
          </w:p>
        </w:tc>
      </w:tr>
      <w:tr w:rsidR="00965601" w:rsidRPr="009A5BF0" w14:paraId="6968C754" w14:textId="77777777" w:rsidTr="000F4B76">
        <w:trPr>
          <w:trHeight w:val="228"/>
        </w:trPr>
        <w:tc>
          <w:tcPr>
            <w:tcW w:w="1271" w:type="dxa"/>
            <w:tcBorders>
              <w:top w:val="single" w:sz="4" w:space="0" w:color="auto"/>
              <w:left w:val="single" w:sz="4" w:space="0" w:color="auto"/>
              <w:bottom w:val="single" w:sz="4" w:space="0" w:color="auto"/>
              <w:right w:val="single" w:sz="4" w:space="0" w:color="auto"/>
            </w:tcBorders>
            <w:vAlign w:val="center"/>
            <w:hideMark/>
          </w:tcPr>
          <w:p w14:paraId="11416116"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5</w:t>
            </w:r>
          </w:p>
        </w:tc>
        <w:tc>
          <w:tcPr>
            <w:tcW w:w="2136" w:type="dxa"/>
            <w:tcBorders>
              <w:top w:val="single" w:sz="4" w:space="0" w:color="auto"/>
              <w:left w:val="single" w:sz="4" w:space="0" w:color="auto"/>
              <w:bottom w:val="single" w:sz="4" w:space="0" w:color="auto"/>
              <w:right w:val="single" w:sz="4" w:space="0" w:color="auto"/>
            </w:tcBorders>
            <w:vAlign w:val="center"/>
            <w:hideMark/>
          </w:tcPr>
          <w:p w14:paraId="1436380D"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Cow urine</w:t>
            </w:r>
            <w:r w:rsidRPr="008B25EE">
              <w:rPr>
                <w:rFonts w:ascii="Arial" w:hAnsi="Arial" w:cs="Arial"/>
                <w:i/>
                <w:iCs/>
                <w:color w:val="000000" w:themeColor="text1"/>
                <w:sz w:val="18"/>
                <w:szCs w:val="18"/>
              </w:rPr>
              <w:t xml:space="preserve"> + </w:t>
            </w:r>
            <w:proofErr w:type="spellStart"/>
            <w:r w:rsidRPr="008B25EE">
              <w:rPr>
                <w:rFonts w:ascii="Arial" w:hAnsi="Arial" w:cs="Arial"/>
                <w:i/>
                <w:iCs/>
                <w:color w:val="000000" w:themeColor="text1"/>
                <w:sz w:val="18"/>
                <w:szCs w:val="18"/>
              </w:rPr>
              <w:t>Azadirachta</w:t>
            </w:r>
            <w:proofErr w:type="spellEnd"/>
            <w:r w:rsidRPr="008B25EE">
              <w:rPr>
                <w:rFonts w:ascii="Arial" w:hAnsi="Arial" w:cs="Arial"/>
                <w:i/>
                <w:iCs/>
                <w:color w:val="000000" w:themeColor="text1"/>
                <w:sz w:val="18"/>
                <w:szCs w:val="18"/>
              </w:rPr>
              <w:t xml:space="preserve"> </w:t>
            </w:r>
            <w:proofErr w:type="spellStart"/>
            <w:r w:rsidRPr="008B25EE">
              <w:rPr>
                <w:rFonts w:ascii="Arial" w:hAnsi="Arial" w:cs="Arial"/>
                <w:i/>
                <w:iCs/>
                <w:color w:val="000000" w:themeColor="text1"/>
                <w:sz w:val="18"/>
                <w:szCs w:val="18"/>
              </w:rPr>
              <w:t>indica</w:t>
            </w:r>
            <w:proofErr w:type="spellEnd"/>
          </w:p>
        </w:tc>
        <w:tc>
          <w:tcPr>
            <w:tcW w:w="1550" w:type="dxa"/>
            <w:tcBorders>
              <w:top w:val="single" w:sz="4" w:space="0" w:color="auto"/>
              <w:left w:val="single" w:sz="4" w:space="0" w:color="auto"/>
              <w:bottom w:val="single" w:sz="4" w:space="0" w:color="auto"/>
              <w:right w:val="single" w:sz="4" w:space="0" w:color="auto"/>
            </w:tcBorders>
            <w:hideMark/>
          </w:tcPr>
          <w:p w14:paraId="7F1100E4"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10ml /</w:t>
            </w:r>
            <w:proofErr w:type="spellStart"/>
            <w:r w:rsidRPr="008B25EE">
              <w:rPr>
                <w:rFonts w:ascii="Arial" w:hAnsi="Arial" w:cs="Arial"/>
                <w:color w:val="000000" w:themeColor="text1"/>
                <w:sz w:val="18"/>
                <w:szCs w:val="18"/>
              </w:rPr>
              <w:t>lt</w:t>
            </w:r>
            <w:proofErr w:type="spellEnd"/>
          </w:p>
        </w:tc>
        <w:tc>
          <w:tcPr>
            <w:tcW w:w="1275" w:type="dxa"/>
            <w:tcBorders>
              <w:top w:val="single" w:sz="4" w:space="0" w:color="auto"/>
              <w:left w:val="single" w:sz="4" w:space="0" w:color="auto"/>
              <w:bottom w:val="single" w:sz="4" w:space="0" w:color="auto"/>
              <w:right w:val="single" w:sz="4" w:space="0" w:color="auto"/>
            </w:tcBorders>
            <w:vAlign w:val="bottom"/>
          </w:tcPr>
          <w:p w14:paraId="4A5C378B"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10.59</w:t>
            </w:r>
            <w:r w:rsidRPr="008B25EE">
              <w:rPr>
                <w:rFonts w:ascii="Arial" w:hAnsi="Arial" w:cs="Arial"/>
                <w:color w:val="000000" w:themeColor="text1"/>
                <w:sz w:val="18"/>
                <w:szCs w:val="18"/>
                <w:vertAlign w:val="superscript"/>
              </w:rPr>
              <w:t xml:space="preserve"> </w:t>
            </w:r>
            <w:proofErr w:type="spellStart"/>
            <w:r w:rsidRPr="008B25EE">
              <w:rPr>
                <w:rFonts w:ascii="Arial" w:hAnsi="Arial" w:cs="Arial"/>
                <w:color w:val="000000" w:themeColor="text1"/>
                <w:sz w:val="18"/>
                <w:szCs w:val="18"/>
                <w:vertAlign w:val="superscript"/>
              </w:rPr>
              <w:t>bc</w:t>
            </w:r>
            <w:proofErr w:type="spellEnd"/>
          </w:p>
        </w:tc>
        <w:tc>
          <w:tcPr>
            <w:tcW w:w="1061" w:type="dxa"/>
            <w:tcBorders>
              <w:top w:val="single" w:sz="4" w:space="0" w:color="auto"/>
              <w:left w:val="single" w:sz="4" w:space="0" w:color="auto"/>
              <w:bottom w:val="single" w:sz="4" w:space="0" w:color="auto"/>
              <w:right w:val="single" w:sz="4" w:space="0" w:color="auto"/>
            </w:tcBorders>
            <w:vAlign w:val="bottom"/>
          </w:tcPr>
          <w:p w14:paraId="4ECBAE21"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55.80</w:t>
            </w:r>
          </w:p>
        </w:tc>
        <w:tc>
          <w:tcPr>
            <w:tcW w:w="1365" w:type="dxa"/>
            <w:tcBorders>
              <w:top w:val="single" w:sz="4" w:space="0" w:color="auto"/>
              <w:left w:val="single" w:sz="4" w:space="0" w:color="auto"/>
              <w:bottom w:val="single" w:sz="4" w:space="0" w:color="auto"/>
              <w:right w:val="single" w:sz="4" w:space="0" w:color="auto"/>
            </w:tcBorders>
            <w:vAlign w:val="bottom"/>
          </w:tcPr>
          <w:p w14:paraId="76E411A2"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14.26</w:t>
            </w:r>
          </w:p>
        </w:tc>
        <w:tc>
          <w:tcPr>
            <w:tcW w:w="1365" w:type="dxa"/>
            <w:tcBorders>
              <w:top w:val="single" w:sz="4" w:space="0" w:color="auto"/>
              <w:left w:val="single" w:sz="4" w:space="0" w:color="auto"/>
              <w:bottom w:val="single" w:sz="4" w:space="0" w:color="auto"/>
              <w:right w:val="single" w:sz="4" w:space="0" w:color="auto"/>
            </w:tcBorders>
            <w:vAlign w:val="bottom"/>
          </w:tcPr>
          <w:p w14:paraId="26857867"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56.15</w:t>
            </w:r>
          </w:p>
        </w:tc>
      </w:tr>
      <w:tr w:rsidR="00965601" w:rsidRPr="009A5BF0" w14:paraId="5FD9CBDD"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73B3DF64" w14:textId="77777777" w:rsidR="00965601" w:rsidRPr="008B25EE" w:rsidRDefault="00965601" w:rsidP="000F4B76">
            <w:pPr>
              <w:spacing w:line="276" w:lineRule="auto"/>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6</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68E0586"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xml:space="preserve">Cow Urine+ </w:t>
            </w:r>
            <w:r w:rsidRPr="008B25EE">
              <w:rPr>
                <w:rFonts w:ascii="Arial" w:hAnsi="Arial" w:cs="Arial"/>
                <w:i/>
                <w:iCs/>
                <w:color w:val="000000" w:themeColor="text1"/>
                <w:sz w:val="18"/>
                <w:szCs w:val="18"/>
              </w:rPr>
              <w:t>Allium tuberosum</w:t>
            </w:r>
          </w:p>
        </w:tc>
        <w:tc>
          <w:tcPr>
            <w:tcW w:w="1550" w:type="dxa"/>
            <w:tcBorders>
              <w:top w:val="single" w:sz="4" w:space="0" w:color="auto"/>
              <w:left w:val="single" w:sz="4" w:space="0" w:color="auto"/>
              <w:bottom w:val="single" w:sz="4" w:space="0" w:color="auto"/>
              <w:right w:val="single" w:sz="4" w:space="0" w:color="auto"/>
            </w:tcBorders>
            <w:hideMark/>
          </w:tcPr>
          <w:p w14:paraId="2176CBCF"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10ml /</w:t>
            </w:r>
            <w:proofErr w:type="spellStart"/>
            <w:r w:rsidRPr="008B25EE">
              <w:rPr>
                <w:rFonts w:ascii="Arial" w:hAnsi="Arial" w:cs="Arial"/>
                <w:color w:val="000000" w:themeColor="text1"/>
                <w:sz w:val="18"/>
                <w:szCs w:val="18"/>
              </w:rPr>
              <w:t>lt</w:t>
            </w:r>
            <w:proofErr w:type="spellEnd"/>
          </w:p>
        </w:tc>
        <w:tc>
          <w:tcPr>
            <w:tcW w:w="1275" w:type="dxa"/>
            <w:tcBorders>
              <w:top w:val="single" w:sz="4" w:space="0" w:color="auto"/>
              <w:left w:val="single" w:sz="4" w:space="0" w:color="auto"/>
              <w:bottom w:val="single" w:sz="4" w:space="0" w:color="auto"/>
              <w:right w:val="single" w:sz="4" w:space="0" w:color="auto"/>
            </w:tcBorders>
            <w:vAlign w:val="bottom"/>
          </w:tcPr>
          <w:p w14:paraId="65758DC7"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10.96</w:t>
            </w:r>
            <w:r w:rsidRPr="008B25EE">
              <w:rPr>
                <w:rFonts w:ascii="Arial" w:hAnsi="Arial" w:cs="Arial"/>
                <w:color w:val="000000" w:themeColor="text1"/>
                <w:sz w:val="18"/>
                <w:szCs w:val="18"/>
                <w:vertAlign w:val="superscript"/>
              </w:rPr>
              <w:t>bc</w:t>
            </w:r>
          </w:p>
        </w:tc>
        <w:tc>
          <w:tcPr>
            <w:tcW w:w="1061" w:type="dxa"/>
            <w:tcBorders>
              <w:top w:val="single" w:sz="4" w:space="0" w:color="auto"/>
              <w:left w:val="single" w:sz="4" w:space="0" w:color="auto"/>
              <w:bottom w:val="single" w:sz="4" w:space="0" w:color="auto"/>
              <w:right w:val="single" w:sz="4" w:space="0" w:color="auto"/>
            </w:tcBorders>
            <w:vAlign w:val="bottom"/>
          </w:tcPr>
          <w:p w14:paraId="69CCF35E"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54.25</w:t>
            </w:r>
          </w:p>
        </w:tc>
        <w:tc>
          <w:tcPr>
            <w:tcW w:w="1365" w:type="dxa"/>
            <w:tcBorders>
              <w:top w:val="single" w:sz="4" w:space="0" w:color="auto"/>
              <w:left w:val="single" w:sz="4" w:space="0" w:color="auto"/>
              <w:bottom w:val="single" w:sz="4" w:space="0" w:color="auto"/>
              <w:right w:val="single" w:sz="4" w:space="0" w:color="auto"/>
            </w:tcBorders>
            <w:vAlign w:val="bottom"/>
          </w:tcPr>
          <w:p w14:paraId="76A14273"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14.70</w:t>
            </w:r>
          </w:p>
        </w:tc>
        <w:tc>
          <w:tcPr>
            <w:tcW w:w="1365" w:type="dxa"/>
            <w:tcBorders>
              <w:top w:val="single" w:sz="4" w:space="0" w:color="auto"/>
              <w:left w:val="single" w:sz="4" w:space="0" w:color="auto"/>
              <w:bottom w:val="single" w:sz="4" w:space="0" w:color="auto"/>
              <w:right w:val="single" w:sz="4" w:space="0" w:color="auto"/>
            </w:tcBorders>
            <w:vAlign w:val="bottom"/>
          </w:tcPr>
          <w:p w14:paraId="237F25CC"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54.78</w:t>
            </w:r>
          </w:p>
        </w:tc>
      </w:tr>
      <w:tr w:rsidR="00965601" w:rsidRPr="009A5BF0" w14:paraId="19FBBFB7" w14:textId="77777777" w:rsidTr="000F4B76">
        <w:trPr>
          <w:trHeight w:val="228"/>
        </w:trPr>
        <w:tc>
          <w:tcPr>
            <w:tcW w:w="1271" w:type="dxa"/>
            <w:tcBorders>
              <w:top w:val="single" w:sz="4" w:space="0" w:color="auto"/>
              <w:left w:val="single" w:sz="4" w:space="0" w:color="auto"/>
              <w:bottom w:val="single" w:sz="4" w:space="0" w:color="auto"/>
              <w:right w:val="single" w:sz="4" w:space="0" w:color="auto"/>
            </w:tcBorders>
            <w:vAlign w:val="center"/>
            <w:hideMark/>
          </w:tcPr>
          <w:p w14:paraId="416EC570" w14:textId="77777777" w:rsidR="00965601" w:rsidRPr="008B25EE" w:rsidRDefault="00965601" w:rsidP="000F4B76">
            <w:pPr>
              <w:spacing w:line="276" w:lineRule="auto"/>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7</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991F98"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Chinaberry leaf extract</w:t>
            </w:r>
            <w:r w:rsidRPr="008B25EE">
              <w:rPr>
                <w:rFonts w:ascii="Arial" w:hAnsi="Arial" w:cs="Arial"/>
                <w:i/>
                <w:color w:val="000000" w:themeColor="text1"/>
                <w:sz w:val="18"/>
                <w:szCs w:val="18"/>
              </w:rPr>
              <w:t xml:space="preserve"> (Melia </w:t>
            </w:r>
            <w:proofErr w:type="spellStart"/>
            <w:r w:rsidRPr="008B25EE">
              <w:rPr>
                <w:rFonts w:ascii="Arial" w:hAnsi="Arial" w:cs="Arial"/>
                <w:i/>
                <w:color w:val="000000" w:themeColor="text1"/>
                <w:sz w:val="18"/>
                <w:szCs w:val="18"/>
              </w:rPr>
              <w:t>azaderach</w:t>
            </w:r>
            <w:proofErr w:type="spellEnd"/>
            <w:r w:rsidRPr="008B25EE">
              <w:rPr>
                <w:rFonts w:ascii="Arial" w:hAnsi="Arial" w:cs="Arial"/>
                <w:i/>
                <w:color w:val="000000" w:themeColor="text1"/>
                <w:sz w:val="18"/>
                <w:szCs w:val="18"/>
              </w:rPr>
              <w:t>)</w:t>
            </w:r>
            <w:r w:rsidRPr="008B25EE">
              <w:rPr>
                <w:rFonts w:ascii="Arial" w:hAnsi="Arial" w:cs="Arial"/>
                <w:color w:val="000000" w:themeColor="text1"/>
                <w:sz w:val="18"/>
                <w:szCs w:val="18"/>
              </w:rPr>
              <w:t xml:space="preserve"> </w:t>
            </w:r>
          </w:p>
        </w:tc>
        <w:tc>
          <w:tcPr>
            <w:tcW w:w="1550" w:type="dxa"/>
            <w:tcBorders>
              <w:top w:val="single" w:sz="4" w:space="0" w:color="auto"/>
              <w:left w:val="single" w:sz="4" w:space="0" w:color="auto"/>
              <w:bottom w:val="single" w:sz="4" w:space="0" w:color="auto"/>
              <w:right w:val="single" w:sz="4" w:space="0" w:color="auto"/>
            </w:tcBorders>
            <w:hideMark/>
          </w:tcPr>
          <w:p w14:paraId="7A5DF61D"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10ml /</w:t>
            </w:r>
            <w:proofErr w:type="spellStart"/>
            <w:r w:rsidRPr="008B25EE">
              <w:rPr>
                <w:rFonts w:ascii="Arial" w:hAnsi="Arial" w:cs="Arial"/>
                <w:color w:val="000000" w:themeColor="text1"/>
                <w:sz w:val="18"/>
                <w:szCs w:val="18"/>
              </w:rPr>
              <w:t>lt</w:t>
            </w:r>
            <w:proofErr w:type="spellEnd"/>
          </w:p>
        </w:tc>
        <w:tc>
          <w:tcPr>
            <w:tcW w:w="1275" w:type="dxa"/>
            <w:tcBorders>
              <w:top w:val="single" w:sz="4" w:space="0" w:color="auto"/>
              <w:left w:val="single" w:sz="4" w:space="0" w:color="auto"/>
              <w:bottom w:val="single" w:sz="4" w:space="0" w:color="auto"/>
              <w:right w:val="single" w:sz="4" w:space="0" w:color="auto"/>
            </w:tcBorders>
            <w:vAlign w:val="bottom"/>
          </w:tcPr>
          <w:p w14:paraId="01B7A5F5"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10.26</w:t>
            </w:r>
            <w:r w:rsidRPr="008B25EE">
              <w:rPr>
                <w:rFonts w:ascii="Arial" w:hAnsi="Arial" w:cs="Arial"/>
                <w:color w:val="000000" w:themeColor="text1"/>
                <w:sz w:val="18"/>
                <w:szCs w:val="18"/>
                <w:vertAlign w:val="superscript"/>
              </w:rPr>
              <w:t xml:space="preserve"> c</w:t>
            </w:r>
          </w:p>
        </w:tc>
        <w:tc>
          <w:tcPr>
            <w:tcW w:w="1061" w:type="dxa"/>
            <w:tcBorders>
              <w:top w:val="single" w:sz="4" w:space="0" w:color="auto"/>
              <w:left w:val="single" w:sz="4" w:space="0" w:color="auto"/>
              <w:bottom w:val="single" w:sz="4" w:space="0" w:color="auto"/>
              <w:right w:val="single" w:sz="4" w:space="0" w:color="auto"/>
            </w:tcBorders>
            <w:vAlign w:val="bottom"/>
          </w:tcPr>
          <w:p w14:paraId="7D665F5F"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57.19</w:t>
            </w:r>
          </w:p>
        </w:tc>
        <w:tc>
          <w:tcPr>
            <w:tcW w:w="1365" w:type="dxa"/>
            <w:tcBorders>
              <w:top w:val="single" w:sz="4" w:space="0" w:color="auto"/>
              <w:left w:val="single" w:sz="4" w:space="0" w:color="auto"/>
              <w:bottom w:val="single" w:sz="4" w:space="0" w:color="auto"/>
              <w:right w:val="single" w:sz="4" w:space="0" w:color="auto"/>
            </w:tcBorders>
            <w:vAlign w:val="bottom"/>
          </w:tcPr>
          <w:p w14:paraId="5B65C8A2"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13.65</w:t>
            </w:r>
          </w:p>
        </w:tc>
        <w:tc>
          <w:tcPr>
            <w:tcW w:w="1365" w:type="dxa"/>
            <w:tcBorders>
              <w:top w:val="single" w:sz="4" w:space="0" w:color="auto"/>
              <w:left w:val="single" w:sz="4" w:space="0" w:color="auto"/>
              <w:bottom w:val="single" w:sz="4" w:space="0" w:color="auto"/>
              <w:right w:val="single" w:sz="4" w:space="0" w:color="auto"/>
            </w:tcBorders>
            <w:vAlign w:val="bottom"/>
          </w:tcPr>
          <w:p w14:paraId="6ACEC8D7"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58.03</w:t>
            </w:r>
          </w:p>
        </w:tc>
      </w:tr>
      <w:tr w:rsidR="00965601" w:rsidRPr="009A5BF0" w14:paraId="7152040D"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69F6A0A0" w14:textId="77777777" w:rsidR="00965601" w:rsidRPr="008B25EE" w:rsidRDefault="00965601" w:rsidP="000F4B76">
            <w:pPr>
              <w:spacing w:line="276" w:lineRule="auto"/>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8</w:t>
            </w:r>
          </w:p>
        </w:tc>
        <w:tc>
          <w:tcPr>
            <w:tcW w:w="2136" w:type="dxa"/>
            <w:tcBorders>
              <w:top w:val="single" w:sz="4" w:space="0" w:color="auto"/>
              <w:left w:val="single" w:sz="4" w:space="0" w:color="auto"/>
              <w:bottom w:val="single" w:sz="4" w:space="0" w:color="auto"/>
              <w:right w:val="single" w:sz="4" w:space="0" w:color="auto"/>
            </w:tcBorders>
            <w:vAlign w:val="center"/>
            <w:hideMark/>
          </w:tcPr>
          <w:p w14:paraId="357D0F77"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Green neem (</w:t>
            </w:r>
            <w:r w:rsidRPr="008B25EE">
              <w:rPr>
                <w:rFonts w:ascii="Arial" w:hAnsi="Arial" w:cs="Arial"/>
                <w:i/>
                <w:color w:val="000000" w:themeColor="text1"/>
                <w:sz w:val="18"/>
                <w:szCs w:val="18"/>
              </w:rPr>
              <w:t>(</w:t>
            </w:r>
            <w:proofErr w:type="spellStart"/>
            <w:r w:rsidRPr="008B25EE">
              <w:rPr>
                <w:rFonts w:ascii="Arial" w:hAnsi="Arial" w:cs="Arial"/>
                <w:i/>
                <w:color w:val="000000" w:themeColor="text1"/>
                <w:sz w:val="18"/>
                <w:szCs w:val="18"/>
              </w:rPr>
              <w:t>Azadirachta</w:t>
            </w:r>
            <w:proofErr w:type="spellEnd"/>
            <w:r w:rsidRPr="008B25EE">
              <w:rPr>
                <w:rFonts w:ascii="Arial" w:hAnsi="Arial" w:cs="Arial"/>
                <w:i/>
                <w:color w:val="000000" w:themeColor="text1"/>
                <w:sz w:val="18"/>
                <w:szCs w:val="18"/>
              </w:rPr>
              <w:t xml:space="preserve"> </w:t>
            </w:r>
            <w:proofErr w:type="spellStart"/>
            <w:r w:rsidRPr="008B25EE">
              <w:rPr>
                <w:rFonts w:ascii="Arial" w:hAnsi="Arial" w:cs="Arial"/>
                <w:i/>
                <w:color w:val="000000" w:themeColor="text1"/>
                <w:sz w:val="18"/>
                <w:szCs w:val="18"/>
              </w:rPr>
              <w:t>indica</w:t>
            </w:r>
            <w:proofErr w:type="spellEnd"/>
            <w:r w:rsidRPr="008B25EE">
              <w:rPr>
                <w:rFonts w:ascii="Arial" w:hAnsi="Arial" w:cs="Arial"/>
                <w:i/>
                <w:color w:val="000000" w:themeColor="text1"/>
                <w:sz w:val="18"/>
                <w:szCs w:val="18"/>
              </w:rPr>
              <w:t xml:space="preserve"> 1</w:t>
            </w:r>
            <w:r w:rsidRPr="008B25EE">
              <w:rPr>
                <w:rFonts w:ascii="Arial" w:hAnsi="Arial" w:cs="Arial"/>
                <w:color w:val="000000" w:themeColor="text1"/>
                <w:sz w:val="18"/>
                <w:szCs w:val="18"/>
              </w:rPr>
              <w:t xml:space="preserve">% EC)  </w:t>
            </w:r>
          </w:p>
        </w:tc>
        <w:tc>
          <w:tcPr>
            <w:tcW w:w="1550" w:type="dxa"/>
            <w:tcBorders>
              <w:top w:val="single" w:sz="4" w:space="0" w:color="auto"/>
              <w:left w:val="single" w:sz="4" w:space="0" w:color="auto"/>
              <w:bottom w:val="single" w:sz="4" w:space="0" w:color="auto"/>
              <w:right w:val="single" w:sz="4" w:space="0" w:color="auto"/>
            </w:tcBorders>
            <w:hideMark/>
          </w:tcPr>
          <w:p w14:paraId="19C70CF1"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2 ml/</w:t>
            </w:r>
            <w:proofErr w:type="spellStart"/>
            <w:r w:rsidRPr="008B25EE">
              <w:rPr>
                <w:rFonts w:ascii="Arial" w:hAnsi="Arial" w:cs="Arial"/>
                <w:color w:val="000000" w:themeColor="text1"/>
                <w:sz w:val="18"/>
                <w:szCs w:val="18"/>
              </w:rPr>
              <w:t>lt</w:t>
            </w:r>
            <w:proofErr w:type="spellEnd"/>
          </w:p>
        </w:tc>
        <w:tc>
          <w:tcPr>
            <w:tcW w:w="1275" w:type="dxa"/>
            <w:tcBorders>
              <w:top w:val="single" w:sz="4" w:space="0" w:color="auto"/>
              <w:left w:val="single" w:sz="4" w:space="0" w:color="auto"/>
              <w:bottom w:val="single" w:sz="4" w:space="0" w:color="auto"/>
              <w:right w:val="single" w:sz="4" w:space="0" w:color="auto"/>
            </w:tcBorders>
            <w:vAlign w:val="bottom"/>
          </w:tcPr>
          <w:p w14:paraId="044842AF"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9.44</w:t>
            </w:r>
            <w:r w:rsidRPr="008B25EE">
              <w:rPr>
                <w:rFonts w:ascii="Arial" w:hAnsi="Arial" w:cs="Arial"/>
                <w:color w:val="000000" w:themeColor="text1"/>
                <w:sz w:val="18"/>
                <w:szCs w:val="18"/>
                <w:vertAlign w:val="superscript"/>
              </w:rPr>
              <w:t xml:space="preserve"> c</w:t>
            </w:r>
          </w:p>
        </w:tc>
        <w:tc>
          <w:tcPr>
            <w:tcW w:w="1061" w:type="dxa"/>
            <w:tcBorders>
              <w:top w:val="single" w:sz="4" w:space="0" w:color="auto"/>
              <w:left w:val="single" w:sz="4" w:space="0" w:color="auto"/>
              <w:bottom w:val="single" w:sz="4" w:space="0" w:color="auto"/>
              <w:right w:val="single" w:sz="4" w:space="0" w:color="auto"/>
            </w:tcBorders>
            <w:vAlign w:val="bottom"/>
          </w:tcPr>
          <w:p w14:paraId="6332F1D6"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60.59</w:t>
            </w:r>
          </w:p>
        </w:tc>
        <w:tc>
          <w:tcPr>
            <w:tcW w:w="1365" w:type="dxa"/>
            <w:tcBorders>
              <w:top w:val="single" w:sz="4" w:space="0" w:color="auto"/>
              <w:left w:val="single" w:sz="4" w:space="0" w:color="auto"/>
              <w:bottom w:val="single" w:sz="4" w:space="0" w:color="auto"/>
              <w:right w:val="single" w:sz="4" w:space="0" w:color="auto"/>
            </w:tcBorders>
            <w:vAlign w:val="bottom"/>
          </w:tcPr>
          <w:p w14:paraId="34749CC6"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11.87</w:t>
            </w:r>
          </w:p>
        </w:tc>
        <w:tc>
          <w:tcPr>
            <w:tcW w:w="1365" w:type="dxa"/>
            <w:tcBorders>
              <w:top w:val="single" w:sz="4" w:space="0" w:color="auto"/>
              <w:left w:val="single" w:sz="4" w:space="0" w:color="auto"/>
              <w:bottom w:val="single" w:sz="4" w:space="0" w:color="auto"/>
              <w:right w:val="single" w:sz="4" w:space="0" w:color="auto"/>
            </w:tcBorders>
            <w:vAlign w:val="bottom"/>
          </w:tcPr>
          <w:p w14:paraId="78AF1F55"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63.50</w:t>
            </w:r>
          </w:p>
        </w:tc>
      </w:tr>
      <w:tr w:rsidR="00965601" w:rsidRPr="009A5BF0" w14:paraId="31F889DE" w14:textId="77777777" w:rsidTr="000F4B76">
        <w:trPr>
          <w:trHeight w:val="232"/>
        </w:trPr>
        <w:tc>
          <w:tcPr>
            <w:tcW w:w="1271" w:type="dxa"/>
            <w:tcBorders>
              <w:top w:val="single" w:sz="4" w:space="0" w:color="auto"/>
              <w:left w:val="single" w:sz="4" w:space="0" w:color="auto"/>
              <w:bottom w:val="single" w:sz="4" w:space="0" w:color="auto"/>
              <w:right w:val="single" w:sz="4" w:space="0" w:color="auto"/>
            </w:tcBorders>
            <w:vAlign w:val="center"/>
            <w:hideMark/>
          </w:tcPr>
          <w:p w14:paraId="72725072" w14:textId="77777777" w:rsidR="00965601" w:rsidRPr="008B25EE" w:rsidRDefault="00965601" w:rsidP="000F4B76">
            <w:pPr>
              <w:spacing w:line="276" w:lineRule="auto"/>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9</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6850AA5"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Tracer (Spinosad) 45 SC</w:t>
            </w:r>
          </w:p>
        </w:tc>
        <w:tc>
          <w:tcPr>
            <w:tcW w:w="1550" w:type="dxa"/>
            <w:tcBorders>
              <w:top w:val="single" w:sz="4" w:space="0" w:color="auto"/>
              <w:left w:val="single" w:sz="4" w:space="0" w:color="auto"/>
              <w:bottom w:val="single" w:sz="4" w:space="0" w:color="auto"/>
              <w:right w:val="single" w:sz="4" w:space="0" w:color="auto"/>
            </w:tcBorders>
            <w:hideMark/>
          </w:tcPr>
          <w:p w14:paraId="58F61EB4"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 xml:space="preserve">@ 75gm </w:t>
            </w:r>
            <w:proofErr w:type="spellStart"/>
            <w:r w:rsidRPr="008B25EE">
              <w:rPr>
                <w:rFonts w:ascii="Arial" w:hAnsi="Arial" w:cs="Arial"/>
                <w:color w:val="000000" w:themeColor="text1"/>
                <w:sz w:val="18"/>
                <w:szCs w:val="18"/>
              </w:rPr>
              <w:t>a.i</w:t>
            </w:r>
            <w:proofErr w:type="spellEnd"/>
            <w:r w:rsidRPr="008B25EE">
              <w:rPr>
                <w:rFonts w:ascii="Arial" w:hAnsi="Arial" w:cs="Arial"/>
                <w:color w:val="000000" w:themeColor="text1"/>
                <w:sz w:val="18"/>
                <w:szCs w:val="18"/>
              </w:rPr>
              <w:t>/ha</w:t>
            </w:r>
          </w:p>
        </w:tc>
        <w:tc>
          <w:tcPr>
            <w:tcW w:w="1275" w:type="dxa"/>
            <w:tcBorders>
              <w:top w:val="single" w:sz="4" w:space="0" w:color="auto"/>
              <w:left w:val="single" w:sz="4" w:space="0" w:color="auto"/>
              <w:bottom w:val="single" w:sz="4" w:space="0" w:color="auto"/>
              <w:right w:val="single" w:sz="4" w:space="0" w:color="auto"/>
            </w:tcBorders>
            <w:vAlign w:val="bottom"/>
          </w:tcPr>
          <w:p w14:paraId="7504B328"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8.30</w:t>
            </w:r>
            <w:r w:rsidRPr="008B25EE">
              <w:rPr>
                <w:rFonts w:ascii="Arial" w:hAnsi="Arial" w:cs="Arial"/>
                <w:color w:val="000000" w:themeColor="text1"/>
                <w:sz w:val="18"/>
                <w:szCs w:val="18"/>
                <w:vertAlign w:val="superscript"/>
              </w:rPr>
              <w:t xml:space="preserve"> c</w:t>
            </w:r>
          </w:p>
        </w:tc>
        <w:tc>
          <w:tcPr>
            <w:tcW w:w="1061" w:type="dxa"/>
            <w:tcBorders>
              <w:top w:val="single" w:sz="4" w:space="0" w:color="auto"/>
              <w:left w:val="single" w:sz="4" w:space="0" w:color="auto"/>
              <w:bottom w:val="single" w:sz="4" w:space="0" w:color="auto"/>
              <w:right w:val="single" w:sz="4" w:space="0" w:color="auto"/>
            </w:tcBorders>
            <w:vAlign w:val="bottom"/>
          </w:tcPr>
          <w:p w14:paraId="505A0895"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65.38</w:t>
            </w:r>
          </w:p>
        </w:tc>
        <w:tc>
          <w:tcPr>
            <w:tcW w:w="1365" w:type="dxa"/>
            <w:tcBorders>
              <w:top w:val="single" w:sz="4" w:space="0" w:color="auto"/>
              <w:left w:val="single" w:sz="4" w:space="0" w:color="auto"/>
              <w:bottom w:val="single" w:sz="4" w:space="0" w:color="auto"/>
              <w:right w:val="single" w:sz="4" w:space="0" w:color="auto"/>
            </w:tcBorders>
            <w:vAlign w:val="bottom"/>
          </w:tcPr>
          <w:p w14:paraId="29080A22"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10.00</w:t>
            </w:r>
          </w:p>
        </w:tc>
        <w:tc>
          <w:tcPr>
            <w:tcW w:w="1365" w:type="dxa"/>
            <w:tcBorders>
              <w:top w:val="single" w:sz="4" w:space="0" w:color="auto"/>
              <w:left w:val="single" w:sz="4" w:space="0" w:color="auto"/>
              <w:bottom w:val="single" w:sz="4" w:space="0" w:color="auto"/>
              <w:right w:val="single" w:sz="4" w:space="0" w:color="auto"/>
            </w:tcBorders>
            <w:vAlign w:val="bottom"/>
          </w:tcPr>
          <w:p w14:paraId="34797133"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69.25</w:t>
            </w:r>
          </w:p>
        </w:tc>
      </w:tr>
      <w:tr w:rsidR="00965601" w:rsidRPr="009A5BF0" w14:paraId="67730FDB" w14:textId="77777777" w:rsidTr="000F4B76">
        <w:trPr>
          <w:trHeight w:val="228"/>
        </w:trPr>
        <w:tc>
          <w:tcPr>
            <w:tcW w:w="1271" w:type="dxa"/>
            <w:tcBorders>
              <w:top w:val="single" w:sz="4" w:space="0" w:color="auto"/>
              <w:left w:val="single" w:sz="4" w:space="0" w:color="auto"/>
              <w:bottom w:val="single" w:sz="4" w:space="0" w:color="auto"/>
              <w:right w:val="single" w:sz="4" w:space="0" w:color="auto"/>
            </w:tcBorders>
            <w:vAlign w:val="bottom"/>
            <w:hideMark/>
          </w:tcPr>
          <w:p w14:paraId="26CDE969" w14:textId="77777777" w:rsidR="00965601" w:rsidRPr="008B25EE" w:rsidRDefault="00965601" w:rsidP="000F4B76">
            <w:pPr>
              <w:spacing w:line="276" w:lineRule="auto"/>
              <w:rPr>
                <w:rFonts w:ascii="Arial" w:hAnsi="Arial" w:cs="Arial"/>
                <w:b/>
                <w:bCs/>
                <w:color w:val="000000" w:themeColor="text1"/>
                <w:sz w:val="18"/>
                <w:szCs w:val="18"/>
              </w:rPr>
            </w:pPr>
            <w:r w:rsidRPr="008B25EE">
              <w:rPr>
                <w:rFonts w:ascii="Arial" w:hAnsi="Arial" w:cs="Arial"/>
                <w:b/>
                <w:bCs/>
                <w:color w:val="000000" w:themeColor="text1"/>
                <w:sz w:val="18"/>
                <w:szCs w:val="18"/>
              </w:rPr>
              <w:t>T</w:t>
            </w:r>
            <w:r w:rsidRPr="008B25EE">
              <w:rPr>
                <w:rFonts w:ascii="Arial" w:hAnsi="Arial" w:cs="Arial"/>
                <w:b/>
                <w:bCs/>
                <w:color w:val="000000" w:themeColor="text1"/>
                <w:sz w:val="18"/>
                <w:szCs w:val="18"/>
                <w:vertAlign w:val="subscript"/>
              </w:rPr>
              <w:t>10</w:t>
            </w:r>
          </w:p>
        </w:tc>
        <w:tc>
          <w:tcPr>
            <w:tcW w:w="2136" w:type="dxa"/>
            <w:tcBorders>
              <w:top w:val="single" w:sz="4" w:space="0" w:color="auto"/>
              <w:left w:val="single" w:sz="4" w:space="0" w:color="auto"/>
              <w:bottom w:val="single" w:sz="4" w:space="0" w:color="auto"/>
              <w:right w:val="single" w:sz="4" w:space="0" w:color="auto"/>
            </w:tcBorders>
            <w:vAlign w:val="bottom"/>
            <w:hideMark/>
          </w:tcPr>
          <w:p w14:paraId="448019DE"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Untreated</w:t>
            </w:r>
          </w:p>
        </w:tc>
        <w:tc>
          <w:tcPr>
            <w:tcW w:w="1550" w:type="dxa"/>
            <w:tcBorders>
              <w:top w:val="single" w:sz="4" w:space="0" w:color="auto"/>
              <w:left w:val="single" w:sz="4" w:space="0" w:color="auto"/>
              <w:bottom w:val="single" w:sz="4" w:space="0" w:color="auto"/>
              <w:right w:val="single" w:sz="4" w:space="0" w:color="auto"/>
            </w:tcBorders>
            <w:hideMark/>
          </w:tcPr>
          <w:p w14:paraId="016D2063"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color w:val="000000" w:themeColor="text1"/>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5280150F" w14:textId="77777777" w:rsidR="00965601" w:rsidRPr="008B25EE" w:rsidRDefault="00965601" w:rsidP="000F4B76">
            <w:pPr>
              <w:spacing w:line="276" w:lineRule="auto"/>
              <w:jc w:val="center"/>
              <w:rPr>
                <w:rFonts w:ascii="Arial" w:hAnsi="Arial" w:cs="Arial"/>
                <w:color w:val="000000" w:themeColor="text1"/>
                <w:sz w:val="18"/>
                <w:szCs w:val="18"/>
                <w:vertAlign w:val="superscript"/>
              </w:rPr>
            </w:pPr>
            <w:r w:rsidRPr="008B25EE">
              <w:rPr>
                <w:rFonts w:ascii="Arial" w:hAnsi="Arial" w:cs="Arial"/>
                <w:color w:val="000000" w:themeColor="text1"/>
                <w:sz w:val="18"/>
                <w:szCs w:val="18"/>
              </w:rPr>
              <w:t>23.96</w:t>
            </w:r>
            <w:r w:rsidRPr="008B25EE">
              <w:rPr>
                <w:rFonts w:ascii="Arial" w:hAnsi="Arial" w:cs="Arial"/>
                <w:color w:val="000000" w:themeColor="text1"/>
                <w:sz w:val="18"/>
                <w:szCs w:val="18"/>
                <w:vertAlign w:val="superscript"/>
              </w:rPr>
              <w:t xml:space="preserve"> a</w:t>
            </w:r>
          </w:p>
        </w:tc>
        <w:tc>
          <w:tcPr>
            <w:tcW w:w="1061" w:type="dxa"/>
            <w:tcBorders>
              <w:top w:val="single" w:sz="4" w:space="0" w:color="auto"/>
              <w:left w:val="single" w:sz="4" w:space="0" w:color="auto"/>
              <w:bottom w:val="single" w:sz="4" w:space="0" w:color="auto"/>
              <w:right w:val="single" w:sz="4" w:space="0" w:color="auto"/>
            </w:tcBorders>
            <w:vAlign w:val="bottom"/>
          </w:tcPr>
          <w:p w14:paraId="16B4C8E7"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w:t>
            </w:r>
          </w:p>
        </w:tc>
        <w:tc>
          <w:tcPr>
            <w:tcW w:w="1365" w:type="dxa"/>
            <w:tcBorders>
              <w:top w:val="single" w:sz="4" w:space="0" w:color="auto"/>
              <w:left w:val="single" w:sz="4" w:space="0" w:color="auto"/>
              <w:bottom w:val="single" w:sz="4" w:space="0" w:color="auto"/>
              <w:right w:val="single" w:sz="4" w:space="0" w:color="auto"/>
            </w:tcBorders>
            <w:vAlign w:val="bottom"/>
          </w:tcPr>
          <w:p w14:paraId="308C0CCD"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32.52</w:t>
            </w:r>
          </w:p>
        </w:tc>
        <w:tc>
          <w:tcPr>
            <w:tcW w:w="1365" w:type="dxa"/>
            <w:tcBorders>
              <w:top w:val="single" w:sz="4" w:space="0" w:color="auto"/>
              <w:left w:val="single" w:sz="4" w:space="0" w:color="auto"/>
              <w:bottom w:val="single" w:sz="4" w:space="0" w:color="auto"/>
              <w:right w:val="single" w:sz="4" w:space="0" w:color="auto"/>
            </w:tcBorders>
          </w:tcPr>
          <w:p w14:paraId="07D3E7DF"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w:t>
            </w:r>
          </w:p>
        </w:tc>
      </w:tr>
      <w:tr w:rsidR="00965601" w:rsidRPr="009A5BF0" w14:paraId="25995E0C" w14:textId="77777777" w:rsidTr="000F4B76">
        <w:trPr>
          <w:trHeight w:val="114"/>
        </w:trPr>
        <w:tc>
          <w:tcPr>
            <w:tcW w:w="4957" w:type="dxa"/>
            <w:gridSpan w:val="3"/>
            <w:tcBorders>
              <w:top w:val="single" w:sz="4" w:space="0" w:color="auto"/>
              <w:left w:val="single" w:sz="4" w:space="0" w:color="auto"/>
              <w:bottom w:val="single" w:sz="4" w:space="0" w:color="auto"/>
              <w:right w:val="single" w:sz="4" w:space="0" w:color="auto"/>
            </w:tcBorders>
            <w:vAlign w:val="center"/>
            <w:hideMark/>
          </w:tcPr>
          <w:p w14:paraId="44342717"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SE(m)</w:t>
            </w:r>
          </w:p>
        </w:tc>
        <w:tc>
          <w:tcPr>
            <w:tcW w:w="1275" w:type="dxa"/>
            <w:tcBorders>
              <w:top w:val="single" w:sz="4" w:space="0" w:color="auto"/>
              <w:left w:val="single" w:sz="4" w:space="0" w:color="auto"/>
              <w:bottom w:val="single" w:sz="4" w:space="0" w:color="auto"/>
              <w:right w:val="single" w:sz="4" w:space="0" w:color="auto"/>
            </w:tcBorders>
            <w:vAlign w:val="bottom"/>
          </w:tcPr>
          <w:p w14:paraId="1FCC71BA"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0.71</w:t>
            </w:r>
          </w:p>
        </w:tc>
        <w:tc>
          <w:tcPr>
            <w:tcW w:w="1061" w:type="dxa"/>
            <w:tcBorders>
              <w:top w:val="single" w:sz="4" w:space="0" w:color="auto"/>
              <w:left w:val="single" w:sz="4" w:space="0" w:color="auto"/>
              <w:bottom w:val="single" w:sz="4" w:space="0" w:color="auto"/>
              <w:right w:val="single" w:sz="4" w:space="0" w:color="auto"/>
            </w:tcBorders>
          </w:tcPr>
          <w:p w14:paraId="0133B448" w14:textId="77777777" w:rsidR="00965601" w:rsidRPr="008B25EE" w:rsidRDefault="00965601" w:rsidP="000F4B76">
            <w:pPr>
              <w:spacing w:line="276" w:lineRule="auto"/>
              <w:jc w:val="center"/>
              <w:rPr>
                <w:rFonts w:ascii="Arial" w:hAnsi="Arial" w:cs="Arial"/>
                <w:color w:val="000000" w:themeColor="text1"/>
                <w:sz w:val="18"/>
                <w:szCs w:val="18"/>
              </w:rPr>
            </w:pPr>
          </w:p>
        </w:tc>
        <w:tc>
          <w:tcPr>
            <w:tcW w:w="1365" w:type="dxa"/>
            <w:tcBorders>
              <w:top w:val="single" w:sz="4" w:space="0" w:color="auto"/>
              <w:left w:val="single" w:sz="4" w:space="0" w:color="auto"/>
              <w:bottom w:val="single" w:sz="4" w:space="0" w:color="auto"/>
              <w:right w:val="single" w:sz="4" w:space="0" w:color="auto"/>
            </w:tcBorders>
            <w:vAlign w:val="bottom"/>
          </w:tcPr>
          <w:p w14:paraId="3797DB1D"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0.55</w:t>
            </w:r>
          </w:p>
        </w:tc>
        <w:tc>
          <w:tcPr>
            <w:tcW w:w="1365" w:type="dxa"/>
            <w:tcBorders>
              <w:top w:val="single" w:sz="4" w:space="0" w:color="auto"/>
              <w:left w:val="single" w:sz="4" w:space="0" w:color="auto"/>
              <w:bottom w:val="single" w:sz="4" w:space="0" w:color="auto"/>
              <w:right w:val="single" w:sz="4" w:space="0" w:color="auto"/>
            </w:tcBorders>
          </w:tcPr>
          <w:p w14:paraId="57BDC0C6"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w:t>
            </w:r>
          </w:p>
        </w:tc>
      </w:tr>
      <w:tr w:rsidR="00965601" w:rsidRPr="009A5BF0" w14:paraId="62171AAD" w14:textId="77777777" w:rsidTr="000F4B76">
        <w:trPr>
          <w:trHeight w:val="118"/>
        </w:trPr>
        <w:tc>
          <w:tcPr>
            <w:tcW w:w="4957" w:type="dxa"/>
            <w:gridSpan w:val="3"/>
            <w:tcBorders>
              <w:top w:val="single" w:sz="4" w:space="0" w:color="auto"/>
              <w:left w:val="single" w:sz="4" w:space="0" w:color="auto"/>
              <w:bottom w:val="single" w:sz="4" w:space="0" w:color="auto"/>
              <w:right w:val="single" w:sz="4" w:space="0" w:color="auto"/>
            </w:tcBorders>
            <w:vAlign w:val="center"/>
            <w:hideMark/>
          </w:tcPr>
          <w:p w14:paraId="07B9BE57" w14:textId="77777777" w:rsidR="00965601" w:rsidRPr="008B25EE" w:rsidRDefault="00965601" w:rsidP="000F4B76">
            <w:pPr>
              <w:spacing w:line="276" w:lineRule="auto"/>
              <w:rPr>
                <w:rFonts w:ascii="Arial" w:hAnsi="Arial" w:cs="Arial"/>
                <w:color w:val="000000" w:themeColor="text1"/>
                <w:sz w:val="18"/>
                <w:szCs w:val="18"/>
              </w:rPr>
            </w:pPr>
            <w:r w:rsidRPr="008B25EE">
              <w:rPr>
                <w:rFonts w:ascii="Arial" w:hAnsi="Arial" w:cs="Arial"/>
                <w:b/>
                <w:bCs/>
                <w:color w:val="000000" w:themeColor="text1"/>
                <w:sz w:val="18"/>
                <w:szCs w:val="18"/>
              </w:rPr>
              <w:t>CD</w:t>
            </w:r>
          </w:p>
        </w:tc>
        <w:tc>
          <w:tcPr>
            <w:tcW w:w="1275" w:type="dxa"/>
            <w:tcBorders>
              <w:top w:val="single" w:sz="4" w:space="0" w:color="auto"/>
              <w:left w:val="single" w:sz="4" w:space="0" w:color="auto"/>
              <w:bottom w:val="single" w:sz="4" w:space="0" w:color="auto"/>
              <w:right w:val="single" w:sz="4" w:space="0" w:color="auto"/>
            </w:tcBorders>
            <w:vAlign w:val="bottom"/>
          </w:tcPr>
          <w:p w14:paraId="7BC7CA1F"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2.10</w:t>
            </w:r>
          </w:p>
        </w:tc>
        <w:tc>
          <w:tcPr>
            <w:tcW w:w="1061" w:type="dxa"/>
            <w:tcBorders>
              <w:top w:val="single" w:sz="4" w:space="0" w:color="auto"/>
              <w:left w:val="single" w:sz="4" w:space="0" w:color="auto"/>
              <w:bottom w:val="single" w:sz="4" w:space="0" w:color="auto"/>
              <w:right w:val="single" w:sz="4" w:space="0" w:color="auto"/>
            </w:tcBorders>
          </w:tcPr>
          <w:p w14:paraId="3AA20225" w14:textId="77777777" w:rsidR="00965601" w:rsidRPr="008B25EE" w:rsidRDefault="00965601" w:rsidP="000F4B76">
            <w:pPr>
              <w:spacing w:line="276" w:lineRule="auto"/>
              <w:jc w:val="center"/>
              <w:rPr>
                <w:rFonts w:ascii="Arial" w:hAnsi="Arial" w:cs="Arial"/>
                <w:color w:val="000000" w:themeColor="text1"/>
                <w:sz w:val="18"/>
                <w:szCs w:val="18"/>
              </w:rPr>
            </w:pPr>
          </w:p>
        </w:tc>
        <w:tc>
          <w:tcPr>
            <w:tcW w:w="1365" w:type="dxa"/>
            <w:tcBorders>
              <w:top w:val="single" w:sz="4" w:space="0" w:color="auto"/>
              <w:left w:val="single" w:sz="4" w:space="0" w:color="auto"/>
              <w:bottom w:val="single" w:sz="4" w:space="0" w:color="auto"/>
              <w:right w:val="single" w:sz="4" w:space="0" w:color="auto"/>
            </w:tcBorders>
            <w:vAlign w:val="bottom"/>
          </w:tcPr>
          <w:p w14:paraId="74391B15"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1.56</w:t>
            </w:r>
          </w:p>
        </w:tc>
        <w:tc>
          <w:tcPr>
            <w:tcW w:w="1365" w:type="dxa"/>
            <w:tcBorders>
              <w:top w:val="single" w:sz="4" w:space="0" w:color="auto"/>
              <w:left w:val="single" w:sz="4" w:space="0" w:color="auto"/>
              <w:bottom w:val="single" w:sz="4" w:space="0" w:color="auto"/>
              <w:right w:val="single" w:sz="4" w:space="0" w:color="auto"/>
            </w:tcBorders>
          </w:tcPr>
          <w:p w14:paraId="4DD0E612" w14:textId="77777777" w:rsidR="00965601" w:rsidRPr="008B25EE" w:rsidRDefault="00965601" w:rsidP="000F4B76">
            <w:pPr>
              <w:spacing w:line="276" w:lineRule="auto"/>
              <w:jc w:val="center"/>
              <w:rPr>
                <w:rFonts w:ascii="Arial" w:hAnsi="Arial" w:cs="Arial"/>
                <w:color w:val="000000" w:themeColor="text1"/>
                <w:sz w:val="18"/>
                <w:szCs w:val="18"/>
              </w:rPr>
            </w:pPr>
            <w:r w:rsidRPr="008B25EE">
              <w:rPr>
                <w:rFonts w:ascii="Arial" w:hAnsi="Arial" w:cs="Arial"/>
                <w:color w:val="000000" w:themeColor="text1"/>
                <w:sz w:val="18"/>
                <w:szCs w:val="18"/>
              </w:rPr>
              <w:t>-</w:t>
            </w:r>
          </w:p>
        </w:tc>
      </w:tr>
    </w:tbl>
    <w:p w14:paraId="7F58F16C" w14:textId="3C79CE4C" w:rsidR="00965601" w:rsidRPr="00C87872" w:rsidRDefault="00965601" w:rsidP="001C14F8">
      <w:pPr>
        <w:pStyle w:val="NormalWeb"/>
        <w:spacing w:line="360" w:lineRule="auto"/>
        <w:jc w:val="both"/>
        <w:rPr>
          <w:rFonts w:ascii="Arial" w:hAnsi="Arial" w:cs="Arial"/>
          <w:b/>
        </w:rPr>
      </w:pPr>
    </w:p>
    <w:p w14:paraId="4162F162" w14:textId="5F9225C9" w:rsidR="0008626F" w:rsidRPr="00C87872" w:rsidRDefault="0008626F" w:rsidP="001C14F8">
      <w:pPr>
        <w:pStyle w:val="NormalWeb"/>
        <w:spacing w:line="360" w:lineRule="auto"/>
        <w:jc w:val="both"/>
        <w:rPr>
          <w:rFonts w:ascii="Arial" w:hAnsi="Arial" w:cs="Arial"/>
          <w:b/>
        </w:rPr>
      </w:pPr>
    </w:p>
    <w:p w14:paraId="57BE561A" w14:textId="77777777" w:rsidR="0008626F" w:rsidRPr="00C87872" w:rsidRDefault="0008626F" w:rsidP="001C14F8">
      <w:pPr>
        <w:pStyle w:val="NormalWeb"/>
        <w:spacing w:line="360" w:lineRule="auto"/>
        <w:jc w:val="both"/>
        <w:rPr>
          <w:rFonts w:ascii="Arial" w:hAnsi="Arial" w:cs="Arial"/>
        </w:rPr>
        <w:sectPr w:rsidR="0008626F" w:rsidRPr="00C87872" w:rsidSect="00C90E45">
          <w:type w:val="continuous"/>
          <w:pgSz w:w="11910" w:h="16840"/>
          <w:pgMar w:top="1480" w:right="992" w:bottom="278" w:left="1418" w:header="720" w:footer="720" w:gutter="0"/>
          <w:cols w:space="708"/>
          <w:docGrid w:linePitch="299"/>
        </w:sectPr>
      </w:pPr>
    </w:p>
    <w:p w14:paraId="4B1E2618" w14:textId="47E46F1A" w:rsidR="008B25EE" w:rsidRPr="00C87872" w:rsidRDefault="000A7E7E" w:rsidP="000A7E7E">
      <w:pPr>
        <w:pStyle w:val="NormalWeb"/>
        <w:spacing w:line="360" w:lineRule="auto"/>
        <w:jc w:val="center"/>
        <w:rPr>
          <w:rFonts w:ascii="Arial" w:hAnsi="Arial" w:cs="Arial"/>
        </w:rPr>
      </w:pPr>
      <w:r w:rsidRPr="00C87872">
        <w:rPr>
          <w:noProof/>
          <w:lang w:val="en-US" w:eastAsia="en-US"/>
        </w:rPr>
        <w:drawing>
          <wp:inline distT="0" distB="0" distL="0" distR="0" wp14:anchorId="218706D3" wp14:editId="202CD203">
            <wp:extent cx="4572000" cy="2546350"/>
            <wp:effectExtent l="0" t="0" r="0" b="6350"/>
            <wp:docPr id="4361880" name="Chart 1">
              <a:extLst xmlns:a="http://schemas.openxmlformats.org/drawingml/2006/main">
                <a:ext uri="{FF2B5EF4-FFF2-40B4-BE49-F238E27FC236}">
                  <a16:creationId xmlns:a16="http://schemas.microsoft.com/office/drawing/2014/main" id="{EB039F00-A3DF-5AE6-FD88-438A0B08C6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E4E35C" w14:textId="390B5188" w:rsidR="000A7E7E" w:rsidRPr="00C87872" w:rsidRDefault="000A7E7E" w:rsidP="000A7E7E">
      <w:pPr>
        <w:pStyle w:val="NormalWeb"/>
        <w:spacing w:line="360" w:lineRule="auto"/>
        <w:jc w:val="center"/>
        <w:rPr>
          <w:rFonts w:ascii="Arial" w:hAnsi="Arial" w:cs="Arial"/>
        </w:rPr>
      </w:pPr>
      <w:r w:rsidRPr="00C87872">
        <w:rPr>
          <w:rFonts w:ascii="Arial" w:hAnsi="Arial" w:cs="Arial"/>
        </w:rPr>
        <w:t>Fig. Graphical representation of Shoot and Fruit Infestation over control</w:t>
      </w:r>
    </w:p>
    <w:p w14:paraId="49ABA750" w14:textId="77777777" w:rsidR="001C14F8" w:rsidRPr="00C87872" w:rsidRDefault="00E8620A" w:rsidP="00605FDF">
      <w:pPr>
        <w:pStyle w:val="NormalWeb"/>
        <w:spacing w:line="360" w:lineRule="auto"/>
        <w:jc w:val="both"/>
        <w:rPr>
          <w:rFonts w:ascii="Arial" w:hAnsi="Arial" w:cs="Arial"/>
          <w:b/>
        </w:rPr>
      </w:pPr>
      <w:r w:rsidRPr="00C87872">
        <w:rPr>
          <w:rFonts w:ascii="Arial" w:hAnsi="Arial" w:cs="Arial"/>
          <w:b/>
        </w:rPr>
        <w:t>Yield of Marketable and Damaged Fruit</w:t>
      </w:r>
    </w:p>
    <w:p w14:paraId="593E9741" w14:textId="77777777" w:rsidR="009236B0" w:rsidRPr="00C87872" w:rsidRDefault="00E8620A" w:rsidP="00605FDF">
      <w:pPr>
        <w:pStyle w:val="NormalWeb"/>
        <w:spacing w:line="360" w:lineRule="auto"/>
        <w:jc w:val="both"/>
        <w:rPr>
          <w:rFonts w:ascii="Arial" w:hAnsi="Arial" w:cs="Arial"/>
        </w:rPr>
      </w:pPr>
      <w:r w:rsidRPr="00C87872">
        <w:rPr>
          <w:rFonts w:ascii="Arial" w:hAnsi="Arial" w:cs="Arial"/>
        </w:rPr>
        <w:t xml:space="preserve">The insecticidal treatments had a significant impact on marketable fruit yield by reducing </w:t>
      </w:r>
      <w:r w:rsidRPr="00C87872">
        <w:rPr>
          <w:rFonts w:ascii="Arial" w:hAnsi="Arial" w:cs="Arial"/>
          <w:i/>
          <w:iCs/>
        </w:rPr>
        <w:t>L. orbonalis</w:t>
      </w:r>
      <w:r w:rsidRPr="00C87872">
        <w:rPr>
          <w:rFonts w:ascii="Arial" w:hAnsi="Arial" w:cs="Arial"/>
        </w:rPr>
        <w:t xml:space="preserve"> infestation. Tracer (Spinosad 45 SC) recorded the highest marketable yield of </w:t>
      </w:r>
      <w:r w:rsidRPr="00C87872">
        <w:rPr>
          <w:rFonts w:ascii="Arial" w:hAnsi="Arial" w:cs="Arial"/>
        </w:rPr>
        <w:lastRenderedPageBreak/>
        <w:t>67.33 q/ha and the lowest infested fruit weight (7.00 q/ha). These results are consistent with findings from Kalawate and Dethe (2006, 2012), Anil and Sharma (2010), and Mainali et al. (2012), who demonstrated that Spinosad 45 SC consistently increases healthy fruit yield when applied at 72–75 g a.i./ha.</w:t>
      </w:r>
      <w:r w:rsidR="00585DF0" w:rsidRPr="00C87872">
        <w:rPr>
          <w:rFonts w:ascii="Arial" w:hAnsi="Arial" w:cs="Arial"/>
        </w:rPr>
        <w:t xml:space="preserve"> </w:t>
      </w:r>
      <w:r w:rsidRPr="00C87872">
        <w:rPr>
          <w:rFonts w:ascii="Arial" w:hAnsi="Arial" w:cs="Arial"/>
        </w:rPr>
        <w:t>Green Neem (</w:t>
      </w:r>
      <w:r w:rsidRPr="00C87872">
        <w:rPr>
          <w:rFonts w:ascii="Arial" w:hAnsi="Arial" w:cs="Arial"/>
          <w:i/>
        </w:rPr>
        <w:t>Azadiracht</w:t>
      </w:r>
      <w:r w:rsidR="00585DF0" w:rsidRPr="00C87872">
        <w:rPr>
          <w:rFonts w:ascii="Arial" w:hAnsi="Arial" w:cs="Arial"/>
          <w:i/>
        </w:rPr>
        <w:t>a indica</w:t>
      </w:r>
      <w:r w:rsidR="00585DF0" w:rsidRPr="00C87872">
        <w:rPr>
          <w:rFonts w:ascii="Arial" w:hAnsi="Arial" w:cs="Arial"/>
        </w:rPr>
        <w:t xml:space="preserve"> </w:t>
      </w:r>
      <w:r w:rsidRPr="00C87872">
        <w:rPr>
          <w:rFonts w:ascii="Arial" w:hAnsi="Arial" w:cs="Arial"/>
        </w:rPr>
        <w:t xml:space="preserve">1% EC) also contributed to improved yield (59.67 q/ha), supported by Chakraborti (2001), Singh (2003), and Mandal et al. (2010), who observed enhanced productivity following neem-based treatments. ITK treatments such as Chinaberry leaf extract and Cow urine + </w:t>
      </w:r>
      <w:r w:rsidRPr="00C87872">
        <w:rPr>
          <w:rFonts w:ascii="Arial" w:hAnsi="Arial" w:cs="Arial"/>
          <w:i/>
        </w:rPr>
        <w:t>Azadirachta indica</w:t>
      </w:r>
      <w:r w:rsidRPr="00C87872">
        <w:rPr>
          <w:rFonts w:ascii="Arial" w:hAnsi="Arial" w:cs="Arial"/>
        </w:rPr>
        <w:t xml:space="preserve"> recorded respectable yields of 56.00 q/ha and 50.00 q/ha, respectively. These results align with Mandal et al. (2018), who advocated for the inclusion of ITK in sustainable pest management to improve yield. In contrast, Wood ash (T</w:t>
      </w:r>
      <w:r w:rsidRPr="00C87872">
        <w:rPr>
          <w:rFonts w:ascii="Cambria Math" w:hAnsi="Cambria Math" w:cs="Cambria Math"/>
        </w:rPr>
        <w:t>₁</w:t>
      </w:r>
      <w:r w:rsidRPr="00C87872">
        <w:rPr>
          <w:rFonts w:ascii="Arial" w:hAnsi="Arial" w:cs="Arial"/>
        </w:rPr>
        <w:t>) recorded the lowest marketable yield (26.33 q/ha), affirming its limited pest control ability as shown by Hazarika et al. (2005). The untreated control (T</w:t>
      </w:r>
      <w:r w:rsidRPr="00C87872">
        <w:rPr>
          <w:rFonts w:ascii="Cambria Math" w:hAnsi="Cambria Math" w:cs="Cambria Math"/>
        </w:rPr>
        <w:t>₁₀</w:t>
      </w:r>
      <w:r w:rsidRPr="00C87872">
        <w:rPr>
          <w:rFonts w:ascii="Arial" w:hAnsi="Arial" w:cs="Arial"/>
        </w:rPr>
        <w:t>) had the poorest performance, with only 8.67 q/ha yield and high infestation, underscoring the critical need for pest control interventions.</w:t>
      </w:r>
    </w:p>
    <w:p w14:paraId="513D87BB" w14:textId="77777777" w:rsidR="001C14F8" w:rsidRPr="00C87872" w:rsidRDefault="00E8620A" w:rsidP="00605FDF">
      <w:pPr>
        <w:pStyle w:val="NormalWeb"/>
        <w:spacing w:line="360" w:lineRule="auto"/>
        <w:jc w:val="both"/>
        <w:rPr>
          <w:rFonts w:ascii="Arial" w:hAnsi="Arial" w:cs="Arial"/>
          <w:b/>
        </w:rPr>
      </w:pPr>
      <w:r w:rsidRPr="00C87872">
        <w:rPr>
          <w:rFonts w:ascii="Arial" w:hAnsi="Arial" w:cs="Arial"/>
          <w:b/>
        </w:rPr>
        <w:t xml:space="preserve">Economics of Different Treatments </w:t>
      </w:r>
    </w:p>
    <w:p w14:paraId="408CF916" w14:textId="5BE24A14" w:rsidR="009A5BF0" w:rsidRPr="00C87872" w:rsidRDefault="00E8620A" w:rsidP="00605FDF">
      <w:pPr>
        <w:pStyle w:val="NormalWeb"/>
        <w:spacing w:line="360" w:lineRule="auto"/>
        <w:jc w:val="both"/>
        <w:rPr>
          <w:rFonts w:ascii="Arial" w:hAnsi="Arial" w:cs="Arial"/>
        </w:rPr>
      </w:pPr>
      <w:r w:rsidRPr="00C87872">
        <w:rPr>
          <w:rFonts w:ascii="Arial" w:hAnsi="Arial" w:cs="Arial"/>
        </w:rPr>
        <w:t>Economic evaluation revealed significant differences in the benefit-cost (B:C) ratios of the treatments. Green Neem (</w:t>
      </w:r>
      <w:r w:rsidRPr="00C87872">
        <w:rPr>
          <w:rFonts w:ascii="Arial" w:hAnsi="Arial" w:cs="Arial"/>
          <w:i/>
        </w:rPr>
        <w:t>Azadirach</w:t>
      </w:r>
      <w:r w:rsidR="00730EC1" w:rsidRPr="00C87872">
        <w:rPr>
          <w:rFonts w:ascii="Arial" w:hAnsi="Arial" w:cs="Arial"/>
          <w:i/>
        </w:rPr>
        <w:t>ta indica</w:t>
      </w:r>
      <w:r w:rsidR="00730EC1" w:rsidRPr="00C87872">
        <w:rPr>
          <w:rFonts w:ascii="Arial" w:hAnsi="Arial" w:cs="Arial"/>
        </w:rPr>
        <w:t xml:space="preserve"> </w:t>
      </w:r>
      <w:r w:rsidRPr="00C87872">
        <w:rPr>
          <w:rFonts w:ascii="Arial" w:hAnsi="Arial" w:cs="Arial"/>
        </w:rPr>
        <w:t>1% EC) (T</w:t>
      </w:r>
      <w:r w:rsidRPr="00C87872">
        <w:rPr>
          <w:rFonts w:ascii="Cambria Math" w:hAnsi="Cambria Math" w:cs="Cambria Math"/>
        </w:rPr>
        <w:t>₈</w:t>
      </w:r>
      <w:r w:rsidRPr="00C87872">
        <w:rPr>
          <w:rFonts w:ascii="Arial" w:hAnsi="Arial" w:cs="Arial"/>
        </w:rPr>
        <w:t>) had the highest B:C ratio of 9.29:1, making it the most profitable option. This finding corroborates the results of Murugesan and Murugesh (2009) and Mandal et al. (2010), who showed that neem-based products are both effective and cost-efficient.</w:t>
      </w:r>
      <w:r w:rsidR="00C87872">
        <w:rPr>
          <w:rFonts w:ascii="Arial" w:hAnsi="Arial" w:cs="Arial"/>
        </w:rPr>
        <w:t xml:space="preserve"> </w:t>
      </w:r>
      <w:r w:rsidRPr="00C87872">
        <w:rPr>
          <w:rFonts w:ascii="Arial" w:hAnsi="Arial" w:cs="Arial"/>
        </w:rPr>
        <w:t xml:space="preserve">Cow urine + </w:t>
      </w:r>
      <w:proofErr w:type="spellStart"/>
      <w:r w:rsidRPr="00C87872">
        <w:rPr>
          <w:rFonts w:ascii="Arial" w:hAnsi="Arial" w:cs="Arial"/>
          <w:i/>
        </w:rPr>
        <w:t>Azadirachta</w:t>
      </w:r>
      <w:proofErr w:type="spellEnd"/>
      <w:r w:rsidRPr="00C87872">
        <w:rPr>
          <w:rFonts w:ascii="Arial" w:hAnsi="Arial" w:cs="Arial"/>
          <w:i/>
        </w:rPr>
        <w:t xml:space="preserve"> </w:t>
      </w:r>
      <w:proofErr w:type="spellStart"/>
      <w:r w:rsidRPr="00C87872">
        <w:rPr>
          <w:rFonts w:ascii="Arial" w:hAnsi="Arial" w:cs="Arial"/>
          <w:i/>
        </w:rPr>
        <w:t>indica</w:t>
      </w:r>
      <w:proofErr w:type="spellEnd"/>
      <w:r w:rsidRPr="00C87872">
        <w:rPr>
          <w:rFonts w:ascii="Arial" w:hAnsi="Arial" w:cs="Arial"/>
        </w:rPr>
        <w:t xml:space="preserve"> (T</w:t>
      </w:r>
      <w:r w:rsidRPr="00C87872">
        <w:rPr>
          <w:rFonts w:ascii="Cambria Math" w:hAnsi="Cambria Math" w:cs="Cambria Math"/>
        </w:rPr>
        <w:t>₅</w:t>
      </w:r>
      <w:r w:rsidRPr="00C87872">
        <w:rPr>
          <w:rFonts w:ascii="Arial" w:hAnsi="Arial" w:cs="Arial"/>
        </w:rPr>
        <w:t>) and Chinaberry leaf extract (T</w:t>
      </w:r>
      <w:r w:rsidRPr="00C87872">
        <w:rPr>
          <w:rFonts w:ascii="Cambria Math" w:hAnsi="Cambria Math" w:cs="Cambria Math"/>
        </w:rPr>
        <w:t>₇</w:t>
      </w:r>
      <w:r w:rsidRPr="00C87872">
        <w:rPr>
          <w:rFonts w:ascii="Arial" w:hAnsi="Arial" w:cs="Arial"/>
        </w:rPr>
        <w:t xml:space="preserve">) also showed high economic viability, recording B:C ratios of 8.43:1 and 8.39:1, respectively. These treatments demonstrate the strength of ITK-based options, particularly in resource-limited settings. Cow urine + </w:t>
      </w:r>
      <w:r w:rsidRPr="00C87872">
        <w:rPr>
          <w:rFonts w:ascii="Arial" w:hAnsi="Arial" w:cs="Arial"/>
          <w:i/>
        </w:rPr>
        <w:t>Allium tuberosum</w:t>
      </w:r>
      <w:r w:rsidRPr="00C87872">
        <w:rPr>
          <w:rFonts w:ascii="Arial" w:hAnsi="Arial" w:cs="Arial"/>
        </w:rPr>
        <w:t xml:space="preserve"> (T</w:t>
      </w:r>
      <w:r w:rsidRPr="00C87872">
        <w:rPr>
          <w:rFonts w:ascii="Cambria Math" w:hAnsi="Cambria Math" w:cs="Cambria Math"/>
        </w:rPr>
        <w:t>₆</w:t>
      </w:r>
      <w:r w:rsidRPr="00C87872">
        <w:rPr>
          <w:rFonts w:ascii="Arial" w:hAnsi="Arial" w:cs="Arial"/>
        </w:rPr>
        <w:t xml:space="preserve">) also performed well economically with a B:C ratio of 7.54:1, reinforcing its suitability for sustainable farming </w:t>
      </w:r>
      <w:r w:rsidR="00585DF0" w:rsidRPr="00C87872">
        <w:rPr>
          <w:rFonts w:ascii="Arial" w:hAnsi="Arial" w:cs="Arial"/>
        </w:rPr>
        <w:t>practices. Although</w:t>
      </w:r>
      <w:r w:rsidRPr="00C87872">
        <w:rPr>
          <w:rFonts w:ascii="Arial" w:hAnsi="Arial" w:cs="Arial"/>
        </w:rPr>
        <w:t xml:space="preserve"> Tracer (Spinosad 45 SC) produced the highest yield, its B:C ratio was relatively lower at 5.52:1 due to higher input costs. This is consistent with the observations of Akter et al. (2017) and Adiroubane and Raghuraman (2006), who noted that while Spinosad is agronomically effective, its economic efficiency may be constrained in low-income farming systems. The untreated contro</w:t>
      </w:r>
      <w:r w:rsidR="008B25EE" w:rsidRPr="00C87872">
        <w:rPr>
          <w:rFonts w:ascii="Arial" w:hAnsi="Arial" w:cs="Arial"/>
        </w:rPr>
        <w:t>l recorded the lowest B:C ratio (0.89:1), highlighting the economic losses associated with neglecting pest control.</w:t>
      </w:r>
    </w:p>
    <w:p w14:paraId="7D7D4EEA" w14:textId="71FD2D39" w:rsidR="00965601" w:rsidRPr="00C87872" w:rsidRDefault="00965601" w:rsidP="00605FDF">
      <w:pPr>
        <w:pStyle w:val="NormalWeb"/>
        <w:spacing w:line="360" w:lineRule="auto"/>
        <w:jc w:val="both"/>
        <w:rPr>
          <w:rFonts w:ascii="Arial" w:hAnsi="Arial" w:cs="Arial"/>
          <w:b/>
        </w:rPr>
      </w:pPr>
      <w:r>
        <w:rPr>
          <w:rFonts w:ascii="Arial" w:hAnsi="Arial" w:cs="Arial"/>
          <w:b/>
        </w:rPr>
        <w:t xml:space="preserve">TABLE 2. </w:t>
      </w:r>
      <w:r w:rsidR="0008626F" w:rsidRPr="00C87872">
        <w:rPr>
          <w:rFonts w:ascii="Arial" w:hAnsi="Arial" w:cs="Arial"/>
          <w:b/>
        </w:rPr>
        <w:t>Yield and B:C ratio</w:t>
      </w:r>
      <w:r w:rsidR="00EE5BB0" w:rsidRPr="00C87872">
        <w:rPr>
          <w:rFonts w:ascii="Arial" w:hAnsi="Arial" w:cs="Arial"/>
          <w:b/>
        </w:rPr>
        <w:t xml:space="preserve">   </w:t>
      </w:r>
    </w:p>
    <w:tbl>
      <w:tblPr>
        <w:tblStyle w:val="TableGrid"/>
        <w:tblW w:w="9465" w:type="dxa"/>
        <w:tblLayout w:type="fixed"/>
        <w:tblLook w:val="04A0" w:firstRow="1" w:lastRow="0" w:firstColumn="1" w:lastColumn="0" w:noHBand="0" w:noVBand="1"/>
      </w:tblPr>
      <w:tblGrid>
        <w:gridCol w:w="724"/>
        <w:gridCol w:w="1629"/>
        <w:gridCol w:w="1464"/>
        <w:gridCol w:w="1373"/>
        <w:gridCol w:w="1337"/>
        <w:gridCol w:w="1169"/>
        <w:gridCol w:w="939"/>
        <w:gridCol w:w="830"/>
      </w:tblGrid>
      <w:tr w:rsidR="0008626F" w:rsidRPr="00C87872" w14:paraId="448CE290" w14:textId="77777777" w:rsidTr="00C87872">
        <w:trPr>
          <w:trHeight w:val="646"/>
        </w:trPr>
        <w:tc>
          <w:tcPr>
            <w:tcW w:w="724" w:type="dxa"/>
            <w:vAlign w:val="bottom"/>
          </w:tcPr>
          <w:p w14:paraId="64651AB9" w14:textId="1725505A" w:rsidR="0008626F" w:rsidRPr="00C87872" w:rsidRDefault="0008626F" w:rsidP="0008626F">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lastRenderedPageBreak/>
              <w:t>Treatment no.</w:t>
            </w:r>
          </w:p>
        </w:tc>
        <w:tc>
          <w:tcPr>
            <w:tcW w:w="1629" w:type="dxa"/>
            <w:vAlign w:val="bottom"/>
          </w:tcPr>
          <w:p w14:paraId="0B363B85" w14:textId="173F4B71" w:rsidR="0008626F" w:rsidRPr="00C87872" w:rsidRDefault="0008626F" w:rsidP="0008626F">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Treatment</w:t>
            </w:r>
          </w:p>
        </w:tc>
        <w:tc>
          <w:tcPr>
            <w:tcW w:w="1464" w:type="dxa"/>
          </w:tcPr>
          <w:p w14:paraId="3A960E65" w14:textId="77777777" w:rsidR="0008626F" w:rsidRPr="00C87872" w:rsidRDefault="0008626F" w:rsidP="00E75652">
            <w:pPr>
              <w:jc w:val="center"/>
              <w:rPr>
                <w:rFonts w:ascii="Arial" w:hAnsi="Arial" w:cs="Arial"/>
                <w:b/>
                <w:bCs/>
                <w:iCs/>
                <w:color w:val="000000" w:themeColor="text1"/>
                <w:sz w:val="20"/>
                <w:szCs w:val="20"/>
              </w:rPr>
            </w:pPr>
          </w:p>
          <w:p w14:paraId="29B3118F" w14:textId="77777777" w:rsidR="0008626F" w:rsidRPr="00C87872" w:rsidRDefault="0008626F" w:rsidP="00E75652">
            <w:pPr>
              <w:jc w:val="center"/>
              <w:rPr>
                <w:rFonts w:ascii="Arial" w:hAnsi="Arial" w:cs="Arial"/>
                <w:b/>
                <w:bCs/>
                <w:iCs/>
                <w:color w:val="000000" w:themeColor="text1"/>
                <w:sz w:val="20"/>
                <w:szCs w:val="20"/>
              </w:rPr>
            </w:pPr>
          </w:p>
          <w:p w14:paraId="55B55EC2" w14:textId="77777777"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iCs/>
                <w:color w:val="000000" w:themeColor="text1"/>
                <w:sz w:val="20"/>
                <w:szCs w:val="20"/>
              </w:rPr>
              <w:t>Concentration</w:t>
            </w:r>
          </w:p>
        </w:tc>
        <w:tc>
          <w:tcPr>
            <w:tcW w:w="1373" w:type="dxa"/>
          </w:tcPr>
          <w:p w14:paraId="2A012114" w14:textId="77777777"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Mean yield of marketable fruits(q/ha)</w:t>
            </w:r>
          </w:p>
        </w:tc>
        <w:tc>
          <w:tcPr>
            <w:tcW w:w="1337" w:type="dxa"/>
          </w:tcPr>
          <w:p w14:paraId="7FB14969" w14:textId="77777777" w:rsid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Increased yield over control</w:t>
            </w:r>
          </w:p>
          <w:p w14:paraId="085EC5A0" w14:textId="3B45CC09"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(q/ha)</w:t>
            </w:r>
          </w:p>
        </w:tc>
        <w:tc>
          <w:tcPr>
            <w:tcW w:w="1169" w:type="dxa"/>
          </w:tcPr>
          <w:p w14:paraId="78C511B9" w14:textId="77777777" w:rsid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Weight of infested fruits</w:t>
            </w:r>
          </w:p>
          <w:p w14:paraId="36D037EF" w14:textId="6D15CF78"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(q/ha)</w:t>
            </w:r>
          </w:p>
        </w:tc>
        <w:tc>
          <w:tcPr>
            <w:tcW w:w="939" w:type="dxa"/>
          </w:tcPr>
          <w:p w14:paraId="6CFE9720" w14:textId="77777777"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Total (gross) fruit yield (q/ha)</w:t>
            </w:r>
          </w:p>
        </w:tc>
        <w:tc>
          <w:tcPr>
            <w:tcW w:w="830" w:type="dxa"/>
          </w:tcPr>
          <w:p w14:paraId="7DF89584" w14:textId="77777777" w:rsidR="0008626F" w:rsidRPr="00C87872" w:rsidRDefault="0008626F" w:rsidP="00E75652">
            <w:pPr>
              <w:jc w:val="center"/>
              <w:rPr>
                <w:rFonts w:ascii="Arial" w:hAnsi="Arial" w:cs="Arial"/>
                <w:b/>
                <w:bCs/>
                <w:color w:val="000000" w:themeColor="text1"/>
                <w:sz w:val="20"/>
                <w:szCs w:val="20"/>
              </w:rPr>
            </w:pPr>
            <w:r w:rsidRPr="00C87872">
              <w:rPr>
                <w:rFonts w:ascii="Arial" w:hAnsi="Arial" w:cs="Arial"/>
                <w:b/>
                <w:bCs/>
                <w:color w:val="000000" w:themeColor="text1"/>
                <w:sz w:val="20"/>
                <w:szCs w:val="20"/>
              </w:rPr>
              <w:t>B:c ratio</w:t>
            </w:r>
          </w:p>
        </w:tc>
      </w:tr>
      <w:tr w:rsidR="0008626F" w:rsidRPr="00C87872" w14:paraId="489EC392" w14:textId="77777777" w:rsidTr="00C87872">
        <w:trPr>
          <w:trHeight w:val="125"/>
        </w:trPr>
        <w:tc>
          <w:tcPr>
            <w:tcW w:w="724" w:type="dxa"/>
            <w:vAlign w:val="center"/>
          </w:tcPr>
          <w:p w14:paraId="6BDC80A8"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1</w:t>
            </w:r>
          </w:p>
        </w:tc>
        <w:tc>
          <w:tcPr>
            <w:tcW w:w="1629" w:type="dxa"/>
            <w:vAlign w:val="center"/>
          </w:tcPr>
          <w:p w14:paraId="05409EC7"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xml:space="preserve">Wood Ash </w:t>
            </w:r>
          </w:p>
        </w:tc>
        <w:tc>
          <w:tcPr>
            <w:tcW w:w="1464" w:type="dxa"/>
          </w:tcPr>
          <w:p w14:paraId="1B17E195"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50g/plant</w:t>
            </w:r>
          </w:p>
        </w:tc>
        <w:tc>
          <w:tcPr>
            <w:tcW w:w="1373" w:type="dxa"/>
            <w:vAlign w:val="bottom"/>
          </w:tcPr>
          <w:p w14:paraId="7E35C7D3"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26.33</w:t>
            </w:r>
          </w:p>
        </w:tc>
        <w:tc>
          <w:tcPr>
            <w:tcW w:w="1337" w:type="dxa"/>
            <w:vAlign w:val="bottom"/>
          </w:tcPr>
          <w:p w14:paraId="703FDA6B"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17.66</w:t>
            </w:r>
          </w:p>
        </w:tc>
        <w:tc>
          <w:tcPr>
            <w:tcW w:w="1169" w:type="dxa"/>
            <w:vAlign w:val="bottom"/>
          </w:tcPr>
          <w:p w14:paraId="5CAB22F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16.67</w:t>
            </w:r>
          </w:p>
        </w:tc>
        <w:tc>
          <w:tcPr>
            <w:tcW w:w="939" w:type="dxa"/>
            <w:vAlign w:val="bottom"/>
          </w:tcPr>
          <w:p w14:paraId="2C68834B"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43.00</w:t>
            </w:r>
          </w:p>
        </w:tc>
        <w:tc>
          <w:tcPr>
            <w:tcW w:w="830" w:type="dxa"/>
            <w:vAlign w:val="bottom"/>
          </w:tcPr>
          <w:p w14:paraId="4081A4D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1.36:1</w:t>
            </w:r>
          </w:p>
        </w:tc>
      </w:tr>
      <w:tr w:rsidR="0008626F" w:rsidRPr="00C87872" w14:paraId="320F7083" w14:textId="77777777" w:rsidTr="00C87872">
        <w:trPr>
          <w:trHeight w:val="125"/>
        </w:trPr>
        <w:tc>
          <w:tcPr>
            <w:tcW w:w="724" w:type="dxa"/>
            <w:vAlign w:val="center"/>
          </w:tcPr>
          <w:p w14:paraId="0DC19999"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2</w:t>
            </w:r>
          </w:p>
        </w:tc>
        <w:tc>
          <w:tcPr>
            <w:tcW w:w="1629" w:type="dxa"/>
            <w:vAlign w:val="center"/>
          </w:tcPr>
          <w:p w14:paraId="572E4917"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xml:space="preserve">Cow urine </w:t>
            </w:r>
          </w:p>
        </w:tc>
        <w:tc>
          <w:tcPr>
            <w:tcW w:w="1464" w:type="dxa"/>
          </w:tcPr>
          <w:p w14:paraId="25B6CE46"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1:10</w:t>
            </w:r>
          </w:p>
        </w:tc>
        <w:tc>
          <w:tcPr>
            <w:tcW w:w="1373" w:type="dxa"/>
            <w:vAlign w:val="bottom"/>
          </w:tcPr>
          <w:p w14:paraId="711421E0"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31.00</w:t>
            </w:r>
          </w:p>
        </w:tc>
        <w:tc>
          <w:tcPr>
            <w:tcW w:w="1337" w:type="dxa"/>
            <w:vAlign w:val="bottom"/>
          </w:tcPr>
          <w:p w14:paraId="2C649566"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22.33</w:t>
            </w:r>
          </w:p>
        </w:tc>
        <w:tc>
          <w:tcPr>
            <w:tcW w:w="1169" w:type="dxa"/>
            <w:vAlign w:val="bottom"/>
          </w:tcPr>
          <w:p w14:paraId="29C429D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15.00</w:t>
            </w:r>
          </w:p>
        </w:tc>
        <w:tc>
          <w:tcPr>
            <w:tcW w:w="939" w:type="dxa"/>
            <w:vAlign w:val="bottom"/>
          </w:tcPr>
          <w:p w14:paraId="658526D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46.00</w:t>
            </w:r>
          </w:p>
        </w:tc>
        <w:tc>
          <w:tcPr>
            <w:tcW w:w="830" w:type="dxa"/>
            <w:vAlign w:val="bottom"/>
          </w:tcPr>
          <w:p w14:paraId="4030FAB9"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3.56:1</w:t>
            </w:r>
          </w:p>
        </w:tc>
      </w:tr>
      <w:tr w:rsidR="0008626F" w:rsidRPr="00C87872" w14:paraId="0541C8C7" w14:textId="77777777" w:rsidTr="00C87872">
        <w:trPr>
          <w:trHeight w:val="125"/>
        </w:trPr>
        <w:tc>
          <w:tcPr>
            <w:tcW w:w="724" w:type="dxa"/>
            <w:vAlign w:val="center"/>
          </w:tcPr>
          <w:p w14:paraId="155C1B3F"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3</w:t>
            </w:r>
          </w:p>
        </w:tc>
        <w:tc>
          <w:tcPr>
            <w:tcW w:w="1629" w:type="dxa"/>
            <w:vAlign w:val="center"/>
          </w:tcPr>
          <w:p w14:paraId="098E0892"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xml:space="preserve">Cow dung slurry  </w:t>
            </w:r>
          </w:p>
        </w:tc>
        <w:tc>
          <w:tcPr>
            <w:tcW w:w="1464" w:type="dxa"/>
          </w:tcPr>
          <w:p w14:paraId="28EB83DC"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1:10</w:t>
            </w:r>
          </w:p>
        </w:tc>
        <w:tc>
          <w:tcPr>
            <w:tcW w:w="1373" w:type="dxa"/>
            <w:vAlign w:val="bottom"/>
          </w:tcPr>
          <w:p w14:paraId="6E2E58F3"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35.00</w:t>
            </w:r>
          </w:p>
        </w:tc>
        <w:tc>
          <w:tcPr>
            <w:tcW w:w="1337" w:type="dxa"/>
            <w:vAlign w:val="bottom"/>
          </w:tcPr>
          <w:p w14:paraId="03174DC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26.33</w:t>
            </w:r>
          </w:p>
        </w:tc>
        <w:tc>
          <w:tcPr>
            <w:tcW w:w="1169" w:type="dxa"/>
            <w:vAlign w:val="bottom"/>
          </w:tcPr>
          <w:p w14:paraId="30107E20"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14.67</w:t>
            </w:r>
          </w:p>
        </w:tc>
        <w:tc>
          <w:tcPr>
            <w:tcW w:w="939" w:type="dxa"/>
            <w:vAlign w:val="bottom"/>
          </w:tcPr>
          <w:p w14:paraId="03C36481"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49.67</w:t>
            </w:r>
          </w:p>
        </w:tc>
        <w:tc>
          <w:tcPr>
            <w:tcW w:w="830" w:type="dxa"/>
            <w:vAlign w:val="bottom"/>
          </w:tcPr>
          <w:p w14:paraId="79F348E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5.82:1</w:t>
            </w:r>
          </w:p>
        </w:tc>
      </w:tr>
      <w:tr w:rsidR="0008626F" w:rsidRPr="00C87872" w14:paraId="562C98BA" w14:textId="77777777" w:rsidTr="00C87872">
        <w:trPr>
          <w:trHeight w:val="253"/>
        </w:trPr>
        <w:tc>
          <w:tcPr>
            <w:tcW w:w="724" w:type="dxa"/>
            <w:vAlign w:val="center"/>
          </w:tcPr>
          <w:p w14:paraId="47C02693"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4</w:t>
            </w:r>
          </w:p>
        </w:tc>
        <w:tc>
          <w:tcPr>
            <w:tcW w:w="1629" w:type="dxa"/>
            <w:vAlign w:val="center"/>
          </w:tcPr>
          <w:p w14:paraId="3194BCA8"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Cow dung slurry + Cow urine</w:t>
            </w:r>
          </w:p>
        </w:tc>
        <w:tc>
          <w:tcPr>
            <w:tcW w:w="1464" w:type="dxa"/>
          </w:tcPr>
          <w:p w14:paraId="3216380C"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1:5</w:t>
            </w:r>
          </w:p>
        </w:tc>
        <w:tc>
          <w:tcPr>
            <w:tcW w:w="1373" w:type="dxa"/>
            <w:vAlign w:val="bottom"/>
          </w:tcPr>
          <w:p w14:paraId="1970F4FC"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46.33</w:t>
            </w:r>
          </w:p>
        </w:tc>
        <w:tc>
          <w:tcPr>
            <w:tcW w:w="1337" w:type="dxa"/>
            <w:vAlign w:val="bottom"/>
          </w:tcPr>
          <w:p w14:paraId="1D732C1C"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37.66</w:t>
            </w:r>
          </w:p>
        </w:tc>
        <w:tc>
          <w:tcPr>
            <w:tcW w:w="1169" w:type="dxa"/>
            <w:vAlign w:val="bottom"/>
          </w:tcPr>
          <w:p w14:paraId="666FE95D"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14.33</w:t>
            </w:r>
          </w:p>
        </w:tc>
        <w:tc>
          <w:tcPr>
            <w:tcW w:w="939" w:type="dxa"/>
            <w:vAlign w:val="bottom"/>
          </w:tcPr>
          <w:p w14:paraId="6E5881A7"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60.67</w:t>
            </w:r>
          </w:p>
        </w:tc>
        <w:tc>
          <w:tcPr>
            <w:tcW w:w="830" w:type="dxa"/>
            <w:vAlign w:val="bottom"/>
          </w:tcPr>
          <w:p w14:paraId="5472E0F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4.47:1</w:t>
            </w:r>
          </w:p>
        </w:tc>
      </w:tr>
      <w:tr w:rsidR="0008626F" w:rsidRPr="00C87872" w14:paraId="3D8A0537" w14:textId="77777777" w:rsidTr="00C87872">
        <w:trPr>
          <w:trHeight w:val="253"/>
        </w:trPr>
        <w:tc>
          <w:tcPr>
            <w:tcW w:w="724" w:type="dxa"/>
            <w:vAlign w:val="center"/>
          </w:tcPr>
          <w:p w14:paraId="07EBF83B"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5</w:t>
            </w:r>
          </w:p>
        </w:tc>
        <w:tc>
          <w:tcPr>
            <w:tcW w:w="1629" w:type="dxa"/>
            <w:vAlign w:val="center"/>
          </w:tcPr>
          <w:p w14:paraId="029EAF0D"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Cow urine</w:t>
            </w:r>
            <w:r w:rsidRPr="00C87872">
              <w:rPr>
                <w:rFonts w:ascii="Arial" w:hAnsi="Arial" w:cs="Arial"/>
                <w:i/>
                <w:iCs/>
                <w:color w:val="000000" w:themeColor="text1"/>
                <w:sz w:val="20"/>
                <w:szCs w:val="20"/>
              </w:rPr>
              <w:t xml:space="preserve"> + Azadirachta indica</w:t>
            </w:r>
          </w:p>
        </w:tc>
        <w:tc>
          <w:tcPr>
            <w:tcW w:w="1464" w:type="dxa"/>
          </w:tcPr>
          <w:p w14:paraId="1CAE415E"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10ml /lt</w:t>
            </w:r>
          </w:p>
        </w:tc>
        <w:tc>
          <w:tcPr>
            <w:tcW w:w="1373" w:type="dxa"/>
            <w:vAlign w:val="bottom"/>
          </w:tcPr>
          <w:p w14:paraId="640E7D1A"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50.00</w:t>
            </w:r>
          </w:p>
        </w:tc>
        <w:tc>
          <w:tcPr>
            <w:tcW w:w="1337" w:type="dxa"/>
            <w:vAlign w:val="bottom"/>
          </w:tcPr>
          <w:p w14:paraId="1AE24A01"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41.33</w:t>
            </w:r>
          </w:p>
        </w:tc>
        <w:tc>
          <w:tcPr>
            <w:tcW w:w="1169" w:type="dxa"/>
            <w:vAlign w:val="bottom"/>
          </w:tcPr>
          <w:p w14:paraId="763DCFF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10.67</w:t>
            </w:r>
          </w:p>
        </w:tc>
        <w:tc>
          <w:tcPr>
            <w:tcW w:w="939" w:type="dxa"/>
            <w:vAlign w:val="bottom"/>
          </w:tcPr>
          <w:p w14:paraId="3C6135FD"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60.67</w:t>
            </w:r>
          </w:p>
        </w:tc>
        <w:tc>
          <w:tcPr>
            <w:tcW w:w="830" w:type="dxa"/>
            <w:vAlign w:val="bottom"/>
          </w:tcPr>
          <w:p w14:paraId="78610858"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8.43:1</w:t>
            </w:r>
          </w:p>
        </w:tc>
      </w:tr>
      <w:tr w:rsidR="0008626F" w:rsidRPr="00C87872" w14:paraId="5AFE67DA" w14:textId="77777777" w:rsidTr="00C87872">
        <w:trPr>
          <w:trHeight w:val="253"/>
        </w:trPr>
        <w:tc>
          <w:tcPr>
            <w:tcW w:w="724" w:type="dxa"/>
            <w:vAlign w:val="center"/>
          </w:tcPr>
          <w:p w14:paraId="72F6E286"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6</w:t>
            </w:r>
          </w:p>
        </w:tc>
        <w:tc>
          <w:tcPr>
            <w:tcW w:w="1629" w:type="dxa"/>
            <w:vAlign w:val="center"/>
          </w:tcPr>
          <w:p w14:paraId="045D1CD4"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xml:space="preserve">Cow Urine+ </w:t>
            </w:r>
            <w:r w:rsidRPr="00C87872">
              <w:rPr>
                <w:rFonts w:ascii="Arial" w:hAnsi="Arial" w:cs="Arial"/>
                <w:i/>
                <w:iCs/>
                <w:color w:val="000000" w:themeColor="text1"/>
                <w:sz w:val="20"/>
                <w:szCs w:val="20"/>
              </w:rPr>
              <w:t>Allium tuberosum</w:t>
            </w:r>
          </w:p>
        </w:tc>
        <w:tc>
          <w:tcPr>
            <w:tcW w:w="1464" w:type="dxa"/>
          </w:tcPr>
          <w:p w14:paraId="0327A518"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10ml /lt</w:t>
            </w:r>
          </w:p>
        </w:tc>
        <w:tc>
          <w:tcPr>
            <w:tcW w:w="1373" w:type="dxa"/>
            <w:vAlign w:val="bottom"/>
          </w:tcPr>
          <w:p w14:paraId="22F5466A"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46.67</w:t>
            </w:r>
          </w:p>
        </w:tc>
        <w:tc>
          <w:tcPr>
            <w:tcW w:w="1337" w:type="dxa"/>
            <w:vAlign w:val="bottom"/>
          </w:tcPr>
          <w:p w14:paraId="369B08E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38.00</w:t>
            </w:r>
          </w:p>
        </w:tc>
        <w:tc>
          <w:tcPr>
            <w:tcW w:w="1169" w:type="dxa"/>
            <w:vAlign w:val="bottom"/>
          </w:tcPr>
          <w:p w14:paraId="74B27AA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13.00</w:t>
            </w:r>
          </w:p>
        </w:tc>
        <w:tc>
          <w:tcPr>
            <w:tcW w:w="939" w:type="dxa"/>
            <w:vAlign w:val="bottom"/>
          </w:tcPr>
          <w:p w14:paraId="7E197EC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59.67</w:t>
            </w:r>
          </w:p>
        </w:tc>
        <w:tc>
          <w:tcPr>
            <w:tcW w:w="830" w:type="dxa"/>
            <w:vAlign w:val="bottom"/>
          </w:tcPr>
          <w:p w14:paraId="3322D97D"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7.54:1</w:t>
            </w:r>
          </w:p>
        </w:tc>
      </w:tr>
      <w:tr w:rsidR="0008626F" w:rsidRPr="00C87872" w14:paraId="2BC966DE" w14:textId="77777777" w:rsidTr="00C87872">
        <w:trPr>
          <w:trHeight w:val="381"/>
        </w:trPr>
        <w:tc>
          <w:tcPr>
            <w:tcW w:w="724" w:type="dxa"/>
            <w:vAlign w:val="center"/>
          </w:tcPr>
          <w:p w14:paraId="6CE2EF0F"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7</w:t>
            </w:r>
          </w:p>
        </w:tc>
        <w:tc>
          <w:tcPr>
            <w:tcW w:w="1629" w:type="dxa"/>
            <w:vAlign w:val="center"/>
          </w:tcPr>
          <w:p w14:paraId="58F9FC9F"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Chinaberry leaf extract</w:t>
            </w:r>
            <w:r w:rsidRPr="00C87872">
              <w:rPr>
                <w:rFonts w:ascii="Arial" w:hAnsi="Arial" w:cs="Arial"/>
                <w:i/>
                <w:color w:val="000000" w:themeColor="text1"/>
                <w:sz w:val="20"/>
                <w:szCs w:val="20"/>
              </w:rPr>
              <w:t xml:space="preserve"> (Melia azaderach)</w:t>
            </w:r>
            <w:r w:rsidRPr="00C87872">
              <w:rPr>
                <w:rFonts w:ascii="Arial" w:hAnsi="Arial" w:cs="Arial"/>
                <w:color w:val="000000" w:themeColor="text1"/>
                <w:sz w:val="20"/>
                <w:szCs w:val="20"/>
              </w:rPr>
              <w:t xml:space="preserve"> </w:t>
            </w:r>
          </w:p>
        </w:tc>
        <w:tc>
          <w:tcPr>
            <w:tcW w:w="1464" w:type="dxa"/>
          </w:tcPr>
          <w:p w14:paraId="095D4871"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10ml /lt</w:t>
            </w:r>
          </w:p>
        </w:tc>
        <w:tc>
          <w:tcPr>
            <w:tcW w:w="1373" w:type="dxa"/>
            <w:vAlign w:val="bottom"/>
          </w:tcPr>
          <w:p w14:paraId="5AB0C10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56.00</w:t>
            </w:r>
          </w:p>
        </w:tc>
        <w:tc>
          <w:tcPr>
            <w:tcW w:w="1337" w:type="dxa"/>
            <w:vAlign w:val="bottom"/>
          </w:tcPr>
          <w:p w14:paraId="49E95F24"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47.33</w:t>
            </w:r>
          </w:p>
        </w:tc>
        <w:tc>
          <w:tcPr>
            <w:tcW w:w="1169" w:type="dxa"/>
            <w:vAlign w:val="bottom"/>
          </w:tcPr>
          <w:p w14:paraId="18F3B3C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9.00</w:t>
            </w:r>
          </w:p>
        </w:tc>
        <w:tc>
          <w:tcPr>
            <w:tcW w:w="939" w:type="dxa"/>
            <w:vAlign w:val="bottom"/>
          </w:tcPr>
          <w:p w14:paraId="5843DE7C"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65.00</w:t>
            </w:r>
          </w:p>
        </w:tc>
        <w:tc>
          <w:tcPr>
            <w:tcW w:w="830" w:type="dxa"/>
            <w:vAlign w:val="bottom"/>
          </w:tcPr>
          <w:p w14:paraId="3EBB200D"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8.39:1</w:t>
            </w:r>
          </w:p>
        </w:tc>
      </w:tr>
      <w:tr w:rsidR="0008626F" w:rsidRPr="00C87872" w14:paraId="28DD22DC" w14:textId="77777777" w:rsidTr="00C87872">
        <w:trPr>
          <w:trHeight w:val="381"/>
        </w:trPr>
        <w:tc>
          <w:tcPr>
            <w:tcW w:w="724" w:type="dxa"/>
            <w:vAlign w:val="center"/>
          </w:tcPr>
          <w:p w14:paraId="687C2BD0"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8</w:t>
            </w:r>
          </w:p>
        </w:tc>
        <w:tc>
          <w:tcPr>
            <w:tcW w:w="1629" w:type="dxa"/>
            <w:vAlign w:val="center"/>
          </w:tcPr>
          <w:p w14:paraId="7EA9AA3E"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Green neem (</w:t>
            </w:r>
            <w:r w:rsidRPr="00C87872">
              <w:rPr>
                <w:rFonts w:ascii="Arial" w:hAnsi="Arial" w:cs="Arial"/>
                <w:i/>
                <w:color w:val="000000" w:themeColor="text1"/>
                <w:sz w:val="20"/>
                <w:szCs w:val="20"/>
              </w:rPr>
              <w:t xml:space="preserve">Azadirachta indica </w:t>
            </w:r>
            <w:r w:rsidRPr="00C87872">
              <w:rPr>
                <w:rFonts w:ascii="Arial" w:hAnsi="Arial" w:cs="Arial"/>
                <w:color w:val="000000" w:themeColor="text1"/>
                <w:sz w:val="20"/>
                <w:szCs w:val="20"/>
              </w:rPr>
              <w:t xml:space="preserve">0.1% EC)  </w:t>
            </w:r>
          </w:p>
        </w:tc>
        <w:tc>
          <w:tcPr>
            <w:tcW w:w="1464" w:type="dxa"/>
          </w:tcPr>
          <w:p w14:paraId="4DF50B00"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2 ml/lt</w:t>
            </w:r>
          </w:p>
        </w:tc>
        <w:tc>
          <w:tcPr>
            <w:tcW w:w="1373" w:type="dxa"/>
            <w:vAlign w:val="bottom"/>
          </w:tcPr>
          <w:p w14:paraId="4CB3F037"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59.67</w:t>
            </w:r>
          </w:p>
        </w:tc>
        <w:tc>
          <w:tcPr>
            <w:tcW w:w="1337" w:type="dxa"/>
            <w:vAlign w:val="bottom"/>
          </w:tcPr>
          <w:p w14:paraId="2E13596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51.00</w:t>
            </w:r>
          </w:p>
        </w:tc>
        <w:tc>
          <w:tcPr>
            <w:tcW w:w="1169" w:type="dxa"/>
            <w:vAlign w:val="bottom"/>
          </w:tcPr>
          <w:p w14:paraId="375A9692"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7.67</w:t>
            </w:r>
          </w:p>
        </w:tc>
        <w:tc>
          <w:tcPr>
            <w:tcW w:w="939" w:type="dxa"/>
            <w:vAlign w:val="bottom"/>
          </w:tcPr>
          <w:p w14:paraId="294F2F10"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67.33</w:t>
            </w:r>
          </w:p>
        </w:tc>
        <w:tc>
          <w:tcPr>
            <w:tcW w:w="830" w:type="dxa"/>
            <w:vAlign w:val="bottom"/>
          </w:tcPr>
          <w:p w14:paraId="5DCD525A"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9.29:1</w:t>
            </w:r>
          </w:p>
        </w:tc>
      </w:tr>
      <w:tr w:rsidR="0008626F" w:rsidRPr="00C87872" w14:paraId="61A8359E" w14:textId="77777777" w:rsidTr="00C87872">
        <w:trPr>
          <w:trHeight w:val="253"/>
        </w:trPr>
        <w:tc>
          <w:tcPr>
            <w:tcW w:w="724" w:type="dxa"/>
            <w:vAlign w:val="center"/>
          </w:tcPr>
          <w:p w14:paraId="468F156F"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9</w:t>
            </w:r>
          </w:p>
        </w:tc>
        <w:tc>
          <w:tcPr>
            <w:tcW w:w="1629" w:type="dxa"/>
            <w:vAlign w:val="center"/>
          </w:tcPr>
          <w:p w14:paraId="7A36100C"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Tracer (Spinosad) 45 SC</w:t>
            </w:r>
          </w:p>
        </w:tc>
        <w:tc>
          <w:tcPr>
            <w:tcW w:w="1464" w:type="dxa"/>
          </w:tcPr>
          <w:p w14:paraId="07129C91"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 75gm a.i/ha</w:t>
            </w:r>
          </w:p>
        </w:tc>
        <w:tc>
          <w:tcPr>
            <w:tcW w:w="1373" w:type="dxa"/>
            <w:vAlign w:val="bottom"/>
          </w:tcPr>
          <w:p w14:paraId="700D120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67.33</w:t>
            </w:r>
          </w:p>
        </w:tc>
        <w:tc>
          <w:tcPr>
            <w:tcW w:w="1337" w:type="dxa"/>
            <w:vAlign w:val="bottom"/>
          </w:tcPr>
          <w:p w14:paraId="407AA9C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58.66</w:t>
            </w:r>
          </w:p>
        </w:tc>
        <w:tc>
          <w:tcPr>
            <w:tcW w:w="1169" w:type="dxa"/>
            <w:vAlign w:val="bottom"/>
          </w:tcPr>
          <w:p w14:paraId="3CD13474"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7.00</w:t>
            </w:r>
          </w:p>
        </w:tc>
        <w:tc>
          <w:tcPr>
            <w:tcW w:w="939" w:type="dxa"/>
            <w:vAlign w:val="bottom"/>
          </w:tcPr>
          <w:p w14:paraId="40D62034"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74.33</w:t>
            </w:r>
          </w:p>
        </w:tc>
        <w:tc>
          <w:tcPr>
            <w:tcW w:w="830" w:type="dxa"/>
            <w:vAlign w:val="bottom"/>
          </w:tcPr>
          <w:p w14:paraId="719E5177"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5.52:1</w:t>
            </w:r>
          </w:p>
        </w:tc>
      </w:tr>
      <w:tr w:rsidR="0008626F" w:rsidRPr="00C87872" w14:paraId="35EC1795" w14:textId="77777777" w:rsidTr="00C87872">
        <w:trPr>
          <w:trHeight w:val="125"/>
        </w:trPr>
        <w:tc>
          <w:tcPr>
            <w:tcW w:w="724" w:type="dxa"/>
            <w:vAlign w:val="bottom"/>
          </w:tcPr>
          <w:p w14:paraId="0D1DE41D"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T</w:t>
            </w:r>
            <w:r w:rsidRPr="00C87872">
              <w:rPr>
                <w:rFonts w:ascii="Arial" w:hAnsi="Arial" w:cs="Arial"/>
                <w:b/>
                <w:bCs/>
                <w:color w:val="000000" w:themeColor="text1"/>
                <w:sz w:val="20"/>
                <w:szCs w:val="20"/>
                <w:vertAlign w:val="subscript"/>
              </w:rPr>
              <w:t>10</w:t>
            </w:r>
          </w:p>
        </w:tc>
        <w:tc>
          <w:tcPr>
            <w:tcW w:w="1629" w:type="dxa"/>
            <w:vAlign w:val="bottom"/>
          </w:tcPr>
          <w:p w14:paraId="4EC4EDB9"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Untreated</w:t>
            </w:r>
          </w:p>
        </w:tc>
        <w:tc>
          <w:tcPr>
            <w:tcW w:w="1464" w:type="dxa"/>
          </w:tcPr>
          <w:p w14:paraId="73E0AD18" w14:textId="77777777" w:rsidR="0008626F" w:rsidRPr="00C87872" w:rsidRDefault="0008626F" w:rsidP="00E75652">
            <w:pPr>
              <w:rPr>
                <w:rFonts w:ascii="Arial" w:hAnsi="Arial" w:cs="Arial"/>
                <w:color w:val="000000" w:themeColor="text1"/>
                <w:sz w:val="20"/>
                <w:szCs w:val="20"/>
              </w:rPr>
            </w:pPr>
            <w:r w:rsidRPr="00C87872">
              <w:rPr>
                <w:rFonts w:ascii="Arial" w:hAnsi="Arial" w:cs="Arial"/>
                <w:color w:val="000000" w:themeColor="text1"/>
                <w:sz w:val="20"/>
                <w:szCs w:val="20"/>
              </w:rPr>
              <w:t>-</w:t>
            </w:r>
          </w:p>
        </w:tc>
        <w:tc>
          <w:tcPr>
            <w:tcW w:w="1373" w:type="dxa"/>
            <w:vAlign w:val="bottom"/>
          </w:tcPr>
          <w:p w14:paraId="0D5D5839"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6.67</w:t>
            </w:r>
          </w:p>
        </w:tc>
        <w:tc>
          <w:tcPr>
            <w:tcW w:w="1337" w:type="dxa"/>
          </w:tcPr>
          <w:p w14:paraId="510E48C4"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vAlign w:val="bottom"/>
          </w:tcPr>
          <w:p w14:paraId="2C0A5AAD"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21.00</w:t>
            </w:r>
          </w:p>
        </w:tc>
        <w:tc>
          <w:tcPr>
            <w:tcW w:w="939" w:type="dxa"/>
            <w:vAlign w:val="bottom"/>
          </w:tcPr>
          <w:p w14:paraId="24455FAA"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27.67</w:t>
            </w:r>
          </w:p>
        </w:tc>
        <w:tc>
          <w:tcPr>
            <w:tcW w:w="830" w:type="dxa"/>
          </w:tcPr>
          <w:p w14:paraId="1473B4CF"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0.89:1</w:t>
            </w:r>
          </w:p>
        </w:tc>
      </w:tr>
      <w:tr w:rsidR="0008626F" w:rsidRPr="00C87872" w14:paraId="3E7DFBD4" w14:textId="77777777" w:rsidTr="00C87872">
        <w:trPr>
          <w:trHeight w:val="31"/>
        </w:trPr>
        <w:tc>
          <w:tcPr>
            <w:tcW w:w="3817" w:type="dxa"/>
            <w:gridSpan w:val="3"/>
            <w:vAlign w:val="bottom"/>
          </w:tcPr>
          <w:p w14:paraId="3D517350" w14:textId="77777777" w:rsidR="0008626F" w:rsidRPr="00C87872" w:rsidRDefault="0008626F" w:rsidP="00E75652">
            <w:pPr>
              <w:rPr>
                <w:rFonts w:ascii="Arial" w:hAnsi="Arial" w:cs="Arial"/>
                <w:color w:val="000000" w:themeColor="text1"/>
                <w:sz w:val="20"/>
                <w:szCs w:val="20"/>
              </w:rPr>
            </w:pPr>
            <w:r w:rsidRPr="00C87872">
              <w:rPr>
                <w:rFonts w:ascii="Arial" w:hAnsi="Arial" w:cs="Arial"/>
                <w:b/>
                <w:bCs/>
                <w:color w:val="000000" w:themeColor="text1"/>
                <w:sz w:val="20"/>
                <w:szCs w:val="20"/>
              </w:rPr>
              <w:t>SE (m)</w:t>
            </w:r>
          </w:p>
        </w:tc>
        <w:tc>
          <w:tcPr>
            <w:tcW w:w="1373" w:type="dxa"/>
          </w:tcPr>
          <w:p w14:paraId="78C1A923"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1.57</w:t>
            </w:r>
          </w:p>
        </w:tc>
        <w:tc>
          <w:tcPr>
            <w:tcW w:w="1337" w:type="dxa"/>
          </w:tcPr>
          <w:p w14:paraId="3882A531"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tcPr>
          <w:p w14:paraId="07081DD9"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1.07</w:t>
            </w:r>
          </w:p>
        </w:tc>
        <w:tc>
          <w:tcPr>
            <w:tcW w:w="939" w:type="dxa"/>
          </w:tcPr>
          <w:p w14:paraId="5D6DC786"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1.68</w:t>
            </w:r>
          </w:p>
        </w:tc>
        <w:tc>
          <w:tcPr>
            <w:tcW w:w="830" w:type="dxa"/>
          </w:tcPr>
          <w:p w14:paraId="578C5AA3" w14:textId="77777777" w:rsidR="0008626F" w:rsidRPr="00C87872" w:rsidRDefault="0008626F" w:rsidP="00E75652">
            <w:pPr>
              <w:jc w:val="center"/>
              <w:rPr>
                <w:rFonts w:ascii="Arial" w:hAnsi="Arial" w:cs="Arial"/>
                <w:color w:val="000000" w:themeColor="text1"/>
                <w:sz w:val="20"/>
                <w:szCs w:val="20"/>
              </w:rPr>
            </w:pPr>
          </w:p>
        </w:tc>
      </w:tr>
      <w:tr w:rsidR="0008626F" w:rsidRPr="00C87872" w14:paraId="6CE919F5" w14:textId="77777777" w:rsidTr="00C87872">
        <w:trPr>
          <w:trHeight w:val="119"/>
        </w:trPr>
        <w:tc>
          <w:tcPr>
            <w:tcW w:w="3817" w:type="dxa"/>
            <w:gridSpan w:val="3"/>
          </w:tcPr>
          <w:p w14:paraId="0232BAFA" w14:textId="77777777" w:rsidR="0008626F" w:rsidRPr="00C87872" w:rsidRDefault="0008626F" w:rsidP="00E75652">
            <w:pPr>
              <w:rPr>
                <w:rFonts w:ascii="Arial" w:hAnsi="Arial" w:cs="Arial"/>
                <w:b/>
                <w:bCs/>
                <w:color w:val="000000" w:themeColor="text1"/>
                <w:sz w:val="20"/>
                <w:szCs w:val="20"/>
              </w:rPr>
            </w:pPr>
            <w:r w:rsidRPr="00C87872">
              <w:rPr>
                <w:rFonts w:ascii="Arial" w:hAnsi="Arial" w:cs="Arial"/>
                <w:b/>
                <w:bCs/>
                <w:color w:val="000000" w:themeColor="text1"/>
                <w:sz w:val="20"/>
                <w:szCs w:val="20"/>
              </w:rPr>
              <w:t>CD</w:t>
            </w:r>
          </w:p>
        </w:tc>
        <w:tc>
          <w:tcPr>
            <w:tcW w:w="1373" w:type="dxa"/>
          </w:tcPr>
          <w:p w14:paraId="6F3BBCD1"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4.65</w:t>
            </w:r>
          </w:p>
        </w:tc>
        <w:tc>
          <w:tcPr>
            <w:tcW w:w="1337" w:type="dxa"/>
          </w:tcPr>
          <w:p w14:paraId="61C7A060"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w:t>
            </w:r>
          </w:p>
        </w:tc>
        <w:tc>
          <w:tcPr>
            <w:tcW w:w="1169" w:type="dxa"/>
          </w:tcPr>
          <w:p w14:paraId="42607CC9"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3.17</w:t>
            </w:r>
          </w:p>
        </w:tc>
        <w:tc>
          <w:tcPr>
            <w:tcW w:w="939" w:type="dxa"/>
          </w:tcPr>
          <w:p w14:paraId="0A9FF2CE" w14:textId="77777777" w:rsidR="0008626F" w:rsidRPr="00C87872" w:rsidRDefault="0008626F" w:rsidP="00E75652">
            <w:pPr>
              <w:jc w:val="center"/>
              <w:rPr>
                <w:rFonts w:ascii="Arial" w:hAnsi="Arial" w:cs="Arial"/>
                <w:color w:val="000000" w:themeColor="text1"/>
                <w:sz w:val="20"/>
                <w:szCs w:val="20"/>
              </w:rPr>
            </w:pPr>
            <w:r w:rsidRPr="00C87872">
              <w:rPr>
                <w:rFonts w:ascii="Arial" w:hAnsi="Arial" w:cs="Arial"/>
                <w:color w:val="000000" w:themeColor="text1"/>
                <w:sz w:val="20"/>
                <w:szCs w:val="20"/>
              </w:rPr>
              <w:t>4.98</w:t>
            </w:r>
          </w:p>
        </w:tc>
        <w:tc>
          <w:tcPr>
            <w:tcW w:w="830" w:type="dxa"/>
          </w:tcPr>
          <w:p w14:paraId="35327CC3" w14:textId="77777777" w:rsidR="0008626F" w:rsidRPr="00C87872" w:rsidRDefault="0008626F" w:rsidP="00E75652">
            <w:pPr>
              <w:jc w:val="center"/>
              <w:rPr>
                <w:rFonts w:ascii="Arial" w:hAnsi="Arial" w:cs="Arial"/>
                <w:color w:val="000000" w:themeColor="text1"/>
                <w:sz w:val="20"/>
                <w:szCs w:val="20"/>
              </w:rPr>
            </w:pPr>
          </w:p>
        </w:tc>
      </w:tr>
    </w:tbl>
    <w:p w14:paraId="7C978277" w14:textId="77777777" w:rsidR="00605FDF" w:rsidRPr="00C87872" w:rsidRDefault="008B25EE" w:rsidP="005D0FB9">
      <w:pPr>
        <w:pStyle w:val="NormalWeb"/>
        <w:jc w:val="both"/>
        <w:rPr>
          <w:rFonts w:ascii="Arial" w:hAnsi="Arial" w:cs="Arial"/>
        </w:rPr>
        <w:sectPr w:rsidR="00605FDF" w:rsidRPr="00C87872" w:rsidSect="00C90E45">
          <w:type w:val="continuous"/>
          <w:pgSz w:w="11910" w:h="16840"/>
          <w:pgMar w:top="1480" w:right="992" w:bottom="278" w:left="1418" w:header="720" w:footer="720" w:gutter="0"/>
          <w:cols w:space="708"/>
          <w:docGrid w:linePitch="299"/>
        </w:sectPr>
      </w:pPr>
      <w:r w:rsidRPr="00C87872">
        <w:rPr>
          <w:rStyle w:val="Strong"/>
          <w:rFonts w:ascii="Arial" w:hAnsi="Arial" w:cs="Arial"/>
        </w:rPr>
        <w:t>Conclusion</w:t>
      </w:r>
      <w:r w:rsidRPr="00C87872">
        <w:rPr>
          <w:rFonts w:ascii="Arial" w:hAnsi="Arial" w:cs="Arial"/>
        </w:rPr>
        <w:br/>
        <w:t xml:space="preserve">The study clearly demonstrated that among all treatments, Tracer (Spinosad 45 SC) was the most effective in reducing </w:t>
      </w:r>
      <w:r w:rsidRPr="00C87872">
        <w:rPr>
          <w:rStyle w:val="Emphasis"/>
          <w:rFonts w:ascii="Arial" w:hAnsi="Arial" w:cs="Arial"/>
        </w:rPr>
        <w:t>Leucinodes orbonalis</w:t>
      </w:r>
      <w:r w:rsidRPr="00C87872">
        <w:rPr>
          <w:rFonts w:ascii="Arial" w:hAnsi="Arial" w:cs="Arial"/>
        </w:rPr>
        <w:t xml:space="preserve"> infestation and achieving the highest fruit yield. H</w:t>
      </w:r>
      <w:r w:rsidR="009236B0" w:rsidRPr="00C87872">
        <w:rPr>
          <w:rFonts w:ascii="Arial" w:hAnsi="Arial" w:cs="Arial"/>
        </w:rPr>
        <w:t>owever, Green Neem (</w:t>
      </w:r>
      <w:r w:rsidR="009236B0" w:rsidRPr="00C87872">
        <w:rPr>
          <w:rFonts w:ascii="Arial" w:hAnsi="Arial" w:cs="Arial"/>
          <w:i/>
        </w:rPr>
        <w:t>Azadirachta indica</w:t>
      </w:r>
      <w:r w:rsidR="009236B0" w:rsidRPr="00C87872">
        <w:rPr>
          <w:rFonts w:ascii="Arial" w:hAnsi="Arial" w:cs="Arial"/>
        </w:rPr>
        <w:t xml:space="preserve"> </w:t>
      </w:r>
      <w:r w:rsidRPr="00C87872">
        <w:rPr>
          <w:rFonts w:ascii="Arial" w:hAnsi="Arial" w:cs="Arial"/>
        </w:rPr>
        <w:t xml:space="preserve">1% EC), Cow urine + </w:t>
      </w:r>
      <w:r w:rsidRPr="00C87872">
        <w:rPr>
          <w:rStyle w:val="Emphasis"/>
          <w:rFonts w:ascii="Arial" w:hAnsi="Arial" w:cs="Arial"/>
        </w:rPr>
        <w:t>Azadirachta indica</w:t>
      </w:r>
      <w:r w:rsidRPr="00C87872">
        <w:rPr>
          <w:rFonts w:ascii="Arial" w:hAnsi="Arial" w:cs="Arial"/>
        </w:rPr>
        <w:t>, and Chinaberry leaf extract em</w:t>
      </w:r>
      <w:r w:rsidR="009236B0" w:rsidRPr="00C87872">
        <w:rPr>
          <w:rFonts w:ascii="Arial" w:hAnsi="Arial" w:cs="Arial"/>
        </w:rPr>
        <w:t xml:space="preserve">erged as promising eco-friendly </w:t>
      </w:r>
      <w:r w:rsidRPr="00C87872">
        <w:rPr>
          <w:rFonts w:ascii="Arial" w:hAnsi="Arial" w:cs="Arial"/>
        </w:rPr>
        <w:t>alternat</w:t>
      </w:r>
      <w:r w:rsidR="009236B0" w:rsidRPr="00C87872">
        <w:rPr>
          <w:rFonts w:ascii="Arial" w:hAnsi="Arial" w:cs="Arial"/>
        </w:rPr>
        <w:t xml:space="preserve">ives, offering substantial pest </w:t>
      </w:r>
      <w:r w:rsidRPr="00C87872">
        <w:rPr>
          <w:rFonts w:ascii="Arial" w:hAnsi="Arial" w:cs="Arial"/>
        </w:rPr>
        <w:t>suppression, improved yields, and superior economic returns. The findings highlight that integrating Indigenous Technical Knowledge (</w:t>
      </w:r>
      <w:r w:rsidR="009236B0" w:rsidRPr="00C87872">
        <w:rPr>
          <w:rFonts w:ascii="Arial" w:hAnsi="Arial" w:cs="Arial"/>
        </w:rPr>
        <w:t xml:space="preserve">ITK)-based treatments into pest </w:t>
      </w:r>
      <w:r w:rsidRPr="00C87872">
        <w:rPr>
          <w:rFonts w:ascii="Arial" w:hAnsi="Arial" w:cs="Arial"/>
        </w:rPr>
        <w:t>management strategies can provide sustainable and cost-effective so</w:t>
      </w:r>
      <w:r w:rsidR="00C413C1" w:rsidRPr="00C87872">
        <w:rPr>
          <w:rFonts w:ascii="Arial" w:hAnsi="Arial" w:cs="Arial"/>
        </w:rPr>
        <w:t xml:space="preserve">lutions for brinjal cultivation. </w:t>
      </w:r>
    </w:p>
    <w:p w14:paraId="6E2A595D" w14:textId="148FB074" w:rsidR="000A7E7E" w:rsidRPr="00C87872" w:rsidRDefault="00C87872" w:rsidP="000A7E7E">
      <w:pPr>
        <w:pStyle w:val="NormalWeb"/>
        <w:rPr>
          <w:rFonts w:ascii="Arial" w:hAnsi="Arial" w:cs="Arial"/>
          <w:b/>
          <w:bCs/>
        </w:rPr>
      </w:pPr>
      <w:r w:rsidRPr="00C87872">
        <w:rPr>
          <w:rFonts w:ascii="Arial" w:hAnsi="Arial" w:cs="Arial"/>
          <w:b/>
          <w:bCs/>
        </w:rPr>
        <w:t>Reference</w:t>
      </w:r>
    </w:p>
    <w:p w14:paraId="69B33E2B"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proofErr w:type="spellStart"/>
      <w:r w:rsidRPr="00C87872">
        <w:rPr>
          <w:rFonts w:ascii="Arial" w:eastAsia="Times New Roman" w:hAnsi="Arial" w:cs="Arial"/>
          <w:sz w:val="24"/>
          <w:szCs w:val="24"/>
          <w:lang w:eastAsia="en-IN"/>
        </w:rPr>
        <w:t>Adiroubane</w:t>
      </w:r>
      <w:proofErr w:type="spellEnd"/>
      <w:r w:rsidRPr="00C87872">
        <w:rPr>
          <w:rFonts w:ascii="Arial" w:eastAsia="Times New Roman" w:hAnsi="Arial" w:cs="Arial"/>
          <w:sz w:val="24"/>
          <w:szCs w:val="24"/>
          <w:lang w:eastAsia="en-IN"/>
        </w:rPr>
        <w:t xml:space="preserve">, D., &amp; Raghuraman, M. (2006). Evaluation of </w:t>
      </w:r>
      <w:proofErr w:type="spellStart"/>
      <w:r w:rsidRPr="00C87872">
        <w:rPr>
          <w:rFonts w:ascii="Arial" w:eastAsia="Times New Roman" w:hAnsi="Arial" w:cs="Arial"/>
          <w:sz w:val="24"/>
          <w:szCs w:val="24"/>
          <w:lang w:eastAsia="en-IN"/>
        </w:rPr>
        <w:t>bioefficacy</w:t>
      </w:r>
      <w:proofErr w:type="spellEnd"/>
      <w:r w:rsidRPr="00C87872">
        <w:rPr>
          <w:rFonts w:ascii="Arial" w:eastAsia="Times New Roman" w:hAnsi="Arial" w:cs="Arial"/>
          <w:sz w:val="24"/>
          <w:szCs w:val="24"/>
          <w:lang w:eastAsia="en-IN"/>
        </w:rPr>
        <w:t xml:space="preserve"> of Spinosad 45 SC against brinjal fruit and shoot borer. </w:t>
      </w:r>
      <w:r w:rsidRPr="00C87872">
        <w:rPr>
          <w:rFonts w:ascii="Arial" w:eastAsia="Times New Roman" w:hAnsi="Arial" w:cs="Arial"/>
          <w:i/>
          <w:iCs/>
          <w:sz w:val="24"/>
          <w:szCs w:val="24"/>
          <w:lang w:eastAsia="en-IN"/>
        </w:rPr>
        <w:t xml:space="preserve">Journal of Entomological Research, </w:t>
      </w:r>
      <w:r w:rsidRPr="00C87872">
        <w:rPr>
          <w:rFonts w:ascii="Arial" w:eastAsia="Times New Roman" w:hAnsi="Arial" w:cs="Arial"/>
          <w:b/>
          <w:iCs/>
          <w:sz w:val="24"/>
          <w:szCs w:val="24"/>
          <w:lang w:eastAsia="en-IN"/>
        </w:rPr>
        <w:t>30</w:t>
      </w:r>
      <w:r w:rsidRPr="00C87872">
        <w:rPr>
          <w:rFonts w:ascii="Arial" w:eastAsia="Times New Roman" w:hAnsi="Arial" w:cs="Arial"/>
          <w:sz w:val="24"/>
          <w:szCs w:val="24"/>
          <w:lang w:eastAsia="en-IN"/>
        </w:rPr>
        <w:t>(1): 69–72.</w:t>
      </w:r>
    </w:p>
    <w:p w14:paraId="1C64DB5A"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t>Akter, A., Hossain, M. A., &amp; Jahan, S. (2017). Comparative efficacy of bio-rational insecticides against brinjal shoot and fruit borer (</w:t>
      </w:r>
      <w:proofErr w:type="spellStart"/>
      <w:r w:rsidRPr="00C87872">
        <w:rPr>
          <w:rFonts w:ascii="Arial" w:hAnsi="Arial" w:cs="Arial"/>
          <w:i/>
          <w:iCs/>
        </w:rPr>
        <w:t>Leucinodes</w:t>
      </w:r>
      <w:proofErr w:type="spellEnd"/>
      <w:r w:rsidRPr="00C87872">
        <w:rPr>
          <w:rFonts w:ascii="Arial" w:hAnsi="Arial" w:cs="Arial"/>
          <w:i/>
          <w:iCs/>
        </w:rPr>
        <w:t xml:space="preserve"> </w:t>
      </w:r>
      <w:proofErr w:type="spellStart"/>
      <w:r w:rsidRPr="00C87872">
        <w:rPr>
          <w:rFonts w:ascii="Arial" w:hAnsi="Arial" w:cs="Arial"/>
          <w:i/>
          <w:iCs/>
        </w:rPr>
        <w:t>orbonalis</w:t>
      </w:r>
      <w:proofErr w:type="spellEnd"/>
      <w:r w:rsidRPr="00C87872">
        <w:rPr>
          <w:rFonts w:ascii="Arial" w:hAnsi="Arial" w:cs="Arial"/>
        </w:rPr>
        <w:t xml:space="preserve"> </w:t>
      </w:r>
      <w:proofErr w:type="spellStart"/>
      <w:r w:rsidRPr="00C87872">
        <w:rPr>
          <w:rFonts w:ascii="Arial" w:hAnsi="Arial" w:cs="Arial"/>
        </w:rPr>
        <w:t>Guen</w:t>
      </w:r>
      <w:proofErr w:type="spellEnd"/>
      <w:r w:rsidRPr="00C87872">
        <w:rPr>
          <w:rFonts w:ascii="Arial" w:hAnsi="Arial" w:cs="Arial"/>
        </w:rPr>
        <w:t xml:space="preserve">.). </w:t>
      </w:r>
      <w:r w:rsidRPr="00C87872">
        <w:rPr>
          <w:rFonts w:ascii="Arial" w:hAnsi="Arial" w:cs="Arial"/>
          <w:i/>
          <w:iCs/>
        </w:rPr>
        <w:t xml:space="preserve">Journal of Entomology and Zoology Studies, </w:t>
      </w:r>
      <w:r w:rsidRPr="00C87872">
        <w:rPr>
          <w:rFonts w:ascii="Arial" w:hAnsi="Arial" w:cs="Arial"/>
          <w:b/>
          <w:iCs/>
        </w:rPr>
        <w:t>5</w:t>
      </w:r>
      <w:r w:rsidRPr="00C87872">
        <w:rPr>
          <w:rFonts w:ascii="Arial" w:hAnsi="Arial" w:cs="Arial"/>
        </w:rPr>
        <w:t>(2): 585–589.</w:t>
      </w:r>
    </w:p>
    <w:p w14:paraId="643FDC77"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Anil, M., &amp; Sharma, A. (2010). Evaluation of Spinosad 45 SC against brinjal shoot and fruit borer. </w:t>
      </w:r>
      <w:r w:rsidRPr="00C87872">
        <w:rPr>
          <w:rFonts w:ascii="Arial" w:eastAsia="Times New Roman" w:hAnsi="Arial" w:cs="Arial"/>
          <w:i/>
          <w:iCs/>
          <w:sz w:val="24"/>
          <w:szCs w:val="24"/>
          <w:lang w:eastAsia="en-IN"/>
        </w:rPr>
        <w:t xml:space="preserve">Pestology, </w:t>
      </w:r>
      <w:r w:rsidRPr="00C87872">
        <w:rPr>
          <w:rFonts w:ascii="Arial" w:eastAsia="Times New Roman" w:hAnsi="Arial" w:cs="Arial"/>
          <w:b/>
          <w:iCs/>
          <w:sz w:val="24"/>
          <w:szCs w:val="24"/>
          <w:lang w:eastAsia="en-IN"/>
        </w:rPr>
        <w:t>34</w:t>
      </w:r>
      <w:r w:rsidRPr="00C87872">
        <w:rPr>
          <w:rFonts w:ascii="Arial" w:eastAsia="Times New Roman" w:hAnsi="Arial" w:cs="Arial"/>
          <w:sz w:val="24"/>
          <w:szCs w:val="24"/>
          <w:lang w:eastAsia="en-IN"/>
        </w:rPr>
        <w:t>(4): 23–26.</w:t>
      </w:r>
    </w:p>
    <w:p w14:paraId="00F9BA18"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lastRenderedPageBreak/>
        <w:t xml:space="preserve">Anwar S, Mari JM, Khanzada MA and Ullah F. (2015). Efficacy of insecticides against infestation of brinjal fruit borer, </w:t>
      </w:r>
      <w:r w:rsidRPr="00C87872">
        <w:rPr>
          <w:rFonts w:ascii="Arial" w:hAnsi="Arial" w:cs="Arial"/>
          <w:i/>
        </w:rPr>
        <w:t xml:space="preserve">L. </w:t>
      </w:r>
      <w:proofErr w:type="spellStart"/>
      <w:r w:rsidRPr="00C87872">
        <w:rPr>
          <w:rFonts w:ascii="Arial" w:hAnsi="Arial" w:cs="Arial"/>
          <w:i/>
        </w:rPr>
        <w:t>orbonalis</w:t>
      </w:r>
      <w:proofErr w:type="spellEnd"/>
      <w:r w:rsidRPr="00C87872">
        <w:rPr>
          <w:rFonts w:ascii="Arial" w:hAnsi="Arial" w:cs="Arial"/>
        </w:rPr>
        <w:t xml:space="preserve"> </w:t>
      </w:r>
      <w:proofErr w:type="spellStart"/>
      <w:r w:rsidRPr="00C87872">
        <w:rPr>
          <w:rFonts w:ascii="Arial" w:hAnsi="Arial" w:cs="Arial"/>
        </w:rPr>
        <w:t>Guenee</w:t>
      </w:r>
      <w:proofErr w:type="spellEnd"/>
      <w:r w:rsidRPr="00C87872">
        <w:rPr>
          <w:rFonts w:ascii="Arial" w:hAnsi="Arial" w:cs="Arial"/>
        </w:rPr>
        <w:t xml:space="preserve"> (</w:t>
      </w:r>
      <w:proofErr w:type="spellStart"/>
      <w:r w:rsidRPr="00C87872">
        <w:rPr>
          <w:rFonts w:ascii="Arial" w:hAnsi="Arial" w:cs="Arial"/>
        </w:rPr>
        <w:t>Pyralidae</w:t>
      </w:r>
      <w:proofErr w:type="spellEnd"/>
      <w:r w:rsidRPr="00C87872">
        <w:rPr>
          <w:rFonts w:ascii="Arial" w:hAnsi="Arial" w:cs="Arial"/>
        </w:rPr>
        <w:t xml:space="preserve">: Lepidoptera) under field conditions, </w:t>
      </w:r>
      <w:r w:rsidRPr="00C87872">
        <w:rPr>
          <w:rFonts w:ascii="Arial" w:hAnsi="Arial" w:cs="Arial"/>
          <w:i/>
        </w:rPr>
        <w:t>Journal of Entomology and Zoology Studies</w:t>
      </w:r>
      <w:r w:rsidRPr="00C87872">
        <w:rPr>
          <w:rFonts w:ascii="Arial" w:hAnsi="Arial" w:cs="Arial"/>
        </w:rPr>
        <w:t xml:space="preserve">, </w:t>
      </w:r>
      <w:r w:rsidRPr="00C87872">
        <w:rPr>
          <w:rFonts w:ascii="Arial" w:hAnsi="Arial" w:cs="Arial"/>
          <w:b/>
        </w:rPr>
        <w:t>3</w:t>
      </w:r>
      <w:r w:rsidRPr="00C87872">
        <w:rPr>
          <w:rFonts w:ascii="Arial" w:hAnsi="Arial" w:cs="Arial"/>
        </w:rPr>
        <w:t>(3): 292-295.</w:t>
      </w:r>
    </w:p>
    <w:p w14:paraId="0764DDAC" w14:textId="77777777" w:rsidR="000A7E7E" w:rsidRPr="00C87872" w:rsidRDefault="000A7E7E" w:rsidP="000A7E7E">
      <w:pPr>
        <w:spacing w:before="120" w:after="120"/>
        <w:ind w:left="1134" w:hanging="1134"/>
        <w:jc w:val="both"/>
        <w:rPr>
          <w:rFonts w:ascii="Arial" w:hAnsi="Arial" w:cs="Arial"/>
          <w:sz w:val="24"/>
          <w:szCs w:val="24"/>
          <w:shd w:val="clear" w:color="auto" w:fill="FFFFFF"/>
        </w:rPr>
      </w:pPr>
      <w:r w:rsidRPr="00C87872">
        <w:rPr>
          <w:rFonts w:ascii="Arial" w:hAnsi="Arial" w:cs="Arial"/>
          <w:sz w:val="24"/>
          <w:szCs w:val="24"/>
          <w:shd w:val="clear" w:color="auto" w:fill="FFFFFF"/>
        </w:rPr>
        <w:t xml:space="preserve">Banerjee H, Ghosh CA, Banerjee D, Paramasivam M, Banerjee T and Roy S. (2009). </w:t>
      </w:r>
      <w:proofErr w:type="spellStart"/>
      <w:r w:rsidRPr="00C87872">
        <w:rPr>
          <w:rFonts w:ascii="Arial" w:hAnsi="Arial" w:cs="Arial"/>
          <w:sz w:val="24"/>
          <w:szCs w:val="24"/>
          <w:shd w:val="clear" w:color="auto" w:fill="FFFFFF"/>
        </w:rPr>
        <w:t>Propergite</w:t>
      </w:r>
      <w:proofErr w:type="spellEnd"/>
      <w:r w:rsidRPr="00C87872">
        <w:rPr>
          <w:rFonts w:ascii="Arial" w:hAnsi="Arial" w:cs="Arial"/>
          <w:sz w:val="24"/>
          <w:szCs w:val="24"/>
          <w:shd w:val="clear" w:color="auto" w:fill="FFFFFF"/>
        </w:rPr>
        <w:t xml:space="preserve"> </w:t>
      </w:r>
      <w:proofErr w:type="spellStart"/>
      <w:r w:rsidRPr="00C87872">
        <w:rPr>
          <w:rFonts w:ascii="Arial" w:hAnsi="Arial" w:cs="Arial"/>
          <w:sz w:val="24"/>
          <w:szCs w:val="24"/>
          <w:shd w:val="clear" w:color="auto" w:fill="FFFFFF"/>
        </w:rPr>
        <w:t>rinders</w:t>
      </w:r>
      <w:proofErr w:type="spellEnd"/>
      <w:r w:rsidRPr="00C87872">
        <w:rPr>
          <w:rFonts w:ascii="Arial" w:hAnsi="Arial" w:cs="Arial"/>
          <w:sz w:val="24"/>
          <w:szCs w:val="24"/>
          <w:shd w:val="clear" w:color="auto" w:fill="FFFFFF"/>
        </w:rPr>
        <w:t xml:space="preserve"> in okra brinjal fruits. </w:t>
      </w:r>
      <w:r w:rsidRPr="00C87872">
        <w:rPr>
          <w:rFonts w:ascii="Arial" w:hAnsi="Arial" w:cs="Arial"/>
          <w:i/>
          <w:sz w:val="24"/>
          <w:szCs w:val="24"/>
          <w:shd w:val="clear" w:color="auto" w:fill="FFFFFF"/>
        </w:rPr>
        <w:t>Journal of Crop and Weed</w:t>
      </w:r>
      <w:r w:rsidRPr="00C87872">
        <w:rPr>
          <w:rFonts w:ascii="Arial" w:hAnsi="Arial" w:cs="Arial"/>
          <w:sz w:val="24"/>
          <w:szCs w:val="24"/>
          <w:shd w:val="clear" w:color="auto" w:fill="FFFFFF"/>
        </w:rPr>
        <w:t xml:space="preserve">, </w:t>
      </w:r>
      <w:r w:rsidRPr="00C87872">
        <w:rPr>
          <w:rFonts w:ascii="Arial" w:hAnsi="Arial" w:cs="Arial"/>
          <w:b/>
          <w:sz w:val="24"/>
          <w:szCs w:val="24"/>
          <w:shd w:val="clear" w:color="auto" w:fill="FFFFFF"/>
        </w:rPr>
        <w:t>5</w:t>
      </w:r>
      <w:r w:rsidRPr="00C87872">
        <w:rPr>
          <w:rFonts w:ascii="Arial" w:hAnsi="Arial" w:cs="Arial"/>
          <w:sz w:val="24"/>
          <w:szCs w:val="24"/>
          <w:shd w:val="clear" w:color="auto" w:fill="FFFFFF"/>
        </w:rPr>
        <w:t>: 110-12.</w:t>
      </w:r>
    </w:p>
    <w:p w14:paraId="4398D6BE"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 xml:space="preserve">Chakraborti S and Sarkar PK. (2011). Management of </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t>orbonalis</w:t>
      </w:r>
      <w:proofErr w:type="spellEnd"/>
      <w:r w:rsidRPr="00C87872">
        <w:rPr>
          <w:rFonts w:ascii="Arial" w:hAnsi="Arial" w:cs="Arial"/>
        </w:rPr>
        <w:t xml:space="preserve"> </w:t>
      </w:r>
      <w:proofErr w:type="spellStart"/>
      <w:r w:rsidRPr="00C87872">
        <w:rPr>
          <w:rFonts w:ascii="Arial" w:hAnsi="Arial" w:cs="Arial"/>
        </w:rPr>
        <w:t>Gunee</w:t>
      </w:r>
      <w:proofErr w:type="spellEnd"/>
      <w:r w:rsidRPr="00C87872">
        <w:rPr>
          <w:rFonts w:ascii="Arial" w:hAnsi="Arial" w:cs="Arial"/>
        </w:rPr>
        <w:t xml:space="preserve"> on eggplants during the rainy season in India. </w:t>
      </w:r>
      <w:r w:rsidRPr="00C87872">
        <w:rPr>
          <w:rFonts w:ascii="Arial" w:hAnsi="Arial" w:cs="Arial"/>
          <w:i/>
        </w:rPr>
        <w:t>Journal of Plant Protection Research</w:t>
      </w:r>
      <w:r w:rsidRPr="00C87872">
        <w:rPr>
          <w:rFonts w:ascii="Arial" w:hAnsi="Arial" w:cs="Arial"/>
        </w:rPr>
        <w:t xml:space="preserve">, </w:t>
      </w:r>
      <w:r w:rsidRPr="00C87872">
        <w:rPr>
          <w:rFonts w:ascii="Arial" w:hAnsi="Arial" w:cs="Arial"/>
          <w:b/>
        </w:rPr>
        <w:t>51</w:t>
      </w:r>
      <w:r w:rsidRPr="00C87872">
        <w:rPr>
          <w:rFonts w:ascii="Arial" w:hAnsi="Arial" w:cs="Arial"/>
        </w:rPr>
        <w:t>(4): 325-328.</w:t>
      </w:r>
    </w:p>
    <w:p w14:paraId="59731266"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Chakraborti S. (2001). A biorational approach for the management of </w:t>
      </w:r>
      <w:proofErr w:type="spellStart"/>
      <w:r w:rsidRPr="00C87872">
        <w:rPr>
          <w:rFonts w:ascii="Arial" w:eastAsia="Times New Roman" w:hAnsi="Arial" w:cs="Arial"/>
          <w:sz w:val="24"/>
          <w:szCs w:val="24"/>
          <w:lang w:eastAsia="en-IN"/>
        </w:rPr>
        <w:t>brinjalshoot</w:t>
      </w:r>
      <w:proofErr w:type="spellEnd"/>
      <w:r w:rsidRPr="00C87872">
        <w:rPr>
          <w:rFonts w:ascii="Arial" w:eastAsia="Times New Roman" w:hAnsi="Arial" w:cs="Arial"/>
          <w:sz w:val="24"/>
          <w:szCs w:val="24"/>
          <w:lang w:eastAsia="en-IN"/>
        </w:rPr>
        <w:t xml:space="preserve"> and fruit borer, </w:t>
      </w:r>
      <w:proofErr w:type="spellStart"/>
      <w:r w:rsidRPr="00C87872">
        <w:rPr>
          <w:rFonts w:ascii="Arial" w:eastAsia="Times New Roman" w:hAnsi="Arial" w:cs="Arial"/>
          <w:i/>
          <w:sz w:val="24"/>
          <w:szCs w:val="24"/>
          <w:lang w:eastAsia="en-IN"/>
        </w:rPr>
        <w:t>Leucinodes</w:t>
      </w:r>
      <w:proofErr w:type="spellEnd"/>
      <w:r w:rsidRPr="00C87872">
        <w:rPr>
          <w:rFonts w:ascii="Arial" w:eastAsia="Times New Roman" w:hAnsi="Arial" w:cs="Arial"/>
          <w:i/>
          <w:sz w:val="24"/>
          <w:szCs w:val="24"/>
          <w:lang w:eastAsia="en-IN"/>
        </w:rPr>
        <w:t xml:space="preserve"> </w:t>
      </w:r>
      <w:proofErr w:type="spellStart"/>
      <w:r w:rsidRPr="00C87872">
        <w:rPr>
          <w:rFonts w:ascii="Arial" w:eastAsia="Times New Roman" w:hAnsi="Arial" w:cs="Arial"/>
          <w:i/>
          <w:sz w:val="24"/>
          <w:szCs w:val="24"/>
          <w:lang w:eastAsia="en-IN"/>
        </w:rPr>
        <w:t>orbonalis</w:t>
      </w:r>
      <w:proofErr w:type="spellEnd"/>
      <w:r w:rsidRPr="00C87872">
        <w:rPr>
          <w:rFonts w:ascii="Arial" w:eastAsia="Times New Roman" w:hAnsi="Arial" w:cs="Arial"/>
          <w:sz w:val="24"/>
          <w:szCs w:val="24"/>
          <w:lang w:eastAsia="en-IN"/>
        </w:rPr>
        <w:t xml:space="preserve"> G. </w:t>
      </w:r>
      <w:r w:rsidRPr="00C87872">
        <w:rPr>
          <w:rFonts w:ascii="Arial" w:eastAsia="Times New Roman" w:hAnsi="Arial" w:cs="Arial"/>
          <w:i/>
          <w:sz w:val="24"/>
          <w:szCs w:val="24"/>
          <w:lang w:eastAsia="en-IN"/>
        </w:rPr>
        <w:t>Journal of entomological research</w:t>
      </w:r>
      <w:r w:rsidRPr="00C87872">
        <w:rPr>
          <w:rFonts w:ascii="Arial" w:eastAsia="Times New Roman" w:hAnsi="Arial" w:cs="Arial"/>
          <w:sz w:val="24"/>
          <w:szCs w:val="24"/>
          <w:lang w:eastAsia="en-IN"/>
        </w:rPr>
        <w:t xml:space="preserve">, </w:t>
      </w:r>
      <w:r w:rsidRPr="00C87872">
        <w:rPr>
          <w:rFonts w:ascii="Arial" w:eastAsia="Times New Roman" w:hAnsi="Arial" w:cs="Arial"/>
          <w:b/>
          <w:sz w:val="24"/>
          <w:szCs w:val="24"/>
          <w:lang w:eastAsia="en-IN"/>
        </w:rPr>
        <w:t>25</w:t>
      </w:r>
      <w:r w:rsidRPr="00C87872">
        <w:rPr>
          <w:rFonts w:ascii="Arial" w:eastAsia="Times New Roman" w:hAnsi="Arial" w:cs="Arial"/>
          <w:sz w:val="24"/>
          <w:szCs w:val="24"/>
          <w:lang w:eastAsia="en-IN"/>
        </w:rPr>
        <w:t>(1): 73-76.</w:t>
      </w:r>
    </w:p>
    <w:p w14:paraId="2E95AD45" w14:textId="77777777" w:rsidR="000A7E7E" w:rsidRPr="00C87872" w:rsidRDefault="000A7E7E" w:rsidP="000A7E7E">
      <w:pPr>
        <w:pStyle w:val="NormalWeb"/>
        <w:spacing w:before="120" w:beforeAutospacing="0" w:after="120" w:afterAutospacing="0"/>
        <w:ind w:left="1134" w:hanging="1134"/>
        <w:jc w:val="both"/>
        <w:rPr>
          <w:rStyle w:val="Hyperlink"/>
          <w:rFonts w:ascii="Arial" w:eastAsia="Arial" w:hAnsi="Arial" w:cs="Arial"/>
          <w:color w:val="auto"/>
          <w:u w:val="none"/>
        </w:rPr>
      </w:pPr>
      <w:r w:rsidRPr="00C87872">
        <w:rPr>
          <w:rStyle w:val="Hyperlink"/>
          <w:rFonts w:ascii="Arial" w:eastAsia="Arial" w:hAnsi="Arial" w:cs="Arial"/>
          <w:color w:val="auto"/>
          <w:u w:val="none"/>
        </w:rPr>
        <w:t xml:space="preserve">Department of agriculture and farmer </w:t>
      </w:r>
      <w:proofErr w:type="spellStart"/>
      <w:r w:rsidRPr="00C87872">
        <w:rPr>
          <w:rStyle w:val="Hyperlink"/>
          <w:rFonts w:ascii="Arial" w:eastAsia="Arial" w:hAnsi="Arial" w:cs="Arial"/>
          <w:color w:val="auto"/>
          <w:u w:val="none"/>
        </w:rPr>
        <w:t>walefare</w:t>
      </w:r>
      <w:proofErr w:type="spellEnd"/>
      <w:r w:rsidRPr="00C87872">
        <w:rPr>
          <w:rStyle w:val="Hyperlink"/>
          <w:rFonts w:ascii="Arial" w:eastAsia="Arial" w:hAnsi="Arial" w:cs="Arial"/>
          <w:color w:val="auto"/>
          <w:u w:val="none"/>
        </w:rPr>
        <w:t xml:space="preserve"> (2025). 2024-25 (first advance estimate) of area and production of vegetable crops </w:t>
      </w:r>
      <w:hyperlink r:id="rId15" w:history="1">
        <w:r w:rsidRPr="00C87872">
          <w:rPr>
            <w:rStyle w:val="Hyperlink"/>
            <w:rFonts w:ascii="Arial" w:eastAsia="Arial" w:hAnsi="Arial" w:cs="Arial"/>
            <w:color w:val="auto"/>
            <w:u w:val="none"/>
          </w:rPr>
          <w:t>https://agriwelfare.gov.in/en/StatHortEst</w:t>
        </w:r>
      </w:hyperlink>
    </w:p>
    <w:p w14:paraId="3F24FE38" w14:textId="77777777" w:rsidR="000A7E7E" w:rsidRPr="00C87872" w:rsidRDefault="000A7E7E" w:rsidP="000A7E7E">
      <w:pPr>
        <w:pStyle w:val="NormalWeb"/>
        <w:ind w:left="1134" w:hanging="1134"/>
        <w:jc w:val="both"/>
        <w:rPr>
          <w:rFonts w:ascii="Arial" w:hAnsi="Arial" w:cs="Arial"/>
        </w:rPr>
      </w:pPr>
      <w:proofErr w:type="spellStart"/>
      <w:r w:rsidRPr="00C87872">
        <w:rPr>
          <w:rFonts w:ascii="Arial" w:hAnsi="Arial" w:cs="Arial"/>
        </w:rPr>
        <w:t>Gleddie</w:t>
      </w:r>
      <w:proofErr w:type="spellEnd"/>
      <w:r w:rsidRPr="00C87872">
        <w:rPr>
          <w:rFonts w:ascii="Arial" w:hAnsi="Arial" w:cs="Arial"/>
        </w:rPr>
        <w:t>, S., Keller, W. A. and Setterfield, G. (1986). Production and characterization of somatic hybrids</w:t>
      </w:r>
      <w:r w:rsidRPr="00C87872">
        <w:rPr>
          <w:rFonts w:ascii="Arial" w:hAnsi="Arial" w:cs="Arial"/>
          <w:spacing w:val="1"/>
        </w:rPr>
        <w:t xml:space="preserve"> </w:t>
      </w:r>
      <w:r w:rsidRPr="00C87872">
        <w:rPr>
          <w:rFonts w:ascii="Arial" w:hAnsi="Arial" w:cs="Arial"/>
        </w:rPr>
        <w:t>between</w:t>
      </w:r>
      <w:r w:rsidRPr="00C87872">
        <w:rPr>
          <w:rFonts w:ascii="Arial" w:hAnsi="Arial" w:cs="Arial"/>
          <w:spacing w:val="-8"/>
        </w:rPr>
        <w:t xml:space="preserve"> </w:t>
      </w:r>
      <w:r w:rsidRPr="00C87872">
        <w:rPr>
          <w:rFonts w:ascii="Arial" w:hAnsi="Arial" w:cs="Arial"/>
          <w:i/>
        </w:rPr>
        <w:t>Solanum</w:t>
      </w:r>
      <w:r w:rsidRPr="00C87872">
        <w:rPr>
          <w:rFonts w:ascii="Arial" w:hAnsi="Arial" w:cs="Arial"/>
          <w:i/>
          <w:spacing w:val="-8"/>
        </w:rPr>
        <w:t xml:space="preserve"> </w:t>
      </w:r>
      <w:r w:rsidRPr="00C87872">
        <w:rPr>
          <w:rFonts w:ascii="Arial" w:hAnsi="Arial" w:cs="Arial"/>
          <w:i/>
        </w:rPr>
        <w:t>melongena</w:t>
      </w:r>
      <w:r w:rsidRPr="00C87872">
        <w:rPr>
          <w:rFonts w:ascii="Arial" w:hAnsi="Arial" w:cs="Arial"/>
          <w:i/>
          <w:spacing w:val="-4"/>
        </w:rPr>
        <w:t xml:space="preserve"> </w:t>
      </w:r>
      <w:r w:rsidRPr="00C87872">
        <w:rPr>
          <w:rFonts w:ascii="Arial" w:hAnsi="Arial" w:cs="Arial"/>
        </w:rPr>
        <w:t>L.</w:t>
      </w:r>
      <w:r w:rsidRPr="00C87872">
        <w:rPr>
          <w:rFonts w:ascii="Arial" w:hAnsi="Arial" w:cs="Arial"/>
          <w:spacing w:val="-7"/>
        </w:rPr>
        <w:t xml:space="preserve"> </w:t>
      </w:r>
      <w:r w:rsidRPr="00C87872">
        <w:rPr>
          <w:rFonts w:ascii="Arial" w:hAnsi="Arial" w:cs="Arial"/>
        </w:rPr>
        <w:t>and</w:t>
      </w:r>
      <w:r w:rsidRPr="00C87872">
        <w:rPr>
          <w:rFonts w:ascii="Arial" w:hAnsi="Arial" w:cs="Arial"/>
          <w:spacing w:val="-7"/>
        </w:rPr>
        <w:t xml:space="preserve"> </w:t>
      </w:r>
      <w:r w:rsidRPr="00C87872">
        <w:rPr>
          <w:rFonts w:ascii="Arial" w:hAnsi="Arial" w:cs="Arial"/>
          <w:i/>
        </w:rPr>
        <w:t>S.</w:t>
      </w:r>
      <w:r w:rsidRPr="00C87872">
        <w:rPr>
          <w:rFonts w:ascii="Arial" w:hAnsi="Arial" w:cs="Arial"/>
          <w:i/>
          <w:spacing w:val="-9"/>
        </w:rPr>
        <w:t xml:space="preserve"> </w:t>
      </w:r>
      <w:proofErr w:type="spellStart"/>
      <w:r w:rsidRPr="00C87872">
        <w:rPr>
          <w:rFonts w:ascii="Arial" w:hAnsi="Arial" w:cs="Arial"/>
          <w:i/>
        </w:rPr>
        <w:t>sisymbriifolium</w:t>
      </w:r>
      <w:proofErr w:type="spellEnd"/>
      <w:r w:rsidRPr="00C87872">
        <w:rPr>
          <w:rFonts w:ascii="Arial" w:hAnsi="Arial" w:cs="Arial"/>
          <w:i/>
        </w:rPr>
        <w:t xml:space="preserve"> </w:t>
      </w:r>
      <w:r w:rsidRPr="00C87872">
        <w:rPr>
          <w:rFonts w:ascii="Arial" w:hAnsi="Arial" w:cs="Arial"/>
        </w:rPr>
        <w:t>L.</w:t>
      </w:r>
      <w:r w:rsidRPr="00C87872">
        <w:rPr>
          <w:rFonts w:ascii="Arial" w:hAnsi="Arial" w:cs="Arial"/>
          <w:spacing w:val="-2"/>
        </w:rPr>
        <w:t xml:space="preserve"> </w:t>
      </w:r>
      <w:r w:rsidRPr="00C87872">
        <w:rPr>
          <w:rFonts w:ascii="Arial" w:hAnsi="Arial" w:cs="Arial"/>
          <w:i/>
        </w:rPr>
        <w:t>Theor.</w:t>
      </w:r>
      <w:r w:rsidRPr="00C87872">
        <w:rPr>
          <w:rFonts w:ascii="Arial" w:hAnsi="Arial" w:cs="Arial"/>
          <w:i/>
          <w:spacing w:val="-1"/>
        </w:rPr>
        <w:t xml:space="preserve"> </w:t>
      </w:r>
      <w:r w:rsidRPr="00C87872">
        <w:rPr>
          <w:rFonts w:ascii="Arial" w:hAnsi="Arial" w:cs="Arial"/>
          <w:i/>
        </w:rPr>
        <w:t>Appl.</w:t>
      </w:r>
      <w:r w:rsidRPr="00C87872">
        <w:rPr>
          <w:rFonts w:ascii="Arial" w:hAnsi="Arial" w:cs="Arial"/>
          <w:i/>
          <w:spacing w:val="-2"/>
        </w:rPr>
        <w:t xml:space="preserve"> </w:t>
      </w:r>
      <w:r w:rsidRPr="00C87872">
        <w:rPr>
          <w:rFonts w:ascii="Arial" w:hAnsi="Arial" w:cs="Arial"/>
          <w:i/>
        </w:rPr>
        <w:t>Genet.</w:t>
      </w:r>
      <w:r w:rsidRPr="00C87872">
        <w:rPr>
          <w:rFonts w:ascii="Arial" w:hAnsi="Arial" w:cs="Arial"/>
          <w:i/>
          <w:spacing w:val="-9"/>
        </w:rPr>
        <w:t xml:space="preserve"> </w:t>
      </w:r>
      <w:r w:rsidRPr="00C87872">
        <w:rPr>
          <w:rFonts w:ascii="Arial" w:hAnsi="Arial" w:cs="Arial"/>
        </w:rPr>
        <w:t>71(4):</w:t>
      </w:r>
      <w:r w:rsidRPr="00C87872">
        <w:rPr>
          <w:rFonts w:ascii="Arial" w:hAnsi="Arial" w:cs="Arial"/>
          <w:spacing w:val="-4"/>
        </w:rPr>
        <w:t xml:space="preserve"> </w:t>
      </w:r>
      <w:r w:rsidRPr="00C87872">
        <w:rPr>
          <w:rFonts w:ascii="Arial" w:hAnsi="Arial" w:cs="Arial"/>
        </w:rPr>
        <w:t>613-621.</w:t>
      </w:r>
    </w:p>
    <w:p w14:paraId="09396F22"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t xml:space="preserve">Hanson PM, Yang RY, Tsou SCS, Ledesma D, Engle L and Lee TC. (2006). Diversity in eggplant (Solanum melongena) for superoxide scavenging activity, total phenolics and ascorbic acid. </w:t>
      </w:r>
      <w:r w:rsidRPr="00C87872">
        <w:rPr>
          <w:rFonts w:ascii="Arial" w:hAnsi="Arial" w:cs="Arial"/>
          <w:i/>
        </w:rPr>
        <w:t>Journal of Food Composition and Analysis</w:t>
      </w:r>
      <w:r w:rsidRPr="00C87872">
        <w:rPr>
          <w:rFonts w:ascii="Arial" w:hAnsi="Arial" w:cs="Arial"/>
        </w:rPr>
        <w:t xml:space="preserve">, </w:t>
      </w:r>
      <w:r w:rsidRPr="00C87872">
        <w:rPr>
          <w:rFonts w:ascii="Arial" w:hAnsi="Arial" w:cs="Arial"/>
          <w:b/>
        </w:rPr>
        <w:t>19</w:t>
      </w:r>
      <w:r w:rsidRPr="00C87872">
        <w:rPr>
          <w:rFonts w:ascii="Arial" w:hAnsi="Arial" w:cs="Arial"/>
        </w:rPr>
        <w:t>(6-7): 594-600.</w:t>
      </w:r>
    </w:p>
    <w:p w14:paraId="7B691515"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 xml:space="preserve">Hazarika LK, Saikia DK, Kalita S and Nath RK. (2005). Management of eggplant shoot and fruit borer in Assam with special reference to ITKs. In: Extended summary, National </w:t>
      </w:r>
      <w:proofErr w:type="spellStart"/>
      <w:r w:rsidRPr="00C87872">
        <w:rPr>
          <w:rFonts w:ascii="Arial" w:hAnsi="Arial" w:cs="Arial"/>
        </w:rPr>
        <w:t>Symposiumon</w:t>
      </w:r>
      <w:proofErr w:type="spellEnd"/>
      <w:r w:rsidRPr="00C87872">
        <w:rPr>
          <w:rFonts w:ascii="Arial" w:hAnsi="Arial" w:cs="Arial"/>
        </w:rPr>
        <w:t xml:space="preserve"> “Recent Advances in Integrated management of Brinjal shoot and fruit borer”, pp. 17-20, 3-4 October, 2005, IIVR, Varanasi.</w:t>
      </w:r>
    </w:p>
    <w:p w14:paraId="095ACD81"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 xml:space="preserve">Iqbal, T., Sana, K., Usman, A., Khan, K., Said, F., Khan, I. U., </w:t>
      </w:r>
      <w:proofErr w:type="spellStart"/>
      <w:r w:rsidRPr="00C87872">
        <w:rPr>
          <w:rFonts w:ascii="Arial" w:hAnsi="Arial" w:cs="Arial"/>
        </w:rPr>
        <w:t>Shahjeer</w:t>
      </w:r>
      <w:proofErr w:type="spellEnd"/>
      <w:r w:rsidRPr="00C87872">
        <w:rPr>
          <w:rFonts w:ascii="Arial" w:hAnsi="Arial" w:cs="Arial"/>
        </w:rPr>
        <w:t xml:space="preserve">, K., &amp; Khan, G. Z. (2021). Comparative efficacy of botanicals and a synthetic insecticide against sucking insect pests of brinjal. </w:t>
      </w:r>
      <w:r w:rsidRPr="00C87872">
        <w:rPr>
          <w:rStyle w:val="Emphasis"/>
          <w:rFonts w:ascii="Arial" w:eastAsia="Arial MT" w:hAnsi="Arial" w:cs="Arial"/>
        </w:rPr>
        <w:t xml:space="preserve">Annals of the Romanian Society for Cell Biology, </w:t>
      </w:r>
      <w:r w:rsidRPr="00C87872">
        <w:rPr>
          <w:rStyle w:val="Emphasis"/>
          <w:rFonts w:ascii="Arial" w:eastAsia="Arial MT" w:hAnsi="Arial" w:cs="Arial"/>
          <w:b/>
        </w:rPr>
        <w:t>25</w:t>
      </w:r>
      <w:r w:rsidRPr="00C87872">
        <w:rPr>
          <w:rFonts w:ascii="Arial" w:hAnsi="Arial" w:cs="Arial"/>
        </w:rPr>
        <w:t>(6): 19381–19389.</w:t>
      </w:r>
    </w:p>
    <w:p w14:paraId="7B8A7F8A" w14:textId="77777777" w:rsidR="000A7E7E" w:rsidRPr="00C87872" w:rsidRDefault="000A7E7E" w:rsidP="000A7E7E">
      <w:pPr>
        <w:pStyle w:val="NormalWeb"/>
        <w:ind w:left="1134" w:hanging="1134"/>
        <w:jc w:val="both"/>
        <w:rPr>
          <w:rFonts w:ascii="Arial" w:hAnsi="Arial" w:cs="Arial"/>
        </w:rPr>
      </w:pPr>
      <w:proofErr w:type="spellStart"/>
      <w:r w:rsidRPr="00C87872">
        <w:rPr>
          <w:rFonts w:ascii="Arial" w:hAnsi="Arial" w:cs="Arial"/>
        </w:rPr>
        <w:t>Kalawate</w:t>
      </w:r>
      <w:proofErr w:type="spellEnd"/>
      <w:r w:rsidRPr="00C87872">
        <w:rPr>
          <w:rFonts w:ascii="Arial" w:hAnsi="Arial" w:cs="Arial"/>
        </w:rPr>
        <w:t xml:space="preserve"> A and </w:t>
      </w:r>
      <w:proofErr w:type="spellStart"/>
      <w:r w:rsidRPr="00C87872">
        <w:rPr>
          <w:rFonts w:ascii="Arial" w:hAnsi="Arial" w:cs="Arial"/>
        </w:rPr>
        <w:t>Dethe</w:t>
      </w:r>
      <w:proofErr w:type="spellEnd"/>
      <w:r w:rsidRPr="00C87872">
        <w:rPr>
          <w:rFonts w:ascii="Arial" w:hAnsi="Arial" w:cs="Arial"/>
        </w:rPr>
        <w:t xml:space="preserve"> MD. (2006). </w:t>
      </w:r>
      <w:proofErr w:type="spellStart"/>
      <w:r w:rsidRPr="00C87872">
        <w:rPr>
          <w:rFonts w:ascii="Arial" w:hAnsi="Arial" w:cs="Arial"/>
        </w:rPr>
        <w:t>Bioefficacy</w:t>
      </w:r>
      <w:proofErr w:type="spellEnd"/>
      <w:r w:rsidRPr="00C87872">
        <w:rPr>
          <w:rFonts w:ascii="Arial" w:hAnsi="Arial" w:cs="Arial"/>
        </w:rPr>
        <w:t xml:space="preserve"> study of biorational insecticides on brinjal. </w:t>
      </w:r>
      <w:r w:rsidRPr="00C87872">
        <w:rPr>
          <w:rFonts w:ascii="Arial" w:hAnsi="Arial" w:cs="Arial"/>
          <w:i/>
        </w:rPr>
        <w:t>Journal of Biopesticide</w:t>
      </w:r>
      <w:r w:rsidRPr="00C87872">
        <w:rPr>
          <w:rFonts w:ascii="Arial" w:hAnsi="Arial" w:cs="Arial"/>
        </w:rPr>
        <w:t xml:space="preserve">, </w:t>
      </w:r>
      <w:r w:rsidRPr="00C87872">
        <w:rPr>
          <w:rFonts w:ascii="Arial" w:hAnsi="Arial" w:cs="Arial"/>
          <w:b/>
        </w:rPr>
        <w:t>5</w:t>
      </w:r>
      <w:r w:rsidRPr="00C87872">
        <w:rPr>
          <w:rFonts w:ascii="Arial" w:hAnsi="Arial" w:cs="Arial"/>
        </w:rPr>
        <w:t>(1): 75-80.</w:t>
      </w:r>
    </w:p>
    <w:p w14:paraId="0B4BBB62"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proofErr w:type="spellStart"/>
      <w:r w:rsidRPr="00C87872">
        <w:rPr>
          <w:rFonts w:ascii="Arial" w:eastAsia="Times New Roman" w:hAnsi="Arial" w:cs="Arial"/>
          <w:sz w:val="24"/>
          <w:szCs w:val="24"/>
          <w:lang w:eastAsia="en-IN"/>
        </w:rPr>
        <w:t>Kalawate</w:t>
      </w:r>
      <w:proofErr w:type="spellEnd"/>
      <w:r w:rsidRPr="00C87872">
        <w:rPr>
          <w:rFonts w:ascii="Arial" w:eastAsia="Times New Roman" w:hAnsi="Arial" w:cs="Arial"/>
          <w:sz w:val="24"/>
          <w:szCs w:val="24"/>
          <w:lang w:eastAsia="en-IN"/>
        </w:rPr>
        <w:t xml:space="preserve">, A. T., &amp; </w:t>
      </w:r>
      <w:proofErr w:type="spellStart"/>
      <w:r w:rsidRPr="00C87872">
        <w:rPr>
          <w:rFonts w:ascii="Arial" w:eastAsia="Times New Roman" w:hAnsi="Arial" w:cs="Arial"/>
          <w:sz w:val="24"/>
          <w:szCs w:val="24"/>
          <w:lang w:eastAsia="en-IN"/>
        </w:rPr>
        <w:t>Dethe</w:t>
      </w:r>
      <w:proofErr w:type="spellEnd"/>
      <w:r w:rsidRPr="00C87872">
        <w:rPr>
          <w:rFonts w:ascii="Arial" w:eastAsia="Times New Roman" w:hAnsi="Arial" w:cs="Arial"/>
          <w:sz w:val="24"/>
          <w:szCs w:val="24"/>
          <w:lang w:eastAsia="en-IN"/>
        </w:rPr>
        <w:t xml:space="preserve">, M. D. (2012). </w:t>
      </w:r>
      <w:proofErr w:type="spellStart"/>
      <w:r w:rsidRPr="00C87872">
        <w:rPr>
          <w:rFonts w:ascii="Arial" w:eastAsia="Times New Roman" w:hAnsi="Arial" w:cs="Arial"/>
          <w:sz w:val="24"/>
          <w:szCs w:val="24"/>
          <w:lang w:eastAsia="en-IN"/>
        </w:rPr>
        <w:t>Bioefficacy</w:t>
      </w:r>
      <w:proofErr w:type="spellEnd"/>
      <w:r w:rsidRPr="00C87872">
        <w:rPr>
          <w:rFonts w:ascii="Arial" w:eastAsia="Times New Roman" w:hAnsi="Arial" w:cs="Arial"/>
          <w:sz w:val="24"/>
          <w:szCs w:val="24"/>
          <w:lang w:eastAsia="en-IN"/>
        </w:rPr>
        <w:t xml:space="preserve"> of Spinosad 45SC against brinjal shoot and fruit borer. </w:t>
      </w:r>
      <w:r w:rsidRPr="00C87872">
        <w:rPr>
          <w:rFonts w:ascii="Arial" w:eastAsia="Times New Roman" w:hAnsi="Arial" w:cs="Arial"/>
          <w:i/>
          <w:iCs/>
          <w:sz w:val="24"/>
          <w:szCs w:val="24"/>
          <w:lang w:eastAsia="en-IN"/>
        </w:rPr>
        <w:t xml:space="preserve">Journal of Plant Protection and Environment, </w:t>
      </w:r>
      <w:r w:rsidRPr="00C87872">
        <w:rPr>
          <w:rFonts w:ascii="Arial" w:eastAsia="Times New Roman" w:hAnsi="Arial" w:cs="Arial"/>
          <w:b/>
          <w:iCs/>
          <w:sz w:val="24"/>
          <w:szCs w:val="24"/>
          <w:lang w:eastAsia="en-IN"/>
        </w:rPr>
        <w:t>9</w:t>
      </w:r>
      <w:r w:rsidRPr="00C87872">
        <w:rPr>
          <w:rFonts w:ascii="Arial" w:eastAsia="Times New Roman" w:hAnsi="Arial" w:cs="Arial"/>
          <w:sz w:val="24"/>
          <w:szCs w:val="24"/>
          <w:lang w:eastAsia="en-IN"/>
        </w:rPr>
        <w:t>(2): 89–92.</w:t>
      </w:r>
    </w:p>
    <w:p w14:paraId="736067F4"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Lal OP, Sinha SR and Shrivastava VN. (2004). Perspective of host plant resistance in vegetable crops, Host Plant Resistance to Insect Concept and Application, pp. 399-438.</w:t>
      </w:r>
    </w:p>
    <w:p w14:paraId="5480F52C"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Mainali, B. P., Lim, U. T., &amp; Lee, J. H. (2012). Field evaluation of Spinosad and other insecticides for the control of brinjal shoot and fruit borer in Nepal. </w:t>
      </w:r>
      <w:r w:rsidRPr="00C87872">
        <w:rPr>
          <w:rFonts w:ascii="Arial" w:eastAsia="Times New Roman" w:hAnsi="Arial" w:cs="Arial"/>
          <w:i/>
          <w:iCs/>
          <w:sz w:val="24"/>
          <w:szCs w:val="24"/>
          <w:lang w:eastAsia="en-IN"/>
        </w:rPr>
        <w:t xml:space="preserve">Journal of Asia-Pacific Entomology, </w:t>
      </w:r>
      <w:r w:rsidRPr="00C87872">
        <w:rPr>
          <w:rFonts w:ascii="Arial" w:eastAsia="Times New Roman" w:hAnsi="Arial" w:cs="Arial"/>
          <w:b/>
          <w:iCs/>
          <w:sz w:val="24"/>
          <w:szCs w:val="24"/>
          <w:lang w:eastAsia="en-IN"/>
        </w:rPr>
        <w:t>15</w:t>
      </w:r>
      <w:r w:rsidRPr="00C87872">
        <w:rPr>
          <w:rFonts w:ascii="Arial" w:eastAsia="Times New Roman" w:hAnsi="Arial" w:cs="Arial"/>
          <w:sz w:val="24"/>
          <w:szCs w:val="24"/>
          <w:lang w:eastAsia="en-IN"/>
        </w:rPr>
        <w:t>(3): 275–278.</w:t>
      </w:r>
    </w:p>
    <w:p w14:paraId="724A8ACC"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Mandal S, Singh NJ and Konar A. (2010). Efficacy of synthetic and botanical insecticide against whitefly (</w:t>
      </w:r>
      <w:proofErr w:type="spellStart"/>
      <w:r w:rsidRPr="00C87872">
        <w:rPr>
          <w:rFonts w:ascii="Arial" w:hAnsi="Arial" w:cs="Arial"/>
          <w:i/>
        </w:rPr>
        <w:t>Bemicia</w:t>
      </w:r>
      <w:proofErr w:type="spellEnd"/>
      <w:r w:rsidRPr="00C87872">
        <w:rPr>
          <w:rFonts w:ascii="Arial" w:hAnsi="Arial" w:cs="Arial"/>
          <w:i/>
        </w:rPr>
        <w:t xml:space="preserve"> </w:t>
      </w:r>
      <w:proofErr w:type="spellStart"/>
      <w:r w:rsidRPr="00C87872">
        <w:rPr>
          <w:rFonts w:ascii="Arial" w:hAnsi="Arial" w:cs="Arial"/>
          <w:i/>
        </w:rPr>
        <w:t>tabaci</w:t>
      </w:r>
      <w:proofErr w:type="spellEnd"/>
      <w:r w:rsidRPr="00C87872">
        <w:rPr>
          <w:rFonts w:ascii="Arial" w:hAnsi="Arial" w:cs="Arial"/>
        </w:rPr>
        <w:t>) and shoot and fruit borer (</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lastRenderedPageBreak/>
        <w:t>orbonalis</w:t>
      </w:r>
      <w:proofErr w:type="spellEnd"/>
      <w:r w:rsidRPr="00C87872">
        <w:rPr>
          <w:rFonts w:ascii="Arial" w:hAnsi="Arial" w:cs="Arial"/>
        </w:rPr>
        <w:t>) on brinjal (</w:t>
      </w:r>
      <w:r w:rsidRPr="00C87872">
        <w:rPr>
          <w:rFonts w:ascii="Arial" w:hAnsi="Arial" w:cs="Arial"/>
          <w:i/>
        </w:rPr>
        <w:t>Solanum melongena</w:t>
      </w:r>
      <w:r w:rsidRPr="00C87872">
        <w:rPr>
          <w:rFonts w:ascii="Arial" w:hAnsi="Arial" w:cs="Arial"/>
        </w:rPr>
        <w:t xml:space="preserve"> L.), </w:t>
      </w:r>
      <w:r w:rsidRPr="00C87872">
        <w:rPr>
          <w:rFonts w:ascii="Arial" w:hAnsi="Arial" w:cs="Arial"/>
          <w:i/>
        </w:rPr>
        <w:t>Journal of Crop and Weed</w:t>
      </w:r>
      <w:r w:rsidRPr="00C87872">
        <w:rPr>
          <w:rFonts w:ascii="Arial" w:hAnsi="Arial" w:cs="Arial"/>
        </w:rPr>
        <w:t xml:space="preserve">, </w:t>
      </w:r>
      <w:r w:rsidRPr="00C87872">
        <w:rPr>
          <w:rFonts w:ascii="Arial" w:hAnsi="Arial" w:cs="Arial"/>
          <w:b/>
        </w:rPr>
        <w:t>6</w:t>
      </w:r>
      <w:r w:rsidRPr="00C87872">
        <w:rPr>
          <w:rFonts w:ascii="Arial" w:hAnsi="Arial" w:cs="Arial"/>
        </w:rPr>
        <w:t>(1): 49-51.</w:t>
      </w:r>
    </w:p>
    <w:p w14:paraId="30BBB0F1"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lang w:val="sv-SE"/>
        </w:rPr>
        <w:t xml:space="preserve">Mandal, S., Padamshali, S., Rana, N., &amp; Kolhekar, S. (2018). </w:t>
      </w:r>
      <w:r w:rsidRPr="00C87872">
        <w:rPr>
          <w:rFonts w:ascii="Arial" w:hAnsi="Arial" w:cs="Arial"/>
        </w:rPr>
        <w:t>ITK based pest management module for sucking pest on brinjal (</w:t>
      </w:r>
      <w:r w:rsidRPr="00C87872">
        <w:rPr>
          <w:rFonts w:ascii="Arial" w:hAnsi="Arial" w:cs="Arial"/>
          <w:i/>
        </w:rPr>
        <w:t xml:space="preserve">Solanum melongena </w:t>
      </w:r>
      <w:r w:rsidRPr="00C87872">
        <w:rPr>
          <w:rFonts w:ascii="Arial" w:hAnsi="Arial" w:cs="Arial"/>
        </w:rPr>
        <w:t xml:space="preserve">L.) under </w:t>
      </w:r>
      <w:proofErr w:type="spellStart"/>
      <w:r w:rsidRPr="00C87872">
        <w:rPr>
          <w:rFonts w:ascii="Arial" w:hAnsi="Arial" w:cs="Arial"/>
        </w:rPr>
        <w:t>terai</w:t>
      </w:r>
      <w:proofErr w:type="spellEnd"/>
      <w:r w:rsidRPr="00C87872">
        <w:rPr>
          <w:rFonts w:ascii="Arial" w:hAnsi="Arial" w:cs="Arial"/>
        </w:rPr>
        <w:t xml:space="preserve"> </w:t>
      </w:r>
      <w:proofErr w:type="spellStart"/>
      <w:r w:rsidRPr="00C87872">
        <w:rPr>
          <w:rFonts w:ascii="Arial" w:hAnsi="Arial" w:cs="Arial"/>
        </w:rPr>
        <w:t>agro</w:t>
      </w:r>
      <w:proofErr w:type="spellEnd"/>
      <w:r w:rsidRPr="00C87872">
        <w:rPr>
          <w:rFonts w:ascii="Arial" w:hAnsi="Arial" w:cs="Arial"/>
        </w:rPr>
        <w:t xml:space="preserve">-ecological system of West Bengal. </w:t>
      </w:r>
      <w:r w:rsidRPr="00C87872">
        <w:rPr>
          <w:rFonts w:ascii="Arial" w:hAnsi="Arial" w:cs="Arial"/>
          <w:i/>
        </w:rPr>
        <w:t>Journal of Pharmacognosy and Phytochemistry</w:t>
      </w:r>
      <w:r w:rsidRPr="00C87872">
        <w:rPr>
          <w:rFonts w:ascii="Arial" w:hAnsi="Arial" w:cs="Arial"/>
        </w:rPr>
        <w:t xml:space="preserve">, </w:t>
      </w:r>
      <w:r w:rsidRPr="00C87872">
        <w:rPr>
          <w:rFonts w:ascii="Arial" w:hAnsi="Arial" w:cs="Arial"/>
          <w:b/>
        </w:rPr>
        <w:t>7</w:t>
      </w:r>
      <w:r w:rsidRPr="00C87872">
        <w:rPr>
          <w:rFonts w:ascii="Arial" w:hAnsi="Arial" w:cs="Arial"/>
        </w:rPr>
        <w:t>: 2065-2070.</w:t>
      </w:r>
    </w:p>
    <w:p w14:paraId="2B7FD8B5"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Mane PD and Kulkarni SN. (2001). </w:t>
      </w:r>
      <w:proofErr w:type="spellStart"/>
      <w:r w:rsidRPr="00C87872">
        <w:rPr>
          <w:rFonts w:ascii="Arial" w:eastAsia="Times New Roman" w:hAnsi="Arial" w:cs="Arial"/>
          <w:sz w:val="24"/>
          <w:szCs w:val="24"/>
          <w:lang w:eastAsia="en-IN"/>
        </w:rPr>
        <w:t>Bioefficacy</w:t>
      </w:r>
      <w:proofErr w:type="spellEnd"/>
      <w:r w:rsidRPr="00C87872">
        <w:rPr>
          <w:rFonts w:ascii="Arial" w:eastAsia="Times New Roman" w:hAnsi="Arial" w:cs="Arial"/>
          <w:sz w:val="24"/>
          <w:szCs w:val="24"/>
          <w:lang w:eastAsia="en-IN"/>
        </w:rPr>
        <w:t xml:space="preserve"> of neem products against </w:t>
      </w:r>
      <w:proofErr w:type="spellStart"/>
      <w:r w:rsidRPr="00C87872">
        <w:rPr>
          <w:rFonts w:ascii="Arial" w:eastAsia="Times New Roman" w:hAnsi="Arial" w:cs="Arial"/>
          <w:i/>
          <w:sz w:val="24"/>
          <w:szCs w:val="24"/>
          <w:lang w:eastAsia="en-IN"/>
        </w:rPr>
        <w:t>Leucinodes</w:t>
      </w:r>
      <w:proofErr w:type="spellEnd"/>
      <w:r w:rsidRPr="00C87872">
        <w:rPr>
          <w:rFonts w:ascii="Arial" w:eastAsia="Times New Roman" w:hAnsi="Arial" w:cs="Arial"/>
          <w:i/>
          <w:sz w:val="24"/>
          <w:szCs w:val="24"/>
          <w:lang w:eastAsia="en-IN"/>
        </w:rPr>
        <w:t xml:space="preserve"> </w:t>
      </w:r>
      <w:proofErr w:type="spellStart"/>
      <w:r w:rsidRPr="00C87872">
        <w:rPr>
          <w:rFonts w:ascii="Arial" w:eastAsia="Times New Roman" w:hAnsi="Arial" w:cs="Arial"/>
          <w:i/>
          <w:sz w:val="24"/>
          <w:szCs w:val="24"/>
          <w:lang w:eastAsia="en-IN"/>
        </w:rPr>
        <w:t>orbonalis</w:t>
      </w:r>
      <w:proofErr w:type="spellEnd"/>
      <w:r w:rsidRPr="00C87872">
        <w:rPr>
          <w:rFonts w:ascii="Arial" w:eastAsia="Times New Roman" w:hAnsi="Arial" w:cs="Arial"/>
          <w:sz w:val="24"/>
          <w:szCs w:val="24"/>
          <w:lang w:eastAsia="en-IN"/>
        </w:rPr>
        <w:t xml:space="preserve"> G. on brinjal, Green Farming, </w:t>
      </w:r>
      <w:r w:rsidRPr="00C87872">
        <w:rPr>
          <w:rFonts w:ascii="Arial" w:eastAsia="Times New Roman" w:hAnsi="Arial" w:cs="Arial"/>
          <w:b/>
          <w:sz w:val="24"/>
          <w:szCs w:val="24"/>
          <w:lang w:eastAsia="en-IN"/>
        </w:rPr>
        <w:t>1</w:t>
      </w:r>
      <w:r w:rsidRPr="00C87872">
        <w:rPr>
          <w:rFonts w:ascii="Arial" w:eastAsia="Times New Roman" w:hAnsi="Arial" w:cs="Arial"/>
          <w:sz w:val="24"/>
          <w:szCs w:val="24"/>
          <w:lang w:eastAsia="en-IN"/>
        </w:rPr>
        <w:t>(2): 220.</w:t>
      </w:r>
    </w:p>
    <w:p w14:paraId="62A95259" w14:textId="77777777" w:rsidR="000A7E7E" w:rsidRPr="00C87872" w:rsidRDefault="000A7E7E" w:rsidP="000A7E7E">
      <w:pPr>
        <w:spacing w:before="120" w:after="120"/>
        <w:ind w:left="1134" w:hanging="1134"/>
        <w:jc w:val="both"/>
        <w:rPr>
          <w:rFonts w:ascii="Arial" w:hAnsi="Arial" w:cs="Arial"/>
          <w:sz w:val="24"/>
          <w:szCs w:val="24"/>
          <w:lang w:val="en-SG"/>
        </w:rPr>
      </w:pPr>
      <w:r w:rsidRPr="00C87872">
        <w:rPr>
          <w:rFonts w:ascii="Arial" w:hAnsi="Arial" w:cs="Arial"/>
          <w:sz w:val="24"/>
          <w:szCs w:val="24"/>
          <w:lang w:val="en-SG"/>
        </w:rPr>
        <w:t>Murugesan, N. and Murugesh, T. (2009). Bio efficacy of some plant products against brinjal fruit borer,</w:t>
      </w:r>
      <w:r w:rsidRPr="00C87872">
        <w:rPr>
          <w:rFonts w:ascii="Arial" w:hAnsi="Arial" w:cs="Arial"/>
          <w:i/>
          <w:sz w:val="24"/>
          <w:szCs w:val="24"/>
          <w:lang w:val="en-SG"/>
        </w:rPr>
        <w:t xml:space="preserve"> </w:t>
      </w:r>
      <w:proofErr w:type="spellStart"/>
      <w:r w:rsidRPr="00C87872">
        <w:rPr>
          <w:rFonts w:ascii="Arial" w:hAnsi="Arial" w:cs="Arial"/>
          <w:i/>
          <w:sz w:val="24"/>
          <w:szCs w:val="24"/>
          <w:lang w:val="en-SG"/>
        </w:rPr>
        <w:t>Leucinodes</w:t>
      </w:r>
      <w:proofErr w:type="spellEnd"/>
      <w:r w:rsidRPr="00C87872">
        <w:rPr>
          <w:rFonts w:ascii="Arial" w:hAnsi="Arial" w:cs="Arial"/>
          <w:i/>
          <w:sz w:val="24"/>
          <w:szCs w:val="24"/>
          <w:lang w:val="en-SG"/>
        </w:rPr>
        <w:t xml:space="preserve"> </w:t>
      </w:r>
      <w:proofErr w:type="spellStart"/>
      <w:r w:rsidRPr="00C87872">
        <w:rPr>
          <w:rFonts w:ascii="Arial" w:hAnsi="Arial" w:cs="Arial"/>
          <w:i/>
          <w:sz w:val="24"/>
          <w:szCs w:val="24"/>
          <w:lang w:val="en-SG"/>
        </w:rPr>
        <w:t>orbonalis</w:t>
      </w:r>
      <w:proofErr w:type="spellEnd"/>
      <w:r w:rsidRPr="00C87872">
        <w:rPr>
          <w:rFonts w:ascii="Arial" w:hAnsi="Arial" w:cs="Arial"/>
          <w:i/>
          <w:sz w:val="24"/>
          <w:szCs w:val="24"/>
          <w:lang w:val="en-SG"/>
        </w:rPr>
        <w:t xml:space="preserve">. Journal of Biopesticides. </w:t>
      </w:r>
      <w:r w:rsidRPr="00C87872">
        <w:rPr>
          <w:rFonts w:ascii="Arial" w:hAnsi="Arial" w:cs="Arial"/>
          <w:b/>
          <w:sz w:val="24"/>
          <w:szCs w:val="24"/>
          <w:lang w:val="en-SG"/>
        </w:rPr>
        <w:t>2</w:t>
      </w:r>
      <w:r w:rsidRPr="00C87872">
        <w:rPr>
          <w:rFonts w:ascii="Arial" w:hAnsi="Arial" w:cs="Arial"/>
          <w:sz w:val="24"/>
          <w:szCs w:val="24"/>
          <w:lang w:val="en-SG"/>
        </w:rPr>
        <w:t>(1): 60-63.</w:t>
      </w:r>
    </w:p>
    <w:p w14:paraId="14C8FBD3"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 xml:space="preserve">Niño-Medina, G. U. I. L. L. E. R. M. O., </w:t>
      </w:r>
      <w:proofErr w:type="spellStart"/>
      <w:r w:rsidRPr="00C87872">
        <w:rPr>
          <w:rFonts w:ascii="Arial" w:hAnsi="Arial" w:cs="Arial"/>
        </w:rPr>
        <w:t>Urías-Orona</w:t>
      </w:r>
      <w:proofErr w:type="spellEnd"/>
      <w:r w:rsidRPr="00C87872">
        <w:rPr>
          <w:rFonts w:ascii="Arial" w:hAnsi="Arial" w:cs="Arial"/>
        </w:rPr>
        <w:t>, V. A. N. I. A., Muy-Rangel, M. D., &amp; Heredia, J. B. (2017). Structure and content of phenolics in eggplant (</w:t>
      </w:r>
      <w:r w:rsidRPr="00C87872">
        <w:rPr>
          <w:rFonts w:ascii="Arial" w:hAnsi="Arial" w:cs="Arial"/>
          <w:i/>
        </w:rPr>
        <w:t>Solanum melongena</w:t>
      </w:r>
      <w:r w:rsidRPr="00C87872">
        <w:rPr>
          <w:rFonts w:ascii="Arial" w:hAnsi="Arial" w:cs="Arial"/>
        </w:rPr>
        <w:t xml:space="preserve">)-a review. </w:t>
      </w:r>
      <w:r w:rsidRPr="00C87872">
        <w:rPr>
          <w:rFonts w:ascii="Arial" w:hAnsi="Arial" w:cs="Arial"/>
          <w:i/>
        </w:rPr>
        <w:t>South African Journal of Botany</w:t>
      </w:r>
      <w:r w:rsidRPr="00C87872">
        <w:rPr>
          <w:rFonts w:ascii="Arial" w:hAnsi="Arial" w:cs="Arial"/>
        </w:rPr>
        <w:t xml:space="preserve">, </w:t>
      </w:r>
      <w:r w:rsidRPr="00C87872">
        <w:rPr>
          <w:rFonts w:ascii="Arial" w:hAnsi="Arial" w:cs="Arial"/>
          <w:b/>
        </w:rPr>
        <w:t>111</w:t>
      </w:r>
      <w:r w:rsidRPr="00C87872">
        <w:rPr>
          <w:rFonts w:ascii="Arial" w:hAnsi="Arial" w:cs="Arial"/>
        </w:rPr>
        <w:t>:161-169.</w:t>
      </w:r>
    </w:p>
    <w:p w14:paraId="7D7178CF"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t>Omprakash,</w:t>
      </w:r>
      <w:r w:rsidRPr="00C87872">
        <w:rPr>
          <w:rFonts w:ascii="Arial" w:hAnsi="Arial" w:cs="Arial"/>
          <w:spacing w:val="-1"/>
        </w:rPr>
        <w:t xml:space="preserve"> </w:t>
      </w:r>
      <w:r w:rsidRPr="00C87872">
        <w:rPr>
          <w:rFonts w:ascii="Arial" w:hAnsi="Arial" w:cs="Arial"/>
        </w:rPr>
        <w:t>S.,</w:t>
      </w:r>
      <w:r w:rsidRPr="00C87872">
        <w:rPr>
          <w:rFonts w:ascii="Arial" w:hAnsi="Arial" w:cs="Arial"/>
          <w:spacing w:val="-2"/>
        </w:rPr>
        <w:t xml:space="preserve"> </w:t>
      </w:r>
      <w:r w:rsidRPr="00C87872">
        <w:rPr>
          <w:rFonts w:ascii="Arial" w:hAnsi="Arial" w:cs="Arial"/>
        </w:rPr>
        <w:t>&amp;</w:t>
      </w:r>
      <w:r w:rsidRPr="00C87872">
        <w:rPr>
          <w:rFonts w:ascii="Arial" w:hAnsi="Arial" w:cs="Arial"/>
          <w:spacing w:val="-2"/>
        </w:rPr>
        <w:t xml:space="preserve"> </w:t>
      </w:r>
      <w:r w:rsidRPr="00C87872">
        <w:rPr>
          <w:rFonts w:ascii="Arial" w:hAnsi="Arial" w:cs="Arial"/>
        </w:rPr>
        <w:t>Raju,</w:t>
      </w:r>
      <w:r w:rsidRPr="00C87872">
        <w:rPr>
          <w:rFonts w:ascii="Arial" w:hAnsi="Arial" w:cs="Arial"/>
          <w:spacing w:val="-2"/>
        </w:rPr>
        <w:t xml:space="preserve"> </w:t>
      </w:r>
      <w:r w:rsidRPr="00C87872">
        <w:rPr>
          <w:rFonts w:ascii="Arial" w:hAnsi="Arial" w:cs="Arial"/>
        </w:rPr>
        <w:t>S.</w:t>
      </w:r>
      <w:r w:rsidRPr="00C87872">
        <w:rPr>
          <w:rFonts w:ascii="Arial" w:hAnsi="Arial" w:cs="Arial"/>
          <w:spacing w:val="-3"/>
        </w:rPr>
        <w:t xml:space="preserve"> </w:t>
      </w:r>
      <w:r w:rsidRPr="00C87872">
        <w:rPr>
          <w:rFonts w:ascii="Arial" w:hAnsi="Arial" w:cs="Arial"/>
        </w:rPr>
        <w:t>V.</w:t>
      </w:r>
      <w:r w:rsidRPr="00C87872">
        <w:rPr>
          <w:rFonts w:ascii="Arial" w:hAnsi="Arial" w:cs="Arial"/>
          <w:spacing w:val="-2"/>
        </w:rPr>
        <w:t xml:space="preserve"> </w:t>
      </w:r>
      <w:r w:rsidRPr="00C87872">
        <w:rPr>
          <w:rFonts w:ascii="Arial" w:hAnsi="Arial" w:cs="Arial"/>
        </w:rPr>
        <w:t>S.</w:t>
      </w:r>
      <w:r w:rsidRPr="00C87872">
        <w:rPr>
          <w:rFonts w:ascii="Arial" w:hAnsi="Arial" w:cs="Arial"/>
          <w:spacing w:val="-2"/>
        </w:rPr>
        <w:t xml:space="preserve"> </w:t>
      </w:r>
      <w:r w:rsidRPr="00C87872">
        <w:rPr>
          <w:rFonts w:ascii="Arial" w:hAnsi="Arial" w:cs="Arial"/>
        </w:rPr>
        <w:t>(2014). A</w:t>
      </w:r>
      <w:r w:rsidRPr="00C87872">
        <w:rPr>
          <w:rFonts w:ascii="Arial" w:hAnsi="Arial" w:cs="Arial"/>
          <w:spacing w:val="-2"/>
        </w:rPr>
        <w:t xml:space="preserve"> </w:t>
      </w:r>
      <w:r w:rsidRPr="00C87872">
        <w:rPr>
          <w:rFonts w:ascii="Arial" w:hAnsi="Arial" w:cs="Arial"/>
        </w:rPr>
        <w:t>brief</w:t>
      </w:r>
      <w:r w:rsidRPr="00C87872">
        <w:rPr>
          <w:rFonts w:ascii="Arial" w:hAnsi="Arial" w:cs="Arial"/>
          <w:spacing w:val="-3"/>
        </w:rPr>
        <w:t xml:space="preserve"> </w:t>
      </w:r>
      <w:r w:rsidRPr="00C87872">
        <w:rPr>
          <w:rFonts w:ascii="Arial" w:hAnsi="Arial" w:cs="Arial"/>
        </w:rPr>
        <w:t>review on</w:t>
      </w:r>
      <w:r w:rsidRPr="00C87872">
        <w:rPr>
          <w:rFonts w:ascii="Arial" w:hAnsi="Arial" w:cs="Arial"/>
          <w:spacing w:val="-3"/>
        </w:rPr>
        <w:t xml:space="preserve"> </w:t>
      </w:r>
      <w:r w:rsidRPr="00C87872">
        <w:rPr>
          <w:rFonts w:ascii="Arial" w:hAnsi="Arial" w:cs="Arial"/>
        </w:rPr>
        <w:t>abundance</w:t>
      </w:r>
      <w:r w:rsidRPr="00C87872">
        <w:rPr>
          <w:rFonts w:ascii="Arial" w:hAnsi="Arial" w:cs="Arial"/>
          <w:spacing w:val="-2"/>
        </w:rPr>
        <w:t xml:space="preserve"> </w:t>
      </w:r>
      <w:r w:rsidRPr="00C87872">
        <w:rPr>
          <w:rFonts w:ascii="Arial" w:hAnsi="Arial" w:cs="Arial"/>
        </w:rPr>
        <w:t>and</w:t>
      </w:r>
      <w:r w:rsidRPr="00C87872">
        <w:rPr>
          <w:rFonts w:ascii="Arial" w:hAnsi="Arial" w:cs="Arial"/>
          <w:spacing w:val="-2"/>
        </w:rPr>
        <w:t xml:space="preserve"> </w:t>
      </w:r>
      <w:r w:rsidRPr="00C87872">
        <w:rPr>
          <w:rFonts w:ascii="Arial" w:hAnsi="Arial" w:cs="Arial"/>
        </w:rPr>
        <w:t>management</w:t>
      </w:r>
      <w:r w:rsidRPr="00C87872">
        <w:rPr>
          <w:rFonts w:ascii="Arial" w:hAnsi="Arial" w:cs="Arial"/>
          <w:spacing w:val="-1"/>
        </w:rPr>
        <w:t xml:space="preserve"> </w:t>
      </w:r>
      <w:r w:rsidRPr="00C87872">
        <w:rPr>
          <w:rFonts w:ascii="Arial" w:hAnsi="Arial" w:cs="Arial"/>
        </w:rPr>
        <w:t>of</w:t>
      </w:r>
      <w:r w:rsidRPr="00C87872">
        <w:rPr>
          <w:rFonts w:ascii="Arial" w:hAnsi="Arial" w:cs="Arial"/>
          <w:spacing w:val="-2"/>
        </w:rPr>
        <w:t xml:space="preserve"> </w:t>
      </w:r>
      <w:r w:rsidRPr="00C87872">
        <w:rPr>
          <w:rFonts w:ascii="Arial" w:hAnsi="Arial" w:cs="Arial"/>
        </w:rPr>
        <w:t>major</w:t>
      </w:r>
      <w:r w:rsidRPr="00C87872">
        <w:rPr>
          <w:rFonts w:ascii="Arial" w:hAnsi="Arial" w:cs="Arial"/>
          <w:spacing w:val="-3"/>
        </w:rPr>
        <w:t xml:space="preserve"> </w:t>
      </w:r>
      <w:r w:rsidRPr="00C87872">
        <w:rPr>
          <w:rFonts w:ascii="Arial" w:hAnsi="Arial" w:cs="Arial"/>
        </w:rPr>
        <w:t>insect</w:t>
      </w:r>
      <w:r w:rsidRPr="00C87872">
        <w:rPr>
          <w:rFonts w:ascii="Arial" w:hAnsi="Arial" w:cs="Arial"/>
          <w:spacing w:val="-2"/>
        </w:rPr>
        <w:t xml:space="preserve"> </w:t>
      </w:r>
      <w:r w:rsidRPr="00C87872">
        <w:rPr>
          <w:rFonts w:ascii="Arial" w:hAnsi="Arial" w:cs="Arial"/>
        </w:rPr>
        <w:t>pests</w:t>
      </w:r>
      <w:r w:rsidRPr="00C87872">
        <w:rPr>
          <w:rFonts w:ascii="Arial" w:hAnsi="Arial" w:cs="Arial"/>
          <w:spacing w:val="-53"/>
        </w:rPr>
        <w:t xml:space="preserve"> </w:t>
      </w:r>
      <w:r w:rsidRPr="00C87872">
        <w:rPr>
          <w:rFonts w:ascii="Arial" w:hAnsi="Arial" w:cs="Arial"/>
        </w:rPr>
        <w:t>of</w:t>
      </w:r>
      <w:r w:rsidRPr="00C87872">
        <w:rPr>
          <w:rFonts w:ascii="Arial" w:hAnsi="Arial" w:cs="Arial"/>
          <w:spacing w:val="-2"/>
        </w:rPr>
        <w:t xml:space="preserve"> </w:t>
      </w:r>
      <w:r w:rsidRPr="00C87872">
        <w:rPr>
          <w:rFonts w:ascii="Arial" w:hAnsi="Arial" w:cs="Arial"/>
        </w:rPr>
        <w:t>brinjal</w:t>
      </w:r>
      <w:r w:rsidRPr="00C87872">
        <w:rPr>
          <w:rFonts w:ascii="Arial" w:hAnsi="Arial" w:cs="Arial"/>
          <w:spacing w:val="-2"/>
        </w:rPr>
        <w:t xml:space="preserve"> </w:t>
      </w:r>
      <w:r w:rsidRPr="00C87872">
        <w:rPr>
          <w:rFonts w:ascii="Arial" w:hAnsi="Arial" w:cs="Arial"/>
        </w:rPr>
        <w:t>(Solanum</w:t>
      </w:r>
      <w:r w:rsidRPr="00C87872">
        <w:rPr>
          <w:rFonts w:ascii="Arial" w:hAnsi="Arial" w:cs="Arial"/>
          <w:spacing w:val="-2"/>
        </w:rPr>
        <w:t xml:space="preserve"> </w:t>
      </w:r>
      <w:r w:rsidRPr="00C87872">
        <w:rPr>
          <w:rFonts w:ascii="Arial" w:hAnsi="Arial" w:cs="Arial"/>
        </w:rPr>
        <w:t>Melongena</w:t>
      </w:r>
      <w:r w:rsidRPr="00C87872">
        <w:rPr>
          <w:rFonts w:ascii="Arial" w:hAnsi="Arial" w:cs="Arial"/>
          <w:spacing w:val="1"/>
        </w:rPr>
        <w:t xml:space="preserve"> </w:t>
      </w:r>
      <w:r w:rsidRPr="00C87872">
        <w:rPr>
          <w:rFonts w:ascii="Arial" w:hAnsi="Arial" w:cs="Arial"/>
        </w:rPr>
        <w:t>L.).</w:t>
      </w:r>
      <w:r w:rsidRPr="00C87872">
        <w:rPr>
          <w:rFonts w:ascii="Arial" w:hAnsi="Arial" w:cs="Arial"/>
          <w:spacing w:val="1"/>
        </w:rPr>
        <w:t xml:space="preserve"> </w:t>
      </w:r>
      <w:r w:rsidRPr="00C87872">
        <w:rPr>
          <w:rFonts w:ascii="Arial" w:hAnsi="Arial" w:cs="Arial"/>
          <w:i/>
        </w:rPr>
        <w:t>International Journal of Applied Biology and Pharmaceutical Technology</w:t>
      </w:r>
      <w:r w:rsidRPr="00C87872">
        <w:rPr>
          <w:rFonts w:ascii="Arial" w:hAnsi="Arial" w:cs="Arial"/>
        </w:rPr>
        <w:t>,</w:t>
      </w:r>
      <w:r w:rsidRPr="00C87872">
        <w:rPr>
          <w:rFonts w:ascii="Arial" w:hAnsi="Arial" w:cs="Arial"/>
          <w:spacing w:val="-2"/>
        </w:rPr>
        <w:t xml:space="preserve"> </w:t>
      </w:r>
      <w:r w:rsidRPr="00C87872">
        <w:rPr>
          <w:rFonts w:ascii="Arial" w:hAnsi="Arial" w:cs="Arial"/>
          <w:b/>
        </w:rPr>
        <w:t>5</w:t>
      </w:r>
      <w:r w:rsidRPr="00C87872">
        <w:rPr>
          <w:rFonts w:ascii="Arial" w:hAnsi="Arial" w:cs="Arial"/>
        </w:rPr>
        <w:t>:</w:t>
      </w:r>
      <w:r w:rsidRPr="00C87872">
        <w:rPr>
          <w:rFonts w:ascii="Arial" w:hAnsi="Arial" w:cs="Arial"/>
          <w:spacing w:val="1"/>
        </w:rPr>
        <w:t xml:space="preserve"> </w:t>
      </w:r>
      <w:r w:rsidRPr="00C87872">
        <w:rPr>
          <w:rFonts w:ascii="Arial" w:hAnsi="Arial" w:cs="Arial"/>
        </w:rPr>
        <w:t>228-238.</w:t>
      </w:r>
    </w:p>
    <w:p w14:paraId="05348F05" w14:textId="77777777" w:rsidR="000A7E7E" w:rsidRPr="00C87872" w:rsidRDefault="000A7E7E" w:rsidP="000A7E7E">
      <w:pPr>
        <w:pStyle w:val="NormalWeb"/>
        <w:ind w:left="1134" w:hanging="1134"/>
        <w:jc w:val="both"/>
        <w:rPr>
          <w:rFonts w:ascii="Arial" w:hAnsi="Arial" w:cs="Arial"/>
        </w:rPr>
      </w:pPr>
      <w:proofErr w:type="spellStart"/>
      <w:r w:rsidRPr="00C87872">
        <w:rPr>
          <w:rFonts w:ascii="Arial" w:hAnsi="Arial" w:cs="Arial"/>
        </w:rPr>
        <w:t>Panja</w:t>
      </w:r>
      <w:proofErr w:type="spellEnd"/>
      <w:r w:rsidRPr="00C87872">
        <w:rPr>
          <w:rFonts w:ascii="Arial" w:hAnsi="Arial" w:cs="Arial"/>
        </w:rPr>
        <w:t xml:space="preserve"> BN, Pandit MK, </w:t>
      </w:r>
      <w:proofErr w:type="spellStart"/>
      <w:r w:rsidRPr="00C87872">
        <w:rPr>
          <w:rFonts w:ascii="Arial" w:hAnsi="Arial" w:cs="Arial"/>
        </w:rPr>
        <w:t>Chattpoadhyay</w:t>
      </w:r>
      <w:proofErr w:type="spellEnd"/>
      <w:r w:rsidRPr="00C87872">
        <w:rPr>
          <w:rFonts w:ascii="Arial" w:hAnsi="Arial" w:cs="Arial"/>
        </w:rPr>
        <w:t xml:space="preserve"> SB, Majumder D, Sahoo AK, Pal P and Senapati AK. (2013). Identification of critical parameters for selection of superior brinjal genotypes under Realty and fruit and shoot </w:t>
      </w:r>
      <w:r w:rsidRPr="00C87872">
        <w:rPr>
          <w:rFonts w:ascii="Arial" w:hAnsi="Arial" w:cs="Arial"/>
          <w:i/>
        </w:rPr>
        <w:t>(</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t>orbonalis</w:t>
      </w:r>
      <w:proofErr w:type="spellEnd"/>
      <w:r w:rsidRPr="00C87872">
        <w:rPr>
          <w:rFonts w:ascii="Arial" w:hAnsi="Arial" w:cs="Arial"/>
        </w:rPr>
        <w:t xml:space="preserve"> </w:t>
      </w:r>
      <w:proofErr w:type="spellStart"/>
      <w:r w:rsidRPr="00C87872">
        <w:rPr>
          <w:rFonts w:ascii="Arial" w:hAnsi="Arial" w:cs="Arial"/>
        </w:rPr>
        <w:t>Guenn</w:t>
      </w:r>
      <w:proofErr w:type="spellEnd"/>
      <w:r w:rsidRPr="00C87872">
        <w:rPr>
          <w:rFonts w:ascii="Arial" w:hAnsi="Arial" w:cs="Arial"/>
        </w:rPr>
        <w:t xml:space="preserve">.) infested condition through path analysis. </w:t>
      </w:r>
      <w:r w:rsidRPr="00C87872">
        <w:rPr>
          <w:rFonts w:ascii="Arial" w:hAnsi="Arial" w:cs="Arial"/>
          <w:i/>
        </w:rPr>
        <w:t>Journal of Crop and Weed</w:t>
      </w:r>
      <w:r w:rsidRPr="00C87872">
        <w:rPr>
          <w:rFonts w:ascii="Arial" w:hAnsi="Arial" w:cs="Arial"/>
        </w:rPr>
        <w:t xml:space="preserve">, </w:t>
      </w:r>
      <w:r w:rsidRPr="00C87872">
        <w:rPr>
          <w:rFonts w:ascii="Arial" w:hAnsi="Arial" w:cs="Arial"/>
          <w:b/>
        </w:rPr>
        <w:t>9</w:t>
      </w:r>
      <w:r w:rsidRPr="00C87872">
        <w:rPr>
          <w:rFonts w:ascii="Arial" w:hAnsi="Arial" w:cs="Arial"/>
        </w:rPr>
        <w:t>: 172-176.</w:t>
      </w:r>
    </w:p>
    <w:p w14:paraId="4C5F62FF"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Pawar, V. M., Patil, B. D., &amp; Kulkarni, S. (2000). Effect of cow urine on suppression of insect pests in brinjal. </w:t>
      </w:r>
      <w:r w:rsidRPr="00C87872">
        <w:rPr>
          <w:rFonts w:ascii="Arial" w:eastAsia="Times New Roman" w:hAnsi="Arial" w:cs="Arial"/>
          <w:i/>
          <w:iCs/>
          <w:sz w:val="24"/>
          <w:szCs w:val="24"/>
          <w:lang w:eastAsia="en-IN"/>
        </w:rPr>
        <w:t xml:space="preserve">Pestology, </w:t>
      </w:r>
      <w:r w:rsidRPr="00C87872">
        <w:rPr>
          <w:rFonts w:ascii="Arial" w:eastAsia="Times New Roman" w:hAnsi="Arial" w:cs="Arial"/>
          <w:b/>
          <w:iCs/>
          <w:sz w:val="24"/>
          <w:szCs w:val="24"/>
          <w:lang w:eastAsia="en-IN"/>
        </w:rPr>
        <w:t>24</w:t>
      </w:r>
      <w:r w:rsidRPr="00C87872">
        <w:rPr>
          <w:rFonts w:ascii="Arial" w:eastAsia="Times New Roman" w:hAnsi="Arial" w:cs="Arial"/>
          <w:sz w:val="24"/>
          <w:szCs w:val="24"/>
          <w:lang w:eastAsia="en-IN"/>
        </w:rPr>
        <w:t>(4): 22–25.</w:t>
      </w:r>
    </w:p>
    <w:p w14:paraId="0265A29D" w14:textId="77777777" w:rsidR="000A7E7E" w:rsidRPr="00C87872" w:rsidRDefault="000A7E7E" w:rsidP="000A7E7E">
      <w:pPr>
        <w:pStyle w:val="NormalWeb"/>
        <w:ind w:left="1134" w:hanging="1134"/>
        <w:jc w:val="both"/>
        <w:rPr>
          <w:rFonts w:ascii="Arial" w:hAnsi="Arial" w:cs="Arial"/>
        </w:rPr>
      </w:pPr>
      <w:r w:rsidRPr="00C87872">
        <w:rPr>
          <w:rStyle w:val="Strong"/>
          <w:rFonts w:ascii="Arial" w:hAnsi="Arial" w:cs="Arial"/>
          <w:b w:val="0"/>
        </w:rPr>
        <w:t>P</w:t>
      </w:r>
      <w:r w:rsidRPr="00C87872">
        <w:rPr>
          <w:rStyle w:val="Strong"/>
          <w:rFonts w:ascii="Arial" w:eastAsia="Arial" w:hAnsi="Arial" w:cs="Arial"/>
          <w:b w:val="0"/>
        </w:rPr>
        <w:t>IB</w:t>
      </w:r>
      <w:r w:rsidRPr="00C87872">
        <w:rPr>
          <w:rStyle w:val="Strong"/>
          <w:rFonts w:ascii="Arial" w:hAnsi="Arial" w:cs="Arial"/>
        </w:rPr>
        <w:t>.</w:t>
      </w:r>
      <w:r w:rsidRPr="00C87872">
        <w:rPr>
          <w:rFonts w:ascii="Arial" w:hAnsi="Arial" w:cs="Arial"/>
        </w:rPr>
        <w:t xml:space="preserve"> (2022). </w:t>
      </w:r>
      <w:r w:rsidRPr="00C87872">
        <w:rPr>
          <w:rStyle w:val="Emphasis"/>
          <w:rFonts w:ascii="Arial" w:hAnsi="Arial" w:cs="Arial"/>
        </w:rPr>
        <w:t xml:space="preserve">2021–22 march (First Advance Estimates) of area and production of </w:t>
      </w:r>
      <w:proofErr w:type="gramStart"/>
      <w:r w:rsidRPr="00C87872">
        <w:rPr>
          <w:rStyle w:val="Emphasis"/>
          <w:rFonts w:ascii="Arial" w:hAnsi="Arial" w:cs="Arial"/>
        </w:rPr>
        <w:t>horticulture  crops</w:t>
      </w:r>
      <w:proofErr w:type="gramEnd"/>
      <w:r w:rsidRPr="00C87872">
        <w:rPr>
          <w:rStyle w:val="Emphasis"/>
          <w:rFonts w:ascii="Arial" w:hAnsi="Arial" w:cs="Arial"/>
        </w:rPr>
        <w:t xml:space="preserve"> Category</w:t>
      </w:r>
      <w:r w:rsidRPr="00C87872">
        <w:rPr>
          <w:rStyle w:val="Emphasis"/>
          <w:rFonts w:ascii="Arial" w:hAnsi="Arial" w:cs="Arial"/>
        </w:rPr>
        <w:noBreakHyphen/>
        <w:t xml:space="preserve">wise. </w:t>
      </w:r>
      <w:hyperlink r:id="rId16" w:history="1">
        <w:r w:rsidRPr="00C87872">
          <w:rPr>
            <w:rStyle w:val="Hyperlink"/>
            <w:rFonts w:ascii="Arial" w:hAnsi="Arial" w:cs="Arial"/>
            <w:color w:val="auto"/>
            <w:u w:val="none"/>
          </w:rPr>
          <w:t>https://static.pib.gov.in</w:t>
        </w:r>
      </w:hyperlink>
    </w:p>
    <w:p w14:paraId="101C0993"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Reddy ESG and Srinivasa. (2004). Management of shoot and fruit borer (</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t>orbonalis</w:t>
      </w:r>
      <w:proofErr w:type="spellEnd"/>
      <w:r w:rsidRPr="00C87872">
        <w:rPr>
          <w:rFonts w:ascii="Arial" w:hAnsi="Arial" w:cs="Arial"/>
        </w:rPr>
        <w:t xml:space="preserve">) in brinjal using botanicals. </w:t>
      </w:r>
      <w:r w:rsidRPr="00C87872">
        <w:rPr>
          <w:rFonts w:ascii="Arial" w:hAnsi="Arial" w:cs="Arial"/>
          <w:i/>
        </w:rPr>
        <w:t>Pestology</w:t>
      </w:r>
      <w:r w:rsidRPr="00C87872">
        <w:rPr>
          <w:rFonts w:ascii="Arial" w:hAnsi="Arial" w:cs="Arial"/>
        </w:rPr>
        <w:t xml:space="preserve">, </w:t>
      </w:r>
      <w:r w:rsidRPr="00C87872">
        <w:rPr>
          <w:rFonts w:ascii="Arial" w:hAnsi="Arial" w:cs="Arial"/>
          <w:b/>
        </w:rPr>
        <w:t>28</w:t>
      </w:r>
      <w:r w:rsidRPr="00C87872">
        <w:rPr>
          <w:rFonts w:ascii="Arial" w:hAnsi="Arial" w:cs="Arial"/>
        </w:rPr>
        <w:t>: 50-52.</w:t>
      </w:r>
    </w:p>
    <w:p w14:paraId="1EA80A26"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proofErr w:type="spellStart"/>
      <w:r w:rsidRPr="00C87872">
        <w:rPr>
          <w:rFonts w:ascii="Arial" w:eastAsia="Times New Roman" w:hAnsi="Arial" w:cs="Arial"/>
          <w:sz w:val="24"/>
          <w:szCs w:val="24"/>
          <w:lang w:eastAsia="en-IN"/>
        </w:rPr>
        <w:t>Rosaih</w:t>
      </w:r>
      <w:proofErr w:type="spellEnd"/>
      <w:r w:rsidRPr="00C87872">
        <w:rPr>
          <w:rFonts w:ascii="Arial" w:eastAsia="Times New Roman" w:hAnsi="Arial" w:cs="Arial"/>
          <w:sz w:val="24"/>
          <w:szCs w:val="24"/>
          <w:lang w:eastAsia="en-IN"/>
        </w:rPr>
        <w:t xml:space="preserve">, M. (2001a). Effectiveness of neem oil against brinjal pests. </w:t>
      </w:r>
      <w:r w:rsidRPr="00C87872">
        <w:rPr>
          <w:rFonts w:ascii="Arial" w:eastAsia="Times New Roman" w:hAnsi="Arial" w:cs="Arial"/>
          <w:i/>
          <w:iCs/>
          <w:sz w:val="24"/>
          <w:szCs w:val="24"/>
          <w:lang w:eastAsia="en-IN"/>
        </w:rPr>
        <w:t xml:space="preserve">Insect Environment, </w:t>
      </w:r>
      <w:r w:rsidRPr="00C87872">
        <w:rPr>
          <w:rFonts w:ascii="Arial" w:eastAsia="Times New Roman" w:hAnsi="Arial" w:cs="Arial"/>
          <w:b/>
          <w:iCs/>
          <w:sz w:val="24"/>
          <w:szCs w:val="24"/>
          <w:lang w:eastAsia="en-IN"/>
        </w:rPr>
        <w:t>7</w:t>
      </w:r>
      <w:r w:rsidRPr="00C87872">
        <w:rPr>
          <w:rFonts w:ascii="Arial" w:eastAsia="Times New Roman" w:hAnsi="Arial" w:cs="Arial"/>
          <w:sz w:val="24"/>
          <w:szCs w:val="24"/>
          <w:lang w:eastAsia="en-IN"/>
        </w:rPr>
        <w:t>(3): 114–115.</w:t>
      </w:r>
    </w:p>
    <w:p w14:paraId="2F9A11B2"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proofErr w:type="spellStart"/>
      <w:r w:rsidRPr="00C87872">
        <w:rPr>
          <w:rFonts w:ascii="Arial" w:eastAsia="Times New Roman" w:hAnsi="Arial" w:cs="Arial"/>
          <w:sz w:val="24"/>
          <w:szCs w:val="24"/>
          <w:lang w:eastAsia="en-IN"/>
        </w:rPr>
        <w:t>Rosaih</w:t>
      </w:r>
      <w:proofErr w:type="spellEnd"/>
      <w:r w:rsidRPr="00C87872">
        <w:rPr>
          <w:rFonts w:ascii="Arial" w:eastAsia="Times New Roman" w:hAnsi="Arial" w:cs="Arial"/>
          <w:sz w:val="24"/>
          <w:szCs w:val="24"/>
          <w:lang w:eastAsia="en-IN"/>
        </w:rPr>
        <w:t xml:space="preserve">, M. (2001b). Comparative efficacy of botanicals against shoot and fruit borer of brinjal. </w:t>
      </w:r>
      <w:r w:rsidRPr="00C87872">
        <w:rPr>
          <w:rFonts w:ascii="Arial" w:eastAsia="Times New Roman" w:hAnsi="Arial" w:cs="Arial"/>
          <w:i/>
          <w:iCs/>
          <w:sz w:val="24"/>
          <w:szCs w:val="24"/>
          <w:lang w:eastAsia="en-IN"/>
        </w:rPr>
        <w:t xml:space="preserve">Pestology, </w:t>
      </w:r>
      <w:r w:rsidRPr="00C87872">
        <w:rPr>
          <w:rFonts w:ascii="Arial" w:eastAsia="Times New Roman" w:hAnsi="Arial" w:cs="Arial"/>
          <w:b/>
          <w:iCs/>
          <w:sz w:val="24"/>
          <w:szCs w:val="24"/>
          <w:lang w:eastAsia="en-IN"/>
        </w:rPr>
        <w:t>25</w:t>
      </w:r>
      <w:r w:rsidRPr="00C87872">
        <w:rPr>
          <w:rFonts w:ascii="Arial" w:eastAsia="Times New Roman" w:hAnsi="Arial" w:cs="Arial"/>
          <w:sz w:val="24"/>
          <w:szCs w:val="24"/>
          <w:lang w:eastAsia="en-IN"/>
        </w:rPr>
        <w:t>(9): 29–32.</w:t>
      </w:r>
    </w:p>
    <w:p w14:paraId="44A5B4DA" w14:textId="77777777" w:rsidR="000A7E7E" w:rsidRPr="00C87872" w:rsidRDefault="000A7E7E" w:rsidP="000A7E7E">
      <w:pPr>
        <w:spacing w:before="120" w:after="120"/>
        <w:ind w:left="1134" w:hanging="1134"/>
        <w:jc w:val="both"/>
        <w:rPr>
          <w:rFonts w:ascii="Arial" w:hAnsi="Arial" w:cs="Arial"/>
          <w:sz w:val="24"/>
          <w:szCs w:val="24"/>
          <w:shd w:val="clear" w:color="auto" w:fill="FFFFFF"/>
        </w:rPr>
      </w:pPr>
      <w:proofErr w:type="gramStart"/>
      <w:r w:rsidRPr="00C87872">
        <w:rPr>
          <w:rFonts w:ascii="Arial" w:hAnsi="Arial" w:cs="Arial"/>
          <w:sz w:val="24"/>
          <w:szCs w:val="24"/>
          <w:shd w:val="clear" w:color="auto" w:fill="FFFFFF"/>
        </w:rPr>
        <w:t>Sharma  AK</w:t>
      </w:r>
      <w:proofErr w:type="gramEnd"/>
      <w:r w:rsidRPr="00C87872">
        <w:rPr>
          <w:rFonts w:ascii="Arial" w:hAnsi="Arial" w:cs="Arial"/>
          <w:sz w:val="24"/>
          <w:szCs w:val="24"/>
          <w:shd w:val="clear" w:color="auto" w:fill="FFFFFF"/>
        </w:rPr>
        <w:t xml:space="preserve">  and  Saxena  R.  (2012). Bioactivity </w:t>
      </w:r>
      <w:proofErr w:type="gramStart"/>
      <w:r w:rsidRPr="00C87872">
        <w:rPr>
          <w:rFonts w:ascii="Arial" w:hAnsi="Arial" w:cs="Arial"/>
          <w:sz w:val="24"/>
          <w:szCs w:val="24"/>
          <w:shd w:val="clear" w:color="auto" w:fill="FFFFFF"/>
        </w:rPr>
        <w:t>of  some</w:t>
      </w:r>
      <w:proofErr w:type="gramEnd"/>
      <w:r w:rsidRPr="00C87872">
        <w:rPr>
          <w:rFonts w:ascii="Arial" w:hAnsi="Arial" w:cs="Arial"/>
          <w:sz w:val="24"/>
          <w:szCs w:val="24"/>
          <w:shd w:val="clear" w:color="auto" w:fill="FFFFFF"/>
        </w:rPr>
        <w:t xml:space="preserve">  indigenous  plants  for  the control   of   </w:t>
      </w:r>
      <w:proofErr w:type="spellStart"/>
      <w:r w:rsidRPr="00C87872">
        <w:rPr>
          <w:rFonts w:ascii="Arial" w:hAnsi="Arial" w:cs="Arial"/>
          <w:sz w:val="24"/>
          <w:szCs w:val="24"/>
          <w:shd w:val="clear" w:color="auto" w:fill="FFFFFF"/>
        </w:rPr>
        <w:t>Hadda</w:t>
      </w:r>
      <w:proofErr w:type="spellEnd"/>
      <w:r w:rsidRPr="00C87872">
        <w:rPr>
          <w:rFonts w:ascii="Arial" w:hAnsi="Arial" w:cs="Arial"/>
          <w:sz w:val="24"/>
          <w:szCs w:val="24"/>
          <w:shd w:val="clear" w:color="auto" w:fill="FFFFFF"/>
        </w:rPr>
        <w:t xml:space="preserve">   beetle, </w:t>
      </w:r>
      <w:proofErr w:type="spellStart"/>
      <w:r w:rsidRPr="00C87872">
        <w:rPr>
          <w:rFonts w:ascii="Arial" w:hAnsi="Arial" w:cs="Arial"/>
          <w:i/>
          <w:sz w:val="24"/>
          <w:szCs w:val="24"/>
          <w:shd w:val="clear" w:color="auto" w:fill="FFFFFF"/>
        </w:rPr>
        <w:t>Henosepilachna</w:t>
      </w:r>
      <w:proofErr w:type="spellEnd"/>
      <w:r w:rsidRPr="00C87872">
        <w:rPr>
          <w:rFonts w:ascii="Arial" w:hAnsi="Arial" w:cs="Arial"/>
          <w:i/>
          <w:sz w:val="24"/>
          <w:szCs w:val="24"/>
          <w:shd w:val="clear" w:color="auto" w:fill="FFFFFF"/>
        </w:rPr>
        <w:t xml:space="preserve">   </w:t>
      </w:r>
      <w:proofErr w:type="spellStart"/>
      <w:r w:rsidRPr="00C87872">
        <w:rPr>
          <w:rFonts w:ascii="Arial" w:hAnsi="Arial" w:cs="Arial"/>
          <w:i/>
          <w:sz w:val="24"/>
          <w:szCs w:val="24"/>
          <w:shd w:val="clear" w:color="auto" w:fill="FFFFFF"/>
        </w:rPr>
        <w:t>vigintioctopunctata</w:t>
      </w:r>
      <w:proofErr w:type="spellEnd"/>
      <w:r w:rsidRPr="00C87872">
        <w:rPr>
          <w:rFonts w:ascii="Arial" w:hAnsi="Arial" w:cs="Arial"/>
          <w:sz w:val="24"/>
          <w:szCs w:val="24"/>
          <w:shd w:val="clear" w:color="auto" w:fill="FFFFFF"/>
        </w:rPr>
        <w:t xml:space="preserve"> infesting brinjal. </w:t>
      </w:r>
      <w:r w:rsidRPr="00C87872">
        <w:rPr>
          <w:rFonts w:ascii="Arial" w:hAnsi="Arial" w:cs="Arial"/>
          <w:i/>
          <w:sz w:val="24"/>
          <w:szCs w:val="24"/>
          <w:shd w:val="clear" w:color="auto" w:fill="FFFFFF"/>
        </w:rPr>
        <w:t>Journal of Biopesticides</w:t>
      </w:r>
      <w:r w:rsidRPr="00C87872">
        <w:rPr>
          <w:rFonts w:ascii="Arial" w:hAnsi="Arial" w:cs="Arial"/>
          <w:sz w:val="24"/>
          <w:szCs w:val="24"/>
          <w:shd w:val="clear" w:color="auto" w:fill="FFFFFF"/>
        </w:rPr>
        <w:t xml:space="preserve">, </w:t>
      </w:r>
      <w:r w:rsidRPr="00C87872">
        <w:rPr>
          <w:rFonts w:ascii="Arial" w:hAnsi="Arial" w:cs="Arial"/>
          <w:b/>
          <w:sz w:val="24"/>
          <w:szCs w:val="24"/>
          <w:shd w:val="clear" w:color="auto" w:fill="FFFFFF"/>
        </w:rPr>
        <w:t>5</w:t>
      </w:r>
      <w:r w:rsidRPr="00C87872">
        <w:rPr>
          <w:rFonts w:ascii="Arial" w:hAnsi="Arial" w:cs="Arial"/>
          <w:sz w:val="24"/>
          <w:szCs w:val="24"/>
          <w:shd w:val="clear" w:color="auto" w:fill="FFFFFF"/>
        </w:rPr>
        <w:t>(2): 100.</w:t>
      </w:r>
    </w:p>
    <w:p w14:paraId="2417EB36"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t xml:space="preserve">Sharma, A., &amp; Anil, M. (2010). Effect of Spinosad 45SC on brinjal pests. </w:t>
      </w:r>
      <w:r w:rsidRPr="00C87872">
        <w:rPr>
          <w:rFonts w:ascii="Arial" w:hAnsi="Arial" w:cs="Arial"/>
          <w:i/>
          <w:iCs/>
        </w:rPr>
        <w:t xml:space="preserve">Pestology, </w:t>
      </w:r>
      <w:r w:rsidRPr="00C87872">
        <w:rPr>
          <w:rFonts w:ascii="Arial" w:hAnsi="Arial" w:cs="Arial"/>
          <w:b/>
          <w:iCs/>
        </w:rPr>
        <w:t>34</w:t>
      </w:r>
      <w:r w:rsidRPr="00C87872">
        <w:rPr>
          <w:rFonts w:ascii="Arial" w:hAnsi="Arial" w:cs="Arial"/>
        </w:rPr>
        <w:t>(4): 23–26.</w:t>
      </w:r>
    </w:p>
    <w:p w14:paraId="44A72C31" w14:textId="77777777" w:rsidR="000A7E7E" w:rsidRPr="00C87872" w:rsidRDefault="000A7E7E" w:rsidP="000A7E7E">
      <w:pPr>
        <w:pStyle w:val="NormalWeb"/>
        <w:ind w:left="1134" w:hanging="1134"/>
        <w:jc w:val="both"/>
        <w:rPr>
          <w:rFonts w:ascii="Arial" w:hAnsi="Arial" w:cs="Arial"/>
        </w:rPr>
      </w:pPr>
      <w:r w:rsidRPr="00C87872">
        <w:rPr>
          <w:rFonts w:ascii="Arial" w:hAnsi="Arial" w:cs="Arial"/>
        </w:rPr>
        <w:t xml:space="preserve">Shi, J., Liu, X., Li, Z., Zheng, Y., Zhang, Q., &amp; Liu, X. (2015). Laboratory evaluation of acute toxicity of the essential oil of </w:t>
      </w:r>
      <w:r w:rsidRPr="00C87872">
        <w:rPr>
          <w:rStyle w:val="Emphasis"/>
          <w:rFonts w:ascii="Arial" w:eastAsia="Arial MT" w:hAnsi="Arial" w:cs="Arial"/>
        </w:rPr>
        <w:t>Allium tuberosum</w:t>
      </w:r>
      <w:r w:rsidRPr="00C87872">
        <w:rPr>
          <w:rFonts w:ascii="Arial" w:hAnsi="Arial" w:cs="Arial"/>
        </w:rPr>
        <w:t xml:space="preserve"> leaves and its selected major constituents against </w:t>
      </w:r>
      <w:proofErr w:type="spellStart"/>
      <w:r w:rsidRPr="00C87872">
        <w:rPr>
          <w:rStyle w:val="Emphasis"/>
          <w:rFonts w:ascii="Arial" w:eastAsia="Arial MT" w:hAnsi="Arial" w:cs="Arial"/>
        </w:rPr>
        <w:t>Apolygus</w:t>
      </w:r>
      <w:proofErr w:type="spellEnd"/>
      <w:r w:rsidRPr="00C87872">
        <w:rPr>
          <w:rStyle w:val="Emphasis"/>
          <w:rFonts w:ascii="Arial" w:eastAsia="Arial MT" w:hAnsi="Arial" w:cs="Arial"/>
        </w:rPr>
        <w:t xml:space="preserve"> </w:t>
      </w:r>
      <w:proofErr w:type="spellStart"/>
      <w:r w:rsidRPr="00C87872">
        <w:rPr>
          <w:rStyle w:val="Emphasis"/>
          <w:rFonts w:ascii="Arial" w:eastAsia="Arial MT" w:hAnsi="Arial" w:cs="Arial"/>
        </w:rPr>
        <w:t>lucorum</w:t>
      </w:r>
      <w:proofErr w:type="spellEnd"/>
      <w:r w:rsidRPr="00C87872">
        <w:rPr>
          <w:rFonts w:ascii="Arial" w:hAnsi="Arial" w:cs="Arial"/>
        </w:rPr>
        <w:t xml:space="preserve"> (Hemiptera: </w:t>
      </w:r>
      <w:proofErr w:type="spellStart"/>
      <w:r w:rsidRPr="00C87872">
        <w:rPr>
          <w:rFonts w:ascii="Arial" w:hAnsi="Arial" w:cs="Arial"/>
        </w:rPr>
        <w:t>Miridae</w:t>
      </w:r>
      <w:proofErr w:type="spellEnd"/>
      <w:r w:rsidRPr="00C87872">
        <w:rPr>
          <w:rFonts w:ascii="Arial" w:hAnsi="Arial" w:cs="Arial"/>
        </w:rPr>
        <w:t xml:space="preserve">). </w:t>
      </w:r>
      <w:r w:rsidRPr="00C87872">
        <w:rPr>
          <w:rStyle w:val="Emphasis"/>
          <w:rFonts w:ascii="Arial" w:eastAsia="Arial MT" w:hAnsi="Arial" w:cs="Arial"/>
        </w:rPr>
        <w:t xml:space="preserve">Journal of Insect Science, </w:t>
      </w:r>
      <w:r w:rsidRPr="00C87872">
        <w:rPr>
          <w:rStyle w:val="Emphasis"/>
          <w:rFonts w:ascii="Arial" w:eastAsia="Arial MT" w:hAnsi="Arial" w:cs="Arial"/>
          <w:b/>
        </w:rPr>
        <w:t>15</w:t>
      </w:r>
      <w:r w:rsidRPr="00C87872">
        <w:rPr>
          <w:rFonts w:ascii="Arial" w:hAnsi="Arial" w:cs="Arial"/>
        </w:rPr>
        <w:t>(1): 117.</w:t>
      </w:r>
    </w:p>
    <w:p w14:paraId="5C5728C5" w14:textId="7A950068"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lastRenderedPageBreak/>
        <w:t>Singh P</w:t>
      </w:r>
      <w:r w:rsidR="00C87872">
        <w:rPr>
          <w:rFonts w:ascii="Arial" w:hAnsi="Arial" w:cs="Arial"/>
        </w:rPr>
        <w:t>.</w:t>
      </w:r>
      <w:r w:rsidRPr="00C87872">
        <w:rPr>
          <w:rFonts w:ascii="Arial" w:hAnsi="Arial" w:cs="Arial"/>
        </w:rPr>
        <w:t xml:space="preserve">K. (2003). Control of brinjal shoot and fruit borer </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t>orbonalis</w:t>
      </w:r>
      <w:proofErr w:type="spellEnd"/>
      <w:r w:rsidRPr="00C87872">
        <w:rPr>
          <w:rFonts w:ascii="Arial" w:hAnsi="Arial" w:cs="Arial"/>
          <w:i/>
        </w:rPr>
        <w:t xml:space="preserve"> </w:t>
      </w:r>
      <w:r w:rsidRPr="00C87872">
        <w:rPr>
          <w:rFonts w:ascii="Arial" w:hAnsi="Arial" w:cs="Arial"/>
        </w:rPr>
        <w:t xml:space="preserve">with combination of insecticides and plant extracts. </w:t>
      </w:r>
      <w:r w:rsidRPr="00C87872">
        <w:rPr>
          <w:rFonts w:ascii="Arial" w:hAnsi="Arial" w:cs="Arial"/>
          <w:i/>
        </w:rPr>
        <w:t>Indian Journal of Entomology</w:t>
      </w:r>
      <w:r w:rsidRPr="00C87872">
        <w:rPr>
          <w:rFonts w:ascii="Arial" w:hAnsi="Arial" w:cs="Arial"/>
        </w:rPr>
        <w:t xml:space="preserve">, </w:t>
      </w:r>
      <w:r w:rsidRPr="00C87872">
        <w:rPr>
          <w:rFonts w:ascii="Arial" w:hAnsi="Arial" w:cs="Arial"/>
          <w:b/>
        </w:rPr>
        <w:t>65</w:t>
      </w:r>
      <w:r w:rsidRPr="00C87872">
        <w:rPr>
          <w:rFonts w:ascii="Arial" w:hAnsi="Arial" w:cs="Arial"/>
        </w:rPr>
        <w:t>(2): 155-159.</w:t>
      </w:r>
    </w:p>
    <w:p w14:paraId="16C3E6A9" w14:textId="77777777" w:rsidR="000A7E7E" w:rsidRPr="00C87872" w:rsidRDefault="000A7E7E" w:rsidP="000A7E7E">
      <w:pPr>
        <w:pStyle w:val="NormalWeb"/>
        <w:spacing w:before="120" w:beforeAutospacing="0" w:after="120" w:afterAutospacing="0"/>
        <w:ind w:left="1134" w:hanging="1134"/>
        <w:jc w:val="both"/>
        <w:rPr>
          <w:rFonts w:ascii="Arial" w:hAnsi="Arial" w:cs="Arial"/>
        </w:rPr>
      </w:pPr>
      <w:r w:rsidRPr="00C87872">
        <w:rPr>
          <w:rFonts w:ascii="Arial" w:hAnsi="Arial" w:cs="Arial"/>
        </w:rPr>
        <w:t xml:space="preserve">Singh S, Choudhary DP, Sharma C, Mehara RS and Mathur YS. 2008. </w:t>
      </w:r>
      <w:proofErr w:type="spellStart"/>
      <w:r w:rsidRPr="00C87872">
        <w:rPr>
          <w:rFonts w:ascii="Arial" w:hAnsi="Arial" w:cs="Arial"/>
        </w:rPr>
        <w:t>Bioefficacy</w:t>
      </w:r>
      <w:proofErr w:type="spellEnd"/>
      <w:r w:rsidRPr="00C87872">
        <w:rPr>
          <w:rFonts w:ascii="Arial" w:hAnsi="Arial" w:cs="Arial"/>
        </w:rPr>
        <w:t xml:space="preserve"> of IPM modules against shoot and fruit borer on eggplant. </w:t>
      </w:r>
      <w:r w:rsidRPr="00C87872">
        <w:rPr>
          <w:rFonts w:ascii="Arial" w:hAnsi="Arial" w:cs="Arial"/>
          <w:i/>
        </w:rPr>
        <w:t>Indian Journal of Entomology</w:t>
      </w:r>
      <w:r w:rsidRPr="00C87872">
        <w:rPr>
          <w:rFonts w:ascii="Arial" w:hAnsi="Arial" w:cs="Arial"/>
        </w:rPr>
        <w:t xml:space="preserve">, </w:t>
      </w:r>
      <w:r w:rsidRPr="00C87872">
        <w:rPr>
          <w:rFonts w:ascii="Arial" w:hAnsi="Arial" w:cs="Arial"/>
          <w:b/>
        </w:rPr>
        <w:t>70</w:t>
      </w:r>
      <w:r w:rsidRPr="00C87872">
        <w:rPr>
          <w:rFonts w:ascii="Arial" w:hAnsi="Arial" w:cs="Arial"/>
        </w:rPr>
        <w:t>(2): 179-181.</w:t>
      </w:r>
    </w:p>
    <w:p w14:paraId="747493BE" w14:textId="53FE5533" w:rsidR="000A7E7E" w:rsidRPr="00C87872" w:rsidRDefault="000A7E7E" w:rsidP="000A7E7E">
      <w:pPr>
        <w:pStyle w:val="NormalWeb"/>
        <w:ind w:left="1134" w:hanging="1134"/>
        <w:jc w:val="both"/>
        <w:rPr>
          <w:rFonts w:ascii="Arial" w:hAnsi="Arial" w:cs="Arial"/>
        </w:rPr>
      </w:pPr>
      <w:r w:rsidRPr="00C87872">
        <w:rPr>
          <w:rFonts w:ascii="Arial" w:hAnsi="Arial" w:cs="Arial"/>
        </w:rPr>
        <w:t>Singh S</w:t>
      </w:r>
      <w:r w:rsidR="00C87872">
        <w:rPr>
          <w:rFonts w:ascii="Arial" w:hAnsi="Arial" w:cs="Arial"/>
        </w:rPr>
        <w:t>.</w:t>
      </w:r>
      <w:r w:rsidRPr="00C87872">
        <w:rPr>
          <w:rFonts w:ascii="Arial" w:hAnsi="Arial" w:cs="Arial"/>
        </w:rPr>
        <w:t>V, Singh K</w:t>
      </w:r>
      <w:r w:rsidR="00C87872">
        <w:rPr>
          <w:rFonts w:ascii="Arial" w:hAnsi="Arial" w:cs="Arial"/>
        </w:rPr>
        <w:t>.</w:t>
      </w:r>
      <w:r w:rsidRPr="00C87872">
        <w:rPr>
          <w:rFonts w:ascii="Arial" w:hAnsi="Arial" w:cs="Arial"/>
        </w:rPr>
        <w:t>S and Mallik Y</w:t>
      </w:r>
      <w:r w:rsidR="00C87872">
        <w:rPr>
          <w:rFonts w:ascii="Arial" w:hAnsi="Arial" w:cs="Arial"/>
        </w:rPr>
        <w:t>.</w:t>
      </w:r>
      <w:r w:rsidRPr="00C87872">
        <w:rPr>
          <w:rFonts w:ascii="Arial" w:hAnsi="Arial" w:cs="Arial"/>
        </w:rPr>
        <w:t xml:space="preserve">P. (2000) Seasonal incidence and economic losses of shoot and fruit borer, </w:t>
      </w:r>
      <w:proofErr w:type="spellStart"/>
      <w:r w:rsidRPr="00C87872">
        <w:rPr>
          <w:rFonts w:ascii="Arial" w:hAnsi="Arial" w:cs="Arial"/>
          <w:i/>
        </w:rPr>
        <w:t>Leucinodes</w:t>
      </w:r>
      <w:proofErr w:type="spellEnd"/>
      <w:r w:rsidRPr="00C87872">
        <w:rPr>
          <w:rFonts w:ascii="Arial" w:hAnsi="Arial" w:cs="Arial"/>
          <w:i/>
        </w:rPr>
        <w:t xml:space="preserve"> </w:t>
      </w:r>
      <w:proofErr w:type="spellStart"/>
      <w:r w:rsidRPr="00C87872">
        <w:rPr>
          <w:rFonts w:ascii="Arial" w:hAnsi="Arial" w:cs="Arial"/>
          <w:i/>
        </w:rPr>
        <w:t>orbonalison</w:t>
      </w:r>
      <w:proofErr w:type="spellEnd"/>
      <w:r w:rsidRPr="00C87872">
        <w:rPr>
          <w:rFonts w:ascii="Arial" w:hAnsi="Arial" w:cs="Arial"/>
        </w:rPr>
        <w:t xml:space="preserve"> brinjal. </w:t>
      </w:r>
      <w:r w:rsidRPr="00C87872">
        <w:rPr>
          <w:rFonts w:ascii="Arial" w:hAnsi="Arial" w:cs="Arial"/>
          <w:i/>
        </w:rPr>
        <w:t>Indian Journal of Entomology</w:t>
      </w:r>
      <w:r w:rsidRPr="00C87872">
        <w:rPr>
          <w:rFonts w:ascii="Arial" w:hAnsi="Arial" w:cs="Arial"/>
        </w:rPr>
        <w:t xml:space="preserve">, </w:t>
      </w:r>
      <w:r w:rsidRPr="00C87872">
        <w:rPr>
          <w:rFonts w:ascii="Arial" w:hAnsi="Arial" w:cs="Arial"/>
          <w:b/>
        </w:rPr>
        <w:t>62</w:t>
      </w:r>
      <w:r w:rsidRPr="00C87872">
        <w:rPr>
          <w:rFonts w:ascii="Arial" w:hAnsi="Arial" w:cs="Arial"/>
        </w:rPr>
        <w:t>(3): 247-252.</w:t>
      </w:r>
    </w:p>
    <w:p w14:paraId="3754E2A0" w14:textId="77777777" w:rsidR="000A7E7E" w:rsidRPr="00C87872" w:rsidRDefault="000A7E7E" w:rsidP="000A7E7E">
      <w:pPr>
        <w:spacing w:before="120" w:after="120"/>
        <w:ind w:left="1134" w:hanging="1134"/>
        <w:jc w:val="both"/>
        <w:rPr>
          <w:rFonts w:ascii="Arial" w:eastAsia="Times New Roman" w:hAnsi="Arial" w:cs="Arial"/>
          <w:sz w:val="24"/>
          <w:szCs w:val="24"/>
          <w:lang w:eastAsia="en-IN"/>
        </w:rPr>
      </w:pPr>
      <w:r w:rsidRPr="00C87872">
        <w:rPr>
          <w:rFonts w:ascii="Arial" w:eastAsia="Times New Roman" w:hAnsi="Arial" w:cs="Arial"/>
          <w:sz w:val="24"/>
          <w:szCs w:val="24"/>
          <w:lang w:eastAsia="en-IN"/>
        </w:rPr>
        <w:t xml:space="preserve">Singh, P. K. (2003). Control of brinjal shoot and fruit borer, </w:t>
      </w:r>
      <w:proofErr w:type="spellStart"/>
      <w:r w:rsidRPr="00C87872">
        <w:rPr>
          <w:rFonts w:ascii="Arial" w:eastAsia="Times New Roman" w:hAnsi="Arial" w:cs="Arial"/>
          <w:i/>
          <w:sz w:val="24"/>
          <w:szCs w:val="24"/>
          <w:lang w:eastAsia="en-IN"/>
        </w:rPr>
        <w:t>Leucinodes</w:t>
      </w:r>
      <w:proofErr w:type="spellEnd"/>
      <w:r w:rsidRPr="00C87872">
        <w:rPr>
          <w:rFonts w:ascii="Arial" w:eastAsia="Times New Roman" w:hAnsi="Arial" w:cs="Arial"/>
          <w:i/>
          <w:sz w:val="24"/>
          <w:szCs w:val="24"/>
          <w:lang w:eastAsia="en-IN"/>
        </w:rPr>
        <w:t xml:space="preserve"> </w:t>
      </w:r>
      <w:proofErr w:type="spellStart"/>
      <w:r w:rsidRPr="00C87872">
        <w:rPr>
          <w:rFonts w:ascii="Arial" w:eastAsia="Times New Roman" w:hAnsi="Arial" w:cs="Arial"/>
          <w:i/>
          <w:sz w:val="24"/>
          <w:szCs w:val="24"/>
          <w:lang w:eastAsia="en-IN"/>
        </w:rPr>
        <w:t>orbonalis</w:t>
      </w:r>
      <w:proofErr w:type="spellEnd"/>
      <w:r w:rsidRPr="00C87872">
        <w:rPr>
          <w:rFonts w:ascii="Arial" w:eastAsia="Times New Roman" w:hAnsi="Arial" w:cs="Arial"/>
          <w:sz w:val="24"/>
          <w:szCs w:val="24"/>
          <w:lang w:eastAsia="en-IN"/>
        </w:rPr>
        <w:t xml:space="preserve"> with combination of insecticides and plant extracts. </w:t>
      </w:r>
      <w:r w:rsidRPr="00C87872">
        <w:rPr>
          <w:rFonts w:ascii="Arial" w:hAnsi="Arial" w:cs="Arial"/>
          <w:i/>
          <w:sz w:val="24"/>
          <w:szCs w:val="24"/>
        </w:rPr>
        <w:t>Indian Journal of Entomology</w:t>
      </w:r>
      <w:r w:rsidRPr="00C87872">
        <w:rPr>
          <w:rFonts w:ascii="Arial" w:eastAsia="Times New Roman" w:hAnsi="Arial" w:cs="Arial"/>
          <w:sz w:val="24"/>
          <w:szCs w:val="24"/>
          <w:lang w:eastAsia="en-IN"/>
        </w:rPr>
        <w:t xml:space="preserve">, </w:t>
      </w:r>
      <w:r w:rsidRPr="00C87872">
        <w:rPr>
          <w:rFonts w:ascii="Arial" w:eastAsia="Times New Roman" w:hAnsi="Arial" w:cs="Arial"/>
          <w:b/>
          <w:sz w:val="24"/>
          <w:szCs w:val="24"/>
          <w:lang w:eastAsia="en-IN"/>
        </w:rPr>
        <w:t>65</w:t>
      </w:r>
      <w:r w:rsidRPr="00C87872">
        <w:rPr>
          <w:rFonts w:ascii="Arial" w:eastAsia="Times New Roman" w:hAnsi="Arial" w:cs="Arial"/>
          <w:sz w:val="24"/>
          <w:szCs w:val="24"/>
          <w:lang w:eastAsia="en-IN"/>
        </w:rPr>
        <w:t>(2): 155-159.</w:t>
      </w:r>
    </w:p>
    <w:p w14:paraId="7302AA1D" w14:textId="77777777" w:rsidR="000A7E7E" w:rsidRPr="00C87872" w:rsidRDefault="000A7E7E" w:rsidP="00E8620A">
      <w:pPr>
        <w:pStyle w:val="NormalWeb"/>
      </w:pPr>
    </w:p>
    <w:sectPr w:rsidR="000A7E7E" w:rsidRPr="00C87872" w:rsidSect="00C90E45">
      <w:type w:val="continuous"/>
      <w:pgSz w:w="11910" w:h="16840"/>
      <w:pgMar w:top="1480" w:right="992" w:bottom="27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B368" w14:textId="77777777" w:rsidR="00870080" w:rsidRDefault="00870080" w:rsidP="0006720A">
      <w:pPr>
        <w:spacing w:after="0" w:line="240" w:lineRule="auto"/>
      </w:pPr>
      <w:r>
        <w:separator/>
      </w:r>
    </w:p>
  </w:endnote>
  <w:endnote w:type="continuationSeparator" w:id="0">
    <w:p w14:paraId="68666D89" w14:textId="77777777" w:rsidR="00870080" w:rsidRDefault="00870080" w:rsidP="0006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67F0" w14:textId="77777777" w:rsidR="00C90E45" w:rsidRDefault="00C9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730933"/>
      <w:docPartObj>
        <w:docPartGallery w:val="Page Numbers (Bottom of Page)"/>
        <w:docPartUnique/>
      </w:docPartObj>
    </w:sdtPr>
    <w:sdtEndPr>
      <w:rPr>
        <w:noProof/>
      </w:rPr>
    </w:sdtEndPr>
    <w:sdtContent>
      <w:p w14:paraId="419D4523" w14:textId="08091390" w:rsidR="0006720A" w:rsidRDefault="0006720A">
        <w:pPr>
          <w:pStyle w:val="Footer"/>
          <w:jc w:val="center"/>
        </w:pPr>
        <w:r>
          <w:fldChar w:fldCharType="begin"/>
        </w:r>
        <w:r>
          <w:instrText xml:space="preserve"> PAGE   \* MERGEFORMAT </w:instrText>
        </w:r>
        <w:r>
          <w:fldChar w:fldCharType="separate"/>
        </w:r>
        <w:r w:rsidR="00965601">
          <w:rPr>
            <w:noProof/>
          </w:rPr>
          <w:t>2</w:t>
        </w:r>
        <w:r>
          <w:rPr>
            <w:noProof/>
          </w:rPr>
          <w:fldChar w:fldCharType="end"/>
        </w:r>
      </w:p>
    </w:sdtContent>
  </w:sdt>
  <w:p w14:paraId="4972262F" w14:textId="77777777" w:rsidR="0006720A" w:rsidRDefault="0006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62DF" w14:textId="77777777" w:rsidR="00C90E45" w:rsidRDefault="00C9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9276B" w14:textId="77777777" w:rsidR="00870080" w:rsidRDefault="00870080" w:rsidP="0006720A">
      <w:pPr>
        <w:spacing w:after="0" w:line="240" w:lineRule="auto"/>
      </w:pPr>
      <w:r>
        <w:separator/>
      </w:r>
    </w:p>
  </w:footnote>
  <w:footnote w:type="continuationSeparator" w:id="0">
    <w:p w14:paraId="09A59B3A" w14:textId="77777777" w:rsidR="00870080" w:rsidRDefault="00870080" w:rsidP="0006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DCE3" w14:textId="1A4943CC" w:rsidR="00C90E45" w:rsidRDefault="00C90E45">
    <w:pPr>
      <w:pStyle w:val="Header"/>
    </w:pPr>
    <w:r>
      <w:rPr>
        <w:noProof/>
      </w:rPr>
      <w:pict w14:anchorId="5B71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19" o:spid="_x0000_s2050" type="#_x0000_t136" style="position:absolute;margin-left:0;margin-top:0;width:564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DB9E" w14:textId="220868E5" w:rsidR="00C90E45" w:rsidRDefault="00C90E45">
    <w:pPr>
      <w:pStyle w:val="Header"/>
    </w:pPr>
    <w:r>
      <w:rPr>
        <w:noProof/>
      </w:rPr>
      <w:pict w14:anchorId="6C340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20" o:spid="_x0000_s2051" type="#_x0000_t136" style="position:absolute;margin-left:0;margin-top:0;width:564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2573" w14:textId="5A479A21" w:rsidR="00C90E45" w:rsidRDefault="00C90E45">
    <w:pPr>
      <w:pStyle w:val="Header"/>
    </w:pPr>
    <w:r>
      <w:rPr>
        <w:noProof/>
      </w:rPr>
      <w:pict w14:anchorId="45795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191718" o:spid="_x0000_s2049" type="#_x0000_t136" style="position:absolute;margin-left:0;margin-top:0;width:564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D27F5"/>
    <w:multiLevelType w:val="hybridMultilevel"/>
    <w:tmpl w:val="3FC02A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67"/>
    <w:rsid w:val="00034A52"/>
    <w:rsid w:val="000550B7"/>
    <w:rsid w:val="0006720A"/>
    <w:rsid w:val="0008626F"/>
    <w:rsid w:val="00096205"/>
    <w:rsid w:val="000A7E7E"/>
    <w:rsid w:val="001C14F8"/>
    <w:rsid w:val="00393E5C"/>
    <w:rsid w:val="00397367"/>
    <w:rsid w:val="004562D0"/>
    <w:rsid w:val="00532E01"/>
    <w:rsid w:val="00573834"/>
    <w:rsid w:val="00585DF0"/>
    <w:rsid w:val="005D0FB9"/>
    <w:rsid w:val="00605FDF"/>
    <w:rsid w:val="00643BDB"/>
    <w:rsid w:val="00695FC9"/>
    <w:rsid w:val="00730EC1"/>
    <w:rsid w:val="00763CDA"/>
    <w:rsid w:val="007D5D72"/>
    <w:rsid w:val="007F391D"/>
    <w:rsid w:val="00870080"/>
    <w:rsid w:val="008A3487"/>
    <w:rsid w:val="008B25EE"/>
    <w:rsid w:val="008E134E"/>
    <w:rsid w:val="009236B0"/>
    <w:rsid w:val="00965601"/>
    <w:rsid w:val="00992A2D"/>
    <w:rsid w:val="009A5BF0"/>
    <w:rsid w:val="009E3BD8"/>
    <w:rsid w:val="00A35167"/>
    <w:rsid w:val="00A54799"/>
    <w:rsid w:val="00A57B3F"/>
    <w:rsid w:val="00AE4688"/>
    <w:rsid w:val="00B762B1"/>
    <w:rsid w:val="00BA22C1"/>
    <w:rsid w:val="00BA5F25"/>
    <w:rsid w:val="00C04C60"/>
    <w:rsid w:val="00C2154E"/>
    <w:rsid w:val="00C413C1"/>
    <w:rsid w:val="00C83DD7"/>
    <w:rsid w:val="00C87872"/>
    <w:rsid w:val="00C90E45"/>
    <w:rsid w:val="00C9542F"/>
    <w:rsid w:val="00CD71F9"/>
    <w:rsid w:val="00D76FEA"/>
    <w:rsid w:val="00D905FF"/>
    <w:rsid w:val="00E12DDB"/>
    <w:rsid w:val="00E2243A"/>
    <w:rsid w:val="00E440D0"/>
    <w:rsid w:val="00E8620A"/>
    <w:rsid w:val="00EE5BB0"/>
    <w:rsid w:val="00F5548A"/>
    <w:rsid w:val="00F64573"/>
    <w:rsid w:val="00F82907"/>
    <w:rsid w:val="00F83239"/>
    <w:rsid w:val="00FC6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7599E"/>
  <w15:chartTrackingRefBased/>
  <w15:docId w15:val="{89FB681C-F963-4970-9EB0-32A1ECB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67"/>
    <w:rPr>
      <w:kern w:val="2"/>
      <w14:ligatures w14:val="standardContextual"/>
    </w:rPr>
  </w:style>
  <w:style w:type="paragraph" w:styleId="Heading1">
    <w:name w:val="heading 1"/>
    <w:basedOn w:val="Normal"/>
    <w:next w:val="Normal"/>
    <w:link w:val="Heading1Char"/>
    <w:qFormat/>
    <w:rsid w:val="00E2243A"/>
    <w:pPr>
      <w:keepNext/>
      <w:spacing w:after="200" w:line="276" w:lineRule="auto"/>
      <w:jc w:val="both"/>
      <w:outlineLvl w:val="0"/>
    </w:pPr>
    <w:rPr>
      <w:rFonts w:ascii="Times New Roman" w:eastAsia="Times New Roman" w:hAnsi="Times New Roman" w:cs="Times New Roman"/>
      <w:b/>
      <w:iCs/>
      <w:kern w:val="0"/>
      <w:sz w:val="24"/>
      <w:szCs w:val="24"/>
      <w:lang w:val="en-US"/>
      <w14:ligatures w14:val="none"/>
    </w:rPr>
  </w:style>
  <w:style w:type="paragraph" w:styleId="Heading5">
    <w:name w:val="heading 5"/>
    <w:basedOn w:val="Normal"/>
    <w:next w:val="Normal"/>
    <w:link w:val="Heading5Char"/>
    <w:uiPriority w:val="9"/>
    <w:semiHidden/>
    <w:unhideWhenUsed/>
    <w:qFormat/>
    <w:rsid w:val="00D905FF"/>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367"/>
    <w:rPr>
      <w:color w:val="0563C1" w:themeColor="hyperlink"/>
      <w:u w:val="single"/>
    </w:rPr>
  </w:style>
  <w:style w:type="paragraph" w:styleId="NormalWeb">
    <w:name w:val="Normal (Web)"/>
    <w:basedOn w:val="Normal"/>
    <w:uiPriority w:val="99"/>
    <w:unhideWhenUsed/>
    <w:rsid w:val="0039736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54799"/>
    <w:rPr>
      <w:b/>
      <w:bCs/>
    </w:rPr>
  </w:style>
  <w:style w:type="character" w:styleId="Emphasis">
    <w:name w:val="Emphasis"/>
    <w:basedOn w:val="DefaultParagraphFont"/>
    <w:uiPriority w:val="20"/>
    <w:qFormat/>
    <w:rsid w:val="00A54799"/>
    <w:rPr>
      <w:i/>
      <w:iCs/>
    </w:rPr>
  </w:style>
  <w:style w:type="character" w:customStyle="1" w:styleId="Heading1Char">
    <w:name w:val="Heading 1 Char"/>
    <w:basedOn w:val="DefaultParagraphFont"/>
    <w:link w:val="Heading1"/>
    <w:rsid w:val="00E2243A"/>
    <w:rPr>
      <w:rFonts w:ascii="Times New Roman" w:eastAsia="Times New Roman" w:hAnsi="Times New Roman" w:cs="Times New Roman"/>
      <w:b/>
      <w:iCs/>
      <w:sz w:val="24"/>
      <w:szCs w:val="24"/>
      <w:lang w:val="en-US"/>
    </w:rPr>
  </w:style>
  <w:style w:type="paragraph" w:styleId="BodyText">
    <w:name w:val="Body Text"/>
    <w:basedOn w:val="Normal"/>
    <w:link w:val="BodyTextChar"/>
    <w:unhideWhenUsed/>
    <w:rsid w:val="00E2243A"/>
    <w:pPr>
      <w:spacing w:after="200" w:line="276" w:lineRule="auto"/>
      <w:jc w:val="both"/>
    </w:pPr>
    <w:rPr>
      <w:rFonts w:ascii="Times New Roman" w:eastAsia="Calibri" w:hAnsi="Times New Roman" w:cs="Times New Roman"/>
      <w:kern w:val="0"/>
      <w:sz w:val="24"/>
      <w:szCs w:val="24"/>
      <w:lang w:val="en-US"/>
      <w14:ligatures w14:val="none"/>
    </w:rPr>
  </w:style>
  <w:style w:type="character" w:customStyle="1" w:styleId="BodyTextChar">
    <w:name w:val="Body Text Char"/>
    <w:basedOn w:val="DefaultParagraphFont"/>
    <w:link w:val="BodyText"/>
    <w:rsid w:val="00E2243A"/>
    <w:rPr>
      <w:rFonts w:ascii="Times New Roman" w:eastAsia="Calibri" w:hAnsi="Times New Roman" w:cs="Times New Roman"/>
      <w:sz w:val="24"/>
      <w:szCs w:val="24"/>
      <w:lang w:val="en-US"/>
    </w:rPr>
  </w:style>
  <w:style w:type="paragraph" w:styleId="ListParagraph">
    <w:name w:val="List Paragraph"/>
    <w:basedOn w:val="Normal"/>
    <w:qFormat/>
    <w:rsid w:val="00E2243A"/>
    <w:pPr>
      <w:spacing w:after="200" w:line="276" w:lineRule="auto"/>
      <w:ind w:left="720"/>
      <w:contextualSpacing/>
    </w:pPr>
    <w:rPr>
      <w:rFonts w:ascii="Calibri" w:eastAsia="Calibri" w:hAnsi="Calibri" w:cs="Times New Roman"/>
      <w:kern w:val="0"/>
      <w:lang w:val="en-US"/>
      <w14:ligatures w14:val="none"/>
    </w:rPr>
  </w:style>
  <w:style w:type="character" w:customStyle="1" w:styleId="Heading5Char">
    <w:name w:val="Heading 5 Char"/>
    <w:basedOn w:val="DefaultParagraphFont"/>
    <w:link w:val="Heading5"/>
    <w:uiPriority w:val="9"/>
    <w:semiHidden/>
    <w:rsid w:val="00D905FF"/>
    <w:rPr>
      <w:rFonts w:asciiTheme="majorHAnsi" w:eastAsiaTheme="majorEastAsia" w:hAnsiTheme="majorHAnsi" w:cstheme="majorBidi"/>
      <w:color w:val="2E74B5" w:themeColor="accent1" w:themeShade="BF"/>
      <w:lang w:val="en-US"/>
    </w:rPr>
  </w:style>
  <w:style w:type="table" w:styleId="TableGrid">
    <w:name w:val="Table Grid"/>
    <w:basedOn w:val="TableNormal"/>
    <w:uiPriority w:val="39"/>
    <w:rsid w:val="00585DF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7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0A"/>
    <w:rPr>
      <w:kern w:val="2"/>
      <w14:ligatures w14:val="standardContextual"/>
    </w:rPr>
  </w:style>
  <w:style w:type="paragraph" w:styleId="Footer">
    <w:name w:val="footer"/>
    <w:basedOn w:val="Normal"/>
    <w:link w:val="FooterChar"/>
    <w:uiPriority w:val="99"/>
    <w:unhideWhenUsed/>
    <w:rsid w:val="00067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0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3084">
      <w:bodyDiv w:val="1"/>
      <w:marLeft w:val="0"/>
      <w:marRight w:val="0"/>
      <w:marTop w:val="0"/>
      <w:marBottom w:val="0"/>
      <w:divBdr>
        <w:top w:val="none" w:sz="0" w:space="0" w:color="auto"/>
        <w:left w:val="none" w:sz="0" w:space="0" w:color="auto"/>
        <w:bottom w:val="none" w:sz="0" w:space="0" w:color="auto"/>
        <w:right w:val="none" w:sz="0" w:space="0" w:color="auto"/>
      </w:divBdr>
    </w:div>
    <w:div w:id="632174433">
      <w:bodyDiv w:val="1"/>
      <w:marLeft w:val="0"/>
      <w:marRight w:val="0"/>
      <w:marTop w:val="0"/>
      <w:marBottom w:val="0"/>
      <w:divBdr>
        <w:top w:val="none" w:sz="0" w:space="0" w:color="auto"/>
        <w:left w:val="none" w:sz="0" w:space="0" w:color="auto"/>
        <w:bottom w:val="none" w:sz="0" w:space="0" w:color="auto"/>
        <w:right w:val="none" w:sz="0" w:space="0" w:color="auto"/>
      </w:divBdr>
    </w:div>
    <w:div w:id="992492146">
      <w:bodyDiv w:val="1"/>
      <w:marLeft w:val="0"/>
      <w:marRight w:val="0"/>
      <w:marTop w:val="0"/>
      <w:marBottom w:val="0"/>
      <w:divBdr>
        <w:top w:val="none" w:sz="0" w:space="0" w:color="auto"/>
        <w:left w:val="none" w:sz="0" w:space="0" w:color="auto"/>
        <w:bottom w:val="none" w:sz="0" w:space="0" w:color="auto"/>
        <w:right w:val="none" w:sz="0" w:space="0" w:color="auto"/>
      </w:divBdr>
    </w:div>
    <w:div w:id="1466923040">
      <w:bodyDiv w:val="1"/>
      <w:marLeft w:val="0"/>
      <w:marRight w:val="0"/>
      <w:marTop w:val="0"/>
      <w:marBottom w:val="0"/>
      <w:divBdr>
        <w:top w:val="none" w:sz="0" w:space="0" w:color="auto"/>
        <w:left w:val="none" w:sz="0" w:space="0" w:color="auto"/>
        <w:bottom w:val="none" w:sz="0" w:space="0" w:color="auto"/>
        <w:right w:val="none" w:sz="0" w:space="0" w:color="auto"/>
      </w:divBdr>
    </w:div>
    <w:div w:id="17538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ic.pi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welfare.gov.in/en/StatHortEs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2bee7ff83e1cf2b/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c:f>
              <c:strCache>
                <c:ptCount val="1"/>
                <c:pt idx="0">
                  <c:v>% shoot infestation</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Sheet1!$E$5:$E$14</c:f>
              <c:numCache>
                <c:formatCode>General</c:formatCode>
                <c:ptCount val="10"/>
                <c:pt idx="0">
                  <c:v>12.52</c:v>
                </c:pt>
                <c:pt idx="1">
                  <c:v>11.74</c:v>
                </c:pt>
                <c:pt idx="2">
                  <c:v>12.11</c:v>
                </c:pt>
                <c:pt idx="3">
                  <c:v>11.19</c:v>
                </c:pt>
                <c:pt idx="4">
                  <c:v>10.59</c:v>
                </c:pt>
                <c:pt idx="5">
                  <c:v>10.96</c:v>
                </c:pt>
                <c:pt idx="6">
                  <c:v>10.26</c:v>
                </c:pt>
                <c:pt idx="7">
                  <c:v>9.44</c:v>
                </c:pt>
                <c:pt idx="8">
                  <c:v>8.3000000000000007</c:v>
                </c:pt>
                <c:pt idx="9">
                  <c:v>23.96</c:v>
                </c:pt>
              </c:numCache>
            </c:numRef>
          </c:val>
          <c:extLst>
            <c:ext xmlns:c16="http://schemas.microsoft.com/office/drawing/2014/chart" uri="{C3380CC4-5D6E-409C-BE32-E72D297353CC}">
              <c16:uniqueId val="{00000000-5E98-4883-829F-5CA90D5718AA}"/>
            </c:ext>
          </c:extLst>
        </c:ser>
        <c:ser>
          <c:idx val="1"/>
          <c:order val="1"/>
          <c:tx>
            <c:strRef>
              <c:f>Sheet1!$F$4</c:f>
              <c:strCache>
                <c:ptCount val="1"/>
                <c:pt idx="0">
                  <c:v>% reduction over control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Sheet1!$F$5:$F$14</c:f>
              <c:numCache>
                <c:formatCode>General</c:formatCode>
                <c:ptCount val="10"/>
                <c:pt idx="0">
                  <c:v>47.76</c:v>
                </c:pt>
                <c:pt idx="1">
                  <c:v>51</c:v>
                </c:pt>
                <c:pt idx="2">
                  <c:v>49.46</c:v>
                </c:pt>
                <c:pt idx="3">
                  <c:v>53.32</c:v>
                </c:pt>
                <c:pt idx="4">
                  <c:v>55.8</c:v>
                </c:pt>
                <c:pt idx="5">
                  <c:v>54.25</c:v>
                </c:pt>
                <c:pt idx="6">
                  <c:v>57.19</c:v>
                </c:pt>
                <c:pt idx="7">
                  <c:v>60.59</c:v>
                </c:pt>
                <c:pt idx="8">
                  <c:v>65.38</c:v>
                </c:pt>
                <c:pt idx="9">
                  <c:v>0</c:v>
                </c:pt>
              </c:numCache>
            </c:numRef>
          </c:val>
          <c:extLst>
            <c:ext xmlns:c16="http://schemas.microsoft.com/office/drawing/2014/chart" uri="{C3380CC4-5D6E-409C-BE32-E72D297353CC}">
              <c16:uniqueId val="{00000001-5E98-4883-829F-5CA90D5718AA}"/>
            </c:ext>
          </c:extLst>
        </c:ser>
        <c:ser>
          <c:idx val="2"/>
          <c:order val="2"/>
          <c:tx>
            <c:strRef>
              <c:f>Sheet1!$G$4</c:f>
              <c:strCache>
                <c:ptCount val="1"/>
                <c:pt idx="0">
                  <c:v>% fruit infestation</c:v>
                </c:pt>
              </c:strCache>
            </c:strRef>
          </c:tx>
          <c:spPr>
            <a:solidFill>
              <a:schemeClr val="accent2">
                <a:lumMod val="50000"/>
              </a:schemeClr>
            </a:solidFill>
            <a:ln>
              <a:solidFill>
                <a:schemeClr val="accent2">
                  <a:lumMod val="50000"/>
                </a:schemeClr>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Sheet1!$G$5:$G$14</c:f>
              <c:numCache>
                <c:formatCode>General</c:formatCode>
                <c:ptCount val="10"/>
                <c:pt idx="0">
                  <c:v>21.93</c:v>
                </c:pt>
                <c:pt idx="1">
                  <c:v>20.09</c:v>
                </c:pt>
                <c:pt idx="2">
                  <c:v>20.309999999999999</c:v>
                </c:pt>
                <c:pt idx="3">
                  <c:v>18.760000000000002</c:v>
                </c:pt>
                <c:pt idx="4">
                  <c:v>14.26</c:v>
                </c:pt>
                <c:pt idx="5">
                  <c:v>14.7</c:v>
                </c:pt>
                <c:pt idx="6">
                  <c:v>13.65</c:v>
                </c:pt>
                <c:pt idx="7">
                  <c:v>11.87</c:v>
                </c:pt>
                <c:pt idx="8">
                  <c:v>10</c:v>
                </c:pt>
                <c:pt idx="9">
                  <c:v>32.520000000000003</c:v>
                </c:pt>
              </c:numCache>
            </c:numRef>
          </c:val>
          <c:extLst>
            <c:ext xmlns:c16="http://schemas.microsoft.com/office/drawing/2014/chart" uri="{C3380CC4-5D6E-409C-BE32-E72D297353CC}">
              <c16:uniqueId val="{00000002-5E98-4883-829F-5CA90D5718AA}"/>
            </c:ext>
          </c:extLst>
        </c:ser>
        <c:ser>
          <c:idx val="3"/>
          <c:order val="3"/>
          <c:tx>
            <c:strRef>
              <c:f>Sheet1!$H$4</c:f>
              <c:strCache>
                <c:ptCount val="1"/>
                <c:pt idx="0">
                  <c:v>% reduction over control</c:v>
                </c:pt>
              </c:strCache>
            </c:strRef>
          </c:tx>
          <c:spPr>
            <a:solidFill>
              <a:srgbClr val="92D050"/>
            </a:solidFill>
            <a:ln>
              <a:solidFill>
                <a:srgbClr val="92D05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Sheet1!$D$5:$D$14</c:f>
              <c:strCache>
                <c:ptCount val="10"/>
                <c:pt idx="0">
                  <c:v>T1</c:v>
                </c:pt>
                <c:pt idx="1">
                  <c:v>T2</c:v>
                </c:pt>
                <c:pt idx="2">
                  <c:v>T3</c:v>
                </c:pt>
                <c:pt idx="3">
                  <c:v>T4</c:v>
                </c:pt>
                <c:pt idx="4">
                  <c:v>T5</c:v>
                </c:pt>
                <c:pt idx="5">
                  <c:v>T6</c:v>
                </c:pt>
                <c:pt idx="6">
                  <c:v>T7</c:v>
                </c:pt>
                <c:pt idx="7">
                  <c:v>T8</c:v>
                </c:pt>
                <c:pt idx="8">
                  <c:v>T9</c:v>
                </c:pt>
                <c:pt idx="9">
                  <c:v>T10</c:v>
                </c:pt>
              </c:strCache>
            </c:strRef>
          </c:cat>
          <c:val>
            <c:numRef>
              <c:f>Sheet1!$H$5:$H$14</c:f>
              <c:numCache>
                <c:formatCode>General</c:formatCode>
                <c:ptCount val="10"/>
                <c:pt idx="0">
                  <c:v>32.57</c:v>
                </c:pt>
                <c:pt idx="1">
                  <c:v>38.21</c:v>
                </c:pt>
                <c:pt idx="2">
                  <c:v>37.53</c:v>
                </c:pt>
                <c:pt idx="3">
                  <c:v>42.31</c:v>
                </c:pt>
                <c:pt idx="4">
                  <c:v>56.15</c:v>
                </c:pt>
                <c:pt idx="5">
                  <c:v>54.78</c:v>
                </c:pt>
                <c:pt idx="6">
                  <c:v>58.03</c:v>
                </c:pt>
                <c:pt idx="7">
                  <c:v>63.5</c:v>
                </c:pt>
                <c:pt idx="8">
                  <c:v>69.25</c:v>
                </c:pt>
                <c:pt idx="9">
                  <c:v>0</c:v>
                </c:pt>
              </c:numCache>
            </c:numRef>
          </c:val>
          <c:extLst>
            <c:ext xmlns:c16="http://schemas.microsoft.com/office/drawing/2014/chart" uri="{C3380CC4-5D6E-409C-BE32-E72D297353CC}">
              <c16:uniqueId val="{00000003-5E98-4883-829F-5CA90D5718AA}"/>
            </c:ext>
          </c:extLst>
        </c:ser>
        <c:dLbls>
          <c:dLblPos val="outEnd"/>
          <c:showLegendKey val="0"/>
          <c:showVal val="1"/>
          <c:showCatName val="0"/>
          <c:showSerName val="0"/>
          <c:showPercent val="0"/>
          <c:showBubbleSize val="0"/>
        </c:dLbls>
        <c:gapWidth val="444"/>
        <c:overlap val="-90"/>
        <c:axId val="1389285503"/>
        <c:axId val="1389285983"/>
      </c:barChart>
      <c:catAx>
        <c:axId val="13892855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89285983"/>
        <c:crosses val="autoZero"/>
        <c:auto val="1"/>
        <c:lblAlgn val="ctr"/>
        <c:lblOffset val="100"/>
        <c:noMultiLvlLbl val="0"/>
      </c:catAx>
      <c:valAx>
        <c:axId val="1389285983"/>
        <c:scaling>
          <c:orientation val="minMax"/>
        </c:scaling>
        <c:delete val="1"/>
        <c:axPos val="l"/>
        <c:numFmt formatCode="General" sourceLinked="1"/>
        <c:majorTickMark val="none"/>
        <c:minorTickMark val="none"/>
        <c:tickLblPos val="nextTo"/>
        <c:crossAx val="13892855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20BB-077B-4F56-BB97-C1B66CF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9</cp:revision>
  <dcterms:created xsi:type="dcterms:W3CDTF">2025-08-10T17:51:00Z</dcterms:created>
  <dcterms:modified xsi:type="dcterms:W3CDTF">2025-08-11T08:03:00Z</dcterms:modified>
</cp:coreProperties>
</file>