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C3EE1" w14:textId="4C28C42D" w:rsidR="001B68C7" w:rsidRPr="002B5A1A" w:rsidRDefault="001B68C7" w:rsidP="000A434A">
      <w:pPr>
        <w:jc w:val="both"/>
        <w:rPr>
          <w:rFonts w:ascii="Arial" w:hAnsi="Arial" w:cs="Arial"/>
          <w:b/>
          <w:bCs/>
          <w:sz w:val="36"/>
          <w:szCs w:val="36"/>
        </w:rPr>
      </w:pPr>
      <w:r w:rsidRPr="002B5A1A">
        <w:rPr>
          <w:rFonts w:ascii="Arial" w:hAnsi="Arial" w:cs="Arial"/>
          <w:b/>
          <w:bCs/>
          <w:sz w:val="36"/>
          <w:szCs w:val="36"/>
        </w:rPr>
        <w:t xml:space="preserve">Efficacy of biocontrol and antifungal agents on leaf spot and blight pathogen </w:t>
      </w:r>
      <w:proofErr w:type="spellStart"/>
      <w:r w:rsidRPr="002B5A1A">
        <w:rPr>
          <w:rFonts w:ascii="Arial" w:hAnsi="Arial" w:cs="Arial"/>
          <w:b/>
          <w:bCs/>
          <w:i/>
          <w:iCs/>
          <w:sz w:val="36"/>
          <w:szCs w:val="36"/>
        </w:rPr>
        <w:t>Fusicladium</w:t>
      </w:r>
      <w:proofErr w:type="spellEnd"/>
      <w:r w:rsidRPr="002B5A1A">
        <w:rPr>
          <w:rFonts w:ascii="Arial" w:hAnsi="Arial" w:cs="Arial"/>
          <w:b/>
          <w:bCs/>
          <w:i/>
          <w:iCs/>
          <w:sz w:val="36"/>
          <w:szCs w:val="36"/>
        </w:rPr>
        <w:t xml:space="preserve"> </w:t>
      </w:r>
      <w:proofErr w:type="spellStart"/>
      <w:r w:rsidRPr="002B5A1A">
        <w:rPr>
          <w:rFonts w:ascii="Arial" w:hAnsi="Arial" w:cs="Arial"/>
          <w:b/>
          <w:bCs/>
          <w:i/>
          <w:iCs/>
          <w:sz w:val="36"/>
          <w:szCs w:val="36"/>
        </w:rPr>
        <w:t>pongamiae</w:t>
      </w:r>
      <w:proofErr w:type="spellEnd"/>
      <w:r w:rsidRPr="002B5A1A">
        <w:rPr>
          <w:rFonts w:ascii="Arial" w:hAnsi="Arial" w:cs="Arial"/>
          <w:b/>
          <w:bCs/>
          <w:sz w:val="36"/>
          <w:szCs w:val="36"/>
        </w:rPr>
        <w:t xml:space="preserve"> in </w:t>
      </w:r>
      <w:proofErr w:type="spellStart"/>
      <w:r w:rsidRPr="002B5A1A">
        <w:rPr>
          <w:rFonts w:ascii="Arial" w:hAnsi="Arial" w:cs="Arial"/>
          <w:b/>
          <w:bCs/>
          <w:i/>
          <w:iCs/>
          <w:sz w:val="36"/>
          <w:szCs w:val="36"/>
        </w:rPr>
        <w:t>Millettia</w:t>
      </w:r>
      <w:proofErr w:type="spellEnd"/>
      <w:r w:rsidRPr="002B5A1A">
        <w:rPr>
          <w:rFonts w:ascii="Arial" w:hAnsi="Arial" w:cs="Arial"/>
          <w:b/>
          <w:bCs/>
          <w:i/>
          <w:iCs/>
          <w:sz w:val="36"/>
          <w:szCs w:val="36"/>
        </w:rPr>
        <w:t xml:space="preserve"> pinnata</w:t>
      </w:r>
      <w:r w:rsidRPr="002B5A1A">
        <w:rPr>
          <w:rFonts w:ascii="Arial" w:hAnsi="Arial" w:cs="Arial"/>
          <w:b/>
          <w:bCs/>
          <w:sz w:val="36"/>
          <w:szCs w:val="36"/>
        </w:rPr>
        <w:t xml:space="preserve">: </w:t>
      </w:r>
      <w:r w:rsidR="002F4DE1" w:rsidRPr="002B5A1A">
        <w:rPr>
          <w:rFonts w:ascii="Arial" w:hAnsi="Arial" w:cs="Arial"/>
          <w:b/>
          <w:bCs/>
          <w:sz w:val="36"/>
          <w:szCs w:val="36"/>
        </w:rPr>
        <w:t>A</w:t>
      </w:r>
      <w:r w:rsidRPr="002B5A1A">
        <w:rPr>
          <w:rFonts w:ascii="Arial" w:hAnsi="Arial" w:cs="Arial"/>
          <w:b/>
          <w:bCs/>
          <w:sz w:val="36"/>
          <w:szCs w:val="36"/>
        </w:rPr>
        <w:t>n in vitro approach</w:t>
      </w:r>
    </w:p>
    <w:p w14:paraId="01ED052C" w14:textId="41148CB0" w:rsidR="000A434A" w:rsidRDefault="000A434A" w:rsidP="00FC07C0">
      <w:pPr>
        <w:spacing w:after="200" w:line="276" w:lineRule="auto"/>
        <w:jc w:val="right"/>
        <w:rPr>
          <w:rFonts w:ascii="Times New Roman" w:hAnsi="Times New Roman" w:cs="Times New Roman"/>
          <w:sz w:val="24"/>
          <w:szCs w:val="24"/>
          <w:lang w:val="en-US"/>
        </w:rPr>
      </w:pPr>
    </w:p>
    <w:p w14:paraId="4C662510" w14:textId="77777777" w:rsidR="00982EA4" w:rsidRPr="00087B03" w:rsidRDefault="00982EA4" w:rsidP="00FC07C0">
      <w:pPr>
        <w:spacing w:after="200" w:line="276" w:lineRule="auto"/>
        <w:jc w:val="right"/>
        <w:rPr>
          <w:rFonts w:ascii="Times New Roman" w:hAnsi="Times New Roman" w:cs="Times New Roman"/>
          <w:sz w:val="24"/>
          <w:szCs w:val="24"/>
          <w:lang w:val="en-US"/>
        </w:rPr>
      </w:pPr>
      <w:bookmarkStart w:id="0" w:name="_GoBack"/>
      <w:bookmarkEnd w:id="0"/>
    </w:p>
    <w:p w14:paraId="06AE27D5" w14:textId="63F08126" w:rsidR="000A434A" w:rsidRPr="000A434A" w:rsidRDefault="000A434A" w:rsidP="000A434A">
      <w:pPr>
        <w:jc w:val="both"/>
        <w:rPr>
          <w:rFonts w:ascii="Times New Roman" w:hAnsi="Times New Roman" w:cs="Times New Roman"/>
          <w:b/>
          <w:bCs/>
          <w:sz w:val="24"/>
          <w:szCs w:val="24"/>
        </w:rPr>
      </w:pPr>
      <w:r w:rsidRPr="000A434A">
        <w:rPr>
          <w:rFonts w:ascii="Times New Roman" w:hAnsi="Times New Roman" w:cs="Times New Roman"/>
          <w:b/>
          <w:bCs/>
          <w:sz w:val="24"/>
          <w:szCs w:val="24"/>
        </w:rPr>
        <w:t>Abstract:</w:t>
      </w:r>
    </w:p>
    <w:p w14:paraId="22CA192B" w14:textId="77777777" w:rsidR="000A434A" w:rsidRPr="000A434A" w:rsidRDefault="000A434A" w:rsidP="000A434A">
      <w:pPr>
        <w:jc w:val="both"/>
        <w:rPr>
          <w:rFonts w:ascii="Times New Roman" w:hAnsi="Times New Roman" w:cs="Times New Roman"/>
          <w:iCs/>
          <w:sz w:val="24"/>
          <w:szCs w:val="24"/>
        </w:rPr>
      </w:pPr>
      <w:r w:rsidRPr="000A434A">
        <w:rPr>
          <w:rFonts w:ascii="Times New Roman" w:hAnsi="Times New Roman" w:cs="Times New Roman"/>
          <w:i/>
          <w:sz w:val="24"/>
          <w:szCs w:val="24"/>
        </w:rPr>
        <w:t>Millettia pinnata</w:t>
      </w:r>
      <w:r w:rsidRPr="000A434A">
        <w:rPr>
          <w:rFonts w:ascii="Times New Roman" w:hAnsi="Times New Roman" w:cs="Times New Roman"/>
          <w:iCs/>
          <w:sz w:val="24"/>
          <w:szCs w:val="24"/>
        </w:rPr>
        <w:t xml:space="preserve"> is a valuable tree species, commonly planted for its economic and ecological contribution. Despite this, it is susceptible to a number of foliar diseases, of which leaf spot and blight, induced by </w:t>
      </w:r>
      <w:proofErr w:type="spellStart"/>
      <w:r w:rsidRPr="000A434A">
        <w:rPr>
          <w:rFonts w:ascii="Times New Roman" w:hAnsi="Times New Roman" w:cs="Times New Roman"/>
          <w:i/>
          <w:sz w:val="24"/>
          <w:szCs w:val="24"/>
        </w:rPr>
        <w:t>Fusicladium</w:t>
      </w:r>
      <w:proofErr w:type="spellEnd"/>
      <w:r w:rsidRPr="000A434A">
        <w:rPr>
          <w:rFonts w:ascii="Times New Roman" w:hAnsi="Times New Roman" w:cs="Times New Roman"/>
          <w:i/>
          <w:sz w:val="24"/>
          <w:szCs w:val="24"/>
        </w:rPr>
        <w:t xml:space="preserve">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xml:space="preserve">, are major hazards in nursery and plantation conditions. The current research was conducted to isolate, identify, and determine the pathogenicity of </w:t>
      </w:r>
      <w:r w:rsidRPr="000A434A">
        <w:rPr>
          <w:rFonts w:ascii="Times New Roman" w:hAnsi="Times New Roman" w:cs="Times New Roman"/>
          <w:i/>
          <w:sz w:val="24"/>
          <w:szCs w:val="24"/>
        </w:rPr>
        <w:t xml:space="preserve">F.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and to test the effectiveness of chosen biocontrol agents (</w:t>
      </w:r>
      <w:r w:rsidRPr="000A434A">
        <w:rPr>
          <w:rFonts w:ascii="Times New Roman" w:hAnsi="Times New Roman" w:cs="Times New Roman"/>
          <w:i/>
          <w:sz w:val="24"/>
          <w:szCs w:val="24"/>
        </w:rPr>
        <w:t>Trichoderma viride</w:t>
      </w:r>
      <w:r w:rsidRPr="000A434A">
        <w:rPr>
          <w:rFonts w:ascii="Times New Roman" w:hAnsi="Times New Roman" w:cs="Times New Roman"/>
          <w:iCs/>
          <w:sz w:val="24"/>
          <w:szCs w:val="24"/>
        </w:rPr>
        <w:t xml:space="preserve"> and </w:t>
      </w:r>
      <w:r w:rsidRPr="000A434A">
        <w:rPr>
          <w:rFonts w:ascii="Times New Roman" w:hAnsi="Times New Roman" w:cs="Times New Roman"/>
          <w:i/>
          <w:sz w:val="24"/>
          <w:szCs w:val="24"/>
        </w:rPr>
        <w:t>Pseudomonas fluorescens</w:t>
      </w:r>
      <w:r w:rsidRPr="000A434A">
        <w:rPr>
          <w:rFonts w:ascii="Times New Roman" w:hAnsi="Times New Roman" w:cs="Times New Roman"/>
          <w:iCs/>
          <w:sz w:val="24"/>
          <w:szCs w:val="24"/>
        </w:rPr>
        <w:t>) and antifungal agents (</w:t>
      </w:r>
      <w:proofErr w:type="spellStart"/>
      <w:r w:rsidRPr="000A434A">
        <w:rPr>
          <w:rFonts w:ascii="Times New Roman" w:hAnsi="Times New Roman" w:cs="Times New Roman"/>
          <w:iCs/>
          <w:sz w:val="24"/>
          <w:szCs w:val="24"/>
        </w:rPr>
        <w:t>Pongam</w:t>
      </w:r>
      <w:proofErr w:type="spellEnd"/>
      <w:r w:rsidRPr="000A434A">
        <w:rPr>
          <w:rFonts w:ascii="Times New Roman" w:hAnsi="Times New Roman" w:cs="Times New Roman"/>
          <w:iCs/>
          <w:sz w:val="24"/>
          <w:szCs w:val="24"/>
        </w:rPr>
        <w:t xml:space="preserve"> oil and Carbendazim) under in vitro conditions. Infected leaf samples were obtained and the pathogen was purified on Potato Dextrose Agar (PDA). Morphological identification under a stereomicroscope proved the identity of </w:t>
      </w:r>
      <w:r w:rsidRPr="000A434A">
        <w:rPr>
          <w:rFonts w:ascii="Times New Roman" w:hAnsi="Times New Roman" w:cs="Times New Roman"/>
          <w:i/>
          <w:sz w:val="24"/>
          <w:szCs w:val="24"/>
        </w:rPr>
        <w:t xml:space="preserve">F.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xml:space="preserve">. Pathogenicity was established by artificial inoculation on healthy seedlings, which proved to cause typical symptoms. In dual culture assays, the maximum inhibition of </w:t>
      </w:r>
      <w:r w:rsidRPr="000A434A">
        <w:rPr>
          <w:rFonts w:ascii="Times New Roman" w:hAnsi="Times New Roman" w:cs="Times New Roman"/>
          <w:i/>
          <w:sz w:val="24"/>
          <w:szCs w:val="24"/>
        </w:rPr>
        <w:t xml:space="preserve">F.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xml:space="preserve"> was caused by </w:t>
      </w:r>
      <w:r w:rsidRPr="000A434A">
        <w:rPr>
          <w:rFonts w:ascii="Times New Roman" w:hAnsi="Times New Roman" w:cs="Times New Roman"/>
          <w:i/>
          <w:sz w:val="24"/>
          <w:szCs w:val="24"/>
        </w:rPr>
        <w:t>P. fluorescens</w:t>
      </w:r>
      <w:r w:rsidRPr="000A434A">
        <w:rPr>
          <w:rFonts w:ascii="Times New Roman" w:hAnsi="Times New Roman" w:cs="Times New Roman"/>
          <w:iCs/>
          <w:sz w:val="24"/>
          <w:szCs w:val="24"/>
        </w:rPr>
        <w:t xml:space="preserve"> (68.46%), followed by the combination of </w:t>
      </w:r>
      <w:r w:rsidRPr="000A434A">
        <w:rPr>
          <w:rFonts w:ascii="Times New Roman" w:hAnsi="Times New Roman" w:cs="Times New Roman"/>
          <w:i/>
          <w:sz w:val="24"/>
          <w:szCs w:val="24"/>
        </w:rPr>
        <w:t>T. viride</w:t>
      </w:r>
      <w:r w:rsidRPr="000A434A">
        <w:rPr>
          <w:rFonts w:ascii="Times New Roman" w:hAnsi="Times New Roman" w:cs="Times New Roman"/>
          <w:iCs/>
          <w:sz w:val="24"/>
          <w:szCs w:val="24"/>
        </w:rPr>
        <w:t xml:space="preserve"> and </w:t>
      </w:r>
      <w:r w:rsidRPr="000A434A">
        <w:rPr>
          <w:rFonts w:ascii="Times New Roman" w:hAnsi="Times New Roman" w:cs="Times New Roman"/>
          <w:i/>
          <w:sz w:val="24"/>
          <w:szCs w:val="24"/>
        </w:rPr>
        <w:t>P. fluorescens</w:t>
      </w:r>
      <w:r w:rsidRPr="000A434A">
        <w:rPr>
          <w:rFonts w:ascii="Times New Roman" w:hAnsi="Times New Roman" w:cs="Times New Roman"/>
          <w:iCs/>
          <w:sz w:val="24"/>
          <w:szCs w:val="24"/>
        </w:rPr>
        <w:t xml:space="preserve"> (61.46%), and </w:t>
      </w:r>
      <w:r w:rsidRPr="000A434A">
        <w:rPr>
          <w:rFonts w:ascii="Times New Roman" w:hAnsi="Times New Roman" w:cs="Times New Roman"/>
          <w:i/>
          <w:sz w:val="24"/>
          <w:szCs w:val="24"/>
        </w:rPr>
        <w:t>T. viride</w:t>
      </w:r>
      <w:r w:rsidRPr="000A434A">
        <w:rPr>
          <w:rFonts w:ascii="Times New Roman" w:hAnsi="Times New Roman" w:cs="Times New Roman"/>
          <w:iCs/>
          <w:sz w:val="24"/>
          <w:szCs w:val="24"/>
        </w:rPr>
        <w:t xml:space="preserve"> (53.79%). Using poisoned food technique assays, 0.1% Carbendazim strongly inhibited mycelial growth (83.82%), followed by 5% </w:t>
      </w:r>
      <w:proofErr w:type="spellStart"/>
      <w:r w:rsidRPr="000A434A">
        <w:rPr>
          <w:rFonts w:ascii="Times New Roman" w:hAnsi="Times New Roman" w:cs="Times New Roman"/>
          <w:iCs/>
          <w:sz w:val="24"/>
          <w:szCs w:val="24"/>
        </w:rPr>
        <w:t>Pongam</w:t>
      </w:r>
      <w:proofErr w:type="spellEnd"/>
      <w:r w:rsidRPr="000A434A">
        <w:rPr>
          <w:rFonts w:ascii="Times New Roman" w:hAnsi="Times New Roman" w:cs="Times New Roman"/>
          <w:iCs/>
          <w:sz w:val="24"/>
          <w:szCs w:val="24"/>
        </w:rPr>
        <w:t xml:space="preserve"> oil (41.28%). The research concludes that </w:t>
      </w:r>
      <w:r w:rsidRPr="000A434A">
        <w:rPr>
          <w:rFonts w:ascii="Times New Roman" w:hAnsi="Times New Roman" w:cs="Times New Roman"/>
          <w:i/>
          <w:sz w:val="24"/>
          <w:szCs w:val="24"/>
        </w:rPr>
        <w:t>P. fluorescens</w:t>
      </w:r>
      <w:r w:rsidRPr="000A434A">
        <w:rPr>
          <w:rFonts w:ascii="Times New Roman" w:hAnsi="Times New Roman" w:cs="Times New Roman"/>
          <w:iCs/>
          <w:sz w:val="24"/>
          <w:szCs w:val="24"/>
        </w:rPr>
        <w:t xml:space="preserve"> has high biocontrol activity against </w:t>
      </w:r>
      <w:r w:rsidRPr="000A434A">
        <w:rPr>
          <w:rFonts w:ascii="Times New Roman" w:hAnsi="Times New Roman" w:cs="Times New Roman"/>
          <w:i/>
          <w:sz w:val="24"/>
          <w:szCs w:val="24"/>
        </w:rPr>
        <w:t xml:space="preserve">F. </w:t>
      </w:r>
      <w:proofErr w:type="spellStart"/>
      <w:r w:rsidRPr="000A434A">
        <w:rPr>
          <w:rFonts w:ascii="Times New Roman" w:hAnsi="Times New Roman" w:cs="Times New Roman"/>
          <w:i/>
          <w:sz w:val="24"/>
          <w:szCs w:val="24"/>
        </w:rPr>
        <w:t>pongamiae</w:t>
      </w:r>
      <w:proofErr w:type="spellEnd"/>
      <w:r w:rsidRPr="000A434A">
        <w:rPr>
          <w:rFonts w:ascii="Times New Roman" w:hAnsi="Times New Roman" w:cs="Times New Roman"/>
          <w:iCs/>
          <w:sz w:val="24"/>
          <w:szCs w:val="24"/>
        </w:rPr>
        <w:t xml:space="preserve">, while Carbendazim is the most efficient antifungal agent. These results justify the combination of biological and chemical approaches for sustainable control of leaf spot and blight disease in </w:t>
      </w:r>
      <w:r w:rsidRPr="000A434A">
        <w:rPr>
          <w:rFonts w:ascii="Times New Roman" w:hAnsi="Times New Roman" w:cs="Times New Roman"/>
          <w:i/>
          <w:sz w:val="24"/>
          <w:szCs w:val="24"/>
        </w:rPr>
        <w:t>M. pinnata</w:t>
      </w:r>
      <w:r w:rsidRPr="000A434A">
        <w:rPr>
          <w:rFonts w:ascii="Times New Roman" w:hAnsi="Times New Roman" w:cs="Times New Roman"/>
          <w:iCs/>
          <w:sz w:val="24"/>
          <w:szCs w:val="24"/>
        </w:rPr>
        <w:t>, resulting in better plant health and productivity in afforestation schemes.</w:t>
      </w:r>
    </w:p>
    <w:p w14:paraId="3E345585" w14:textId="7839B4EA" w:rsidR="000A434A" w:rsidRPr="000A434A" w:rsidRDefault="000A434A" w:rsidP="000A434A">
      <w:pPr>
        <w:jc w:val="both"/>
        <w:rPr>
          <w:rFonts w:ascii="Times New Roman" w:hAnsi="Times New Roman" w:cs="Times New Roman"/>
          <w:i/>
          <w:iCs/>
          <w:sz w:val="24"/>
          <w:szCs w:val="24"/>
        </w:rPr>
      </w:pPr>
      <w:r w:rsidRPr="000A434A">
        <w:rPr>
          <w:rFonts w:ascii="Times New Roman" w:hAnsi="Times New Roman" w:cs="Times New Roman"/>
          <w:b/>
          <w:bCs/>
          <w:sz w:val="24"/>
          <w:szCs w:val="24"/>
        </w:rPr>
        <w:t>Keywords:</w:t>
      </w:r>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Millettia</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pinnata</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i/>
          <w:iCs/>
          <w:sz w:val="24"/>
          <w:szCs w:val="24"/>
        </w:rPr>
        <w:t>, Pseudomonas fluorescens, Trichoderma viride, leaf spot, blight.</w:t>
      </w:r>
    </w:p>
    <w:p w14:paraId="378E1D93" w14:textId="77777777" w:rsidR="000A434A" w:rsidRPr="000A434A" w:rsidRDefault="000A434A">
      <w:pPr>
        <w:spacing w:after="200" w:line="276" w:lineRule="auto"/>
        <w:rPr>
          <w:rFonts w:ascii="Times New Roman" w:hAnsi="Times New Roman" w:cs="Times New Roman"/>
          <w:i/>
          <w:iCs/>
          <w:sz w:val="24"/>
          <w:szCs w:val="24"/>
        </w:rPr>
      </w:pPr>
      <w:r w:rsidRPr="000A434A">
        <w:rPr>
          <w:rFonts w:ascii="Times New Roman" w:hAnsi="Times New Roman" w:cs="Times New Roman"/>
          <w:i/>
          <w:iCs/>
          <w:sz w:val="24"/>
          <w:szCs w:val="24"/>
        </w:rPr>
        <w:br w:type="page"/>
      </w:r>
    </w:p>
    <w:p w14:paraId="18970D02" w14:textId="5E450355"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75DAD0CD" w14:textId="76AD7573" w:rsidR="000A434A" w:rsidRPr="000A434A" w:rsidRDefault="000A434A" w:rsidP="00DE66DC">
      <w:pPr>
        <w:ind w:firstLine="720"/>
        <w:jc w:val="both"/>
        <w:rPr>
          <w:rFonts w:ascii="Times New Roman" w:hAnsi="Times New Roman" w:cs="Times New Roman"/>
          <w:sz w:val="24"/>
          <w:szCs w:val="24"/>
        </w:rPr>
      </w:pPr>
      <w:proofErr w:type="spellStart"/>
      <w:r w:rsidRPr="000A434A">
        <w:rPr>
          <w:rFonts w:ascii="Times New Roman" w:hAnsi="Times New Roman" w:cs="Times New Roman"/>
          <w:i/>
          <w:iCs/>
          <w:sz w:val="24"/>
          <w:szCs w:val="24"/>
        </w:rPr>
        <w:t>M</w:t>
      </w:r>
      <w:r w:rsidR="00DE66DC">
        <w:rPr>
          <w:rFonts w:ascii="Times New Roman" w:hAnsi="Times New Roman" w:cs="Times New Roman"/>
          <w:i/>
          <w:iCs/>
          <w:sz w:val="24"/>
          <w:szCs w:val="24"/>
        </w:rPr>
        <w:t>illetia</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pinnata</w:t>
      </w:r>
      <w:proofErr w:type="spellEnd"/>
      <w:r w:rsidRPr="000A434A">
        <w:rPr>
          <w:rFonts w:ascii="Times New Roman" w:hAnsi="Times New Roman" w:cs="Times New Roman"/>
          <w:sz w:val="24"/>
          <w:szCs w:val="24"/>
        </w:rPr>
        <w:t xml:space="preserve">, while it was raised as avenue plantations and on degraded lands it attracts many pests and diseases are being recorded that attacks the leaves. There are many adverse effects of diseases </w:t>
      </w:r>
      <w:r w:rsidRPr="009F0738">
        <w:rPr>
          <w:rFonts w:ascii="Times New Roman" w:hAnsi="Times New Roman" w:cs="Times New Roman"/>
          <w:i/>
          <w:iCs/>
          <w:sz w:val="24"/>
          <w:szCs w:val="24"/>
        </w:rPr>
        <w:t>i.e.,</w:t>
      </w:r>
      <w:r w:rsidRPr="000A434A">
        <w:rPr>
          <w:rFonts w:ascii="Times New Roman" w:hAnsi="Times New Roman" w:cs="Times New Roman"/>
          <w:sz w:val="24"/>
          <w:szCs w:val="24"/>
        </w:rPr>
        <w:t xml:space="preserve"> root rot, leaf spot and blight, rust on the nursery seedlings and trees in the plantations (Hossain, 2007; </w:t>
      </w:r>
      <w:proofErr w:type="spellStart"/>
      <w:r w:rsidRPr="000A434A">
        <w:rPr>
          <w:rFonts w:ascii="Times New Roman" w:hAnsi="Times New Roman" w:cs="Times New Roman"/>
          <w:sz w:val="24"/>
          <w:szCs w:val="24"/>
        </w:rPr>
        <w:t>Mridha</w:t>
      </w:r>
      <w:proofErr w:type="spellEnd"/>
      <w:r w:rsidRPr="000A434A">
        <w:rPr>
          <w:rFonts w:ascii="Times New Roman" w:hAnsi="Times New Roman" w:cs="Times New Roman"/>
          <w:sz w:val="24"/>
          <w:szCs w:val="24"/>
        </w:rPr>
        <w:t xml:space="preserve">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2007). One of the major diseases occurring on </w:t>
      </w:r>
      <w:r w:rsidRPr="000A434A">
        <w:rPr>
          <w:rFonts w:ascii="Times New Roman" w:hAnsi="Times New Roman" w:cs="Times New Roman"/>
          <w:i/>
          <w:iCs/>
          <w:sz w:val="24"/>
          <w:szCs w:val="24"/>
        </w:rPr>
        <w:t>M. pinnata</w:t>
      </w:r>
      <w:r w:rsidRPr="000A434A">
        <w:rPr>
          <w:rFonts w:ascii="Times New Roman" w:hAnsi="Times New Roman" w:cs="Times New Roman"/>
          <w:sz w:val="24"/>
          <w:szCs w:val="24"/>
        </w:rPr>
        <w:t xml:space="preserve"> was leaf spot and blight disease which was caused by various agents such as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Colletotrichum, and </w:t>
      </w:r>
      <w:proofErr w:type="spellStart"/>
      <w:r w:rsidRPr="000A434A">
        <w:rPr>
          <w:rFonts w:ascii="Times New Roman" w:hAnsi="Times New Roman" w:cs="Times New Roman"/>
          <w:i/>
          <w:iCs/>
          <w:sz w:val="24"/>
          <w:szCs w:val="24"/>
        </w:rPr>
        <w:t>Dothiorella</w:t>
      </w:r>
      <w:proofErr w:type="spellEnd"/>
      <w:r w:rsidRPr="000A434A">
        <w:rPr>
          <w:rFonts w:ascii="Times New Roman" w:hAnsi="Times New Roman" w:cs="Times New Roman"/>
          <w:sz w:val="24"/>
          <w:szCs w:val="24"/>
        </w:rPr>
        <w:t xml:space="preserve">. The parasitic fungus,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is usually observed on the lower leaf of </w:t>
      </w:r>
      <w:r w:rsidRPr="000A434A">
        <w:rPr>
          <w:rFonts w:ascii="Times New Roman" w:hAnsi="Times New Roman" w:cs="Times New Roman"/>
          <w:i/>
          <w:iCs/>
          <w:sz w:val="24"/>
          <w:szCs w:val="24"/>
        </w:rPr>
        <w:t>M. pinnata</w:t>
      </w:r>
      <w:r w:rsidRPr="000A434A">
        <w:rPr>
          <w:rFonts w:ascii="Times New Roman" w:hAnsi="Times New Roman" w:cs="Times New Roman"/>
          <w:sz w:val="24"/>
          <w:szCs w:val="24"/>
        </w:rPr>
        <w:t xml:space="preserve"> in the form of brown-</w:t>
      </w:r>
      <w:proofErr w:type="spellStart"/>
      <w:r w:rsidRPr="000A434A">
        <w:rPr>
          <w:rFonts w:ascii="Times New Roman" w:hAnsi="Times New Roman" w:cs="Times New Roman"/>
          <w:sz w:val="24"/>
          <w:szCs w:val="24"/>
        </w:rPr>
        <w:t>colored</w:t>
      </w:r>
      <w:proofErr w:type="spellEnd"/>
      <w:r w:rsidRPr="000A434A">
        <w:rPr>
          <w:rFonts w:ascii="Times New Roman" w:hAnsi="Times New Roman" w:cs="Times New Roman"/>
          <w:sz w:val="24"/>
          <w:szCs w:val="24"/>
        </w:rPr>
        <w:t xml:space="preserve"> patches, and often resulting in curled leaf appearance.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sz w:val="24"/>
          <w:szCs w:val="24"/>
        </w:rPr>
        <w:t xml:space="preserve"> is a genus of ascomycete fungi in the family </w:t>
      </w:r>
      <w:proofErr w:type="spellStart"/>
      <w:r w:rsidRPr="000A434A">
        <w:rPr>
          <w:rFonts w:ascii="Times New Roman" w:hAnsi="Times New Roman" w:cs="Times New Roman"/>
          <w:sz w:val="24"/>
          <w:szCs w:val="24"/>
        </w:rPr>
        <w:t>Sympoventuriaceae</w:t>
      </w:r>
      <w:proofErr w:type="spellEnd"/>
      <w:r w:rsidRPr="000A434A">
        <w:rPr>
          <w:rFonts w:ascii="Times New Roman" w:hAnsi="Times New Roman" w:cs="Times New Roman"/>
          <w:sz w:val="24"/>
          <w:szCs w:val="24"/>
        </w:rPr>
        <w:t xml:space="preserve">. The leaf spot disease of </w:t>
      </w:r>
      <w:proofErr w:type="spellStart"/>
      <w:r w:rsidRPr="000A434A">
        <w:rPr>
          <w:rFonts w:ascii="Times New Roman" w:hAnsi="Times New Roman" w:cs="Times New Roman"/>
          <w:i/>
          <w:iCs/>
          <w:sz w:val="24"/>
          <w:szCs w:val="24"/>
        </w:rPr>
        <w:t>Pongamia</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pinnata</w:t>
      </w:r>
      <w:proofErr w:type="spellEnd"/>
      <w:r w:rsidRPr="000A434A">
        <w:rPr>
          <w:rFonts w:ascii="Times New Roman" w:hAnsi="Times New Roman" w:cs="Times New Roman"/>
          <w:sz w:val="24"/>
          <w:szCs w:val="24"/>
        </w:rPr>
        <w:t xml:space="preserve"> caused by an aspersorium-like asexual morph, which is usually referred to as </w:t>
      </w:r>
      <w:r w:rsidRPr="000A434A">
        <w:rPr>
          <w:rFonts w:ascii="Times New Roman" w:hAnsi="Times New Roman" w:cs="Times New Roman"/>
          <w:i/>
          <w:iCs/>
          <w:sz w:val="24"/>
          <w:szCs w:val="24"/>
        </w:rPr>
        <w:t xml:space="preserve">Aspersorium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is quite common during monsoon seasons in India. Microscopic observations revealed that long spores of fungus assuming one or two- capsule shape (Pathak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2015) known to get infected by many foliar diseases, which affect the growth and development of the trees. Which were described further and also these fungal pathogens due to optimum moisture and temperature were found to be mostly affecting the nursery seedlings.</w:t>
      </w:r>
    </w:p>
    <w:p w14:paraId="28E9095C" w14:textId="64A5A8D6"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Leaf spot and blight symptoms were evident on both tender and matured leaves, but blight symptoms were mostly confined to matured leaves. On the upper surface of the leaves, water-soaked yellow spots first appeared singly, which over time coalesced to form big patches and leaves turned yellow (Chlorosis). On the lower surface of the leaves, it caused black patches and occasional leaf curling was associated with heavy conidiation. Later, all these yellow spots progressively turned brown and showed necrotic symptoms with dry leaves falling off early.</w:t>
      </w:r>
      <w:r w:rsidR="00DE66DC">
        <w:rPr>
          <w:rFonts w:ascii="Times New Roman" w:hAnsi="Times New Roman" w:cs="Times New Roman"/>
          <w:sz w:val="24"/>
          <w:szCs w:val="24"/>
        </w:rPr>
        <w:t xml:space="preserve"> </w:t>
      </w:r>
      <w:r w:rsidRPr="000A434A">
        <w:rPr>
          <w:rFonts w:ascii="Times New Roman" w:hAnsi="Times New Roman" w:cs="Times New Roman"/>
          <w:sz w:val="24"/>
          <w:szCs w:val="24"/>
        </w:rPr>
        <w:t xml:space="preserve">Fungal and bacterial antagonists play an important role as microbial biocontrol agents in managing plant diseases and can be delivered as bio fungicides (Kohl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2019; </w:t>
      </w:r>
      <w:proofErr w:type="spellStart"/>
      <w:r w:rsidRPr="000A434A">
        <w:rPr>
          <w:rFonts w:ascii="Times New Roman" w:hAnsi="Times New Roman" w:cs="Times New Roman"/>
          <w:sz w:val="24"/>
          <w:szCs w:val="24"/>
        </w:rPr>
        <w:t>Thambugala</w:t>
      </w:r>
      <w:proofErr w:type="spellEnd"/>
      <w:r w:rsidRPr="000A434A">
        <w:rPr>
          <w:rFonts w:ascii="Times New Roman" w:hAnsi="Times New Roman" w:cs="Times New Roman"/>
          <w:sz w:val="24"/>
          <w:szCs w:val="24"/>
        </w:rPr>
        <w:t xml:space="preserve">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2020). Bio-fungicides used for the biological control of plant pathogens are microorganisms-based formulations, which include antagonistic fungi and bacteria (Morandi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2009).</w:t>
      </w:r>
      <w:r w:rsidR="00DE66DC">
        <w:rPr>
          <w:rFonts w:ascii="Times New Roman" w:hAnsi="Times New Roman" w:cs="Times New Roman"/>
          <w:sz w:val="24"/>
          <w:szCs w:val="24"/>
        </w:rPr>
        <w:t xml:space="preserve"> </w:t>
      </w:r>
      <w:r w:rsidRPr="000A434A">
        <w:rPr>
          <w:rFonts w:ascii="Times New Roman" w:hAnsi="Times New Roman" w:cs="Times New Roman"/>
          <w:sz w:val="24"/>
          <w:szCs w:val="24"/>
        </w:rPr>
        <w:t xml:space="preserve">Among fungi-based formulation, species from the genus </w:t>
      </w:r>
      <w:r w:rsidRPr="000A434A">
        <w:rPr>
          <w:rFonts w:ascii="Times New Roman" w:hAnsi="Times New Roman" w:cs="Times New Roman"/>
          <w:i/>
          <w:iCs/>
          <w:sz w:val="24"/>
          <w:szCs w:val="24"/>
        </w:rPr>
        <w:t>Trichoderma</w:t>
      </w:r>
      <w:r w:rsidRPr="000A434A">
        <w:rPr>
          <w:rFonts w:ascii="Times New Roman" w:hAnsi="Times New Roman" w:cs="Times New Roman"/>
          <w:sz w:val="24"/>
          <w:szCs w:val="24"/>
        </w:rPr>
        <w:t xml:space="preserve"> are the most common biocontrol agents (Silva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2015; Yu and Luo, 2020). In comparison, fluorescent species from the genus </w:t>
      </w:r>
      <w:r w:rsidRPr="000A434A">
        <w:rPr>
          <w:rFonts w:ascii="Times New Roman" w:hAnsi="Times New Roman" w:cs="Times New Roman"/>
          <w:i/>
          <w:iCs/>
          <w:sz w:val="24"/>
          <w:szCs w:val="24"/>
        </w:rPr>
        <w:t>Pseudomonas</w:t>
      </w:r>
      <w:r w:rsidRPr="000A434A">
        <w:rPr>
          <w:rFonts w:ascii="Times New Roman" w:hAnsi="Times New Roman" w:cs="Times New Roman"/>
          <w:sz w:val="24"/>
          <w:szCs w:val="24"/>
        </w:rPr>
        <w:t xml:space="preserve"> are the most common antagonists among bacteria-based formulations. Trichoderma spp. due to its biocontrol activity against various aerial, root and soil pathogens of economic importance, it has attained scientific attraction (Elad 2000; Chaube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2002).</w:t>
      </w:r>
    </w:p>
    <w:p w14:paraId="0F18D947" w14:textId="77777777" w:rsidR="000A434A" w:rsidRPr="000A434A" w:rsidRDefault="000A434A" w:rsidP="00DE66DC">
      <w:pPr>
        <w:ind w:firstLine="720"/>
        <w:jc w:val="both"/>
        <w:rPr>
          <w:rFonts w:ascii="Times New Roman" w:hAnsi="Times New Roman" w:cs="Times New Roman"/>
          <w:b/>
          <w:bCs/>
          <w:sz w:val="24"/>
          <w:szCs w:val="24"/>
        </w:rPr>
      </w:pPr>
      <w:r w:rsidRPr="000A434A">
        <w:rPr>
          <w:rFonts w:ascii="Times New Roman" w:hAnsi="Times New Roman" w:cs="Times New Roman"/>
          <w:sz w:val="24"/>
          <w:szCs w:val="24"/>
        </w:rPr>
        <w:t xml:space="preserve">Considering the pressing need for a sustainable management strategy to control of leaf spot and blight of </w:t>
      </w:r>
      <w:r w:rsidRPr="000A434A">
        <w:rPr>
          <w:rFonts w:ascii="Times New Roman" w:hAnsi="Times New Roman" w:cs="Times New Roman"/>
          <w:i/>
          <w:iCs/>
          <w:sz w:val="24"/>
          <w:szCs w:val="24"/>
        </w:rPr>
        <w:t xml:space="preserve">Millettia </w:t>
      </w:r>
      <w:proofErr w:type="spellStart"/>
      <w:r w:rsidRPr="000A434A">
        <w:rPr>
          <w:rFonts w:ascii="Times New Roman" w:hAnsi="Times New Roman" w:cs="Times New Roman"/>
          <w:i/>
          <w:iCs/>
          <w:sz w:val="24"/>
          <w:szCs w:val="24"/>
        </w:rPr>
        <w:t>pinnata</w:t>
      </w:r>
      <w:proofErr w:type="spellEnd"/>
      <w:r w:rsidRPr="000A434A">
        <w:rPr>
          <w:rFonts w:ascii="Times New Roman" w:hAnsi="Times New Roman" w:cs="Times New Roman"/>
          <w:i/>
          <w:iCs/>
          <w:sz w:val="24"/>
          <w:szCs w:val="24"/>
        </w:rPr>
        <w:t xml:space="preserve"> </w:t>
      </w:r>
      <w:r w:rsidRPr="000A434A">
        <w:rPr>
          <w:rFonts w:ascii="Times New Roman" w:hAnsi="Times New Roman" w:cs="Times New Roman"/>
          <w:sz w:val="24"/>
          <w:szCs w:val="24"/>
        </w:rPr>
        <w:t xml:space="preserve">caused by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and to test the efficacy of the biocontrol agents against the fungal pathogen, the current study was formulated.</w:t>
      </w:r>
    </w:p>
    <w:p w14:paraId="47543DE0" w14:textId="3B0890A3" w:rsidR="000A434A" w:rsidRPr="000A434A" w:rsidRDefault="000A434A" w:rsidP="000A434A">
      <w:pPr>
        <w:jc w:val="both"/>
        <w:rPr>
          <w:rFonts w:ascii="Times New Roman" w:hAnsi="Times New Roman" w:cs="Times New Roman"/>
          <w:b/>
          <w:bCs/>
          <w:sz w:val="24"/>
          <w:szCs w:val="24"/>
        </w:rPr>
      </w:pPr>
      <w:r w:rsidRPr="000A434A">
        <w:rPr>
          <w:rFonts w:ascii="Times New Roman" w:hAnsi="Times New Roman" w:cs="Times New Roman"/>
          <w:b/>
          <w:bCs/>
          <w:sz w:val="24"/>
          <w:szCs w:val="24"/>
        </w:rPr>
        <w:t>2. Materials and Methods:</w:t>
      </w:r>
    </w:p>
    <w:p w14:paraId="16B8745C" w14:textId="77777777"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Laboratory studies on isolation and identification of pathogen associated with leaf spot and blight of </w:t>
      </w:r>
      <w:r w:rsidRPr="000A434A">
        <w:rPr>
          <w:rFonts w:ascii="Times New Roman" w:hAnsi="Times New Roman" w:cs="Times New Roman"/>
          <w:i/>
          <w:iCs/>
          <w:sz w:val="24"/>
          <w:szCs w:val="24"/>
        </w:rPr>
        <w:t>M. pinnata</w:t>
      </w:r>
      <w:r w:rsidRPr="000A434A">
        <w:rPr>
          <w:rFonts w:ascii="Times New Roman" w:hAnsi="Times New Roman" w:cs="Times New Roman"/>
          <w:sz w:val="24"/>
          <w:szCs w:val="24"/>
        </w:rPr>
        <w:t xml:space="preserve"> were carried out in the Plant Pathology laboratory, Department of Forest Resource Management, Forest College and Research Institute, Mulugu. The details of materials and methodology followed are described here under.</w:t>
      </w:r>
    </w:p>
    <w:p w14:paraId="523D05D9" w14:textId="77777777" w:rsidR="00686107" w:rsidRDefault="00686107" w:rsidP="000A434A">
      <w:pPr>
        <w:jc w:val="both"/>
        <w:rPr>
          <w:rFonts w:ascii="Times New Roman" w:hAnsi="Times New Roman" w:cs="Times New Roman"/>
          <w:b/>
          <w:bCs/>
          <w:sz w:val="24"/>
          <w:szCs w:val="24"/>
        </w:rPr>
      </w:pPr>
    </w:p>
    <w:p w14:paraId="3D54A099" w14:textId="3A93C6C3"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2.1 Isolation and Identification of microbe associated with </w:t>
      </w:r>
      <w:r w:rsidRPr="000A434A">
        <w:rPr>
          <w:rFonts w:ascii="Times New Roman" w:hAnsi="Times New Roman" w:cs="Times New Roman"/>
          <w:b/>
          <w:bCs/>
          <w:sz w:val="24"/>
          <w:szCs w:val="24"/>
        </w:rPr>
        <w:t xml:space="preserve">blight disease of </w:t>
      </w:r>
      <w:r w:rsidRPr="000A434A">
        <w:rPr>
          <w:rFonts w:ascii="Times New Roman" w:hAnsi="Times New Roman" w:cs="Times New Roman"/>
          <w:b/>
          <w:bCs/>
          <w:i/>
          <w:iCs/>
          <w:sz w:val="24"/>
          <w:szCs w:val="24"/>
        </w:rPr>
        <w:t>M. pinnata</w:t>
      </w:r>
    </w:p>
    <w:p w14:paraId="72A1E9BE" w14:textId="3CC3B885"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.1.1 Pathogen identification:</w:t>
      </w:r>
    </w:p>
    <w:p w14:paraId="489107E6" w14:textId="1E87AF6D" w:rsid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Infected leaves were brought to the laboratory using paper envelopes</w:t>
      </w:r>
      <w:r w:rsidR="00C206A1">
        <w:rPr>
          <w:rFonts w:ascii="Times New Roman" w:hAnsi="Times New Roman" w:cs="Times New Roman"/>
          <w:sz w:val="24"/>
          <w:szCs w:val="24"/>
        </w:rPr>
        <w:t xml:space="preserve"> (Figure 1)</w:t>
      </w:r>
      <w:r w:rsidRPr="000A434A">
        <w:rPr>
          <w:rFonts w:ascii="Times New Roman" w:hAnsi="Times New Roman" w:cs="Times New Roman"/>
          <w:sz w:val="24"/>
          <w:szCs w:val="24"/>
        </w:rPr>
        <w:t xml:space="preserve">. The infected leaves were surface sterilized using 95% ethanol and dissected for the identification of the organism based on conidial morphology by observing under stereo microscope. Same leaf samples were used to isolate the pathogen and pure culture of the associated pathogen was grown on Potato Dextrose Agar (PDA) medium was maintained. </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621"/>
        <w:gridCol w:w="4621"/>
      </w:tblGrid>
      <w:tr w:rsidR="00C206A1" w14:paraId="34EFEF16" w14:textId="77777777" w:rsidTr="008940CF">
        <w:trPr>
          <w:trHeight w:val="2960"/>
        </w:trPr>
        <w:tc>
          <w:tcPr>
            <w:tcW w:w="4621" w:type="dxa"/>
          </w:tcPr>
          <w:p w14:paraId="2E0B1C61" w14:textId="77777777" w:rsidR="00063204" w:rsidRDefault="00063204" w:rsidP="008940CF">
            <w:pPr>
              <w:jc w:val="both"/>
              <w:rPr>
                <w:rFonts w:ascii="Times New Roman" w:hAnsi="Times New Roman" w:cs="Times New Roman"/>
              </w:rPr>
            </w:pPr>
          </w:p>
          <w:p w14:paraId="170EAF1C" w14:textId="7899597E" w:rsidR="00C206A1" w:rsidRDefault="00C206A1" w:rsidP="008940CF">
            <w:pPr>
              <w:jc w:val="both"/>
              <w:rPr>
                <w:rFonts w:ascii="Times New Roman" w:hAnsi="Times New Roman" w:cs="Times New Roman"/>
              </w:rPr>
            </w:pPr>
            <w:r>
              <w:rPr>
                <w:noProof/>
              </w:rPr>
              <w:drawing>
                <wp:inline distT="0" distB="0" distL="0" distR="0" wp14:anchorId="2B3486BB" wp14:editId="04D2765D">
                  <wp:extent cx="2233095" cy="1599794"/>
                  <wp:effectExtent l="0" t="0" r="0" b="63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rotWithShape="1">
                          <a:blip r:embed="rId7" cstate="print">
                            <a:extLst>
                              <a:ext uri="{28A0092B-C50C-407E-A947-70E740481C1C}">
                                <a14:useLocalDpi xmlns:a14="http://schemas.microsoft.com/office/drawing/2010/main" val="0"/>
                              </a:ext>
                            </a:extLst>
                          </a:blip>
                          <a:srcRect l="30788" t="17319" r="9168" b="-655"/>
                          <a:stretch/>
                        </pic:blipFill>
                        <pic:spPr bwMode="auto">
                          <a:xfrm>
                            <a:off x="0" y="0"/>
                            <a:ext cx="2235532" cy="1601540"/>
                          </a:xfrm>
                          <a:prstGeom prst="rect">
                            <a:avLst/>
                          </a:prstGeom>
                          <a:noFill/>
                          <a:ln>
                            <a:noFill/>
                          </a:ln>
                        </pic:spPr>
                      </pic:pic>
                    </a:graphicData>
                  </a:graphic>
                </wp:inline>
              </w:drawing>
            </w:r>
          </w:p>
          <w:p w14:paraId="4EF01942" w14:textId="2343DE81" w:rsidR="00C206A1" w:rsidRDefault="00C206A1" w:rsidP="00C206A1">
            <w:pPr>
              <w:jc w:val="center"/>
              <w:rPr>
                <w:rFonts w:ascii="Times New Roman" w:hAnsi="Times New Roman" w:cs="Times New Roman"/>
              </w:rPr>
            </w:pPr>
            <w:r>
              <w:rPr>
                <w:rFonts w:ascii="Times New Roman" w:hAnsi="Times New Roman" w:cs="Times New Roman"/>
              </w:rPr>
              <w:t>(a)</w:t>
            </w:r>
          </w:p>
        </w:tc>
        <w:tc>
          <w:tcPr>
            <w:tcW w:w="4621" w:type="dxa"/>
          </w:tcPr>
          <w:p w14:paraId="70E1AC6A" w14:textId="77777777" w:rsidR="00C206A1" w:rsidRDefault="00C206A1" w:rsidP="008940CF">
            <w:pPr>
              <w:jc w:val="both"/>
              <w:rPr>
                <w:rFonts w:ascii="Times New Roman" w:hAnsi="Times New Roman" w:cs="Times New Roman"/>
              </w:rPr>
            </w:pPr>
          </w:p>
          <w:p w14:paraId="694C66A5" w14:textId="77777777" w:rsidR="00C206A1" w:rsidRDefault="00C206A1" w:rsidP="008940CF">
            <w:pPr>
              <w:jc w:val="both"/>
              <w:rPr>
                <w:rFonts w:ascii="Times New Roman" w:hAnsi="Times New Roman" w:cs="Times New Roman"/>
              </w:rPr>
            </w:pPr>
            <w:r>
              <w:rPr>
                <w:noProof/>
              </w:rPr>
              <w:drawing>
                <wp:inline distT="0" distB="0" distL="0" distR="0" wp14:anchorId="323B30CD" wp14:editId="5D844D86">
                  <wp:extent cx="1606198" cy="2288401"/>
                  <wp:effectExtent l="1905" t="0" r="0" b="0"/>
                  <wp:docPr id="98"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descr="A close-up of a plant&#10;&#10;AI-generated content may be incorrect."/>
                          <pic:cNvPicPr>
                            <a:picLocks noChangeAspect="1"/>
                          </pic:cNvPicPr>
                        </pic:nvPicPr>
                        <pic:blipFill rotWithShape="1">
                          <a:blip r:embed="rId8" cstate="print">
                            <a:extLst>
                              <a:ext uri="{28A0092B-C50C-407E-A947-70E740481C1C}">
                                <a14:useLocalDpi xmlns:a14="http://schemas.microsoft.com/office/drawing/2010/main" val="0"/>
                              </a:ext>
                            </a:extLst>
                          </a:blip>
                          <a:srcRect l="29942" t="20655" r="29109" b="13627"/>
                          <a:stretch/>
                        </pic:blipFill>
                        <pic:spPr bwMode="auto">
                          <a:xfrm rot="16200000">
                            <a:off x="0" y="0"/>
                            <a:ext cx="1606198" cy="2288401"/>
                          </a:xfrm>
                          <a:prstGeom prst="rect">
                            <a:avLst/>
                          </a:prstGeom>
                          <a:noFill/>
                          <a:ln>
                            <a:noFill/>
                          </a:ln>
                        </pic:spPr>
                      </pic:pic>
                    </a:graphicData>
                  </a:graphic>
                </wp:inline>
              </w:drawing>
            </w:r>
          </w:p>
          <w:p w14:paraId="6C05C8A9" w14:textId="69E23BF7" w:rsidR="00C206A1" w:rsidRDefault="00C206A1" w:rsidP="00C206A1">
            <w:pPr>
              <w:jc w:val="center"/>
              <w:rPr>
                <w:rFonts w:ascii="Times New Roman" w:hAnsi="Times New Roman" w:cs="Times New Roman"/>
              </w:rPr>
            </w:pPr>
            <w:r>
              <w:rPr>
                <w:rFonts w:ascii="Times New Roman" w:hAnsi="Times New Roman" w:cs="Times New Roman"/>
              </w:rPr>
              <w:t>(b)</w:t>
            </w:r>
          </w:p>
        </w:tc>
      </w:tr>
      <w:tr w:rsidR="00C206A1" w14:paraId="3FBF5BE0" w14:textId="77777777" w:rsidTr="008940CF">
        <w:trPr>
          <w:trHeight w:val="2420"/>
        </w:trPr>
        <w:tc>
          <w:tcPr>
            <w:tcW w:w="4621" w:type="dxa"/>
          </w:tcPr>
          <w:p w14:paraId="5E193F05" w14:textId="77777777" w:rsidR="00063204" w:rsidRDefault="00063204" w:rsidP="008940CF">
            <w:pPr>
              <w:jc w:val="both"/>
              <w:rPr>
                <w:rFonts w:ascii="Times New Roman" w:hAnsi="Times New Roman" w:cs="Times New Roman"/>
              </w:rPr>
            </w:pPr>
          </w:p>
          <w:p w14:paraId="3FE6CA35" w14:textId="0AF7C3A5" w:rsidR="00C206A1" w:rsidRDefault="00C206A1" w:rsidP="008940CF">
            <w:pPr>
              <w:jc w:val="both"/>
              <w:rPr>
                <w:rFonts w:ascii="Times New Roman" w:hAnsi="Times New Roman" w:cs="Times New Roman"/>
              </w:rPr>
            </w:pPr>
            <w:r>
              <w:rPr>
                <w:noProof/>
              </w:rPr>
              <w:drawing>
                <wp:inline distT="0" distB="0" distL="0" distR="0" wp14:anchorId="60A4B539" wp14:editId="01DC8B23">
                  <wp:extent cx="2286000" cy="1339850"/>
                  <wp:effectExtent l="0" t="0" r="0" b="0"/>
                  <wp:docPr id="99" name="Picture 1"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 descr="A close up of a leaf&#10;&#10;AI-generated content may be incorrect."/>
                          <pic:cNvPicPr>
                            <a:picLocks noChangeAspect="1"/>
                          </pic:cNvPicPr>
                        </pic:nvPicPr>
                        <pic:blipFill rotWithShape="1">
                          <a:blip r:embed="rId9" cstate="print">
                            <a:extLst>
                              <a:ext uri="{28A0092B-C50C-407E-A947-70E740481C1C}">
                                <a14:useLocalDpi xmlns:a14="http://schemas.microsoft.com/office/drawing/2010/main" val="0"/>
                              </a:ext>
                            </a:extLst>
                          </a:blip>
                          <a:srcRect l="11301" t="16307"/>
                          <a:stretch/>
                        </pic:blipFill>
                        <pic:spPr bwMode="auto">
                          <a:xfrm>
                            <a:off x="0" y="0"/>
                            <a:ext cx="2297787" cy="1346758"/>
                          </a:xfrm>
                          <a:prstGeom prst="rect">
                            <a:avLst/>
                          </a:prstGeom>
                          <a:noFill/>
                          <a:ln>
                            <a:noFill/>
                          </a:ln>
                        </pic:spPr>
                      </pic:pic>
                    </a:graphicData>
                  </a:graphic>
                </wp:inline>
              </w:drawing>
            </w:r>
          </w:p>
          <w:p w14:paraId="73B3E3D9" w14:textId="761E2503" w:rsidR="00C206A1" w:rsidRDefault="00C206A1" w:rsidP="00C206A1">
            <w:pPr>
              <w:jc w:val="center"/>
              <w:rPr>
                <w:rFonts w:ascii="Times New Roman" w:hAnsi="Times New Roman" w:cs="Times New Roman"/>
              </w:rPr>
            </w:pPr>
            <w:r>
              <w:rPr>
                <w:rFonts w:ascii="Times New Roman" w:hAnsi="Times New Roman" w:cs="Times New Roman"/>
              </w:rPr>
              <w:t>(c)</w:t>
            </w:r>
          </w:p>
        </w:tc>
        <w:tc>
          <w:tcPr>
            <w:tcW w:w="4621" w:type="dxa"/>
          </w:tcPr>
          <w:p w14:paraId="57F60ECC" w14:textId="77777777" w:rsidR="00063204" w:rsidRDefault="00063204" w:rsidP="008940CF">
            <w:pPr>
              <w:jc w:val="both"/>
              <w:rPr>
                <w:rFonts w:ascii="Times New Roman" w:hAnsi="Times New Roman" w:cs="Times New Roman"/>
              </w:rPr>
            </w:pPr>
          </w:p>
          <w:p w14:paraId="7E357BC1" w14:textId="0B1FA47D" w:rsidR="00063204" w:rsidRDefault="00C206A1" w:rsidP="008940CF">
            <w:pPr>
              <w:jc w:val="both"/>
              <w:rPr>
                <w:rFonts w:ascii="Times New Roman" w:hAnsi="Times New Roman" w:cs="Times New Roman"/>
              </w:rPr>
            </w:pPr>
            <w:r>
              <w:rPr>
                <w:noProof/>
              </w:rPr>
              <w:drawing>
                <wp:inline distT="0" distB="0" distL="0" distR="0" wp14:anchorId="245C016A" wp14:editId="34AE54A0">
                  <wp:extent cx="2317750" cy="1286721"/>
                  <wp:effectExtent l="0" t="0" r="6350" b="8890"/>
                  <wp:docPr id="100"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A close-up of a plant&#10;&#10;AI-generated content may be incorrect."/>
                          <pic:cNvPicPr>
                            <a:picLocks noChangeAspect="1"/>
                          </pic:cNvPicPr>
                        </pic:nvPicPr>
                        <pic:blipFill rotWithShape="1">
                          <a:blip r:embed="rId10" cstate="print">
                            <a:extLst>
                              <a:ext uri="{28A0092B-C50C-407E-A947-70E740481C1C}">
                                <a14:useLocalDpi xmlns:a14="http://schemas.microsoft.com/office/drawing/2010/main" val="0"/>
                              </a:ext>
                            </a:extLst>
                          </a:blip>
                          <a:srcRect t="30024" b="43541"/>
                          <a:stretch/>
                        </pic:blipFill>
                        <pic:spPr bwMode="auto">
                          <a:xfrm>
                            <a:off x="0" y="0"/>
                            <a:ext cx="2317750" cy="1286721"/>
                          </a:xfrm>
                          <a:prstGeom prst="rect">
                            <a:avLst/>
                          </a:prstGeom>
                          <a:noFill/>
                          <a:ln>
                            <a:noFill/>
                          </a:ln>
                        </pic:spPr>
                      </pic:pic>
                    </a:graphicData>
                  </a:graphic>
                </wp:inline>
              </w:drawing>
            </w:r>
          </w:p>
          <w:p w14:paraId="5738F943" w14:textId="341744A8" w:rsidR="00C206A1" w:rsidRDefault="00C206A1" w:rsidP="00C206A1">
            <w:pPr>
              <w:jc w:val="center"/>
              <w:rPr>
                <w:rFonts w:ascii="Times New Roman" w:hAnsi="Times New Roman" w:cs="Times New Roman"/>
              </w:rPr>
            </w:pPr>
            <w:r>
              <w:rPr>
                <w:rFonts w:ascii="Times New Roman" w:hAnsi="Times New Roman" w:cs="Times New Roman"/>
              </w:rPr>
              <w:t>(d)</w:t>
            </w:r>
          </w:p>
        </w:tc>
      </w:tr>
    </w:tbl>
    <w:p w14:paraId="7C4E0D12" w14:textId="31781F74" w:rsidR="00C206A1" w:rsidRDefault="00C206A1" w:rsidP="00C206A1">
      <w:pPr>
        <w:jc w:val="both"/>
        <w:rPr>
          <w:rFonts w:ascii="Times New Roman" w:hAnsi="Times New Roman" w:cs="Times New Roman"/>
          <w:b/>
          <w:bCs/>
          <w:noProof/>
        </w:rPr>
      </w:pPr>
      <w:r>
        <w:rPr>
          <w:rFonts w:ascii="Times New Roman" w:hAnsi="Times New Roman" w:cs="Times New Roman"/>
          <w:b/>
          <w:bCs/>
          <w:noProof/>
        </w:rPr>
        <w:t>Figure 1:</w:t>
      </w:r>
      <w:r w:rsidRPr="002C7960">
        <w:rPr>
          <w:rFonts w:ascii="Times New Roman" w:hAnsi="Times New Roman" w:cs="Times New Roman"/>
          <w:b/>
          <w:bCs/>
          <w:noProof/>
        </w:rPr>
        <w:t xml:space="preserve">Symptoms of Leaf spot and blight of </w:t>
      </w:r>
      <w:r w:rsidRPr="005569C8">
        <w:rPr>
          <w:rFonts w:ascii="Times New Roman" w:hAnsi="Times New Roman" w:cs="Times New Roman"/>
          <w:b/>
          <w:bCs/>
          <w:i/>
          <w:iCs/>
          <w:noProof/>
        </w:rPr>
        <w:t>Millettia pinnata</w:t>
      </w:r>
      <w:r w:rsidRPr="002C7960">
        <w:rPr>
          <w:rFonts w:ascii="Times New Roman" w:hAnsi="Times New Roman" w:cs="Times New Roman"/>
          <w:b/>
          <w:bCs/>
          <w:noProof/>
        </w:rPr>
        <w:t xml:space="preserve">  (a) Chlorosis, (b) Yellow spots on the leaf, (c) Black patches on the ventral portion of leaf, (d) Curling, drying and falling of diseased leaves.</w:t>
      </w:r>
    </w:p>
    <w:p w14:paraId="7EE8CF5A" w14:textId="77777777" w:rsidR="000A434A" w:rsidRPr="000A434A" w:rsidRDefault="000A434A" w:rsidP="00DE66DC">
      <w:pPr>
        <w:ind w:firstLine="720"/>
        <w:jc w:val="both"/>
        <w:rPr>
          <w:rFonts w:ascii="Times New Roman" w:hAnsi="Times New Roman" w:cs="Times New Roman"/>
          <w:b/>
          <w:bCs/>
          <w:i/>
          <w:iCs/>
          <w:sz w:val="24"/>
          <w:szCs w:val="24"/>
        </w:rPr>
      </w:pPr>
      <w:r w:rsidRPr="000A434A">
        <w:rPr>
          <w:rFonts w:ascii="Times New Roman" w:hAnsi="Times New Roman" w:cs="Times New Roman"/>
          <w:sz w:val="24"/>
          <w:szCs w:val="24"/>
        </w:rPr>
        <w:t xml:space="preserve">Isolation of pathogen was carried out from fresh infected leaves of </w:t>
      </w:r>
      <w:r w:rsidRPr="000A434A">
        <w:rPr>
          <w:rFonts w:ascii="Times New Roman" w:hAnsi="Times New Roman" w:cs="Times New Roman"/>
          <w:i/>
          <w:iCs/>
          <w:sz w:val="24"/>
          <w:szCs w:val="24"/>
        </w:rPr>
        <w:t>M. pinnata</w:t>
      </w:r>
      <w:r w:rsidRPr="000A434A">
        <w:rPr>
          <w:rFonts w:ascii="Times New Roman" w:hAnsi="Times New Roman" w:cs="Times New Roman"/>
          <w:sz w:val="24"/>
          <w:szCs w:val="24"/>
        </w:rPr>
        <w:t xml:space="preserve">. The leaf sample that showed typical leaf spot and blight disease symptoms were cut into small sections of 1 cm diameter and were washed with sterile distilled water for 30 sec. The leaf sections were then surface sterilized with 1% sodium hypochlorite and 70% ethanol. The sections were placed on a microscopic slide and were further chopped with the help of a sterilized blade. 1-2 drops of sterilized distilled water were added onto the slide and the suspension was observed under stereo microscope for the presence of conidial spores. Based on the colony morphology, mycelium, and spore morphology, the species was identified as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b/>
          <w:bCs/>
          <w:i/>
          <w:iCs/>
          <w:sz w:val="24"/>
          <w:szCs w:val="24"/>
        </w:rPr>
        <w:t>.</w:t>
      </w:r>
    </w:p>
    <w:p w14:paraId="5910FA92" w14:textId="77777777" w:rsidR="00736FA6" w:rsidRDefault="00736FA6" w:rsidP="000A434A">
      <w:pPr>
        <w:jc w:val="both"/>
        <w:rPr>
          <w:rFonts w:ascii="Times New Roman" w:hAnsi="Times New Roman" w:cs="Times New Roman"/>
          <w:b/>
          <w:bCs/>
          <w:sz w:val="24"/>
          <w:szCs w:val="24"/>
        </w:rPr>
      </w:pPr>
    </w:p>
    <w:p w14:paraId="4467B6DE" w14:textId="0E792870"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.1.2 Preparation of pure culture</w:t>
      </w:r>
    </w:p>
    <w:p w14:paraId="59DF3033" w14:textId="7846A303" w:rsid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A pure culture of the disease-causing pathogen was obtained using a microscope and laminar air flow. Sterilized PDA was used as a growth medium. The fungal pathogen's pure cultures were obtained by extracting actively growing mycelium in the form of an 8 mm disc using a cork borer and an inoculation loop. The disc was then placed in the centre of a PDA plate to facilitate maximum growth. The Petri dishes were incubated in a BOD incubator for a week, with daily observations made until the pure culture fully developed</w:t>
      </w:r>
      <w:r w:rsidR="00C206A1">
        <w:rPr>
          <w:rFonts w:ascii="Times New Roman" w:hAnsi="Times New Roman" w:cs="Times New Roman"/>
          <w:sz w:val="24"/>
          <w:szCs w:val="24"/>
        </w:rPr>
        <w:t xml:space="preserve"> (Figure 2)</w:t>
      </w:r>
      <w:r w:rsidRPr="000A434A">
        <w:rPr>
          <w:rFonts w:ascii="Times New Roman" w:hAnsi="Times New Roman" w:cs="Times New Roman"/>
          <w:sz w:val="24"/>
          <w:szCs w:val="24"/>
        </w:rPr>
        <w:t>. Observations were made using both a stereo microscope and a trinocular microscope, confirming that the morphological characteristics of the spores grown on PDA matched the initial observations of spores from the diseased leaf samples.</w:t>
      </w:r>
    </w:p>
    <w:p w14:paraId="0D705400" w14:textId="2953306F" w:rsidR="00C206A1" w:rsidRDefault="00C206A1" w:rsidP="00C206A1">
      <w:pPr>
        <w:ind w:firstLine="720"/>
        <w:jc w:val="center"/>
        <w:rPr>
          <w:rFonts w:ascii="Times New Roman" w:hAnsi="Times New Roman" w:cs="Times New Roman"/>
          <w:sz w:val="24"/>
          <w:szCs w:val="24"/>
        </w:rPr>
      </w:pPr>
      <w:r>
        <w:rPr>
          <w:noProof/>
          <w:lang w:val="en-US"/>
        </w:rPr>
        <w:drawing>
          <wp:inline distT="0" distB="0" distL="0" distR="0" wp14:anchorId="7775E125" wp14:editId="004B4BF2">
            <wp:extent cx="1539240" cy="1144794"/>
            <wp:effectExtent l="0" t="0" r="3810" b="0"/>
            <wp:docPr id="140055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55604" name=""/>
                    <pic:cNvPicPr/>
                  </pic:nvPicPr>
                  <pic:blipFill>
                    <a:blip r:embed="rId11"/>
                    <a:stretch>
                      <a:fillRect/>
                    </a:stretch>
                  </pic:blipFill>
                  <pic:spPr>
                    <a:xfrm>
                      <a:off x="0" y="0"/>
                      <a:ext cx="1574839" cy="1171270"/>
                    </a:xfrm>
                    <a:prstGeom prst="rect">
                      <a:avLst/>
                    </a:prstGeom>
                  </pic:spPr>
                </pic:pic>
              </a:graphicData>
            </a:graphic>
          </wp:inline>
        </w:drawing>
      </w:r>
    </w:p>
    <w:p w14:paraId="05CA7A7D" w14:textId="4B644C57" w:rsidR="00C206A1" w:rsidRPr="000A434A" w:rsidRDefault="00C206A1" w:rsidP="00C206A1">
      <w:pPr>
        <w:ind w:firstLine="720"/>
        <w:jc w:val="center"/>
        <w:rPr>
          <w:rFonts w:ascii="Times New Roman" w:hAnsi="Times New Roman" w:cs="Times New Roman"/>
          <w:sz w:val="24"/>
          <w:szCs w:val="24"/>
        </w:rPr>
      </w:pPr>
      <w:r>
        <w:rPr>
          <w:rFonts w:ascii="Times New Roman" w:hAnsi="Times New Roman" w:cs="Times New Roman"/>
          <w:sz w:val="24"/>
          <w:szCs w:val="24"/>
        </w:rPr>
        <w:t xml:space="preserve">Figure 2: Pure Culture of </w:t>
      </w:r>
      <w:r w:rsidRPr="00C206A1">
        <w:rPr>
          <w:rFonts w:ascii="Times New Roman" w:hAnsi="Times New Roman" w:cs="Times New Roman"/>
          <w:i/>
          <w:iCs/>
          <w:sz w:val="24"/>
          <w:szCs w:val="24"/>
        </w:rPr>
        <w:t xml:space="preserve">F. </w:t>
      </w:r>
      <w:proofErr w:type="spellStart"/>
      <w:r w:rsidRPr="00C206A1">
        <w:rPr>
          <w:rFonts w:ascii="Times New Roman" w:hAnsi="Times New Roman" w:cs="Times New Roman"/>
          <w:i/>
          <w:iCs/>
          <w:sz w:val="24"/>
          <w:szCs w:val="24"/>
        </w:rPr>
        <w:t>pongamiae</w:t>
      </w:r>
      <w:proofErr w:type="spellEnd"/>
    </w:p>
    <w:p w14:paraId="6248EE4A" w14:textId="70BB5101"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.1.3 Pathogenicity studies:</w:t>
      </w:r>
    </w:p>
    <w:p w14:paraId="22EA7DF4" w14:textId="4B53D74D"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Pr="000A434A">
        <w:rPr>
          <w:rFonts w:ascii="Times New Roman" w:hAnsi="Times New Roman" w:cs="Times New Roman"/>
          <w:b/>
          <w:bCs/>
          <w:sz w:val="24"/>
          <w:szCs w:val="24"/>
        </w:rPr>
        <w:t>Spray inoculation</w:t>
      </w:r>
    </w:p>
    <w:p w14:paraId="18EEB0CA" w14:textId="77777777"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An </w:t>
      </w:r>
      <w:r w:rsidRPr="00DE66DC">
        <w:rPr>
          <w:rFonts w:ascii="Times New Roman" w:hAnsi="Times New Roman" w:cs="Times New Roman"/>
          <w:i/>
          <w:iCs/>
          <w:sz w:val="24"/>
          <w:szCs w:val="24"/>
        </w:rPr>
        <w:t>in vivo</w:t>
      </w:r>
      <w:r w:rsidRPr="000A434A">
        <w:rPr>
          <w:rFonts w:ascii="Times New Roman" w:hAnsi="Times New Roman" w:cs="Times New Roman"/>
          <w:sz w:val="24"/>
          <w:szCs w:val="24"/>
        </w:rPr>
        <w:t xml:space="preserve"> infection system was employed to reproduce the leaf spot and blight disease symptoms. Conidia were collected by scraping 1-month-old cultures with a sterile spatula and transferring conidia to sterile water. Conidia were then filtered and the concentration determined using a </w:t>
      </w:r>
      <w:proofErr w:type="spellStart"/>
      <w:r w:rsidRPr="000A434A">
        <w:rPr>
          <w:rFonts w:ascii="Times New Roman" w:hAnsi="Times New Roman" w:cs="Times New Roman"/>
          <w:sz w:val="24"/>
          <w:szCs w:val="24"/>
        </w:rPr>
        <w:t>hemocytometer</w:t>
      </w:r>
      <w:proofErr w:type="spellEnd"/>
      <w:r w:rsidRPr="000A434A">
        <w:rPr>
          <w:rFonts w:ascii="Times New Roman" w:hAnsi="Times New Roman" w:cs="Times New Roman"/>
          <w:sz w:val="24"/>
          <w:szCs w:val="24"/>
        </w:rPr>
        <w:t xml:space="preserve">. The concentration of conidia was then adjusted to 105 conidia/ml in sterile water with 0.5% Tween 20. Spore suspension (20 ml) was applied by spraying onto the leaves. M. pinnata seedlings, 2-month-old and 25 cm in height and presenting young leaves were used for inoculation. Six seedlings were inoculated with </w:t>
      </w:r>
      <w:r w:rsidRPr="000A434A">
        <w:rPr>
          <w:rFonts w:ascii="Times New Roman" w:hAnsi="Times New Roman" w:cs="Times New Roman"/>
          <w:i/>
          <w:iCs/>
          <w:sz w:val="24"/>
          <w:szCs w:val="24"/>
        </w:rPr>
        <w:t xml:space="preserve">F.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conidial suspension, while other six control seedlings were spray inoculated with water and 0.5% Tween 20. All plants were kept in a chamber at 100% relative humidity for 1 week and afterwards moved into a greenhouse at 20C and ambient relative humidity.</w:t>
      </w:r>
    </w:p>
    <w:p w14:paraId="1801033C" w14:textId="04460EE1" w:rsidR="000A434A" w:rsidRPr="000A434A" w:rsidRDefault="000A434A" w:rsidP="000A434A">
      <w:pPr>
        <w:jc w:val="both"/>
        <w:rPr>
          <w:rFonts w:ascii="Times New Roman" w:hAnsi="Times New Roman" w:cs="Times New Roman"/>
          <w:b/>
          <w:bCs/>
          <w:i/>
          <w:i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 xml:space="preserve">.2 To evaluate anti-fungal agent(s) in vitro against the </w:t>
      </w:r>
      <w:proofErr w:type="spellStart"/>
      <w:r w:rsidRPr="000A434A">
        <w:rPr>
          <w:rFonts w:ascii="Times New Roman" w:hAnsi="Times New Roman" w:cs="Times New Roman"/>
          <w:b/>
          <w:bCs/>
          <w:i/>
          <w:iCs/>
          <w:sz w:val="24"/>
          <w:szCs w:val="24"/>
        </w:rPr>
        <w:t>Fusicladium</w:t>
      </w:r>
      <w:proofErr w:type="spellEnd"/>
      <w:r w:rsidRPr="000A434A">
        <w:rPr>
          <w:rFonts w:ascii="Times New Roman" w:hAnsi="Times New Roman" w:cs="Times New Roman"/>
          <w:b/>
          <w:bCs/>
          <w:i/>
          <w:iCs/>
          <w:sz w:val="24"/>
          <w:szCs w:val="24"/>
        </w:rPr>
        <w:t xml:space="preserve"> </w:t>
      </w:r>
      <w:proofErr w:type="spellStart"/>
      <w:r w:rsidRPr="000A434A">
        <w:rPr>
          <w:rFonts w:ascii="Times New Roman" w:hAnsi="Times New Roman" w:cs="Times New Roman"/>
          <w:b/>
          <w:bCs/>
          <w:i/>
          <w:iCs/>
          <w:sz w:val="24"/>
          <w:szCs w:val="24"/>
        </w:rPr>
        <w:t>pongamiae</w:t>
      </w:r>
      <w:proofErr w:type="spellEnd"/>
    </w:p>
    <w:p w14:paraId="79E5E411" w14:textId="77069EAB" w:rsid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The biological control is the tool for reduction in inoculums density or disease producing activities of a pathogen or parasite in its active or dormant state by the activation of one or more organisms, either accomplished naturally or through manipulation of environment, host or antagonist or by mass introduction of one or more antagonists (Baker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1974). The antagonists such as fungi and bacteria can act as powerful means of suppressing or destroying the plant pathogens without disturbing the ecosystem and they do not create the problems of pollution, the development of resistance in pathogen and production of new biotypes. Hence, investigations on </w:t>
      </w:r>
      <w:r w:rsidRPr="000A434A">
        <w:rPr>
          <w:rFonts w:ascii="Times New Roman" w:hAnsi="Times New Roman" w:cs="Times New Roman"/>
          <w:sz w:val="24"/>
          <w:szCs w:val="24"/>
        </w:rPr>
        <w:lastRenderedPageBreak/>
        <w:t xml:space="preserve">the biological control of </w:t>
      </w:r>
      <w:proofErr w:type="spellStart"/>
      <w:r w:rsidRPr="000A434A">
        <w:rPr>
          <w:rFonts w:ascii="Times New Roman" w:hAnsi="Times New Roman" w:cs="Times New Roman"/>
          <w:i/>
          <w:iCs/>
          <w:sz w:val="24"/>
          <w:szCs w:val="24"/>
        </w:rPr>
        <w:t>Fusicladium</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through potential antagonists were tested in vitro</w:t>
      </w:r>
      <w:r w:rsidR="00DE66DC">
        <w:rPr>
          <w:rFonts w:ascii="Times New Roman" w:hAnsi="Times New Roman" w:cs="Times New Roman"/>
          <w:sz w:val="24"/>
          <w:szCs w:val="24"/>
        </w:rPr>
        <w:t xml:space="preserve"> (Table 1)</w:t>
      </w:r>
      <w:r w:rsidRPr="000A434A">
        <w:rPr>
          <w:rFonts w:ascii="Times New Roman" w:hAnsi="Times New Roman" w:cs="Times New Roman"/>
          <w:sz w:val="24"/>
          <w:szCs w:val="24"/>
        </w:rPr>
        <w:t>.</w:t>
      </w:r>
    </w:p>
    <w:p w14:paraId="6D298AEE" w14:textId="5EA9E51C" w:rsidR="00DE66DC" w:rsidRDefault="00DE66DC" w:rsidP="00DE66DC">
      <w:pPr>
        <w:ind w:firstLine="720"/>
        <w:jc w:val="both"/>
        <w:rPr>
          <w:rFonts w:ascii="Times New Roman" w:hAnsi="Times New Roman" w:cs="Times New Roman"/>
          <w:sz w:val="24"/>
          <w:szCs w:val="24"/>
        </w:rPr>
      </w:pPr>
      <w:r>
        <w:rPr>
          <w:rFonts w:ascii="Times New Roman" w:hAnsi="Times New Roman" w:cs="Times New Roman"/>
          <w:sz w:val="24"/>
          <w:szCs w:val="24"/>
        </w:rPr>
        <w:t>Table 1: Treatments for evaluation of efficacy of biocontrol and anti-fungal agents</w:t>
      </w:r>
    </w:p>
    <w:tbl>
      <w:tblPr>
        <w:tblStyle w:val="TableGrid"/>
        <w:tblW w:w="0" w:type="auto"/>
        <w:tblLook w:val="04A0" w:firstRow="1" w:lastRow="0" w:firstColumn="1" w:lastColumn="0" w:noHBand="0" w:noVBand="1"/>
      </w:tblPr>
      <w:tblGrid>
        <w:gridCol w:w="1836"/>
        <w:gridCol w:w="6965"/>
      </w:tblGrid>
      <w:tr w:rsidR="00DE66DC" w14:paraId="449966A2" w14:textId="77777777" w:rsidTr="00DE66DC">
        <w:trPr>
          <w:trHeight w:val="433"/>
        </w:trPr>
        <w:tc>
          <w:tcPr>
            <w:tcW w:w="1836" w:type="dxa"/>
          </w:tcPr>
          <w:p w14:paraId="4536CBFD" w14:textId="53381268" w:rsidR="00DE66DC" w:rsidRPr="00DE66DC" w:rsidRDefault="00DE66DC" w:rsidP="00DE66DC">
            <w:pPr>
              <w:jc w:val="both"/>
              <w:rPr>
                <w:rFonts w:ascii="Times New Roman" w:hAnsi="Times New Roman" w:cs="Times New Roman"/>
                <w:b/>
                <w:bCs/>
                <w:sz w:val="24"/>
                <w:szCs w:val="24"/>
              </w:rPr>
            </w:pPr>
            <w:r w:rsidRPr="00DE66DC">
              <w:rPr>
                <w:rFonts w:ascii="Times New Roman" w:hAnsi="Times New Roman" w:cs="Times New Roman"/>
                <w:b/>
                <w:bCs/>
                <w:sz w:val="24"/>
                <w:szCs w:val="24"/>
              </w:rPr>
              <w:t>Treatment</w:t>
            </w:r>
          </w:p>
        </w:tc>
        <w:tc>
          <w:tcPr>
            <w:tcW w:w="6965" w:type="dxa"/>
          </w:tcPr>
          <w:p w14:paraId="623C7676" w14:textId="30DC60AB" w:rsidR="00DE66DC" w:rsidRPr="00DE66DC" w:rsidRDefault="00DE66DC" w:rsidP="00DE66DC">
            <w:pPr>
              <w:jc w:val="both"/>
              <w:rPr>
                <w:rFonts w:ascii="Times New Roman" w:hAnsi="Times New Roman" w:cs="Times New Roman"/>
                <w:b/>
                <w:bCs/>
                <w:sz w:val="24"/>
                <w:szCs w:val="24"/>
              </w:rPr>
            </w:pPr>
            <w:r>
              <w:rPr>
                <w:rFonts w:ascii="Times New Roman" w:hAnsi="Times New Roman" w:cs="Times New Roman"/>
                <w:b/>
                <w:bCs/>
                <w:sz w:val="24"/>
                <w:szCs w:val="24"/>
              </w:rPr>
              <w:t xml:space="preserve">Treatment </w:t>
            </w:r>
            <w:r w:rsidRPr="00DE66DC">
              <w:rPr>
                <w:rFonts w:ascii="Times New Roman" w:hAnsi="Times New Roman" w:cs="Times New Roman"/>
                <w:b/>
                <w:bCs/>
                <w:sz w:val="24"/>
                <w:szCs w:val="24"/>
              </w:rPr>
              <w:t xml:space="preserve">Details </w:t>
            </w:r>
          </w:p>
        </w:tc>
      </w:tr>
      <w:tr w:rsidR="00DE66DC" w14:paraId="49A89406" w14:textId="77777777" w:rsidTr="00DE66DC">
        <w:trPr>
          <w:trHeight w:val="455"/>
        </w:trPr>
        <w:tc>
          <w:tcPr>
            <w:tcW w:w="1836" w:type="dxa"/>
            <w:vAlign w:val="center"/>
          </w:tcPr>
          <w:p w14:paraId="4653C207" w14:textId="0ACA6C0D"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T1</w:t>
            </w:r>
          </w:p>
        </w:tc>
        <w:tc>
          <w:tcPr>
            <w:tcW w:w="6965" w:type="dxa"/>
            <w:vAlign w:val="center"/>
          </w:tcPr>
          <w:p w14:paraId="16475585" w14:textId="31406AD7"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i/>
                <w:color w:val="000000"/>
                <w:sz w:val="26"/>
                <w:szCs w:val="26"/>
                <w:lang w:eastAsia="en-IN"/>
              </w:rPr>
              <w:t>Trichoderma viride</w:t>
            </w:r>
          </w:p>
        </w:tc>
      </w:tr>
      <w:tr w:rsidR="00DE66DC" w14:paraId="3DB4E95F" w14:textId="77777777" w:rsidTr="00DE66DC">
        <w:trPr>
          <w:trHeight w:val="455"/>
        </w:trPr>
        <w:tc>
          <w:tcPr>
            <w:tcW w:w="1836" w:type="dxa"/>
            <w:vAlign w:val="center"/>
          </w:tcPr>
          <w:p w14:paraId="4B443B6B" w14:textId="1DA6AE51"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T2</w:t>
            </w:r>
          </w:p>
        </w:tc>
        <w:tc>
          <w:tcPr>
            <w:tcW w:w="6965" w:type="dxa"/>
            <w:vAlign w:val="center"/>
          </w:tcPr>
          <w:p w14:paraId="13A86199" w14:textId="0F4F7DD8"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i/>
                <w:color w:val="000000"/>
                <w:sz w:val="26"/>
                <w:szCs w:val="26"/>
                <w:lang w:eastAsia="en-IN"/>
              </w:rPr>
              <w:t>Pseudomonas fluorescens</w:t>
            </w:r>
          </w:p>
        </w:tc>
      </w:tr>
      <w:tr w:rsidR="00DE66DC" w14:paraId="426403C4" w14:textId="77777777" w:rsidTr="00DE66DC">
        <w:trPr>
          <w:trHeight w:val="448"/>
        </w:trPr>
        <w:tc>
          <w:tcPr>
            <w:tcW w:w="1836" w:type="dxa"/>
            <w:vAlign w:val="center"/>
          </w:tcPr>
          <w:p w14:paraId="04919884" w14:textId="1E7A2D46"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T3</w:t>
            </w:r>
          </w:p>
        </w:tc>
        <w:tc>
          <w:tcPr>
            <w:tcW w:w="6965" w:type="dxa"/>
            <w:vAlign w:val="center"/>
          </w:tcPr>
          <w:p w14:paraId="6094AAA9" w14:textId="779B82BC"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i/>
                <w:color w:val="000000"/>
                <w:sz w:val="26"/>
                <w:szCs w:val="26"/>
                <w:lang w:eastAsia="en-IN"/>
              </w:rPr>
              <w:t>T. viride</w:t>
            </w:r>
            <w:r w:rsidRPr="0089687F">
              <w:rPr>
                <w:rFonts w:ascii="Times New Roman" w:eastAsia="Times New Roman" w:hAnsi="Times New Roman" w:cs="Times New Roman"/>
                <w:b/>
                <w:color w:val="000000"/>
                <w:sz w:val="26"/>
                <w:szCs w:val="26"/>
                <w:lang w:eastAsia="en-IN"/>
              </w:rPr>
              <w:t xml:space="preserve"> + </w:t>
            </w:r>
            <w:r w:rsidRPr="0089687F">
              <w:rPr>
                <w:rFonts w:ascii="Times New Roman" w:eastAsia="Times New Roman" w:hAnsi="Times New Roman" w:cs="Times New Roman"/>
                <w:b/>
                <w:i/>
                <w:color w:val="000000"/>
                <w:sz w:val="26"/>
                <w:szCs w:val="26"/>
                <w:lang w:eastAsia="en-IN"/>
              </w:rPr>
              <w:t>P. fluorescens</w:t>
            </w:r>
          </w:p>
        </w:tc>
      </w:tr>
      <w:tr w:rsidR="00DE66DC" w14:paraId="0BD1DBA9" w14:textId="77777777" w:rsidTr="00DE66DC">
        <w:trPr>
          <w:trHeight w:val="455"/>
        </w:trPr>
        <w:tc>
          <w:tcPr>
            <w:tcW w:w="1836" w:type="dxa"/>
            <w:vAlign w:val="center"/>
          </w:tcPr>
          <w:p w14:paraId="3B299F55" w14:textId="502793B8"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T4</w:t>
            </w:r>
          </w:p>
        </w:tc>
        <w:tc>
          <w:tcPr>
            <w:tcW w:w="6965" w:type="dxa"/>
            <w:vAlign w:val="center"/>
          </w:tcPr>
          <w:p w14:paraId="46D245F0" w14:textId="23F35A23" w:rsidR="00DE66DC" w:rsidRDefault="00DE66DC" w:rsidP="00DE66DC">
            <w:pPr>
              <w:jc w:val="both"/>
              <w:rPr>
                <w:rFonts w:ascii="Times New Roman" w:hAnsi="Times New Roman" w:cs="Times New Roman"/>
                <w:sz w:val="24"/>
                <w:szCs w:val="24"/>
              </w:rPr>
            </w:pPr>
            <w:proofErr w:type="spellStart"/>
            <w:r w:rsidRPr="0089687F">
              <w:rPr>
                <w:rFonts w:ascii="Times New Roman" w:eastAsia="Times New Roman" w:hAnsi="Times New Roman" w:cs="Times New Roman"/>
                <w:b/>
                <w:color w:val="000000"/>
                <w:sz w:val="26"/>
                <w:szCs w:val="26"/>
                <w:lang w:eastAsia="en-IN"/>
              </w:rPr>
              <w:t>Pongam</w:t>
            </w:r>
            <w:proofErr w:type="spellEnd"/>
            <w:r w:rsidRPr="0089687F">
              <w:rPr>
                <w:rFonts w:ascii="Times New Roman" w:eastAsia="Times New Roman" w:hAnsi="Times New Roman" w:cs="Times New Roman"/>
                <w:b/>
                <w:color w:val="000000"/>
                <w:sz w:val="26"/>
                <w:szCs w:val="26"/>
                <w:lang w:eastAsia="en-IN"/>
              </w:rPr>
              <w:t xml:space="preserve"> oil</w:t>
            </w:r>
            <w:r w:rsidRPr="005C57FC">
              <w:rPr>
                <w:rFonts w:ascii="Times New Roman" w:eastAsia="Times New Roman" w:hAnsi="Times New Roman" w:cs="Times New Roman"/>
                <w:color w:val="000000"/>
                <w:sz w:val="26"/>
                <w:szCs w:val="26"/>
                <w:lang w:eastAsia="en-IN"/>
              </w:rPr>
              <w:t xml:space="preserve"> (5%)</w:t>
            </w:r>
          </w:p>
        </w:tc>
      </w:tr>
      <w:tr w:rsidR="00DE66DC" w14:paraId="4E752270" w14:textId="77777777" w:rsidTr="00DE66DC">
        <w:trPr>
          <w:trHeight w:val="455"/>
        </w:trPr>
        <w:tc>
          <w:tcPr>
            <w:tcW w:w="1836" w:type="dxa"/>
            <w:vAlign w:val="center"/>
          </w:tcPr>
          <w:p w14:paraId="114A7C81" w14:textId="195AEA04"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T5</w:t>
            </w:r>
          </w:p>
        </w:tc>
        <w:tc>
          <w:tcPr>
            <w:tcW w:w="6965" w:type="dxa"/>
            <w:vAlign w:val="center"/>
          </w:tcPr>
          <w:p w14:paraId="7197250C" w14:textId="49D5C3A9"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color w:val="000000"/>
                <w:sz w:val="26"/>
                <w:szCs w:val="26"/>
                <w:lang w:eastAsia="en-IN"/>
              </w:rPr>
              <w:t>Carbendazim</w:t>
            </w:r>
            <w:r w:rsidRPr="005C57FC">
              <w:rPr>
                <w:rFonts w:ascii="Times New Roman" w:eastAsia="Times New Roman" w:hAnsi="Times New Roman" w:cs="Times New Roman"/>
                <w:color w:val="000000"/>
                <w:sz w:val="26"/>
                <w:szCs w:val="26"/>
                <w:lang w:eastAsia="en-IN"/>
              </w:rPr>
              <w:t xml:space="preserve"> (</w:t>
            </w:r>
            <w:r>
              <w:rPr>
                <w:rFonts w:ascii="Times New Roman" w:eastAsia="Times New Roman" w:hAnsi="Times New Roman" w:cs="Times New Roman"/>
                <w:color w:val="000000"/>
                <w:sz w:val="26"/>
                <w:szCs w:val="26"/>
                <w:lang w:eastAsia="en-IN"/>
              </w:rPr>
              <w:t>0.</w:t>
            </w:r>
            <w:r w:rsidRPr="005C57FC">
              <w:rPr>
                <w:rFonts w:ascii="Times New Roman" w:eastAsia="Times New Roman" w:hAnsi="Times New Roman" w:cs="Times New Roman"/>
                <w:color w:val="000000"/>
                <w:sz w:val="26"/>
                <w:szCs w:val="26"/>
                <w:lang w:eastAsia="en-IN"/>
              </w:rPr>
              <w:t>1%)</w:t>
            </w:r>
          </w:p>
        </w:tc>
      </w:tr>
      <w:tr w:rsidR="00DE66DC" w14:paraId="2701EE8E" w14:textId="77777777" w:rsidTr="00DE66DC">
        <w:trPr>
          <w:trHeight w:val="455"/>
        </w:trPr>
        <w:tc>
          <w:tcPr>
            <w:tcW w:w="1836" w:type="dxa"/>
            <w:vAlign w:val="center"/>
          </w:tcPr>
          <w:p w14:paraId="389CEFE7" w14:textId="4FD04BB5" w:rsidR="00DE66DC" w:rsidRDefault="00DE66DC" w:rsidP="00DE66DC">
            <w:pPr>
              <w:jc w:val="center"/>
              <w:rPr>
                <w:rFonts w:ascii="Times New Roman" w:hAnsi="Times New Roman" w:cs="Times New Roman"/>
                <w:sz w:val="24"/>
                <w:szCs w:val="24"/>
              </w:rPr>
            </w:pPr>
            <w:r w:rsidRPr="005C57FC">
              <w:rPr>
                <w:rFonts w:ascii="Times New Roman" w:eastAsia="Times New Roman" w:hAnsi="Times New Roman" w:cs="Times New Roman"/>
                <w:color w:val="000000"/>
                <w:sz w:val="26"/>
                <w:szCs w:val="26"/>
                <w:lang w:eastAsia="en-IN"/>
              </w:rPr>
              <w:t>T6</w:t>
            </w:r>
          </w:p>
        </w:tc>
        <w:tc>
          <w:tcPr>
            <w:tcW w:w="6965" w:type="dxa"/>
            <w:vAlign w:val="center"/>
          </w:tcPr>
          <w:p w14:paraId="77AC45E2" w14:textId="28C00728" w:rsidR="00DE66DC" w:rsidRDefault="00DE66DC" w:rsidP="00DE66DC">
            <w:pPr>
              <w:jc w:val="both"/>
              <w:rPr>
                <w:rFonts w:ascii="Times New Roman" w:hAnsi="Times New Roman" w:cs="Times New Roman"/>
                <w:sz w:val="24"/>
                <w:szCs w:val="24"/>
              </w:rPr>
            </w:pPr>
            <w:r w:rsidRPr="0089687F">
              <w:rPr>
                <w:rFonts w:ascii="Times New Roman" w:eastAsia="Times New Roman" w:hAnsi="Times New Roman" w:cs="Times New Roman"/>
                <w:b/>
                <w:color w:val="000000"/>
                <w:sz w:val="26"/>
                <w:szCs w:val="26"/>
                <w:lang w:eastAsia="en-IN"/>
              </w:rPr>
              <w:t>Control</w:t>
            </w:r>
          </w:p>
        </w:tc>
      </w:tr>
    </w:tbl>
    <w:p w14:paraId="18A9BDA8" w14:textId="77777777" w:rsidR="00DE66DC" w:rsidRPr="000A434A" w:rsidRDefault="00DE66DC" w:rsidP="00DE66DC">
      <w:pPr>
        <w:ind w:firstLine="720"/>
        <w:jc w:val="both"/>
        <w:rPr>
          <w:rFonts w:ascii="Times New Roman" w:hAnsi="Times New Roman" w:cs="Times New Roman"/>
          <w:sz w:val="24"/>
          <w:szCs w:val="24"/>
        </w:rPr>
      </w:pPr>
    </w:p>
    <w:p w14:paraId="036B6720" w14:textId="62310369"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.2.1 Preparation of pure culture of biocontrol agents</w:t>
      </w:r>
    </w:p>
    <w:p w14:paraId="4A5FEF58" w14:textId="77777777" w:rsidR="000A434A" w:rsidRPr="000A434A" w:rsidRDefault="000A434A" w:rsidP="000A434A">
      <w:pPr>
        <w:jc w:val="both"/>
        <w:rPr>
          <w:rFonts w:ascii="Times New Roman" w:hAnsi="Times New Roman" w:cs="Times New Roman"/>
          <w:b/>
          <w:bCs/>
          <w:i/>
          <w:iCs/>
          <w:sz w:val="24"/>
          <w:szCs w:val="24"/>
        </w:rPr>
      </w:pPr>
      <w:r w:rsidRPr="000A434A">
        <w:rPr>
          <w:rFonts w:ascii="Times New Roman" w:hAnsi="Times New Roman" w:cs="Times New Roman"/>
          <w:sz w:val="24"/>
          <w:szCs w:val="24"/>
        </w:rPr>
        <w:t xml:space="preserve">a. </w:t>
      </w:r>
      <w:r w:rsidRPr="000A434A">
        <w:rPr>
          <w:rFonts w:ascii="Times New Roman" w:hAnsi="Times New Roman" w:cs="Times New Roman"/>
          <w:b/>
          <w:bCs/>
          <w:i/>
          <w:iCs/>
          <w:sz w:val="24"/>
          <w:szCs w:val="24"/>
        </w:rPr>
        <w:t>Trichoderma viride</w:t>
      </w:r>
    </w:p>
    <w:p w14:paraId="5D6DF010" w14:textId="75EF0E1A"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 xml:space="preserve">The mother culture </w:t>
      </w:r>
      <w:r w:rsidR="00DE66DC">
        <w:rPr>
          <w:rFonts w:ascii="Times New Roman" w:hAnsi="Times New Roman" w:cs="Times New Roman"/>
          <w:sz w:val="24"/>
          <w:szCs w:val="24"/>
        </w:rPr>
        <w:t xml:space="preserve">was </w:t>
      </w:r>
      <w:r w:rsidRPr="000A434A">
        <w:rPr>
          <w:rFonts w:ascii="Times New Roman" w:hAnsi="Times New Roman" w:cs="Times New Roman"/>
          <w:sz w:val="24"/>
          <w:szCs w:val="24"/>
        </w:rPr>
        <w:t xml:space="preserve">brought from NIPHM National Institute of Plant Health Management, Rajendra Nagar Hyderabad, </w:t>
      </w:r>
      <w:r w:rsidR="00DE66DC">
        <w:rPr>
          <w:rFonts w:ascii="Times New Roman" w:hAnsi="Times New Roman" w:cs="Times New Roman"/>
          <w:sz w:val="24"/>
          <w:szCs w:val="24"/>
        </w:rPr>
        <w:t xml:space="preserve">and </w:t>
      </w:r>
      <w:r w:rsidRPr="000A434A">
        <w:rPr>
          <w:rFonts w:ascii="Times New Roman" w:hAnsi="Times New Roman" w:cs="Times New Roman"/>
          <w:sz w:val="24"/>
          <w:szCs w:val="24"/>
        </w:rPr>
        <w:t>was serial diluted with 10</w:t>
      </w:r>
      <w:r w:rsidRPr="00DE66DC">
        <w:rPr>
          <w:rFonts w:ascii="Times New Roman" w:hAnsi="Times New Roman" w:cs="Times New Roman"/>
          <w:sz w:val="24"/>
          <w:szCs w:val="24"/>
          <w:vertAlign w:val="superscript"/>
        </w:rPr>
        <w:t>-2</w:t>
      </w:r>
      <w:r w:rsidRPr="000A434A">
        <w:rPr>
          <w:rFonts w:ascii="Times New Roman" w:hAnsi="Times New Roman" w:cs="Times New Roman"/>
          <w:sz w:val="24"/>
          <w:szCs w:val="24"/>
        </w:rPr>
        <w:t xml:space="preserve"> on dilution factor and added in PDA at Sterilized Petri dishes of 90mm. (1ml of dilutant solvent was taken with 1000ml of pipette added in PDA media with the help of spreader). Then wrapped the petri plates with para film to avoid contamination and kept in BOD Incubator at room temperature 24</w:t>
      </w:r>
      <w:r w:rsidRPr="000A434A">
        <w:rPr>
          <w:rFonts w:ascii="Times New Roman" w:hAnsi="Times New Roman" w:cs="Times New Roman"/>
          <w:b/>
          <w:bCs/>
          <w:sz w:val="24"/>
          <w:szCs w:val="24"/>
          <w:vertAlign w:val="superscript"/>
        </w:rPr>
        <w:t>0</w:t>
      </w:r>
      <w:r w:rsidRPr="000A434A">
        <w:rPr>
          <w:rFonts w:ascii="Times New Roman" w:hAnsi="Times New Roman" w:cs="Times New Roman"/>
          <w:sz w:val="24"/>
          <w:szCs w:val="24"/>
        </w:rPr>
        <w:t>Cand allowed to grow for 3-5days.</w:t>
      </w:r>
    </w:p>
    <w:p w14:paraId="5D9F81A2" w14:textId="77777777" w:rsidR="000A434A" w:rsidRPr="000A434A" w:rsidRDefault="000A434A" w:rsidP="000A434A">
      <w:pPr>
        <w:jc w:val="both"/>
        <w:rPr>
          <w:rFonts w:ascii="Times New Roman" w:hAnsi="Times New Roman" w:cs="Times New Roman"/>
          <w:b/>
          <w:bCs/>
          <w:i/>
          <w:iCs/>
          <w:sz w:val="24"/>
          <w:szCs w:val="24"/>
        </w:rPr>
      </w:pPr>
      <w:r w:rsidRPr="000A434A">
        <w:rPr>
          <w:rFonts w:ascii="Times New Roman" w:hAnsi="Times New Roman" w:cs="Times New Roman"/>
          <w:sz w:val="24"/>
          <w:szCs w:val="24"/>
        </w:rPr>
        <w:t xml:space="preserve">b. </w:t>
      </w:r>
      <w:r w:rsidRPr="000A434A">
        <w:rPr>
          <w:rFonts w:ascii="Times New Roman" w:hAnsi="Times New Roman" w:cs="Times New Roman"/>
          <w:b/>
          <w:bCs/>
          <w:i/>
          <w:iCs/>
          <w:sz w:val="24"/>
          <w:szCs w:val="24"/>
        </w:rPr>
        <w:t>Pseudomonas fluorescens</w:t>
      </w:r>
    </w:p>
    <w:p w14:paraId="4B3D0C4D" w14:textId="77777777"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Mother culture was procured from AICRP (All India coordinated Research Project), Rajendra Nagar Hyderabad. Then pure culture was inoculated at Department of Forest Resource Management, FCRI, Mulugu.</w:t>
      </w:r>
    </w:p>
    <w:p w14:paraId="000DC7C2" w14:textId="77777777"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Nutrient agar media was prepared. The mother culture brought from AICRP was serial diluted with 10</w:t>
      </w:r>
      <w:r w:rsidRPr="00DE66DC">
        <w:rPr>
          <w:rFonts w:ascii="Times New Roman" w:hAnsi="Times New Roman" w:cs="Times New Roman"/>
          <w:sz w:val="24"/>
          <w:szCs w:val="24"/>
          <w:vertAlign w:val="superscript"/>
        </w:rPr>
        <w:t>-2</w:t>
      </w:r>
      <w:r w:rsidRPr="000A434A">
        <w:rPr>
          <w:rFonts w:ascii="Times New Roman" w:hAnsi="Times New Roman" w:cs="Times New Roman"/>
          <w:sz w:val="24"/>
          <w:szCs w:val="24"/>
        </w:rPr>
        <w:t xml:space="preserve"> on dilution factor and added in nutrient agar medium in aseptic conditions of Petri dishes of 90mm. (Diluted solvent was taken with inoculation loop and streaked on the medium). The petri plates were wrapped using Para film wax to avoid contamination and kept in BOD Incubator at room temperature 24</w:t>
      </w:r>
      <w:r w:rsidRPr="000A434A">
        <w:rPr>
          <w:rFonts w:ascii="Times New Roman" w:hAnsi="Times New Roman" w:cs="Times New Roman"/>
          <w:sz w:val="24"/>
          <w:szCs w:val="24"/>
          <w:vertAlign w:val="superscript"/>
        </w:rPr>
        <w:t>0</w:t>
      </w:r>
      <w:r w:rsidRPr="000A434A">
        <w:rPr>
          <w:rFonts w:ascii="Times New Roman" w:hAnsi="Times New Roman" w:cs="Times New Roman"/>
          <w:sz w:val="24"/>
          <w:szCs w:val="24"/>
        </w:rPr>
        <w:t>C and allowed to grow bacteria for 7days.</w:t>
      </w:r>
    </w:p>
    <w:p w14:paraId="2BB51287" w14:textId="054BDCA9" w:rsidR="000A434A" w:rsidRPr="000A434A" w:rsidRDefault="000A434A" w:rsidP="000A434A">
      <w:pPr>
        <w:jc w:val="both"/>
        <w:rPr>
          <w:rFonts w:ascii="Times New Roman" w:hAnsi="Times New Roman" w:cs="Times New Roman"/>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.2.2 Preparation of anti-fungal agents</w:t>
      </w:r>
    </w:p>
    <w:p w14:paraId="5C948F99" w14:textId="77777777" w:rsidR="000A434A" w:rsidRPr="000A434A" w:rsidRDefault="000A434A" w:rsidP="000A434A">
      <w:pPr>
        <w:jc w:val="both"/>
        <w:rPr>
          <w:rFonts w:ascii="Times New Roman" w:hAnsi="Times New Roman" w:cs="Times New Roman"/>
          <w:b/>
          <w:bCs/>
          <w:sz w:val="24"/>
          <w:szCs w:val="24"/>
        </w:rPr>
      </w:pPr>
      <w:r w:rsidRPr="000A434A">
        <w:rPr>
          <w:rFonts w:ascii="Times New Roman" w:hAnsi="Times New Roman" w:cs="Times New Roman"/>
          <w:b/>
          <w:bCs/>
          <w:sz w:val="24"/>
          <w:szCs w:val="24"/>
        </w:rPr>
        <w:t xml:space="preserve">a. </w:t>
      </w:r>
      <w:proofErr w:type="spellStart"/>
      <w:r w:rsidRPr="000A434A">
        <w:rPr>
          <w:rFonts w:ascii="Times New Roman" w:hAnsi="Times New Roman" w:cs="Times New Roman"/>
          <w:b/>
          <w:bCs/>
          <w:sz w:val="24"/>
          <w:szCs w:val="24"/>
        </w:rPr>
        <w:t>Pongam</w:t>
      </w:r>
      <w:proofErr w:type="spellEnd"/>
      <w:r w:rsidRPr="000A434A">
        <w:rPr>
          <w:rFonts w:ascii="Times New Roman" w:hAnsi="Times New Roman" w:cs="Times New Roman"/>
          <w:b/>
          <w:bCs/>
          <w:sz w:val="24"/>
          <w:szCs w:val="24"/>
        </w:rPr>
        <w:t xml:space="preserve"> oil (5%)</w:t>
      </w:r>
    </w:p>
    <w:p w14:paraId="4A55BDCB" w14:textId="77777777" w:rsidR="000A434A" w:rsidRPr="000A434A" w:rsidRDefault="000A434A" w:rsidP="00DE66DC">
      <w:pPr>
        <w:ind w:firstLine="720"/>
        <w:jc w:val="both"/>
        <w:rPr>
          <w:rFonts w:ascii="Times New Roman" w:hAnsi="Times New Roman" w:cs="Times New Roman"/>
          <w:sz w:val="24"/>
          <w:szCs w:val="24"/>
        </w:rPr>
      </w:pPr>
      <w:proofErr w:type="spellStart"/>
      <w:r w:rsidRPr="000A434A">
        <w:rPr>
          <w:rFonts w:ascii="Times New Roman" w:hAnsi="Times New Roman" w:cs="Times New Roman"/>
          <w:sz w:val="24"/>
          <w:szCs w:val="24"/>
        </w:rPr>
        <w:t>Pongam</w:t>
      </w:r>
      <w:proofErr w:type="spellEnd"/>
      <w:r w:rsidRPr="000A434A">
        <w:rPr>
          <w:rFonts w:ascii="Times New Roman" w:hAnsi="Times New Roman" w:cs="Times New Roman"/>
          <w:sz w:val="24"/>
          <w:szCs w:val="24"/>
        </w:rPr>
        <w:t xml:space="preserve"> seed oil was procured from the Biochemistry laboratory, Forest College and Research Institute, Mulugu. The oil was extracted by High Performed Liquid Chromatography </w:t>
      </w:r>
      <w:r w:rsidRPr="000A434A">
        <w:rPr>
          <w:rFonts w:ascii="Times New Roman" w:hAnsi="Times New Roman" w:cs="Times New Roman"/>
          <w:sz w:val="24"/>
          <w:szCs w:val="24"/>
        </w:rPr>
        <w:lastRenderedPageBreak/>
        <w:t xml:space="preserve">(HPLC) purity of 67%. Then </w:t>
      </w:r>
      <w:proofErr w:type="spellStart"/>
      <w:r w:rsidRPr="000A434A">
        <w:rPr>
          <w:rFonts w:ascii="Times New Roman" w:hAnsi="Times New Roman" w:cs="Times New Roman"/>
          <w:sz w:val="24"/>
          <w:szCs w:val="24"/>
        </w:rPr>
        <w:t>Pongam</w:t>
      </w:r>
      <w:proofErr w:type="spellEnd"/>
      <w:r w:rsidRPr="000A434A">
        <w:rPr>
          <w:rFonts w:ascii="Times New Roman" w:hAnsi="Times New Roman" w:cs="Times New Roman"/>
          <w:sz w:val="24"/>
          <w:szCs w:val="24"/>
        </w:rPr>
        <w:t xml:space="preserve"> seed oil was made into 5% concentration by adding 5ml of </w:t>
      </w:r>
      <w:proofErr w:type="spellStart"/>
      <w:r w:rsidRPr="000A434A">
        <w:rPr>
          <w:rFonts w:ascii="Times New Roman" w:hAnsi="Times New Roman" w:cs="Times New Roman"/>
          <w:sz w:val="24"/>
          <w:szCs w:val="24"/>
        </w:rPr>
        <w:t>Pongam</w:t>
      </w:r>
      <w:proofErr w:type="spellEnd"/>
      <w:r w:rsidRPr="000A434A">
        <w:rPr>
          <w:rFonts w:ascii="Times New Roman" w:hAnsi="Times New Roman" w:cs="Times New Roman"/>
          <w:sz w:val="24"/>
          <w:szCs w:val="24"/>
        </w:rPr>
        <w:t xml:space="preserve"> seed oil in 95ml n-Hexane.</w:t>
      </w:r>
    </w:p>
    <w:p w14:paraId="565EED16" w14:textId="77777777" w:rsidR="000A434A" w:rsidRPr="000A434A" w:rsidRDefault="000A434A" w:rsidP="000A434A">
      <w:pPr>
        <w:jc w:val="both"/>
        <w:rPr>
          <w:rFonts w:ascii="Times New Roman" w:hAnsi="Times New Roman" w:cs="Times New Roman"/>
          <w:b/>
          <w:bCs/>
          <w:sz w:val="24"/>
          <w:szCs w:val="24"/>
        </w:rPr>
      </w:pPr>
      <w:r w:rsidRPr="000A434A">
        <w:rPr>
          <w:rFonts w:ascii="Times New Roman" w:hAnsi="Times New Roman" w:cs="Times New Roman"/>
          <w:b/>
          <w:bCs/>
          <w:sz w:val="24"/>
          <w:szCs w:val="24"/>
        </w:rPr>
        <w:t>b. Carbendazim (0.1%)</w:t>
      </w:r>
    </w:p>
    <w:p w14:paraId="12BA44C1" w14:textId="77777777" w:rsidR="000A434A" w:rsidRPr="000A434A" w:rsidRDefault="000A434A" w:rsidP="000A434A">
      <w:pPr>
        <w:jc w:val="both"/>
        <w:rPr>
          <w:rFonts w:ascii="Times New Roman" w:hAnsi="Times New Roman" w:cs="Times New Roman"/>
          <w:sz w:val="24"/>
          <w:szCs w:val="24"/>
        </w:rPr>
      </w:pPr>
      <w:r w:rsidRPr="000A434A">
        <w:rPr>
          <w:rFonts w:ascii="Times New Roman" w:hAnsi="Times New Roman" w:cs="Times New Roman"/>
          <w:sz w:val="24"/>
          <w:szCs w:val="24"/>
        </w:rPr>
        <w:t>Carbendazim (systemic fungicide) was procured and used to test their efficacy against the pathogen. 0.1% of carbendazim was prepared by mixing 1gof carbendazim in 1000 ml distilled water.</w:t>
      </w:r>
    </w:p>
    <w:p w14:paraId="0EEC58D6" w14:textId="6EFD00AA" w:rsidR="000A434A" w:rsidRPr="000A434A" w:rsidRDefault="000A434A" w:rsidP="000A434A">
      <w:pPr>
        <w:jc w:val="both"/>
        <w:rPr>
          <w:rFonts w:ascii="Times New Roman" w:hAnsi="Times New Roman" w:cs="Times New Roman"/>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.3</w:t>
      </w:r>
      <w:r w:rsidRPr="000A434A">
        <w:rPr>
          <w:rFonts w:ascii="Times New Roman" w:hAnsi="Times New Roman" w:cs="Times New Roman"/>
          <w:sz w:val="24"/>
          <w:szCs w:val="24"/>
        </w:rPr>
        <w:t xml:space="preserve"> </w:t>
      </w:r>
      <w:r w:rsidRPr="000A434A">
        <w:rPr>
          <w:rFonts w:ascii="Times New Roman" w:hAnsi="Times New Roman" w:cs="Times New Roman"/>
          <w:b/>
          <w:bCs/>
          <w:sz w:val="24"/>
          <w:szCs w:val="24"/>
        </w:rPr>
        <w:t>Dual culture</w:t>
      </w:r>
      <w:r w:rsidRPr="000A434A">
        <w:rPr>
          <w:rFonts w:ascii="Times New Roman" w:hAnsi="Times New Roman" w:cs="Times New Roman"/>
          <w:sz w:val="24"/>
          <w:szCs w:val="24"/>
        </w:rPr>
        <w:t xml:space="preserve">: </w:t>
      </w:r>
    </w:p>
    <w:p w14:paraId="7F029DC6" w14:textId="192D4D88"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The antifungal activity of isolated pathogen against pathogen was determined by dual culture. Briefly, an 8mm diameter mycelial disc was cut from the pathogen culture and Trichoderma pure culture had been cultured on PDA plates and Pseudomonas on Nutrient agar plates at 25</w:t>
      </w:r>
      <w:r w:rsidRPr="000A434A">
        <w:rPr>
          <w:rFonts w:ascii="Times New Roman" w:hAnsi="Times New Roman" w:cs="Times New Roman"/>
          <w:sz w:val="24"/>
          <w:szCs w:val="24"/>
          <w:vertAlign w:val="superscript"/>
        </w:rPr>
        <w:t>o</w:t>
      </w:r>
      <w:r w:rsidRPr="000A434A">
        <w:rPr>
          <w:rFonts w:ascii="Times New Roman" w:hAnsi="Times New Roman" w:cs="Times New Roman"/>
          <w:sz w:val="24"/>
          <w:szCs w:val="24"/>
        </w:rPr>
        <w:t>C for seven days. The Trichoderma disc was placed 1 cm from the edge of a fresh PDA plate, and Pseudomonas was streaked in the centre on nutrient agar media. The antagonistic effect was determined by measuring the size of the inhibition zone formed on plates after incubation at 24o C for 7 days.</w:t>
      </w:r>
      <w:r w:rsidR="00DE66DC">
        <w:rPr>
          <w:rFonts w:ascii="Times New Roman" w:hAnsi="Times New Roman" w:cs="Times New Roman"/>
          <w:sz w:val="24"/>
          <w:szCs w:val="24"/>
        </w:rPr>
        <w:t xml:space="preserve"> </w:t>
      </w:r>
      <w:r w:rsidRPr="000A434A">
        <w:rPr>
          <w:rFonts w:ascii="Times New Roman" w:hAnsi="Times New Roman" w:cs="Times New Roman"/>
          <w:sz w:val="24"/>
          <w:szCs w:val="24"/>
        </w:rPr>
        <w:t>Zone of inhibition radius was recorded at 24, 48 and 96 hours of incubation and percentage of inhibition is calculated using the following formula</w:t>
      </w:r>
    </w:p>
    <w:p w14:paraId="226BC3BF"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Percentage of inhibition (I) = (C-T)/C X 100</w:t>
      </w:r>
    </w:p>
    <w:p w14:paraId="1B4131F5"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Where,</w:t>
      </w:r>
    </w:p>
    <w:p w14:paraId="2F2646FE"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C - Diameter of fungal colony on PDA</w:t>
      </w:r>
    </w:p>
    <w:p w14:paraId="6A7E4095"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T - Diameter of the fungal colony on treated plates</w:t>
      </w:r>
    </w:p>
    <w:p w14:paraId="08808AD2" w14:textId="77777777" w:rsidR="000A434A" w:rsidRPr="000A434A" w:rsidRDefault="000A434A" w:rsidP="00DE66DC">
      <w:pPr>
        <w:ind w:left="720"/>
        <w:jc w:val="both"/>
        <w:rPr>
          <w:rFonts w:ascii="Times New Roman" w:hAnsi="Times New Roman" w:cs="Times New Roman"/>
          <w:sz w:val="24"/>
          <w:szCs w:val="24"/>
        </w:rPr>
      </w:pPr>
      <w:r w:rsidRPr="000A434A">
        <w:rPr>
          <w:rFonts w:ascii="Times New Roman" w:hAnsi="Times New Roman" w:cs="Times New Roman"/>
          <w:sz w:val="24"/>
          <w:szCs w:val="24"/>
        </w:rPr>
        <w:t>I -   Percentage inhibition</w:t>
      </w:r>
    </w:p>
    <w:p w14:paraId="465A42FA" w14:textId="28787399"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2</w:t>
      </w:r>
      <w:r w:rsidRPr="000A434A">
        <w:rPr>
          <w:rFonts w:ascii="Times New Roman" w:hAnsi="Times New Roman" w:cs="Times New Roman"/>
          <w:b/>
          <w:bCs/>
          <w:sz w:val="24"/>
          <w:szCs w:val="24"/>
        </w:rPr>
        <w:t xml:space="preserve">.4 Poisoned food technique </w:t>
      </w:r>
    </w:p>
    <w:p w14:paraId="0FC5BF83" w14:textId="4B56AF02" w:rsidR="000A434A" w:rsidRPr="000A434A" w:rsidRDefault="000A434A" w:rsidP="00DE66DC">
      <w:pPr>
        <w:ind w:firstLine="720"/>
        <w:jc w:val="both"/>
        <w:rPr>
          <w:rFonts w:ascii="Times New Roman" w:hAnsi="Times New Roman" w:cs="Times New Roman"/>
          <w:sz w:val="24"/>
          <w:szCs w:val="24"/>
        </w:rPr>
      </w:pPr>
      <w:r w:rsidRPr="000A434A">
        <w:rPr>
          <w:rFonts w:ascii="Times New Roman" w:hAnsi="Times New Roman" w:cs="Times New Roman"/>
          <w:sz w:val="24"/>
          <w:szCs w:val="24"/>
        </w:rPr>
        <w:t>The sterilized petri plates (90 mm) were poured with sterilized PDA agar medium and allowed to solidify. With the help of sterile pipette, 1000 ml of anti-fungal suspension was placed in the middle of the solidified plates and spread over the surface with the help of sterile spreader. one disc of the pathogen was placed at centre of petri plate. The inoculated plates were labelled and kept for incubation at room temperature (24°C). Zone of inhibition radius was recorded at 72, 120 and 144 hours of incubation.</w:t>
      </w:r>
    </w:p>
    <w:p w14:paraId="255E8294" w14:textId="3B5DEE89" w:rsidR="000A434A" w:rsidRPr="000A434A" w:rsidRDefault="000A434A" w:rsidP="000A434A">
      <w:pPr>
        <w:jc w:val="both"/>
        <w:rPr>
          <w:rFonts w:ascii="Times New Roman" w:hAnsi="Times New Roman" w:cs="Times New Roman"/>
          <w:b/>
          <w:bCs/>
          <w:sz w:val="24"/>
          <w:szCs w:val="24"/>
        </w:rPr>
      </w:pPr>
      <w:r>
        <w:rPr>
          <w:rFonts w:ascii="Times New Roman" w:hAnsi="Times New Roman" w:cs="Times New Roman"/>
          <w:b/>
          <w:bCs/>
          <w:sz w:val="24"/>
          <w:szCs w:val="24"/>
        </w:rPr>
        <w:t>3</w:t>
      </w:r>
      <w:r w:rsidRPr="000A434A">
        <w:rPr>
          <w:rFonts w:ascii="Times New Roman" w:hAnsi="Times New Roman" w:cs="Times New Roman"/>
          <w:b/>
          <w:bCs/>
          <w:sz w:val="24"/>
          <w:szCs w:val="24"/>
        </w:rPr>
        <w:t xml:space="preserve">. Results </w:t>
      </w:r>
      <w:r>
        <w:rPr>
          <w:rFonts w:ascii="Times New Roman" w:hAnsi="Times New Roman" w:cs="Times New Roman"/>
          <w:b/>
          <w:bCs/>
          <w:sz w:val="24"/>
          <w:szCs w:val="24"/>
        </w:rPr>
        <w:t>a</w:t>
      </w:r>
      <w:r w:rsidRPr="000A434A">
        <w:rPr>
          <w:rFonts w:ascii="Times New Roman" w:hAnsi="Times New Roman" w:cs="Times New Roman"/>
          <w:b/>
          <w:bCs/>
          <w:sz w:val="24"/>
          <w:szCs w:val="24"/>
        </w:rPr>
        <w:t>nd Discussion</w:t>
      </w:r>
    </w:p>
    <w:p w14:paraId="4EEFB9BF" w14:textId="77777777" w:rsidR="000A434A" w:rsidRPr="000A434A" w:rsidRDefault="000A434A" w:rsidP="000A434A">
      <w:pPr>
        <w:spacing w:after="200" w:line="276" w:lineRule="auto"/>
        <w:rPr>
          <w:rFonts w:ascii="Times New Roman" w:hAnsi="Times New Roman" w:cs="Times New Roman"/>
          <w:b/>
          <w:bCs/>
          <w:sz w:val="24"/>
          <w:szCs w:val="24"/>
          <w:lang w:val="en-US"/>
        </w:rPr>
      </w:pPr>
      <w:r w:rsidRPr="000A434A">
        <w:rPr>
          <w:rFonts w:ascii="Times New Roman" w:hAnsi="Times New Roman" w:cs="Times New Roman"/>
          <w:b/>
          <w:bCs/>
          <w:sz w:val="24"/>
          <w:szCs w:val="24"/>
          <w:lang w:val="en-US"/>
        </w:rPr>
        <w:t>3.1 Pathogen Isolation and Identification</w:t>
      </w:r>
    </w:p>
    <w:p w14:paraId="5DB5BB1D" w14:textId="77777777" w:rsidR="000A434A" w:rsidRPr="000A434A" w:rsidRDefault="000A434A" w:rsidP="00DE66DC">
      <w:pPr>
        <w:spacing w:after="200" w:line="276" w:lineRule="auto"/>
        <w:ind w:firstLine="720"/>
        <w:jc w:val="both"/>
        <w:rPr>
          <w:rFonts w:ascii="Times New Roman" w:hAnsi="Times New Roman" w:cs="Times New Roman"/>
          <w:sz w:val="24"/>
          <w:szCs w:val="24"/>
          <w:lang w:val="en-US"/>
        </w:rPr>
      </w:pPr>
      <w:proofErr w:type="spellStart"/>
      <w:r w:rsidRPr="000A434A">
        <w:rPr>
          <w:rFonts w:ascii="Times New Roman" w:hAnsi="Times New Roman" w:cs="Times New Roman"/>
          <w:i/>
          <w:iCs/>
          <w:sz w:val="24"/>
          <w:szCs w:val="24"/>
          <w:lang w:val="en-US"/>
        </w:rPr>
        <w:t>Fusculadium</w:t>
      </w:r>
      <w:proofErr w:type="spellEnd"/>
      <w:r w:rsidRPr="000A434A">
        <w:rPr>
          <w:rFonts w:ascii="Times New Roman" w:hAnsi="Times New Roman" w:cs="Times New Roman"/>
          <w:i/>
          <w:iCs/>
          <w:sz w:val="24"/>
          <w:szCs w:val="24"/>
          <w:lang w:val="en-US"/>
        </w:rPr>
        <w:t xml:space="preserve">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xml:space="preserve"> was isolated from fresh, infected leaves of Millettia pinnata collected from avenue plantations in selected villages of Mulugu Mandal. Infected leaf samples were incubated at 24°C, and mycelial growth with spores was observed after 5–7 days. The fungus was isolated from diseased leaves, transferred to Potato Dextrose Agar (PDA), and maintained as pure cultures following sufficient growth. Morphological characterization under a trinocular microscope confirmed the identity of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with spores exhibiting long, one- to two-</w:t>
      </w:r>
      <w:r w:rsidRPr="000A434A">
        <w:rPr>
          <w:rFonts w:ascii="Times New Roman" w:hAnsi="Times New Roman" w:cs="Times New Roman"/>
          <w:sz w:val="24"/>
          <w:szCs w:val="24"/>
          <w:lang w:val="en-US"/>
        </w:rPr>
        <w:lastRenderedPageBreak/>
        <w:t>celled, septate, and capsule-shaped morphology, consistent with observations from dissected leaf samples (Fig. 1a–c).</w:t>
      </w:r>
    </w:p>
    <w:p w14:paraId="1FD82280" w14:textId="77777777" w:rsidR="000A434A" w:rsidRPr="000A434A" w:rsidRDefault="000A434A" w:rsidP="00A02E05">
      <w:pPr>
        <w:spacing w:after="200" w:line="276" w:lineRule="auto"/>
        <w:jc w:val="both"/>
        <w:rPr>
          <w:rFonts w:ascii="Times New Roman" w:hAnsi="Times New Roman" w:cs="Times New Roman"/>
          <w:b/>
          <w:bCs/>
          <w:sz w:val="24"/>
          <w:szCs w:val="24"/>
          <w:lang w:val="en-US"/>
        </w:rPr>
      </w:pPr>
      <w:r w:rsidRPr="000A434A">
        <w:rPr>
          <w:rFonts w:ascii="Times New Roman" w:hAnsi="Times New Roman" w:cs="Times New Roman"/>
          <w:b/>
          <w:bCs/>
          <w:sz w:val="24"/>
          <w:szCs w:val="24"/>
          <w:lang w:val="en-US"/>
        </w:rPr>
        <w:t>3.2 Fungal Culture Purification</w:t>
      </w:r>
    </w:p>
    <w:p w14:paraId="41B04F9B" w14:textId="77777777" w:rsidR="000A434A" w:rsidRPr="000A434A" w:rsidRDefault="000A434A" w:rsidP="00DE66DC">
      <w:pPr>
        <w:spacing w:after="200" w:line="276" w:lineRule="auto"/>
        <w:ind w:firstLine="720"/>
        <w:jc w:val="both"/>
        <w:rPr>
          <w:rFonts w:ascii="Times New Roman" w:hAnsi="Times New Roman" w:cs="Times New Roman"/>
          <w:sz w:val="24"/>
          <w:szCs w:val="24"/>
          <w:lang w:val="en-US"/>
        </w:rPr>
      </w:pPr>
      <w:r w:rsidRPr="000A434A">
        <w:rPr>
          <w:rFonts w:ascii="Times New Roman" w:hAnsi="Times New Roman" w:cs="Times New Roman"/>
          <w:sz w:val="24"/>
          <w:szCs w:val="24"/>
          <w:lang w:val="en-US"/>
        </w:rPr>
        <w:t xml:space="preserve">Pure cultures of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xml:space="preserve"> were established by excising an 8-mm disc from the initial culture using a sterilized </w:t>
      </w:r>
      <w:proofErr w:type="spellStart"/>
      <w:r w:rsidRPr="000A434A">
        <w:rPr>
          <w:rFonts w:ascii="Times New Roman" w:hAnsi="Times New Roman" w:cs="Times New Roman"/>
          <w:sz w:val="24"/>
          <w:szCs w:val="24"/>
          <w:lang w:val="en-US"/>
        </w:rPr>
        <w:t>cork</w:t>
      </w:r>
      <w:proofErr w:type="spellEnd"/>
      <w:r w:rsidRPr="000A434A">
        <w:rPr>
          <w:rFonts w:ascii="Times New Roman" w:hAnsi="Times New Roman" w:cs="Times New Roman"/>
          <w:sz w:val="24"/>
          <w:szCs w:val="24"/>
          <w:lang w:val="en-US"/>
        </w:rPr>
        <w:t xml:space="preserve"> borer and transferring it to PDA. Petri plates were incubated in a BOD chamber at 24°C for 3–4 days, allowing the development of mycelial blocks and spores. Purified cultures were stored at 4°C to prevent excessive fungal growth and used for subsequent experiments.</w:t>
      </w:r>
    </w:p>
    <w:p w14:paraId="23EAD59C" w14:textId="77777777" w:rsidR="000A434A" w:rsidRPr="000A434A" w:rsidRDefault="000A434A" w:rsidP="00A02E05">
      <w:pPr>
        <w:spacing w:after="200" w:line="276" w:lineRule="auto"/>
        <w:jc w:val="both"/>
        <w:rPr>
          <w:rFonts w:ascii="Times New Roman" w:hAnsi="Times New Roman" w:cs="Times New Roman"/>
          <w:b/>
          <w:bCs/>
          <w:sz w:val="24"/>
          <w:szCs w:val="24"/>
          <w:lang w:val="en-US"/>
        </w:rPr>
      </w:pPr>
      <w:r w:rsidRPr="000A434A">
        <w:rPr>
          <w:rFonts w:ascii="Times New Roman" w:hAnsi="Times New Roman" w:cs="Times New Roman"/>
          <w:b/>
          <w:bCs/>
          <w:sz w:val="24"/>
          <w:szCs w:val="24"/>
          <w:lang w:val="en-US"/>
        </w:rPr>
        <w:t xml:space="preserve">3.3 Pathogenicity Test on </w:t>
      </w:r>
      <w:r w:rsidRPr="000A434A">
        <w:rPr>
          <w:rFonts w:ascii="Times New Roman" w:hAnsi="Times New Roman" w:cs="Times New Roman"/>
          <w:b/>
          <w:bCs/>
          <w:i/>
          <w:iCs/>
          <w:sz w:val="24"/>
          <w:szCs w:val="24"/>
          <w:lang w:val="en-US"/>
        </w:rPr>
        <w:t>Millettia pinnata</w:t>
      </w:r>
    </w:p>
    <w:p w14:paraId="03119585" w14:textId="7319AD58" w:rsidR="000A434A" w:rsidRPr="000A434A" w:rsidRDefault="000A434A" w:rsidP="00DE66DC">
      <w:pPr>
        <w:spacing w:after="200" w:line="276" w:lineRule="auto"/>
        <w:ind w:firstLine="720"/>
        <w:jc w:val="both"/>
        <w:rPr>
          <w:rFonts w:ascii="Times New Roman" w:hAnsi="Times New Roman" w:cs="Times New Roman"/>
          <w:sz w:val="24"/>
          <w:szCs w:val="24"/>
          <w:lang w:val="en-US"/>
        </w:rPr>
      </w:pPr>
      <w:r w:rsidRPr="000A434A">
        <w:rPr>
          <w:rFonts w:ascii="Times New Roman" w:hAnsi="Times New Roman" w:cs="Times New Roman"/>
          <w:sz w:val="24"/>
          <w:szCs w:val="24"/>
          <w:lang w:val="en-US"/>
        </w:rPr>
        <w:t xml:space="preserve">Pathogenicity of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xml:space="preserve"> was assessed through spray inoculation o</w:t>
      </w:r>
      <w:r w:rsidR="00A02E05">
        <w:rPr>
          <w:rFonts w:ascii="Times New Roman" w:hAnsi="Times New Roman" w:cs="Times New Roman"/>
          <w:sz w:val="24"/>
          <w:szCs w:val="24"/>
          <w:lang w:val="en-US"/>
        </w:rPr>
        <w:t>n</w:t>
      </w:r>
      <w:r w:rsidRPr="000A434A">
        <w:rPr>
          <w:rFonts w:ascii="Times New Roman" w:hAnsi="Times New Roman" w:cs="Times New Roman"/>
          <w:sz w:val="24"/>
          <w:szCs w:val="24"/>
          <w:lang w:val="en-US"/>
        </w:rPr>
        <w:t xml:space="preserve"> healthy </w:t>
      </w:r>
      <w:r w:rsidRPr="000A434A">
        <w:rPr>
          <w:rFonts w:ascii="Times New Roman" w:hAnsi="Times New Roman" w:cs="Times New Roman"/>
          <w:i/>
          <w:iCs/>
          <w:sz w:val="24"/>
          <w:szCs w:val="24"/>
          <w:lang w:val="en-US"/>
        </w:rPr>
        <w:t>M. pinnata</w:t>
      </w:r>
      <w:r w:rsidRPr="000A434A">
        <w:rPr>
          <w:rFonts w:ascii="Times New Roman" w:hAnsi="Times New Roman" w:cs="Times New Roman"/>
          <w:sz w:val="24"/>
          <w:szCs w:val="24"/>
          <w:lang w:val="en-US"/>
        </w:rPr>
        <w:t xml:space="preserve"> leaves with a conidial spore suspension. Within 2 days, yellow spots appeared on the adaxial leaf surface, progressing to necrotic patches </w:t>
      </w:r>
      <w:r w:rsidR="00A02E05">
        <w:rPr>
          <w:rFonts w:ascii="Times New Roman" w:hAnsi="Times New Roman" w:cs="Times New Roman"/>
          <w:sz w:val="24"/>
          <w:szCs w:val="24"/>
          <w:lang w:val="en-US"/>
        </w:rPr>
        <w:t>in 4-5 days</w:t>
      </w:r>
      <w:r w:rsidRPr="000A434A">
        <w:rPr>
          <w:rFonts w:ascii="Times New Roman" w:hAnsi="Times New Roman" w:cs="Times New Roman"/>
          <w:sz w:val="24"/>
          <w:szCs w:val="24"/>
          <w:lang w:val="en-US"/>
        </w:rPr>
        <w:t>. Brown lesions were observed on the abaxial surface</w:t>
      </w:r>
      <w:r w:rsidR="00A02E05">
        <w:rPr>
          <w:rFonts w:ascii="Times New Roman" w:hAnsi="Times New Roman" w:cs="Times New Roman"/>
          <w:sz w:val="24"/>
          <w:szCs w:val="24"/>
          <w:lang w:val="en-US"/>
        </w:rPr>
        <w:t xml:space="preserve"> on 7</w:t>
      </w:r>
      <w:r w:rsidR="00A02E05" w:rsidRPr="00A02E05">
        <w:rPr>
          <w:rFonts w:ascii="Times New Roman" w:hAnsi="Times New Roman" w:cs="Times New Roman"/>
          <w:sz w:val="24"/>
          <w:szCs w:val="24"/>
          <w:vertAlign w:val="superscript"/>
          <w:lang w:val="en-US"/>
        </w:rPr>
        <w:t>th</w:t>
      </w:r>
      <w:r w:rsidR="00A02E05">
        <w:rPr>
          <w:rFonts w:ascii="Times New Roman" w:hAnsi="Times New Roman" w:cs="Times New Roman"/>
          <w:sz w:val="24"/>
          <w:szCs w:val="24"/>
          <w:lang w:val="en-US"/>
        </w:rPr>
        <w:t xml:space="preserve"> day</w:t>
      </w:r>
      <w:r w:rsidRPr="000A434A">
        <w:rPr>
          <w:rFonts w:ascii="Times New Roman" w:hAnsi="Times New Roman" w:cs="Times New Roman"/>
          <w:sz w:val="24"/>
          <w:szCs w:val="24"/>
          <w:lang w:val="en-US"/>
        </w:rPr>
        <w:t xml:space="preserve">, </w:t>
      </w:r>
      <w:r w:rsidR="00A02E05">
        <w:rPr>
          <w:rFonts w:ascii="Times New Roman" w:hAnsi="Times New Roman" w:cs="Times New Roman"/>
          <w:sz w:val="24"/>
          <w:szCs w:val="24"/>
          <w:lang w:val="en-US"/>
        </w:rPr>
        <w:t xml:space="preserve">associated </w:t>
      </w:r>
      <w:r w:rsidRPr="000A434A">
        <w:rPr>
          <w:rFonts w:ascii="Times New Roman" w:hAnsi="Times New Roman" w:cs="Times New Roman"/>
          <w:sz w:val="24"/>
          <w:szCs w:val="24"/>
          <w:lang w:val="en-US"/>
        </w:rPr>
        <w:t xml:space="preserve">by leaf curling and conidial accumulation on </w:t>
      </w:r>
      <w:r w:rsidR="00A02E05">
        <w:rPr>
          <w:rFonts w:ascii="Times New Roman" w:hAnsi="Times New Roman" w:cs="Times New Roman"/>
          <w:sz w:val="24"/>
          <w:szCs w:val="24"/>
          <w:lang w:val="en-US"/>
        </w:rPr>
        <w:t>8</w:t>
      </w:r>
      <w:r w:rsidR="00A02E05" w:rsidRPr="00A02E05">
        <w:rPr>
          <w:rFonts w:ascii="Times New Roman" w:hAnsi="Times New Roman" w:cs="Times New Roman"/>
          <w:sz w:val="24"/>
          <w:szCs w:val="24"/>
          <w:vertAlign w:val="superscript"/>
          <w:lang w:val="en-US"/>
        </w:rPr>
        <w:t>th</w:t>
      </w:r>
      <w:r w:rsidR="00A02E05">
        <w:rPr>
          <w:rFonts w:ascii="Times New Roman" w:hAnsi="Times New Roman" w:cs="Times New Roman"/>
          <w:sz w:val="24"/>
          <w:szCs w:val="24"/>
          <w:lang w:val="en-US"/>
        </w:rPr>
        <w:t xml:space="preserve"> </w:t>
      </w:r>
      <w:r w:rsidRPr="000A434A">
        <w:rPr>
          <w:rFonts w:ascii="Times New Roman" w:hAnsi="Times New Roman" w:cs="Times New Roman"/>
          <w:sz w:val="24"/>
          <w:szCs w:val="24"/>
          <w:lang w:val="en-US"/>
        </w:rPr>
        <w:t xml:space="preserve">day. Control leaves, inoculated with water and Tween 20, showed no symptoms, confirming the specificity of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00A02E05">
        <w:rPr>
          <w:rFonts w:ascii="Times New Roman" w:hAnsi="Times New Roman" w:cs="Times New Roman"/>
          <w:sz w:val="24"/>
          <w:szCs w:val="24"/>
          <w:lang w:val="en-US"/>
        </w:rPr>
        <w:t xml:space="preserve"> </w:t>
      </w:r>
      <w:r w:rsidRPr="000A434A">
        <w:rPr>
          <w:rFonts w:ascii="Times New Roman" w:hAnsi="Times New Roman" w:cs="Times New Roman"/>
          <w:sz w:val="24"/>
          <w:szCs w:val="24"/>
          <w:lang w:val="en-US"/>
        </w:rPr>
        <w:t>induced symptoms. In a parallel experiment, conidial suspensions from infected leaves were sprayed onto healthy M. pinnata seedlings, resulting in small, scattered lesions on the abaxial surface after 2 weeks. These lesions expanded, turned brown, and indicated significant conidial production, consistent with previous reports (</w:t>
      </w:r>
      <w:proofErr w:type="spellStart"/>
      <w:r w:rsidRPr="000A434A">
        <w:rPr>
          <w:rFonts w:ascii="Times New Roman" w:hAnsi="Times New Roman" w:cs="Times New Roman"/>
          <w:sz w:val="24"/>
          <w:szCs w:val="24"/>
          <w:lang w:val="en-US"/>
        </w:rPr>
        <w:t>Dadwal</w:t>
      </w:r>
      <w:proofErr w:type="spellEnd"/>
      <w:r w:rsidRPr="000A434A">
        <w:rPr>
          <w:rFonts w:ascii="Times New Roman" w:hAnsi="Times New Roman" w:cs="Times New Roman"/>
          <w:sz w:val="24"/>
          <w:szCs w:val="24"/>
          <w:lang w:val="en-US"/>
        </w:rPr>
        <w:t xml:space="preserve"> and </w:t>
      </w:r>
      <w:proofErr w:type="spellStart"/>
      <w:r w:rsidRPr="000A434A">
        <w:rPr>
          <w:rFonts w:ascii="Times New Roman" w:hAnsi="Times New Roman" w:cs="Times New Roman"/>
          <w:sz w:val="24"/>
          <w:szCs w:val="24"/>
          <w:lang w:val="en-US"/>
        </w:rPr>
        <w:t>Soni</w:t>
      </w:r>
      <w:proofErr w:type="spellEnd"/>
      <w:r w:rsidRPr="000A434A">
        <w:rPr>
          <w:rFonts w:ascii="Times New Roman" w:hAnsi="Times New Roman" w:cs="Times New Roman"/>
          <w:sz w:val="24"/>
          <w:szCs w:val="24"/>
          <w:lang w:val="en-US"/>
        </w:rPr>
        <w:t>, 1981).</w:t>
      </w:r>
    </w:p>
    <w:p w14:paraId="54A1CC9B" w14:textId="77777777" w:rsidR="000A434A" w:rsidRPr="000A434A" w:rsidRDefault="000A434A" w:rsidP="00A02E05">
      <w:pPr>
        <w:spacing w:after="200" w:line="276" w:lineRule="auto"/>
        <w:jc w:val="both"/>
        <w:rPr>
          <w:rFonts w:ascii="Times New Roman" w:hAnsi="Times New Roman" w:cs="Times New Roman"/>
          <w:b/>
          <w:bCs/>
          <w:sz w:val="24"/>
          <w:szCs w:val="24"/>
          <w:lang w:val="en-US"/>
        </w:rPr>
      </w:pPr>
      <w:r w:rsidRPr="000A434A">
        <w:rPr>
          <w:rFonts w:ascii="Times New Roman" w:hAnsi="Times New Roman" w:cs="Times New Roman"/>
          <w:b/>
          <w:bCs/>
          <w:sz w:val="24"/>
          <w:szCs w:val="24"/>
          <w:lang w:val="en-US"/>
        </w:rPr>
        <w:t>3.4 Efficacy of Biocontrol Agents and Antifungal Compounds</w:t>
      </w:r>
    </w:p>
    <w:p w14:paraId="0CD941C7" w14:textId="2CA58C73" w:rsidR="00DE66DC" w:rsidRDefault="000A434A" w:rsidP="00DE66DC">
      <w:pPr>
        <w:spacing w:after="200" w:line="276" w:lineRule="auto"/>
        <w:ind w:firstLine="720"/>
        <w:jc w:val="both"/>
        <w:rPr>
          <w:rFonts w:ascii="Times New Roman" w:hAnsi="Times New Roman" w:cs="Times New Roman"/>
          <w:sz w:val="24"/>
          <w:szCs w:val="24"/>
          <w:lang w:val="en-US"/>
        </w:rPr>
      </w:pPr>
      <w:r w:rsidRPr="000A434A">
        <w:rPr>
          <w:rFonts w:ascii="Times New Roman" w:hAnsi="Times New Roman" w:cs="Times New Roman"/>
          <w:sz w:val="24"/>
          <w:szCs w:val="24"/>
          <w:lang w:val="en-US"/>
        </w:rPr>
        <w:t xml:space="preserve">The antagonistic activity of two biocontrol agents, </w:t>
      </w:r>
      <w:r w:rsidRPr="000A434A">
        <w:rPr>
          <w:rFonts w:ascii="Times New Roman" w:hAnsi="Times New Roman" w:cs="Times New Roman"/>
          <w:i/>
          <w:iCs/>
          <w:sz w:val="24"/>
          <w:szCs w:val="24"/>
          <w:lang w:val="en-US"/>
        </w:rPr>
        <w:t>Trichoderma viride</w:t>
      </w:r>
      <w:r w:rsidRPr="000A434A">
        <w:rPr>
          <w:rFonts w:ascii="Times New Roman" w:hAnsi="Times New Roman" w:cs="Times New Roman"/>
          <w:sz w:val="24"/>
          <w:szCs w:val="24"/>
          <w:lang w:val="en-US"/>
        </w:rPr>
        <w:t xml:space="preserve"> and </w:t>
      </w:r>
      <w:r w:rsidRPr="000A434A">
        <w:rPr>
          <w:rFonts w:ascii="Times New Roman" w:hAnsi="Times New Roman" w:cs="Times New Roman"/>
          <w:i/>
          <w:iCs/>
          <w:sz w:val="24"/>
          <w:szCs w:val="24"/>
          <w:lang w:val="en-US"/>
        </w:rPr>
        <w:t>Pseudomonas fluorescens</w:t>
      </w:r>
      <w:r w:rsidRPr="000A434A">
        <w:rPr>
          <w:rFonts w:ascii="Times New Roman" w:hAnsi="Times New Roman" w:cs="Times New Roman"/>
          <w:sz w:val="24"/>
          <w:szCs w:val="24"/>
          <w:lang w:val="en-US"/>
        </w:rPr>
        <w:t xml:space="preserve">, against </w:t>
      </w:r>
      <w:r w:rsidRPr="000A434A">
        <w:rPr>
          <w:rFonts w:ascii="Times New Roman" w:hAnsi="Times New Roman" w:cs="Times New Roman"/>
          <w:i/>
          <w:iCs/>
          <w:sz w:val="24"/>
          <w:szCs w:val="24"/>
          <w:lang w:val="en-US"/>
        </w:rPr>
        <w:t xml:space="preserve">F. </w:t>
      </w:r>
      <w:proofErr w:type="spellStart"/>
      <w:r w:rsidRPr="000A434A">
        <w:rPr>
          <w:rFonts w:ascii="Times New Roman" w:hAnsi="Times New Roman" w:cs="Times New Roman"/>
          <w:i/>
          <w:iCs/>
          <w:sz w:val="24"/>
          <w:szCs w:val="24"/>
          <w:lang w:val="en-US"/>
        </w:rPr>
        <w:t>pongamiae</w:t>
      </w:r>
      <w:proofErr w:type="spellEnd"/>
      <w:r w:rsidRPr="000A434A">
        <w:rPr>
          <w:rFonts w:ascii="Times New Roman" w:hAnsi="Times New Roman" w:cs="Times New Roman"/>
          <w:sz w:val="24"/>
          <w:szCs w:val="24"/>
          <w:lang w:val="en-US"/>
        </w:rPr>
        <w:t xml:space="preserve"> was evaluated in vitro using the dual culture technique. Both agents were co-cultured with the pathogen on PDA for 7 days, and the zone of inhibition was measured relative to a pathogen-only control. </w:t>
      </w:r>
      <w:r w:rsidRPr="000A434A">
        <w:rPr>
          <w:rFonts w:ascii="Times New Roman" w:hAnsi="Times New Roman" w:cs="Times New Roman"/>
          <w:i/>
          <w:iCs/>
          <w:sz w:val="24"/>
          <w:szCs w:val="24"/>
          <w:lang w:val="en-US"/>
        </w:rPr>
        <w:t>P. fluorescens</w:t>
      </w:r>
      <w:r w:rsidRPr="000A434A">
        <w:rPr>
          <w:rFonts w:ascii="Times New Roman" w:hAnsi="Times New Roman" w:cs="Times New Roman"/>
          <w:sz w:val="24"/>
          <w:szCs w:val="24"/>
          <w:lang w:val="en-US"/>
        </w:rPr>
        <w:t xml:space="preserve"> exhibited a higher inhibition of radial mycelial growth (68.46%) compared to </w:t>
      </w:r>
      <w:r w:rsidRPr="000A434A">
        <w:rPr>
          <w:rFonts w:ascii="Times New Roman" w:hAnsi="Times New Roman" w:cs="Times New Roman"/>
          <w:i/>
          <w:iCs/>
          <w:sz w:val="24"/>
          <w:szCs w:val="24"/>
          <w:lang w:val="en-US"/>
        </w:rPr>
        <w:t>T. viride</w:t>
      </w:r>
      <w:r w:rsidRPr="000A434A">
        <w:rPr>
          <w:rFonts w:ascii="Times New Roman" w:hAnsi="Times New Roman" w:cs="Times New Roman"/>
          <w:sz w:val="24"/>
          <w:szCs w:val="24"/>
          <w:lang w:val="en-US"/>
        </w:rPr>
        <w:t xml:space="preserve"> (53.79%) (p &lt; 0.05). When both biocontrol agents were combined in a triangular arrangement with the pathogen, the inhibition rate was 61.46%.</w:t>
      </w:r>
      <w:r w:rsidR="00A02E05">
        <w:rPr>
          <w:rFonts w:ascii="Times New Roman" w:hAnsi="Times New Roman" w:cs="Times New Roman"/>
          <w:sz w:val="24"/>
          <w:szCs w:val="24"/>
          <w:lang w:val="en-US"/>
        </w:rPr>
        <w:t xml:space="preserve"> </w:t>
      </w:r>
      <w:r w:rsidRPr="000A434A">
        <w:rPr>
          <w:rFonts w:ascii="Times New Roman" w:hAnsi="Times New Roman" w:cs="Times New Roman"/>
          <w:sz w:val="24"/>
          <w:szCs w:val="24"/>
          <w:lang w:val="en-US"/>
        </w:rPr>
        <w:t xml:space="preserve">Antifungal efficacy was </w:t>
      </w:r>
      <w:r w:rsidR="00A02E05">
        <w:rPr>
          <w:rFonts w:ascii="Times New Roman" w:hAnsi="Times New Roman" w:cs="Times New Roman"/>
          <w:sz w:val="24"/>
          <w:szCs w:val="24"/>
          <w:lang w:val="en-US"/>
        </w:rPr>
        <w:t xml:space="preserve">also </w:t>
      </w:r>
      <w:r w:rsidRPr="000A434A">
        <w:rPr>
          <w:rFonts w:ascii="Times New Roman" w:hAnsi="Times New Roman" w:cs="Times New Roman"/>
          <w:sz w:val="24"/>
          <w:szCs w:val="24"/>
          <w:lang w:val="en-US"/>
        </w:rPr>
        <w:t xml:space="preserve">assessed using the poison food technique, with PDA </w:t>
      </w:r>
      <w:r w:rsidR="00A02E05">
        <w:rPr>
          <w:rFonts w:ascii="Times New Roman" w:hAnsi="Times New Roman" w:cs="Times New Roman"/>
          <w:sz w:val="24"/>
          <w:szCs w:val="24"/>
          <w:lang w:val="en-US"/>
        </w:rPr>
        <w:t>added</w:t>
      </w:r>
      <w:r w:rsidRPr="000A434A">
        <w:rPr>
          <w:rFonts w:ascii="Times New Roman" w:hAnsi="Times New Roman" w:cs="Times New Roman"/>
          <w:sz w:val="24"/>
          <w:szCs w:val="24"/>
          <w:lang w:val="en-US"/>
        </w:rPr>
        <w:t xml:space="preserve"> with 5% </w:t>
      </w:r>
      <w:proofErr w:type="spellStart"/>
      <w:r w:rsidRPr="000A434A">
        <w:rPr>
          <w:rFonts w:ascii="Times New Roman" w:hAnsi="Times New Roman" w:cs="Times New Roman"/>
          <w:sz w:val="24"/>
          <w:szCs w:val="24"/>
          <w:lang w:val="en-US"/>
        </w:rPr>
        <w:t>Pongam</w:t>
      </w:r>
      <w:proofErr w:type="spellEnd"/>
      <w:r w:rsidRPr="000A434A">
        <w:rPr>
          <w:rFonts w:ascii="Times New Roman" w:hAnsi="Times New Roman" w:cs="Times New Roman"/>
          <w:sz w:val="24"/>
          <w:szCs w:val="24"/>
          <w:lang w:val="en-US"/>
        </w:rPr>
        <w:t xml:space="preserve"> oil </w:t>
      </w:r>
      <w:r w:rsidR="00A02E05">
        <w:rPr>
          <w:rFonts w:ascii="Times New Roman" w:hAnsi="Times New Roman" w:cs="Times New Roman"/>
          <w:sz w:val="24"/>
          <w:szCs w:val="24"/>
          <w:lang w:val="en-US"/>
        </w:rPr>
        <w:t>and</w:t>
      </w:r>
      <w:r w:rsidRPr="000A434A">
        <w:rPr>
          <w:rFonts w:ascii="Times New Roman" w:hAnsi="Times New Roman" w:cs="Times New Roman"/>
          <w:sz w:val="24"/>
          <w:szCs w:val="24"/>
          <w:lang w:val="en-US"/>
        </w:rPr>
        <w:t xml:space="preserve"> 0.1% Carbendazim. Carbendazim exhibited the highest inhibition (83.82%), followed by </w:t>
      </w:r>
      <w:r w:rsidRPr="000A434A">
        <w:rPr>
          <w:rFonts w:ascii="Times New Roman" w:hAnsi="Times New Roman" w:cs="Times New Roman"/>
          <w:i/>
          <w:iCs/>
          <w:sz w:val="24"/>
          <w:szCs w:val="24"/>
          <w:lang w:val="en-US"/>
        </w:rPr>
        <w:t>P. fluorescens</w:t>
      </w:r>
      <w:r w:rsidRPr="000A434A">
        <w:rPr>
          <w:rFonts w:ascii="Times New Roman" w:hAnsi="Times New Roman" w:cs="Times New Roman"/>
          <w:sz w:val="24"/>
          <w:szCs w:val="24"/>
          <w:lang w:val="en-US"/>
        </w:rPr>
        <w:t xml:space="preserve"> alone, while </w:t>
      </w:r>
      <w:proofErr w:type="spellStart"/>
      <w:r w:rsidRPr="000A434A">
        <w:rPr>
          <w:rFonts w:ascii="Times New Roman" w:hAnsi="Times New Roman" w:cs="Times New Roman"/>
          <w:sz w:val="24"/>
          <w:szCs w:val="24"/>
          <w:lang w:val="en-US"/>
        </w:rPr>
        <w:t>Pongam</w:t>
      </w:r>
      <w:proofErr w:type="spellEnd"/>
      <w:r w:rsidRPr="000A434A">
        <w:rPr>
          <w:rFonts w:ascii="Times New Roman" w:hAnsi="Times New Roman" w:cs="Times New Roman"/>
          <w:sz w:val="24"/>
          <w:szCs w:val="24"/>
          <w:lang w:val="en-US"/>
        </w:rPr>
        <w:t xml:space="preserve"> oil resulted in 41.28% inhibition</w:t>
      </w:r>
      <w:r w:rsidR="00DE66DC">
        <w:rPr>
          <w:rFonts w:ascii="Times New Roman" w:hAnsi="Times New Roman" w:cs="Times New Roman"/>
          <w:sz w:val="24"/>
          <w:szCs w:val="24"/>
          <w:lang w:val="en-US"/>
        </w:rPr>
        <w:t xml:space="preserve"> (Table 2</w:t>
      </w:r>
      <w:r w:rsidR="003E487E">
        <w:rPr>
          <w:rFonts w:ascii="Times New Roman" w:hAnsi="Times New Roman" w:cs="Times New Roman"/>
          <w:sz w:val="24"/>
          <w:szCs w:val="24"/>
          <w:lang w:val="en-US"/>
        </w:rPr>
        <w:t xml:space="preserve"> &amp; Figure </w:t>
      </w:r>
      <w:r w:rsidR="00C6194C">
        <w:rPr>
          <w:rFonts w:ascii="Times New Roman" w:hAnsi="Times New Roman" w:cs="Times New Roman"/>
          <w:sz w:val="24"/>
          <w:szCs w:val="24"/>
          <w:lang w:val="en-US"/>
        </w:rPr>
        <w:t xml:space="preserve">3, </w:t>
      </w:r>
      <w:r w:rsidR="00C206A1">
        <w:rPr>
          <w:rFonts w:ascii="Times New Roman" w:hAnsi="Times New Roman" w:cs="Times New Roman"/>
          <w:sz w:val="24"/>
          <w:szCs w:val="24"/>
          <w:lang w:val="en-US"/>
        </w:rPr>
        <w:t>4</w:t>
      </w:r>
      <w:r w:rsidR="00DE66DC">
        <w:rPr>
          <w:rFonts w:ascii="Times New Roman" w:hAnsi="Times New Roman" w:cs="Times New Roman"/>
          <w:sz w:val="24"/>
          <w:szCs w:val="24"/>
          <w:lang w:val="en-US"/>
        </w:rPr>
        <w:t>)</w:t>
      </w:r>
      <w:r w:rsidRPr="000A434A">
        <w:rPr>
          <w:rFonts w:ascii="Times New Roman" w:hAnsi="Times New Roman" w:cs="Times New Roman"/>
          <w:sz w:val="24"/>
          <w:szCs w:val="24"/>
          <w:lang w:val="en-US"/>
        </w:rPr>
        <w:t xml:space="preserve">. Control treatments showed no inhibition. </w:t>
      </w:r>
    </w:p>
    <w:p w14:paraId="6A3D3F7F" w14:textId="77777777" w:rsidR="001602E3" w:rsidRDefault="001602E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D2BADFF" w14:textId="51E8C793" w:rsidR="00DE66DC" w:rsidRDefault="00DE66DC" w:rsidP="002F06C3">
      <w:pPr>
        <w:spacing w:after="200" w:line="276" w:lineRule="auto"/>
        <w:ind w:firstLine="720"/>
        <w:jc w:val="both"/>
        <w:rPr>
          <w:rFonts w:ascii="Times New Roman" w:hAnsi="Times New Roman" w:cs="Times New Roman"/>
          <w:i/>
          <w:iCs/>
        </w:rPr>
      </w:pPr>
      <w:r>
        <w:rPr>
          <w:rFonts w:ascii="Times New Roman" w:hAnsi="Times New Roman" w:cs="Times New Roman"/>
          <w:sz w:val="24"/>
          <w:szCs w:val="24"/>
        </w:rPr>
        <w:lastRenderedPageBreak/>
        <w:t xml:space="preserve">Table 2: </w:t>
      </w:r>
      <w:r w:rsidRPr="00DE66DC">
        <w:rPr>
          <w:rFonts w:ascii="Times New Roman" w:hAnsi="Times New Roman" w:cs="Times New Roman"/>
          <w:i/>
          <w:iCs/>
        </w:rPr>
        <w:t>In vitro</w:t>
      </w:r>
      <w:r w:rsidRPr="00DE66DC">
        <w:rPr>
          <w:rFonts w:ascii="Times New Roman" w:hAnsi="Times New Roman" w:cs="Times New Roman"/>
        </w:rPr>
        <w:t xml:space="preserve"> evaluation of biocontrol agents and antifungal treatments against </w:t>
      </w:r>
      <w:proofErr w:type="spellStart"/>
      <w:r w:rsidRPr="00DE66DC">
        <w:rPr>
          <w:rFonts w:ascii="Times New Roman" w:hAnsi="Times New Roman" w:cs="Times New Roman"/>
          <w:i/>
          <w:iCs/>
        </w:rPr>
        <w:t>Fusicladium</w:t>
      </w:r>
      <w:proofErr w:type="spellEnd"/>
      <w:r w:rsidRPr="00DE66DC">
        <w:rPr>
          <w:rFonts w:ascii="Times New Roman" w:hAnsi="Times New Roman" w:cs="Times New Roman"/>
          <w:i/>
          <w:iCs/>
        </w:rPr>
        <w:t xml:space="preserve"> </w:t>
      </w:r>
      <w:proofErr w:type="spellStart"/>
      <w:r w:rsidRPr="00DE66DC">
        <w:rPr>
          <w:rFonts w:ascii="Times New Roman" w:hAnsi="Times New Roman" w:cs="Times New Roman"/>
          <w:i/>
          <w:iCs/>
        </w:rPr>
        <w:t>pongamiae</w:t>
      </w:r>
      <w:proofErr w:type="spellEnd"/>
    </w:p>
    <w:tbl>
      <w:tblPr>
        <w:tblW w:w="5000" w:type="pct"/>
        <w:tblLook w:val="04A0" w:firstRow="1" w:lastRow="0" w:firstColumn="1" w:lastColumn="0" w:noHBand="0" w:noVBand="1"/>
      </w:tblPr>
      <w:tblGrid>
        <w:gridCol w:w="1686"/>
        <w:gridCol w:w="2641"/>
        <w:gridCol w:w="2517"/>
        <w:gridCol w:w="2506"/>
      </w:tblGrid>
      <w:tr w:rsidR="00DE66DC" w:rsidRPr="00DE66DC" w14:paraId="2370ED0F" w14:textId="77777777" w:rsidTr="00DE66DC">
        <w:trPr>
          <w:trHeight w:val="290"/>
        </w:trPr>
        <w:tc>
          <w:tcPr>
            <w:tcW w:w="870" w:type="pct"/>
            <w:tcBorders>
              <w:top w:val="single" w:sz="4" w:space="0" w:color="auto"/>
              <w:left w:val="single" w:sz="4" w:space="0" w:color="auto"/>
              <w:bottom w:val="single" w:sz="4" w:space="0" w:color="auto"/>
              <w:right w:val="single" w:sz="4" w:space="0" w:color="auto"/>
            </w:tcBorders>
            <w:noWrap/>
            <w:vAlign w:val="bottom"/>
            <w:hideMark/>
          </w:tcPr>
          <w:p w14:paraId="718EAC6E" w14:textId="77777777" w:rsidR="00DE66DC" w:rsidRPr="00DE66DC" w:rsidRDefault="00DE66DC" w:rsidP="00DE66DC">
            <w:pPr>
              <w:spacing w:after="0" w:line="240" w:lineRule="auto"/>
              <w:rPr>
                <w:rFonts w:ascii="Times New Roman" w:eastAsia="Times New Roman" w:hAnsi="Times New Roman" w:cs="Times New Roman"/>
                <w:b/>
                <w:bCs/>
                <w:color w:val="000000"/>
                <w:kern w:val="0"/>
                <w:sz w:val="24"/>
                <w:szCs w:val="24"/>
                <w:lang w:val="en-US"/>
                <w14:ligatures w14:val="none"/>
              </w:rPr>
            </w:pPr>
            <w:r w:rsidRPr="00DE66DC">
              <w:rPr>
                <w:rFonts w:ascii="Times New Roman" w:eastAsia="Times New Roman" w:hAnsi="Times New Roman" w:cs="Times New Roman"/>
                <w:b/>
                <w:bCs/>
                <w:color w:val="000000"/>
                <w:kern w:val="0"/>
                <w:sz w:val="24"/>
                <w:szCs w:val="24"/>
                <w:lang w:val="en-US"/>
                <w14:ligatures w14:val="none"/>
              </w:rPr>
              <w:t>Treatment No.</w:t>
            </w:r>
          </w:p>
        </w:tc>
        <w:tc>
          <w:tcPr>
            <w:tcW w:w="1573" w:type="pct"/>
            <w:tcBorders>
              <w:top w:val="single" w:sz="4" w:space="0" w:color="auto"/>
              <w:left w:val="nil"/>
              <w:bottom w:val="single" w:sz="4" w:space="0" w:color="auto"/>
              <w:right w:val="single" w:sz="4" w:space="0" w:color="auto"/>
            </w:tcBorders>
            <w:noWrap/>
            <w:vAlign w:val="bottom"/>
            <w:hideMark/>
          </w:tcPr>
          <w:p w14:paraId="0979EBE1" w14:textId="77777777" w:rsidR="00DE66DC" w:rsidRPr="00DE66DC" w:rsidRDefault="00DE66DC" w:rsidP="00DE66DC">
            <w:pPr>
              <w:spacing w:after="0" w:line="240" w:lineRule="auto"/>
              <w:rPr>
                <w:rFonts w:ascii="Times New Roman" w:eastAsia="Times New Roman" w:hAnsi="Times New Roman" w:cs="Times New Roman"/>
                <w:b/>
                <w:bCs/>
                <w:color w:val="000000"/>
                <w:kern w:val="0"/>
                <w:sz w:val="24"/>
                <w:szCs w:val="24"/>
                <w:lang w:val="en-US"/>
                <w14:ligatures w14:val="none"/>
              </w:rPr>
            </w:pPr>
            <w:r w:rsidRPr="00DE66DC">
              <w:rPr>
                <w:rFonts w:ascii="Times New Roman" w:eastAsia="Times New Roman" w:hAnsi="Times New Roman" w:cs="Times New Roman"/>
                <w:b/>
                <w:bCs/>
                <w:color w:val="000000"/>
                <w:kern w:val="0"/>
                <w:sz w:val="24"/>
                <w:szCs w:val="24"/>
                <w:lang w:val="en-US"/>
                <w14:ligatures w14:val="none"/>
              </w:rPr>
              <w:t>Treatment Details</w:t>
            </w:r>
          </w:p>
        </w:tc>
        <w:tc>
          <w:tcPr>
            <w:tcW w:w="1304" w:type="pct"/>
            <w:tcBorders>
              <w:top w:val="single" w:sz="4" w:space="0" w:color="auto"/>
              <w:left w:val="nil"/>
              <w:bottom w:val="single" w:sz="4" w:space="0" w:color="auto"/>
              <w:right w:val="single" w:sz="4" w:space="0" w:color="auto"/>
            </w:tcBorders>
            <w:noWrap/>
            <w:vAlign w:val="bottom"/>
            <w:hideMark/>
          </w:tcPr>
          <w:p w14:paraId="255ACA37" w14:textId="77777777" w:rsidR="00DE66DC" w:rsidRPr="00DE66DC" w:rsidRDefault="00DE66DC" w:rsidP="00DE66DC">
            <w:pPr>
              <w:spacing w:after="0" w:line="240" w:lineRule="auto"/>
              <w:rPr>
                <w:rFonts w:ascii="Times New Roman" w:eastAsia="Times New Roman" w:hAnsi="Times New Roman" w:cs="Times New Roman"/>
                <w:b/>
                <w:bCs/>
                <w:color w:val="000000"/>
                <w:kern w:val="0"/>
                <w:sz w:val="24"/>
                <w:szCs w:val="24"/>
                <w:lang w:val="en-US"/>
                <w14:ligatures w14:val="none"/>
              </w:rPr>
            </w:pPr>
            <w:r w:rsidRPr="00DE66DC">
              <w:rPr>
                <w:rFonts w:ascii="Times New Roman" w:eastAsia="Times New Roman" w:hAnsi="Times New Roman" w:cs="Times New Roman"/>
                <w:b/>
                <w:bCs/>
                <w:color w:val="000000"/>
                <w:kern w:val="0"/>
                <w:sz w:val="24"/>
                <w:szCs w:val="24"/>
                <w:lang w:val="en-US"/>
                <w14:ligatures w14:val="none"/>
              </w:rPr>
              <w:t>Mycelial Growth (mm)</w:t>
            </w:r>
          </w:p>
        </w:tc>
        <w:tc>
          <w:tcPr>
            <w:tcW w:w="1253" w:type="pct"/>
            <w:tcBorders>
              <w:top w:val="single" w:sz="4" w:space="0" w:color="auto"/>
              <w:left w:val="nil"/>
              <w:bottom w:val="single" w:sz="4" w:space="0" w:color="auto"/>
              <w:right w:val="single" w:sz="4" w:space="0" w:color="auto"/>
            </w:tcBorders>
            <w:noWrap/>
            <w:vAlign w:val="bottom"/>
            <w:hideMark/>
          </w:tcPr>
          <w:p w14:paraId="270C71A7" w14:textId="77777777" w:rsidR="00DE66DC" w:rsidRPr="00DE66DC" w:rsidRDefault="00DE66DC" w:rsidP="00DE66DC">
            <w:pPr>
              <w:spacing w:after="0" w:line="240" w:lineRule="auto"/>
              <w:rPr>
                <w:rFonts w:ascii="Times New Roman" w:eastAsia="Times New Roman" w:hAnsi="Times New Roman" w:cs="Times New Roman"/>
                <w:b/>
                <w:bCs/>
                <w:color w:val="000000"/>
                <w:kern w:val="0"/>
                <w:sz w:val="24"/>
                <w:szCs w:val="24"/>
                <w:lang w:val="en-US"/>
                <w14:ligatures w14:val="none"/>
              </w:rPr>
            </w:pPr>
            <w:r w:rsidRPr="00DE66DC">
              <w:rPr>
                <w:rFonts w:ascii="Times New Roman" w:eastAsia="Times New Roman" w:hAnsi="Times New Roman" w:cs="Times New Roman"/>
                <w:b/>
                <w:bCs/>
                <w:color w:val="000000"/>
                <w:kern w:val="0"/>
                <w:sz w:val="24"/>
                <w:szCs w:val="24"/>
                <w:lang w:val="en-US"/>
                <w14:ligatures w14:val="none"/>
              </w:rPr>
              <w:t>Growth Inhibition (%)</w:t>
            </w:r>
          </w:p>
        </w:tc>
      </w:tr>
      <w:tr w:rsidR="00DE66DC" w:rsidRPr="00DE66DC" w14:paraId="5949BCEB"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3E4326AD"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T₁</w:t>
            </w:r>
          </w:p>
        </w:tc>
        <w:tc>
          <w:tcPr>
            <w:tcW w:w="1573" w:type="pct"/>
            <w:tcBorders>
              <w:top w:val="nil"/>
              <w:left w:val="nil"/>
              <w:bottom w:val="single" w:sz="4" w:space="0" w:color="auto"/>
              <w:right w:val="single" w:sz="4" w:space="0" w:color="auto"/>
            </w:tcBorders>
            <w:noWrap/>
            <w:vAlign w:val="bottom"/>
            <w:hideMark/>
          </w:tcPr>
          <w:p w14:paraId="312F869A" w14:textId="77777777" w:rsidR="00DE66DC" w:rsidRPr="00DE66DC" w:rsidRDefault="00DE66DC" w:rsidP="00DE66DC">
            <w:pPr>
              <w:spacing w:after="0" w:line="240" w:lineRule="auto"/>
              <w:rPr>
                <w:rFonts w:ascii="Times New Roman" w:eastAsia="Times New Roman" w:hAnsi="Times New Roman" w:cs="Times New Roman"/>
                <w:i/>
                <w:iCs/>
                <w:color w:val="000000"/>
                <w:kern w:val="0"/>
                <w:sz w:val="24"/>
                <w:szCs w:val="24"/>
                <w:lang w:val="en-US"/>
                <w14:ligatures w14:val="none"/>
              </w:rPr>
            </w:pPr>
            <w:r w:rsidRPr="00DE66DC">
              <w:rPr>
                <w:rFonts w:ascii="Times New Roman" w:eastAsia="Times New Roman" w:hAnsi="Times New Roman" w:cs="Times New Roman"/>
                <w:i/>
                <w:iCs/>
                <w:color w:val="000000"/>
                <w:kern w:val="0"/>
                <w:sz w:val="24"/>
                <w:szCs w:val="24"/>
                <w:lang w:val="en-US"/>
                <w14:ligatures w14:val="none"/>
              </w:rPr>
              <w:t>Trichoderma viride</w:t>
            </w:r>
          </w:p>
        </w:tc>
        <w:tc>
          <w:tcPr>
            <w:tcW w:w="1304" w:type="pct"/>
            <w:tcBorders>
              <w:top w:val="nil"/>
              <w:left w:val="nil"/>
              <w:bottom w:val="single" w:sz="4" w:space="0" w:color="auto"/>
              <w:right w:val="single" w:sz="4" w:space="0" w:color="auto"/>
            </w:tcBorders>
            <w:noWrap/>
            <w:vAlign w:val="bottom"/>
            <w:hideMark/>
          </w:tcPr>
          <w:p w14:paraId="074B8DED"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33.70 ± 1.69</w:t>
            </w:r>
          </w:p>
        </w:tc>
        <w:tc>
          <w:tcPr>
            <w:tcW w:w="1253" w:type="pct"/>
            <w:tcBorders>
              <w:top w:val="nil"/>
              <w:left w:val="nil"/>
              <w:bottom w:val="single" w:sz="4" w:space="0" w:color="auto"/>
              <w:right w:val="single" w:sz="4" w:space="0" w:color="auto"/>
            </w:tcBorders>
            <w:noWrap/>
            <w:vAlign w:val="bottom"/>
            <w:hideMark/>
          </w:tcPr>
          <w:p w14:paraId="7890779D"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53.79 ± 1.20</w:t>
            </w:r>
          </w:p>
        </w:tc>
      </w:tr>
      <w:tr w:rsidR="00DE66DC" w:rsidRPr="00DE66DC" w14:paraId="7BF2B8C5"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7CE15903"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T₂</w:t>
            </w:r>
          </w:p>
        </w:tc>
        <w:tc>
          <w:tcPr>
            <w:tcW w:w="1573" w:type="pct"/>
            <w:tcBorders>
              <w:top w:val="nil"/>
              <w:left w:val="nil"/>
              <w:bottom w:val="single" w:sz="4" w:space="0" w:color="auto"/>
              <w:right w:val="single" w:sz="4" w:space="0" w:color="auto"/>
            </w:tcBorders>
            <w:noWrap/>
            <w:vAlign w:val="bottom"/>
            <w:hideMark/>
          </w:tcPr>
          <w:p w14:paraId="6C20B987" w14:textId="77777777" w:rsidR="00DE66DC" w:rsidRPr="00DE66DC" w:rsidRDefault="00DE66DC" w:rsidP="00DE66DC">
            <w:pPr>
              <w:spacing w:after="0" w:line="240" w:lineRule="auto"/>
              <w:rPr>
                <w:rFonts w:ascii="Times New Roman" w:eastAsia="Times New Roman" w:hAnsi="Times New Roman" w:cs="Times New Roman"/>
                <w:i/>
                <w:iCs/>
                <w:color w:val="000000"/>
                <w:kern w:val="0"/>
                <w:sz w:val="24"/>
                <w:szCs w:val="24"/>
                <w:lang w:val="en-US"/>
                <w14:ligatures w14:val="none"/>
              </w:rPr>
            </w:pPr>
            <w:r w:rsidRPr="00DE66DC">
              <w:rPr>
                <w:rFonts w:ascii="Times New Roman" w:eastAsia="Times New Roman" w:hAnsi="Times New Roman" w:cs="Times New Roman"/>
                <w:i/>
                <w:iCs/>
                <w:color w:val="000000"/>
                <w:kern w:val="0"/>
                <w:sz w:val="24"/>
                <w:szCs w:val="24"/>
                <w:lang w:val="en-US"/>
                <w14:ligatures w14:val="none"/>
              </w:rPr>
              <w:t>Pseudomonas fluorescens</w:t>
            </w:r>
          </w:p>
        </w:tc>
        <w:tc>
          <w:tcPr>
            <w:tcW w:w="1304" w:type="pct"/>
            <w:tcBorders>
              <w:top w:val="nil"/>
              <w:left w:val="nil"/>
              <w:bottom w:val="single" w:sz="4" w:space="0" w:color="auto"/>
              <w:right w:val="single" w:sz="4" w:space="0" w:color="auto"/>
            </w:tcBorders>
            <w:noWrap/>
            <w:vAlign w:val="bottom"/>
            <w:hideMark/>
          </w:tcPr>
          <w:p w14:paraId="3E7A708C"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23.00 ± 1.69</w:t>
            </w:r>
          </w:p>
        </w:tc>
        <w:tc>
          <w:tcPr>
            <w:tcW w:w="1253" w:type="pct"/>
            <w:tcBorders>
              <w:top w:val="nil"/>
              <w:left w:val="nil"/>
              <w:bottom w:val="single" w:sz="4" w:space="0" w:color="auto"/>
              <w:right w:val="single" w:sz="4" w:space="0" w:color="auto"/>
            </w:tcBorders>
            <w:noWrap/>
            <w:vAlign w:val="bottom"/>
            <w:hideMark/>
          </w:tcPr>
          <w:p w14:paraId="7A3C721D"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68.46 ± 1.20</w:t>
            </w:r>
          </w:p>
        </w:tc>
      </w:tr>
      <w:tr w:rsidR="00DE66DC" w:rsidRPr="00DE66DC" w14:paraId="31004670"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29A74FAF"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T₃</w:t>
            </w:r>
          </w:p>
        </w:tc>
        <w:tc>
          <w:tcPr>
            <w:tcW w:w="1573" w:type="pct"/>
            <w:tcBorders>
              <w:top w:val="nil"/>
              <w:left w:val="nil"/>
              <w:bottom w:val="single" w:sz="4" w:space="0" w:color="auto"/>
              <w:right w:val="single" w:sz="4" w:space="0" w:color="auto"/>
            </w:tcBorders>
            <w:noWrap/>
            <w:vAlign w:val="bottom"/>
            <w:hideMark/>
          </w:tcPr>
          <w:p w14:paraId="12A8B8A1" w14:textId="77777777" w:rsidR="00DE66DC" w:rsidRPr="00DE66DC" w:rsidRDefault="00DE66DC" w:rsidP="00DE66DC">
            <w:pPr>
              <w:spacing w:after="0" w:line="240" w:lineRule="auto"/>
              <w:rPr>
                <w:rFonts w:ascii="Times New Roman" w:eastAsia="Times New Roman" w:hAnsi="Times New Roman" w:cs="Times New Roman"/>
                <w:i/>
                <w:iCs/>
                <w:color w:val="000000"/>
                <w:kern w:val="0"/>
                <w:sz w:val="24"/>
                <w:szCs w:val="24"/>
                <w:lang w:val="en-US"/>
                <w14:ligatures w14:val="none"/>
              </w:rPr>
            </w:pPr>
            <w:r w:rsidRPr="00DE66DC">
              <w:rPr>
                <w:rFonts w:ascii="Times New Roman" w:eastAsia="Times New Roman" w:hAnsi="Times New Roman" w:cs="Times New Roman"/>
                <w:i/>
                <w:iCs/>
                <w:color w:val="000000"/>
                <w:kern w:val="0"/>
                <w:sz w:val="24"/>
                <w:szCs w:val="24"/>
                <w:lang w:val="en-US"/>
                <w14:ligatures w14:val="none"/>
              </w:rPr>
              <w:t>T. viride + P. fluorescens</w:t>
            </w:r>
          </w:p>
        </w:tc>
        <w:tc>
          <w:tcPr>
            <w:tcW w:w="1304" w:type="pct"/>
            <w:tcBorders>
              <w:top w:val="nil"/>
              <w:left w:val="nil"/>
              <w:bottom w:val="single" w:sz="4" w:space="0" w:color="auto"/>
              <w:right w:val="single" w:sz="4" w:space="0" w:color="auto"/>
            </w:tcBorders>
            <w:noWrap/>
            <w:vAlign w:val="bottom"/>
            <w:hideMark/>
          </w:tcPr>
          <w:p w14:paraId="6DBFB9F9"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28.10 ± 1.69</w:t>
            </w:r>
          </w:p>
        </w:tc>
        <w:tc>
          <w:tcPr>
            <w:tcW w:w="1253" w:type="pct"/>
            <w:tcBorders>
              <w:top w:val="nil"/>
              <w:left w:val="nil"/>
              <w:bottom w:val="single" w:sz="4" w:space="0" w:color="auto"/>
              <w:right w:val="single" w:sz="4" w:space="0" w:color="auto"/>
            </w:tcBorders>
            <w:noWrap/>
            <w:vAlign w:val="bottom"/>
            <w:hideMark/>
          </w:tcPr>
          <w:p w14:paraId="6F4E7C37"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61.46 ± 1.20</w:t>
            </w:r>
          </w:p>
        </w:tc>
      </w:tr>
      <w:tr w:rsidR="00DE66DC" w:rsidRPr="00DE66DC" w14:paraId="2EB4EC91"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729B0549"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T₄</w:t>
            </w:r>
          </w:p>
        </w:tc>
        <w:tc>
          <w:tcPr>
            <w:tcW w:w="1573" w:type="pct"/>
            <w:tcBorders>
              <w:top w:val="nil"/>
              <w:left w:val="nil"/>
              <w:bottom w:val="single" w:sz="4" w:space="0" w:color="auto"/>
              <w:right w:val="single" w:sz="4" w:space="0" w:color="auto"/>
            </w:tcBorders>
            <w:noWrap/>
            <w:vAlign w:val="bottom"/>
            <w:hideMark/>
          </w:tcPr>
          <w:p w14:paraId="4026B01D"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DE66DC">
              <w:rPr>
                <w:rFonts w:ascii="Times New Roman" w:eastAsia="Times New Roman" w:hAnsi="Times New Roman" w:cs="Times New Roman"/>
                <w:color w:val="000000"/>
                <w:kern w:val="0"/>
                <w:sz w:val="24"/>
                <w:szCs w:val="24"/>
                <w:lang w:val="en-US"/>
                <w14:ligatures w14:val="none"/>
              </w:rPr>
              <w:t>Pongam</w:t>
            </w:r>
            <w:proofErr w:type="spellEnd"/>
            <w:r w:rsidRPr="00DE66DC">
              <w:rPr>
                <w:rFonts w:ascii="Times New Roman" w:eastAsia="Times New Roman" w:hAnsi="Times New Roman" w:cs="Times New Roman"/>
                <w:color w:val="000000"/>
                <w:kern w:val="0"/>
                <w:sz w:val="24"/>
                <w:szCs w:val="24"/>
                <w:lang w:val="en-US"/>
                <w14:ligatures w14:val="none"/>
              </w:rPr>
              <w:t xml:space="preserve"> oil (5%)</w:t>
            </w:r>
          </w:p>
        </w:tc>
        <w:tc>
          <w:tcPr>
            <w:tcW w:w="1304" w:type="pct"/>
            <w:tcBorders>
              <w:top w:val="nil"/>
              <w:left w:val="nil"/>
              <w:bottom w:val="single" w:sz="4" w:space="0" w:color="auto"/>
              <w:right w:val="single" w:sz="4" w:space="0" w:color="auto"/>
            </w:tcBorders>
            <w:noWrap/>
            <w:vAlign w:val="bottom"/>
            <w:hideMark/>
          </w:tcPr>
          <w:p w14:paraId="273F2646"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42.82 ± 1.69</w:t>
            </w:r>
          </w:p>
        </w:tc>
        <w:tc>
          <w:tcPr>
            <w:tcW w:w="1253" w:type="pct"/>
            <w:tcBorders>
              <w:top w:val="nil"/>
              <w:left w:val="nil"/>
              <w:bottom w:val="single" w:sz="4" w:space="0" w:color="auto"/>
              <w:right w:val="single" w:sz="4" w:space="0" w:color="auto"/>
            </w:tcBorders>
            <w:noWrap/>
            <w:vAlign w:val="bottom"/>
            <w:hideMark/>
          </w:tcPr>
          <w:p w14:paraId="3CAC07D3"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41.28 ± 1.20</w:t>
            </w:r>
          </w:p>
        </w:tc>
      </w:tr>
      <w:tr w:rsidR="00DE66DC" w:rsidRPr="00DE66DC" w14:paraId="4B2F292D"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6DE43204"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T₅</w:t>
            </w:r>
          </w:p>
        </w:tc>
        <w:tc>
          <w:tcPr>
            <w:tcW w:w="1573" w:type="pct"/>
            <w:tcBorders>
              <w:top w:val="nil"/>
              <w:left w:val="nil"/>
              <w:bottom w:val="single" w:sz="4" w:space="0" w:color="auto"/>
              <w:right w:val="single" w:sz="4" w:space="0" w:color="auto"/>
            </w:tcBorders>
            <w:noWrap/>
            <w:vAlign w:val="bottom"/>
            <w:hideMark/>
          </w:tcPr>
          <w:p w14:paraId="665FBE42"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Carbendazim (0.1%)</w:t>
            </w:r>
          </w:p>
        </w:tc>
        <w:tc>
          <w:tcPr>
            <w:tcW w:w="1304" w:type="pct"/>
            <w:tcBorders>
              <w:top w:val="nil"/>
              <w:left w:val="nil"/>
              <w:bottom w:val="single" w:sz="4" w:space="0" w:color="auto"/>
              <w:right w:val="single" w:sz="4" w:space="0" w:color="auto"/>
            </w:tcBorders>
            <w:noWrap/>
            <w:vAlign w:val="bottom"/>
            <w:hideMark/>
          </w:tcPr>
          <w:p w14:paraId="0212DF18"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11.80 ± 1.69</w:t>
            </w:r>
          </w:p>
        </w:tc>
        <w:tc>
          <w:tcPr>
            <w:tcW w:w="1253" w:type="pct"/>
            <w:tcBorders>
              <w:top w:val="nil"/>
              <w:left w:val="nil"/>
              <w:bottom w:val="single" w:sz="4" w:space="0" w:color="auto"/>
              <w:right w:val="single" w:sz="4" w:space="0" w:color="auto"/>
            </w:tcBorders>
            <w:noWrap/>
            <w:vAlign w:val="bottom"/>
            <w:hideMark/>
          </w:tcPr>
          <w:p w14:paraId="29054B86"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83.82 ± 1.20</w:t>
            </w:r>
          </w:p>
        </w:tc>
      </w:tr>
      <w:tr w:rsidR="00DE66DC" w:rsidRPr="00DE66DC" w14:paraId="3B20B6A0" w14:textId="77777777" w:rsidTr="00DE66DC">
        <w:trPr>
          <w:trHeight w:val="290"/>
        </w:trPr>
        <w:tc>
          <w:tcPr>
            <w:tcW w:w="870" w:type="pct"/>
            <w:tcBorders>
              <w:top w:val="nil"/>
              <w:left w:val="single" w:sz="4" w:space="0" w:color="auto"/>
              <w:bottom w:val="single" w:sz="4" w:space="0" w:color="auto"/>
              <w:right w:val="single" w:sz="4" w:space="0" w:color="auto"/>
            </w:tcBorders>
            <w:noWrap/>
            <w:vAlign w:val="bottom"/>
            <w:hideMark/>
          </w:tcPr>
          <w:p w14:paraId="6B4B777D" w14:textId="77777777" w:rsidR="00DE66DC" w:rsidRPr="00DE66DC" w:rsidRDefault="00DE66DC" w:rsidP="00DE66DC">
            <w:pPr>
              <w:spacing w:after="0" w:line="240" w:lineRule="auto"/>
              <w:jc w:val="center"/>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T₆</w:t>
            </w:r>
          </w:p>
        </w:tc>
        <w:tc>
          <w:tcPr>
            <w:tcW w:w="1573" w:type="pct"/>
            <w:tcBorders>
              <w:top w:val="nil"/>
              <w:left w:val="nil"/>
              <w:bottom w:val="single" w:sz="4" w:space="0" w:color="auto"/>
              <w:right w:val="single" w:sz="4" w:space="0" w:color="auto"/>
            </w:tcBorders>
            <w:noWrap/>
            <w:vAlign w:val="bottom"/>
            <w:hideMark/>
          </w:tcPr>
          <w:p w14:paraId="4933F5F0"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Control (Pathogen only)</w:t>
            </w:r>
          </w:p>
        </w:tc>
        <w:tc>
          <w:tcPr>
            <w:tcW w:w="1304" w:type="pct"/>
            <w:tcBorders>
              <w:top w:val="nil"/>
              <w:left w:val="nil"/>
              <w:bottom w:val="single" w:sz="4" w:space="0" w:color="auto"/>
              <w:right w:val="single" w:sz="4" w:space="0" w:color="auto"/>
            </w:tcBorders>
            <w:noWrap/>
            <w:vAlign w:val="bottom"/>
            <w:hideMark/>
          </w:tcPr>
          <w:p w14:paraId="696ED805" w14:textId="77777777" w:rsidR="00DE66DC" w:rsidRPr="00DE66DC" w:rsidRDefault="00DE66DC" w:rsidP="00DE66DC">
            <w:pPr>
              <w:spacing w:after="0" w:line="240" w:lineRule="auto"/>
              <w:rPr>
                <w:rFonts w:ascii="Times New Roman" w:eastAsia="Times New Roman" w:hAnsi="Times New Roman" w:cs="Times New Roman"/>
                <w:color w:val="000000"/>
                <w:kern w:val="0"/>
                <w:sz w:val="24"/>
                <w:szCs w:val="24"/>
                <w:lang w:val="en-US"/>
                <w14:ligatures w14:val="none"/>
              </w:rPr>
            </w:pPr>
            <w:r w:rsidRPr="00DE66DC">
              <w:rPr>
                <w:rFonts w:ascii="Times New Roman" w:eastAsia="Times New Roman" w:hAnsi="Times New Roman" w:cs="Times New Roman"/>
                <w:color w:val="000000"/>
                <w:kern w:val="0"/>
                <w:sz w:val="24"/>
                <w:szCs w:val="24"/>
                <w:lang w:val="en-US"/>
                <w14:ligatures w14:val="none"/>
              </w:rPr>
              <w:t>72.94 ± 1.69</w:t>
            </w:r>
          </w:p>
        </w:tc>
        <w:tc>
          <w:tcPr>
            <w:tcW w:w="1253" w:type="pct"/>
            <w:tcBorders>
              <w:top w:val="nil"/>
              <w:left w:val="nil"/>
              <w:bottom w:val="single" w:sz="4" w:space="0" w:color="auto"/>
              <w:right w:val="single" w:sz="4" w:space="0" w:color="auto"/>
            </w:tcBorders>
            <w:noWrap/>
            <w:vAlign w:val="bottom"/>
            <w:hideMark/>
          </w:tcPr>
          <w:p w14:paraId="5C621DDE" w14:textId="15B1D28E" w:rsidR="00DE66DC" w:rsidRPr="00DE66DC" w:rsidRDefault="003E487E" w:rsidP="00DE66DC">
            <w:pPr>
              <w:spacing w:after="0" w:line="240" w:lineRule="auto"/>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w:t>
            </w:r>
          </w:p>
        </w:tc>
      </w:tr>
    </w:tbl>
    <w:p w14:paraId="3B99DEAE" w14:textId="77777777" w:rsidR="00DE66DC" w:rsidRDefault="00DE66DC" w:rsidP="00DE66DC">
      <w:pPr>
        <w:spacing w:after="20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4621"/>
        <w:gridCol w:w="4621"/>
      </w:tblGrid>
      <w:tr w:rsidR="00C206A1" w14:paraId="0A14B5D9" w14:textId="77777777" w:rsidTr="008940CF">
        <w:trPr>
          <w:trHeight w:val="2780"/>
        </w:trPr>
        <w:tc>
          <w:tcPr>
            <w:tcW w:w="4621" w:type="dxa"/>
          </w:tcPr>
          <w:p w14:paraId="2B2D39CF"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drawing>
                <wp:inline distT="0" distB="0" distL="0" distR="0" wp14:anchorId="01BF014B" wp14:editId="25FBCCA7">
                  <wp:extent cx="2106688" cy="1771650"/>
                  <wp:effectExtent l="0" t="0" r="8255" b="0"/>
                  <wp:docPr id="206" name="Picture 1" descr="A petri dish with a white object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 descr="A petri dish with a white object in it&#10;&#10;AI-generated content may be incorrect."/>
                          <pic:cNvPicPr>
                            <a:picLocks noChangeAspect="1"/>
                          </pic:cNvPicPr>
                        </pic:nvPicPr>
                        <pic:blipFill rotWithShape="1">
                          <a:blip r:embed="rId12" cstate="print">
                            <a:extLst>
                              <a:ext uri="{28A0092B-C50C-407E-A947-70E740481C1C}">
                                <a14:useLocalDpi xmlns:a14="http://schemas.microsoft.com/office/drawing/2010/main" val="0"/>
                              </a:ext>
                            </a:extLst>
                          </a:blip>
                          <a:srcRect l="38624" t="42527" r="31147" b="12130"/>
                          <a:stretch/>
                        </pic:blipFill>
                        <pic:spPr>
                          <a:xfrm>
                            <a:off x="0" y="0"/>
                            <a:ext cx="2114784" cy="1778458"/>
                          </a:xfrm>
                          <a:prstGeom prst="ellipse">
                            <a:avLst/>
                          </a:prstGeom>
                        </pic:spPr>
                      </pic:pic>
                    </a:graphicData>
                  </a:graphic>
                </wp:inline>
              </w:drawing>
            </w:r>
          </w:p>
          <w:p w14:paraId="2DAA78F3" w14:textId="5559CA26" w:rsidR="00C206A1" w:rsidRPr="00C206A1" w:rsidRDefault="00C206A1" w:rsidP="00C206A1">
            <w:pPr>
              <w:jc w:val="center"/>
              <w:rPr>
                <w:rFonts w:ascii="Times New Roman" w:hAnsi="Times New Roman" w:cs="Times New Roman"/>
                <w:noProof/>
                <w:sz w:val="24"/>
                <w:szCs w:val="24"/>
              </w:rPr>
            </w:pPr>
            <w:r w:rsidRPr="00C206A1">
              <w:rPr>
                <w:rFonts w:ascii="Times New Roman" w:hAnsi="Times New Roman" w:cs="Times New Roman"/>
                <w:noProof/>
                <w:sz w:val="24"/>
                <w:szCs w:val="24"/>
              </w:rPr>
              <w:t>T1</w:t>
            </w:r>
          </w:p>
        </w:tc>
        <w:tc>
          <w:tcPr>
            <w:tcW w:w="4621" w:type="dxa"/>
          </w:tcPr>
          <w:p w14:paraId="605B44EE" w14:textId="53937EE5" w:rsidR="00134C5A" w:rsidRPr="00134C5A" w:rsidRDefault="00134C5A" w:rsidP="00134C5A">
            <w:pPr>
              <w:jc w:val="both"/>
              <w:rPr>
                <w:rFonts w:ascii="Times New Roman" w:hAnsi="Times New Roman" w:cs="Times New Roman"/>
                <w:noProof/>
                <w:lang w:val="en-US"/>
              </w:rPr>
            </w:pPr>
            <w:r w:rsidRPr="00134C5A">
              <w:rPr>
                <w:rFonts w:ascii="Times New Roman" w:hAnsi="Times New Roman" w:cs="Times New Roman"/>
                <w:noProof/>
                <w:lang w:val="en-US"/>
              </w:rPr>
              <w:drawing>
                <wp:inline distT="0" distB="0" distL="0" distR="0" wp14:anchorId="772EFADF" wp14:editId="14BF5960">
                  <wp:extent cx="2103120" cy="2103120"/>
                  <wp:effectExtent l="0" t="0" r="0" b="0"/>
                  <wp:docPr id="1382567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14:paraId="7FEEE002" w14:textId="6B9999F5" w:rsidR="00C206A1" w:rsidRPr="00AE6D52" w:rsidRDefault="00C206A1" w:rsidP="00C206A1">
            <w:pPr>
              <w:jc w:val="center"/>
              <w:rPr>
                <w:rFonts w:ascii="Times New Roman" w:hAnsi="Times New Roman" w:cs="Times New Roman"/>
                <w:noProof/>
              </w:rPr>
            </w:pPr>
            <w:r>
              <w:rPr>
                <w:rFonts w:ascii="Times New Roman" w:hAnsi="Times New Roman" w:cs="Times New Roman"/>
                <w:noProof/>
              </w:rPr>
              <w:t>T2</w:t>
            </w:r>
          </w:p>
        </w:tc>
      </w:tr>
      <w:tr w:rsidR="00C206A1" w14:paraId="44DEA829" w14:textId="77777777" w:rsidTr="008940CF">
        <w:trPr>
          <w:trHeight w:val="2330"/>
        </w:trPr>
        <w:tc>
          <w:tcPr>
            <w:tcW w:w="4621" w:type="dxa"/>
          </w:tcPr>
          <w:p w14:paraId="65ED9E39"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drawing>
                <wp:inline distT="0" distB="0" distL="0" distR="0" wp14:anchorId="0BE1FFBD" wp14:editId="6ED66496">
                  <wp:extent cx="2103120" cy="1924883"/>
                  <wp:effectExtent l="0" t="0" r="0" b="0"/>
                  <wp:docPr id="295" name="Picture 1" descr="A petri dish with mo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1" descr="A petri dish with mold&#10;&#10;AI-generated content may be incorrect."/>
                          <pic:cNvPicPr>
                            <a:picLocks noChangeAspect="1"/>
                          </pic:cNvPicPr>
                        </pic:nvPicPr>
                        <pic:blipFill rotWithShape="1">
                          <a:blip r:embed="rId14" cstate="print">
                            <a:extLst>
                              <a:ext uri="{28A0092B-C50C-407E-A947-70E740481C1C}">
                                <a14:useLocalDpi xmlns:a14="http://schemas.microsoft.com/office/drawing/2010/main" val="0"/>
                              </a:ext>
                            </a:extLst>
                          </a:blip>
                          <a:srcRect l="38114" t="14724" r="11886" b="12674"/>
                          <a:stretch/>
                        </pic:blipFill>
                        <pic:spPr>
                          <a:xfrm>
                            <a:off x="0" y="0"/>
                            <a:ext cx="2103120" cy="1924883"/>
                          </a:xfrm>
                          <a:prstGeom prst="ellipse">
                            <a:avLst/>
                          </a:prstGeom>
                        </pic:spPr>
                      </pic:pic>
                    </a:graphicData>
                  </a:graphic>
                </wp:inline>
              </w:drawing>
            </w:r>
          </w:p>
          <w:p w14:paraId="579108E4" w14:textId="0F962729" w:rsidR="00C206A1" w:rsidRPr="00C206A1" w:rsidRDefault="00C206A1" w:rsidP="00C206A1">
            <w:pPr>
              <w:jc w:val="center"/>
              <w:rPr>
                <w:rFonts w:ascii="Times New Roman" w:hAnsi="Times New Roman" w:cs="Times New Roman"/>
                <w:noProof/>
                <w:sz w:val="24"/>
                <w:szCs w:val="24"/>
              </w:rPr>
            </w:pPr>
            <w:r>
              <w:rPr>
                <w:rFonts w:ascii="Times New Roman" w:hAnsi="Times New Roman" w:cs="Times New Roman"/>
                <w:noProof/>
                <w:sz w:val="24"/>
                <w:szCs w:val="24"/>
              </w:rPr>
              <w:t>T3</w:t>
            </w:r>
          </w:p>
        </w:tc>
        <w:tc>
          <w:tcPr>
            <w:tcW w:w="4621" w:type="dxa"/>
          </w:tcPr>
          <w:p w14:paraId="6DDE433E"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drawing>
                <wp:inline distT="0" distB="0" distL="0" distR="0" wp14:anchorId="018B331F" wp14:editId="72EFA694">
                  <wp:extent cx="2102403" cy="1692947"/>
                  <wp:effectExtent l="0" t="0" r="0" b="2540"/>
                  <wp:docPr id="24" name="Picture 3" descr="A round white object in a glass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round white object in a glass containe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6687" cy="1704449"/>
                          </a:xfrm>
                          <a:prstGeom prst="rect">
                            <a:avLst/>
                          </a:prstGeom>
                        </pic:spPr>
                      </pic:pic>
                    </a:graphicData>
                  </a:graphic>
                </wp:inline>
              </w:drawing>
            </w:r>
          </w:p>
          <w:p w14:paraId="720F0278" w14:textId="7A9DDA8D" w:rsidR="00C206A1" w:rsidRPr="00C206A1" w:rsidRDefault="00C206A1" w:rsidP="00C206A1">
            <w:pPr>
              <w:jc w:val="center"/>
              <w:rPr>
                <w:rFonts w:ascii="Times New Roman" w:hAnsi="Times New Roman" w:cs="Times New Roman"/>
                <w:noProof/>
                <w:sz w:val="24"/>
                <w:szCs w:val="24"/>
              </w:rPr>
            </w:pPr>
            <w:r>
              <w:rPr>
                <w:rFonts w:ascii="Times New Roman" w:hAnsi="Times New Roman" w:cs="Times New Roman"/>
                <w:noProof/>
                <w:sz w:val="24"/>
                <w:szCs w:val="24"/>
              </w:rPr>
              <w:t>T4</w:t>
            </w:r>
          </w:p>
        </w:tc>
      </w:tr>
      <w:tr w:rsidR="00C206A1" w14:paraId="29B78D93" w14:textId="77777777" w:rsidTr="008940CF">
        <w:trPr>
          <w:trHeight w:val="2330"/>
        </w:trPr>
        <w:tc>
          <w:tcPr>
            <w:tcW w:w="4621" w:type="dxa"/>
          </w:tcPr>
          <w:p w14:paraId="7B73E38D"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lastRenderedPageBreak/>
              <w:drawing>
                <wp:inline distT="0" distB="0" distL="0" distR="0" wp14:anchorId="08BAC6E4" wp14:editId="6E5FF966">
                  <wp:extent cx="2103120" cy="2010339"/>
                  <wp:effectExtent l="0" t="0" r="0" b="9525"/>
                  <wp:docPr id="106" name="Picture 1" descr="A petri dish with a white circ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 descr="A petri dish with a white circle in i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3120" cy="2010339"/>
                          </a:xfrm>
                          <a:prstGeom prst="rect">
                            <a:avLst/>
                          </a:prstGeom>
                        </pic:spPr>
                      </pic:pic>
                    </a:graphicData>
                  </a:graphic>
                </wp:inline>
              </w:drawing>
            </w:r>
          </w:p>
          <w:p w14:paraId="2CE5FC65" w14:textId="5FC40D84" w:rsidR="00C206A1" w:rsidRPr="00C206A1" w:rsidRDefault="00C206A1" w:rsidP="00C206A1">
            <w:pPr>
              <w:jc w:val="center"/>
              <w:rPr>
                <w:rFonts w:ascii="Times New Roman" w:hAnsi="Times New Roman" w:cs="Times New Roman"/>
                <w:noProof/>
                <w:sz w:val="24"/>
                <w:szCs w:val="24"/>
              </w:rPr>
            </w:pPr>
            <w:r>
              <w:rPr>
                <w:rFonts w:ascii="Times New Roman" w:hAnsi="Times New Roman" w:cs="Times New Roman"/>
                <w:noProof/>
                <w:sz w:val="24"/>
                <w:szCs w:val="24"/>
              </w:rPr>
              <w:t>T5</w:t>
            </w:r>
          </w:p>
        </w:tc>
        <w:tc>
          <w:tcPr>
            <w:tcW w:w="4621" w:type="dxa"/>
          </w:tcPr>
          <w:p w14:paraId="6FCC0B68" w14:textId="77777777" w:rsidR="00C206A1" w:rsidRDefault="00C206A1" w:rsidP="008940CF">
            <w:pPr>
              <w:jc w:val="both"/>
              <w:rPr>
                <w:rFonts w:ascii="Times New Roman" w:hAnsi="Times New Roman" w:cs="Times New Roman"/>
                <w:noProof/>
                <w:sz w:val="28"/>
                <w:szCs w:val="28"/>
              </w:rPr>
            </w:pPr>
            <w:r w:rsidRPr="00AE6D52">
              <w:rPr>
                <w:rFonts w:ascii="Times New Roman" w:hAnsi="Times New Roman" w:cs="Times New Roman"/>
                <w:noProof/>
                <w:sz w:val="28"/>
                <w:szCs w:val="28"/>
              </w:rPr>
              <w:drawing>
                <wp:inline distT="0" distB="0" distL="0" distR="0" wp14:anchorId="6BC39D07" wp14:editId="5426C4FD">
                  <wp:extent cx="2103120" cy="1949747"/>
                  <wp:effectExtent l="0" t="0" r="0" b="0"/>
                  <wp:docPr id="77" name="Picture 1" descr="A round petri dish with white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descr="A round petri dish with white substance&#10;&#10;AI-generated content may be incorrect."/>
                          <pic:cNvPicPr>
                            <a:picLocks noChangeAspect="1"/>
                          </pic:cNvPicPr>
                        </pic:nvPicPr>
                        <pic:blipFill rotWithShape="1">
                          <a:blip r:embed="rId17" cstate="print">
                            <a:extLst>
                              <a:ext uri="{28A0092B-C50C-407E-A947-70E740481C1C}">
                                <a14:useLocalDpi xmlns:a14="http://schemas.microsoft.com/office/drawing/2010/main" val="0"/>
                              </a:ext>
                            </a:extLst>
                          </a:blip>
                          <a:srcRect l="638" t="11504" b="28627"/>
                          <a:stretch/>
                        </pic:blipFill>
                        <pic:spPr>
                          <a:xfrm>
                            <a:off x="0" y="0"/>
                            <a:ext cx="2103120" cy="1949747"/>
                          </a:xfrm>
                          <a:prstGeom prst="rect">
                            <a:avLst/>
                          </a:prstGeom>
                        </pic:spPr>
                      </pic:pic>
                    </a:graphicData>
                  </a:graphic>
                </wp:inline>
              </w:drawing>
            </w:r>
          </w:p>
          <w:p w14:paraId="0E107DD2" w14:textId="147E81CE" w:rsidR="00C206A1" w:rsidRPr="00C206A1" w:rsidRDefault="00C206A1" w:rsidP="00C206A1">
            <w:pPr>
              <w:jc w:val="center"/>
              <w:rPr>
                <w:rFonts w:ascii="Times New Roman" w:hAnsi="Times New Roman" w:cs="Times New Roman"/>
                <w:noProof/>
                <w:sz w:val="24"/>
                <w:szCs w:val="24"/>
              </w:rPr>
            </w:pPr>
            <w:r>
              <w:rPr>
                <w:rFonts w:ascii="Times New Roman" w:hAnsi="Times New Roman" w:cs="Times New Roman"/>
                <w:noProof/>
                <w:sz w:val="24"/>
                <w:szCs w:val="24"/>
              </w:rPr>
              <w:t>T6 (Control)</w:t>
            </w:r>
          </w:p>
        </w:tc>
      </w:tr>
    </w:tbl>
    <w:p w14:paraId="6EA569DD" w14:textId="77777777" w:rsidR="00C206A1" w:rsidRDefault="00C206A1" w:rsidP="00DE66DC">
      <w:pPr>
        <w:spacing w:after="200" w:line="276" w:lineRule="auto"/>
        <w:jc w:val="both"/>
        <w:rPr>
          <w:rFonts w:ascii="Times New Roman" w:hAnsi="Times New Roman" w:cs="Times New Roman"/>
        </w:rPr>
      </w:pPr>
    </w:p>
    <w:p w14:paraId="7503844C" w14:textId="7FFA7564" w:rsidR="00C206A1" w:rsidRDefault="00C206A1" w:rsidP="003E487E">
      <w:pPr>
        <w:spacing w:after="200" w:line="276" w:lineRule="auto"/>
        <w:jc w:val="center"/>
        <w:rPr>
          <w:rFonts w:ascii="Times New Roman" w:hAnsi="Times New Roman" w:cs="Times New Roman"/>
        </w:rPr>
      </w:pPr>
      <w:r>
        <w:rPr>
          <w:rFonts w:ascii="Times New Roman" w:hAnsi="Times New Roman" w:cs="Times New Roman"/>
        </w:rPr>
        <w:t xml:space="preserve">Figure 3: In vitro </w:t>
      </w:r>
      <w:r w:rsidR="000F09DA">
        <w:rPr>
          <w:rFonts w:ascii="Times New Roman" w:hAnsi="Times New Roman" w:cs="Times New Roman"/>
        </w:rPr>
        <w:t xml:space="preserve">efficacy test of biocontrol and anti-fungal agents against </w:t>
      </w:r>
      <w:r w:rsidR="000F09DA" w:rsidRPr="000F09DA">
        <w:rPr>
          <w:rFonts w:ascii="Times New Roman" w:hAnsi="Times New Roman" w:cs="Times New Roman"/>
          <w:i/>
          <w:iCs/>
        </w:rPr>
        <w:t xml:space="preserve">F. </w:t>
      </w:r>
      <w:proofErr w:type="spellStart"/>
      <w:r w:rsidR="000F09DA" w:rsidRPr="000F09DA">
        <w:rPr>
          <w:rFonts w:ascii="Times New Roman" w:hAnsi="Times New Roman" w:cs="Times New Roman"/>
          <w:i/>
          <w:iCs/>
        </w:rPr>
        <w:t>pongamiae</w:t>
      </w:r>
      <w:proofErr w:type="spellEnd"/>
    </w:p>
    <w:p w14:paraId="3E2CD2FB" w14:textId="00A4DFF4" w:rsidR="003E487E" w:rsidRDefault="003E487E" w:rsidP="003E487E">
      <w:pPr>
        <w:spacing w:after="200" w:line="276" w:lineRule="auto"/>
        <w:jc w:val="center"/>
        <w:rPr>
          <w:rFonts w:ascii="Times New Roman" w:hAnsi="Times New Roman" w:cs="Times New Roman"/>
        </w:rPr>
      </w:pPr>
    </w:p>
    <w:p w14:paraId="1676C13B" w14:textId="12BC08C7" w:rsidR="00114CE0" w:rsidRPr="00DE66DC" w:rsidRDefault="00114CE0" w:rsidP="00114CE0">
      <w:pPr>
        <w:spacing w:after="200" w:line="276" w:lineRule="auto"/>
        <w:jc w:val="center"/>
        <w:rPr>
          <w:rFonts w:ascii="Times New Roman" w:hAnsi="Times New Roman" w:cs="Times New Roman"/>
        </w:rPr>
      </w:pPr>
      <w:r>
        <w:rPr>
          <w:rFonts w:ascii="Times New Roman" w:hAnsi="Times New Roman" w:cs="Times New Roman"/>
          <w:noProof/>
        </w:rPr>
        <w:drawing>
          <wp:inline distT="0" distB="0" distL="0" distR="0" wp14:anchorId="2550F101" wp14:editId="020E7B82">
            <wp:extent cx="5943600" cy="2876339"/>
            <wp:effectExtent l="0" t="0" r="0" b="635"/>
            <wp:docPr id="3097863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76339"/>
                    </a:xfrm>
                    <a:prstGeom prst="rect">
                      <a:avLst/>
                    </a:prstGeom>
                    <a:noFill/>
                  </pic:spPr>
                </pic:pic>
              </a:graphicData>
            </a:graphic>
          </wp:inline>
        </w:drawing>
      </w:r>
    </w:p>
    <w:p w14:paraId="05BE9537" w14:textId="05064869" w:rsidR="00C206A1" w:rsidRPr="00C206A1" w:rsidRDefault="00C206A1" w:rsidP="00C206A1">
      <w:pPr>
        <w:spacing w:after="200" w:line="276" w:lineRule="auto"/>
        <w:jc w:val="center"/>
        <w:rPr>
          <w:rFonts w:ascii="Times New Roman" w:hAnsi="Times New Roman" w:cs="Times New Roman"/>
          <w:lang w:val="en-US"/>
        </w:rPr>
      </w:pPr>
      <w:r>
        <w:rPr>
          <w:rFonts w:ascii="Times New Roman" w:hAnsi="Times New Roman" w:cs="Times New Roman"/>
        </w:rPr>
        <w:t xml:space="preserve">Figure 4: </w:t>
      </w:r>
      <w:r w:rsidR="00114CE0">
        <w:rPr>
          <w:rFonts w:ascii="Times New Roman" w:hAnsi="Times New Roman" w:cs="Times New Roman"/>
        </w:rPr>
        <w:t>G</w:t>
      </w:r>
      <w:r w:rsidR="00114CE0" w:rsidRPr="00114CE0">
        <w:rPr>
          <w:rFonts w:ascii="Times New Roman" w:hAnsi="Times New Roman" w:cs="Times New Roman"/>
        </w:rPr>
        <w:t>rowth of pathogen and its inhibition in response to different treatments.</w:t>
      </w:r>
    </w:p>
    <w:p w14:paraId="57766A81" w14:textId="699F6360" w:rsidR="000A434A" w:rsidRPr="00A02E05" w:rsidRDefault="00A02E05" w:rsidP="00DE66DC">
      <w:pPr>
        <w:spacing w:after="200" w:line="276" w:lineRule="auto"/>
        <w:ind w:firstLine="720"/>
        <w:jc w:val="both"/>
        <w:rPr>
          <w:rFonts w:ascii="Times New Roman" w:hAnsi="Times New Roman" w:cs="Times New Roman"/>
          <w:sz w:val="24"/>
          <w:szCs w:val="24"/>
          <w:lang w:val="en-US"/>
        </w:rPr>
      </w:pPr>
      <w:r w:rsidRPr="000A434A">
        <w:rPr>
          <w:rFonts w:ascii="Times New Roman" w:hAnsi="Times New Roman" w:cs="Times New Roman"/>
          <w:sz w:val="24"/>
          <w:szCs w:val="24"/>
        </w:rPr>
        <w:t xml:space="preserve">The antagonistic activity of </w:t>
      </w:r>
      <w:r w:rsidRPr="000A434A">
        <w:rPr>
          <w:rFonts w:ascii="Times New Roman" w:hAnsi="Times New Roman" w:cs="Times New Roman"/>
          <w:i/>
          <w:iCs/>
          <w:sz w:val="24"/>
          <w:szCs w:val="24"/>
        </w:rPr>
        <w:t>Pseudomonas spp</w:t>
      </w:r>
      <w:r w:rsidRPr="000A434A">
        <w:rPr>
          <w:rFonts w:ascii="Times New Roman" w:hAnsi="Times New Roman" w:cs="Times New Roman"/>
          <w:sz w:val="24"/>
          <w:szCs w:val="24"/>
        </w:rPr>
        <w:t xml:space="preserve">. against phytopathogenic fungi is well documented (Whipps, 1997) and this property has often been used as means for </w:t>
      </w:r>
      <w:r w:rsidRPr="000A434A">
        <w:rPr>
          <w:rFonts w:ascii="Times New Roman" w:hAnsi="Times New Roman" w:cs="Times New Roman"/>
          <w:i/>
          <w:iCs/>
          <w:sz w:val="24"/>
          <w:szCs w:val="24"/>
        </w:rPr>
        <w:t>in vitro</w:t>
      </w:r>
      <w:r w:rsidRPr="000A434A">
        <w:rPr>
          <w:rFonts w:ascii="Times New Roman" w:hAnsi="Times New Roman" w:cs="Times New Roman"/>
          <w:sz w:val="24"/>
          <w:szCs w:val="24"/>
        </w:rPr>
        <w:t xml:space="preserve"> screening of various biocontrol agents against novel phytopathogens (Elad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1980). It was reported that the combined role of both </w:t>
      </w:r>
      <w:r w:rsidRPr="000A434A">
        <w:rPr>
          <w:rFonts w:ascii="Times New Roman" w:hAnsi="Times New Roman" w:cs="Times New Roman"/>
          <w:i/>
          <w:iCs/>
          <w:sz w:val="24"/>
          <w:szCs w:val="24"/>
        </w:rPr>
        <w:t>Trichoderma viride</w:t>
      </w:r>
      <w:r w:rsidRPr="000A434A">
        <w:rPr>
          <w:rFonts w:ascii="Times New Roman" w:hAnsi="Times New Roman" w:cs="Times New Roman"/>
          <w:sz w:val="24"/>
          <w:szCs w:val="24"/>
        </w:rPr>
        <w:t xml:space="preserve"> and </w:t>
      </w:r>
      <w:r w:rsidRPr="000A434A">
        <w:rPr>
          <w:rFonts w:ascii="Times New Roman" w:hAnsi="Times New Roman" w:cs="Times New Roman"/>
          <w:i/>
          <w:iCs/>
          <w:sz w:val="24"/>
          <w:szCs w:val="24"/>
        </w:rPr>
        <w:t>Pseudomonas fluorescens</w:t>
      </w:r>
      <w:r w:rsidRPr="000A434A">
        <w:rPr>
          <w:rFonts w:ascii="Times New Roman" w:hAnsi="Times New Roman" w:cs="Times New Roman"/>
          <w:sz w:val="24"/>
          <w:szCs w:val="24"/>
        </w:rPr>
        <w:t xml:space="preserve"> (1+2%) in reducing mycelia growth of </w:t>
      </w:r>
      <w:r w:rsidRPr="000A434A">
        <w:rPr>
          <w:rFonts w:ascii="Times New Roman" w:hAnsi="Times New Roman" w:cs="Times New Roman"/>
          <w:i/>
          <w:iCs/>
          <w:sz w:val="24"/>
          <w:szCs w:val="24"/>
        </w:rPr>
        <w:t xml:space="preserve">Fusarium </w:t>
      </w:r>
      <w:proofErr w:type="spellStart"/>
      <w:r w:rsidRPr="000A434A">
        <w:rPr>
          <w:rFonts w:ascii="Times New Roman" w:hAnsi="Times New Roman" w:cs="Times New Roman"/>
          <w:i/>
          <w:iCs/>
          <w:sz w:val="24"/>
          <w:szCs w:val="24"/>
        </w:rPr>
        <w:t>oxysporum</w:t>
      </w:r>
      <w:proofErr w:type="spellEnd"/>
      <w:r w:rsidRPr="000A434A">
        <w:rPr>
          <w:rFonts w:ascii="Times New Roman" w:hAnsi="Times New Roman" w:cs="Times New Roman"/>
          <w:sz w:val="24"/>
          <w:szCs w:val="24"/>
        </w:rPr>
        <w:t xml:space="preserve"> (Rajeswari and Kapoor, 2017) and also reported on cashew against </w:t>
      </w:r>
      <w:r w:rsidRPr="000A434A">
        <w:rPr>
          <w:rFonts w:ascii="Times New Roman" w:hAnsi="Times New Roman" w:cs="Times New Roman"/>
          <w:i/>
          <w:iCs/>
          <w:sz w:val="24"/>
          <w:szCs w:val="24"/>
        </w:rPr>
        <w:t xml:space="preserve">C.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w:t>
      </w:r>
      <w:proofErr w:type="spellStart"/>
      <w:r w:rsidRPr="000A434A">
        <w:rPr>
          <w:rFonts w:ascii="Times New Roman" w:hAnsi="Times New Roman" w:cs="Times New Roman"/>
          <w:sz w:val="24"/>
          <w:szCs w:val="24"/>
        </w:rPr>
        <w:t>Satapathy</w:t>
      </w:r>
      <w:proofErr w:type="spellEnd"/>
      <w:r w:rsidRPr="000A434A">
        <w:rPr>
          <w:rFonts w:ascii="Times New Roman" w:hAnsi="Times New Roman" w:cs="Times New Roman"/>
          <w:sz w:val="24"/>
          <w:szCs w:val="24"/>
        </w:rPr>
        <w:t xml:space="preserve"> and </w:t>
      </w:r>
      <w:proofErr w:type="spellStart"/>
      <w:r w:rsidRPr="000A434A">
        <w:rPr>
          <w:rFonts w:ascii="Times New Roman" w:hAnsi="Times New Roman" w:cs="Times New Roman"/>
          <w:sz w:val="24"/>
          <w:szCs w:val="24"/>
        </w:rPr>
        <w:t>Beura</w:t>
      </w:r>
      <w:proofErr w:type="spellEnd"/>
      <w:r w:rsidRPr="000A434A">
        <w:rPr>
          <w:rFonts w:ascii="Times New Roman" w:hAnsi="Times New Roman" w:cs="Times New Roman"/>
          <w:sz w:val="24"/>
          <w:szCs w:val="24"/>
        </w:rPr>
        <w:t xml:space="preserve">, 2020). Our in vitro data of antagonistic activity by </w:t>
      </w:r>
      <w:r w:rsidRPr="000A434A">
        <w:rPr>
          <w:rFonts w:ascii="Times New Roman" w:hAnsi="Times New Roman" w:cs="Times New Roman"/>
          <w:i/>
          <w:iCs/>
          <w:sz w:val="24"/>
          <w:szCs w:val="24"/>
        </w:rPr>
        <w:t>P. fluorescens</w:t>
      </w:r>
      <w:r w:rsidRPr="000A434A">
        <w:rPr>
          <w:rFonts w:ascii="Times New Roman" w:hAnsi="Times New Roman" w:cs="Times New Roman"/>
          <w:sz w:val="24"/>
          <w:szCs w:val="24"/>
        </w:rPr>
        <w:t xml:space="preserve"> and </w:t>
      </w:r>
      <w:r w:rsidRPr="000A434A">
        <w:rPr>
          <w:rFonts w:ascii="Times New Roman" w:hAnsi="Times New Roman" w:cs="Times New Roman"/>
          <w:i/>
          <w:iCs/>
          <w:sz w:val="24"/>
          <w:szCs w:val="24"/>
        </w:rPr>
        <w:t>T. viride</w:t>
      </w:r>
      <w:r w:rsidRPr="000A434A">
        <w:rPr>
          <w:rFonts w:ascii="Times New Roman" w:hAnsi="Times New Roman" w:cs="Times New Roman"/>
          <w:sz w:val="24"/>
          <w:szCs w:val="24"/>
        </w:rPr>
        <w:t xml:space="preserve"> reflect on their direct interaction with </w:t>
      </w:r>
      <w:r w:rsidRPr="000A434A">
        <w:rPr>
          <w:rFonts w:ascii="Times New Roman" w:hAnsi="Times New Roman" w:cs="Times New Roman"/>
          <w:i/>
          <w:iCs/>
          <w:sz w:val="24"/>
          <w:szCs w:val="24"/>
        </w:rPr>
        <w:t xml:space="preserve">F. </w:t>
      </w:r>
      <w:proofErr w:type="spellStart"/>
      <w:r w:rsidRPr="000A434A">
        <w:rPr>
          <w:rFonts w:ascii="Times New Roman" w:hAnsi="Times New Roman" w:cs="Times New Roman"/>
          <w:i/>
          <w:iCs/>
          <w:sz w:val="24"/>
          <w:szCs w:val="24"/>
        </w:rPr>
        <w:t>pongamiae</w:t>
      </w:r>
      <w:proofErr w:type="spellEnd"/>
      <w:r w:rsidRPr="000A434A">
        <w:rPr>
          <w:rFonts w:ascii="Times New Roman" w:hAnsi="Times New Roman" w:cs="Times New Roman"/>
          <w:sz w:val="24"/>
          <w:szCs w:val="24"/>
        </w:rPr>
        <w:t xml:space="preserve"> via </w:t>
      </w:r>
      <w:r w:rsidRPr="000A434A">
        <w:rPr>
          <w:rFonts w:ascii="Times New Roman" w:hAnsi="Times New Roman" w:cs="Times New Roman"/>
          <w:sz w:val="24"/>
          <w:szCs w:val="24"/>
        </w:rPr>
        <w:lastRenderedPageBreak/>
        <w:t>antibiosis or competition with the pathogen for nutrients. These interactions between the biocontrol agents and the phytopathogen are likely a result of highly coordinated and regulated cascade of metabolic events involving production of compounds and enzymes and other interfering metabolites in situ at low concentrations (Raaijmakers and Mazzola, 2012).</w:t>
      </w:r>
      <w:r>
        <w:rPr>
          <w:rFonts w:ascii="Times New Roman" w:hAnsi="Times New Roman" w:cs="Times New Roman"/>
          <w:sz w:val="24"/>
          <w:szCs w:val="24"/>
        </w:rPr>
        <w:t xml:space="preserve"> The </w:t>
      </w:r>
      <w:r w:rsidRPr="000A434A">
        <w:rPr>
          <w:rFonts w:ascii="Times New Roman" w:hAnsi="Times New Roman" w:cs="Times New Roman"/>
          <w:sz w:val="24"/>
          <w:szCs w:val="24"/>
        </w:rPr>
        <w:t xml:space="preserve">results of the present study were </w:t>
      </w:r>
      <w:r>
        <w:rPr>
          <w:rFonts w:ascii="Times New Roman" w:hAnsi="Times New Roman" w:cs="Times New Roman"/>
          <w:sz w:val="24"/>
          <w:szCs w:val="24"/>
        </w:rPr>
        <w:t xml:space="preserve">also </w:t>
      </w:r>
      <w:r w:rsidRPr="000A434A">
        <w:rPr>
          <w:rFonts w:ascii="Times New Roman" w:hAnsi="Times New Roman" w:cs="Times New Roman"/>
          <w:sz w:val="24"/>
          <w:szCs w:val="24"/>
        </w:rPr>
        <w:t xml:space="preserve">in accordance with the findings of Bhanumathi and Rai, 2007 </w:t>
      </w:r>
      <w:r>
        <w:rPr>
          <w:rFonts w:ascii="Times New Roman" w:hAnsi="Times New Roman" w:cs="Times New Roman"/>
          <w:sz w:val="24"/>
          <w:szCs w:val="24"/>
        </w:rPr>
        <w:t>who</w:t>
      </w:r>
      <w:r w:rsidRPr="000A434A">
        <w:rPr>
          <w:rFonts w:ascii="Times New Roman" w:hAnsi="Times New Roman" w:cs="Times New Roman"/>
          <w:sz w:val="24"/>
          <w:szCs w:val="24"/>
        </w:rPr>
        <w:t xml:space="preserve"> reported in </w:t>
      </w:r>
      <w:proofErr w:type="spellStart"/>
      <w:r w:rsidRPr="000A434A">
        <w:rPr>
          <w:rFonts w:ascii="Times New Roman" w:hAnsi="Times New Roman" w:cs="Times New Roman"/>
          <w:i/>
          <w:iCs/>
          <w:sz w:val="24"/>
          <w:szCs w:val="24"/>
        </w:rPr>
        <w:t>Azadirachta</w:t>
      </w:r>
      <w:proofErr w:type="spellEnd"/>
      <w:r w:rsidRPr="000A434A">
        <w:rPr>
          <w:rFonts w:ascii="Times New Roman" w:hAnsi="Times New Roman" w:cs="Times New Roman"/>
          <w:i/>
          <w:iCs/>
          <w:sz w:val="24"/>
          <w:szCs w:val="24"/>
        </w:rPr>
        <w:t xml:space="preserve"> </w:t>
      </w:r>
      <w:proofErr w:type="spellStart"/>
      <w:r w:rsidRPr="000A434A">
        <w:rPr>
          <w:rFonts w:ascii="Times New Roman" w:hAnsi="Times New Roman" w:cs="Times New Roman"/>
          <w:i/>
          <w:iCs/>
          <w:sz w:val="24"/>
          <w:szCs w:val="24"/>
        </w:rPr>
        <w:t>indica</w:t>
      </w:r>
      <w:proofErr w:type="spellEnd"/>
      <w:r w:rsidRPr="000A434A">
        <w:rPr>
          <w:rFonts w:ascii="Times New Roman" w:hAnsi="Times New Roman" w:cs="Times New Roman"/>
          <w:sz w:val="24"/>
          <w:szCs w:val="24"/>
        </w:rPr>
        <w:t xml:space="preserve"> against the pathogens like </w:t>
      </w:r>
      <w:r w:rsidRPr="000A434A">
        <w:rPr>
          <w:rFonts w:ascii="Times New Roman" w:hAnsi="Times New Roman" w:cs="Times New Roman"/>
          <w:i/>
          <w:iCs/>
          <w:sz w:val="24"/>
          <w:szCs w:val="24"/>
        </w:rPr>
        <w:t xml:space="preserve">Colletotrichum </w:t>
      </w:r>
      <w:proofErr w:type="spellStart"/>
      <w:r w:rsidRPr="000A434A">
        <w:rPr>
          <w:rFonts w:ascii="Times New Roman" w:hAnsi="Times New Roman" w:cs="Times New Roman"/>
          <w:i/>
          <w:iCs/>
          <w:sz w:val="24"/>
          <w:szCs w:val="24"/>
        </w:rPr>
        <w:t>dematium</w:t>
      </w:r>
      <w:proofErr w:type="spellEnd"/>
      <w:r w:rsidRPr="000A434A">
        <w:rPr>
          <w:rFonts w:ascii="Times New Roman" w:hAnsi="Times New Roman" w:cs="Times New Roman"/>
          <w:sz w:val="24"/>
          <w:szCs w:val="24"/>
        </w:rPr>
        <w:t xml:space="preserve"> and </w:t>
      </w:r>
      <w:r w:rsidRPr="000A434A">
        <w:rPr>
          <w:rFonts w:ascii="Times New Roman" w:hAnsi="Times New Roman" w:cs="Times New Roman"/>
          <w:i/>
          <w:iCs/>
          <w:sz w:val="24"/>
          <w:szCs w:val="24"/>
        </w:rPr>
        <w:t>Fusarium</w:t>
      </w:r>
      <w:r w:rsidRPr="000A434A">
        <w:rPr>
          <w:rFonts w:ascii="Times New Roman" w:hAnsi="Times New Roman" w:cs="Times New Roman"/>
          <w:sz w:val="24"/>
          <w:szCs w:val="24"/>
        </w:rPr>
        <w:t xml:space="preserve"> </w:t>
      </w:r>
      <w:proofErr w:type="spellStart"/>
      <w:r w:rsidRPr="000A434A">
        <w:rPr>
          <w:rFonts w:ascii="Times New Roman" w:hAnsi="Times New Roman" w:cs="Times New Roman"/>
          <w:i/>
          <w:iCs/>
          <w:sz w:val="24"/>
          <w:szCs w:val="24"/>
        </w:rPr>
        <w:t>solani</w:t>
      </w:r>
      <w:proofErr w:type="spellEnd"/>
      <w:r w:rsidRPr="000A434A">
        <w:rPr>
          <w:rFonts w:ascii="Times New Roman" w:hAnsi="Times New Roman" w:cs="Times New Roman"/>
          <w:i/>
          <w:iCs/>
          <w:sz w:val="24"/>
          <w:szCs w:val="24"/>
        </w:rPr>
        <w:t>.</w:t>
      </w:r>
      <w:r w:rsidRPr="000A434A">
        <w:rPr>
          <w:rFonts w:ascii="Times New Roman" w:hAnsi="Times New Roman" w:cs="Times New Roman"/>
          <w:sz w:val="24"/>
          <w:szCs w:val="24"/>
        </w:rPr>
        <w:t xml:space="preserve"> In which the spray of </w:t>
      </w:r>
      <w:proofErr w:type="spellStart"/>
      <w:r w:rsidRPr="000A434A">
        <w:rPr>
          <w:rFonts w:ascii="Times New Roman" w:hAnsi="Times New Roman" w:cs="Times New Roman"/>
          <w:sz w:val="24"/>
          <w:szCs w:val="24"/>
        </w:rPr>
        <w:t>carbendazium</w:t>
      </w:r>
      <w:proofErr w:type="spellEnd"/>
      <w:r w:rsidRPr="000A434A">
        <w:rPr>
          <w:rFonts w:ascii="Times New Roman" w:hAnsi="Times New Roman" w:cs="Times New Roman"/>
          <w:sz w:val="24"/>
          <w:szCs w:val="24"/>
        </w:rPr>
        <w:t xml:space="preserve"> at 50, 100, 150 ppm was found to reduce the mycelia growth of </w:t>
      </w:r>
      <w:r w:rsidRPr="000A434A">
        <w:rPr>
          <w:rFonts w:ascii="Times New Roman" w:hAnsi="Times New Roman" w:cs="Times New Roman"/>
          <w:i/>
          <w:iCs/>
          <w:sz w:val="24"/>
          <w:szCs w:val="24"/>
        </w:rPr>
        <w:t xml:space="preserve">Fusarium </w:t>
      </w:r>
      <w:proofErr w:type="spellStart"/>
      <w:r w:rsidRPr="000A434A">
        <w:rPr>
          <w:rFonts w:ascii="Times New Roman" w:hAnsi="Times New Roman" w:cs="Times New Roman"/>
          <w:i/>
          <w:iCs/>
          <w:sz w:val="24"/>
          <w:szCs w:val="24"/>
        </w:rPr>
        <w:t>solani</w:t>
      </w:r>
      <w:proofErr w:type="spellEnd"/>
      <w:r w:rsidRPr="000A434A">
        <w:rPr>
          <w:rFonts w:ascii="Times New Roman" w:hAnsi="Times New Roman" w:cs="Times New Roman"/>
          <w:sz w:val="24"/>
          <w:szCs w:val="24"/>
        </w:rPr>
        <w:t xml:space="preserve"> in range of 88.54 - 86.32%, carbendazim (0.1%) has showed the 100 percent inhibition of fungal growth and also other fungicides like </w:t>
      </w:r>
      <w:proofErr w:type="spellStart"/>
      <w:r w:rsidRPr="000A434A">
        <w:rPr>
          <w:rFonts w:ascii="Times New Roman" w:hAnsi="Times New Roman" w:cs="Times New Roman"/>
          <w:sz w:val="24"/>
          <w:szCs w:val="24"/>
        </w:rPr>
        <w:t>Propiconizole</w:t>
      </w:r>
      <w:proofErr w:type="spellEnd"/>
      <w:r w:rsidRPr="000A434A">
        <w:rPr>
          <w:rFonts w:ascii="Times New Roman" w:hAnsi="Times New Roman" w:cs="Times New Roman"/>
          <w:sz w:val="24"/>
          <w:szCs w:val="24"/>
        </w:rPr>
        <w:t xml:space="preserve"> (0.1%), </w:t>
      </w:r>
      <w:proofErr w:type="spellStart"/>
      <w:r w:rsidRPr="000A434A">
        <w:rPr>
          <w:rFonts w:ascii="Times New Roman" w:hAnsi="Times New Roman" w:cs="Times New Roman"/>
          <w:sz w:val="24"/>
          <w:szCs w:val="24"/>
        </w:rPr>
        <w:t>Mancozeb+Carbendazim</w:t>
      </w:r>
      <w:proofErr w:type="spellEnd"/>
      <w:r w:rsidRPr="000A434A">
        <w:rPr>
          <w:rFonts w:ascii="Times New Roman" w:hAnsi="Times New Roman" w:cs="Times New Roman"/>
          <w:sz w:val="24"/>
          <w:szCs w:val="24"/>
        </w:rPr>
        <w:t xml:space="preserve"> (0.25%), </w:t>
      </w:r>
      <w:proofErr w:type="spellStart"/>
      <w:r w:rsidRPr="000A434A">
        <w:rPr>
          <w:rFonts w:ascii="Times New Roman" w:hAnsi="Times New Roman" w:cs="Times New Roman"/>
          <w:sz w:val="24"/>
          <w:szCs w:val="24"/>
        </w:rPr>
        <w:t>tricyciazole</w:t>
      </w:r>
      <w:proofErr w:type="spellEnd"/>
      <w:r w:rsidRPr="000A434A">
        <w:rPr>
          <w:rFonts w:ascii="Times New Roman" w:hAnsi="Times New Roman" w:cs="Times New Roman"/>
          <w:sz w:val="24"/>
          <w:szCs w:val="24"/>
        </w:rPr>
        <w:t xml:space="preserve"> (0.15%) were also showed 100 percent inhibition of fungal growth of </w:t>
      </w:r>
      <w:r w:rsidRPr="000A434A">
        <w:rPr>
          <w:rFonts w:ascii="Times New Roman" w:hAnsi="Times New Roman" w:cs="Times New Roman"/>
          <w:i/>
          <w:iCs/>
          <w:sz w:val="24"/>
          <w:szCs w:val="24"/>
        </w:rPr>
        <w:t xml:space="preserve">Colletotrichum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on </w:t>
      </w:r>
      <w:r w:rsidRPr="000A434A">
        <w:rPr>
          <w:rFonts w:ascii="Times New Roman" w:hAnsi="Times New Roman" w:cs="Times New Roman"/>
          <w:i/>
          <w:iCs/>
          <w:sz w:val="24"/>
          <w:szCs w:val="24"/>
        </w:rPr>
        <w:t xml:space="preserve">Garcinia </w:t>
      </w:r>
      <w:proofErr w:type="spellStart"/>
      <w:r w:rsidRPr="000A434A">
        <w:rPr>
          <w:rFonts w:ascii="Times New Roman" w:hAnsi="Times New Roman" w:cs="Times New Roman"/>
          <w:i/>
          <w:iCs/>
          <w:sz w:val="24"/>
          <w:szCs w:val="24"/>
        </w:rPr>
        <w:t>indica</w:t>
      </w:r>
      <w:proofErr w:type="spellEnd"/>
      <w:r w:rsidRPr="000A434A">
        <w:rPr>
          <w:rFonts w:ascii="Times New Roman" w:hAnsi="Times New Roman" w:cs="Times New Roman"/>
          <w:sz w:val="24"/>
          <w:szCs w:val="24"/>
        </w:rPr>
        <w:t xml:space="preserve">  and similar results were recorded by Sahoo, (2015), in terms of fungicidal role against the pathogen of </w:t>
      </w:r>
      <w:r w:rsidRPr="000A434A">
        <w:rPr>
          <w:rFonts w:ascii="Times New Roman" w:hAnsi="Times New Roman" w:cs="Times New Roman"/>
          <w:i/>
          <w:iCs/>
          <w:sz w:val="24"/>
          <w:szCs w:val="24"/>
        </w:rPr>
        <w:t xml:space="preserve">Colletotrichum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in </w:t>
      </w:r>
      <w:r w:rsidRPr="000A434A">
        <w:rPr>
          <w:rFonts w:ascii="Times New Roman" w:hAnsi="Times New Roman" w:cs="Times New Roman"/>
          <w:i/>
          <w:iCs/>
          <w:sz w:val="24"/>
          <w:szCs w:val="24"/>
        </w:rPr>
        <w:t xml:space="preserve">Rauwolfia </w:t>
      </w:r>
      <w:proofErr w:type="spellStart"/>
      <w:r w:rsidRPr="000A434A">
        <w:rPr>
          <w:rFonts w:ascii="Times New Roman" w:hAnsi="Times New Roman" w:cs="Times New Roman"/>
          <w:i/>
          <w:iCs/>
          <w:sz w:val="24"/>
          <w:szCs w:val="24"/>
        </w:rPr>
        <w:t>serpentina</w:t>
      </w:r>
      <w:proofErr w:type="spellEnd"/>
      <w:r w:rsidRPr="000A434A">
        <w:rPr>
          <w:rFonts w:ascii="Times New Roman" w:hAnsi="Times New Roman" w:cs="Times New Roman"/>
          <w:sz w:val="24"/>
          <w:szCs w:val="24"/>
        </w:rPr>
        <w:t xml:space="preserve"> and among, the biocontrol agents, </w:t>
      </w:r>
      <w:r w:rsidRPr="000A434A">
        <w:rPr>
          <w:rFonts w:ascii="Times New Roman" w:hAnsi="Times New Roman" w:cs="Times New Roman"/>
          <w:i/>
          <w:iCs/>
          <w:sz w:val="24"/>
          <w:szCs w:val="24"/>
        </w:rPr>
        <w:t>Pseudomonas fluorescens</w:t>
      </w:r>
      <w:r w:rsidRPr="000A434A">
        <w:rPr>
          <w:rFonts w:ascii="Times New Roman" w:hAnsi="Times New Roman" w:cs="Times New Roman"/>
          <w:sz w:val="24"/>
          <w:szCs w:val="24"/>
        </w:rPr>
        <w:t xml:space="preserve"> reduced the 55.88 percent of mycelia growth and among the plant extracts, the Eucalyptus oil was able to reduce 39.8 percent of mycelia growth of </w:t>
      </w:r>
      <w:r w:rsidRPr="000A434A">
        <w:rPr>
          <w:rFonts w:ascii="Times New Roman" w:hAnsi="Times New Roman" w:cs="Times New Roman"/>
          <w:i/>
          <w:iCs/>
          <w:sz w:val="24"/>
          <w:szCs w:val="24"/>
        </w:rPr>
        <w:t xml:space="preserve">Colletotrichum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and (Patil </w:t>
      </w:r>
      <w:r w:rsidRPr="000A434A">
        <w:rPr>
          <w:rFonts w:ascii="Times New Roman" w:hAnsi="Times New Roman" w:cs="Times New Roman"/>
          <w:i/>
          <w:iCs/>
          <w:sz w:val="24"/>
          <w:szCs w:val="24"/>
        </w:rPr>
        <w:t>et al.,</w:t>
      </w:r>
      <w:r w:rsidRPr="000A434A">
        <w:rPr>
          <w:rFonts w:ascii="Times New Roman" w:hAnsi="Times New Roman" w:cs="Times New Roman"/>
          <w:sz w:val="24"/>
          <w:szCs w:val="24"/>
        </w:rPr>
        <w:t xml:space="preserve"> 2010) in sapota with leaf blight due to </w:t>
      </w:r>
      <w:r w:rsidRPr="000A434A">
        <w:rPr>
          <w:rFonts w:ascii="Times New Roman" w:hAnsi="Times New Roman" w:cs="Times New Roman"/>
          <w:i/>
          <w:iCs/>
          <w:sz w:val="24"/>
          <w:szCs w:val="24"/>
        </w:rPr>
        <w:t xml:space="preserve">C. </w:t>
      </w:r>
      <w:proofErr w:type="spellStart"/>
      <w:r w:rsidRPr="000A434A">
        <w:rPr>
          <w:rFonts w:ascii="Times New Roman" w:hAnsi="Times New Roman" w:cs="Times New Roman"/>
          <w:i/>
          <w:iCs/>
          <w:sz w:val="24"/>
          <w:szCs w:val="24"/>
        </w:rPr>
        <w:t>gloeosprioides</w:t>
      </w:r>
      <w:proofErr w:type="spellEnd"/>
      <w:r w:rsidRPr="000A434A">
        <w:rPr>
          <w:rFonts w:ascii="Times New Roman" w:hAnsi="Times New Roman" w:cs="Times New Roman"/>
          <w:sz w:val="24"/>
          <w:szCs w:val="24"/>
        </w:rPr>
        <w:t xml:space="preserve">. Dual culture and poison food technique in turmeric was reported by </w:t>
      </w:r>
      <w:proofErr w:type="spellStart"/>
      <w:r w:rsidRPr="000A434A">
        <w:rPr>
          <w:rFonts w:ascii="Times New Roman" w:hAnsi="Times New Roman" w:cs="Times New Roman"/>
          <w:sz w:val="24"/>
          <w:szCs w:val="24"/>
        </w:rPr>
        <w:t>Kothikar</w:t>
      </w:r>
      <w:proofErr w:type="spellEnd"/>
      <w:r w:rsidRPr="000A434A">
        <w:rPr>
          <w:rFonts w:ascii="Times New Roman" w:hAnsi="Times New Roman" w:cs="Times New Roman"/>
          <w:sz w:val="24"/>
          <w:szCs w:val="24"/>
        </w:rPr>
        <w:t xml:space="preserve"> (2017).</w:t>
      </w:r>
    </w:p>
    <w:p w14:paraId="05524370" w14:textId="61E74B94" w:rsidR="000A434A" w:rsidRPr="000A434A" w:rsidRDefault="000A434A" w:rsidP="000A434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Pr="000A434A">
        <w:rPr>
          <w:rFonts w:ascii="Times New Roman" w:hAnsi="Times New Roman" w:cs="Times New Roman"/>
          <w:b/>
          <w:bCs/>
          <w:sz w:val="24"/>
          <w:szCs w:val="24"/>
        </w:rPr>
        <w:t>. Conclusion</w:t>
      </w:r>
    </w:p>
    <w:p w14:paraId="1E686207" w14:textId="1F7CC8B9" w:rsidR="000A434A" w:rsidRDefault="00A02E05" w:rsidP="00114CE0">
      <w:pPr>
        <w:spacing w:line="276" w:lineRule="auto"/>
        <w:ind w:firstLine="720"/>
        <w:jc w:val="both"/>
        <w:rPr>
          <w:rFonts w:ascii="Times New Roman" w:hAnsi="Times New Roman" w:cs="Times New Roman"/>
          <w:sz w:val="24"/>
          <w:szCs w:val="24"/>
        </w:rPr>
      </w:pPr>
      <w:r w:rsidRPr="00A02E05">
        <w:rPr>
          <w:rFonts w:ascii="Times New Roman" w:hAnsi="Times New Roman" w:cs="Times New Roman"/>
          <w:sz w:val="24"/>
          <w:szCs w:val="24"/>
        </w:rPr>
        <w:t xml:space="preserve">The current research </w:t>
      </w:r>
      <w:r>
        <w:rPr>
          <w:rFonts w:ascii="Times New Roman" w:hAnsi="Times New Roman" w:cs="Times New Roman"/>
          <w:sz w:val="24"/>
          <w:szCs w:val="24"/>
        </w:rPr>
        <w:t>confirmed</w:t>
      </w:r>
      <w:r w:rsidRPr="00A02E05">
        <w:rPr>
          <w:rFonts w:ascii="Times New Roman" w:hAnsi="Times New Roman" w:cs="Times New Roman"/>
          <w:sz w:val="24"/>
          <w:szCs w:val="24"/>
        </w:rPr>
        <w:t xml:space="preserve"> </w:t>
      </w:r>
      <w:proofErr w:type="spellStart"/>
      <w:r w:rsidRPr="00A02E05">
        <w:rPr>
          <w:rFonts w:ascii="Times New Roman" w:hAnsi="Times New Roman" w:cs="Times New Roman"/>
          <w:i/>
          <w:iCs/>
          <w:sz w:val="24"/>
          <w:szCs w:val="24"/>
        </w:rPr>
        <w:t>Fusicladium</w:t>
      </w:r>
      <w:proofErr w:type="spellEnd"/>
      <w:r w:rsidRPr="00A02E05">
        <w:rPr>
          <w:rFonts w:ascii="Times New Roman" w:hAnsi="Times New Roman" w:cs="Times New Roman"/>
          <w:i/>
          <w:iCs/>
          <w:sz w:val="24"/>
          <w:szCs w:val="24"/>
        </w:rPr>
        <w:t xml:space="preserve"> </w:t>
      </w:r>
      <w:proofErr w:type="spellStart"/>
      <w:r w:rsidRPr="00A02E05">
        <w:rPr>
          <w:rFonts w:ascii="Times New Roman" w:hAnsi="Times New Roman" w:cs="Times New Roman"/>
          <w:i/>
          <w:iCs/>
          <w:sz w:val="24"/>
          <w:szCs w:val="24"/>
        </w:rPr>
        <w:t>pongamiae</w:t>
      </w:r>
      <w:proofErr w:type="spellEnd"/>
      <w:r w:rsidRPr="00A02E05">
        <w:rPr>
          <w:rFonts w:ascii="Times New Roman" w:hAnsi="Times New Roman" w:cs="Times New Roman"/>
          <w:sz w:val="24"/>
          <w:szCs w:val="24"/>
        </w:rPr>
        <w:t xml:space="preserve"> as the cause of leaf spot and blight of </w:t>
      </w:r>
      <w:r w:rsidRPr="00A02E05">
        <w:rPr>
          <w:rFonts w:ascii="Times New Roman" w:hAnsi="Times New Roman" w:cs="Times New Roman"/>
          <w:i/>
          <w:iCs/>
          <w:sz w:val="24"/>
          <w:szCs w:val="24"/>
        </w:rPr>
        <w:t>Millettia pinnata</w:t>
      </w:r>
      <w:r w:rsidRPr="00A02E05">
        <w:rPr>
          <w:rFonts w:ascii="Times New Roman" w:hAnsi="Times New Roman" w:cs="Times New Roman"/>
          <w:sz w:val="24"/>
          <w:szCs w:val="24"/>
        </w:rPr>
        <w:t xml:space="preserve">. Pathogenicity tests confirmed its disease-causing ability. Of the treatments under test, </w:t>
      </w:r>
      <w:r w:rsidRPr="00A02E05">
        <w:rPr>
          <w:rFonts w:ascii="Times New Roman" w:hAnsi="Times New Roman" w:cs="Times New Roman"/>
          <w:i/>
          <w:iCs/>
          <w:sz w:val="24"/>
          <w:szCs w:val="24"/>
        </w:rPr>
        <w:t>Pseudomonas fluorescens</w:t>
      </w:r>
      <w:r w:rsidRPr="00A02E05">
        <w:rPr>
          <w:rFonts w:ascii="Times New Roman" w:hAnsi="Times New Roman" w:cs="Times New Roman"/>
          <w:sz w:val="24"/>
          <w:szCs w:val="24"/>
        </w:rPr>
        <w:t xml:space="preserve"> exhibited better in vitro antagonistic activity, followed by </w:t>
      </w:r>
      <w:r w:rsidRPr="00A02E05">
        <w:rPr>
          <w:rFonts w:ascii="Times New Roman" w:hAnsi="Times New Roman" w:cs="Times New Roman"/>
          <w:i/>
          <w:iCs/>
          <w:sz w:val="24"/>
          <w:szCs w:val="24"/>
        </w:rPr>
        <w:t>Trichoderma viride</w:t>
      </w:r>
      <w:r w:rsidRPr="00A02E05">
        <w:rPr>
          <w:rFonts w:ascii="Times New Roman" w:hAnsi="Times New Roman" w:cs="Times New Roman"/>
          <w:sz w:val="24"/>
          <w:szCs w:val="24"/>
        </w:rPr>
        <w:t xml:space="preserve">. The chemical fungicide Carbendazim (0.1%) inhibited greatest growth of fungi. These results demonstrate the potential of combining biocontrol agents with chemical management practices for successful disease suppression. These integrated strategies can decrease chemical dependency, encourage eco-friendly plant health management, and minimize environmental damage in </w:t>
      </w:r>
      <w:proofErr w:type="spellStart"/>
      <w:r w:rsidRPr="00A02E05">
        <w:rPr>
          <w:rFonts w:ascii="Times New Roman" w:hAnsi="Times New Roman" w:cs="Times New Roman"/>
          <w:sz w:val="24"/>
          <w:szCs w:val="24"/>
        </w:rPr>
        <w:t>Pongamia</w:t>
      </w:r>
      <w:proofErr w:type="spellEnd"/>
      <w:r w:rsidRPr="00A02E05">
        <w:rPr>
          <w:rFonts w:ascii="Times New Roman" w:hAnsi="Times New Roman" w:cs="Times New Roman"/>
          <w:sz w:val="24"/>
          <w:szCs w:val="24"/>
        </w:rPr>
        <w:t xml:space="preserve"> plantations infested by </w:t>
      </w:r>
      <w:r w:rsidRPr="00A02E05">
        <w:rPr>
          <w:rFonts w:ascii="Times New Roman" w:hAnsi="Times New Roman" w:cs="Times New Roman"/>
          <w:i/>
          <w:iCs/>
          <w:sz w:val="24"/>
          <w:szCs w:val="24"/>
        </w:rPr>
        <w:t xml:space="preserve">F. </w:t>
      </w:r>
      <w:proofErr w:type="spellStart"/>
      <w:r w:rsidRPr="00A02E05">
        <w:rPr>
          <w:rFonts w:ascii="Times New Roman" w:hAnsi="Times New Roman" w:cs="Times New Roman"/>
          <w:i/>
          <w:iCs/>
          <w:sz w:val="24"/>
          <w:szCs w:val="24"/>
        </w:rPr>
        <w:t>pongamiae</w:t>
      </w:r>
      <w:proofErr w:type="spellEnd"/>
      <w:r w:rsidRPr="00A02E05">
        <w:rPr>
          <w:rFonts w:ascii="Times New Roman" w:hAnsi="Times New Roman" w:cs="Times New Roman"/>
          <w:sz w:val="24"/>
          <w:szCs w:val="24"/>
        </w:rPr>
        <w:t>.</w:t>
      </w:r>
    </w:p>
    <w:p w14:paraId="72627585" w14:textId="77777777" w:rsidR="00300174" w:rsidRDefault="00300174" w:rsidP="00114CE0">
      <w:pPr>
        <w:spacing w:line="276" w:lineRule="auto"/>
        <w:ind w:firstLine="720"/>
        <w:jc w:val="both"/>
        <w:rPr>
          <w:rFonts w:ascii="Times New Roman" w:hAnsi="Times New Roman" w:cs="Times New Roman"/>
          <w:sz w:val="24"/>
          <w:szCs w:val="24"/>
        </w:rPr>
      </w:pPr>
    </w:p>
    <w:p w14:paraId="20B03A61" w14:textId="77777777" w:rsidR="00300174" w:rsidRDefault="00300174" w:rsidP="00114CE0">
      <w:pPr>
        <w:spacing w:line="276" w:lineRule="auto"/>
        <w:ind w:firstLine="720"/>
        <w:jc w:val="both"/>
        <w:rPr>
          <w:rFonts w:ascii="Times New Roman" w:hAnsi="Times New Roman" w:cs="Times New Roman"/>
          <w:sz w:val="24"/>
          <w:szCs w:val="24"/>
        </w:rPr>
      </w:pPr>
    </w:p>
    <w:p w14:paraId="0EE47D73" w14:textId="77777777" w:rsidR="00300174" w:rsidRDefault="00300174" w:rsidP="00114CE0">
      <w:pPr>
        <w:spacing w:line="276" w:lineRule="auto"/>
        <w:ind w:firstLine="720"/>
        <w:jc w:val="both"/>
        <w:rPr>
          <w:rFonts w:ascii="Times New Roman" w:hAnsi="Times New Roman" w:cs="Times New Roman"/>
          <w:sz w:val="24"/>
          <w:szCs w:val="24"/>
        </w:rPr>
      </w:pPr>
    </w:p>
    <w:p w14:paraId="0CAC1C77" w14:textId="6D92B2F9" w:rsidR="002F06C3" w:rsidRPr="002F06C3" w:rsidRDefault="002F06C3" w:rsidP="002F06C3">
      <w:pPr>
        <w:spacing w:line="276" w:lineRule="auto"/>
        <w:jc w:val="both"/>
        <w:rPr>
          <w:rFonts w:ascii="Times New Roman" w:hAnsi="Times New Roman" w:cs="Times New Roman"/>
          <w:b/>
          <w:bCs/>
          <w:sz w:val="24"/>
          <w:szCs w:val="24"/>
        </w:rPr>
      </w:pPr>
      <w:r w:rsidRPr="002F06C3">
        <w:rPr>
          <w:rFonts w:ascii="Times New Roman" w:hAnsi="Times New Roman" w:cs="Times New Roman"/>
          <w:b/>
          <w:bCs/>
          <w:sz w:val="24"/>
          <w:szCs w:val="24"/>
        </w:rPr>
        <w:t>Conflict of interest:</w:t>
      </w:r>
    </w:p>
    <w:p w14:paraId="142D81E0" w14:textId="4D0D5A7C" w:rsidR="002F06C3" w:rsidRDefault="002F06C3" w:rsidP="002F06C3">
      <w:pPr>
        <w:spacing w:line="276" w:lineRule="auto"/>
        <w:jc w:val="both"/>
        <w:rPr>
          <w:rFonts w:ascii="Times New Roman" w:hAnsi="Times New Roman" w:cs="Times New Roman"/>
          <w:sz w:val="24"/>
          <w:szCs w:val="24"/>
        </w:rPr>
      </w:pPr>
      <w:r>
        <w:rPr>
          <w:rFonts w:ascii="Times New Roman" w:hAnsi="Times New Roman" w:cs="Times New Roman"/>
          <w:sz w:val="24"/>
          <w:szCs w:val="24"/>
        </w:rPr>
        <w:t>No potential conflict of interest was reported by the authors</w:t>
      </w:r>
    </w:p>
    <w:p w14:paraId="0E4742F3" w14:textId="77777777" w:rsidR="00300174" w:rsidRDefault="00300174" w:rsidP="002F06C3">
      <w:pPr>
        <w:spacing w:line="276" w:lineRule="auto"/>
        <w:jc w:val="both"/>
        <w:rPr>
          <w:rFonts w:ascii="Times New Roman" w:hAnsi="Times New Roman" w:cs="Times New Roman"/>
          <w:sz w:val="24"/>
          <w:szCs w:val="24"/>
        </w:rPr>
      </w:pPr>
    </w:p>
    <w:p w14:paraId="54DCA5B7" w14:textId="77777777" w:rsidR="00300174" w:rsidRDefault="00300174" w:rsidP="002F06C3">
      <w:pPr>
        <w:spacing w:line="276" w:lineRule="auto"/>
        <w:jc w:val="both"/>
        <w:rPr>
          <w:rFonts w:ascii="Times New Roman" w:hAnsi="Times New Roman" w:cs="Times New Roman"/>
          <w:sz w:val="24"/>
          <w:szCs w:val="24"/>
        </w:rPr>
      </w:pPr>
    </w:p>
    <w:p w14:paraId="6CFE4D32" w14:textId="77777777" w:rsidR="00300174" w:rsidRPr="00300174" w:rsidRDefault="00300174" w:rsidP="00300174">
      <w:pPr>
        <w:spacing w:line="276" w:lineRule="auto"/>
        <w:jc w:val="both"/>
        <w:rPr>
          <w:rFonts w:ascii="Times New Roman" w:hAnsi="Times New Roman" w:cs="Times New Roman"/>
          <w:sz w:val="24"/>
          <w:szCs w:val="24"/>
        </w:rPr>
      </w:pPr>
      <w:r w:rsidRPr="00300174">
        <w:rPr>
          <w:rFonts w:ascii="Times New Roman" w:hAnsi="Times New Roman" w:cs="Times New Roman"/>
          <w:sz w:val="24"/>
          <w:szCs w:val="24"/>
        </w:rPr>
        <w:t>COMPETING INTERESTS DISCLAIMER:</w:t>
      </w:r>
    </w:p>
    <w:p w14:paraId="19602619" w14:textId="72E46142" w:rsidR="00300174" w:rsidRPr="00A02E05" w:rsidRDefault="00300174" w:rsidP="00300174">
      <w:pPr>
        <w:spacing w:line="276" w:lineRule="auto"/>
        <w:jc w:val="both"/>
        <w:rPr>
          <w:rFonts w:ascii="Times New Roman" w:hAnsi="Times New Roman" w:cs="Times New Roman"/>
          <w:sz w:val="24"/>
          <w:szCs w:val="24"/>
        </w:rPr>
      </w:pPr>
      <w:r w:rsidRPr="00300174">
        <w:rPr>
          <w:rFonts w:ascii="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paper.</w:t>
      </w:r>
    </w:p>
    <w:p w14:paraId="03C80E12" w14:textId="69A5F301" w:rsidR="000A434A" w:rsidRPr="000A434A" w:rsidRDefault="000A434A" w:rsidP="000A434A">
      <w:pPr>
        <w:spacing w:line="360" w:lineRule="auto"/>
        <w:jc w:val="both"/>
        <w:rPr>
          <w:rFonts w:ascii="Times New Roman" w:hAnsi="Times New Roman" w:cs="Times New Roman"/>
          <w:b/>
          <w:bCs/>
          <w:sz w:val="24"/>
          <w:szCs w:val="24"/>
        </w:rPr>
      </w:pPr>
      <w:r w:rsidRPr="000A434A">
        <w:rPr>
          <w:rFonts w:ascii="Times New Roman" w:hAnsi="Times New Roman" w:cs="Times New Roman"/>
          <w:b/>
          <w:bCs/>
          <w:sz w:val="24"/>
          <w:szCs w:val="24"/>
        </w:rPr>
        <w:t>References</w:t>
      </w:r>
    </w:p>
    <w:p w14:paraId="53C4F96E" w14:textId="77777777" w:rsidR="00FD2CC7" w:rsidRDefault="00FD2CC7" w:rsidP="00FD2CC7">
      <w:pPr>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Baker, K. F., &amp; Cook, R. J. (1974). </w:t>
      </w:r>
      <w:r w:rsidRPr="00F01D91">
        <w:rPr>
          <w:rFonts w:ascii="Times New Roman" w:hAnsi="Times New Roman" w:cs="Times New Roman"/>
          <w:i/>
          <w:iCs/>
          <w:sz w:val="24"/>
          <w:szCs w:val="24"/>
        </w:rPr>
        <w:t>Biological control of plant pathogens</w:t>
      </w:r>
      <w:r w:rsidRPr="00F01D91">
        <w:rPr>
          <w:rFonts w:ascii="Times New Roman" w:hAnsi="Times New Roman" w:cs="Times New Roman"/>
          <w:sz w:val="24"/>
          <w:szCs w:val="24"/>
        </w:rPr>
        <w:t>. W. H. Freeman and Company</w:t>
      </w:r>
    </w:p>
    <w:p w14:paraId="46A1D238"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Bhanumathi, A., &amp; Rai, V. R. (2007). Leaf blight of </w:t>
      </w:r>
      <w:proofErr w:type="spellStart"/>
      <w:r w:rsidRPr="00F01D91">
        <w:rPr>
          <w:rFonts w:ascii="Times New Roman" w:hAnsi="Times New Roman" w:cs="Times New Roman"/>
          <w:i/>
          <w:iCs/>
          <w:sz w:val="24"/>
          <w:szCs w:val="24"/>
        </w:rPr>
        <w:t>Azadirachta</w:t>
      </w:r>
      <w:proofErr w:type="spellEnd"/>
      <w:r w:rsidRPr="00F01D91">
        <w:rPr>
          <w:rFonts w:ascii="Times New Roman" w:hAnsi="Times New Roman" w:cs="Times New Roman"/>
          <w:i/>
          <w:iCs/>
          <w:sz w:val="24"/>
          <w:szCs w:val="24"/>
        </w:rPr>
        <w:t xml:space="preserve"> </w:t>
      </w:r>
      <w:proofErr w:type="spellStart"/>
      <w:r w:rsidRPr="00F01D91">
        <w:rPr>
          <w:rFonts w:ascii="Times New Roman" w:hAnsi="Times New Roman" w:cs="Times New Roman"/>
          <w:i/>
          <w:iCs/>
          <w:sz w:val="24"/>
          <w:szCs w:val="24"/>
        </w:rPr>
        <w:t>indica</w:t>
      </w:r>
      <w:proofErr w:type="spellEnd"/>
      <w:r w:rsidRPr="00F01D91">
        <w:rPr>
          <w:rFonts w:ascii="Times New Roman" w:hAnsi="Times New Roman" w:cs="Times New Roman"/>
          <w:sz w:val="24"/>
          <w:szCs w:val="24"/>
        </w:rPr>
        <w:t xml:space="preserve"> and its management in vitro. </w:t>
      </w:r>
      <w:r w:rsidRPr="00F01D91">
        <w:rPr>
          <w:rFonts w:ascii="Times New Roman" w:hAnsi="Times New Roman" w:cs="Times New Roman"/>
          <w:i/>
          <w:iCs/>
          <w:sz w:val="24"/>
          <w:szCs w:val="24"/>
        </w:rPr>
        <w:t>African Journal of Agricultural Research</w:t>
      </w:r>
      <w:r w:rsidRPr="00F01D91">
        <w:rPr>
          <w:rFonts w:ascii="Times New Roman" w:hAnsi="Times New Roman" w:cs="Times New Roman"/>
          <w:sz w:val="24"/>
          <w:szCs w:val="24"/>
        </w:rPr>
        <w:t>, 2(10), 538–543.</w:t>
      </w:r>
    </w:p>
    <w:p w14:paraId="490A7F57"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Chaube, H. S., Mishra, D. S., Varshney, S., &amp; Singh, U. S. (2002). Biological control of plant pathogens by fungal antagonists: Historical background, present status and future prospects. </w:t>
      </w:r>
      <w:r w:rsidRPr="00F01D91">
        <w:rPr>
          <w:rFonts w:ascii="Times New Roman" w:hAnsi="Times New Roman" w:cs="Times New Roman"/>
          <w:i/>
          <w:iCs/>
          <w:sz w:val="24"/>
          <w:szCs w:val="24"/>
        </w:rPr>
        <w:t>Annual Review of Plant Pathology</w:t>
      </w:r>
      <w:r w:rsidRPr="00F01D91">
        <w:rPr>
          <w:rFonts w:ascii="Times New Roman" w:hAnsi="Times New Roman" w:cs="Times New Roman"/>
          <w:sz w:val="24"/>
          <w:szCs w:val="24"/>
        </w:rPr>
        <w:t>, 2, 1–42.</w:t>
      </w:r>
    </w:p>
    <w:p w14:paraId="32C41402"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proofErr w:type="spellStart"/>
      <w:r w:rsidRPr="00F01D91">
        <w:rPr>
          <w:rFonts w:ascii="Times New Roman" w:hAnsi="Times New Roman" w:cs="Times New Roman"/>
          <w:sz w:val="24"/>
          <w:szCs w:val="24"/>
        </w:rPr>
        <w:t>Dadwal</w:t>
      </w:r>
      <w:proofErr w:type="spellEnd"/>
      <w:r w:rsidRPr="00F01D91">
        <w:rPr>
          <w:rFonts w:ascii="Times New Roman" w:hAnsi="Times New Roman" w:cs="Times New Roman"/>
          <w:sz w:val="24"/>
          <w:szCs w:val="24"/>
        </w:rPr>
        <w:t xml:space="preserve">, V. S., &amp; Soni, K. K. (1981). Studies on </w:t>
      </w:r>
      <w:proofErr w:type="spellStart"/>
      <w:r w:rsidRPr="00F01D91">
        <w:rPr>
          <w:rFonts w:ascii="Times New Roman" w:hAnsi="Times New Roman" w:cs="Times New Roman"/>
          <w:sz w:val="24"/>
          <w:szCs w:val="24"/>
        </w:rPr>
        <w:t>Fusicladium</w:t>
      </w:r>
      <w:proofErr w:type="spellEnd"/>
      <w:r w:rsidRPr="00F01D91">
        <w:rPr>
          <w:rFonts w:ascii="Times New Roman" w:hAnsi="Times New Roman" w:cs="Times New Roman"/>
          <w:sz w:val="24"/>
          <w:szCs w:val="24"/>
        </w:rPr>
        <w:t xml:space="preserve"> leaf spot of </w:t>
      </w:r>
      <w:proofErr w:type="spellStart"/>
      <w:r w:rsidRPr="00F01D91">
        <w:rPr>
          <w:rFonts w:ascii="Times New Roman" w:hAnsi="Times New Roman" w:cs="Times New Roman"/>
          <w:i/>
          <w:iCs/>
          <w:sz w:val="24"/>
          <w:szCs w:val="24"/>
        </w:rPr>
        <w:t>Pongamia</w:t>
      </w:r>
      <w:proofErr w:type="spellEnd"/>
      <w:r w:rsidRPr="00F01D91">
        <w:rPr>
          <w:rFonts w:ascii="Times New Roman" w:hAnsi="Times New Roman" w:cs="Times New Roman"/>
          <w:i/>
          <w:iCs/>
          <w:sz w:val="24"/>
          <w:szCs w:val="24"/>
        </w:rPr>
        <w:t xml:space="preserve"> </w:t>
      </w:r>
      <w:proofErr w:type="spellStart"/>
      <w:r w:rsidRPr="00F01D91">
        <w:rPr>
          <w:rFonts w:ascii="Times New Roman" w:hAnsi="Times New Roman" w:cs="Times New Roman"/>
          <w:i/>
          <w:iCs/>
          <w:sz w:val="24"/>
          <w:szCs w:val="24"/>
        </w:rPr>
        <w:t>pinnata</w:t>
      </w:r>
      <w:proofErr w:type="spellEnd"/>
      <w:r w:rsidRPr="00F01D91">
        <w:rPr>
          <w:rFonts w:ascii="Times New Roman" w:hAnsi="Times New Roman" w:cs="Times New Roman"/>
          <w:sz w:val="24"/>
          <w:szCs w:val="24"/>
        </w:rPr>
        <w:t xml:space="preserve">. </w:t>
      </w:r>
      <w:r w:rsidRPr="00F01D91">
        <w:rPr>
          <w:rFonts w:ascii="Times New Roman" w:hAnsi="Times New Roman" w:cs="Times New Roman"/>
          <w:i/>
          <w:iCs/>
          <w:sz w:val="24"/>
          <w:szCs w:val="24"/>
        </w:rPr>
        <w:t>Indian Forester</w:t>
      </w:r>
      <w:r w:rsidRPr="00F01D91">
        <w:rPr>
          <w:rFonts w:ascii="Times New Roman" w:hAnsi="Times New Roman" w:cs="Times New Roman"/>
          <w:sz w:val="24"/>
          <w:szCs w:val="24"/>
        </w:rPr>
        <w:t xml:space="preserve">, 107(8), 500–504. </w:t>
      </w:r>
    </w:p>
    <w:p w14:paraId="27405DAE"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Elad, Y. (2000). Biological control of foliar pathogens by means of </w:t>
      </w:r>
      <w:r w:rsidRPr="00F01D91">
        <w:rPr>
          <w:rFonts w:ascii="Times New Roman" w:hAnsi="Times New Roman" w:cs="Times New Roman"/>
          <w:i/>
          <w:iCs/>
          <w:sz w:val="24"/>
          <w:szCs w:val="24"/>
        </w:rPr>
        <w:t xml:space="preserve">Trichoderma </w:t>
      </w:r>
      <w:proofErr w:type="spellStart"/>
      <w:r w:rsidRPr="00F01D91">
        <w:rPr>
          <w:rFonts w:ascii="Times New Roman" w:hAnsi="Times New Roman" w:cs="Times New Roman"/>
          <w:i/>
          <w:iCs/>
          <w:sz w:val="24"/>
          <w:szCs w:val="24"/>
        </w:rPr>
        <w:t>harzianum</w:t>
      </w:r>
      <w:proofErr w:type="spellEnd"/>
      <w:r w:rsidRPr="00F01D91">
        <w:rPr>
          <w:rFonts w:ascii="Times New Roman" w:hAnsi="Times New Roman" w:cs="Times New Roman"/>
          <w:sz w:val="24"/>
          <w:szCs w:val="24"/>
        </w:rPr>
        <w:t xml:space="preserve"> and potential modes of action. </w:t>
      </w:r>
      <w:r w:rsidRPr="00F01D91">
        <w:rPr>
          <w:rFonts w:ascii="Times New Roman" w:hAnsi="Times New Roman" w:cs="Times New Roman"/>
          <w:i/>
          <w:iCs/>
          <w:sz w:val="24"/>
          <w:szCs w:val="24"/>
        </w:rPr>
        <w:t>Crop Protection</w:t>
      </w:r>
      <w:r w:rsidRPr="00F01D91">
        <w:rPr>
          <w:rFonts w:ascii="Times New Roman" w:hAnsi="Times New Roman" w:cs="Times New Roman"/>
          <w:sz w:val="24"/>
          <w:szCs w:val="24"/>
        </w:rPr>
        <w:t>, 19(8–10), 709–714.</w:t>
      </w:r>
    </w:p>
    <w:p w14:paraId="6B56A497"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Elad, Y., Chet, I., &amp; Katan, J. (1980). </w:t>
      </w:r>
      <w:r w:rsidRPr="00F01D91">
        <w:rPr>
          <w:rFonts w:ascii="Times New Roman" w:hAnsi="Times New Roman" w:cs="Times New Roman"/>
          <w:i/>
          <w:iCs/>
          <w:sz w:val="24"/>
          <w:szCs w:val="24"/>
        </w:rPr>
        <w:t xml:space="preserve">Trichoderma </w:t>
      </w:r>
      <w:proofErr w:type="spellStart"/>
      <w:r w:rsidRPr="00F01D91">
        <w:rPr>
          <w:rFonts w:ascii="Times New Roman" w:hAnsi="Times New Roman" w:cs="Times New Roman"/>
          <w:i/>
          <w:iCs/>
          <w:sz w:val="24"/>
          <w:szCs w:val="24"/>
        </w:rPr>
        <w:t>harzianum</w:t>
      </w:r>
      <w:proofErr w:type="spellEnd"/>
      <w:r w:rsidRPr="00F01D91">
        <w:rPr>
          <w:rFonts w:ascii="Times New Roman" w:hAnsi="Times New Roman" w:cs="Times New Roman"/>
          <w:sz w:val="24"/>
          <w:szCs w:val="24"/>
        </w:rPr>
        <w:t xml:space="preserve">: A biocontrol agent effective against </w:t>
      </w:r>
      <w:r w:rsidRPr="00F01D91">
        <w:rPr>
          <w:rFonts w:ascii="Times New Roman" w:hAnsi="Times New Roman" w:cs="Times New Roman"/>
          <w:i/>
          <w:iCs/>
          <w:sz w:val="24"/>
          <w:szCs w:val="24"/>
        </w:rPr>
        <w:t xml:space="preserve">Sclerotium </w:t>
      </w:r>
      <w:proofErr w:type="spellStart"/>
      <w:r w:rsidRPr="00F01D91">
        <w:rPr>
          <w:rFonts w:ascii="Times New Roman" w:hAnsi="Times New Roman" w:cs="Times New Roman"/>
          <w:i/>
          <w:iCs/>
          <w:sz w:val="24"/>
          <w:szCs w:val="24"/>
        </w:rPr>
        <w:t>rolfsii</w:t>
      </w:r>
      <w:proofErr w:type="spellEnd"/>
      <w:r w:rsidRPr="00F01D91">
        <w:rPr>
          <w:rFonts w:ascii="Times New Roman" w:hAnsi="Times New Roman" w:cs="Times New Roman"/>
          <w:sz w:val="24"/>
          <w:szCs w:val="24"/>
        </w:rPr>
        <w:t xml:space="preserve"> and </w:t>
      </w:r>
      <w:proofErr w:type="spellStart"/>
      <w:r w:rsidRPr="00F01D91">
        <w:rPr>
          <w:rFonts w:ascii="Times New Roman" w:hAnsi="Times New Roman" w:cs="Times New Roman"/>
          <w:i/>
          <w:iCs/>
          <w:sz w:val="24"/>
          <w:szCs w:val="24"/>
        </w:rPr>
        <w:t>Rhizoctonia</w:t>
      </w:r>
      <w:proofErr w:type="spellEnd"/>
      <w:r w:rsidRPr="00F01D91">
        <w:rPr>
          <w:rFonts w:ascii="Times New Roman" w:hAnsi="Times New Roman" w:cs="Times New Roman"/>
          <w:i/>
          <w:iCs/>
          <w:sz w:val="24"/>
          <w:szCs w:val="24"/>
        </w:rPr>
        <w:t xml:space="preserve"> </w:t>
      </w:r>
      <w:proofErr w:type="spellStart"/>
      <w:r w:rsidRPr="00F01D91">
        <w:rPr>
          <w:rFonts w:ascii="Times New Roman" w:hAnsi="Times New Roman" w:cs="Times New Roman"/>
          <w:i/>
          <w:iCs/>
          <w:sz w:val="24"/>
          <w:szCs w:val="24"/>
        </w:rPr>
        <w:t>solani</w:t>
      </w:r>
      <w:proofErr w:type="spellEnd"/>
      <w:r w:rsidRPr="00F01D91">
        <w:rPr>
          <w:rFonts w:ascii="Times New Roman" w:hAnsi="Times New Roman" w:cs="Times New Roman"/>
          <w:sz w:val="24"/>
          <w:szCs w:val="24"/>
        </w:rPr>
        <w:t xml:space="preserve">. </w:t>
      </w:r>
      <w:r w:rsidRPr="00F01D91">
        <w:rPr>
          <w:rFonts w:ascii="Times New Roman" w:hAnsi="Times New Roman" w:cs="Times New Roman"/>
          <w:i/>
          <w:iCs/>
          <w:sz w:val="24"/>
          <w:szCs w:val="24"/>
        </w:rPr>
        <w:t>Phytopathology</w:t>
      </w:r>
      <w:r w:rsidRPr="00F01D91">
        <w:rPr>
          <w:rFonts w:ascii="Times New Roman" w:hAnsi="Times New Roman" w:cs="Times New Roman"/>
          <w:sz w:val="24"/>
          <w:szCs w:val="24"/>
        </w:rPr>
        <w:t>, 70(2), 119–121.</w:t>
      </w:r>
    </w:p>
    <w:p w14:paraId="75F52086"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Hossain, M. Z. (2007). </w:t>
      </w:r>
      <w:r w:rsidRPr="00F01D91">
        <w:rPr>
          <w:rFonts w:ascii="Times New Roman" w:hAnsi="Times New Roman" w:cs="Times New Roman"/>
          <w:i/>
          <w:iCs/>
          <w:sz w:val="24"/>
          <w:szCs w:val="24"/>
        </w:rPr>
        <w:t xml:space="preserve">Monograph on </w:t>
      </w:r>
      <w:proofErr w:type="spellStart"/>
      <w:r w:rsidRPr="00F01D91">
        <w:rPr>
          <w:rFonts w:ascii="Times New Roman" w:hAnsi="Times New Roman" w:cs="Times New Roman"/>
          <w:i/>
          <w:iCs/>
          <w:sz w:val="24"/>
          <w:szCs w:val="24"/>
        </w:rPr>
        <w:t>Pongamia</w:t>
      </w:r>
      <w:proofErr w:type="spellEnd"/>
      <w:r w:rsidRPr="00F01D91">
        <w:rPr>
          <w:rFonts w:ascii="Times New Roman" w:hAnsi="Times New Roman" w:cs="Times New Roman"/>
          <w:i/>
          <w:iCs/>
          <w:sz w:val="24"/>
          <w:szCs w:val="24"/>
        </w:rPr>
        <w:t xml:space="preserve"> </w:t>
      </w:r>
      <w:proofErr w:type="spellStart"/>
      <w:r w:rsidRPr="00F01D91">
        <w:rPr>
          <w:rFonts w:ascii="Times New Roman" w:hAnsi="Times New Roman" w:cs="Times New Roman"/>
          <w:i/>
          <w:iCs/>
          <w:sz w:val="24"/>
          <w:szCs w:val="24"/>
        </w:rPr>
        <w:t>pinnata</w:t>
      </w:r>
      <w:proofErr w:type="spellEnd"/>
      <w:r w:rsidRPr="00F01D91">
        <w:rPr>
          <w:rFonts w:ascii="Times New Roman" w:hAnsi="Times New Roman" w:cs="Times New Roman"/>
          <w:i/>
          <w:iCs/>
          <w:sz w:val="24"/>
          <w:szCs w:val="24"/>
        </w:rPr>
        <w:t xml:space="preserve"> (Linn.) Pierre</w:t>
      </w:r>
      <w:r w:rsidRPr="00F01D91">
        <w:rPr>
          <w:rFonts w:ascii="Times New Roman" w:hAnsi="Times New Roman" w:cs="Times New Roman"/>
          <w:sz w:val="24"/>
          <w:szCs w:val="24"/>
        </w:rPr>
        <w:t>. Forestry and Wood Technology Discipline, Khulna University.</w:t>
      </w:r>
    </w:p>
    <w:p w14:paraId="57EDB5A1"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Kohl, J., </w:t>
      </w:r>
      <w:proofErr w:type="spellStart"/>
      <w:r w:rsidRPr="00F01D91">
        <w:rPr>
          <w:rFonts w:ascii="Times New Roman" w:hAnsi="Times New Roman" w:cs="Times New Roman"/>
          <w:sz w:val="24"/>
          <w:szCs w:val="24"/>
        </w:rPr>
        <w:t>Kolnaar</w:t>
      </w:r>
      <w:proofErr w:type="spellEnd"/>
      <w:r w:rsidRPr="00F01D91">
        <w:rPr>
          <w:rFonts w:ascii="Times New Roman" w:hAnsi="Times New Roman" w:cs="Times New Roman"/>
          <w:sz w:val="24"/>
          <w:szCs w:val="24"/>
        </w:rPr>
        <w:t xml:space="preserve">, R., &amp; </w:t>
      </w:r>
      <w:proofErr w:type="spellStart"/>
      <w:r w:rsidRPr="00F01D91">
        <w:rPr>
          <w:rFonts w:ascii="Times New Roman" w:hAnsi="Times New Roman" w:cs="Times New Roman"/>
          <w:sz w:val="24"/>
          <w:szCs w:val="24"/>
        </w:rPr>
        <w:t>Ravensberg</w:t>
      </w:r>
      <w:proofErr w:type="spellEnd"/>
      <w:r w:rsidRPr="00F01D91">
        <w:rPr>
          <w:rFonts w:ascii="Times New Roman" w:hAnsi="Times New Roman" w:cs="Times New Roman"/>
          <w:sz w:val="24"/>
          <w:szCs w:val="24"/>
        </w:rPr>
        <w:t xml:space="preserve">, W. J. (2019). Mode of action of microbial biological control agents against plant diseases: Relevance beyond efficacy. </w:t>
      </w:r>
      <w:r w:rsidRPr="00F01D91">
        <w:rPr>
          <w:rFonts w:ascii="Times New Roman" w:hAnsi="Times New Roman" w:cs="Times New Roman"/>
          <w:i/>
          <w:iCs/>
          <w:sz w:val="24"/>
          <w:szCs w:val="24"/>
        </w:rPr>
        <w:t>Frontiers in Plant Science</w:t>
      </w:r>
      <w:r w:rsidRPr="00F01D91">
        <w:rPr>
          <w:rFonts w:ascii="Times New Roman" w:hAnsi="Times New Roman" w:cs="Times New Roman"/>
          <w:sz w:val="24"/>
          <w:szCs w:val="24"/>
        </w:rPr>
        <w:t>, 10, 845.</w:t>
      </w:r>
    </w:p>
    <w:p w14:paraId="555DD28E"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proofErr w:type="spellStart"/>
      <w:r w:rsidRPr="00F01D91">
        <w:rPr>
          <w:rFonts w:ascii="Times New Roman" w:hAnsi="Times New Roman" w:cs="Times New Roman"/>
          <w:sz w:val="24"/>
          <w:szCs w:val="24"/>
        </w:rPr>
        <w:t>Kothikar</w:t>
      </w:r>
      <w:proofErr w:type="spellEnd"/>
      <w:r w:rsidRPr="00F01D91">
        <w:rPr>
          <w:rFonts w:ascii="Times New Roman" w:hAnsi="Times New Roman" w:cs="Times New Roman"/>
          <w:sz w:val="24"/>
          <w:szCs w:val="24"/>
        </w:rPr>
        <w:t xml:space="preserve">, R. (2017). Screening of fungicides, botanicals and bioagents against </w:t>
      </w:r>
      <w:r w:rsidRPr="00F01D91">
        <w:rPr>
          <w:rFonts w:ascii="Times New Roman" w:hAnsi="Times New Roman" w:cs="Times New Roman"/>
          <w:i/>
          <w:iCs/>
          <w:sz w:val="24"/>
          <w:szCs w:val="24"/>
        </w:rPr>
        <w:t xml:space="preserve">Colletotrichum </w:t>
      </w:r>
      <w:proofErr w:type="spellStart"/>
      <w:r w:rsidRPr="00F01D91">
        <w:rPr>
          <w:rFonts w:ascii="Times New Roman" w:hAnsi="Times New Roman" w:cs="Times New Roman"/>
          <w:i/>
          <w:iCs/>
          <w:sz w:val="24"/>
          <w:szCs w:val="24"/>
        </w:rPr>
        <w:t>dematium</w:t>
      </w:r>
      <w:proofErr w:type="spellEnd"/>
      <w:r w:rsidRPr="00F01D91">
        <w:rPr>
          <w:rFonts w:ascii="Times New Roman" w:hAnsi="Times New Roman" w:cs="Times New Roman"/>
          <w:sz w:val="24"/>
          <w:szCs w:val="24"/>
        </w:rPr>
        <w:t xml:space="preserve"> in vitro. </w:t>
      </w:r>
      <w:r w:rsidRPr="00F01D91">
        <w:rPr>
          <w:rFonts w:ascii="Times New Roman" w:hAnsi="Times New Roman" w:cs="Times New Roman"/>
          <w:i/>
          <w:iCs/>
          <w:sz w:val="24"/>
          <w:szCs w:val="24"/>
        </w:rPr>
        <w:t>MAYFEB Journal of Agricultural Science</w:t>
      </w:r>
      <w:r w:rsidRPr="00F01D91">
        <w:rPr>
          <w:rFonts w:ascii="Times New Roman" w:hAnsi="Times New Roman" w:cs="Times New Roman"/>
          <w:sz w:val="24"/>
          <w:szCs w:val="24"/>
        </w:rPr>
        <w:t>, 3, 1–6.</w:t>
      </w:r>
    </w:p>
    <w:p w14:paraId="0B636F1A"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Morandi, M. A. B., De Paula Júnior, T. J., </w:t>
      </w:r>
      <w:proofErr w:type="spellStart"/>
      <w:r w:rsidRPr="00F01D91">
        <w:rPr>
          <w:rFonts w:ascii="Times New Roman" w:hAnsi="Times New Roman" w:cs="Times New Roman"/>
          <w:sz w:val="24"/>
          <w:szCs w:val="24"/>
        </w:rPr>
        <w:t>Bettiol</w:t>
      </w:r>
      <w:proofErr w:type="spellEnd"/>
      <w:r w:rsidRPr="00F01D91">
        <w:rPr>
          <w:rFonts w:ascii="Times New Roman" w:hAnsi="Times New Roman" w:cs="Times New Roman"/>
          <w:sz w:val="24"/>
          <w:szCs w:val="24"/>
        </w:rPr>
        <w:t xml:space="preserve">, W., &amp; Teixeira, H. (2009). Biological control of pathogenic fungi. </w:t>
      </w:r>
      <w:r w:rsidRPr="00F01D91">
        <w:rPr>
          <w:rFonts w:ascii="Times New Roman" w:hAnsi="Times New Roman" w:cs="Times New Roman"/>
          <w:i/>
          <w:iCs/>
          <w:sz w:val="24"/>
          <w:szCs w:val="24"/>
        </w:rPr>
        <w:t xml:space="preserve">Informe </w:t>
      </w:r>
      <w:proofErr w:type="spellStart"/>
      <w:r w:rsidRPr="00F01D91">
        <w:rPr>
          <w:rFonts w:ascii="Times New Roman" w:hAnsi="Times New Roman" w:cs="Times New Roman"/>
          <w:i/>
          <w:iCs/>
          <w:sz w:val="24"/>
          <w:szCs w:val="24"/>
        </w:rPr>
        <w:t>Agropecuário</w:t>
      </w:r>
      <w:proofErr w:type="spellEnd"/>
      <w:r w:rsidRPr="00F01D91">
        <w:rPr>
          <w:rFonts w:ascii="Times New Roman" w:hAnsi="Times New Roman" w:cs="Times New Roman"/>
          <w:sz w:val="24"/>
          <w:szCs w:val="24"/>
        </w:rPr>
        <w:t>, 30(251), 73–82.</w:t>
      </w:r>
    </w:p>
    <w:p w14:paraId="00A9DFF0"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proofErr w:type="spellStart"/>
      <w:r w:rsidRPr="00F01D91">
        <w:rPr>
          <w:rFonts w:ascii="Times New Roman" w:hAnsi="Times New Roman" w:cs="Times New Roman"/>
          <w:sz w:val="24"/>
          <w:szCs w:val="24"/>
        </w:rPr>
        <w:t>Mridha</w:t>
      </w:r>
      <w:proofErr w:type="spellEnd"/>
      <w:r w:rsidRPr="00F01D91">
        <w:rPr>
          <w:rFonts w:ascii="Times New Roman" w:hAnsi="Times New Roman" w:cs="Times New Roman"/>
          <w:sz w:val="24"/>
          <w:szCs w:val="24"/>
        </w:rPr>
        <w:t xml:space="preserve">, M. A. U., Jabbar, F., Bhuiyan, M. K., Rahman, M., Akter, F., &amp; Dewan, S. (2007). The severity and cause of leaf spot disease of </w:t>
      </w:r>
      <w:proofErr w:type="spellStart"/>
      <w:r w:rsidRPr="00F01D91">
        <w:rPr>
          <w:rFonts w:ascii="Times New Roman" w:hAnsi="Times New Roman" w:cs="Times New Roman"/>
          <w:i/>
          <w:iCs/>
          <w:sz w:val="24"/>
          <w:szCs w:val="24"/>
        </w:rPr>
        <w:t>Pongamia</w:t>
      </w:r>
      <w:proofErr w:type="spellEnd"/>
      <w:r w:rsidRPr="00F01D91">
        <w:rPr>
          <w:rFonts w:ascii="Times New Roman" w:hAnsi="Times New Roman" w:cs="Times New Roman"/>
          <w:i/>
          <w:iCs/>
          <w:sz w:val="24"/>
          <w:szCs w:val="24"/>
        </w:rPr>
        <w:t xml:space="preserve"> </w:t>
      </w:r>
      <w:proofErr w:type="spellStart"/>
      <w:r w:rsidRPr="00F01D91">
        <w:rPr>
          <w:rFonts w:ascii="Times New Roman" w:hAnsi="Times New Roman" w:cs="Times New Roman"/>
          <w:i/>
          <w:iCs/>
          <w:sz w:val="24"/>
          <w:szCs w:val="24"/>
        </w:rPr>
        <w:t>pinnata</w:t>
      </w:r>
      <w:proofErr w:type="spellEnd"/>
      <w:r w:rsidRPr="00F01D91">
        <w:rPr>
          <w:rFonts w:ascii="Times New Roman" w:hAnsi="Times New Roman" w:cs="Times New Roman"/>
          <w:sz w:val="24"/>
          <w:szCs w:val="24"/>
        </w:rPr>
        <w:t xml:space="preserve"> L. and fungicidal control of the pathogen. </w:t>
      </w:r>
      <w:r w:rsidRPr="00F01D91">
        <w:rPr>
          <w:rFonts w:ascii="Times New Roman" w:hAnsi="Times New Roman" w:cs="Times New Roman"/>
          <w:i/>
          <w:iCs/>
          <w:sz w:val="24"/>
          <w:szCs w:val="24"/>
        </w:rPr>
        <w:t>Journal of Forestry Research</w:t>
      </w:r>
      <w:r w:rsidRPr="00F01D91">
        <w:rPr>
          <w:rFonts w:ascii="Times New Roman" w:hAnsi="Times New Roman" w:cs="Times New Roman"/>
          <w:sz w:val="24"/>
          <w:szCs w:val="24"/>
        </w:rPr>
        <w:t xml:space="preserve">, 18(3), 236–240. </w:t>
      </w:r>
    </w:p>
    <w:p w14:paraId="1000A31A"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Pathak, H., Maru, S., Satya, H. N., &amp; </w:t>
      </w:r>
      <w:proofErr w:type="spellStart"/>
      <w:r w:rsidRPr="00F01D91">
        <w:rPr>
          <w:rFonts w:ascii="Times New Roman" w:hAnsi="Times New Roman" w:cs="Times New Roman"/>
          <w:sz w:val="24"/>
          <w:szCs w:val="24"/>
        </w:rPr>
        <w:t>Silawat</w:t>
      </w:r>
      <w:proofErr w:type="spellEnd"/>
      <w:r w:rsidRPr="00F01D91">
        <w:rPr>
          <w:rFonts w:ascii="Times New Roman" w:hAnsi="Times New Roman" w:cs="Times New Roman"/>
          <w:sz w:val="24"/>
          <w:szCs w:val="24"/>
        </w:rPr>
        <w:t xml:space="preserve">, S. C. (2015). Fungal diseases of trees in forest nurseries of Indore, India. </w:t>
      </w:r>
      <w:r w:rsidRPr="00F01D91">
        <w:rPr>
          <w:rFonts w:ascii="Times New Roman" w:hAnsi="Times New Roman" w:cs="Times New Roman"/>
          <w:i/>
          <w:iCs/>
          <w:sz w:val="24"/>
          <w:szCs w:val="24"/>
        </w:rPr>
        <w:t>Journal of Plant Pathology and Microbiology</w:t>
      </w:r>
      <w:r w:rsidRPr="00F01D91">
        <w:rPr>
          <w:rFonts w:ascii="Times New Roman" w:hAnsi="Times New Roman" w:cs="Times New Roman"/>
          <w:sz w:val="24"/>
          <w:szCs w:val="24"/>
        </w:rPr>
        <w:t xml:space="preserve">, 6(8), 297. </w:t>
      </w:r>
    </w:p>
    <w:p w14:paraId="037DD6AB"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lastRenderedPageBreak/>
        <w:t xml:space="preserve">Patil, P. P., Joshi, M. S., Kadam, J. J., &amp; Mundhe, V. G. (2010). In vitro evaluation of fungicides and bioagents against </w:t>
      </w:r>
      <w:r w:rsidRPr="00F01D91">
        <w:rPr>
          <w:rFonts w:ascii="Times New Roman" w:hAnsi="Times New Roman" w:cs="Times New Roman"/>
          <w:i/>
          <w:iCs/>
          <w:sz w:val="24"/>
          <w:szCs w:val="24"/>
        </w:rPr>
        <w:t xml:space="preserve">Colletotrichum </w:t>
      </w:r>
      <w:proofErr w:type="spellStart"/>
      <w:r w:rsidRPr="00F01D91">
        <w:rPr>
          <w:rFonts w:ascii="Times New Roman" w:hAnsi="Times New Roman" w:cs="Times New Roman"/>
          <w:i/>
          <w:iCs/>
          <w:sz w:val="24"/>
          <w:szCs w:val="24"/>
        </w:rPr>
        <w:t>gloeosporioides</w:t>
      </w:r>
      <w:proofErr w:type="spellEnd"/>
      <w:r w:rsidRPr="00F01D91">
        <w:rPr>
          <w:rFonts w:ascii="Times New Roman" w:hAnsi="Times New Roman" w:cs="Times New Roman"/>
          <w:sz w:val="24"/>
          <w:szCs w:val="24"/>
        </w:rPr>
        <w:t xml:space="preserve"> causing leaf blight in sapota. </w:t>
      </w:r>
      <w:r w:rsidRPr="00F01D91">
        <w:rPr>
          <w:rFonts w:ascii="Times New Roman" w:hAnsi="Times New Roman" w:cs="Times New Roman"/>
          <w:i/>
          <w:iCs/>
          <w:sz w:val="24"/>
          <w:szCs w:val="24"/>
        </w:rPr>
        <w:t>Journal of Plant Disease Sciences</w:t>
      </w:r>
      <w:r w:rsidRPr="00F01D91">
        <w:rPr>
          <w:rFonts w:ascii="Times New Roman" w:hAnsi="Times New Roman" w:cs="Times New Roman"/>
          <w:sz w:val="24"/>
          <w:szCs w:val="24"/>
        </w:rPr>
        <w:t>, 5(1), 76–78.</w:t>
      </w:r>
    </w:p>
    <w:p w14:paraId="0DA12246"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Raaijmakers, J. M., &amp; Mazzola, M. (2012). Diversity and natural functions of antibiotics produced by beneficial and plant pathogenic bacteria. </w:t>
      </w:r>
      <w:r w:rsidRPr="00F01D91">
        <w:rPr>
          <w:rFonts w:ascii="Times New Roman" w:hAnsi="Times New Roman" w:cs="Times New Roman"/>
          <w:i/>
          <w:iCs/>
          <w:sz w:val="24"/>
          <w:szCs w:val="24"/>
        </w:rPr>
        <w:t>Annual Review of Phytopathology</w:t>
      </w:r>
      <w:r w:rsidRPr="00F01D91">
        <w:rPr>
          <w:rFonts w:ascii="Times New Roman" w:hAnsi="Times New Roman" w:cs="Times New Roman"/>
          <w:sz w:val="24"/>
          <w:szCs w:val="24"/>
        </w:rPr>
        <w:t>, 50, 403–424.</w:t>
      </w:r>
    </w:p>
    <w:p w14:paraId="79AC7F7A" w14:textId="77777777" w:rsidR="00FD2CC7" w:rsidRDefault="00FD2CC7" w:rsidP="00FD2CC7">
      <w:pPr>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Rajeswari, P., &amp; Kapoor, R. (2017). Combinatorial efficacy of </w:t>
      </w:r>
      <w:r w:rsidRPr="00F01D91">
        <w:rPr>
          <w:rFonts w:ascii="Times New Roman" w:hAnsi="Times New Roman" w:cs="Times New Roman"/>
          <w:i/>
          <w:iCs/>
          <w:sz w:val="24"/>
          <w:szCs w:val="24"/>
        </w:rPr>
        <w:t>Trichoderma</w:t>
      </w:r>
      <w:r w:rsidRPr="00F01D91">
        <w:rPr>
          <w:rFonts w:ascii="Times New Roman" w:hAnsi="Times New Roman" w:cs="Times New Roman"/>
          <w:sz w:val="24"/>
          <w:szCs w:val="24"/>
        </w:rPr>
        <w:t xml:space="preserve"> spp. and </w:t>
      </w:r>
      <w:r w:rsidRPr="00F01D91">
        <w:rPr>
          <w:rFonts w:ascii="Times New Roman" w:hAnsi="Times New Roman" w:cs="Times New Roman"/>
          <w:i/>
          <w:iCs/>
          <w:sz w:val="24"/>
          <w:szCs w:val="24"/>
        </w:rPr>
        <w:t>Pseudomonas fluorescens</w:t>
      </w:r>
      <w:r w:rsidRPr="00F01D91">
        <w:rPr>
          <w:rFonts w:ascii="Times New Roman" w:hAnsi="Times New Roman" w:cs="Times New Roman"/>
          <w:sz w:val="24"/>
          <w:szCs w:val="24"/>
        </w:rPr>
        <w:t xml:space="preserve"> to enhance suppression of cell wall degrading enzymes produced by </w:t>
      </w:r>
      <w:r w:rsidRPr="00F01D91">
        <w:rPr>
          <w:rFonts w:ascii="Times New Roman" w:hAnsi="Times New Roman" w:cs="Times New Roman"/>
          <w:i/>
          <w:iCs/>
          <w:sz w:val="24"/>
          <w:szCs w:val="24"/>
        </w:rPr>
        <w:t>Fusarium</w:t>
      </w:r>
      <w:r w:rsidRPr="00F01D91">
        <w:rPr>
          <w:rFonts w:ascii="Times New Roman" w:hAnsi="Times New Roman" w:cs="Times New Roman"/>
          <w:sz w:val="24"/>
          <w:szCs w:val="24"/>
        </w:rPr>
        <w:t xml:space="preserve"> wilt of </w:t>
      </w:r>
      <w:r w:rsidRPr="00F01D91">
        <w:rPr>
          <w:rFonts w:ascii="Times New Roman" w:hAnsi="Times New Roman" w:cs="Times New Roman"/>
          <w:i/>
          <w:iCs/>
          <w:sz w:val="24"/>
          <w:szCs w:val="24"/>
        </w:rPr>
        <w:t>Arachis hypogaea</w:t>
      </w:r>
      <w:r w:rsidRPr="00F01D91">
        <w:rPr>
          <w:rFonts w:ascii="Times New Roman" w:hAnsi="Times New Roman" w:cs="Times New Roman"/>
          <w:sz w:val="24"/>
          <w:szCs w:val="24"/>
        </w:rPr>
        <w:t xml:space="preserve"> L. </w:t>
      </w:r>
      <w:r w:rsidRPr="00F01D91">
        <w:rPr>
          <w:rFonts w:ascii="Times New Roman" w:hAnsi="Times New Roman" w:cs="Times New Roman"/>
          <w:i/>
          <w:iCs/>
          <w:sz w:val="24"/>
          <w:szCs w:val="24"/>
        </w:rPr>
        <w:t>International Journal of Agricultural Research, Innovation and Technology</w:t>
      </w:r>
      <w:r w:rsidRPr="00F01D91">
        <w:rPr>
          <w:rFonts w:ascii="Times New Roman" w:hAnsi="Times New Roman" w:cs="Times New Roman"/>
          <w:sz w:val="24"/>
          <w:szCs w:val="24"/>
        </w:rPr>
        <w:t>, 7(2), 36–42.</w:t>
      </w:r>
    </w:p>
    <w:p w14:paraId="69A35BAC"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Sahoo, J. (2015). </w:t>
      </w:r>
      <w:r w:rsidRPr="00F01D91">
        <w:rPr>
          <w:rFonts w:ascii="Times New Roman" w:hAnsi="Times New Roman" w:cs="Times New Roman"/>
          <w:i/>
          <w:iCs/>
          <w:sz w:val="24"/>
          <w:szCs w:val="24"/>
        </w:rPr>
        <w:t xml:space="preserve">Studies on leaf blight of </w:t>
      </w:r>
      <w:proofErr w:type="spellStart"/>
      <w:r w:rsidRPr="00F01D91">
        <w:rPr>
          <w:rFonts w:ascii="Times New Roman" w:hAnsi="Times New Roman" w:cs="Times New Roman"/>
          <w:i/>
          <w:iCs/>
          <w:sz w:val="24"/>
          <w:szCs w:val="24"/>
        </w:rPr>
        <w:t>Sarpagandha</w:t>
      </w:r>
      <w:proofErr w:type="spellEnd"/>
      <w:r w:rsidRPr="00F01D91">
        <w:rPr>
          <w:rFonts w:ascii="Times New Roman" w:hAnsi="Times New Roman" w:cs="Times New Roman"/>
          <w:i/>
          <w:iCs/>
          <w:sz w:val="24"/>
          <w:szCs w:val="24"/>
        </w:rPr>
        <w:t xml:space="preserve"> (</w:t>
      </w:r>
      <w:proofErr w:type="spellStart"/>
      <w:r w:rsidRPr="00F01D91">
        <w:rPr>
          <w:rFonts w:ascii="Times New Roman" w:hAnsi="Times New Roman" w:cs="Times New Roman"/>
          <w:i/>
          <w:iCs/>
          <w:sz w:val="24"/>
          <w:szCs w:val="24"/>
        </w:rPr>
        <w:t>Rauvolfia</w:t>
      </w:r>
      <w:proofErr w:type="spellEnd"/>
      <w:r w:rsidRPr="00F01D91">
        <w:rPr>
          <w:rFonts w:ascii="Times New Roman" w:hAnsi="Times New Roman" w:cs="Times New Roman"/>
          <w:i/>
          <w:iCs/>
          <w:sz w:val="24"/>
          <w:szCs w:val="24"/>
        </w:rPr>
        <w:t xml:space="preserve"> </w:t>
      </w:r>
      <w:proofErr w:type="spellStart"/>
      <w:r w:rsidRPr="00F01D91">
        <w:rPr>
          <w:rFonts w:ascii="Times New Roman" w:hAnsi="Times New Roman" w:cs="Times New Roman"/>
          <w:i/>
          <w:iCs/>
          <w:sz w:val="24"/>
          <w:szCs w:val="24"/>
        </w:rPr>
        <w:t>serpentina</w:t>
      </w:r>
      <w:proofErr w:type="spellEnd"/>
      <w:r w:rsidRPr="00F01D91">
        <w:rPr>
          <w:rFonts w:ascii="Times New Roman" w:hAnsi="Times New Roman" w:cs="Times New Roman"/>
          <w:i/>
          <w:iCs/>
          <w:sz w:val="24"/>
          <w:szCs w:val="24"/>
        </w:rPr>
        <w:t xml:space="preserve"> (Linn.) Benth. ex </w:t>
      </w:r>
      <w:proofErr w:type="spellStart"/>
      <w:r w:rsidRPr="00F01D91">
        <w:rPr>
          <w:rFonts w:ascii="Times New Roman" w:hAnsi="Times New Roman" w:cs="Times New Roman"/>
          <w:i/>
          <w:iCs/>
          <w:sz w:val="24"/>
          <w:szCs w:val="24"/>
        </w:rPr>
        <w:t>Kurz</w:t>
      </w:r>
      <w:proofErr w:type="spellEnd"/>
      <w:r w:rsidRPr="00F01D91">
        <w:rPr>
          <w:rFonts w:ascii="Times New Roman" w:hAnsi="Times New Roman" w:cs="Times New Roman"/>
          <w:i/>
          <w:iCs/>
          <w:sz w:val="24"/>
          <w:szCs w:val="24"/>
        </w:rPr>
        <w:t>.) and its management</w:t>
      </w:r>
      <w:r w:rsidRPr="00F01D91">
        <w:rPr>
          <w:rFonts w:ascii="Times New Roman" w:hAnsi="Times New Roman" w:cs="Times New Roman"/>
          <w:sz w:val="24"/>
          <w:szCs w:val="24"/>
        </w:rPr>
        <w:t xml:space="preserve"> (Master’s thesis). Orissa University of Agriculture and Technology.</w:t>
      </w:r>
    </w:p>
    <w:p w14:paraId="3B00D0BE"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Satapathy, R. R., &amp; </w:t>
      </w:r>
      <w:proofErr w:type="spellStart"/>
      <w:r w:rsidRPr="00F01D91">
        <w:rPr>
          <w:rFonts w:ascii="Times New Roman" w:hAnsi="Times New Roman" w:cs="Times New Roman"/>
          <w:sz w:val="24"/>
          <w:szCs w:val="24"/>
        </w:rPr>
        <w:t>Beura</w:t>
      </w:r>
      <w:proofErr w:type="spellEnd"/>
      <w:r w:rsidRPr="00F01D91">
        <w:rPr>
          <w:rFonts w:ascii="Times New Roman" w:hAnsi="Times New Roman" w:cs="Times New Roman"/>
          <w:sz w:val="24"/>
          <w:szCs w:val="24"/>
        </w:rPr>
        <w:t xml:space="preserve">, S. K. (2020). Management of </w:t>
      </w:r>
      <w:r w:rsidRPr="00F01D91">
        <w:rPr>
          <w:rFonts w:ascii="Times New Roman" w:hAnsi="Times New Roman" w:cs="Times New Roman"/>
          <w:i/>
          <w:iCs/>
          <w:sz w:val="24"/>
          <w:szCs w:val="24"/>
        </w:rPr>
        <w:t xml:space="preserve">Colletotrichum </w:t>
      </w:r>
      <w:proofErr w:type="spellStart"/>
      <w:r w:rsidRPr="00F01D91">
        <w:rPr>
          <w:rFonts w:ascii="Times New Roman" w:hAnsi="Times New Roman" w:cs="Times New Roman"/>
          <w:i/>
          <w:iCs/>
          <w:sz w:val="24"/>
          <w:szCs w:val="24"/>
        </w:rPr>
        <w:t>gloeosporioides</w:t>
      </w:r>
      <w:proofErr w:type="spellEnd"/>
      <w:r w:rsidRPr="00F01D91">
        <w:rPr>
          <w:rFonts w:ascii="Times New Roman" w:hAnsi="Times New Roman" w:cs="Times New Roman"/>
          <w:sz w:val="24"/>
          <w:szCs w:val="24"/>
        </w:rPr>
        <w:t xml:space="preserve"> (</w:t>
      </w:r>
      <w:proofErr w:type="spellStart"/>
      <w:r w:rsidRPr="00F01D91">
        <w:rPr>
          <w:rFonts w:ascii="Times New Roman" w:hAnsi="Times New Roman" w:cs="Times New Roman"/>
          <w:sz w:val="24"/>
          <w:szCs w:val="24"/>
        </w:rPr>
        <w:t>Penz</w:t>
      </w:r>
      <w:proofErr w:type="spellEnd"/>
      <w:r w:rsidRPr="00F01D91">
        <w:rPr>
          <w:rFonts w:ascii="Times New Roman" w:hAnsi="Times New Roman" w:cs="Times New Roman"/>
          <w:sz w:val="24"/>
          <w:szCs w:val="24"/>
        </w:rPr>
        <w:t xml:space="preserve">.) causing cashew anthracnose through bio-control agents. </w:t>
      </w:r>
      <w:r w:rsidRPr="00F01D91">
        <w:rPr>
          <w:rFonts w:ascii="Times New Roman" w:hAnsi="Times New Roman" w:cs="Times New Roman"/>
          <w:i/>
          <w:iCs/>
          <w:sz w:val="24"/>
          <w:szCs w:val="24"/>
        </w:rPr>
        <w:t>Journal of Pharmacognosy and Phytochemistry</w:t>
      </w:r>
      <w:r w:rsidRPr="00F01D91">
        <w:rPr>
          <w:rFonts w:ascii="Times New Roman" w:hAnsi="Times New Roman" w:cs="Times New Roman"/>
          <w:sz w:val="24"/>
          <w:szCs w:val="24"/>
        </w:rPr>
        <w:t>, 9(1), 2225–2227.</w:t>
      </w:r>
    </w:p>
    <w:p w14:paraId="2954DB26"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Silva, G. B. P. D., Heckler, L. I., Santos, R. F. D., Durigon, M. R., &amp; Blume, E. (2015). Identification and utilization of </w:t>
      </w:r>
      <w:r w:rsidRPr="00F01D91">
        <w:rPr>
          <w:rFonts w:ascii="Times New Roman" w:hAnsi="Times New Roman" w:cs="Times New Roman"/>
          <w:i/>
          <w:iCs/>
          <w:sz w:val="24"/>
          <w:szCs w:val="24"/>
        </w:rPr>
        <w:t>Trichoderma</w:t>
      </w:r>
      <w:r w:rsidRPr="00F01D91">
        <w:rPr>
          <w:rFonts w:ascii="Times New Roman" w:hAnsi="Times New Roman" w:cs="Times New Roman"/>
          <w:sz w:val="24"/>
          <w:szCs w:val="24"/>
        </w:rPr>
        <w:t xml:space="preserve"> spp. stored and native in </w:t>
      </w:r>
      <w:proofErr w:type="spellStart"/>
      <w:r w:rsidRPr="00F01D91">
        <w:rPr>
          <w:rFonts w:ascii="Times New Roman" w:hAnsi="Times New Roman" w:cs="Times New Roman"/>
          <w:i/>
          <w:iCs/>
          <w:sz w:val="24"/>
          <w:szCs w:val="24"/>
        </w:rPr>
        <w:t>Sclerotinia</w:t>
      </w:r>
      <w:proofErr w:type="spellEnd"/>
      <w:r w:rsidRPr="00F01D91">
        <w:rPr>
          <w:rFonts w:ascii="Times New Roman" w:hAnsi="Times New Roman" w:cs="Times New Roman"/>
          <w:i/>
          <w:iCs/>
          <w:sz w:val="24"/>
          <w:szCs w:val="24"/>
        </w:rPr>
        <w:t xml:space="preserve"> </w:t>
      </w:r>
      <w:proofErr w:type="spellStart"/>
      <w:r w:rsidRPr="00F01D91">
        <w:rPr>
          <w:rFonts w:ascii="Times New Roman" w:hAnsi="Times New Roman" w:cs="Times New Roman"/>
          <w:i/>
          <w:iCs/>
          <w:sz w:val="24"/>
          <w:szCs w:val="24"/>
        </w:rPr>
        <w:t>sclerotiorum</w:t>
      </w:r>
      <w:proofErr w:type="spellEnd"/>
      <w:r w:rsidRPr="00F01D91">
        <w:rPr>
          <w:rFonts w:ascii="Times New Roman" w:hAnsi="Times New Roman" w:cs="Times New Roman"/>
          <w:sz w:val="24"/>
          <w:szCs w:val="24"/>
        </w:rPr>
        <w:t xml:space="preserve"> biocontrol. </w:t>
      </w:r>
      <w:proofErr w:type="spellStart"/>
      <w:r w:rsidRPr="00F01D91">
        <w:rPr>
          <w:rFonts w:ascii="Times New Roman" w:hAnsi="Times New Roman" w:cs="Times New Roman"/>
          <w:i/>
          <w:iCs/>
          <w:sz w:val="24"/>
          <w:szCs w:val="24"/>
        </w:rPr>
        <w:t>Revista</w:t>
      </w:r>
      <w:proofErr w:type="spellEnd"/>
      <w:r w:rsidRPr="00F01D91">
        <w:rPr>
          <w:rFonts w:ascii="Times New Roman" w:hAnsi="Times New Roman" w:cs="Times New Roman"/>
          <w:i/>
          <w:iCs/>
          <w:sz w:val="24"/>
          <w:szCs w:val="24"/>
        </w:rPr>
        <w:t xml:space="preserve"> Caatinga</w:t>
      </w:r>
      <w:r w:rsidRPr="00F01D91">
        <w:rPr>
          <w:rFonts w:ascii="Times New Roman" w:hAnsi="Times New Roman" w:cs="Times New Roman"/>
          <w:sz w:val="24"/>
          <w:szCs w:val="24"/>
        </w:rPr>
        <w:t>, 28, 33–42.</w:t>
      </w:r>
    </w:p>
    <w:p w14:paraId="3767F747"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proofErr w:type="spellStart"/>
      <w:r w:rsidRPr="00F01D91">
        <w:rPr>
          <w:rFonts w:ascii="Times New Roman" w:hAnsi="Times New Roman" w:cs="Times New Roman"/>
          <w:sz w:val="24"/>
          <w:szCs w:val="24"/>
        </w:rPr>
        <w:t>Thambugala</w:t>
      </w:r>
      <w:proofErr w:type="spellEnd"/>
      <w:r w:rsidRPr="00F01D91">
        <w:rPr>
          <w:rFonts w:ascii="Times New Roman" w:hAnsi="Times New Roman" w:cs="Times New Roman"/>
          <w:sz w:val="24"/>
          <w:szCs w:val="24"/>
        </w:rPr>
        <w:t xml:space="preserve">, K. M., </w:t>
      </w:r>
      <w:proofErr w:type="spellStart"/>
      <w:r w:rsidRPr="00F01D91">
        <w:rPr>
          <w:rFonts w:ascii="Times New Roman" w:hAnsi="Times New Roman" w:cs="Times New Roman"/>
          <w:sz w:val="24"/>
          <w:szCs w:val="24"/>
        </w:rPr>
        <w:t>Daranagama</w:t>
      </w:r>
      <w:proofErr w:type="spellEnd"/>
      <w:r w:rsidRPr="00F01D91">
        <w:rPr>
          <w:rFonts w:ascii="Times New Roman" w:hAnsi="Times New Roman" w:cs="Times New Roman"/>
          <w:sz w:val="24"/>
          <w:szCs w:val="24"/>
        </w:rPr>
        <w:t xml:space="preserve">, D. A., Phillips, A. J., Kannangara, S. D., &amp; </w:t>
      </w:r>
      <w:proofErr w:type="spellStart"/>
      <w:r w:rsidRPr="00F01D91">
        <w:rPr>
          <w:rFonts w:ascii="Times New Roman" w:hAnsi="Times New Roman" w:cs="Times New Roman"/>
          <w:sz w:val="24"/>
          <w:szCs w:val="24"/>
        </w:rPr>
        <w:t>Promputtha</w:t>
      </w:r>
      <w:proofErr w:type="spellEnd"/>
      <w:r w:rsidRPr="00F01D91">
        <w:rPr>
          <w:rFonts w:ascii="Times New Roman" w:hAnsi="Times New Roman" w:cs="Times New Roman"/>
          <w:sz w:val="24"/>
          <w:szCs w:val="24"/>
        </w:rPr>
        <w:t xml:space="preserve">, I. (2020). Fungi vs. fungi in biocontrol: An overview of fungal antagonists applied against fungal plant pathogens. </w:t>
      </w:r>
      <w:r w:rsidRPr="00F01D91">
        <w:rPr>
          <w:rFonts w:ascii="Times New Roman" w:hAnsi="Times New Roman" w:cs="Times New Roman"/>
          <w:i/>
          <w:iCs/>
          <w:sz w:val="24"/>
          <w:szCs w:val="24"/>
        </w:rPr>
        <w:t>Frontiers in Cellular and Infection Microbiology</w:t>
      </w:r>
      <w:r w:rsidRPr="00F01D91">
        <w:rPr>
          <w:rFonts w:ascii="Times New Roman" w:hAnsi="Times New Roman" w:cs="Times New Roman"/>
          <w:sz w:val="24"/>
          <w:szCs w:val="24"/>
        </w:rPr>
        <w:t>, 10, 604923.</w:t>
      </w:r>
    </w:p>
    <w:p w14:paraId="2A863AA8" w14:textId="77777777" w:rsidR="00FD2CC7" w:rsidRPr="00F01D91"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Whipps, J. M. (1997). Developments in the biological control of soil-borne plant pathogens. In </w:t>
      </w:r>
      <w:r w:rsidRPr="00F01D91">
        <w:rPr>
          <w:rFonts w:ascii="Times New Roman" w:hAnsi="Times New Roman" w:cs="Times New Roman"/>
          <w:i/>
          <w:iCs/>
          <w:sz w:val="24"/>
          <w:szCs w:val="24"/>
        </w:rPr>
        <w:t>Advances in Botanical Research</w:t>
      </w:r>
      <w:r w:rsidRPr="00F01D91">
        <w:rPr>
          <w:rFonts w:ascii="Times New Roman" w:hAnsi="Times New Roman" w:cs="Times New Roman"/>
          <w:sz w:val="24"/>
          <w:szCs w:val="24"/>
        </w:rPr>
        <w:t xml:space="preserve"> (Vol. 26, pp. 1–134). Academic Press.</w:t>
      </w:r>
    </w:p>
    <w:p w14:paraId="7A22D641" w14:textId="5D51C91E" w:rsidR="000A434A" w:rsidRPr="000A434A" w:rsidRDefault="00FD2CC7" w:rsidP="00FD2CC7">
      <w:pPr>
        <w:spacing w:after="200" w:line="276" w:lineRule="auto"/>
        <w:ind w:left="720" w:hanging="720"/>
        <w:jc w:val="both"/>
        <w:rPr>
          <w:rFonts w:ascii="Times New Roman" w:hAnsi="Times New Roman" w:cs="Times New Roman"/>
          <w:sz w:val="24"/>
          <w:szCs w:val="24"/>
        </w:rPr>
      </w:pPr>
      <w:r w:rsidRPr="00F01D91">
        <w:rPr>
          <w:rFonts w:ascii="Times New Roman" w:hAnsi="Times New Roman" w:cs="Times New Roman"/>
          <w:sz w:val="24"/>
          <w:szCs w:val="24"/>
        </w:rPr>
        <w:t xml:space="preserve">Yu, C., &amp; Luo, X. (2020). </w:t>
      </w:r>
      <w:r w:rsidRPr="00F01D91">
        <w:rPr>
          <w:rFonts w:ascii="Times New Roman" w:hAnsi="Times New Roman" w:cs="Times New Roman"/>
          <w:i/>
          <w:iCs/>
          <w:sz w:val="24"/>
          <w:szCs w:val="24"/>
        </w:rPr>
        <w:t xml:space="preserve">Trichoderma </w:t>
      </w:r>
      <w:proofErr w:type="spellStart"/>
      <w:r w:rsidRPr="00F01D91">
        <w:rPr>
          <w:rFonts w:ascii="Times New Roman" w:hAnsi="Times New Roman" w:cs="Times New Roman"/>
          <w:i/>
          <w:iCs/>
          <w:sz w:val="24"/>
          <w:szCs w:val="24"/>
        </w:rPr>
        <w:t>koningiopsis</w:t>
      </w:r>
      <w:proofErr w:type="spellEnd"/>
      <w:r w:rsidRPr="00F01D91">
        <w:rPr>
          <w:rFonts w:ascii="Times New Roman" w:hAnsi="Times New Roman" w:cs="Times New Roman"/>
          <w:sz w:val="24"/>
          <w:szCs w:val="24"/>
        </w:rPr>
        <w:t xml:space="preserve"> controls </w:t>
      </w:r>
      <w:r w:rsidRPr="00F01D91">
        <w:rPr>
          <w:rFonts w:ascii="Times New Roman" w:hAnsi="Times New Roman" w:cs="Times New Roman"/>
          <w:i/>
          <w:iCs/>
          <w:sz w:val="24"/>
          <w:szCs w:val="24"/>
        </w:rPr>
        <w:t xml:space="preserve">Fusarium </w:t>
      </w:r>
      <w:proofErr w:type="spellStart"/>
      <w:r w:rsidRPr="00F01D91">
        <w:rPr>
          <w:rFonts w:ascii="Times New Roman" w:hAnsi="Times New Roman" w:cs="Times New Roman"/>
          <w:i/>
          <w:iCs/>
          <w:sz w:val="24"/>
          <w:szCs w:val="24"/>
        </w:rPr>
        <w:t>oxysporum</w:t>
      </w:r>
      <w:proofErr w:type="spellEnd"/>
      <w:r w:rsidRPr="00F01D91">
        <w:rPr>
          <w:rFonts w:ascii="Times New Roman" w:hAnsi="Times New Roman" w:cs="Times New Roman"/>
          <w:sz w:val="24"/>
          <w:szCs w:val="24"/>
        </w:rPr>
        <w:t xml:space="preserve"> causing damping-off in </w:t>
      </w:r>
      <w:r w:rsidRPr="00F01D91">
        <w:rPr>
          <w:rFonts w:ascii="Times New Roman" w:hAnsi="Times New Roman" w:cs="Times New Roman"/>
          <w:i/>
          <w:iCs/>
          <w:sz w:val="24"/>
          <w:szCs w:val="24"/>
        </w:rPr>
        <w:t xml:space="preserve">Pinus </w:t>
      </w:r>
      <w:proofErr w:type="spellStart"/>
      <w:r w:rsidRPr="00F01D91">
        <w:rPr>
          <w:rFonts w:ascii="Times New Roman" w:hAnsi="Times New Roman" w:cs="Times New Roman"/>
          <w:i/>
          <w:iCs/>
          <w:sz w:val="24"/>
          <w:szCs w:val="24"/>
        </w:rPr>
        <w:t>massoniana</w:t>
      </w:r>
      <w:proofErr w:type="spellEnd"/>
      <w:r w:rsidRPr="00F01D91">
        <w:rPr>
          <w:rFonts w:ascii="Times New Roman" w:hAnsi="Times New Roman" w:cs="Times New Roman"/>
          <w:sz w:val="24"/>
          <w:szCs w:val="24"/>
        </w:rPr>
        <w:t xml:space="preserve"> seedlings by regulating active oxygen metabolism, osmotic potential, and the rhizosphere microbiome. </w:t>
      </w:r>
      <w:r w:rsidRPr="00F01D91">
        <w:rPr>
          <w:rFonts w:ascii="Times New Roman" w:hAnsi="Times New Roman" w:cs="Times New Roman"/>
          <w:i/>
          <w:iCs/>
          <w:sz w:val="24"/>
          <w:szCs w:val="24"/>
        </w:rPr>
        <w:t>Biological Control</w:t>
      </w:r>
      <w:r w:rsidRPr="00F01D91">
        <w:rPr>
          <w:rFonts w:ascii="Times New Roman" w:hAnsi="Times New Roman" w:cs="Times New Roman"/>
          <w:sz w:val="24"/>
          <w:szCs w:val="24"/>
        </w:rPr>
        <w:t xml:space="preserve">, 150, 104352 </w:t>
      </w:r>
    </w:p>
    <w:sectPr w:rsidR="000A434A" w:rsidRPr="000A434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82D28" w14:textId="77777777" w:rsidR="0026761D" w:rsidRDefault="0026761D" w:rsidP="00982EA4">
      <w:pPr>
        <w:spacing w:after="0" w:line="240" w:lineRule="auto"/>
      </w:pPr>
      <w:r>
        <w:separator/>
      </w:r>
    </w:p>
  </w:endnote>
  <w:endnote w:type="continuationSeparator" w:id="0">
    <w:p w14:paraId="334C006E" w14:textId="77777777" w:rsidR="0026761D" w:rsidRDefault="0026761D" w:rsidP="00982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D9AA4" w14:textId="77777777" w:rsidR="00982EA4" w:rsidRDefault="00982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A7336" w14:textId="77777777" w:rsidR="00982EA4" w:rsidRDefault="00982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468E3" w14:textId="77777777" w:rsidR="00982EA4" w:rsidRDefault="00982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0FBF7" w14:textId="77777777" w:rsidR="0026761D" w:rsidRDefault="0026761D" w:rsidP="00982EA4">
      <w:pPr>
        <w:spacing w:after="0" w:line="240" w:lineRule="auto"/>
      </w:pPr>
      <w:r>
        <w:separator/>
      </w:r>
    </w:p>
  </w:footnote>
  <w:footnote w:type="continuationSeparator" w:id="0">
    <w:p w14:paraId="063D1625" w14:textId="77777777" w:rsidR="0026761D" w:rsidRDefault="0026761D" w:rsidP="00982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96AC9" w14:textId="40EBD330" w:rsidR="00982EA4" w:rsidRDefault="00982EA4">
    <w:pPr>
      <w:pStyle w:val="Header"/>
    </w:pPr>
    <w:r>
      <w:rPr>
        <w:noProof/>
      </w:rPr>
      <w:pict w14:anchorId="572EF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3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4858E" w14:textId="50B87CFF" w:rsidR="00982EA4" w:rsidRDefault="00982EA4">
    <w:pPr>
      <w:pStyle w:val="Header"/>
    </w:pPr>
    <w:r>
      <w:rPr>
        <w:noProof/>
      </w:rPr>
      <w:pict w14:anchorId="141A5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3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FAC8B" w14:textId="1531EA76" w:rsidR="00982EA4" w:rsidRDefault="00982EA4">
    <w:pPr>
      <w:pStyle w:val="Header"/>
    </w:pPr>
    <w:r>
      <w:rPr>
        <w:noProof/>
      </w:rPr>
      <w:pict w14:anchorId="015E2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33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5pt;height:.65pt;visibility:visible;mso-wrap-style:square" o:bullet="t">
        <v:imagedata r:id="rId1" o:title=""/>
      </v:shape>
    </w:pict>
  </w:numPicBullet>
  <w:abstractNum w:abstractNumId="0" w15:restartNumberingAfterBreak="0">
    <w:nsid w:val="7ED46961"/>
    <w:multiLevelType w:val="hybridMultilevel"/>
    <w:tmpl w:val="0060D5B8"/>
    <w:lvl w:ilvl="0" w:tplc="A5508BA6">
      <w:start w:val="1"/>
      <w:numFmt w:val="bullet"/>
      <w:lvlText w:val=""/>
      <w:lvlPicBulletId w:val="0"/>
      <w:lvlJc w:val="left"/>
      <w:pPr>
        <w:tabs>
          <w:tab w:val="num" w:pos="720"/>
        </w:tabs>
        <w:ind w:left="720" w:hanging="360"/>
      </w:pPr>
      <w:rPr>
        <w:rFonts w:ascii="Symbol" w:hAnsi="Symbol" w:hint="default"/>
      </w:rPr>
    </w:lvl>
    <w:lvl w:ilvl="1" w:tplc="00C26854" w:tentative="1">
      <w:start w:val="1"/>
      <w:numFmt w:val="bullet"/>
      <w:lvlText w:val=""/>
      <w:lvlJc w:val="left"/>
      <w:pPr>
        <w:tabs>
          <w:tab w:val="num" w:pos="1440"/>
        </w:tabs>
        <w:ind w:left="1440" w:hanging="360"/>
      </w:pPr>
      <w:rPr>
        <w:rFonts w:ascii="Symbol" w:hAnsi="Symbol" w:hint="default"/>
      </w:rPr>
    </w:lvl>
    <w:lvl w:ilvl="2" w:tplc="FDDC7AC8" w:tentative="1">
      <w:start w:val="1"/>
      <w:numFmt w:val="bullet"/>
      <w:lvlText w:val=""/>
      <w:lvlJc w:val="left"/>
      <w:pPr>
        <w:tabs>
          <w:tab w:val="num" w:pos="2160"/>
        </w:tabs>
        <w:ind w:left="2160" w:hanging="360"/>
      </w:pPr>
      <w:rPr>
        <w:rFonts w:ascii="Symbol" w:hAnsi="Symbol" w:hint="default"/>
      </w:rPr>
    </w:lvl>
    <w:lvl w:ilvl="3" w:tplc="B3EC0C38" w:tentative="1">
      <w:start w:val="1"/>
      <w:numFmt w:val="bullet"/>
      <w:lvlText w:val=""/>
      <w:lvlJc w:val="left"/>
      <w:pPr>
        <w:tabs>
          <w:tab w:val="num" w:pos="2880"/>
        </w:tabs>
        <w:ind w:left="2880" w:hanging="360"/>
      </w:pPr>
      <w:rPr>
        <w:rFonts w:ascii="Symbol" w:hAnsi="Symbol" w:hint="default"/>
      </w:rPr>
    </w:lvl>
    <w:lvl w:ilvl="4" w:tplc="0B144028" w:tentative="1">
      <w:start w:val="1"/>
      <w:numFmt w:val="bullet"/>
      <w:lvlText w:val=""/>
      <w:lvlJc w:val="left"/>
      <w:pPr>
        <w:tabs>
          <w:tab w:val="num" w:pos="3600"/>
        </w:tabs>
        <w:ind w:left="3600" w:hanging="360"/>
      </w:pPr>
      <w:rPr>
        <w:rFonts w:ascii="Symbol" w:hAnsi="Symbol" w:hint="default"/>
      </w:rPr>
    </w:lvl>
    <w:lvl w:ilvl="5" w:tplc="9A86A4FE" w:tentative="1">
      <w:start w:val="1"/>
      <w:numFmt w:val="bullet"/>
      <w:lvlText w:val=""/>
      <w:lvlJc w:val="left"/>
      <w:pPr>
        <w:tabs>
          <w:tab w:val="num" w:pos="4320"/>
        </w:tabs>
        <w:ind w:left="4320" w:hanging="360"/>
      </w:pPr>
      <w:rPr>
        <w:rFonts w:ascii="Symbol" w:hAnsi="Symbol" w:hint="default"/>
      </w:rPr>
    </w:lvl>
    <w:lvl w:ilvl="6" w:tplc="48F09E1A" w:tentative="1">
      <w:start w:val="1"/>
      <w:numFmt w:val="bullet"/>
      <w:lvlText w:val=""/>
      <w:lvlJc w:val="left"/>
      <w:pPr>
        <w:tabs>
          <w:tab w:val="num" w:pos="5040"/>
        </w:tabs>
        <w:ind w:left="5040" w:hanging="360"/>
      </w:pPr>
      <w:rPr>
        <w:rFonts w:ascii="Symbol" w:hAnsi="Symbol" w:hint="default"/>
      </w:rPr>
    </w:lvl>
    <w:lvl w:ilvl="7" w:tplc="B66A71D8" w:tentative="1">
      <w:start w:val="1"/>
      <w:numFmt w:val="bullet"/>
      <w:lvlText w:val=""/>
      <w:lvlJc w:val="left"/>
      <w:pPr>
        <w:tabs>
          <w:tab w:val="num" w:pos="5760"/>
        </w:tabs>
        <w:ind w:left="5760" w:hanging="360"/>
      </w:pPr>
      <w:rPr>
        <w:rFonts w:ascii="Symbol" w:hAnsi="Symbol" w:hint="default"/>
      </w:rPr>
    </w:lvl>
    <w:lvl w:ilvl="8" w:tplc="FF2841F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34A"/>
    <w:rsid w:val="000215E3"/>
    <w:rsid w:val="00063204"/>
    <w:rsid w:val="00087B03"/>
    <w:rsid w:val="000A434A"/>
    <w:rsid w:val="000B4AB1"/>
    <w:rsid w:val="000F00B8"/>
    <w:rsid w:val="000F09DA"/>
    <w:rsid w:val="00114CE0"/>
    <w:rsid w:val="00134C5A"/>
    <w:rsid w:val="001602E3"/>
    <w:rsid w:val="00197ECB"/>
    <w:rsid w:val="001B68C7"/>
    <w:rsid w:val="001C46CA"/>
    <w:rsid w:val="002654A7"/>
    <w:rsid w:val="0026761D"/>
    <w:rsid w:val="002B5A1A"/>
    <w:rsid w:val="002F06C3"/>
    <w:rsid w:val="002F4DE1"/>
    <w:rsid w:val="002F6B6A"/>
    <w:rsid w:val="00300174"/>
    <w:rsid w:val="00324030"/>
    <w:rsid w:val="003E4466"/>
    <w:rsid w:val="003E487E"/>
    <w:rsid w:val="00513173"/>
    <w:rsid w:val="005368EC"/>
    <w:rsid w:val="00544FE8"/>
    <w:rsid w:val="005C76EE"/>
    <w:rsid w:val="005E1FE6"/>
    <w:rsid w:val="00686107"/>
    <w:rsid w:val="006C6F72"/>
    <w:rsid w:val="00736FA6"/>
    <w:rsid w:val="0077591D"/>
    <w:rsid w:val="00831785"/>
    <w:rsid w:val="008C4837"/>
    <w:rsid w:val="00982EA4"/>
    <w:rsid w:val="009F0738"/>
    <w:rsid w:val="00A02E05"/>
    <w:rsid w:val="00B26472"/>
    <w:rsid w:val="00B3631B"/>
    <w:rsid w:val="00C206A1"/>
    <w:rsid w:val="00C326A6"/>
    <w:rsid w:val="00C40B69"/>
    <w:rsid w:val="00C52552"/>
    <w:rsid w:val="00C6194C"/>
    <w:rsid w:val="00CE7A61"/>
    <w:rsid w:val="00D25967"/>
    <w:rsid w:val="00DE66DC"/>
    <w:rsid w:val="00E87E5B"/>
    <w:rsid w:val="00ED4A75"/>
    <w:rsid w:val="00FC07C0"/>
    <w:rsid w:val="00FD2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050730"/>
  <w15:chartTrackingRefBased/>
  <w15:docId w15:val="{2392C6C1-F46B-418F-BC51-3E4D383C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434A"/>
    <w:pPr>
      <w:spacing w:after="160" w:line="259" w:lineRule="auto"/>
    </w:pPr>
    <w:rPr>
      <w:lang w:val="en-IN"/>
    </w:rPr>
  </w:style>
  <w:style w:type="paragraph" w:styleId="Heading1">
    <w:name w:val="heading 1"/>
    <w:basedOn w:val="Normal"/>
    <w:next w:val="Normal"/>
    <w:link w:val="Heading1Char"/>
    <w:uiPriority w:val="9"/>
    <w:qFormat/>
    <w:rsid w:val="000A434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A434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A434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A434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A434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A43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3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3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3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34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0A434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A434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A434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A434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A43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3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3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34A"/>
    <w:rPr>
      <w:rFonts w:eastAsiaTheme="majorEastAsia" w:cstheme="majorBidi"/>
      <w:color w:val="272727" w:themeColor="text1" w:themeTint="D8"/>
    </w:rPr>
  </w:style>
  <w:style w:type="paragraph" w:styleId="Title">
    <w:name w:val="Title"/>
    <w:basedOn w:val="Normal"/>
    <w:next w:val="Normal"/>
    <w:link w:val="TitleChar"/>
    <w:uiPriority w:val="10"/>
    <w:qFormat/>
    <w:rsid w:val="000A43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3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3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3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34A"/>
    <w:pPr>
      <w:spacing w:before="160"/>
      <w:jc w:val="center"/>
    </w:pPr>
    <w:rPr>
      <w:i/>
      <w:iCs/>
      <w:color w:val="404040" w:themeColor="text1" w:themeTint="BF"/>
    </w:rPr>
  </w:style>
  <w:style w:type="character" w:customStyle="1" w:styleId="QuoteChar">
    <w:name w:val="Quote Char"/>
    <w:basedOn w:val="DefaultParagraphFont"/>
    <w:link w:val="Quote"/>
    <w:uiPriority w:val="29"/>
    <w:rsid w:val="000A434A"/>
    <w:rPr>
      <w:i/>
      <w:iCs/>
      <w:color w:val="404040" w:themeColor="text1" w:themeTint="BF"/>
    </w:rPr>
  </w:style>
  <w:style w:type="paragraph" w:styleId="ListParagraph">
    <w:name w:val="List Paragraph"/>
    <w:basedOn w:val="Normal"/>
    <w:uiPriority w:val="34"/>
    <w:qFormat/>
    <w:rsid w:val="000A434A"/>
    <w:pPr>
      <w:ind w:left="720"/>
      <w:contextualSpacing/>
    </w:pPr>
  </w:style>
  <w:style w:type="character" w:styleId="IntenseEmphasis">
    <w:name w:val="Intense Emphasis"/>
    <w:basedOn w:val="DefaultParagraphFont"/>
    <w:uiPriority w:val="21"/>
    <w:qFormat/>
    <w:rsid w:val="000A434A"/>
    <w:rPr>
      <w:i/>
      <w:iCs/>
      <w:color w:val="365F91" w:themeColor="accent1" w:themeShade="BF"/>
    </w:rPr>
  </w:style>
  <w:style w:type="paragraph" w:styleId="IntenseQuote">
    <w:name w:val="Intense Quote"/>
    <w:basedOn w:val="Normal"/>
    <w:next w:val="Normal"/>
    <w:link w:val="IntenseQuoteChar"/>
    <w:uiPriority w:val="30"/>
    <w:qFormat/>
    <w:rsid w:val="000A434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A434A"/>
    <w:rPr>
      <w:i/>
      <w:iCs/>
      <w:color w:val="365F91" w:themeColor="accent1" w:themeShade="BF"/>
    </w:rPr>
  </w:style>
  <w:style w:type="character" w:styleId="IntenseReference">
    <w:name w:val="Intense Reference"/>
    <w:basedOn w:val="DefaultParagraphFont"/>
    <w:uiPriority w:val="32"/>
    <w:qFormat/>
    <w:rsid w:val="000A434A"/>
    <w:rPr>
      <w:b/>
      <w:bCs/>
      <w:smallCaps/>
      <w:color w:val="365F91" w:themeColor="accent1" w:themeShade="BF"/>
      <w:spacing w:val="5"/>
    </w:rPr>
  </w:style>
  <w:style w:type="table" w:styleId="TableGrid">
    <w:name w:val="Table Grid"/>
    <w:basedOn w:val="TableNormal"/>
    <w:uiPriority w:val="59"/>
    <w:qFormat/>
    <w:rsid w:val="00DE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591D"/>
    <w:rPr>
      <w:color w:val="0000FF" w:themeColor="hyperlink"/>
      <w:u w:val="single"/>
    </w:rPr>
  </w:style>
  <w:style w:type="character" w:styleId="UnresolvedMention">
    <w:name w:val="Unresolved Mention"/>
    <w:basedOn w:val="DefaultParagraphFont"/>
    <w:uiPriority w:val="99"/>
    <w:semiHidden/>
    <w:unhideWhenUsed/>
    <w:rsid w:val="0077591D"/>
    <w:rPr>
      <w:color w:val="605E5C"/>
      <w:shd w:val="clear" w:color="auto" w:fill="E1DFDD"/>
    </w:rPr>
  </w:style>
  <w:style w:type="paragraph" w:styleId="Header">
    <w:name w:val="header"/>
    <w:basedOn w:val="Normal"/>
    <w:link w:val="HeaderChar"/>
    <w:uiPriority w:val="99"/>
    <w:unhideWhenUsed/>
    <w:rsid w:val="00982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EA4"/>
    <w:rPr>
      <w:lang w:val="en-IN"/>
    </w:rPr>
  </w:style>
  <w:style w:type="paragraph" w:styleId="Footer">
    <w:name w:val="footer"/>
    <w:basedOn w:val="Normal"/>
    <w:link w:val="FooterChar"/>
    <w:uiPriority w:val="99"/>
    <w:unhideWhenUsed/>
    <w:rsid w:val="00982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EA4"/>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61691">
      <w:bodyDiv w:val="1"/>
      <w:marLeft w:val="0"/>
      <w:marRight w:val="0"/>
      <w:marTop w:val="0"/>
      <w:marBottom w:val="0"/>
      <w:divBdr>
        <w:top w:val="none" w:sz="0" w:space="0" w:color="auto"/>
        <w:left w:val="none" w:sz="0" w:space="0" w:color="auto"/>
        <w:bottom w:val="none" w:sz="0" w:space="0" w:color="auto"/>
        <w:right w:val="none" w:sz="0" w:space="0" w:color="auto"/>
      </w:divBdr>
    </w:div>
    <w:div w:id="297102660">
      <w:bodyDiv w:val="1"/>
      <w:marLeft w:val="0"/>
      <w:marRight w:val="0"/>
      <w:marTop w:val="0"/>
      <w:marBottom w:val="0"/>
      <w:divBdr>
        <w:top w:val="none" w:sz="0" w:space="0" w:color="auto"/>
        <w:left w:val="none" w:sz="0" w:space="0" w:color="auto"/>
        <w:bottom w:val="none" w:sz="0" w:space="0" w:color="auto"/>
        <w:right w:val="none" w:sz="0" w:space="0" w:color="auto"/>
      </w:divBdr>
    </w:div>
    <w:div w:id="309142349">
      <w:bodyDiv w:val="1"/>
      <w:marLeft w:val="0"/>
      <w:marRight w:val="0"/>
      <w:marTop w:val="0"/>
      <w:marBottom w:val="0"/>
      <w:divBdr>
        <w:top w:val="none" w:sz="0" w:space="0" w:color="auto"/>
        <w:left w:val="none" w:sz="0" w:space="0" w:color="auto"/>
        <w:bottom w:val="none" w:sz="0" w:space="0" w:color="auto"/>
        <w:right w:val="none" w:sz="0" w:space="0" w:color="auto"/>
      </w:divBdr>
    </w:div>
    <w:div w:id="919099140">
      <w:bodyDiv w:val="1"/>
      <w:marLeft w:val="0"/>
      <w:marRight w:val="0"/>
      <w:marTop w:val="0"/>
      <w:marBottom w:val="0"/>
      <w:divBdr>
        <w:top w:val="none" w:sz="0" w:space="0" w:color="auto"/>
        <w:left w:val="none" w:sz="0" w:space="0" w:color="auto"/>
        <w:bottom w:val="none" w:sz="0" w:space="0" w:color="auto"/>
        <w:right w:val="none" w:sz="0" w:space="0" w:color="auto"/>
      </w:divBdr>
    </w:div>
    <w:div w:id="938179700">
      <w:bodyDiv w:val="1"/>
      <w:marLeft w:val="0"/>
      <w:marRight w:val="0"/>
      <w:marTop w:val="0"/>
      <w:marBottom w:val="0"/>
      <w:divBdr>
        <w:top w:val="none" w:sz="0" w:space="0" w:color="auto"/>
        <w:left w:val="none" w:sz="0" w:space="0" w:color="auto"/>
        <w:bottom w:val="none" w:sz="0" w:space="0" w:color="auto"/>
        <w:right w:val="none" w:sz="0" w:space="0" w:color="auto"/>
      </w:divBdr>
    </w:div>
    <w:div w:id="1020667809">
      <w:bodyDiv w:val="1"/>
      <w:marLeft w:val="0"/>
      <w:marRight w:val="0"/>
      <w:marTop w:val="0"/>
      <w:marBottom w:val="0"/>
      <w:divBdr>
        <w:top w:val="none" w:sz="0" w:space="0" w:color="auto"/>
        <w:left w:val="none" w:sz="0" w:space="0" w:color="auto"/>
        <w:bottom w:val="none" w:sz="0" w:space="0" w:color="auto"/>
        <w:right w:val="none" w:sz="0" w:space="0" w:color="auto"/>
      </w:divBdr>
      <w:divsChild>
        <w:div w:id="1299920955">
          <w:marLeft w:val="0"/>
          <w:marRight w:val="0"/>
          <w:marTop w:val="0"/>
          <w:marBottom w:val="0"/>
          <w:divBdr>
            <w:top w:val="none" w:sz="0" w:space="0" w:color="auto"/>
            <w:left w:val="none" w:sz="0" w:space="0" w:color="auto"/>
            <w:bottom w:val="none" w:sz="0" w:space="0" w:color="auto"/>
            <w:right w:val="none" w:sz="0" w:space="0" w:color="auto"/>
          </w:divBdr>
        </w:div>
      </w:divsChild>
    </w:div>
    <w:div w:id="1161697196">
      <w:bodyDiv w:val="1"/>
      <w:marLeft w:val="0"/>
      <w:marRight w:val="0"/>
      <w:marTop w:val="0"/>
      <w:marBottom w:val="0"/>
      <w:divBdr>
        <w:top w:val="none" w:sz="0" w:space="0" w:color="auto"/>
        <w:left w:val="none" w:sz="0" w:space="0" w:color="auto"/>
        <w:bottom w:val="none" w:sz="0" w:space="0" w:color="auto"/>
        <w:right w:val="none" w:sz="0" w:space="0" w:color="auto"/>
      </w:divBdr>
    </w:div>
    <w:div w:id="1320692567">
      <w:bodyDiv w:val="1"/>
      <w:marLeft w:val="0"/>
      <w:marRight w:val="0"/>
      <w:marTop w:val="0"/>
      <w:marBottom w:val="0"/>
      <w:divBdr>
        <w:top w:val="none" w:sz="0" w:space="0" w:color="auto"/>
        <w:left w:val="none" w:sz="0" w:space="0" w:color="auto"/>
        <w:bottom w:val="none" w:sz="0" w:space="0" w:color="auto"/>
        <w:right w:val="none" w:sz="0" w:space="0" w:color="auto"/>
      </w:divBdr>
    </w:div>
    <w:div w:id="1401052729">
      <w:bodyDiv w:val="1"/>
      <w:marLeft w:val="0"/>
      <w:marRight w:val="0"/>
      <w:marTop w:val="0"/>
      <w:marBottom w:val="0"/>
      <w:divBdr>
        <w:top w:val="none" w:sz="0" w:space="0" w:color="auto"/>
        <w:left w:val="none" w:sz="0" w:space="0" w:color="auto"/>
        <w:bottom w:val="none" w:sz="0" w:space="0" w:color="auto"/>
        <w:right w:val="none" w:sz="0" w:space="0" w:color="auto"/>
      </w:divBdr>
    </w:div>
    <w:div w:id="1427264516">
      <w:bodyDiv w:val="1"/>
      <w:marLeft w:val="0"/>
      <w:marRight w:val="0"/>
      <w:marTop w:val="0"/>
      <w:marBottom w:val="0"/>
      <w:divBdr>
        <w:top w:val="none" w:sz="0" w:space="0" w:color="auto"/>
        <w:left w:val="none" w:sz="0" w:space="0" w:color="auto"/>
        <w:bottom w:val="none" w:sz="0" w:space="0" w:color="auto"/>
        <w:right w:val="none" w:sz="0" w:space="0" w:color="auto"/>
      </w:divBdr>
    </w:div>
    <w:div w:id="1601336167">
      <w:bodyDiv w:val="1"/>
      <w:marLeft w:val="0"/>
      <w:marRight w:val="0"/>
      <w:marTop w:val="0"/>
      <w:marBottom w:val="0"/>
      <w:divBdr>
        <w:top w:val="none" w:sz="0" w:space="0" w:color="auto"/>
        <w:left w:val="none" w:sz="0" w:space="0" w:color="auto"/>
        <w:bottom w:val="none" w:sz="0" w:space="0" w:color="auto"/>
        <w:right w:val="none" w:sz="0" w:space="0" w:color="auto"/>
      </w:divBdr>
    </w:div>
    <w:div w:id="1623807007">
      <w:bodyDiv w:val="1"/>
      <w:marLeft w:val="0"/>
      <w:marRight w:val="0"/>
      <w:marTop w:val="0"/>
      <w:marBottom w:val="0"/>
      <w:divBdr>
        <w:top w:val="none" w:sz="0" w:space="0" w:color="auto"/>
        <w:left w:val="none" w:sz="0" w:space="0" w:color="auto"/>
        <w:bottom w:val="none" w:sz="0" w:space="0" w:color="auto"/>
        <w:right w:val="none" w:sz="0" w:space="0" w:color="auto"/>
      </w:divBdr>
    </w:div>
    <w:div w:id="1663200620">
      <w:bodyDiv w:val="1"/>
      <w:marLeft w:val="0"/>
      <w:marRight w:val="0"/>
      <w:marTop w:val="0"/>
      <w:marBottom w:val="0"/>
      <w:divBdr>
        <w:top w:val="none" w:sz="0" w:space="0" w:color="auto"/>
        <w:left w:val="none" w:sz="0" w:space="0" w:color="auto"/>
        <w:bottom w:val="none" w:sz="0" w:space="0" w:color="auto"/>
        <w:right w:val="none" w:sz="0" w:space="0" w:color="auto"/>
      </w:divBdr>
    </w:div>
    <w:div w:id="1679310784">
      <w:bodyDiv w:val="1"/>
      <w:marLeft w:val="0"/>
      <w:marRight w:val="0"/>
      <w:marTop w:val="0"/>
      <w:marBottom w:val="0"/>
      <w:divBdr>
        <w:top w:val="none" w:sz="0" w:space="0" w:color="auto"/>
        <w:left w:val="none" w:sz="0" w:space="0" w:color="auto"/>
        <w:bottom w:val="none" w:sz="0" w:space="0" w:color="auto"/>
        <w:right w:val="none" w:sz="0" w:space="0" w:color="auto"/>
      </w:divBdr>
    </w:div>
    <w:div w:id="1782723465">
      <w:bodyDiv w:val="1"/>
      <w:marLeft w:val="0"/>
      <w:marRight w:val="0"/>
      <w:marTop w:val="0"/>
      <w:marBottom w:val="0"/>
      <w:divBdr>
        <w:top w:val="none" w:sz="0" w:space="0" w:color="auto"/>
        <w:left w:val="none" w:sz="0" w:space="0" w:color="auto"/>
        <w:bottom w:val="none" w:sz="0" w:space="0" w:color="auto"/>
        <w:right w:val="none" w:sz="0" w:space="0" w:color="auto"/>
      </w:divBdr>
    </w:div>
    <w:div w:id="1840272865">
      <w:bodyDiv w:val="1"/>
      <w:marLeft w:val="0"/>
      <w:marRight w:val="0"/>
      <w:marTop w:val="0"/>
      <w:marBottom w:val="0"/>
      <w:divBdr>
        <w:top w:val="none" w:sz="0" w:space="0" w:color="auto"/>
        <w:left w:val="none" w:sz="0" w:space="0" w:color="auto"/>
        <w:bottom w:val="none" w:sz="0" w:space="0" w:color="auto"/>
        <w:right w:val="none" w:sz="0" w:space="0" w:color="auto"/>
      </w:divBdr>
    </w:div>
    <w:div w:id="1894467258">
      <w:bodyDiv w:val="1"/>
      <w:marLeft w:val="0"/>
      <w:marRight w:val="0"/>
      <w:marTop w:val="0"/>
      <w:marBottom w:val="0"/>
      <w:divBdr>
        <w:top w:val="none" w:sz="0" w:space="0" w:color="auto"/>
        <w:left w:val="none" w:sz="0" w:space="0" w:color="auto"/>
        <w:bottom w:val="none" w:sz="0" w:space="0" w:color="auto"/>
        <w:right w:val="none" w:sz="0" w:space="0" w:color="auto"/>
      </w:divBdr>
      <w:divsChild>
        <w:div w:id="628826034">
          <w:marLeft w:val="0"/>
          <w:marRight w:val="0"/>
          <w:marTop w:val="0"/>
          <w:marBottom w:val="0"/>
          <w:divBdr>
            <w:top w:val="none" w:sz="0" w:space="0" w:color="auto"/>
            <w:left w:val="none" w:sz="0" w:space="0" w:color="auto"/>
            <w:bottom w:val="none" w:sz="0" w:space="0" w:color="auto"/>
            <w:right w:val="none" w:sz="0" w:space="0" w:color="auto"/>
          </w:divBdr>
        </w:div>
      </w:divsChild>
    </w:div>
    <w:div w:id="2073428038">
      <w:bodyDiv w:val="1"/>
      <w:marLeft w:val="0"/>
      <w:marRight w:val="0"/>
      <w:marTop w:val="0"/>
      <w:marBottom w:val="0"/>
      <w:divBdr>
        <w:top w:val="none" w:sz="0" w:space="0" w:color="auto"/>
        <w:left w:val="none" w:sz="0" w:space="0" w:color="auto"/>
        <w:bottom w:val="none" w:sz="0" w:space="0" w:color="auto"/>
        <w:right w:val="none" w:sz="0" w:space="0" w:color="auto"/>
      </w:divBdr>
    </w:div>
    <w:div w:id="211111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3567</Words>
  <Characters>20334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SAIDEEP THALLAPALLY</dc:creator>
  <cp:keywords/>
  <dc:description/>
  <cp:lastModifiedBy>SDI 1084</cp:lastModifiedBy>
  <cp:revision>5</cp:revision>
  <cp:lastPrinted>2025-05-23T14:10:00Z</cp:lastPrinted>
  <dcterms:created xsi:type="dcterms:W3CDTF">2025-08-07T05:22:00Z</dcterms:created>
  <dcterms:modified xsi:type="dcterms:W3CDTF">2025-08-08T06:17:00Z</dcterms:modified>
</cp:coreProperties>
</file>