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A7F" w:rsidRPr="00660875" w:rsidRDefault="00B95A7F" w:rsidP="005669A5">
      <w:pPr>
        <w:spacing w:after="0"/>
        <w:jc w:val="right"/>
        <w:rPr>
          <w:rFonts w:ascii="Arial" w:hAnsi="Arial" w:cs="Arial"/>
          <w:b/>
          <w:sz w:val="28"/>
          <w:szCs w:val="40"/>
        </w:rPr>
      </w:pPr>
      <w:proofErr w:type="spellStart"/>
      <w:r w:rsidRPr="00660875">
        <w:rPr>
          <w:rFonts w:ascii="Arial" w:hAnsi="Arial" w:cs="Arial"/>
          <w:b/>
          <w:sz w:val="28"/>
          <w:szCs w:val="40"/>
        </w:rPr>
        <w:t>Probeads</w:t>
      </w:r>
      <w:proofErr w:type="spellEnd"/>
      <w:r w:rsidRPr="00660875">
        <w:rPr>
          <w:rFonts w:ascii="Arial" w:hAnsi="Arial" w:cs="Arial"/>
          <w:b/>
          <w:sz w:val="28"/>
          <w:szCs w:val="40"/>
        </w:rPr>
        <w:t xml:space="preserve">-EC probiotic supplementation: </w:t>
      </w:r>
      <w:r w:rsidR="005E52CB" w:rsidRPr="00660875">
        <w:rPr>
          <w:rFonts w:ascii="Arial" w:hAnsi="Arial" w:cs="Arial"/>
          <w:b/>
          <w:sz w:val="28"/>
          <w:szCs w:val="40"/>
        </w:rPr>
        <w:t>Novel approaches to improve growth performance in Aseel cross</w:t>
      </w:r>
      <w:r w:rsidRPr="00660875">
        <w:rPr>
          <w:rFonts w:ascii="Arial" w:hAnsi="Arial" w:cs="Arial"/>
          <w:b/>
          <w:sz w:val="28"/>
          <w:szCs w:val="40"/>
        </w:rPr>
        <w:t xml:space="preserve"> chicks</w:t>
      </w:r>
    </w:p>
    <w:p w:rsidR="00660875" w:rsidRDefault="00660875" w:rsidP="00B95A7F">
      <w:pPr>
        <w:spacing w:after="0" w:line="240" w:lineRule="auto"/>
        <w:jc w:val="right"/>
        <w:rPr>
          <w:rFonts w:ascii="Arial" w:hAnsi="Arial" w:cs="Arial"/>
          <w:sz w:val="24"/>
          <w:szCs w:val="24"/>
        </w:rPr>
      </w:pPr>
    </w:p>
    <w:p w:rsidR="00B00BF0" w:rsidRDefault="00B00BF0" w:rsidP="00A07D08">
      <w:pPr>
        <w:spacing w:after="0" w:line="240" w:lineRule="auto"/>
        <w:rPr>
          <w:rFonts w:ascii="Arial" w:hAnsi="Arial" w:cs="Arial"/>
          <w:sz w:val="20"/>
          <w:szCs w:val="24"/>
        </w:rPr>
      </w:pPr>
    </w:p>
    <w:p w:rsidR="00127393" w:rsidRDefault="00127393" w:rsidP="005C685B">
      <w:pPr>
        <w:spacing w:after="0" w:line="240" w:lineRule="auto"/>
        <w:rPr>
          <w:rFonts w:ascii="Arial" w:hAnsi="Arial" w:cs="Arial"/>
          <w:sz w:val="20"/>
          <w:szCs w:val="24"/>
        </w:rPr>
      </w:pPr>
    </w:p>
    <w:p w:rsidR="00A0143D" w:rsidRPr="003F6684" w:rsidRDefault="00A0143D" w:rsidP="00103EE4">
      <w:pPr>
        <w:jc w:val="both"/>
        <w:rPr>
          <w:rFonts w:ascii="Arial" w:hAnsi="Arial" w:cs="Arial"/>
          <w:b/>
          <w:szCs w:val="24"/>
        </w:rPr>
      </w:pPr>
      <w:r w:rsidRPr="003F6684">
        <w:rPr>
          <w:rFonts w:ascii="Arial" w:hAnsi="Arial" w:cs="Arial"/>
          <w:b/>
          <w:szCs w:val="24"/>
        </w:rPr>
        <w:t>Abstract</w:t>
      </w:r>
    </w:p>
    <w:tbl>
      <w:tblPr>
        <w:tblStyle w:val="TableGrid"/>
        <w:tblW w:w="0" w:type="auto"/>
        <w:tblInd w:w="250" w:type="dxa"/>
        <w:tblLook w:val="04A0" w:firstRow="1" w:lastRow="0" w:firstColumn="1" w:lastColumn="0" w:noHBand="0" w:noVBand="1"/>
      </w:tblPr>
      <w:tblGrid>
        <w:gridCol w:w="8992"/>
      </w:tblGrid>
      <w:tr w:rsidR="00CA7587" w:rsidRPr="005669A5" w:rsidTr="003F6684">
        <w:tc>
          <w:tcPr>
            <w:tcW w:w="8992" w:type="dxa"/>
          </w:tcPr>
          <w:p w:rsidR="00CA7587" w:rsidRPr="00127393" w:rsidRDefault="00CA7587" w:rsidP="00127393">
            <w:pPr>
              <w:spacing w:line="360" w:lineRule="auto"/>
              <w:jc w:val="both"/>
              <w:rPr>
                <w:rFonts w:ascii="Arial" w:hAnsi="Arial" w:cs="Arial"/>
                <w:sz w:val="20"/>
                <w:szCs w:val="24"/>
              </w:rPr>
            </w:pPr>
            <w:r w:rsidRPr="00B47330">
              <w:rPr>
                <w:rFonts w:ascii="Arial" w:hAnsi="Arial" w:cs="Arial"/>
                <w:b/>
                <w:sz w:val="20"/>
                <w:szCs w:val="24"/>
              </w:rPr>
              <w:t>Aim</w:t>
            </w:r>
            <w:r w:rsidRPr="00B47330">
              <w:rPr>
                <w:rFonts w:ascii="Arial" w:hAnsi="Arial" w:cs="Arial"/>
                <w:sz w:val="20"/>
                <w:szCs w:val="24"/>
              </w:rPr>
              <w:t>:</w:t>
            </w:r>
            <w:r w:rsidRPr="00B47330">
              <w:rPr>
                <w:rFonts w:ascii="Arial" w:hAnsi="Arial" w:cs="Arial"/>
                <w:bCs/>
                <w:sz w:val="20"/>
                <w:szCs w:val="24"/>
              </w:rPr>
              <w:t xml:space="preserve"> </w:t>
            </w:r>
            <w:r w:rsidR="00127393" w:rsidRPr="00127393">
              <w:rPr>
                <w:rFonts w:ascii="Arial" w:hAnsi="Arial" w:cs="Arial"/>
                <w:sz w:val="20"/>
                <w:szCs w:val="24"/>
              </w:rPr>
              <w:t>Early chick mortality is a common issue in improved germplasm of desi birds under backyard system of rearing. Probiotics is one of the feed additives to decrease chick mortality. Hence, the present study aimed to evaluate</w:t>
            </w:r>
            <w:r w:rsidR="00127393">
              <w:rPr>
                <w:rFonts w:ascii="Arial" w:hAnsi="Arial" w:cs="Arial"/>
                <w:sz w:val="20"/>
                <w:szCs w:val="24"/>
              </w:rPr>
              <w:t xml:space="preserve"> </w:t>
            </w:r>
            <w:r w:rsidRPr="00B47330">
              <w:rPr>
                <w:rFonts w:ascii="Arial" w:hAnsi="Arial" w:cs="Arial"/>
                <w:bCs/>
                <w:sz w:val="20"/>
                <w:szCs w:val="24"/>
              </w:rPr>
              <w:t>the effects of probiotic supplementation on the performance of TANUVAS Aseel chick</w:t>
            </w:r>
          </w:p>
          <w:p w:rsidR="00CA7587" w:rsidRPr="00B47330" w:rsidRDefault="00CA7587" w:rsidP="00E55E7E">
            <w:pPr>
              <w:spacing w:line="360" w:lineRule="auto"/>
              <w:jc w:val="both"/>
              <w:rPr>
                <w:rFonts w:ascii="Arial" w:hAnsi="Arial" w:cs="Arial"/>
                <w:bCs/>
                <w:sz w:val="20"/>
                <w:szCs w:val="24"/>
              </w:rPr>
            </w:pPr>
            <w:r w:rsidRPr="00B47330">
              <w:rPr>
                <w:rFonts w:ascii="Arial" w:hAnsi="Arial" w:cs="Arial"/>
                <w:b/>
                <w:bCs/>
                <w:sz w:val="20"/>
                <w:szCs w:val="24"/>
              </w:rPr>
              <w:t>Methodology</w:t>
            </w:r>
            <w:r w:rsidRPr="00B47330">
              <w:rPr>
                <w:rFonts w:ascii="Arial" w:hAnsi="Arial" w:cs="Arial"/>
                <w:bCs/>
                <w:sz w:val="20"/>
                <w:szCs w:val="24"/>
              </w:rPr>
              <w:t xml:space="preserve">: One hundred-day-old chicks were divided into two groups: a treatment group receiving commercially available feed supplemented with </w:t>
            </w:r>
            <w:proofErr w:type="spellStart"/>
            <w:r w:rsidRPr="00B47330">
              <w:rPr>
                <w:rFonts w:ascii="Arial" w:hAnsi="Arial" w:cs="Arial"/>
                <w:bCs/>
                <w:sz w:val="20"/>
                <w:szCs w:val="24"/>
              </w:rPr>
              <w:t>Probeads</w:t>
            </w:r>
            <w:proofErr w:type="spellEnd"/>
            <w:r w:rsidRPr="00B47330">
              <w:rPr>
                <w:rFonts w:ascii="Arial" w:hAnsi="Arial" w:cs="Arial"/>
                <w:bCs/>
                <w:sz w:val="20"/>
                <w:szCs w:val="24"/>
              </w:rPr>
              <w:t>-EC, and a control group receiving feed without probiotic supplementation</w:t>
            </w:r>
          </w:p>
          <w:p w:rsidR="00CA7587" w:rsidRPr="00B47330" w:rsidRDefault="00CA7587" w:rsidP="00E55E7E">
            <w:pPr>
              <w:spacing w:line="360" w:lineRule="auto"/>
              <w:jc w:val="both"/>
              <w:rPr>
                <w:rFonts w:ascii="Arial" w:hAnsi="Arial" w:cs="Arial"/>
                <w:bCs/>
                <w:sz w:val="20"/>
                <w:szCs w:val="24"/>
              </w:rPr>
            </w:pPr>
            <w:r w:rsidRPr="00B47330">
              <w:rPr>
                <w:rFonts w:ascii="Arial" w:hAnsi="Arial" w:cs="Arial"/>
                <w:b/>
                <w:bCs/>
                <w:sz w:val="20"/>
                <w:szCs w:val="24"/>
              </w:rPr>
              <w:t>Results</w:t>
            </w:r>
            <w:r w:rsidRPr="00B47330">
              <w:rPr>
                <w:rFonts w:ascii="Arial" w:hAnsi="Arial" w:cs="Arial"/>
                <w:bCs/>
                <w:sz w:val="20"/>
                <w:szCs w:val="24"/>
              </w:rPr>
              <w:t xml:space="preserve">: The results showed that the treatment group had significantly higher body weight, body weight gain, and </w:t>
            </w:r>
            <w:proofErr w:type="spellStart"/>
            <w:r w:rsidRPr="00B47330">
              <w:rPr>
                <w:rFonts w:ascii="Arial" w:hAnsi="Arial" w:cs="Arial"/>
                <w:bCs/>
                <w:sz w:val="20"/>
                <w:szCs w:val="24"/>
              </w:rPr>
              <w:t>livability</w:t>
            </w:r>
            <w:proofErr w:type="spellEnd"/>
            <w:r w:rsidRPr="00B47330">
              <w:rPr>
                <w:rFonts w:ascii="Arial" w:hAnsi="Arial" w:cs="Arial"/>
                <w:bCs/>
                <w:sz w:val="20"/>
                <w:szCs w:val="24"/>
              </w:rPr>
              <w:t xml:space="preserve"> percentage, as well as improved feed conversion ratio and feed efficiency</w:t>
            </w:r>
          </w:p>
          <w:p w:rsidR="00CA7587" w:rsidRPr="005669A5" w:rsidRDefault="00CA7587" w:rsidP="00E55E7E">
            <w:pPr>
              <w:spacing w:line="360" w:lineRule="auto"/>
              <w:jc w:val="both"/>
              <w:rPr>
                <w:rFonts w:ascii="Arial" w:hAnsi="Arial" w:cs="Arial"/>
                <w:bCs/>
                <w:szCs w:val="24"/>
              </w:rPr>
            </w:pPr>
            <w:r w:rsidRPr="00B47330">
              <w:rPr>
                <w:rFonts w:ascii="Arial" w:hAnsi="Arial" w:cs="Arial"/>
                <w:b/>
                <w:sz w:val="20"/>
                <w:szCs w:val="24"/>
              </w:rPr>
              <w:t>Conclusion</w:t>
            </w:r>
            <w:r w:rsidRPr="00B47330">
              <w:rPr>
                <w:rFonts w:ascii="Arial" w:hAnsi="Arial" w:cs="Arial"/>
                <w:sz w:val="20"/>
                <w:szCs w:val="24"/>
              </w:rPr>
              <w:t>:</w:t>
            </w:r>
            <w:r w:rsidRPr="00B47330">
              <w:rPr>
                <w:rFonts w:ascii="Arial" w:hAnsi="Arial" w:cs="Arial"/>
                <w:bCs/>
                <w:sz w:val="20"/>
                <w:szCs w:val="24"/>
              </w:rPr>
              <w:t xml:space="preserve"> The study demonstrates the potential benefits of probiotic supplementation in poultry production, particularly in terms of enhancing growth performance and efficiency.</w:t>
            </w:r>
          </w:p>
        </w:tc>
      </w:tr>
    </w:tbl>
    <w:p w:rsidR="00103EE4" w:rsidRPr="005669A5" w:rsidRDefault="003F6684" w:rsidP="00103EE4">
      <w:pPr>
        <w:spacing w:line="360" w:lineRule="auto"/>
        <w:jc w:val="both"/>
        <w:rPr>
          <w:rFonts w:ascii="Arial" w:hAnsi="Arial" w:cs="Arial"/>
          <w:bCs/>
          <w:szCs w:val="24"/>
        </w:rPr>
      </w:pPr>
      <w:r>
        <w:rPr>
          <w:rFonts w:ascii="Arial" w:hAnsi="Arial" w:cs="Arial"/>
          <w:bCs/>
          <w:szCs w:val="24"/>
        </w:rPr>
        <w:t xml:space="preserve">  </w:t>
      </w:r>
      <w:r w:rsidR="00103EE4" w:rsidRPr="003F6684">
        <w:rPr>
          <w:rFonts w:ascii="Arial" w:hAnsi="Arial" w:cs="Arial"/>
          <w:b/>
          <w:bCs/>
          <w:szCs w:val="24"/>
        </w:rPr>
        <w:t>Keywords:</w:t>
      </w:r>
      <w:r w:rsidR="00103EE4" w:rsidRPr="005669A5">
        <w:rPr>
          <w:rFonts w:ascii="Arial" w:hAnsi="Arial" w:cs="Arial"/>
          <w:bCs/>
          <w:szCs w:val="24"/>
        </w:rPr>
        <w:t xml:space="preserve"> Probiotics, body weight and Immunity</w:t>
      </w:r>
    </w:p>
    <w:p w:rsidR="000D1D51" w:rsidRPr="003F6684" w:rsidRDefault="000D1D51" w:rsidP="000D1D51">
      <w:pPr>
        <w:spacing w:line="240" w:lineRule="auto"/>
        <w:rPr>
          <w:rFonts w:ascii="Arial" w:hAnsi="Arial" w:cs="Arial"/>
          <w:b/>
          <w:szCs w:val="24"/>
        </w:rPr>
      </w:pPr>
      <w:r w:rsidRPr="003F6684">
        <w:rPr>
          <w:rFonts w:ascii="Arial" w:hAnsi="Arial" w:cs="Arial"/>
          <w:b/>
          <w:szCs w:val="24"/>
        </w:rPr>
        <w:t>INTRODUCTION</w:t>
      </w:r>
    </w:p>
    <w:p w:rsidR="000D1D51" w:rsidRPr="005669A5" w:rsidRDefault="000D1D51" w:rsidP="00C235BE">
      <w:pPr>
        <w:spacing w:line="360" w:lineRule="auto"/>
        <w:ind w:firstLine="720"/>
        <w:jc w:val="both"/>
        <w:rPr>
          <w:rFonts w:ascii="Arial" w:hAnsi="Arial" w:cs="Arial"/>
          <w:sz w:val="20"/>
          <w:szCs w:val="24"/>
        </w:rPr>
      </w:pPr>
      <w:r w:rsidRPr="005669A5">
        <w:rPr>
          <w:rFonts w:ascii="Arial" w:hAnsi="Arial" w:cs="Arial"/>
          <w:sz w:val="20"/>
          <w:szCs w:val="24"/>
        </w:rPr>
        <w:t>Rural poultry farming has gained popularity in tropical regions due to its minimal investment requirements and feasibility as a backyard system (</w:t>
      </w:r>
      <w:proofErr w:type="spellStart"/>
      <w:r w:rsidRPr="005669A5">
        <w:rPr>
          <w:rFonts w:ascii="Arial" w:hAnsi="Arial" w:cs="Arial"/>
          <w:sz w:val="20"/>
          <w:szCs w:val="24"/>
        </w:rPr>
        <w:t>Sonaiya</w:t>
      </w:r>
      <w:proofErr w:type="spellEnd"/>
      <w:r w:rsidRPr="005669A5">
        <w:rPr>
          <w:rFonts w:ascii="Arial" w:hAnsi="Arial" w:cs="Arial"/>
          <w:sz w:val="20"/>
          <w:szCs w:val="24"/>
        </w:rPr>
        <w:t>, 2004). In Karur district, a dry area with limited fodder availability and dairy animals, poultry rearing has emerged as a vital supplementary income source for rural livelihoods. However, despite its economic benefits, backyard poultry systems often fail to achieve maximum gains. To address this, supplementation with probiotics has been identified as a potential strategy to enhance growth rates and achieve market weight (</w:t>
      </w:r>
      <w:proofErr w:type="spellStart"/>
      <w:r w:rsidRPr="005669A5">
        <w:rPr>
          <w:rFonts w:ascii="Arial" w:hAnsi="Arial" w:cs="Arial"/>
          <w:sz w:val="20"/>
          <w:szCs w:val="24"/>
        </w:rPr>
        <w:t>Kalavathy</w:t>
      </w:r>
      <w:proofErr w:type="spellEnd"/>
      <w:r w:rsidRPr="005669A5">
        <w:rPr>
          <w:rFonts w:ascii="Arial" w:hAnsi="Arial" w:cs="Arial"/>
          <w:sz w:val="20"/>
          <w:szCs w:val="24"/>
        </w:rPr>
        <w:t xml:space="preserve"> et al., 2010). Probiotics, defined as "live microorganisms which, when administered in adequate amounts, confer a health benefit on the host" (FAO/WHO, 2002), have been shown to improve poultry performance, with studies demonstrating increased body weight gain, feed efficiency, and immune system function in desi birds supplemented with Lactobacillus </w:t>
      </w:r>
      <w:proofErr w:type="spellStart"/>
      <w:r w:rsidRPr="005669A5">
        <w:rPr>
          <w:rFonts w:ascii="Arial" w:hAnsi="Arial" w:cs="Arial"/>
          <w:sz w:val="20"/>
          <w:szCs w:val="24"/>
        </w:rPr>
        <w:t>sporogenes</w:t>
      </w:r>
      <w:proofErr w:type="spellEnd"/>
      <w:r w:rsidRPr="005669A5">
        <w:rPr>
          <w:rFonts w:ascii="Arial" w:hAnsi="Arial" w:cs="Arial"/>
          <w:sz w:val="20"/>
          <w:szCs w:val="24"/>
        </w:rPr>
        <w:t xml:space="preserve"> (Yan et al., 2017).</w:t>
      </w:r>
    </w:p>
    <w:p w:rsidR="00285CBF" w:rsidRDefault="00285CBF" w:rsidP="00285CBF">
      <w:pPr>
        <w:spacing w:line="240" w:lineRule="auto"/>
        <w:jc w:val="both"/>
        <w:rPr>
          <w:rFonts w:ascii="Arial" w:hAnsi="Arial" w:cs="Arial"/>
          <w:b/>
        </w:rPr>
      </w:pPr>
    </w:p>
    <w:p w:rsidR="00285CBF" w:rsidRDefault="00285CBF" w:rsidP="00285CBF">
      <w:pPr>
        <w:spacing w:line="240" w:lineRule="auto"/>
        <w:jc w:val="both"/>
        <w:rPr>
          <w:rFonts w:ascii="Arial" w:hAnsi="Arial" w:cs="Arial"/>
          <w:b/>
        </w:rPr>
      </w:pPr>
    </w:p>
    <w:p w:rsidR="00285CBF" w:rsidRDefault="00285CBF" w:rsidP="00285CBF">
      <w:pPr>
        <w:spacing w:line="240" w:lineRule="auto"/>
        <w:jc w:val="both"/>
        <w:rPr>
          <w:rFonts w:ascii="Arial" w:hAnsi="Arial" w:cs="Arial"/>
          <w:b/>
        </w:rPr>
      </w:pPr>
    </w:p>
    <w:p w:rsidR="000D1D51" w:rsidRPr="00C235BE" w:rsidRDefault="000D1D51" w:rsidP="00285CBF">
      <w:pPr>
        <w:spacing w:line="240" w:lineRule="auto"/>
        <w:jc w:val="both"/>
        <w:rPr>
          <w:rFonts w:ascii="Arial" w:hAnsi="Arial" w:cs="Arial"/>
          <w:b/>
        </w:rPr>
      </w:pPr>
      <w:r w:rsidRPr="00C235BE">
        <w:rPr>
          <w:rFonts w:ascii="Arial" w:hAnsi="Arial" w:cs="Arial"/>
          <w:b/>
        </w:rPr>
        <w:t>MATERIALS AND METHODS</w:t>
      </w:r>
    </w:p>
    <w:p w:rsidR="000D1D51" w:rsidRPr="00872C11" w:rsidRDefault="000D1D51" w:rsidP="00285CBF">
      <w:pPr>
        <w:autoSpaceDE w:val="0"/>
        <w:autoSpaceDN w:val="0"/>
        <w:adjustRightInd w:val="0"/>
        <w:spacing w:after="0" w:line="240" w:lineRule="auto"/>
        <w:jc w:val="both"/>
        <w:rPr>
          <w:rFonts w:ascii="Arial" w:hAnsi="Arial" w:cs="Arial"/>
          <w:b/>
          <w:bCs/>
          <w:szCs w:val="24"/>
        </w:rPr>
      </w:pPr>
      <w:r w:rsidRPr="00872C11">
        <w:rPr>
          <w:rFonts w:ascii="Arial" w:hAnsi="Arial" w:cs="Arial"/>
          <w:b/>
          <w:bCs/>
          <w:szCs w:val="24"/>
        </w:rPr>
        <w:t>Experimental Design and Protocol</w:t>
      </w:r>
    </w:p>
    <w:p w:rsidR="000D1D51" w:rsidRPr="005669A5" w:rsidRDefault="000D1D51" w:rsidP="000D1D51">
      <w:pPr>
        <w:autoSpaceDE w:val="0"/>
        <w:autoSpaceDN w:val="0"/>
        <w:adjustRightInd w:val="0"/>
        <w:spacing w:after="0" w:line="360" w:lineRule="auto"/>
        <w:ind w:firstLine="720"/>
        <w:jc w:val="both"/>
        <w:rPr>
          <w:rFonts w:ascii="Arial" w:hAnsi="Arial" w:cs="Arial"/>
          <w:sz w:val="20"/>
          <w:szCs w:val="24"/>
        </w:rPr>
      </w:pPr>
      <w:r w:rsidRPr="005669A5">
        <w:rPr>
          <w:rFonts w:ascii="Arial" w:hAnsi="Arial" w:cs="Arial"/>
          <w:sz w:val="20"/>
          <w:szCs w:val="24"/>
        </w:rPr>
        <w:t xml:space="preserve">This field trial was conducted at </w:t>
      </w:r>
      <w:proofErr w:type="spellStart"/>
      <w:r w:rsidRPr="005669A5">
        <w:rPr>
          <w:rFonts w:ascii="Arial" w:hAnsi="Arial" w:cs="Arial"/>
          <w:sz w:val="20"/>
          <w:szCs w:val="24"/>
        </w:rPr>
        <w:t>Venjamangudalur</w:t>
      </w:r>
      <w:proofErr w:type="spellEnd"/>
      <w:r w:rsidRPr="005669A5">
        <w:rPr>
          <w:rFonts w:ascii="Arial" w:hAnsi="Arial" w:cs="Arial"/>
          <w:sz w:val="20"/>
          <w:szCs w:val="24"/>
        </w:rPr>
        <w:t xml:space="preserve"> village, </w:t>
      </w:r>
      <w:proofErr w:type="spellStart"/>
      <w:r w:rsidRPr="005669A5">
        <w:rPr>
          <w:rFonts w:ascii="Arial" w:hAnsi="Arial" w:cs="Arial"/>
          <w:sz w:val="20"/>
          <w:szCs w:val="24"/>
        </w:rPr>
        <w:t>Aravakuruchi</w:t>
      </w:r>
      <w:proofErr w:type="spellEnd"/>
      <w:r w:rsidRPr="005669A5">
        <w:rPr>
          <w:rFonts w:ascii="Arial" w:hAnsi="Arial" w:cs="Arial"/>
          <w:sz w:val="20"/>
          <w:szCs w:val="24"/>
        </w:rPr>
        <w:t xml:space="preserve"> block, Karur district, India, from October 2024 to January 2025. One hundred-day-old Aseel cross chicks were randomly divided into two groups: a treatment group (T1) and a control group (T2).</w:t>
      </w:r>
    </w:p>
    <w:p w:rsidR="000D1D51" w:rsidRPr="005669A5" w:rsidRDefault="000D1D51" w:rsidP="000D1D51">
      <w:pPr>
        <w:autoSpaceDE w:val="0"/>
        <w:autoSpaceDN w:val="0"/>
        <w:adjustRightInd w:val="0"/>
        <w:spacing w:after="0" w:line="360" w:lineRule="auto"/>
        <w:jc w:val="both"/>
        <w:rPr>
          <w:rFonts w:ascii="Arial" w:hAnsi="Arial" w:cs="Arial"/>
          <w:bCs/>
          <w:sz w:val="20"/>
          <w:szCs w:val="24"/>
        </w:rPr>
      </w:pPr>
      <w:r w:rsidRPr="005669A5">
        <w:rPr>
          <w:rFonts w:ascii="Arial" w:hAnsi="Arial" w:cs="Arial"/>
          <w:bCs/>
          <w:sz w:val="20"/>
          <w:szCs w:val="24"/>
        </w:rPr>
        <w:t>Dietary Treatments</w:t>
      </w:r>
    </w:p>
    <w:p w:rsidR="000D1D51" w:rsidRPr="005669A5" w:rsidRDefault="000D1D51" w:rsidP="000D1D51">
      <w:pPr>
        <w:autoSpaceDE w:val="0"/>
        <w:autoSpaceDN w:val="0"/>
        <w:adjustRightInd w:val="0"/>
        <w:spacing w:after="0" w:line="360" w:lineRule="auto"/>
        <w:ind w:firstLine="720"/>
        <w:jc w:val="both"/>
        <w:rPr>
          <w:rFonts w:ascii="Arial" w:hAnsi="Arial" w:cs="Arial"/>
          <w:sz w:val="20"/>
          <w:szCs w:val="24"/>
        </w:rPr>
      </w:pPr>
      <w:r w:rsidRPr="005669A5">
        <w:rPr>
          <w:rFonts w:ascii="Arial" w:hAnsi="Arial" w:cs="Arial"/>
          <w:sz w:val="20"/>
          <w:szCs w:val="24"/>
        </w:rPr>
        <w:lastRenderedPageBreak/>
        <w:t xml:space="preserve">The treatment group (T1) received commercially available feed supplemented with </w:t>
      </w:r>
      <w:proofErr w:type="spellStart"/>
      <w:r w:rsidRPr="005669A5">
        <w:rPr>
          <w:rFonts w:ascii="Arial" w:hAnsi="Arial" w:cs="Arial"/>
          <w:sz w:val="20"/>
          <w:szCs w:val="24"/>
        </w:rPr>
        <w:t>Probeads</w:t>
      </w:r>
      <w:proofErr w:type="spellEnd"/>
      <w:r w:rsidRPr="005669A5">
        <w:rPr>
          <w:rFonts w:ascii="Arial" w:hAnsi="Arial" w:cs="Arial"/>
          <w:sz w:val="20"/>
          <w:szCs w:val="24"/>
        </w:rPr>
        <w:t xml:space="preserve">-EC, a probiotic formulation containing 105 CFU/bead of Bacillus subtilis, Bacillus </w:t>
      </w:r>
      <w:proofErr w:type="spellStart"/>
      <w:r w:rsidRPr="005669A5">
        <w:rPr>
          <w:rFonts w:ascii="Arial" w:hAnsi="Arial" w:cs="Arial"/>
          <w:sz w:val="20"/>
          <w:szCs w:val="24"/>
        </w:rPr>
        <w:t>firmus</w:t>
      </w:r>
      <w:proofErr w:type="spellEnd"/>
      <w:r w:rsidRPr="005669A5">
        <w:rPr>
          <w:rFonts w:ascii="Arial" w:hAnsi="Arial" w:cs="Arial"/>
          <w:sz w:val="20"/>
          <w:szCs w:val="24"/>
        </w:rPr>
        <w:t>, Saccharomyces cerevisiae, Enterococcus faecium, Enterococcus faecalis, and excipients. The control group (T2) received commercially available feed without probiotic supplementation.</w:t>
      </w:r>
    </w:p>
    <w:p w:rsidR="000D1D51" w:rsidRPr="00872C11" w:rsidRDefault="000D1D51" w:rsidP="000D1D51">
      <w:pPr>
        <w:autoSpaceDE w:val="0"/>
        <w:autoSpaceDN w:val="0"/>
        <w:adjustRightInd w:val="0"/>
        <w:spacing w:after="0" w:line="360" w:lineRule="auto"/>
        <w:jc w:val="both"/>
        <w:rPr>
          <w:rFonts w:ascii="Arial" w:hAnsi="Arial" w:cs="Arial"/>
          <w:b/>
          <w:bCs/>
          <w:szCs w:val="24"/>
        </w:rPr>
      </w:pPr>
      <w:r w:rsidRPr="00872C11">
        <w:rPr>
          <w:rFonts w:ascii="Arial" w:hAnsi="Arial" w:cs="Arial"/>
          <w:b/>
          <w:bCs/>
          <w:szCs w:val="24"/>
        </w:rPr>
        <w:t>Adaptation Period and Probiotic Supplementation</w:t>
      </w:r>
    </w:p>
    <w:p w:rsidR="000D1D51" w:rsidRPr="005669A5" w:rsidRDefault="000D1D51" w:rsidP="000D1D51">
      <w:pPr>
        <w:autoSpaceDE w:val="0"/>
        <w:autoSpaceDN w:val="0"/>
        <w:adjustRightInd w:val="0"/>
        <w:spacing w:after="0" w:line="360" w:lineRule="auto"/>
        <w:ind w:firstLine="720"/>
        <w:jc w:val="both"/>
        <w:rPr>
          <w:rFonts w:ascii="Arial" w:hAnsi="Arial" w:cs="Arial"/>
          <w:sz w:val="20"/>
          <w:szCs w:val="24"/>
        </w:rPr>
      </w:pPr>
      <w:r w:rsidRPr="005669A5">
        <w:rPr>
          <w:rFonts w:ascii="Arial" w:hAnsi="Arial" w:cs="Arial"/>
          <w:sz w:val="20"/>
          <w:szCs w:val="24"/>
        </w:rPr>
        <w:t xml:space="preserve">During the first two weeks, both groups were fed commercially available poultry feeds for adaptation. From the third week onwards, the treatment group (T1) received </w:t>
      </w:r>
      <w:proofErr w:type="spellStart"/>
      <w:r w:rsidRPr="005669A5">
        <w:rPr>
          <w:rFonts w:ascii="Arial" w:hAnsi="Arial" w:cs="Arial"/>
          <w:sz w:val="20"/>
          <w:szCs w:val="24"/>
        </w:rPr>
        <w:t>Probeads</w:t>
      </w:r>
      <w:proofErr w:type="spellEnd"/>
      <w:r w:rsidRPr="005669A5">
        <w:rPr>
          <w:rFonts w:ascii="Arial" w:hAnsi="Arial" w:cs="Arial"/>
          <w:sz w:val="20"/>
          <w:szCs w:val="24"/>
        </w:rPr>
        <w:t>-EC at a dose of 5 beads/bird/day, while the control group (T2) continued to receive only commercial feed.</w:t>
      </w:r>
    </w:p>
    <w:p w:rsidR="000D1D51" w:rsidRPr="00FE5DE0" w:rsidRDefault="000D1D51" w:rsidP="000D1D51">
      <w:pPr>
        <w:autoSpaceDE w:val="0"/>
        <w:autoSpaceDN w:val="0"/>
        <w:adjustRightInd w:val="0"/>
        <w:spacing w:after="0" w:line="360" w:lineRule="auto"/>
        <w:jc w:val="both"/>
        <w:rPr>
          <w:rFonts w:ascii="Arial" w:hAnsi="Arial" w:cs="Arial"/>
          <w:b/>
          <w:bCs/>
          <w:szCs w:val="24"/>
        </w:rPr>
      </w:pPr>
      <w:r w:rsidRPr="00FE5DE0">
        <w:rPr>
          <w:rFonts w:ascii="Arial" w:hAnsi="Arial" w:cs="Arial"/>
          <w:b/>
          <w:bCs/>
          <w:szCs w:val="24"/>
        </w:rPr>
        <w:t>Data Collection and Statistical Analysis</w:t>
      </w:r>
    </w:p>
    <w:p w:rsidR="000D1D51" w:rsidRPr="005669A5" w:rsidRDefault="000D1D51" w:rsidP="000D1D51">
      <w:pPr>
        <w:autoSpaceDE w:val="0"/>
        <w:autoSpaceDN w:val="0"/>
        <w:adjustRightInd w:val="0"/>
        <w:spacing w:after="0" w:line="360" w:lineRule="auto"/>
        <w:ind w:firstLine="720"/>
        <w:jc w:val="both"/>
        <w:rPr>
          <w:rFonts w:ascii="Arial" w:hAnsi="Arial" w:cs="Arial"/>
          <w:bCs/>
          <w:sz w:val="20"/>
          <w:szCs w:val="24"/>
        </w:rPr>
      </w:pPr>
      <w:r w:rsidRPr="005669A5">
        <w:rPr>
          <w:rFonts w:ascii="Arial" w:hAnsi="Arial" w:cs="Arial"/>
          <w:bCs/>
          <w:sz w:val="20"/>
          <w:szCs w:val="24"/>
        </w:rPr>
        <w:t>The trial was conducted for a period of 10 weeks, during which average daily feed intake, fortnightly body weight, average daily weight gain, and feed conversion ratio were recorded. The collected data were subjected to statistical analysis to determine significant differences between the treatment and control groups.</w:t>
      </w:r>
    </w:p>
    <w:p w:rsidR="00F75A53" w:rsidRDefault="00F75A53" w:rsidP="000D1D51">
      <w:pPr>
        <w:autoSpaceDE w:val="0"/>
        <w:autoSpaceDN w:val="0"/>
        <w:adjustRightInd w:val="0"/>
        <w:spacing w:after="0" w:line="360" w:lineRule="auto"/>
        <w:jc w:val="both"/>
        <w:rPr>
          <w:rFonts w:ascii="Arial" w:hAnsi="Arial" w:cs="Arial"/>
          <w:b/>
          <w:szCs w:val="24"/>
        </w:rPr>
      </w:pPr>
    </w:p>
    <w:p w:rsidR="000D1D51" w:rsidRPr="0097794F" w:rsidRDefault="000D1D51" w:rsidP="000D1D51">
      <w:pPr>
        <w:autoSpaceDE w:val="0"/>
        <w:autoSpaceDN w:val="0"/>
        <w:adjustRightInd w:val="0"/>
        <w:spacing w:after="0" w:line="360" w:lineRule="auto"/>
        <w:jc w:val="both"/>
        <w:rPr>
          <w:rFonts w:ascii="Arial" w:hAnsi="Arial" w:cs="Arial"/>
          <w:b/>
          <w:szCs w:val="24"/>
        </w:rPr>
      </w:pPr>
      <w:r w:rsidRPr="0097794F">
        <w:rPr>
          <w:rFonts w:ascii="Arial" w:hAnsi="Arial" w:cs="Arial"/>
          <w:b/>
          <w:szCs w:val="24"/>
        </w:rPr>
        <w:t>RESULTS AND DISCUSION</w:t>
      </w:r>
    </w:p>
    <w:p w:rsidR="000D1D51" w:rsidRPr="008C28DE" w:rsidRDefault="000D1D51" w:rsidP="000D1D51">
      <w:pPr>
        <w:autoSpaceDE w:val="0"/>
        <w:autoSpaceDN w:val="0"/>
        <w:adjustRightInd w:val="0"/>
        <w:spacing w:after="0" w:line="360" w:lineRule="auto"/>
        <w:jc w:val="center"/>
        <w:rPr>
          <w:rFonts w:ascii="Arial" w:hAnsi="Arial" w:cs="Arial"/>
          <w:szCs w:val="16"/>
        </w:rPr>
      </w:pPr>
      <w:r w:rsidRPr="008C28DE">
        <w:rPr>
          <w:rFonts w:ascii="Arial" w:hAnsi="Arial" w:cs="Arial"/>
          <w:szCs w:val="24"/>
        </w:rPr>
        <w:t xml:space="preserve">Table 1: </w:t>
      </w:r>
      <w:r w:rsidRPr="008C28DE">
        <w:rPr>
          <w:rFonts w:ascii="Arial" w:hAnsi="Arial" w:cs="Arial"/>
          <w:szCs w:val="16"/>
        </w:rPr>
        <w:t xml:space="preserve">Dietary supplementation of </w:t>
      </w:r>
      <w:proofErr w:type="spellStart"/>
      <w:r w:rsidRPr="008C28DE">
        <w:rPr>
          <w:rFonts w:ascii="Arial" w:hAnsi="Arial" w:cs="Arial"/>
          <w:szCs w:val="16"/>
        </w:rPr>
        <w:t>Probeads</w:t>
      </w:r>
      <w:proofErr w:type="spellEnd"/>
      <w:r w:rsidRPr="008C28DE">
        <w:rPr>
          <w:rFonts w:ascii="Arial" w:hAnsi="Arial" w:cs="Arial"/>
          <w:szCs w:val="16"/>
        </w:rPr>
        <w:t>-EC on production performance in TANUVAS Aseel chicks</w:t>
      </w:r>
      <w:r w:rsidRPr="008C28DE">
        <w:rPr>
          <w:rFonts w:ascii="Arial" w:hAnsi="Arial" w:cs="Arial"/>
          <w:sz w:val="28"/>
          <w:szCs w:val="16"/>
        </w:rPr>
        <w:t xml:space="preserve">                                                                                                          </w:t>
      </w:r>
    </w:p>
    <w:tbl>
      <w:tblPr>
        <w:tblStyle w:val="TableGrid"/>
        <w:tblW w:w="0" w:type="auto"/>
        <w:jc w:val="center"/>
        <w:tblLook w:val="04A0" w:firstRow="1" w:lastRow="0" w:firstColumn="1" w:lastColumn="0" w:noHBand="0" w:noVBand="1"/>
      </w:tblPr>
      <w:tblGrid>
        <w:gridCol w:w="1129"/>
        <w:gridCol w:w="2629"/>
        <w:gridCol w:w="1880"/>
        <w:gridCol w:w="1161"/>
      </w:tblGrid>
      <w:tr w:rsidR="000D1D51" w:rsidRPr="005669A5" w:rsidTr="008C28DE">
        <w:trPr>
          <w:jc w:val="center"/>
        </w:trPr>
        <w:tc>
          <w:tcPr>
            <w:tcW w:w="6799" w:type="dxa"/>
            <w:gridSpan w:val="4"/>
          </w:tcPr>
          <w:p w:rsidR="000D1D51" w:rsidRPr="005669A5" w:rsidRDefault="000D1D51" w:rsidP="006A3972">
            <w:pPr>
              <w:jc w:val="center"/>
              <w:rPr>
                <w:rFonts w:ascii="Arial" w:hAnsi="Arial" w:cs="Arial"/>
                <w:bCs/>
                <w:sz w:val="20"/>
                <w:szCs w:val="20"/>
              </w:rPr>
            </w:pPr>
            <w:r w:rsidRPr="005669A5">
              <w:rPr>
                <w:rFonts w:ascii="Arial" w:hAnsi="Arial" w:cs="Arial"/>
                <w:sz w:val="20"/>
                <w:szCs w:val="20"/>
              </w:rPr>
              <w:t xml:space="preserve">  </w:t>
            </w:r>
            <w:r w:rsidRPr="005669A5">
              <w:rPr>
                <w:rFonts w:ascii="Arial" w:hAnsi="Arial" w:cs="Arial"/>
                <w:bCs/>
                <w:sz w:val="20"/>
                <w:szCs w:val="20"/>
              </w:rPr>
              <w:t>BODY WEIGHT</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Weeks</w:t>
            </w:r>
          </w:p>
        </w:tc>
        <w:tc>
          <w:tcPr>
            <w:tcW w:w="2629" w:type="dxa"/>
          </w:tcPr>
          <w:p w:rsidR="000D1D51" w:rsidRPr="005669A5" w:rsidRDefault="000D1D51" w:rsidP="006A3972">
            <w:pPr>
              <w:rPr>
                <w:rFonts w:ascii="Arial" w:hAnsi="Arial" w:cs="Arial"/>
                <w:sz w:val="20"/>
                <w:szCs w:val="20"/>
              </w:rPr>
            </w:pPr>
            <w:r w:rsidRPr="005669A5">
              <w:rPr>
                <w:rFonts w:ascii="Arial" w:hAnsi="Arial" w:cs="Arial"/>
                <w:sz w:val="20"/>
                <w:szCs w:val="20"/>
              </w:rPr>
              <w:t>Control</w:t>
            </w:r>
          </w:p>
        </w:tc>
        <w:tc>
          <w:tcPr>
            <w:tcW w:w="1880" w:type="dxa"/>
          </w:tcPr>
          <w:p w:rsidR="000D1D51" w:rsidRPr="005669A5" w:rsidRDefault="000D1D51" w:rsidP="006A3972">
            <w:pPr>
              <w:rPr>
                <w:rFonts w:ascii="Arial" w:hAnsi="Arial" w:cs="Arial"/>
                <w:sz w:val="20"/>
                <w:szCs w:val="20"/>
              </w:rPr>
            </w:pPr>
            <w:r w:rsidRPr="005669A5">
              <w:rPr>
                <w:rFonts w:ascii="Arial" w:hAnsi="Arial" w:cs="Arial"/>
                <w:sz w:val="20"/>
                <w:szCs w:val="20"/>
              </w:rPr>
              <w:t xml:space="preserve">Treatment </w:t>
            </w:r>
          </w:p>
        </w:tc>
        <w:tc>
          <w:tcPr>
            <w:tcW w:w="1161" w:type="dxa"/>
          </w:tcPr>
          <w:p w:rsidR="000D1D51" w:rsidRPr="005669A5" w:rsidRDefault="000D1D51" w:rsidP="006A3972">
            <w:pPr>
              <w:rPr>
                <w:rFonts w:ascii="Arial" w:hAnsi="Arial" w:cs="Arial"/>
                <w:sz w:val="20"/>
                <w:szCs w:val="20"/>
              </w:rPr>
            </w:pPr>
            <w:r w:rsidRPr="005669A5">
              <w:rPr>
                <w:rFonts w:ascii="Arial" w:hAnsi="Arial" w:cs="Arial"/>
                <w:sz w:val="20"/>
                <w:szCs w:val="20"/>
              </w:rPr>
              <w:t>P value</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0</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81.167 ± 7.62</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90.833 ± 3.65</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0.019</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2</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185.50 ± 8.78</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206.50 ± 6.77</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0.001</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4</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353.83 ± 13.01</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418.17 ± 11.85</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0.000</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6</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556.00 ± 15.27</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622.00 ± 17.40</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0.000</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8</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725.83 ± 11.856</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826.50 ± 39.47</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0.000</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10</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922.167 ± 16.99</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1058.66 ± 66.84</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0.001</w:t>
            </w:r>
          </w:p>
        </w:tc>
      </w:tr>
      <w:tr w:rsidR="000D1D51" w:rsidRPr="005669A5" w:rsidTr="008C28DE">
        <w:trPr>
          <w:jc w:val="center"/>
        </w:trPr>
        <w:tc>
          <w:tcPr>
            <w:tcW w:w="6799" w:type="dxa"/>
            <w:gridSpan w:val="4"/>
          </w:tcPr>
          <w:p w:rsidR="000D1D51" w:rsidRPr="005669A5" w:rsidRDefault="000D1D51" w:rsidP="006A3972">
            <w:pPr>
              <w:jc w:val="center"/>
              <w:rPr>
                <w:rFonts w:ascii="Arial" w:hAnsi="Arial" w:cs="Arial"/>
                <w:bCs/>
                <w:sz w:val="20"/>
                <w:szCs w:val="20"/>
              </w:rPr>
            </w:pPr>
            <w:r w:rsidRPr="005669A5">
              <w:rPr>
                <w:rFonts w:ascii="Arial" w:hAnsi="Arial" w:cs="Arial"/>
                <w:bCs/>
                <w:sz w:val="20"/>
                <w:szCs w:val="20"/>
              </w:rPr>
              <w:t>BODY WEIGHT GAIN</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Weeks</w:t>
            </w:r>
          </w:p>
        </w:tc>
        <w:tc>
          <w:tcPr>
            <w:tcW w:w="2629" w:type="dxa"/>
          </w:tcPr>
          <w:p w:rsidR="000D1D51" w:rsidRPr="005669A5" w:rsidRDefault="000D1D51" w:rsidP="006A3972">
            <w:pPr>
              <w:rPr>
                <w:rFonts w:ascii="Arial" w:hAnsi="Arial" w:cs="Arial"/>
                <w:sz w:val="20"/>
                <w:szCs w:val="20"/>
              </w:rPr>
            </w:pPr>
            <w:r w:rsidRPr="005669A5">
              <w:rPr>
                <w:rFonts w:ascii="Arial" w:hAnsi="Arial" w:cs="Arial"/>
                <w:sz w:val="20"/>
                <w:szCs w:val="20"/>
              </w:rPr>
              <w:t>Control</w:t>
            </w:r>
          </w:p>
        </w:tc>
        <w:tc>
          <w:tcPr>
            <w:tcW w:w="1880" w:type="dxa"/>
          </w:tcPr>
          <w:p w:rsidR="000D1D51" w:rsidRPr="005669A5" w:rsidRDefault="000D1D51" w:rsidP="006A3972">
            <w:pPr>
              <w:rPr>
                <w:rFonts w:ascii="Arial" w:hAnsi="Arial" w:cs="Arial"/>
                <w:sz w:val="20"/>
                <w:szCs w:val="20"/>
              </w:rPr>
            </w:pPr>
            <w:r w:rsidRPr="005669A5">
              <w:rPr>
                <w:rFonts w:ascii="Arial" w:hAnsi="Arial" w:cs="Arial"/>
                <w:sz w:val="20"/>
                <w:szCs w:val="20"/>
              </w:rPr>
              <w:t xml:space="preserve">Treatment </w:t>
            </w:r>
          </w:p>
        </w:tc>
        <w:tc>
          <w:tcPr>
            <w:tcW w:w="1161" w:type="dxa"/>
          </w:tcPr>
          <w:p w:rsidR="000D1D51" w:rsidRPr="005669A5" w:rsidRDefault="000D1D51" w:rsidP="006A3972">
            <w:pPr>
              <w:rPr>
                <w:rFonts w:ascii="Arial" w:hAnsi="Arial" w:cs="Arial"/>
                <w:sz w:val="20"/>
                <w:szCs w:val="20"/>
              </w:rPr>
            </w:pPr>
            <w:r w:rsidRPr="005669A5">
              <w:rPr>
                <w:rFonts w:ascii="Arial" w:hAnsi="Arial" w:cs="Arial"/>
                <w:sz w:val="20"/>
                <w:szCs w:val="20"/>
              </w:rPr>
              <w:t>P value</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0</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81.16 ± 3.11</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90.83 ± 1.49</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.019</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2</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104.33 ± 4.08</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115.67 ± 2.78</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.045</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4</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168.33 ± 6.07</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211.67 ± 5.49</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.000</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6</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202.17 ± 7.91</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203.83 ± 10.04</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.899</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8</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169.83 ± 4.64</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204.50 ± 10.41</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.012</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10</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196.33 ± 7.25</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232.16 ± 18.58</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.103</w:t>
            </w:r>
          </w:p>
        </w:tc>
      </w:tr>
      <w:tr w:rsidR="000D1D51" w:rsidRPr="005669A5" w:rsidTr="008C28DE">
        <w:trPr>
          <w:jc w:val="center"/>
        </w:trPr>
        <w:tc>
          <w:tcPr>
            <w:tcW w:w="6799" w:type="dxa"/>
            <w:gridSpan w:val="4"/>
          </w:tcPr>
          <w:p w:rsidR="000D1D51" w:rsidRPr="005669A5" w:rsidRDefault="000D1D51" w:rsidP="006A3972">
            <w:pPr>
              <w:jc w:val="center"/>
              <w:rPr>
                <w:rFonts w:ascii="Arial" w:hAnsi="Arial" w:cs="Arial"/>
                <w:bCs/>
                <w:sz w:val="20"/>
                <w:szCs w:val="20"/>
              </w:rPr>
            </w:pPr>
            <w:r w:rsidRPr="005669A5">
              <w:rPr>
                <w:rFonts w:ascii="Arial" w:hAnsi="Arial" w:cs="Arial"/>
                <w:bCs/>
                <w:sz w:val="20"/>
                <w:szCs w:val="20"/>
              </w:rPr>
              <w:t>FCR</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Weeks</w:t>
            </w:r>
          </w:p>
        </w:tc>
        <w:tc>
          <w:tcPr>
            <w:tcW w:w="2629" w:type="dxa"/>
          </w:tcPr>
          <w:p w:rsidR="000D1D51" w:rsidRPr="005669A5" w:rsidRDefault="000D1D51" w:rsidP="006A3972">
            <w:pPr>
              <w:rPr>
                <w:rFonts w:ascii="Arial" w:hAnsi="Arial" w:cs="Arial"/>
                <w:sz w:val="20"/>
                <w:szCs w:val="20"/>
              </w:rPr>
            </w:pPr>
            <w:r w:rsidRPr="005669A5">
              <w:rPr>
                <w:rFonts w:ascii="Arial" w:hAnsi="Arial" w:cs="Arial"/>
                <w:sz w:val="20"/>
                <w:szCs w:val="20"/>
              </w:rPr>
              <w:t>Control</w:t>
            </w:r>
          </w:p>
        </w:tc>
        <w:tc>
          <w:tcPr>
            <w:tcW w:w="1880" w:type="dxa"/>
          </w:tcPr>
          <w:p w:rsidR="000D1D51" w:rsidRPr="005669A5" w:rsidRDefault="000D1D51" w:rsidP="006A3972">
            <w:pPr>
              <w:rPr>
                <w:rFonts w:ascii="Arial" w:hAnsi="Arial" w:cs="Arial"/>
                <w:sz w:val="20"/>
                <w:szCs w:val="20"/>
              </w:rPr>
            </w:pPr>
            <w:r w:rsidRPr="005669A5">
              <w:rPr>
                <w:rFonts w:ascii="Arial" w:hAnsi="Arial" w:cs="Arial"/>
                <w:sz w:val="20"/>
                <w:szCs w:val="20"/>
              </w:rPr>
              <w:t xml:space="preserve">Treatment </w:t>
            </w:r>
          </w:p>
        </w:tc>
        <w:tc>
          <w:tcPr>
            <w:tcW w:w="1161" w:type="dxa"/>
          </w:tcPr>
          <w:p w:rsidR="000D1D51" w:rsidRPr="005669A5" w:rsidRDefault="000D1D51" w:rsidP="006A3972">
            <w:pPr>
              <w:rPr>
                <w:rFonts w:ascii="Arial" w:hAnsi="Arial" w:cs="Arial"/>
                <w:sz w:val="20"/>
                <w:szCs w:val="20"/>
              </w:rPr>
            </w:pPr>
            <w:r w:rsidRPr="005669A5">
              <w:rPr>
                <w:rFonts w:ascii="Arial" w:hAnsi="Arial" w:cs="Arial"/>
                <w:sz w:val="20"/>
                <w:szCs w:val="20"/>
              </w:rPr>
              <w:t>P value</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0</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2.51 ± .11</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1.82 ± .07</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.000</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2</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2.73 ± .17</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1.95 ± .05</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.001</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4</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2.12 ± .05</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1.34 ± .07</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.000</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6</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2.34 ± .09</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2.11 ± .10</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.141</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8</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2.99 ± .07</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2.25 ± .12</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.001</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10</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2.85 ± .08</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2.08 ± .19</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.004</w:t>
            </w:r>
          </w:p>
        </w:tc>
      </w:tr>
    </w:tbl>
    <w:tbl>
      <w:tblPr>
        <w:tblStyle w:val="TableGrid"/>
        <w:tblpPr w:leftFromText="180" w:rightFromText="180" w:vertAnchor="text" w:horzAnchor="margin" w:tblpXSpec="center" w:tblpY="524"/>
        <w:tblW w:w="0" w:type="auto"/>
        <w:tblLook w:val="04A0" w:firstRow="1" w:lastRow="0" w:firstColumn="1" w:lastColumn="0" w:noHBand="0" w:noVBand="1"/>
      </w:tblPr>
      <w:tblGrid>
        <w:gridCol w:w="1129"/>
        <w:gridCol w:w="2629"/>
        <w:gridCol w:w="1880"/>
        <w:gridCol w:w="1161"/>
      </w:tblGrid>
      <w:tr w:rsidR="000D1D51" w:rsidRPr="005669A5" w:rsidTr="008C28DE">
        <w:tc>
          <w:tcPr>
            <w:tcW w:w="6799" w:type="dxa"/>
            <w:gridSpan w:val="4"/>
          </w:tcPr>
          <w:p w:rsidR="000D1D51" w:rsidRPr="005669A5" w:rsidRDefault="000D1D51" w:rsidP="006A3972">
            <w:pPr>
              <w:jc w:val="center"/>
              <w:rPr>
                <w:rFonts w:ascii="Arial" w:hAnsi="Arial" w:cs="Arial"/>
                <w:bCs/>
                <w:sz w:val="20"/>
                <w:szCs w:val="24"/>
              </w:rPr>
            </w:pPr>
            <w:r w:rsidRPr="005669A5">
              <w:rPr>
                <w:rFonts w:ascii="Arial" w:hAnsi="Arial" w:cs="Arial"/>
                <w:bCs/>
                <w:sz w:val="20"/>
                <w:szCs w:val="24"/>
              </w:rPr>
              <w:t xml:space="preserve">FEED CONSUMPTION </w:t>
            </w:r>
          </w:p>
        </w:tc>
      </w:tr>
      <w:tr w:rsidR="000D1D51" w:rsidRPr="005669A5" w:rsidTr="008C28DE">
        <w:tc>
          <w:tcPr>
            <w:tcW w:w="1129" w:type="dxa"/>
          </w:tcPr>
          <w:p w:rsidR="000D1D51" w:rsidRPr="005669A5" w:rsidRDefault="000D1D51" w:rsidP="006A3972">
            <w:pPr>
              <w:rPr>
                <w:rFonts w:ascii="Arial" w:hAnsi="Arial" w:cs="Arial"/>
                <w:sz w:val="20"/>
                <w:szCs w:val="24"/>
              </w:rPr>
            </w:pPr>
            <w:r w:rsidRPr="005669A5">
              <w:rPr>
                <w:rFonts w:ascii="Arial" w:hAnsi="Arial" w:cs="Arial"/>
                <w:sz w:val="20"/>
                <w:szCs w:val="24"/>
              </w:rPr>
              <w:t>Weeks</w:t>
            </w:r>
          </w:p>
        </w:tc>
        <w:tc>
          <w:tcPr>
            <w:tcW w:w="2629" w:type="dxa"/>
          </w:tcPr>
          <w:p w:rsidR="000D1D51" w:rsidRPr="005669A5" w:rsidRDefault="000D1D51" w:rsidP="006A3972">
            <w:pPr>
              <w:rPr>
                <w:rFonts w:ascii="Arial" w:hAnsi="Arial" w:cs="Arial"/>
                <w:sz w:val="20"/>
                <w:szCs w:val="24"/>
              </w:rPr>
            </w:pPr>
            <w:r w:rsidRPr="005669A5">
              <w:rPr>
                <w:rFonts w:ascii="Arial" w:hAnsi="Arial" w:cs="Arial"/>
                <w:sz w:val="20"/>
                <w:szCs w:val="24"/>
              </w:rPr>
              <w:t>Control</w:t>
            </w:r>
          </w:p>
        </w:tc>
        <w:tc>
          <w:tcPr>
            <w:tcW w:w="1880" w:type="dxa"/>
          </w:tcPr>
          <w:p w:rsidR="000D1D51" w:rsidRPr="005669A5" w:rsidRDefault="000D1D51" w:rsidP="006A3972">
            <w:pPr>
              <w:rPr>
                <w:rFonts w:ascii="Arial" w:hAnsi="Arial" w:cs="Arial"/>
                <w:sz w:val="20"/>
                <w:szCs w:val="24"/>
              </w:rPr>
            </w:pPr>
            <w:r w:rsidRPr="005669A5">
              <w:rPr>
                <w:rFonts w:ascii="Arial" w:hAnsi="Arial" w:cs="Arial"/>
                <w:sz w:val="20"/>
                <w:szCs w:val="24"/>
              </w:rPr>
              <w:t xml:space="preserve">Treatment </w:t>
            </w:r>
          </w:p>
        </w:tc>
        <w:tc>
          <w:tcPr>
            <w:tcW w:w="1161" w:type="dxa"/>
          </w:tcPr>
          <w:p w:rsidR="000D1D51" w:rsidRPr="005669A5" w:rsidRDefault="000D1D51" w:rsidP="006A3972">
            <w:pPr>
              <w:rPr>
                <w:rFonts w:ascii="Arial" w:hAnsi="Arial" w:cs="Arial"/>
                <w:sz w:val="20"/>
                <w:szCs w:val="24"/>
              </w:rPr>
            </w:pPr>
            <w:r w:rsidRPr="005669A5">
              <w:rPr>
                <w:rFonts w:ascii="Arial" w:hAnsi="Arial" w:cs="Arial"/>
                <w:sz w:val="20"/>
                <w:szCs w:val="24"/>
              </w:rPr>
              <w:t>P value</w:t>
            </w:r>
          </w:p>
        </w:tc>
      </w:tr>
      <w:tr w:rsidR="000D1D51" w:rsidRPr="005669A5" w:rsidTr="008C28DE">
        <w:tc>
          <w:tcPr>
            <w:tcW w:w="1129" w:type="dxa"/>
          </w:tcPr>
          <w:p w:rsidR="000D1D51" w:rsidRPr="005669A5" w:rsidRDefault="000D1D51" w:rsidP="006A3972">
            <w:pPr>
              <w:rPr>
                <w:rFonts w:ascii="Arial" w:hAnsi="Arial" w:cs="Arial"/>
                <w:sz w:val="20"/>
                <w:szCs w:val="24"/>
              </w:rPr>
            </w:pPr>
            <w:r w:rsidRPr="005669A5">
              <w:rPr>
                <w:rFonts w:ascii="Arial" w:hAnsi="Arial" w:cs="Arial"/>
                <w:sz w:val="20"/>
                <w:szCs w:val="24"/>
              </w:rPr>
              <w:t>0</w:t>
            </w:r>
          </w:p>
        </w:tc>
        <w:tc>
          <w:tcPr>
            <w:tcW w:w="2629"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14.50 ± .56</w:t>
            </w:r>
          </w:p>
        </w:tc>
        <w:tc>
          <w:tcPr>
            <w:tcW w:w="1880"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11.83 ± .31</w:t>
            </w:r>
          </w:p>
        </w:tc>
        <w:tc>
          <w:tcPr>
            <w:tcW w:w="1161" w:type="dxa"/>
            <w:vAlign w:val="center"/>
          </w:tcPr>
          <w:p w:rsidR="000D1D51" w:rsidRPr="008C28DE" w:rsidRDefault="000D1D51" w:rsidP="006A3972">
            <w:pPr>
              <w:rPr>
                <w:rFonts w:ascii="Arial" w:hAnsi="Arial" w:cs="Arial"/>
                <w:i/>
                <w:sz w:val="20"/>
                <w:szCs w:val="24"/>
              </w:rPr>
            </w:pPr>
            <w:r w:rsidRPr="008C28DE">
              <w:rPr>
                <w:rFonts w:ascii="Arial" w:hAnsi="Arial" w:cs="Arial"/>
                <w:i/>
                <w:sz w:val="20"/>
                <w:szCs w:val="24"/>
              </w:rPr>
              <w:t>.002</w:t>
            </w:r>
          </w:p>
        </w:tc>
      </w:tr>
      <w:tr w:rsidR="000D1D51" w:rsidRPr="005669A5" w:rsidTr="008C28DE">
        <w:tc>
          <w:tcPr>
            <w:tcW w:w="1129" w:type="dxa"/>
          </w:tcPr>
          <w:p w:rsidR="000D1D51" w:rsidRPr="005669A5" w:rsidRDefault="000D1D51" w:rsidP="006A3972">
            <w:pPr>
              <w:rPr>
                <w:rFonts w:ascii="Arial" w:hAnsi="Arial" w:cs="Arial"/>
                <w:sz w:val="20"/>
                <w:szCs w:val="24"/>
              </w:rPr>
            </w:pPr>
            <w:r w:rsidRPr="005669A5">
              <w:rPr>
                <w:rFonts w:ascii="Arial" w:hAnsi="Arial" w:cs="Arial"/>
                <w:sz w:val="20"/>
                <w:szCs w:val="24"/>
              </w:rPr>
              <w:t>2</w:t>
            </w:r>
          </w:p>
        </w:tc>
        <w:tc>
          <w:tcPr>
            <w:tcW w:w="2629"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20.17 ± .60</w:t>
            </w:r>
          </w:p>
        </w:tc>
        <w:tc>
          <w:tcPr>
            <w:tcW w:w="1880"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16.67 ± .49</w:t>
            </w:r>
          </w:p>
        </w:tc>
        <w:tc>
          <w:tcPr>
            <w:tcW w:w="1161" w:type="dxa"/>
            <w:vAlign w:val="center"/>
          </w:tcPr>
          <w:p w:rsidR="000D1D51" w:rsidRPr="008C28DE" w:rsidRDefault="000D1D51" w:rsidP="006A3972">
            <w:pPr>
              <w:rPr>
                <w:rFonts w:ascii="Arial" w:hAnsi="Arial" w:cs="Arial"/>
                <w:i/>
                <w:sz w:val="20"/>
                <w:szCs w:val="24"/>
              </w:rPr>
            </w:pPr>
            <w:r w:rsidRPr="008C28DE">
              <w:rPr>
                <w:rFonts w:ascii="Arial" w:hAnsi="Arial" w:cs="Arial"/>
                <w:i/>
                <w:sz w:val="20"/>
                <w:szCs w:val="24"/>
              </w:rPr>
              <w:t>.001</w:t>
            </w:r>
          </w:p>
        </w:tc>
      </w:tr>
      <w:tr w:rsidR="000D1D51" w:rsidRPr="005669A5" w:rsidTr="008C28DE">
        <w:tc>
          <w:tcPr>
            <w:tcW w:w="1129" w:type="dxa"/>
          </w:tcPr>
          <w:p w:rsidR="000D1D51" w:rsidRPr="005669A5" w:rsidRDefault="000D1D51" w:rsidP="006A3972">
            <w:pPr>
              <w:rPr>
                <w:rFonts w:ascii="Arial" w:hAnsi="Arial" w:cs="Arial"/>
                <w:sz w:val="20"/>
                <w:szCs w:val="24"/>
              </w:rPr>
            </w:pPr>
            <w:r w:rsidRPr="005669A5">
              <w:rPr>
                <w:rFonts w:ascii="Arial" w:hAnsi="Arial" w:cs="Arial"/>
                <w:sz w:val="20"/>
                <w:szCs w:val="24"/>
              </w:rPr>
              <w:t>4</w:t>
            </w:r>
          </w:p>
        </w:tc>
        <w:tc>
          <w:tcPr>
            <w:tcW w:w="2629"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24.50 ± .84</w:t>
            </w:r>
          </w:p>
        </w:tc>
        <w:tc>
          <w:tcPr>
            <w:tcW w:w="1880"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20.17 ± 1.01</w:t>
            </w:r>
          </w:p>
        </w:tc>
        <w:tc>
          <w:tcPr>
            <w:tcW w:w="1161" w:type="dxa"/>
            <w:vAlign w:val="center"/>
          </w:tcPr>
          <w:p w:rsidR="000D1D51" w:rsidRPr="008C28DE" w:rsidRDefault="000D1D51" w:rsidP="006A3972">
            <w:pPr>
              <w:rPr>
                <w:rFonts w:ascii="Arial" w:hAnsi="Arial" w:cs="Arial"/>
                <w:i/>
                <w:sz w:val="20"/>
                <w:szCs w:val="24"/>
              </w:rPr>
            </w:pPr>
            <w:r w:rsidRPr="008C28DE">
              <w:rPr>
                <w:rFonts w:ascii="Arial" w:hAnsi="Arial" w:cs="Arial"/>
                <w:i/>
                <w:sz w:val="20"/>
                <w:szCs w:val="24"/>
              </w:rPr>
              <w:t>.008</w:t>
            </w:r>
          </w:p>
        </w:tc>
      </w:tr>
      <w:tr w:rsidR="000D1D51" w:rsidRPr="005669A5" w:rsidTr="008C28DE">
        <w:tc>
          <w:tcPr>
            <w:tcW w:w="1129" w:type="dxa"/>
          </w:tcPr>
          <w:p w:rsidR="000D1D51" w:rsidRPr="005669A5" w:rsidRDefault="000D1D51" w:rsidP="006A3972">
            <w:pPr>
              <w:rPr>
                <w:rFonts w:ascii="Arial" w:hAnsi="Arial" w:cs="Arial"/>
                <w:sz w:val="20"/>
                <w:szCs w:val="24"/>
              </w:rPr>
            </w:pPr>
            <w:r w:rsidRPr="005669A5">
              <w:rPr>
                <w:rFonts w:ascii="Arial" w:hAnsi="Arial" w:cs="Arial"/>
                <w:sz w:val="20"/>
                <w:szCs w:val="24"/>
              </w:rPr>
              <w:t>6</w:t>
            </w:r>
          </w:p>
        </w:tc>
        <w:tc>
          <w:tcPr>
            <w:tcW w:w="2629"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33.58 ± .73</w:t>
            </w:r>
          </w:p>
        </w:tc>
        <w:tc>
          <w:tcPr>
            <w:tcW w:w="1880"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30.33 ± .67</w:t>
            </w:r>
          </w:p>
        </w:tc>
        <w:tc>
          <w:tcPr>
            <w:tcW w:w="1161" w:type="dxa"/>
            <w:vAlign w:val="center"/>
          </w:tcPr>
          <w:p w:rsidR="000D1D51" w:rsidRPr="008C28DE" w:rsidRDefault="000D1D51" w:rsidP="006A3972">
            <w:pPr>
              <w:rPr>
                <w:rFonts w:ascii="Arial" w:hAnsi="Arial" w:cs="Arial"/>
                <w:i/>
                <w:sz w:val="20"/>
                <w:szCs w:val="24"/>
              </w:rPr>
            </w:pPr>
            <w:r w:rsidRPr="008C28DE">
              <w:rPr>
                <w:rFonts w:ascii="Arial" w:hAnsi="Arial" w:cs="Arial"/>
                <w:i/>
                <w:sz w:val="20"/>
                <w:szCs w:val="24"/>
              </w:rPr>
              <w:t>.008</w:t>
            </w:r>
          </w:p>
        </w:tc>
      </w:tr>
      <w:tr w:rsidR="000D1D51" w:rsidRPr="005669A5" w:rsidTr="008C28DE">
        <w:tc>
          <w:tcPr>
            <w:tcW w:w="1129" w:type="dxa"/>
          </w:tcPr>
          <w:p w:rsidR="000D1D51" w:rsidRPr="005669A5" w:rsidRDefault="000D1D51" w:rsidP="006A3972">
            <w:pPr>
              <w:rPr>
                <w:rFonts w:ascii="Arial" w:hAnsi="Arial" w:cs="Arial"/>
                <w:sz w:val="20"/>
                <w:szCs w:val="24"/>
              </w:rPr>
            </w:pPr>
            <w:r w:rsidRPr="005669A5">
              <w:rPr>
                <w:rFonts w:ascii="Arial" w:hAnsi="Arial" w:cs="Arial"/>
                <w:sz w:val="20"/>
                <w:szCs w:val="24"/>
              </w:rPr>
              <w:lastRenderedPageBreak/>
              <w:t>8</w:t>
            </w:r>
          </w:p>
        </w:tc>
        <w:tc>
          <w:tcPr>
            <w:tcW w:w="2629"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36.17 ± .73</w:t>
            </w:r>
          </w:p>
        </w:tc>
        <w:tc>
          <w:tcPr>
            <w:tcW w:w="1880"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32.50 ± .62</w:t>
            </w:r>
          </w:p>
        </w:tc>
        <w:tc>
          <w:tcPr>
            <w:tcW w:w="1161" w:type="dxa"/>
            <w:vAlign w:val="center"/>
          </w:tcPr>
          <w:p w:rsidR="000D1D51" w:rsidRPr="008C28DE" w:rsidRDefault="000D1D51" w:rsidP="006A3972">
            <w:pPr>
              <w:rPr>
                <w:rFonts w:ascii="Arial" w:hAnsi="Arial" w:cs="Arial"/>
                <w:i/>
                <w:sz w:val="20"/>
                <w:szCs w:val="24"/>
              </w:rPr>
            </w:pPr>
            <w:r w:rsidRPr="008C28DE">
              <w:rPr>
                <w:rFonts w:ascii="Arial" w:hAnsi="Arial" w:cs="Arial"/>
                <w:i/>
                <w:sz w:val="20"/>
                <w:szCs w:val="24"/>
              </w:rPr>
              <w:t>.003</w:t>
            </w:r>
          </w:p>
        </w:tc>
      </w:tr>
      <w:tr w:rsidR="000D1D51" w:rsidRPr="005669A5" w:rsidTr="008C28DE">
        <w:tc>
          <w:tcPr>
            <w:tcW w:w="1129" w:type="dxa"/>
          </w:tcPr>
          <w:p w:rsidR="000D1D51" w:rsidRPr="005669A5" w:rsidRDefault="000D1D51" w:rsidP="006A3972">
            <w:pPr>
              <w:rPr>
                <w:rFonts w:ascii="Arial" w:hAnsi="Arial" w:cs="Arial"/>
                <w:sz w:val="20"/>
                <w:szCs w:val="24"/>
              </w:rPr>
            </w:pPr>
            <w:r w:rsidRPr="005669A5">
              <w:rPr>
                <w:rFonts w:ascii="Arial" w:hAnsi="Arial" w:cs="Arial"/>
                <w:sz w:val="20"/>
                <w:szCs w:val="24"/>
              </w:rPr>
              <w:t>10</w:t>
            </w:r>
          </w:p>
        </w:tc>
        <w:tc>
          <w:tcPr>
            <w:tcW w:w="2629"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40.00 ± .73</w:t>
            </w:r>
          </w:p>
        </w:tc>
        <w:tc>
          <w:tcPr>
            <w:tcW w:w="1880"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33.33 ± .67</w:t>
            </w:r>
          </w:p>
        </w:tc>
        <w:tc>
          <w:tcPr>
            <w:tcW w:w="1161" w:type="dxa"/>
            <w:vAlign w:val="center"/>
          </w:tcPr>
          <w:p w:rsidR="000D1D51" w:rsidRPr="008C28DE" w:rsidRDefault="000D1D51" w:rsidP="006A3972">
            <w:pPr>
              <w:rPr>
                <w:rFonts w:ascii="Arial" w:hAnsi="Arial" w:cs="Arial"/>
                <w:i/>
                <w:sz w:val="20"/>
                <w:szCs w:val="24"/>
              </w:rPr>
            </w:pPr>
            <w:r w:rsidRPr="008C28DE">
              <w:rPr>
                <w:rFonts w:ascii="Arial" w:hAnsi="Arial" w:cs="Arial"/>
                <w:i/>
                <w:sz w:val="20"/>
                <w:szCs w:val="24"/>
              </w:rPr>
              <w:t>.000</w:t>
            </w:r>
          </w:p>
        </w:tc>
      </w:tr>
    </w:tbl>
    <w:p w:rsidR="000D1D51" w:rsidRPr="005669A5" w:rsidRDefault="000D1D51" w:rsidP="000D1D51">
      <w:pPr>
        <w:rPr>
          <w:rFonts w:ascii="Arial" w:hAnsi="Arial" w:cs="Arial"/>
          <w:sz w:val="24"/>
          <w:szCs w:val="24"/>
        </w:rPr>
      </w:pPr>
    </w:p>
    <w:p w:rsidR="000D1D51" w:rsidRPr="005669A5" w:rsidRDefault="000D1D51" w:rsidP="000D1D51">
      <w:pPr>
        <w:rPr>
          <w:rFonts w:ascii="Arial" w:hAnsi="Arial" w:cs="Arial"/>
          <w:sz w:val="24"/>
          <w:szCs w:val="24"/>
        </w:rPr>
      </w:pPr>
    </w:p>
    <w:p w:rsidR="000D1D51" w:rsidRPr="005669A5" w:rsidRDefault="000D1D51" w:rsidP="000D1D51">
      <w:pPr>
        <w:rPr>
          <w:rFonts w:ascii="Arial" w:hAnsi="Arial" w:cs="Arial"/>
          <w:sz w:val="24"/>
          <w:szCs w:val="24"/>
        </w:rPr>
      </w:pPr>
    </w:p>
    <w:p w:rsidR="000D1D51" w:rsidRPr="005669A5" w:rsidRDefault="000D1D51" w:rsidP="000D1D51">
      <w:pPr>
        <w:rPr>
          <w:rFonts w:ascii="Arial" w:hAnsi="Arial" w:cs="Arial"/>
          <w:sz w:val="24"/>
          <w:szCs w:val="24"/>
        </w:rPr>
      </w:pPr>
    </w:p>
    <w:p w:rsidR="000D1D51" w:rsidRPr="005669A5" w:rsidRDefault="000D1D51" w:rsidP="000D1D51">
      <w:pPr>
        <w:rPr>
          <w:rFonts w:ascii="Arial" w:hAnsi="Arial" w:cs="Arial"/>
          <w:sz w:val="24"/>
          <w:szCs w:val="24"/>
        </w:rPr>
      </w:pPr>
    </w:p>
    <w:tbl>
      <w:tblPr>
        <w:tblStyle w:val="TableGrid"/>
        <w:tblpPr w:leftFromText="180" w:rightFromText="180" w:vertAnchor="text" w:tblpXSpec="center" w:tblpY="229"/>
        <w:tblW w:w="0" w:type="auto"/>
        <w:tblLook w:val="04A0" w:firstRow="1" w:lastRow="0" w:firstColumn="1" w:lastColumn="0" w:noHBand="0" w:noVBand="1"/>
      </w:tblPr>
      <w:tblGrid>
        <w:gridCol w:w="1657"/>
        <w:gridCol w:w="2606"/>
        <w:gridCol w:w="1843"/>
        <w:gridCol w:w="1134"/>
      </w:tblGrid>
      <w:tr w:rsidR="000D1D51" w:rsidRPr="005669A5" w:rsidTr="008C28DE">
        <w:tc>
          <w:tcPr>
            <w:tcW w:w="1657" w:type="dxa"/>
          </w:tcPr>
          <w:p w:rsidR="000D1D51" w:rsidRPr="005669A5" w:rsidRDefault="000D1D51" w:rsidP="006A3972">
            <w:pPr>
              <w:rPr>
                <w:rFonts w:ascii="Arial" w:hAnsi="Arial" w:cs="Arial"/>
                <w:bCs/>
                <w:sz w:val="20"/>
                <w:szCs w:val="24"/>
              </w:rPr>
            </w:pPr>
            <w:r w:rsidRPr="005669A5">
              <w:rPr>
                <w:rFonts w:ascii="Arial" w:hAnsi="Arial" w:cs="Arial"/>
                <w:bCs/>
                <w:sz w:val="20"/>
                <w:szCs w:val="24"/>
              </w:rPr>
              <w:t>LIVABILITY</w:t>
            </w:r>
          </w:p>
        </w:tc>
        <w:tc>
          <w:tcPr>
            <w:tcW w:w="2606" w:type="dxa"/>
          </w:tcPr>
          <w:p w:rsidR="000D1D51" w:rsidRPr="005669A5" w:rsidRDefault="000D1D51" w:rsidP="006A3972">
            <w:pPr>
              <w:rPr>
                <w:rFonts w:ascii="Arial" w:hAnsi="Arial" w:cs="Arial"/>
                <w:sz w:val="20"/>
                <w:szCs w:val="24"/>
              </w:rPr>
            </w:pPr>
            <w:r w:rsidRPr="005669A5">
              <w:rPr>
                <w:rFonts w:ascii="Arial" w:hAnsi="Arial" w:cs="Arial"/>
                <w:sz w:val="20"/>
                <w:szCs w:val="24"/>
              </w:rPr>
              <w:t>CONTROL</w:t>
            </w:r>
          </w:p>
        </w:tc>
        <w:tc>
          <w:tcPr>
            <w:tcW w:w="1843" w:type="dxa"/>
          </w:tcPr>
          <w:p w:rsidR="000D1D51" w:rsidRPr="005669A5" w:rsidRDefault="000D1D51" w:rsidP="006A3972">
            <w:pPr>
              <w:rPr>
                <w:rFonts w:ascii="Arial" w:hAnsi="Arial" w:cs="Arial"/>
                <w:sz w:val="20"/>
                <w:szCs w:val="24"/>
              </w:rPr>
            </w:pPr>
            <w:r w:rsidRPr="005669A5">
              <w:rPr>
                <w:rFonts w:ascii="Arial" w:hAnsi="Arial" w:cs="Arial"/>
                <w:sz w:val="20"/>
                <w:szCs w:val="24"/>
              </w:rPr>
              <w:t>TREATMENT</w:t>
            </w:r>
          </w:p>
        </w:tc>
        <w:tc>
          <w:tcPr>
            <w:tcW w:w="1134" w:type="dxa"/>
          </w:tcPr>
          <w:p w:rsidR="000D1D51" w:rsidRPr="005669A5" w:rsidRDefault="000D1D51" w:rsidP="006A3972">
            <w:pPr>
              <w:rPr>
                <w:rFonts w:ascii="Arial" w:hAnsi="Arial" w:cs="Arial"/>
                <w:sz w:val="20"/>
                <w:szCs w:val="24"/>
              </w:rPr>
            </w:pPr>
            <w:r w:rsidRPr="005669A5">
              <w:rPr>
                <w:rFonts w:ascii="Arial" w:hAnsi="Arial" w:cs="Arial"/>
                <w:sz w:val="20"/>
                <w:szCs w:val="24"/>
              </w:rPr>
              <w:t>P value</w:t>
            </w:r>
          </w:p>
        </w:tc>
      </w:tr>
      <w:tr w:rsidR="000D1D51" w:rsidRPr="005669A5" w:rsidTr="008C28DE">
        <w:tc>
          <w:tcPr>
            <w:tcW w:w="1657" w:type="dxa"/>
          </w:tcPr>
          <w:p w:rsidR="000D1D51" w:rsidRPr="005669A5" w:rsidRDefault="000D1D51" w:rsidP="006A3972">
            <w:pPr>
              <w:rPr>
                <w:rFonts w:ascii="Arial" w:hAnsi="Arial" w:cs="Arial"/>
                <w:sz w:val="20"/>
                <w:szCs w:val="24"/>
              </w:rPr>
            </w:pPr>
          </w:p>
        </w:tc>
        <w:tc>
          <w:tcPr>
            <w:tcW w:w="2606" w:type="dxa"/>
          </w:tcPr>
          <w:p w:rsidR="000D1D51" w:rsidRPr="005669A5" w:rsidRDefault="000D1D51" w:rsidP="006A3972">
            <w:pPr>
              <w:rPr>
                <w:rFonts w:ascii="Arial" w:hAnsi="Arial" w:cs="Arial"/>
                <w:sz w:val="20"/>
                <w:szCs w:val="24"/>
              </w:rPr>
            </w:pPr>
            <w:r w:rsidRPr="005669A5">
              <w:rPr>
                <w:rFonts w:ascii="Arial" w:hAnsi="Arial" w:cs="Arial"/>
                <w:sz w:val="20"/>
                <w:szCs w:val="24"/>
              </w:rPr>
              <w:t>94.83 ± 1.60</w:t>
            </w:r>
          </w:p>
        </w:tc>
        <w:tc>
          <w:tcPr>
            <w:tcW w:w="1843" w:type="dxa"/>
          </w:tcPr>
          <w:p w:rsidR="000D1D51" w:rsidRPr="005669A5" w:rsidRDefault="000D1D51" w:rsidP="006A3972">
            <w:pPr>
              <w:rPr>
                <w:rFonts w:ascii="Arial" w:hAnsi="Arial" w:cs="Arial"/>
                <w:sz w:val="20"/>
                <w:szCs w:val="24"/>
              </w:rPr>
            </w:pPr>
            <w:r w:rsidRPr="005669A5">
              <w:rPr>
                <w:rFonts w:ascii="Arial" w:hAnsi="Arial" w:cs="Arial"/>
                <w:sz w:val="20"/>
                <w:szCs w:val="24"/>
              </w:rPr>
              <w:t>99.66 ± 0.33</w:t>
            </w:r>
          </w:p>
        </w:tc>
        <w:tc>
          <w:tcPr>
            <w:tcW w:w="1134" w:type="dxa"/>
          </w:tcPr>
          <w:p w:rsidR="000D1D51" w:rsidRPr="005669A5" w:rsidRDefault="000D1D51" w:rsidP="006A3972">
            <w:pPr>
              <w:rPr>
                <w:rFonts w:ascii="Arial" w:hAnsi="Arial" w:cs="Arial"/>
                <w:sz w:val="20"/>
                <w:szCs w:val="24"/>
              </w:rPr>
            </w:pPr>
            <w:r w:rsidRPr="005669A5">
              <w:rPr>
                <w:rFonts w:ascii="Arial" w:hAnsi="Arial" w:cs="Arial"/>
                <w:sz w:val="20"/>
                <w:szCs w:val="24"/>
              </w:rPr>
              <w:t>0.014</w:t>
            </w:r>
          </w:p>
        </w:tc>
      </w:tr>
    </w:tbl>
    <w:p w:rsidR="000D1D51" w:rsidRPr="005669A5" w:rsidRDefault="000D1D51" w:rsidP="000D1D51">
      <w:pPr>
        <w:rPr>
          <w:rFonts w:ascii="Arial" w:hAnsi="Arial" w:cs="Arial"/>
        </w:rPr>
      </w:pPr>
    </w:p>
    <w:p w:rsidR="000D1D51" w:rsidRPr="005669A5" w:rsidRDefault="000D1D51" w:rsidP="000D1D51">
      <w:pPr>
        <w:rPr>
          <w:rFonts w:ascii="Arial" w:hAnsi="Arial" w:cs="Arial"/>
        </w:rPr>
      </w:pPr>
    </w:p>
    <w:p w:rsidR="000D1D51" w:rsidRPr="005669A5" w:rsidRDefault="000D1D51" w:rsidP="000D1D51">
      <w:pPr>
        <w:autoSpaceDE w:val="0"/>
        <w:autoSpaceDN w:val="0"/>
        <w:adjustRightInd w:val="0"/>
        <w:spacing w:after="0" w:line="360" w:lineRule="auto"/>
        <w:jc w:val="center"/>
        <w:rPr>
          <w:rFonts w:ascii="Arial" w:hAnsi="Arial" w:cs="Arial"/>
          <w:sz w:val="20"/>
          <w:szCs w:val="24"/>
        </w:rPr>
      </w:pPr>
    </w:p>
    <w:p w:rsidR="000D1D51" w:rsidRPr="008C28DE" w:rsidRDefault="000D1D51" w:rsidP="000D1D51">
      <w:pPr>
        <w:autoSpaceDE w:val="0"/>
        <w:autoSpaceDN w:val="0"/>
        <w:adjustRightInd w:val="0"/>
        <w:spacing w:after="0" w:line="360" w:lineRule="auto"/>
        <w:jc w:val="center"/>
        <w:rPr>
          <w:rFonts w:ascii="Arial" w:hAnsi="Arial" w:cs="Arial"/>
          <w:b/>
          <w:sz w:val="20"/>
          <w:szCs w:val="24"/>
        </w:rPr>
      </w:pPr>
      <w:r w:rsidRPr="008C28DE">
        <w:rPr>
          <w:rFonts w:ascii="Arial" w:hAnsi="Arial" w:cs="Arial"/>
          <w:b/>
          <w:sz w:val="20"/>
          <w:szCs w:val="24"/>
        </w:rPr>
        <w:t xml:space="preserve">Table 2: Cost benefit analysis of </w:t>
      </w:r>
      <w:proofErr w:type="spellStart"/>
      <w:r w:rsidRPr="008C28DE">
        <w:rPr>
          <w:rFonts w:ascii="Arial" w:hAnsi="Arial" w:cs="Arial"/>
          <w:b/>
          <w:sz w:val="20"/>
          <w:szCs w:val="24"/>
        </w:rPr>
        <w:t>Probeads</w:t>
      </w:r>
      <w:proofErr w:type="spellEnd"/>
      <w:r w:rsidRPr="008C28DE">
        <w:rPr>
          <w:rFonts w:ascii="Arial" w:hAnsi="Arial" w:cs="Arial"/>
          <w:b/>
          <w:sz w:val="20"/>
          <w:szCs w:val="24"/>
        </w:rPr>
        <w:t>-EC supplement in TANUVAS Aseel Chicken</w:t>
      </w:r>
    </w:p>
    <w:tbl>
      <w:tblPr>
        <w:tblStyle w:val="TableGrid"/>
        <w:tblW w:w="0" w:type="auto"/>
        <w:tblLook w:val="04A0" w:firstRow="1" w:lastRow="0" w:firstColumn="1" w:lastColumn="0" w:noHBand="0" w:noVBand="1"/>
      </w:tblPr>
      <w:tblGrid>
        <w:gridCol w:w="5495"/>
        <w:gridCol w:w="1984"/>
        <w:gridCol w:w="1763"/>
      </w:tblGrid>
      <w:tr w:rsidR="000D1D51" w:rsidRPr="005669A5" w:rsidTr="006A3972">
        <w:tc>
          <w:tcPr>
            <w:tcW w:w="5495"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Parameter</w:t>
            </w:r>
          </w:p>
        </w:tc>
        <w:tc>
          <w:tcPr>
            <w:tcW w:w="1984"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Treatment group</w:t>
            </w:r>
          </w:p>
        </w:tc>
        <w:tc>
          <w:tcPr>
            <w:tcW w:w="1763" w:type="dxa"/>
          </w:tcPr>
          <w:p w:rsidR="000D1D51" w:rsidRPr="005669A5" w:rsidRDefault="000D1D51" w:rsidP="006A3972">
            <w:pPr>
              <w:autoSpaceDE w:val="0"/>
              <w:autoSpaceDN w:val="0"/>
              <w:adjustRightInd w:val="0"/>
              <w:rPr>
                <w:rFonts w:ascii="Arial" w:hAnsi="Arial" w:cs="Arial"/>
                <w:sz w:val="20"/>
                <w:szCs w:val="24"/>
              </w:rPr>
            </w:pPr>
            <w:r w:rsidRPr="005669A5">
              <w:rPr>
                <w:rFonts w:ascii="Arial" w:hAnsi="Arial" w:cs="Arial"/>
                <w:sz w:val="20"/>
                <w:szCs w:val="24"/>
              </w:rPr>
              <w:t>Control group</w:t>
            </w:r>
          </w:p>
        </w:tc>
      </w:tr>
      <w:tr w:rsidR="000D1D51" w:rsidRPr="005669A5" w:rsidTr="006A3972">
        <w:tc>
          <w:tcPr>
            <w:tcW w:w="5495" w:type="dxa"/>
          </w:tcPr>
          <w:p w:rsidR="000D1D51" w:rsidRPr="005669A5" w:rsidRDefault="000D1D51" w:rsidP="006A3972">
            <w:pPr>
              <w:autoSpaceDE w:val="0"/>
              <w:autoSpaceDN w:val="0"/>
              <w:adjustRightInd w:val="0"/>
              <w:jc w:val="both"/>
              <w:rPr>
                <w:rFonts w:ascii="Arial" w:hAnsi="Arial" w:cs="Arial"/>
                <w:sz w:val="20"/>
                <w:szCs w:val="24"/>
              </w:rPr>
            </w:pPr>
            <w:r w:rsidRPr="005669A5">
              <w:rPr>
                <w:rFonts w:ascii="Arial" w:hAnsi="Arial" w:cs="Arial"/>
                <w:sz w:val="20"/>
                <w:szCs w:val="24"/>
              </w:rPr>
              <w:t>Total feed intake (kg/bird)</w:t>
            </w:r>
          </w:p>
        </w:tc>
        <w:tc>
          <w:tcPr>
            <w:tcW w:w="1984"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4.45</w:t>
            </w:r>
          </w:p>
        </w:tc>
        <w:tc>
          <w:tcPr>
            <w:tcW w:w="1763"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4.86</w:t>
            </w:r>
          </w:p>
        </w:tc>
      </w:tr>
      <w:tr w:rsidR="000D1D51" w:rsidRPr="005669A5" w:rsidTr="006A3972">
        <w:tc>
          <w:tcPr>
            <w:tcW w:w="5495" w:type="dxa"/>
          </w:tcPr>
          <w:p w:rsidR="000D1D51" w:rsidRPr="005669A5" w:rsidRDefault="000D1D51" w:rsidP="006A3972">
            <w:pPr>
              <w:autoSpaceDE w:val="0"/>
              <w:autoSpaceDN w:val="0"/>
              <w:adjustRightInd w:val="0"/>
              <w:jc w:val="both"/>
              <w:rPr>
                <w:rFonts w:ascii="Arial" w:hAnsi="Arial" w:cs="Arial"/>
                <w:sz w:val="20"/>
                <w:szCs w:val="24"/>
              </w:rPr>
            </w:pPr>
            <w:r w:rsidRPr="005669A5">
              <w:rPr>
                <w:rFonts w:ascii="Arial" w:hAnsi="Arial" w:cs="Arial"/>
                <w:sz w:val="20"/>
                <w:szCs w:val="24"/>
              </w:rPr>
              <w:t>Cost of supplement/bird (Rs)</w:t>
            </w:r>
          </w:p>
        </w:tc>
        <w:tc>
          <w:tcPr>
            <w:tcW w:w="1984"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18</w:t>
            </w:r>
          </w:p>
        </w:tc>
        <w:tc>
          <w:tcPr>
            <w:tcW w:w="1763"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w:t>
            </w:r>
          </w:p>
        </w:tc>
      </w:tr>
      <w:tr w:rsidR="000D1D51" w:rsidRPr="005669A5" w:rsidTr="006A3972">
        <w:tc>
          <w:tcPr>
            <w:tcW w:w="5495" w:type="dxa"/>
          </w:tcPr>
          <w:p w:rsidR="000D1D51" w:rsidRPr="005669A5" w:rsidRDefault="000D1D51" w:rsidP="006A3972">
            <w:pPr>
              <w:autoSpaceDE w:val="0"/>
              <w:autoSpaceDN w:val="0"/>
              <w:adjustRightInd w:val="0"/>
              <w:jc w:val="both"/>
              <w:rPr>
                <w:rFonts w:ascii="Arial" w:hAnsi="Arial" w:cs="Arial"/>
                <w:sz w:val="20"/>
                <w:szCs w:val="24"/>
              </w:rPr>
            </w:pPr>
            <w:r w:rsidRPr="005669A5">
              <w:rPr>
                <w:rFonts w:ascii="Arial" w:hAnsi="Arial" w:cs="Arial"/>
                <w:sz w:val="20"/>
                <w:szCs w:val="24"/>
              </w:rPr>
              <w:t>Total feed cost/bird supplement</w:t>
            </w:r>
          </w:p>
        </w:tc>
        <w:tc>
          <w:tcPr>
            <w:tcW w:w="1984"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178</w:t>
            </w:r>
          </w:p>
        </w:tc>
        <w:tc>
          <w:tcPr>
            <w:tcW w:w="1763"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194.4</w:t>
            </w:r>
          </w:p>
        </w:tc>
      </w:tr>
      <w:tr w:rsidR="000D1D51" w:rsidRPr="005669A5" w:rsidTr="006A3972">
        <w:tc>
          <w:tcPr>
            <w:tcW w:w="5495" w:type="dxa"/>
          </w:tcPr>
          <w:p w:rsidR="000D1D51" w:rsidRPr="005669A5" w:rsidRDefault="000D1D51" w:rsidP="006A3972">
            <w:pPr>
              <w:autoSpaceDE w:val="0"/>
              <w:autoSpaceDN w:val="0"/>
              <w:adjustRightInd w:val="0"/>
              <w:jc w:val="both"/>
              <w:rPr>
                <w:rFonts w:ascii="Arial" w:hAnsi="Arial" w:cs="Arial"/>
                <w:sz w:val="20"/>
                <w:szCs w:val="24"/>
              </w:rPr>
            </w:pPr>
            <w:r w:rsidRPr="005669A5">
              <w:rPr>
                <w:rFonts w:ascii="Arial" w:hAnsi="Arial" w:cs="Arial"/>
                <w:sz w:val="20"/>
                <w:szCs w:val="24"/>
              </w:rPr>
              <w:t>Cost of chicks (Rs/no)</w:t>
            </w:r>
          </w:p>
        </w:tc>
        <w:tc>
          <w:tcPr>
            <w:tcW w:w="1984"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40</w:t>
            </w:r>
          </w:p>
        </w:tc>
        <w:tc>
          <w:tcPr>
            <w:tcW w:w="1763"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40</w:t>
            </w:r>
          </w:p>
        </w:tc>
      </w:tr>
      <w:tr w:rsidR="000D1D51" w:rsidRPr="005669A5" w:rsidTr="006A3972">
        <w:tc>
          <w:tcPr>
            <w:tcW w:w="5495" w:type="dxa"/>
          </w:tcPr>
          <w:p w:rsidR="000D1D51" w:rsidRPr="005669A5" w:rsidRDefault="000D1D51" w:rsidP="006A3972">
            <w:pPr>
              <w:autoSpaceDE w:val="0"/>
              <w:autoSpaceDN w:val="0"/>
              <w:adjustRightInd w:val="0"/>
              <w:jc w:val="both"/>
              <w:rPr>
                <w:rFonts w:ascii="Arial" w:hAnsi="Arial" w:cs="Arial"/>
                <w:sz w:val="20"/>
                <w:szCs w:val="24"/>
              </w:rPr>
            </w:pPr>
            <w:r w:rsidRPr="005669A5">
              <w:rPr>
                <w:rFonts w:ascii="Arial" w:hAnsi="Arial" w:cs="Arial"/>
                <w:sz w:val="20"/>
                <w:szCs w:val="24"/>
              </w:rPr>
              <w:t>Total production cost (</w:t>
            </w:r>
            <w:proofErr w:type="gramStart"/>
            <w:r w:rsidRPr="005669A5">
              <w:rPr>
                <w:rFonts w:ascii="Arial" w:hAnsi="Arial" w:cs="Arial"/>
                <w:sz w:val="20"/>
                <w:szCs w:val="24"/>
              </w:rPr>
              <w:t>Rs./</w:t>
            </w:r>
            <w:proofErr w:type="gramEnd"/>
            <w:r w:rsidRPr="005669A5">
              <w:rPr>
                <w:rFonts w:ascii="Arial" w:hAnsi="Arial" w:cs="Arial"/>
                <w:sz w:val="20"/>
                <w:szCs w:val="24"/>
              </w:rPr>
              <w:t>bird) including maintenance</w:t>
            </w:r>
          </w:p>
        </w:tc>
        <w:tc>
          <w:tcPr>
            <w:tcW w:w="1984"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218</w:t>
            </w:r>
          </w:p>
        </w:tc>
        <w:tc>
          <w:tcPr>
            <w:tcW w:w="1763"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234.4</w:t>
            </w:r>
          </w:p>
        </w:tc>
      </w:tr>
      <w:tr w:rsidR="000D1D51" w:rsidRPr="005669A5" w:rsidTr="006A3972">
        <w:tc>
          <w:tcPr>
            <w:tcW w:w="5495" w:type="dxa"/>
          </w:tcPr>
          <w:p w:rsidR="000D1D51" w:rsidRPr="005669A5" w:rsidRDefault="000D1D51" w:rsidP="006A3972">
            <w:pPr>
              <w:autoSpaceDE w:val="0"/>
              <w:autoSpaceDN w:val="0"/>
              <w:adjustRightInd w:val="0"/>
              <w:jc w:val="both"/>
              <w:rPr>
                <w:rFonts w:ascii="Arial" w:hAnsi="Arial" w:cs="Arial"/>
                <w:sz w:val="20"/>
                <w:szCs w:val="24"/>
              </w:rPr>
            </w:pPr>
            <w:r w:rsidRPr="005669A5">
              <w:rPr>
                <w:rFonts w:ascii="Arial" w:hAnsi="Arial" w:cs="Arial"/>
                <w:sz w:val="20"/>
                <w:szCs w:val="24"/>
              </w:rPr>
              <w:t>Income from sale of bird</w:t>
            </w:r>
          </w:p>
        </w:tc>
        <w:tc>
          <w:tcPr>
            <w:tcW w:w="1984"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450</w:t>
            </w:r>
          </w:p>
        </w:tc>
        <w:tc>
          <w:tcPr>
            <w:tcW w:w="1763"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400</w:t>
            </w:r>
          </w:p>
        </w:tc>
      </w:tr>
      <w:tr w:rsidR="000D1D51" w:rsidRPr="005669A5" w:rsidTr="006A3972">
        <w:tc>
          <w:tcPr>
            <w:tcW w:w="5495" w:type="dxa"/>
          </w:tcPr>
          <w:p w:rsidR="000D1D51" w:rsidRPr="005669A5" w:rsidRDefault="000D1D51" w:rsidP="006A3972">
            <w:pPr>
              <w:autoSpaceDE w:val="0"/>
              <w:autoSpaceDN w:val="0"/>
              <w:adjustRightInd w:val="0"/>
              <w:jc w:val="both"/>
              <w:rPr>
                <w:rFonts w:ascii="Arial" w:hAnsi="Arial" w:cs="Arial"/>
                <w:sz w:val="20"/>
                <w:szCs w:val="24"/>
              </w:rPr>
            </w:pPr>
            <w:r w:rsidRPr="005669A5">
              <w:rPr>
                <w:rFonts w:ascii="Arial" w:hAnsi="Arial" w:cs="Arial"/>
                <w:sz w:val="20"/>
                <w:szCs w:val="24"/>
              </w:rPr>
              <w:t>Total income</w:t>
            </w:r>
          </w:p>
        </w:tc>
        <w:tc>
          <w:tcPr>
            <w:tcW w:w="1984"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232</w:t>
            </w:r>
          </w:p>
        </w:tc>
        <w:tc>
          <w:tcPr>
            <w:tcW w:w="1763"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165.6</w:t>
            </w:r>
          </w:p>
        </w:tc>
      </w:tr>
    </w:tbl>
    <w:p w:rsidR="000D1D51" w:rsidRPr="005669A5" w:rsidRDefault="000D1D51" w:rsidP="000D1D51">
      <w:pPr>
        <w:autoSpaceDE w:val="0"/>
        <w:autoSpaceDN w:val="0"/>
        <w:adjustRightInd w:val="0"/>
        <w:spacing w:after="0" w:line="360" w:lineRule="auto"/>
        <w:jc w:val="both"/>
        <w:rPr>
          <w:rFonts w:ascii="Arial" w:hAnsi="Arial" w:cs="Arial"/>
          <w:sz w:val="24"/>
          <w:szCs w:val="24"/>
        </w:rPr>
      </w:pPr>
    </w:p>
    <w:p w:rsidR="000D1D51" w:rsidRPr="008C28DE" w:rsidRDefault="000D1D51" w:rsidP="000D1D51">
      <w:pPr>
        <w:autoSpaceDE w:val="0"/>
        <w:autoSpaceDN w:val="0"/>
        <w:adjustRightInd w:val="0"/>
        <w:spacing w:after="0" w:line="360" w:lineRule="auto"/>
        <w:jc w:val="both"/>
        <w:rPr>
          <w:rFonts w:ascii="Arial" w:hAnsi="Arial" w:cs="Arial"/>
          <w:b/>
          <w:sz w:val="20"/>
          <w:szCs w:val="24"/>
        </w:rPr>
      </w:pPr>
      <w:r w:rsidRPr="008C28DE">
        <w:rPr>
          <w:rFonts w:ascii="Arial" w:hAnsi="Arial" w:cs="Arial"/>
          <w:b/>
          <w:sz w:val="20"/>
          <w:szCs w:val="24"/>
        </w:rPr>
        <w:t>Effects on body weight</w:t>
      </w:r>
    </w:p>
    <w:p w:rsidR="000D1D51" w:rsidRPr="005669A5" w:rsidRDefault="000D1D51" w:rsidP="000D1D51">
      <w:pPr>
        <w:autoSpaceDE w:val="0"/>
        <w:autoSpaceDN w:val="0"/>
        <w:adjustRightInd w:val="0"/>
        <w:spacing w:after="0" w:line="360" w:lineRule="auto"/>
        <w:ind w:firstLine="720"/>
        <w:jc w:val="both"/>
        <w:rPr>
          <w:rFonts w:ascii="Arial" w:hAnsi="Arial" w:cs="Arial"/>
          <w:sz w:val="20"/>
          <w:szCs w:val="24"/>
        </w:rPr>
      </w:pPr>
      <w:r w:rsidRPr="005669A5">
        <w:rPr>
          <w:rFonts w:ascii="Arial" w:hAnsi="Arial" w:cs="Arial"/>
          <w:sz w:val="20"/>
          <w:szCs w:val="24"/>
        </w:rPr>
        <w:t xml:space="preserve">The average body weight of birds supplemented with </w:t>
      </w:r>
      <w:proofErr w:type="spellStart"/>
      <w:r w:rsidRPr="005669A5">
        <w:rPr>
          <w:rFonts w:ascii="Arial" w:hAnsi="Arial" w:cs="Arial"/>
          <w:sz w:val="20"/>
          <w:szCs w:val="24"/>
        </w:rPr>
        <w:t>Probeads</w:t>
      </w:r>
      <w:proofErr w:type="spellEnd"/>
      <w:r w:rsidRPr="005669A5">
        <w:rPr>
          <w:rFonts w:ascii="Arial" w:hAnsi="Arial" w:cs="Arial"/>
          <w:sz w:val="20"/>
          <w:szCs w:val="24"/>
        </w:rPr>
        <w:t xml:space="preserve"> EC (treatment group) was significantly higher (1058g) compared to the control group (922g). This finding is consistent with previous studies, which reported that probiotic supplementation improves body weight gain in birds (Yan et al., 2017; </w:t>
      </w:r>
      <w:proofErr w:type="spellStart"/>
      <w:r w:rsidRPr="005669A5">
        <w:rPr>
          <w:rFonts w:ascii="Arial" w:hAnsi="Arial" w:cs="Arial"/>
          <w:sz w:val="20"/>
          <w:szCs w:val="24"/>
        </w:rPr>
        <w:t>Murugan</w:t>
      </w:r>
      <w:proofErr w:type="spellEnd"/>
      <w:r w:rsidRPr="005669A5">
        <w:rPr>
          <w:rFonts w:ascii="Arial" w:hAnsi="Arial" w:cs="Arial"/>
          <w:sz w:val="20"/>
          <w:szCs w:val="24"/>
        </w:rPr>
        <w:t xml:space="preserve"> et al., 2022). Specifically, the treatment group showed significant differences in body weight gain compared to the control group from the 4th week onwards, with p-values of 0.000 at weeks 4, 6, and 8, and 0.001 at weeks 2 and 10. This suggests that the probiotic supplement played a significant role in improving digestion and nutrient absorption, leading to better body weight gain. The improved body weight gain in the treatment group highlights the potential benefits of probiotic supplementation in poultry production, particularly in terms of enhancing growth performance.</w:t>
      </w:r>
    </w:p>
    <w:p w:rsidR="000D1D51" w:rsidRPr="008C28DE" w:rsidRDefault="000D1D51" w:rsidP="000D1D51">
      <w:pPr>
        <w:autoSpaceDE w:val="0"/>
        <w:autoSpaceDN w:val="0"/>
        <w:adjustRightInd w:val="0"/>
        <w:spacing w:after="0" w:line="360" w:lineRule="auto"/>
        <w:jc w:val="both"/>
        <w:rPr>
          <w:rFonts w:ascii="Arial" w:hAnsi="Arial" w:cs="Arial"/>
          <w:b/>
          <w:sz w:val="20"/>
          <w:szCs w:val="24"/>
        </w:rPr>
      </w:pPr>
      <w:r w:rsidRPr="008C28DE">
        <w:rPr>
          <w:rFonts w:ascii="Arial" w:hAnsi="Arial" w:cs="Arial"/>
          <w:b/>
          <w:sz w:val="20"/>
          <w:szCs w:val="24"/>
        </w:rPr>
        <w:t>Effects on daily feed intake</w:t>
      </w:r>
    </w:p>
    <w:p w:rsidR="000D1D51" w:rsidRPr="005669A5" w:rsidRDefault="000D1D51" w:rsidP="000D1D51">
      <w:pPr>
        <w:autoSpaceDE w:val="0"/>
        <w:autoSpaceDN w:val="0"/>
        <w:adjustRightInd w:val="0"/>
        <w:spacing w:after="0" w:line="360" w:lineRule="auto"/>
        <w:ind w:firstLine="720"/>
        <w:jc w:val="both"/>
        <w:rPr>
          <w:rFonts w:ascii="Arial" w:hAnsi="Arial" w:cs="Arial"/>
          <w:sz w:val="20"/>
          <w:szCs w:val="24"/>
        </w:rPr>
      </w:pPr>
      <w:r w:rsidRPr="005669A5">
        <w:rPr>
          <w:rFonts w:ascii="Arial" w:hAnsi="Arial" w:cs="Arial"/>
          <w:sz w:val="20"/>
          <w:szCs w:val="24"/>
        </w:rPr>
        <w:t xml:space="preserve">Average daily feed intake of TANUVAS Aseel chicks fed with probiotics supplement has significant different from control group. Treatment group has better feed consumption at weeks 0 (14.50 vs </w:t>
      </w:r>
      <w:proofErr w:type="gramStart"/>
      <w:r w:rsidRPr="005669A5">
        <w:rPr>
          <w:rFonts w:ascii="Arial" w:hAnsi="Arial" w:cs="Arial"/>
          <w:sz w:val="20"/>
          <w:szCs w:val="24"/>
        </w:rPr>
        <w:t>11.83,p</w:t>
      </w:r>
      <w:proofErr w:type="gramEnd"/>
      <w:r w:rsidRPr="005669A5">
        <w:rPr>
          <w:rFonts w:ascii="Arial" w:hAnsi="Arial" w:cs="Arial"/>
          <w:sz w:val="20"/>
          <w:szCs w:val="24"/>
        </w:rPr>
        <w:t xml:space="preserve">=0.002), 2 (14.50 vs 11.83,p=0.002), 4 (20.17 vs 16.67,p=0.001), 6 (24.50 vs 20.17,p=0.008), 8 (33.58 vs 30.33,p=0.008), 10 (36.17 vs 32.50,p=0.003), (40 vs 33.33,p=0.000). Similar results obtained by khan et al (2013) and swain et al (2016). </w:t>
      </w:r>
      <w:proofErr w:type="spellStart"/>
      <w:r w:rsidRPr="005669A5">
        <w:rPr>
          <w:rFonts w:ascii="Arial" w:hAnsi="Arial" w:cs="Arial"/>
          <w:sz w:val="20"/>
          <w:szCs w:val="24"/>
        </w:rPr>
        <w:t>Thangadurai</w:t>
      </w:r>
      <w:proofErr w:type="spellEnd"/>
      <w:r w:rsidRPr="005669A5">
        <w:rPr>
          <w:rFonts w:ascii="Arial" w:hAnsi="Arial" w:cs="Arial"/>
          <w:sz w:val="20"/>
          <w:szCs w:val="24"/>
        </w:rPr>
        <w:t xml:space="preserve"> et al (2024) reported that supplementation of probiotics does not affect feed intake in birds.</w:t>
      </w:r>
    </w:p>
    <w:p w:rsidR="000D1D51" w:rsidRPr="00C17612" w:rsidRDefault="000D1D51" w:rsidP="000D1D51">
      <w:pPr>
        <w:autoSpaceDE w:val="0"/>
        <w:autoSpaceDN w:val="0"/>
        <w:adjustRightInd w:val="0"/>
        <w:spacing w:after="0" w:line="360" w:lineRule="auto"/>
        <w:jc w:val="both"/>
        <w:rPr>
          <w:rFonts w:ascii="Arial" w:hAnsi="Arial" w:cs="Arial"/>
          <w:b/>
          <w:sz w:val="20"/>
          <w:szCs w:val="24"/>
        </w:rPr>
      </w:pPr>
      <w:r w:rsidRPr="00C17612">
        <w:rPr>
          <w:rFonts w:ascii="Arial" w:hAnsi="Arial" w:cs="Arial"/>
          <w:b/>
          <w:sz w:val="20"/>
          <w:szCs w:val="24"/>
        </w:rPr>
        <w:t>Effects on feed conversion ratio</w:t>
      </w:r>
    </w:p>
    <w:p w:rsidR="000D1D51" w:rsidRPr="005669A5" w:rsidRDefault="000D1D51" w:rsidP="000D1D51">
      <w:pPr>
        <w:autoSpaceDE w:val="0"/>
        <w:autoSpaceDN w:val="0"/>
        <w:adjustRightInd w:val="0"/>
        <w:spacing w:after="0" w:line="360" w:lineRule="auto"/>
        <w:ind w:firstLine="720"/>
        <w:jc w:val="both"/>
        <w:rPr>
          <w:rFonts w:ascii="Arial" w:hAnsi="Arial" w:cs="Arial"/>
          <w:sz w:val="20"/>
          <w:szCs w:val="24"/>
        </w:rPr>
      </w:pPr>
      <w:r w:rsidRPr="005669A5">
        <w:rPr>
          <w:rFonts w:ascii="Arial" w:hAnsi="Arial" w:cs="Arial"/>
          <w:sz w:val="20"/>
          <w:szCs w:val="24"/>
        </w:rPr>
        <w:t xml:space="preserve">The average feed conversion ratio (FCR) of chicks fed with probiotic supplement revealed significant improvements in feed efficiency compared to the control group. Specifically, the treatment </w:t>
      </w:r>
      <w:r w:rsidRPr="005669A5">
        <w:rPr>
          <w:rFonts w:ascii="Arial" w:hAnsi="Arial" w:cs="Arial"/>
          <w:sz w:val="20"/>
          <w:szCs w:val="24"/>
        </w:rPr>
        <w:lastRenderedPageBreak/>
        <w:t>group had lower FCR values at weeks 0 (1.82 vs 2.51, p=0.000), 2 (1.95 vs 2.73, p=0.001), 4 (1.34 vs 2.12, p=0.000), 8 (2.25 vs 2.99, p=0.001), and 10 (2.08 vs 2.85, p=0.004), indicating better feed utilization and conversion into body weight. This is consistent with previous studies, which reported that probiotics improve immunity, leading to increased body weight without consuming more feed, resulting in a better FCR (Wolfenden et al., 2010; Swain et al., 2016). The improved FCR can be attributed to the alteration of intestinal flora, enhancement of non-pathogenic bacteria, suppression of intestinal pathogens, and enhanced digestion and nutrient utilization (</w:t>
      </w:r>
      <w:proofErr w:type="spellStart"/>
      <w:r w:rsidRPr="005669A5">
        <w:rPr>
          <w:rFonts w:ascii="Arial" w:hAnsi="Arial" w:cs="Arial"/>
          <w:sz w:val="20"/>
          <w:szCs w:val="24"/>
        </w:rPr>
        <w:t>Shibi</w:t>
      </w:r>
      <w:proofErr w:type="spellEnd"/>
      <w:r w:rsidRPr="005669A5">
        <w:rPr>
          <w:rFonts w:ascii="Arial" w:hAnsi="Arial" w:cs="Arial"/>
          <w:sz w:val="20"/>
          <w:szCs w:val="24"/>
        </w:rPr>
        <w:t xml:space="preserve"> and Jayalalitha, 2022; </w:t>
      </w:r>
      <w:proofErr w:type="spellStart"/>
      <w:r w:rsidRPr="005669A5">
        <w:rPr>
          <w:rFonts w:ascii="Arial" w:hAnsi="Arial" w:cs="Arial"/>
          <w:sz w:val="20"/>
          <w:szCs w:val="24"/>
        </w:rPr>
        <w:t>Thangadurai</w:t>
      </w:r>
      <w:proofErr w:type="spellEnd"/>
      <w:r w:rsidRPr="005669A5">
        <w:rPr>
          <w:rFonts w:ascii="Arial" w:hAnsi="Arial" w:cs="Arial"/>
          <w:sz w:val="20"/>
          <w:szCs w:val="24"/>
        </w:rPr>
        <w:t xml:space="preserve"> et al., 2016). A lower FCR indicates better production efficiency, highlighting the potential benefits of probiotic supplementation in poultry production.</w:t>
      </w:r>
    </w:p>
    <w:p w:rsidR="000D1D51" w:rsidRPr="00C17612" w:rsidRDefault="000D1D51" w:rsidP="000D1D51">
      <w:pPr>
        <w:autoSpaceDE w:val="0"/>
        <w:autoSpaceDN w:val="0"/>
        <w:adjustRightInd w:val="0"/>
        <w:spacing w:after="0" w:line="360" w:lineRule="auto"/>
        <w:jc w:val="both"/>
        <w:rPr>
          <w:rFonts w:ascii="Arial" w:hAnsi="Arial" w:cs="Arial"/>
          <w:b/>
          <w:sz w:val="20"/>
          <w:szCs w:val="24"/>
        </w:rPr>
      </w:pPr>
      <w:r w:rsidRPr="00C17612">
        <w:rPr>
          <w:rFonts w:ascii="Arial" w:hAnsi="Arial" w:cs="Arial"/>
          <w:b/>
          <w:sz w:val="20"/>
          <w:szCs w:val="24"/>
        </w:rPr>
        <w:t xml:space="preserve">Effect on </w:t>
      </w:r>
      <w:r w:rsidR="00C17612" w:rsidRPr="00C17612">
        <w:rPr>
          <w:rFonts w:ascii="Arial" w:hAnsi="Arial" w:cs="Arial"/>
          <w:b/>
          <w:sz w:val="20"/>
          <w:szCs w:val="24"/>
        </w:rPr>
        <w:t>liveability</w:t>
      </w:r>
    </w:p>
    <w:p w:rsidR="000D1D51" w:rsidRPr="005669A5" w:rsidRDefault="000D1D51" w:rsidP="000D1D51">
      <w:pPr>
        <w:autoSpaceDE w:val="0"/>
        <w:autoSpaceDN w:val="0"/>
        <w:adjustRightInd w:val="0"/>
        <w:spacing w:after="0" w:line="360" w:lineRule="auto"/>
        <w:jc w:val="both"/>
        <w:rPr>
          <w:rFonts w:ascii="Arial" w:hAnsi="Arial" w:cs="Arial"/>
          <w:sz w:val="20"/>
          <w:szCs w:val="24"/>
        </w:rPr>
      </w:pPr>
      <w:r w:rsidRPr="005669A5">
        <w:rPr>
          <w:rFonts w:ascii="Arial" w:hAnsi="Arial" w:cs="Arial"/>
          <w:sz w:val="20"/>
          <w:szCs w:val="24"/>
        </w:rPr>
        <w:tab/>
        <w:t xml:space="preserve">A significant difference (p = 0.014) was observed in </w:t>
      </w:r>
      <w:proofErr w:type="spellStart"/>
      <w:r w:rsidRPr="005669A5">
        <w:rPr>
          <w:rFonts w:ascii="Arial" w:hAnsi="Arial" w:cs="Arial"/>
          <w:sz w:val="20"/>
          <w:szCs w:val="24"/>
        </w:rPr>
        <w:t>livability</w:t>
      </w:r>
      <w:proofErr w:type="spellEnd"/>
      <w:r w:rsidRPr="005669A5">
        <w:rPr>
          <w:rFonts w:ascii="Arial" w:hAnsi="Arial" w:cs="Arial"/>
          <w:sz w:val="20"/>
          <w:szCs w:val="24"/>
        </w:rPr>
        <w:t xml:space="preserve"> between the treatment and control groups (Table 1). The treatment group had a higher </w:t>
      </w:r>
      <w:proofErr w:type="spellStart"/>
      <w:r w:rsidRPr="005669A5">
        <w:rPr>
          <w:rFonts w:ascii="Arial" w:hAnsi="Arial" w:cs="Arial"/>
          <w:sz w:val="20"/>
          <w:szCs w:val="24"/>
        </w:rPr>
        <w:t>livability</w:t>
      </w:r>
      <w:proofErr w:type="spellEnd"/>
      <w:r w:rsidRPr="005669A5">
        <w:rPr>
          <w:rFonts w:ascii="Arial" w:hAnsi="Arial" w:cs="Arial"/>
          <w:sz w:val="20"/>
          <w:szCs w:val="24"/>
        </w:rPr>
        <w:t xml:space="preserve"> percentage (99.66 ± 0.33) compared to the control group (94.83 ± 1.60). This finding supports previous studies, which reported that probiotics play a major role in altering the balance of gut microorganisms, thereby increasing the health and production performance of birds by decreasing the incidence of disease and boosting intestinal immunity (Malik </w:t>
      </w:r>
      <w:r w:rsidRPr="005669A5">
        <w:rPr>
          <w:rFonts w:ascii="Arial" w:hAnsi="Arial" w:cs="Arial"/>
          <w:iCs/>
          <w:sz w:val="20"/>
          <w:szCs w:val="24"/>
        </w:rPr>
        <w:t>et al.,</w:t>
      </w:r>
      <w:r w:rsidRPr="005669A5">
        <w:rPr>
          <w:rFonts w:ascii="Arial" w:hAnsi="Arial" w:cs="Arial"/>
          <w:sz w:val="20"/>
          <w:szCs w:val="24"/>
        </w:rPr>
        <w:t xml:space="preserve"> 2008; Broom </w:t>
      </w:r>
      <w:r w:rsidRPr="005669A5">
        <w:rPr>
          <w:rFonts w:ascii="Arial" w:hAnsi="Arial" w:cs="Arial"/>
          <w:iCs/>
          <w:sz w:val="20"/>
          <w:szCs w:val="24"/>
        </w:rPr>
        <w:t>et al.,</w:t>
      </w:r>
      <w:r w:rsidRPr="005669A5">
        <w:rPr>
          <w:rFonts w:ascii="Arial" w:hAnsi="Arial" w:cs="Arial"/>
          <w:sz w:val="20"/>
          <w:szCs w:val="24"/>
        </w:rPr>
        <w:t xml:space="preserve"> 2018; Yadav </w:t>
      </w:r>
      <w:r w:rsidRPr="005669A5">
        <w:rPr>
          <w:rFonts w:ascii="Arial" w:hAnsi="Arial" w:cs="Arial"/>
          <w:iCs/>
          <w:sz w:val="20"/>
          <w:szCs w:val="24"/>
        </w:rPr>
        <w:t>et al</w:t>
      </w:r>
      <w:r w:rsidRPr="005669A5">
        <w:rPr>
          <w:rFonts w:ascii="Arial" w:hAnsi="Arial" w:cs="Arial"/>
          <w:i/>
          <w:iCs/>
          <w:sz w:val="20"/>
          <w:szCs w:val="24"/>
        </w:rPr>
        <w:t>.,</w:t>
      </w:r>
      <w:r w:rsidRPr="005669A5">
        <w:rPr>
          <w:rFonts w:ascii="Arial" w:hAnsi="Arial" w:cs="Arial"/>
          <w:sz w:val="20"/>
          <w:szCs w:val="24"/>
        </w:rPr>
        <w:t xml:space="preserve"> 2019). Additionally, Zhen </w:t>
      </w:r>
      <w:r w:rsidRPr="005669A5">
        <w:rPr>
          <w:rFonts w:ascii="Arial" w:hAnsi="Arial" w:cs="Arial"/>
          <w:iCs/>
          <w:sz w:val="20"/>
          <w:szCs w:val="24"/>
        </w:rPr>
        <w:t>et al</w:t>
      </w:r>
      <w:r w:rsidRPr="005669A5">
        <w:rPr>
          <w:rFonts w:ascii="Arial" w:hAnsi="Arial" w:cs="Arial"/>
          <w:i/>
          <w:iCs/>
          <w:sz w:val="20"/>
          <w:szCs w:val="24"/>
        </w:rPr>
        <w:t>.</w:t>
      </w:r>
      <w:r w:rsidRPr="005669A5">
        <w:rPr>
          <w:rFonts w:ascii="Arial" w:hAnsi="Arial" w:cs="Arial"/>
          <w:sz w:val="20"/>
          <w:szCs w:val="24"/>
        </w:rPr>
        <w:t xml:space="preserve"> (2018) found that probiotic supplementation reduced the growth of pathogenic microorganisms.</w:t>
      </w:r>
    </w:p>
    <w:p w:rsidR="000D1D51" w:rsidRPr="00C17612" w:rsidRDefault="000D1D51" w:rsidP="000D1D51">
      <w:pPr>
        <w:autoSpaceDE w:val="0"/>
        <w:autoSpaceDN w:val="0"/>
        <w:adjustRightInd w:val="0"/>
        <w:spacing w:after="0" w:line="360" w:lineRule="auto"/>
        <w:jc w:val="both"/>
        <w:rPr>
          <w:rFonts w:ascii="Arial" w:hAnsi="Arial" w:cs="Arial"/>
          <w:b/>
          <w:sz w:val="20"/>
          <w:szCs w:val="24"/>
        </w:rPr>
      </w:pPr>
      <w:r w:rsidRPr="00C17612">
        <w:rPr>
          <w:rFonts w:ascii="Arial" w:hAnsi="Arial" w:cs="Arial"/>
          <w:b/>
          <w:sz w:val="20"/>
          <w:szCs w:val="24"/>
        </w:rPr>
        <w:t>Effect on cost benefit analysis</w:t>
      </w:r>
    </w:p>
    <w:p w:rsidR="000D1D51" w:rsidRPr="005669A5" w:rsidRDefault="000D1D51" w:rsidP="000D1D51">
      <w:pPr>
        <w:spacing w:line="360" w:lineRule="auto"/>
        <w:jc w:val="both"/>
        <w:rPr>
          <w:rFonts w:ascii="Arial" w:hAnsi="Arial" w:cs="Arial"/>
          <w:sz w:val="20"/>
          <w:szCs w:val="24"/>
        </w:rPr>
      </w:pPr>
      <w:r w:rsidRPr="005669A5">
        <w:rPr>
          <w:rFonts w:ascii="Arial" w:hAnsi="Arial" w:cs="Arial"/>
          <w:sz w:val="20"/>
          <w:szCs w:val="24"/>
        </w:rPr>
        <w:tab/>
        <w:t xml:space="preserve">Cost benefit analysis was presented in table 2. The cost of production per bird for treatment group is Rs.218 was lower than Rs.234.4 in control group. The net profit per bird per month was higher in treatment group compared with control group. This could be due to higher weight gain and higher feed conversion efficiency in Aseel cross breeds. </w:t>
      </w:r>
    </w:p>
    <w:p w:rsidR="000D1D51" w:rsidRPr="00C17612" w:rsidRDefault="000D1D51" w:rsidP="000D1D51">
      <w:pPr>
        <w:spacing w:line="360" w:lineRule="auto"/>
        <w:jc w:val="both"/>
        <w:rPr>
          <w:rFonts w:ascii="Arial" w:hAnsi="Arial" w:cs="Arial"/>
          <w:b/>
          <w:szCs w:val="24"/>
        </w:rPr>
      </w:pPr>
      <w:r w:rsidRPr="00C17612">
        <w:rPr>
          <w:rFonts w:ascii="Arial" w:hAnsi="Arial" w:cs="Arial"/>
          <w:b/>
          <w:szCs w:val="24"/>
        </w:rPr>
        <w:t>Conclusion</w:t>
      </w:r>
    </w:p>
    <w:p w:rsidR="000D1D51" w:rsidRPr="005669A5" w:rsidRDefault="000D1D51" w:rsidP="000D1D51">
      <w:pPr>
        <w:spacing w:line="360" w:lineRule="auto"/>
        <w:ind w:firstLine="720"/>
        <w:jc w:val="both"/>
        <w:rPr>
          <w:rFonts w:ascii="Arial" w:hAnsi="Arial" w:cs="Arial"/>
          <w:sz w:val="20"/>
          <w:szCs w:val="24"/>
        </w:rPr>
      </w:pPr>
      <w:r w:rsidRPr="005669A5">
        <w:rPr>
          <w:rFonts w:ascii="Arial" w:hAnsi="Arial" w:cs="Arial"/>
          <w:sz w:val="20"/>
          <w:szCs w:val="24"/>
        </w:rPr>
        <w:t xml:space="preserve">The present study clearly indicates that supplementation of </w:t>
      </w:r>
      <w:proofErr w:type="spellStart"/>
      <w:r w:rsidRPr="005669A5">
        <w:rPr>
          <w:rFonts w:ascii="Arial" w:hAnsi="Arial" w:cs="Arial"/>
          <w:sz w:val="20"/>
          <w:szCs w:val="24"/>
        </w:rPr>
        <w:t>Probeads</w:t>
      </w:r>
      <w:proofErr w:type="spellEnd"/>
      <w:r w:rsidRPr="005669A5">
        <w:rPr>
          <w:rFonts w:ascii="Arial" w:hAnsi="Arial" w:cs="Arial"/>
          <w:sz w:val="20"/>
          <w:szCs w:val="24"/>
        </w:rPr>
        <w:t xml:space="preserve">-EC, a probiotic formulation, improves the performance of TANUVAS Aseel chicks by enhancing body weight gain, feed efficiency, and </w:t>
      </w:r>
      <w:proofErr w:type="spellStart"/>
      <w:r w:rsidRPr="005669A5">
        <w:rPr>
          <w:rFonts w:ascii="Arial" w:hAnsi="Arial" w:cs="Arial"/>
          <w:sz w:val="20"/>
          <w:szCs w:val="24"/>
        </w:rPr>
        <w:t>livability</w:t>
      </w:r>
      <w:proofErr w:type="spellEnd"/>
      <w:r w:rsidRPr="005669A5">
        <w:rPr>
          <w:rFonts w:ascii="Arial" w:hAnsi="Arial" w:cs="Arial"/>
          <w:sz w:val="20"/>
          <w:szCs w:val="24"/>
        </w:rPr>
        <w:t xml:space="preserve"> percentage. The results suggest that probiotic supplementation can be a valuable strategy for improving poultry production, particularly in rural and backyard systems. The study's findings have important implications for the development of sustainable and efficient poultry production systems and highlight the potential benefits of probiotic supplementation for small-scale poultry farmers.</w:t>
      </w:r>
    </w:p>
    <w:p w:rsidR="00405743" w:rsidRDefault="00405743" w:rsidP="000D1D51">
      <w:pPr>
        <w:spacing w:line="360" w:lineRule="auto"/>
        <w:jc w:val="both"/>
        <w:rPr>
          <w:rFonts w:ascii="Arial" w:hAnsi="Arial" w:cs="Arial"/>
          <w:b/>
          <w:szCs w:val="24"/>
        </w:rPr>
      </w:pPr>
    </w:p>
    <w:p w:rsidR="000D1D51" w:rsidRPr="00C17612" w:rsidRDefault="000D1D51" w:rsidP="000D1D51">
      <w:pPr>
        <w:spacing w:line="360" w:lineRule="auto"/>
        <w:jc w:val="both"/>
        <w:rPr>
          <w:rFonts w:ascii="Arial" w:hAnsi="Arial" w:cs="Arial"/>
          <w:b/>
          <w:szCs w:val="24"/>
        </w:rPr>
      </w:pPr>
      <w:bookmarkStart w:id="0" w:name="_GoBack"/>
      <w:bookmarkEnd w:id="0"/>
      <w:r w:rsidRPr="00C17612">
        <w:rPr>
          <w:rFonts w:ascii="Arial" w:hAnsi="Arial" w:cs="Arial"/>
          <w:b/>
          <w:szCs w:val="24"/>
        </w:rPr>
        <w:t>Reference</w:t>
      </w:r>
    </w:p>
    <w:p w:rsidR="000D1D51" w:rsidRPr="00AB1C69" w:rsidRDefault="000D1D51" w:rsidP="007A3654">
      <w:pPr>
        <w:jc w:val="both"/>
        <w:rPr>
          <w:rFonts w:ascii="Arial" w:hAnsi="Arial" w:cs="Arial"/>
          <w:sz w:val="20"/>
        </w:rPr>
      </w:pPr>
      <w:r w:rsidRPr="00AB1C69">
        <w:rPr>
          <w:rFonts w:ascii="Arial" w:hAnsi="Arial" w:cs="Arial"/>
          <w:sz w:val="20"/>
        </w:rPr>
        <w:t xml:space="preserve">Broom, L.J. and </w:t>
      </w:r>
      <w:proofErr w:type="spellStart"/>
      <w:r w:rsidRPr="00AB1C69">
        <w:rPr>
          <w:rFonts w:ascii="Arial" w:hAnsi="Arial" w:cs="Arial"/>
          <w:sz w:val="20"/>
        </w:rPr>
        <w:t>Kogut</w:t>
      </w:r>
      <w:proofErr w:type="spellEnd"/>
      <w:r w:rsidRPr="00AB1C69">
        <w:rPr>
          <w:rFonts w:ascii="Arial" w:hAnsi="Arial" w:cs="Arial"/>
          <w:sz w:val="20"/>
        </w:rPr>
        <w:t xml:space="preserve">, M.H. 2018. Gut immunity: its development and reasons and opportunities for modulation in monogastric production animals. </w:t>
      </w:r>
      <w:r w:rsidRPr="00AB1C69">
        <w:rPr>
          <w:rFonts w:ascii="Arial" w:hAnsi="Arial" w:cs="Arial"/>
          <w:i/>
          <w:iCs/>
          <w:sz w:val="20"/>
        </w:rPr>
        <w:t>Anim.</w:t>
      </w:r>
      <w:r w:rsidRPr="00AB1C69">
        <w:rPr>
          <w:rFonts w:ascii="Arial" w:hAnsi="Arial" w:cs="Arial"/>
          <w:sz w:val="20"/>
        </w:rPr>
        <w:t xml:space="preserve"> </w:t>
      </w:r>
      <w:r w:rsidRPr="00AB1C69">
        <w:rPr>
          <w:rFonts w:ascii="Arial" w:hAnsi="Arial" w:cs="Arial"/>
          <w:i/>
          <w:iCs/>
          <w:sz w:val="20"/>
        </w:rPr>
        <w:t xml:space="preserve">Health Res. Rev. </w:t>
      </w:r>
      <w:r w:rsidRPr="00AB1C69">
        <w:rPr>
          <w:rFonts w:ascii="Arial" w:hAnsi="Arial" w:cs="Arial"/>
          <w:bCs/>
          <w:sz w:val="20"/>
        </w:rPr>
        <w:t>19</w:t>
      </w:r>
      <w:r w:rsidRPr="00AB1C69">
        <w:rPr>
          <w:rFonts w:ascii="Arial" w:hAnsi="Arial" w:cs="Arial"/>
          <w:sz w:val="20"/>
        </w:rPr>
        <w:t>:46-52</w:t>
      </w:r>
    </w:p>
    <w:p w:rsidR="000D1D51" w:rsidRPr="00AB1C69" w:rsidRDefault="000D1D51" w:rsidP="007A3654">
      <w:pPr>
        <w:jc w:val="both"/>
        <w:rPr>
          <w:rFonts w:ascii="Arial" w:hAnsi="Arial" w:cs="Arial"/>
          <w:sz w:val="20"/>
        </w:rPr>
      </w:pPr>
      <w:r w:rsidRPr="00AB1C69">
        <w:rPr>
          <w:rFonts w:ascii="Arial" w:hAnsi="Arial" w:cs="Arial"/>
          <w:sz w:val="20"/>
        </w:rPr>
        <w:t>FAO/WHO. (2002). Evaluation of health and nutritional properties of probiotics in food including powder milk with live lactic acid bacteria. Report of a Joint FAO / WHO Expert Consultation.</w:t>
      </w:r>
    </w:p>
    <w:p w:rsidR="000D1D51" w:rsidRPr="00AB1C69" w:rsidRDefault="000D1D51" w:rsidP="007A3654">
      <w:pPr>
        <w:jc w:val="both"/>
        <w:rPr>
          <w:rFonts w:ascii="Arial" w:hAnsi="Arial" w:cs="Arial"/>
          <w:sz w:val="20"/>
          <w:szCs w:val="24"/>
        </w:rPr>
      </w:pPr>
      <w:r w:rsidRPr="00AB1C69">
        <w:rPr>
          <w:rFonts w:ascii="Arial" w:hAnsi="Arial" w:cs="Arial"/>
          <w:sz w:val="20"/>
          <w:szCs w:val="24"/>
        </w:rPr>
        <w:lastRenderedPageBreak/>
        <w:t>Khan, S.H., Abdul, R., Rozina, S. and Khawaja, T. (2013). The effect of probiotic supplementation on the growth performance, blood biochemistry and immune response of reciprocal F1 cross bred (</w:t>
      </w:r>
      <w:proofErr w:type="gramStart"/>
      <w:r w:rsidRPr="00AB1C69">
        <w:rPr>
          <w:rFonts w:ascii="Arial" w:hAnsi="Arial" w:cs="Arial"/>
          <w:sz w:val="20"/>
          <w:szCs w:val="24"/>
        </w:rPr>
        <w:t>Rhode island</w:t>
      </w:r>
      <w:proofErr w:type="gramEnd"/>
      <w:r w:rsidRPr="00AB1C69">
        <w:rPr>
          <w:rFonts w:ascii="Arial" w:hAnsi="Arial" w:cs="Arial"/>
          <w:sz w:val="20"/>
          <w:szCs w:val="24"/>
        </w:rPr>
        <w:t xml:space="preserve"> Red </w:t>
      </w:r>
      <w:r w:rsidRPr="00AB1C69">
        <w:rPr>
          <w:rFonts w:ascii="Arial" w:eastAsia="SymbolMT" w:hAnsi="Arial" w:cs="Arial"/>
          <w:sz w:val="20"/>
          <w:szCs w:val="24"/>
        </w:rPr>
        <w:t xml:space="preserve"> </w:t>
      </w:r>
      <w:proofErr w:type="spellStart"/>
      <w:r w:rsidRPr="00AB1C69">
        <w:rPr>
          <w:rFonts w:ascii="Arial" w:hAnsi="Arial" w:cs="Arial"/>
          <w:sz w:val="20"/>
          <w:szCs w:val="24"/>
        </w:rPr>
        <w:t>Fayoumi</w:t>
      </w:r>
      <w:proofErr w:type="spellEnd"/>
      <w:r w:rsidRPr="00AB1C69">
        <w:rPr>
          <w:rFonts w:ascii="Arial" w:hAnsi="Arial" w:cs="Arial"/>
          <w:sz w:val="20"/>
          <w:szCs w:val="24"/>
        </w:rPr>
        <w:t xml:space="preserve">) </w:t>
      </w:r>
      <w:proofErr w:type="spellStart"/>
      <w:r w:rsidRPr="00AB1C69">
        <w:rPr>
          <w:rFonts w:ascii="Arial" w:hAnsi="Arial" w:cs="Arial"/>
          <w:sz w:val="20"/>
          <w:szCs w:val="24"/>
        </w:rPr>
        <w:t>cockrels</w:t>
      </w:r>
      <w:proofErr w:type="spellEnd"/>
      <w:r w:rsidRPr="00AB1C69">
        <w:rPr>
          <w:rFonts w:ascii="Arial" w:hAnsi="Arial" w:cs="Arial"/>
          <w:sz w:val="20"/>
          <w:szCs w:val="24"/>
        </w:rPr>
        <w:t>. Journal of Applied Animal Research. 41: 417-426.</w:t>
      </w:r>
    </w:p>
    <w:p w:rsidR="000D1D51" w:rsidRPr="00AB1C69" w:rsidRDefault="000D1D51" w:rsidP="007A3654">
      <w:pPr>
        <w:jc w:val="both"/>
        <w:rPr>
          <w:rFonts w:ascii="Arial" w:hAnsi="Arial" w:cs="Arial"/>
          <w:sz w:val="20"/>
        </w:rPr>
      </w:pPr>
      <w:r w:rsidRPr="00AB1C69">
        <w:rPr>
          <w:rFonts w:ascii="Arial" w:hAnsi="Arial" w:cs="Arial"/>
          <w:sz w:val="20"/>
        </w:rPr>
        <w:t xml:space="preserve">Malik, H.M., </w:t>
      </w:r>
      <w:proofErr w:type="spellStart"/>
      <w:r w:rsidRPr="00AB1C69">
        <w:rPr>
          <w:rFonts w:ascii="Arial" w:hAnsi="Arial" w:cs="Arial"/>
          <w:sz w:val="20"/>
        </w:rPr>
        <w:t>Haq</w:t>
      </w:r>
      <w:proofErr w:type="spellEnd"/>
      <w:r w:rsidRPr="00AB1C69">
        <w:rPr>
          <w:rFonts w:ascii="Arial" w:hAnsi="Arial" w:cs="Arial"/>
          <w:sz w:val="20"/>
        </w:rPr>
        <w:t xml:space="preserve">, E.V. and Ahmad, F. (2008). Effect of age and body weight at </w:t>
      </w:r>
      <w:proofErr w:type="spellStart"/>
      <w:r w:rsidRPr="00AB1C69">
        <w:rPr>
          <w:rFonts w:ascii="Arial" w:hAnsi="Arial" w:cs="Arial"/>
          <w:sz w:val="20"/>
        </w:rPr>
        <w:t>molting</w:t>
      </w:r>
      <w:proofErr w:type="spellEnd"/>
      <w:r w:rsidRPr="00AB1C69">
        <w:rPr>
          <w:rFonts w:ascii="Arial" w:hAnsi="Arial" w:cs="Arial"/>
          <w:sz w:val="20"/>
        </w:rPr>
        <w:t xml:space="preserve"> on the performance of broiler breeder hens under environmental control house in Pakistan. Pakistan Veterinary Journal. 28: 189-193.</w:t>
      </w:r>
    </w:p>
    <w:p w:rsidR="000D1D51" w:rsidRPr="00AB1C69" w:rsidRDefault="000D1D51" w:rsidP="007A3654">
      <w:pPr>
        <w:jc w:val="both"/>
        <w:rPr>
          <w:rFonts w:ascii="Arial" w:hAnsi="Arial" w:cs="Arial"/>
          <w:sz w:val="20"/>
        </w:rPr>
      </w:pPr>
      <w:proofErr w:type="spellStart"/>
      <w:r w:rsidRPr="00AB1C69">
        <w:rPr>
          <w:rFonts w:ascii="Arial" w:hAnsi="Arial" w:cs="Arial"/>
          <w:sz w:val="20"/>
        </w:rPr>
        <w:t>Murugan</w:t>
      </w:r>
      <w:proofErr w:type="spellEnd"/>
      <w:r w:rsidRPr="00AB1C69">
        <w:rPr>
          <w:rFonts w:ascii="Arial" w:hAnsi="Arial" w:cs="Arial"/>
          <w:sz w:val="20"/>
        </w:rPr>
        <w:t xml:space="preserve">, M., </w:t>
      </w:r>
      <w:proofErr w:type="spellStart"/>
      <w:r w:rsidRPr="00AB1C69">
        <w:rPr>
          <w:rFonts w:ascii="Arial" w:hAnsi="Arial" w:cs="Arial"/>
          <w:sz w:val="20"/>
        </w:rPr>
        <w:t>Durairajan</w:t>
      </w:r>
      <w:proofErr w:type="spellEnd"/>
      <w:r w:rsidRPr="00AB1C69">
        <w:rPr>
          <w:rFonts w:ascii="Arial" w:hAnsi="Arial" w:cs="Arial"/>
          <w:sz w:val="20"/>
        </w:rPr>
        <w:t xml:space="preserve">, R. and </w:t>
      </w:r>
      <w:proofErr w:type="spellStart"/>
      <w:r w:rsidRPr="00AB1C69">
        <w:rPr>
          <w:rFonts w:ascii="Arial" w:hAnsi="Arial" w:cs="Arial"/>
          <w:sz w:val="20"/>
        </w:rPr>
        <w:t>Devendran</w:t>
      </w:r>
      <w:proofErr w:type="spellEnd"/>
      <w:r w:rsidRPr="00AB1C69">
        <w:rPr>
          <w:rFonts w:ascii="Arial" w:hAnsi="Arial" w:cs="Arial"/>
          <w:sz w:val="20"/>
        </w:rPr>
        <w:t>, P. (2022). Effect of Probiotic (</w:t>
      </w:r>
      <w:proofErr w:type="spellStart"/>
      <w:r w:rsidRPr="00AB1C69">
        <w:rPr>
          <w:rFonts w:ascii="Arial" w:hAnsi="Arial" w:cs="Arial"/>
          <w:sz w:val="20"/>
        </w:rPr>
        <w:t>Probeads</w:t>
      </w:r>
      <w:proofErr w:type="spellEnd"/>
      <w:r w:rsidRPr="00AB1C69">
        <w:rPr>
          <w:rFonts w:ascii="Arial" w:hAnsi="Arial" w:cs="Arial"/>
          <w:sz w:val="20"/>
        </w:rPr>
        <w:t xml:space="preserve"> EC) supplement on the growth performance of Aseel cross chicks. Agricultural Science Digest. 1-3. </w:t>
      </w:r>
      <w:proofErr w:type="spellStart"/>
      <w:r w:rsidRPr="00AB1C69">
        <w:rPr>
          <w:rFonts w:ascii="Arial" w:hAnsi="Arial" w:cs="Arial"/>
          <w:sz w:val="20"/>
        </w:rPr>
        <w:t>doi</w:t>
      </w:r>
      <w:proofErr w:type="spellEnd"/>
      <w:r w:rsidRPr="00AB1C69">
        <w:rPr>
          <w:rFonts w:ascii="Arial" w:hAnsi="Arial" w:cs="Arial"/>
          <w:sz w:val="20"/>
        </w:rPr>
        <w:t>: 10.18805/</w:t>
      </w:r>
      <w:proofErr w:type="gramStart"/>
      <w:r w:rsidRPr="00AB1C69">
        <w:rPr>
          <w:rFonts w:ascii="Arial" w:hAnsi="Arial" w:cs="Arial"/>
          <w:sz w:val="20"/>
        </w:rPr>
        <w:t>ag.D</w:t>
      </w:r>
      <w:proofErr w:type="gramEnd"/>
      <w:r w:rsidRPr="00AB1C69">
        <w:rPr>
          <w:rFonts w:ascii="Arial" w:hAnsi="Arial" w:cs="Arial"/>
          <w:sz w:val="20"/>
        </w:rPr>
        <w:t>-5464</w:t>
      </w:r>
    </w:p>
    <w:p w:rsidR="000D1D51" w:rsidRPr="00AB1C69" w:rsidRDefault="000D1D51" w:rsidP="007A3654">
      <w:pPr>
        <w:jc w:val="both"/>
        <w:rPr>
          <w:rFonts w:ascii="Arial" w:hAnsi="Arial" w:cs="Arial"/>
          <w:sz w:val="20"/>
        </w:rPr>
      </w:pPr>
      <w:proofErr w:type="spellStart"/>
      <w:r w:rsidRPr="00AB1C69">
        <w:rPr>
          <w:rFonts w:ascii="Arial" w:hAnsi="Arial" w:cs="Arial"/>
          <w:sz w:val="20"/>
        </w:rPr>
        <w:t>Shibi</w:t>
      </w:r>
      <w:proofErr w:type="spellEnd"/>
      <w:r w:rsidRPr="00AB1C69">
        <w:rPr>
          <w:rFonts w:ascii="Arial" w:hAnsi="Arial" w:cs="Arial"/>
          <w:sz w:val="20"/>
        </w:rPr>
        <w:t xml:space="preserve">, T.K. and </w:t>
      </w:r>
      <w:proofErr w:type="spellStart"/>
      <w:r w:rsidRPr="00AB1C69">
        <w:rPr>
          <w:rFonts w:ascii="Arial" w:hAnsi="Arial" w:cs="Arial"/>
          <w:sz w:val="20"/>
        </w:rPr>
        <w:t>Jayalaitha</w:t>
      </w:r>
      <w:proofErr w:type="spellEnd"/>
      <w:r w:rsidRPr="00AB1C69">
        <w:rPr>
          <w:rFonts w:ascii="Arial" w:hAnsi="Arial" w:cs="Arial"/>
          <w:sz w:val="20"/>
        </w:rPr>
        <w:t xml:space="preserve">, V. (2022). Effect of targeted delivery of </w:t>
      </w:r>
      <w:proofErr w:type="spellStart"/>
      <w:r w:rsidRPr="00AB1C69">
        <w:rPr>
          <w:rFonts w:ascii="Arial" w:hAnsi="Arial" w:cs="Arial"/>
          <w:sz w:val="20"/>
        </w:rPr>
        <w:t>Probeads</w:t>
      </w:r>
      <w:proofErr w:type="spellEnd"/>
      <w:r w:rsidRPr="00AB1C69">
        <w:rPr>
          <w:rFonts w:ascii="Arial" w:hAnsi="Arial" w:cs="Arial"/>
          <w:sz w:val="20"/>
        </w:rPr>
        <w:t>-EC on the production performance of Aseel cross chicks. J. Vet. Anim. Sci. 53(1): 94-97.</w:t>
      </w:r>
    </w:p>
    <w:p w:rsidR="000D1D51" w:rsidRPr="00AB1C69" w:rsidRDefault="000D1D51" w:rsidP="007A3654">
      <w:pPr>
        <w:jc w:val="both"/>
        <w:rPr>
          <w:rFonts w:ascii="Arial" w:hAnsi="Arial" w:cs="Arial"/>
          <w:sz w:val="20"/>
        </w:rPr>
      </w:pPr>
      <w:r w:rsidRPr="00AB1C69">
        <w:rPr>
          <w:rFonts w:ascii="Arial" w:hAnsi="Arial" w:cs="Arial"/>
          <w:sz w:val="20"/>
        </w:rPr>
        <w:t xml:space="preserve">Swain, B.K., Naik, P.K., </w:t>
      </w:r>
      <w:proofErr w:type="spellStart"/>
      <w:r w:rsidRPr="00AB1C69">
        <w:rPr>
          <w:rFonts w:ascii="Arial" w:hAnsi="Arial" w:cs="Arial"/>
          <w:sz w:val="20"/>
        </w:rPr>
        <w:t>Chakurkar</w:t>
      </w:r>
      <w:proofErr w:type="spellEnd"/>
      <w:r w:rsidRPr="00AB1C69">
        <w:rPr>
          <w:rFonts w:ascii="Arial" w:hAnsi="Arial" w:cs="Arial"/>
          <w:sz w:val="20"/>
        </w:rPr>
        <w:t xml:space="preserve">, E.B. and Singh, N.P. (2016). Effect of supplementation of Probiotic on the performance of </w:t>
      </w:r>
      <w:proofErr w:type="spellStart"/>
      <w:r w:rsidRPr="00AB1C69">
        <w:rPr>
          <w:rFonts w:ascii="Arial" w:hAnsi="Arial" w:cs="Arial"/>
          <w:sz w:val="20"/>
        </w:rPr>
        <w:t>vanaraja</w:t>
      </w:r>
      <w:proofErr w:type="spellEnd"/>
      <w:r w:rsidRPr="00AB1C69">
        <w:rPr>
          <w:rFonts w:ascii="Arial" w:hAnsi="Arial" w:cs="Arial"/>
          <w:sz w:val="20"/>
        </w:rPr>
        <w:t xml:space="preserve"> chicks. Indian J. </w:t>
      </w:r>
      <w:proofErr w:type="spellStart"/>
      <w:r w:rsidRPr="00AB1C69">
        <w:rPr>
          <w:rFonts w:ascii="Arial" w:hAnsi="Arial" w:cs="Arial"/>
          <w:sz w:val="20"/>
        </w:rPr>
        <w:t>Anim</w:t>
      </w:r>
      <w:proofErr w:type="spellEnd"/>
      <w:r w:rsidRPr="00AB1C69">
        <w:rPr>
          <w:rFonts w:ascii="Arial" w:hAnsi="Arial" w:cs="Arial"/>
          <w:sz w:val="20"/>
        </w:rPr>
        <w:t xml:space="preserve"> </w:t>
      </w:r>
      <w:proofErr w:type="spellStart"/>
      <w:r w:rsidRPr="00AB1C69">
        <w:rPr>
          <w:rFonts w:ascii="Arial" w:hAnsi="Arial" w:cs="Arial"/>
          <w:sz w:val="20"/>
        </w:rPr>
        <w:t>Nutr</w:t>
      </w:r>
      <w:proofErr w:type="spellEnd"/>
      <w:r w:rsidRPr="00AB1C69">
        <w:rPr>
          <w:rFonts w:ascii="Arial" w:hAnsi="Arial" w:cs="Arial"/>
          <w:sz w:val="20"/>
        </w:rPr>
        <w:t>. 33(3): 353-356.</w:t>
      </w:r>
    </w:p>
    <w:p w:rsidR="000D1D51" w:rsidRPr="00AB1C69" w:rsidRDefault="000D1D51" w:rsidP="007A3654">
      <w:pPr>
        <w:jc w:val="both"/>
        <w:rPr>
          <w:rFonts w:ascii="Arial" w:hAnsi="Arial" w:cs="Arial"/>
          <w:sz w:val="20"/>
        </w:rPr>
      </w:pPr>
      <w:proofErr w:type="spellStart"/>
      <w:r w:rsidRPr="00AB1C69">
        <w:rPr>
          <w:rFonts w:ascii="Arial" w:hAnsi="Arial" w:cs="Arial"/>
          <w:sz w:val="20"/>
        </w:rPr>
        <w:t>Thangadurai</w:t>
      </w:r>
      <w:proofErr w:type="spellEnd"/>
      <w:r w:rsidRPr="00AB1C69">
        <w:rPr>
          <w:rFonts w:ascii="Arial" w:hAnsi="Arial" w:cs="Arial"/>
          <w:sz w:val="20"/>
        </w:rPr>
        <w:t xml:space="preserve">, R. and </w:t>
      </w:r>
      <w:proofErr w:type="spellStart"/>
      <w:r w:rsidRPr="00AB1C69">
        <w:rPr>
          <w:rFonts w:ascii="Arial" w:hAnsi="Arial" w:cs="Arial"/>
          <w:sz w:val="20"/>
        </w:rPr>
        <w:t>Venilla</w:t>
      </w:r>
      <w:proofErr w:type="spellEnd"/>
      <w:r w:rsidRPr="00AB1C69">
        <w:rPr>
          <w:rFonts w:ascii="Arial" w:hAnsi="Arial" w:cs="Arial"/>
          <w:sz w:val="20"/>
        </w:rPr>
        <w:t xml:space="preserve">, M.A. (2022). </w:t>
      </w:r>
      <w:proofErr w:type="spellStart"/>
      <w:r w:rsidRPr="00AB1C69">
        <w:rPr>
          <w:rFonts w:ascii="Arial" w:hAnsi="Arial" w:cs="Arial"/>
          <w:sz w:val="20"/>
        </w:rPr>
        <w:t>Probeads</w:t>
      </w:r>
      <w:proofErr w:type="spellEnd"/>
      <w:r w:rsidRPr="00AB1C69">
        <w:rPr>
          <w:rFonts w:ascii="Arial" w:hAnsi="Arial" w:cs="Arial"/>
          <w:sz w:val="20"/>
        </w:rPr>
        <w:t xml:space="preserve"> EC on performance of TANUVAS Aseel chicken rearing. </w:t>
      </w:r>
      <w:proofErr w:type="spellStart"/>
      <w:r w:rsidRPr="00AB1C69">
        <w:rPr>
          <w:rFonts w:ascii="Arial" w:hAnsi="Arial" w:cs="Arial"/>
          <w:sz w:val="20"/>
        </w:rPr>
        <w:t>Biotica</w:t>
      </w:r>
      <w:proofErr w:type="spellEnd"/>
      <w:r w:rsidRPr="00AB1C69">
        <w:rPr>
          <w:rFonts w:ascii="Arial" w:hAnsi="Arial" w:cs="Arial"/>
          <w:sz w:val="20"/>
        </w:rPr>
        <w:t xml:space="preserve"> Research.4(11): 747-749. </w:t>
      </w:r>
    </w:p>
    <w:p w:rsidR="000D1D51" w:rsidRPr="00AB1C69" w:rsidRDefault="000D1D51" w:rsidP="007A3654">
      <w:pPr>
        <w:jc w:val="both"/>
        <w:rPr>
          <w:rFonts w:ascii="Arial" w:hAnsi="Arial" w:cs="Arial"/>
          <w:sz w:val="20"/>
          <w:szCs w:val="18"/>
        </w:rPr>
      </w:pPr>
      <w:r w:rsidRPr="00AB1C69">
        <w:rPr>
          <w:rFonts w:ascii="Arial" w:hAnsi="Arial" w:cs="Arial"/>
          <w:sz w:val="20"/>
          <w:szCs w:val="18"/>
        </w:rPr>
        <w:t xml:space="preserve">Wolfenden, R., </w:t>
      </w:r>
      <w:proofErr w:type="spellStart"/>
      <w:r w:rsidRPr="00AB1C69">
        <w:rPr>
          <w:rFonts w:ascii="Arial" w:hAnsi="Arial" w:cs="Arial"/>
          <w:sz w:val="20"/>
          <w:szCs w:val="18"/>
        </w:rPr>
        <w:t>Pumford</w:t>
      </w:r>
      <w:proofErr w:type="spellEnd"/>
      <w:r w:rsidRPr="00AB1C69">
        <w:rPr>
          <w:rFonts w:ascii="Arial" w:hAnsi="Arial" w:cs="Arial"/>
          <w:sz w:val="20"/>
          <w:szCs w:val="18"/>
        </w:rPr>
        <w:t xml:space="preserve">, N., Morgan, M., </w:t>
      </w:r>
      <w:proofErr w:type="spellStart"/>
      <w:r w:rsidRPr="00AB1C69">
        <w:rPr>
          <w:rFonts w:ascii="Arial" w:hAnsi="Arial" w:cs="Arial"/>
          <w:sz w:val="20"/>
          <w:szCs w:val="18"/>
        </w:rPr>
        <w:t>Shivaramaiah</w:t>
      </w:r>
      <w:proofErr w:type="spellEnd"/>
      <w:r w:rsidRPr="00AB1C69">
        <w:rPr>
          <w:rFonts w:ascii="Arial" w:hAnsi="Arial" w:cs="Arial"/>
          <w:sz w:val="20"/>
          <w:szCs w:val="18"/>
        </w:rPr>
        <w:t xml:space="preserve">, S., Wolfenden, A., Tellez, G. and Hargis, B. 2010. Evaluation of a screening and selection method for </w:t>
      </w:r>
      <w:r w:rsidRPr="00AB1C69">
        <w:rPr>
          <w:rFonts w:ascii="Arial" w:hAnsi="Arial" w:cs="Arial"/>
          <w:i/>
          <w:iCs/>
          <w:sz w:val="20"/>
          <w:szCs w:val="18"/>
        </w:rPr>
        <w:t xml:space="preserve">Bacillus </w:t>
      </w:r>
      <w:r w:rsidRPr="00AB1C69">
        <w:rPr>
          <w:rFonts w:ascii="Arial" w:hAnsi="Arial" w:cs="Arial"/>
          <w:sz w:val="20"/>
          <w:szCs w:val="18"/>
        </w:rPr>
        <w:t xml:space="preserve">isolates for use as effective direct fed microbials in commercial poultry. </w:t>
      </w:r>
      <w:r w:rsidRPr="00AB1C69">
        <w:rPr>
          <w:rFonts w:ascii="Arial" w:hAnsi="Arial" w:cs="Arial"/>
          <w:i/>
          <w:iCs/>
          <w:sz w:val="20"/>
          <w:szCs w:val="18"/>
        </w:rPr>
        <w:t xml:space="preserve">Int. J. </w:t>
      </w:r>
      <w:proofErr w:type="spellStart"/>
      <w:r w:rsidRPr="00AB1C69">
        <w:rPr>
          <w:rFonts w:ascii="Arial" w:hAnsi="Arial" w:cs="Arial"/>
          <w:i/>
          <w:iCs/>
          <w:sz w:val="20"/>
          <w:szCs w:val="18"/>
        </w:rPr>
        <w:t>Poult</w:t>
      </w:r>
      <w:proofErr w:type="spellEnd"/>
      <w:r w:rsidRPr="00AB1C69">
        <w:rPr>
          <w:rFonts w:ascii="Arial" w:hAnsi="Arial" w:cs="Arial"/>
          <w:i/>
          <w:iCs/>
          <w:sz w:val="20"/>
          <w:szCs w:val="18"/>
        </w:rPr>
        <w:t>. Sci</w:t>
      </w:r>
      <w:r w:rsidRPr="00AB1C69">
        <w:rPr>
          <w:rFonts w:ascii="Arial" w:hAnsi="Arial" w:cs="Arial"/>
          <w:sz w:val="20"/>
          <w:szCs w:val="18"/>
        </w:rPr>
        <w:t xml:space="preserve">. </w:t>
      </w:r>
      <w:r w:rsidRPr="00AB1C69">
        <w:rPr>
          <w:rFonts w:ascii="Arial" w:hAnsi="Arial" w:cs="Arial"/>
          <w:bCs/>
          <w:sz w:val="20"/>
          <w:szCs w:val="18"/>
        </w:rPr>
        <w:t>9</w:t>
      </w:r>
      <w:r w:rsidRPr="00AB1C69">
        <w:rPr>
          <w:rFonts w:ascii="Arial" w:hAnsi="Arial" w:cs="Arial"/>
          <w:sz w:val="20"/>
          <w:szCs w:val="18"/>
        </w:rPr>
        <w:t>: 317-323</w:t>
      </w:r>
    </w:p>
    <w:p w:rsidR="000D1D51" w:rsidRPr="00AB1C69" w:rsidRDefault="000D1D51" w:rsidP="007A3654">
      <w:pPr>
        <w:jc w:val="both"/>
        <w:rPr>
          <w:rFonts w:ascii="Arial" w:hAnsi="Arial" w:cs="Arial"/>
          <w:sz w:val="20"/>
        </w:rPr>
      </w:pPr>
      <w:r w:rsidRPr="00AB1C69">
        <w:rPr>
          <w:rFonts w:ascii="Arial" w:hAnsi="Arial" w:cs="Arial"/>
          <w:sz w:val="20"/>
        </w:rPr>
        <w:t xml:space="preserve">Yan, W., Jing, S., Hang, Z., </w:t>
      </w:r>
      <w:proofErr w:type="spellStart"/>
      <w:r w:rsidRPr="00AB1C69">
        <w:rPr>
          <w:rFonts w:ascii="Arial" w:hAnsi="Arial" w:cs="Arial"/>
          <w:sz w:val="20"/>
        </w:rPr>
        <w:t>Nianzhen</w:t>
      </w:r>
      <w:proofErr w:type="spellEnd"/>
      <w:r w:rsidRPr="00AB1C69">
        <w:rPr>
          <w:rFonts w:ascii="Arial" w:hAnsi="Arial" w:cs="Arial"/>
          <w:sz w:val="20"/>
        </w:rPr>
        <w:t xml:space="preserve">, L., </w:t>
      </w:r>
      <w:proofErr w:type="spellStart"/>
      <w:r w:rsidRPr="00AB1C69">
        <w:rPr>
          <w:rFonts w:ascii="Arial" w:hAnsi="Arial" w:cs="Arial"/>
          <w:sz w:val="20"/>
        </w:rPr>
        <w:t>Hengoyoung</w:t>
      </w:r>
      <w:proofErr w:type="spellEnd"/>
      <w:r w:rsidRPr="00AB1C69">
        <w:rPr>
          <w:rFonts w:ascii="Arial" w:hAnsi="Arial" w:cs="Arial"/>
          <w:sz w:val="20"/>
        </w:rPr>
        <w:t xml:space="preserve">, X., Qing, Z. and Yiping, L. (2017). Effect of Probiotic on the meal favour and gut microbes of chicken. Scientific Reports. 7: 6400. </w:t>
      </w:r>
      <w:proofErr w:type="spellStart"/>
      <w:r w:rsidRPr="00AB1C69">
        <w:rPr>
          <w:rFonts w:ascii="Arial" w:hAnsi="Arial" w:cs="Arial"/>
          <w:sz w:val="20"/>
        </w:rPr>
        <w:t>doi</w:t>
      </w:r>
      <w:proofErr w:type="spellEnd"/>
      <w:r w:rsidRPr="00AB1C69">
        <w:rPr>
          <w:rFonts w:ascii="Arial" w:hAnsi="Arial" w:cs="Arial"/>
          <w:sz w:val="20"/>
        </w:rPr>
        <w:t>: 10.1038/s41598-017-06677-z.</w:t>
      </w:r>
    </w:p>
    <w:p w:rsidR="000D1D51" w:rsidRPr="00AB1C69" w:rsidRDefault="000D1D51" w:rsidP="007A3654">
      <w:pPr>
        <w:jc w:val="both"/>
        <w:rPr>
          <w:rFonts w:ascii="Arial" w:hAnsi="Arial" w:cs="Arial"/>
          <w:sz w:val="20"/>
        </w:rPr>
      </w:pPr>
      <w:r w:rsidRPr="00AB1C69">
        <w:rPr>
          <w:rFonts w:ascii="Arial" w:hAnsi="Arial" w:cs="Arial"/>
          <w:sz w:val="20"/>
        </w:rPr>
        <w:t>Yadav, S. and Jha, R. (2019). Strategies to modulate the intestinal microbiota and their effects on nutrient utilization, performance and health of poultry. J. Anim. S</w:t>
      </w:r>
    </w:p>
    <w:p w:rsidR="000D1D51" w:rsidRPr="00AB1C69" w:rsidRDefault="000D1D51" w:rsidP="007A3654">
      <w:pPr>
        <w:jc w:val="both"/>
        <w:rPr>
          <w:rFonts w:ascii="Arial" w:hAnsi="Arial" w:cs="Arial"/>
          <w:sz w:val="20"/>
          <w:szCs w:val="18"/>
        </w:rPr>
      </w:pPr>
      <w:r w:rsidRPr="00AB1C69">
        <w:rPr>
          <w:rFonts w:ascii="Arial" w:hAnsi="Arial" w:cs="Arial"/>
          <w:sz w:val="20"/>
          <w:szCs w:val="18"/>
        </w:rPr>
        <w:t xml:space="preserve">Zhen, W., Shao, Y., Gong, X., Wu, Y., </w:t>
      </w:r>
      <w:proofErr w:type="spellStart"/>
      <w:proofErr w:type="gramStart"/>
      <w:r w:rsidRPr="00AB1C69">
        <w:rPr>
          <w:rFonts w:ascii="Arial" w:hAnsi="Arial" w:cs="Arial"/>
          <w:sz w:val="20"/>
          <w:szCs w:val="18"/>
        </w:rPr>
        <w:t>Geng,Y</w:t>
      </w:r>
      <w:proofErr w:type="spellEnd"/>
      <w:r w:rsidRPr="00AB1C69">
        <w:rPr>
          <w:rFonts w:ascii="Arial" w:hAnsi="Arial" w:cs="Arial"/>
          <w:sz w:val="20"/>
          <w:szCs w:val="18"/>
        </w:rPr>
        <w:t>.</w:t>
      </w:r>
      <w:proofErr w:type="gramEnd"/>
      <w:r w:rsidRPr="00AB1C69">
        <w:rPr>
          <w:rFonts w:ascii="Arial" w:hAnsi="Arial" w:cs="Arial"/>
          <w:sz w:val="20"/>
          <w:szCs w:val="18"/>
        </w:rPr>
        <w:t xml:space="preserve">, Wang, Z. and Guo, Y. 2018. Effect of dietary Bacillus </w:t>
      </w:r>
      <w:proofErr w:type="spellStart"/>
      <w:r w:rsidRPr="00AB1C69">
        <w:rPr>
          <w:rFonts w:ascii="Arial" w:hAnsi="Arial" w:cs="Arial"/>
          <w:sz w:val="20"/>
          <w:szCs w:val="18"/>
        </w:rPr>
        <w:t>coagulans</w:t>
      </w:r>
      <w:proofErr w:type="spellEnd"/>
      <w:r w:rsidRPr="00AB1C69">
        <w:rPr>
          <w:rFonts w:ascii="Arial" w:hAnsi="Arial" w:cs="Arial"/>
          <w:sz w:val="20"/>
          <w:szCs w:val="18"/>
        </w:rPr>
        <w:t xml:space="preserve"> supplementation on growth performance and immune responses of broiler chickens challenged by </w:t>
      </w:r>
      <w:r w:rsidRPr="00AB1C69">
        <w:rPr>
          <w:rFonts w:ascii="Arial" w:hAnsi="Arial" w:cs="Arial"/>
          <w:i/>
          <w:iCs/>
          <w:sz w:val="20"/>
          <w:szCs w:val="18"/>
        </w:rPr>
        <w:t>Salmonella</w:t>
      </w:r>
      <w:r w:rsidRPr="00AB1C69">
        <w:rPr>
          <w:rFonts w:ascii="Arial" w:hAnsi="Arial" w:cs="Arial"/>
          <w:sz w:val="20"/>
          <w:szCs w:val="18"/>
        </w:rPr>
        <w:t xml:space="preserve"> </w:t>
      </w:r>
      <w:r w:rsidRPr="00AB1C69">
        <w:rPr>
          <w:rFonts w:ascii="Arial" w:hAnsi="Arial" w:cs="Arial"/>
          <w:i/>
          <w:iCs/>
          <w:sz w:val="20"/>
          <w:szCs w:val="18"/>
        </w:rPr>
        <w:t>enteritidis</w:t>
      </w:r>
      <w:r w:rsidRPr="00AB1C69">
        <w:rPr>
          <w:rFonts w:ascii="Arial" w:hAnsi="Arial" w:cs="Arial"/>
          <w:sz w:val="20"/>
          <w:szCs w:val="18"/>
        </w:rPr>
        <w:t xml:space="preserve">. </w:t>
      </w:r>
      <w:proofErr w:type="spellStart"/>
      <w:r w:rsidRPr="00AB1C69">
        <w:rPr>
          <w:rFonts w:ascii="Arial" w:hAnsi="Arial" w:cs="Arial"/>
          <w:i/>
          <w:iCs/>
          <w:sz w:val="20"/>
          <w:szCs w:val="18"/>
        </w:rPr>
        <w:t>Poult</w:t>
      </w:r>
      <w:proofErr w:type="spellEnd"/>
      <w:r w:rsidRPr="00AB1C69">
        <w:rPr>
          <w:rFonts w:ascii="Arial" w:hAnsi="Arial" w:cs="Arial"/>
          <w:i/>
          <w:iCs/>
          <w:sz w:val="20"/>
          <w:szCs w:val="18"/>
        </w:rPr>
        <w:t xml:space="preserve">. Sci. </w:t>
      </w:r>
      <w:r w:rsidRPr="00AB1C69">
        <w:rPr>
          <w:rFonts w:ascii="Arial" w:hAnsi="Arial" w:cs="Arial"/>
          <w:bCs/>
          <w:sz w:val="20"/>
          <w:szCs w:val="18"/>
        </w:rPr>
        <w:t>97</w:t>
      </w:r>
      <w:r w:rsidRPr="00AB1C69">
        <w:rPr>
          <w:rFonts w:ascii="Arial" w:hAnsi="Arial" w:cs="Arial"/>
          <w:sz w:val="20"/>
          <w:szCs w:val="18"/>
        </w:rPr>
        <w:t>:2654–2666</w:t>
      </w:r>
    </w:p>
    <w:p w:rsidR="00E172F3" w:rsidRPr="005669A5" w:rsidRDefault="00E172F3" w:rsidP="005935B6"/>
    <w:sectPr w:rsidR="00E172F3" w:rsidRPr="005669A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0CA" w:rsidRDefault="004970CA" w:rsidP="00C17612">
      <w:pPr>
        <w:spacing w:after="0" w:line="240" w:lineRule="auto"/>
      </w:pPr>
      <w:r>
        <w:separator/>
      </w:r>
    </w:p>
  </w:endnote>
  <w:endnote w:type="continuationSeparator" w:id="0">
    <w:p w:rsidR="004970CA" w:rsidRDefault="004970CA" w:rsidP="00C1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43" w:rsidRDefault="00405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43" w:rsidRDefault="00405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43" w:rsidRDefault="00405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0CA" w:rsidRDefault="004970CA" w:rsidP="00C17612">
      <w:pPr>
        <w:spacing w:after="0" w:line="240" w:lineRule="auto"/>
      </w:pPr>
      <w:r>
        <w:separator/>
      </w:r>
    </w:p>
  </w:footnote>
  <w:footnote w:type="continuationSeparator" w:id="0">
    <w:p w:rsidR="004970CA" w:rsidRDefault="004970CA" w:rsidP="00C17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43" w:rsidRDefault="004057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75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43" w:rsidRDefault="004057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75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43" w:rsidRDefault="004057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75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31A61"/>
    <w:multiLevelType w:val="hybridMultilevel"/>
    <w:tmpl w:val="83503C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23E"/>
    <w:rsid w:val="00042045"/>
    <w:rsid w:val="000D1D51"/>
    <w:rsid w:val="00103EE4"/>
    <w:rsid w:val="00127393"/>
    <w:rsid w:val="00162672"/>
    <w:rsid w:val="00171CC4"/>
    <w:rsid w:val="00274566"/>
    <w:rsid w:val="00285CBF"/>
    <w:rsid w:val="002A0A19"/>
    <w:rsid w:val="002E7205"/>
    <w:rsid w:val="003F6684"/>
    <w:rsid w:val="00405743"/>
    <w:rsid w:val="004970CA"/>
    <w:rsid w:val="004F4B30"/>
    <w:rsid w:val="00510D5D"/>
    <w:rsid w:val="00526A3B"/>
    <w:rsid w:val="005669A5"/>
    <w:rsid w:val="005935B6"/>
    <w:rsid w:val="005C685B"/>
    <w:rsid w:val="005E52CB"/>
    <w:rsid w:val="00660875"/>
    <w:rsid w:val="0066427D"/>
    <w:rsid w:val="006927DD"/>
    <w:rsid w:val="006B2A7D"/>
    <w:rsid w:val="0071768C"/>
    <w:rsid w:val="007A3654"/>
    <w:rsid w:val="007C79CA"/>
    <w:rsid w:val="008114F9"/>
    <w:rsid w:val="0084723B"/>
    <w:rsid w:val="00872C11"/>
    <w:rsid w:val="00874EB0"/>
    <w:rsid w:val="008C28DE"/>
    <w:rsid w:val="0097794F"/>
    <w:rsid w:val="00A0143D"/>
    <w:rsid w:val="00A07D08"/>
    <w:rsid w:val="00AB1C69"/>
    <w:rsid w:val="00B00BF0"/>
    <w:rsid w:val="00B37360"/>
    <w:rsid w:val="00B47330"/>
    <w:rsid w:val="00B64DEE"/>
    <w:rsid w:val="00B95A7F"/>
    <w:rsid w:val="00C17612"/>
    <w:rsid w:val="00C235BE"/>
    <w:rsid w:val="00C65F16"/>
    <w:rsid w:val="00CA7587"/>
    <w:rsid w:val="00DA278D"/>
    <w:rsid w:val="00DA3DE2"/>
    <w:rsid w:val="00E172F3"/>
    <w:rsid w:val="00E55E7E"/>
    <w:rsid w:val="00F50B65"/>
    <w:rsid w:val="00F7123E"/>
    <w:rsid w:val="00F75A53"/>
    <w:rsid w:val="00FA38A9"/>
    <w:rsid w:val="00FD6B97"/>
    <w:rsid w:val="00FE5D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1D20F1"/>
  <w15:docId w15:val="{EC5F634E-C78B-4438-A317-702DAF07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1D5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D1D51"/>
    <w:rPr>
      <w:b/>
      <w:bCs/>
    </w:rPr>
  </w:style>
  <w:style w:type="character" w:styleId="Emphasis">
    <w:name w:val="Emphasis"/>
    <w:basedOn w:val="DefaultParagraphFont"/>
    <w:uiPriority w:val="20"/>
    <w:qFormat/>
    <w:rsid w:val="000D1D51"/>
    <w:rPr>
      <w:i/>
      <w:iCs/>
    </w:rPr>
  </w:style>
  <w:style w:type="paragraph" w:styleId="Header">
    <w:name w:val="header"/>
    <w:basedOn w:val="Normal"/>
    <w:link w:val="HeaderChar"/>
    <w:uiPriority w:val="99"/>
    <w:unhideWhenUsed/>
    <w:rsid w:val="00C17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612"/>
  </w:style>
  <w:style w:type="paragraph" w:styleId="Footer">
    <w:name w:val="footer"/>
    <w:basedOn w:val="Normal"/>
    <w:link w:val="FooterChar"/>
    <w:uiPriority w:val="99"/>
    <w:unhideWhenUsed/>
    <w:rsid w:val="00C17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612"/>
  </w:style>
  <w:style w:type="paragraph" w:customStyle="1" w:styleId="Default">
    <w:name w:val="Default"/>
    <w:rsid w:val="0012739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07D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644068">
      <w:bodyDiv w:val="1"/>
      <w:marLeft w:val="0"/>
      <w:marRight w:val="0"/>
      <w:marTop w:val="0"/>
      <w:marBottom w:val="0"/>
      <w:divBdr>
        <w:top w:val="none" w:sz="0" w:space="0" w:color="auto"/>
        <w:left w:val="none" w:sz="0" w:space="0" w:color="auto"/>
        <w:bottom w:val="none" w:sz="0" w:space="0" w:color="auto"/>
        <w:right w:val="none" w:sz="0" w:space="0" w:color="auto"/>
      </w:divBdr>
      <w:divsChild>
        <w:div w:id="666055424">
          <w:marLeft w:val="0"/>
          <w:marRight w:val="0"/>
          <w:marTop w:val="0"/>
          <w:marBottom w:val="0"/>
          <w:divBdr>
            <w:top w:val="none" w:sz="0" w:space="0" w:color="auto"/>
            <w:left w:val="none" w:sz="0" w:space="0" w:color="auto"/>
            <w:bottom w:val="none" w:sz="0" w:space="0" w:color="auto"/>
            <w:right w:val="none" w:sz="0" w:space="0" w:color="auto"/>
          </w:divBdr>
        </w:div>
        <w:div w:id="789131394">
          <w:marLeft w:val="0"/>
          <w:marRight w:val="0"/>
          <w:marTop w:val="0"/>
          <w:marBottom w:val="0"/>
          <w:divBdr>
            <w:top w:val="none" w:sz="0" w:space="0" w:color="auto"/>
            <w:left w:val="none" w:sz="0" w:space="0" w:color="auto"/>
            <w:bottom w:val="none" w:sz="0" w:space="0" w:color="auto"/>
            <w:right w:val="none" w:sz="0" w:space="0" w:color="auto"/>
          </w:divBdr>
        </w:div>
        <w:div w:id="57942384">
          <w:marLeft w:val="0"/>
          <w:marRight w:val="0"/>
          <w:marTop w:val="0"/>
          <w:marBottom w:val="0"/>
          <w:divBdr>
            <w:top w:val="none" w:sz="0" w:space="0" w:color="auto"/>
            <w:left w:val="none" w:sz="0" w:space="0" w:color="auto"/>
            <w:bottom w:val="none" w:sz="0" w:space="0" w:color="auto"/>
            <w:right w:val="none" w:sz="0" w:space="0" w:color="auto"/>
          </w:divBdr>
        </w:div>
        <w:div w:id="1646467123">
          <w:marLeft w:val="0"/>
          <w:marRight w:val="0"/>
          <w:marTop w:val="0"/>
          <w:marBottom w:val="0"/>
          <w:divBdr>
            <w:top w:val="none" w:sz="0" w:space="0" w:color="auto"/>
            <w:left w:val="none" w:sz="0" w:space="0" w:color="auto"/>
            <w:bottom w:val="none" w:sz="0" w:space="0" w:color="auto"/>
            <w:right w:val="none" w:sz="0" w:space="0" w:color="auto"/>
          </w:divBdr>
        </w:div>
        <w:div w:id="1969045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New</dc:creator>
  <cp:keywords/>
  <dc:description/>
  <cp:lastModifiedBy>SDI 1084</cp:lastModifiedBy>
  <cp:revision>48</cp:revision>
  <dcterms:created xsi:type="dcterms:W3CDTF">2025-08-04T10:05:00Z</dcterms:created>
  <dcterms:modified xsi:type="dcterms:W3CDTF">2025-08-05T11:28:00Z</dcterms:modified>
</cp:coreProperties>
</file>