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631E7" w14:textId="77777777" w:rsidR="000C224D" w:rsidRPr="000C224D" w:rsidRDefault="000C224D" w:rsidP="000C224D">
      <w:pPr>
        <w:pStyle w:val="NormalWeb"/>
        <w:spacing w:after="0"/>
        <w:rPr>
          <w:rFonts w:eastAsiaTheme="minorHAnsi"/>
          <w:b/>
          <w:bCs/>
        </w:rPr>
      </w:pPr>
      <w:r w:rsidRPr="000C224D">
        <w:rPr>
          <w:rFonts w:eastAsiaTheme="minorHAnsi"/>
          <w:b/>
        </w:rPr>
        <w:t>Original Research Article</w:t>
      </w:r>
      <w:r w:rsidRPr="000C224D">
        <w:rPr>
          <w:rFonts w:eastAsiaTheme="minorHAnsi"/>
          <w:b/>
          <w:bCs/>
        </w:rPr>
        <w:t xml:space="preserve"> </w:t>
      </w:r>
    </w:p>
    <w:p w14:paraId="5182A9ED" w14:textId="5CDA4356" w:rsidR="00E74A56" w:rsidRPr="00335006" w:rsidRDefault="00E74A56" w:rsidP="00E74A56">
      <w:pPr>
        <w:pStyle w:val="NormalWeb"/>
        <w:spacing w:after="0"/>
        <w:jc w:val="center"/>
        <w:rPr>
          <w:rFonts w:eastAsiaTheme="minorHAnsi"/>
          <w:b/>
          <w:bCs/>
          <w:sz w:val="28"/>
          <w:szCs w:val="28"/>
        </w:rPr>
      </w:pPr>
      <w:r w:rsidRPr="00335006">
        <w:rPr>
          <w:rFonts w:eastAsiaTheme="minorHAnsi"/>
          <w:b/>
          <w:bCs/>
          <w:sz w:val="28"/>
          <w:szCs w:val="28"/>
        </w:rPr>
        <w:t xml:space="preserve">Effect of Sources and Levels of Sulphur on Growth and </w:t>
      </w:r>
      <w:r w:rsidR="001A04A2" w:rsidRPr="00335006">
        <w:rPr>
          <w:rFonts w:eastAsiaTheme="minorHAnsi"/>
          <w:b/>
          <w:bCs/>
          <w:sz w:val="28"/>
          <w:szCs w:val="28"/>
        </w:rPr>
        <w:t>Economics</w:t>
      </w:r>
      <w:r w:rsidRPr="00335006">
        <w:rPr>
          <w:rFonts w:eastAsiaTheme="minorHAnsi"/>
          <w:b/>
          <w:bCs/>
          <w:sz w:val="28"/>
          <w:szCs w:val="28"/>
        </w:rPr>
        <w:t xml:space="preserve"> of Toria (</w:t>
      </w:r>
      <w:r w:rsidRPr="00335006">
        <w:rPr>
          <w:rFonts w:eastAsiaTheme="minorHAnsi"/>
          <w:b/>
          <w:bCs/>
          <w:i/>
          <w:iCs/>
          <w:sz w:val="28"/>
          <w:szCs w:val="28"/>
        </w:rPr>
        <w:t xml:space="preserve">Brassica campestris </w:t>
      </w:r>
      <w:r w:rsidRPr="00335006">
        <w:rPr>
          <w:rFonts w:eastAsiaTheme="minorHAnsi"/>
          <w:b/>
          <w:bCs/>
          <w:sz w:val="28"/>
          <w:szCs w:val="28"/>
        </w:rPr>
        <w:t>var</w:t>
      </w:r>
      <w:r w:rsidRPr="00335006">
        <w:rPr>
          <w:rFonts w:eastAsiaTheme="minorHAnsi"/>
          <w:b/>
          <w:bCs/>
          <w:i/>
          <w:iCs/>
          <w:sz w:val="28"/>
          <w:szCs w:val="28"/>
        </w:rPr>
        <w:t>. toria</w:t>
      </w:r>
      <w:r w:rsidRPr="00335006">
        <w:rPr>
          <w:rFonts w:eastAsiaTheme="minorHAnsi"/>
          <w:b/>
          <w:bCs/>
          <w:sz w:val="28"/>
          <w:szCs w:val="28"/>
        </w:rPr>
        <w:t>)</w:t>
      </w:r>
    </w:p>
    <w:p w14:paraId="42DC3500" w14:textId="14EA0975" w:rsidR="00F67091" w:rsidRDefault="00F67091" w:rsidP="007978C7">
      <w:pPr>
        <w:pStyle w:val="NormalWeb"/>
        <w:spacing w:before="0" w:beforeAutospacing="0" w:after="0" w:afterAutospacing="0"/>
        <w:jc w:val="both"/>
        <w:rPr>
          <w:b/>
          <w:sz w:val="28"/>
        </w:rPr>
      </w:pPr>
    </w:p>
    <w:p w14:paraId="717999C7" w14:textId="77777777" w:rsidR="00F67091" w:rsidRDefault="00F67091" w:rsidP="007978C7">
      <w:pPr>
        <w:pStyle w:val="NormalWeb"/>
        <w:spacing w:before="0" w:beforeAutospacing="0" w:after="0" w:afterAutospacing="0"/>
        <w:jc w:val="both"/>
        <w:rPr>
          <w:b/>
          <w:sz w:val="28"/>
        </w:rPr>
      </w:pPr>
    </w:p>
    <w:p w14:paraId="7DDD712F" w14:textId="3E902DAB" w:rsidR="00D17733" w:rsidRDefault="00D17733" w:rsidP="007978C7">
      <w:pPr>
        <w:pStyle w:val="NormalWeb"/>
        <w:spacing w:before="0" w:beforeAutospacing="0" w:after="0" w:afterAutospacing="0" w:line="360" w:lineRule="auto"/>
        <w:jc w:val="both"/>
        <w:rPr>
          <w:b/>
          <w:sz w:val="28"/>
        </w:rPr>
      </w:pPr>
      <w:r w:rsidRPr="00B23D9C">
        <w:rPr>
          <w:b/>
          <w:sz w:val="28"/>
        </w:rPr>
        <w:t>Abstract</w:t>
      </w:r>
    </w:p>
    <w:p w14:paraId="51C140C5" w14:textId="5CFFFAA2" w:rsidR="00F93CB7" w:rsidRDefault="00F93CB7" w:rsidP="00F93CB7">
      <w:pPr>
        <w:pStyle w:val="NormalWeb"/>
        <w:spacing w:before="0" w:beforeAutospacing="0" w:after="0" w:afterAutospacing="0" w:line="360" w:lineRule="auto"/>
        <w:jc w:val="both"/>
      </w:pPr>
      <w:r>
        <w:t xml:space="preserve">A field experiment was carried out during the </w:t>
      </w:r>
      <w:r w:rsidRPr="00F93CB7">
        <w:rPr>
          <w:i/>
          <w:iCs/>
        </w:rPr>
        <w:t>rabi</w:t>
      </w:r>
      <w:r>
        <w:t xml:space="preserve"> season of 2024 at the Crop Research Farm, Naini Agriculture Institute, Sam Higginbottom University of Agriculture, Technology and Sciences, Prayagraj (U.P.), India, to evaluate how different sources and levels of </w:t>
      </w:r>
      <w:proofErr w:type="spellStart"/>
      <w:r>
        <w:t>sulphur</w:t>
      </w:r>
      <w:proofErr w:type="spellEnd"/>
      <w:r>
        <w:t xml:space="preserve"> affect the growth and yield of the </w:t>
      </w:r>
      <w:proofErr w:type="spellStart"/>
      <w:r>
        <w:t>toria</w:t>
      </w:r>
      <w:proofErr w:type="spellEnd"/>
      <w:r>
        <w:t xml:space="preserve"> crop. The study included three </w:t>
      </w:r>
      <w:proofErr w:type="spellStart"/>
      <w:r>
        <w:t>sulphur</w:t>
      </w:r>
      <w:proofErr w:type="spellEnd"/>
      <w:r>
        <w:t xml:space="preserve"> sources—Single Super Phosphate, Gypsum, and Ammonium Sulphate—applied at three different levels: 30, 45, and 60 kg S/ha, along with a control (no </w:t>
      </w:r>
      <w:proofErr w:type="spellStart"/>
      <w:r>
        <w:t>sulphur</w:t>
      </w:r>
      <w:proofErr w:type="spellEnd"/>
      <w:r>
        <w:t>). Treatments were laid out in a factorial design and replicated three times. The results showed that the application of Ammonium Sulphate at 60 kg S/ha delivered the most promising outcomes. This treatment recorded the tallest plants (112.25 cm), highest dry weight (19.33 g), most branches per plant (8.47), highest crop growth rate (17.4 g/m²/day), maximum siliquae per plant (155.73), more seeds per siliqua (15.53), and the highest seed (1.18 t/ha) and stover yields (2.37 t/ha). Economically, this treatment also outperformed all others, with the highest gross return (₹74,712/ha), net return (₹45,692/ha), and a benefit-cost (B:C) ratio of 1.57, indicating strong profitability alongside improved crop performance.</w:t>
      </w:r>
    </w:p>
    <w:p w14:paraId="4E2CF284" w14:textId="0F90398E" w:rsidR="002F2978" w:rsidRPr="00F93CB7" w:rsidRDefault="00F93CB7" w:rsidP="00F93CB7">
      <w:pPr>
        <w:spacing w:after="0" w:line="360" w:lineRule="auto"/>
        <w:ind w:right="-42"/>
        <w:jc w:val="both"/>
        <w:rPr>
          <w:rFonts w:ascii="Times New Roman" w:hAnsi="Times New Roman" w:cs="Times New Roman"/>
          <w:bCs/>
          <w:iCs/>
          <w:sz w:val="24"/>
          <w:szCs w:val="24"/>
        </w:rPr>
      </w:pPr>
      <w:r w:rsidRPr="00F93CB7">
        <w:rPr>
          <w:rFonts w:ascii="Times New Roman" w:hAnsi="Times New Roman" w:cs="Times New Roman"/>
          <w:b/>
          <w:i/>
          <w:iCs/>
          <w:sz w:val="24"/>
          <w:szCs w:val="24"/>
        </w:rPr>
        <w:t>Keywords:</w:t>
      </w:r>
      <w:r w:rsidRPr="00F93CB7">
        <w:rPr>
          <w:rFonts w:ascii="Times New Roman" w:hAnsi="Times New Roman" w:cs="Times New Roman"/>
          <w:b/>
          <w:sz w:val="24"/>
          <w:szCs w:val="24"/>
        </w:rPr>
        <w:t xml:space="preserve"> </w:t>
      </w:r>
      <w:r w:rsidRPr="00F93CB7">
        <w:rPr>
          <w:rFonts w:ascii="Times New Roman" w:hAnsi="Times New Roman" w:cs="Times New Roman"/>
          <w:i/>
          <w:sz w:val="24"/>
          <w:szCs w:val="24"/>
        </w:rPr>
        <w:t xml:space="preserve"> </w:t>
      </w:r>
      <w:r w:rsidRPr="00F93CB7">
        <w:rPr>
          <w:rFonts w:ascii="Times New Roman" w:hAnsi="Times New Roman" w:cs="Times New Roman"/>
          <w:iCs/>
          <w:sz w:val="24"/>
          <w:szCs w:val="24"/>
        </w:rPr>
        <w:t>Sulphur, Sources, SSP, Ammonium sulphate, Gypsum, Toria.</w:t>
      </w:r>
    </w:p>
    <w:p w14:paraId="06F088B4" w14:textId="77777777" w:rsidR="00D17733" w:rsidRPr="00D17733" w:rsidRDefault="00D17733" w:rsidP="007978C7">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D17733">
        <w:rPr>
          <w:rFonts w:ascii="Times New Roman" w:eastAsia="Times New Roman" w:hAnsi="Times New Roman" w:cs="Times New Roman"/>
          <w:b/>
          <w:bCs/>
          <w:sz w:val="27"/>
          <w:szCs w:val="27"/>
        </w:rPr>
        <w:t>Introduction</w:t>
      </w:r>
    </w:p>
    <w:p w14:paraId="235AE0D0" w14:textId="77777777" w:rsidR="00F93CB7" w:rsidRDefault="00F93CB7" w:rsidP="00F93CB7">
      <w:pPr>
        <w:pStyle w:val="NormalWeb"/>
        <w:spacing w:before="0" w:beforeAutospacing="0" w:after="0" w:afterAutospacing="0" w:line="360" w:lineRule="auto"/>
        <w:jc w:val="both"/>
      </w:pPr>
      <w:r>
        <w:t>Rapeseed (</w:t>
      </w:r>
      <w:r w:rsidRPr="00F93CB7">
        <w:rPr>
          <w:i/>
          <w:iCs/>
        </w:rPr>
        <w:t>Brassica</w:t>
      </w:r>
      <w:r>
        <w:t xml:space="preserve"> </w:t>
      </w:r>
      <w:r w:rsidRPr="00F93CB7">
        <w:rPr>
          <w:i/>
          <w:iCs/>
        </w:rPr>
        <w:t>campestris</w:t>
      </w:r>
      <w:r>
        <w:t xml:space="preserve"> var. </w:t>
      </w:r>
      <w:proofErr w:type="spellStart"/>
      <w:r w:rsidRPr="00F93CB7">
        <w:rPr>
          <w:i/>
          <w:iCs/>
        </w:rPr>
        <w:t>toria</w:t>
      </w:r>
      <w:proofErr w:type="spellEnd"/>
      <w:r>
        <w:t xml:space="preserve">), commonly known in India as </w:t>
      </w:r>
      <w:proofErr w:type="spellStart"/>
      <w:r>
        <w:t>raya</w:t>
      </w:r>
      <w:proofErr w:type="spellEnd"/>
      <w:r>
        <w:t xml:space="preserve">, rai, or </w:t>
      </w:r>
      <w:proofErr w:type="spellStart"/>
      <w:r>
        <w:t>lahi</w:t>
      </w:r>
      <w:proofErr w:type="spellEnd"/>
      <w:r>
        <w:t xml:space="preserve">, is a key oilseed crop from the Brassica family. It ranks as India’s second most important edible oilseed after groundnut, contributing nearly 30% of the country’s total oilseed production. Within the rapeseed-mustard group—an essential segment of India’s edible oil sector—rapeseed-mustard accounts for around 85% of production in this group and roughly 26.1% of total oilseed output </w:t>
      </w:r>
      <w:r w:rsidRPr="00F93CB7">
        <w:rPr>
          <w:b/>
          <w:bCs/>
        </w:rPr>
        <w:t xml:space="preserve">(Meena </w:t>
      </w:r>
      <w:r w:rsidRPr="00F93CB7">
        <w:rPr>
          <w:b/>
          <w:bCs/>
          <w:i/>
          <w:iCs/>
        </w:rPr>
        <w:t>et al</w:t>
      </w:r>
      <w:r w:rsidRPr="00F93CB7">
        <w:rPr>
          <w:b/>
          <w:bCs/>
        </w:rPr>
        <w:t xml:space="preserve">., 2011). </w:t>
      </w:r>
      <w:r>
        <w:t>Globally, rapeseed and mustard crops are cultivated across 53 countries, spanning 24.2 million hectares over six continents. India alone contributes 28.3% of the global area and 19.8% of total production.</w:t>
      </w:r>
    </w:p>
    <w:p w14:paraId="706F5C42" w14:textId="77777777" w:rsidR="00F93CB7" w:rsidRDefault="00F93CB7" w:rsidP="00F93CB7">
      <w:pPr>
        <w:pStyle w:val="NormalWeb"/>
        <w:spacing w:before="0" w:beforeAutospacing="0" w:after="0" w:afterAutospacing="0" w:line="360" w:lineRule="auto"/>
        <w:jc w:val="both"/>
      </w:pPr>
      <w:r>
        <w:lastRenderedPageBreak/>
        <w:t>Nutritionally, rapeseed is rich in essential minerals such as calcium, manganese, copper, iron, selenium, and zinc, along with vitamins A, B, and C, and protein. A 100-gram serving of mustard seeds contains approximately 508 kcal, 12.2 g of dietary fiber, 26.08 g of fat, 26.08 g of protein, and 28.09 g of carbohydrates.</w:t>
      </w:r>
    </w:p>
    <w:p w14:paraId="7B3341DD" w14:textId="63733BDC" w:rsidR="00F93CB7" w:rsidRDefault="00F93CB7" w:rsidP="00F93CB7">
      <w:pPr>
        <w:pStyle w:val="NormalWeb"/>
        <w:spacing w:before="0" w:beforeAutospacing="0" w:after="0" w:afterAutospacing="0" w:line="360" w:lineRule="auto"/>
        <w:jc w:val="both"/>
      </w:pPr>
      <w:r>
        <w:t xml:space="preserve">Sulphur plays a vital role in the growth and productivity of oilseed crops like </w:t>
      </w:r>
      <w:proofErr w:type="spellStart"/>
      <w:r>
        <w:t>toria</w:t>
      </w:r>
      <w:proofErr w:type="spellEnd"/>
      <w:r>
        <w:t xml:space="preserve">. It is especially important for synthesizing sulfur-containing amino acids like cystine (27%), cysteine (26%), and methionine (21%), which are crucial for protein formation, oil synthesis, and overall plant development. Sulphur also contributes to chlorophyll formation, essential for photosynthesis, as well as the production of glucosides and glucosinolates—compounds that influence both plant health and the distinct flavor of mustard and rapeseed oils </w:t>
      </w:r>
      <w:r w:rsidRPr="00F93CB7">
        <w:rPr>
          <w:b/>
          <w:bCs/>
        </w:rPr>
        <w:t xml:space="preserve">(Kumar </w:t>
      </w:r>
      <w:r>
        <w:rPr>
          <w:b/>
          <w:bCs/>
        </w:rPr>
        <w:t>and</w:t>
      </w:r>
      <w:r w:rsidRPr="00F93CB7">
        <w:rPr>
          <w:b/>
          <w:bCs/>
        </w:rPr>
        <w:t xml:space="preserve"> Trivedi, 2012).</w:t>
      </w:r>
      <w:r>
        <w:t xml:space="preserve"> Crops in the Brassica family are particularly sensitive to sulfur deficiency, often showing symptoms like cupped or curled leaves with reddish undersides. In severe cases, the deficiency can extend to stems and leaf surfaces.</w:t>
      </w:r>
    </w:p>
    <w:p w14:paraId="7872BF15" w14:textId="77777777" w:rsidR="00F93CB7" w:rsidRDefault="00F93CB7" w:rsidP="00F93CB7">
      <w:pPr>
        <w:pStyle w:val="NormalWeb"/>
        <w:spacing w:before="0" w:beforeAutospacing="0" w:after="0" w:afterAutospacing="0" w:line="360" w:lineRule="auto"/>
        <w:jc w:val="both"/>
      </w:pPr>
      <w:r>
        <w:t>With these considerations in mind, the present study</w:t>
      </w:r>
      <w:r w:rsidRPr="00F93CB7">
        <w:rPr>
          <w:b/>
          <w:bCs/>
        </w:rPr>
        <w:t>—</w:t>
      </w:r>
      <w:r w:rsidRPr="00F93CB7">
        <w:rPr>
          <w:rStyle w:val="Strong"/>
          <w:b w:val="0"/>
          <w:bCs w:val="0"/>
        </w:rPr>
        <w:t>“Effects of Sources and Levels of Sulphur on Growth Performance and Economic Return of Toria (</w:t>
      </w:r>
      <w:r w:rsidRPr="00F93CB7">
        <w:rPr>
          <w:rStyle w:val="Strong"/>
          <w:b w:val="0"/>
          <w:bCs w:val="0"/>
          <w:i/>
          <w:iCs/>
        </w:rPr>
        <w:t>Brassica</w:t>
      </w:r>
      <w:r w:rsidRPr="00F93CB7">
        <w:rPr>
          <w:rStyle w:val="Strong"/>
          <w:b w:val="0"/>
          <w:bCs w:val="0"/>
        </w:rPr>
        <w:t xml:space="preserve"> </w:t>
      </w:r>
      <w:r w:rsidRPr="00F93CB7">
        <w:rPr>
          <w:rStyle w:val="Strong"/>
          <w:b w:val="0"/>
          <w:bCs w:val="0"/>
          <w:i/>
          <w:iCs/>
        </w:rPr>
        <w:t>campestris</w:t>
      </w:r>
      <w:r w:rsidRPr="00F93CB7">
        <w:rPr>
          <w:rStyle w:val="Strong"/>
          <w:b w:val="0"/>
          <w:bCs w:val="0"/>
        </w:rPr>
        <w:t xml:space="preserve"> L.)”</w:t>
      </w:r>
      <w:r>
        <w:t xml:space="preserve">—was conducted during the 2024–25 </w:t>
      </w:r>
      <w:r w:rsidRPr="00F93CB7">
        <w:rPr>
          <w:i/>
          <w:iCs/>
        </w:rPr>
        <w:t>rabi</w:t>
      </w:r>
      <w:r>
        <w:t xml:space="preserve"> season at the Crop Research Farm, Department of Agronomy, Naini Agriculture Institute, Sam Higginbottom University of Agriculture, Technology and Sciences, Prayagraj, Uttar Pradesh.</w:t>
      </w:r>
    </w:p>
    <w:p w14:paraId="2DA20C4D" w14:textId="77777777" w:rsidR="002F2978" w:rsidRDefault="002F2978" w:rsidP="007978C7">
      <w:pPr>
        <w:pStyle w:val="NormalWeb"/>
        <w:spacing w:before="0" w:beforeAutospacing="0" w:after="0" w:afterAutospacing="0" w:line="360" w:lineRule="auto"/>
        <w:jc w:val="both"/>
      </w:pPr>
    </w:p>
    <w:p w14:paraId="684F5341" w14:textId="31D6D127" w:rsidR="003930CE" w:rsidRDefault="00D17733" w:rsidP="007978C7">
      <w:pPr>
        <w:pStyle w:val="NormalWeb"/>
        <w:spacing w:before="0" w:beforeAutospacing="0" w:after="0" w:afterAutospacing="0" w:line="360" w:lineRule="auto"/>
        <w:jc w:val="both"/>
        <w:rPr>
          <w:b/>
          <w:sz w:val="28"/>
        </w:rPr>
      </w:pPr>
      <w:r w:rsidRPr="00B23D9C">
        <w:rPr>
          <w:b/>
          <w:sz w:val="28"/>
        </w:rPr>
        <w:t>Materials</w:t>
      </w:r>
      <w:r w:rsidRPr="00863C8D">
        <w:rPr>
          <w:b/>
          <w:i/>
        </w:rPr>
        <w:t xml:space="preserve"> </w:t>
      </w:r>
      <w:r w:rsidRPr="00B23D9C">
        <w:rPr>
          <w:b/>
          <w:sz w:val="28"/>
        </w:rPr>
        <w:t>and Method</w:t>
      </w:r>
    </w:p>
    <w:p w14:paraId="33AA9304" w14:textId="192290B3" w:rsidR="003930CE" w:rsidRDefault="00D17733" w:rsidP="007978C7">
      <w:pPr>
        <w:pStyle w:val="NormalWeb"/>
        <w:spacing w:before="0" w:beforeAutospacing="0" w:after="0" w:afterAutospacing="0" w:line="360" w:lineRule="auto"/>
        <w:jc w:val="both"/>
        <w:rPr>
          <w:b/>
        </w:rPr>
      </w:pPr>
      <w:r w:rsidRPr="00B23D9C">
        <w:rPr>
          <w:b/>
        </w:rPr>
        <w:t>Experimental sites and soil</w:t>
      </w:r>
    </w:p>
    <w:p w14:paraId="48CF2DE2" w14:textId="7CF995E8" w:rsidR="00D17733" w:rsidRDefault="00D17733" w:rsidP="007978C7">
      <w:pPr>
        <w:pStyle w:val="NormalWeb"/>
        <w:spacing w:before="0" w:beforeAutospacing="0" w:after="0" w:afterAutospacing="0" w:line="360" w:lineRule="auto"/>
        <w:jc w:val="both"/>
      </w:pPr>
      <w:r w:rsidRPr="00863C8D">
        <w:t xml:space="preserve">The experiment </w:t>
      </w:r>
      <w:r w:rsidR="00753A0A">
        <w:t>is</w:t>
      </w:r>
      <w:r w:rsidRPr="00863C8D">
        <w:t xml:space="preserve"> conducted during the </w:t>
      </w:r>
      <w:r w:rsidR="00DF7102" w:rsidRPr="00DF7102">
        <w:rPr>
          <w:bCs/>
          <w:i/>
          <w:iCs/>
        </w:rPr>
        <w:t>Rabi</w:t>
      </w:r>
      <w:r w:rsidRPr="00863C8D">
        <w:rPr>
          <w:bCs/>
        </w:rPr>
        <w:t xml:space="preserve"> season of 202</w:t>
      </w:r>
      <w:r w:rsidR="00DF7102">
        <w:rPr>
          <w:bCs/>
        </w:rPr>
        <w:t>4-25</w:t>
      </w:r>
      <w:r w:rsidRPr="00863C8D">
        <w:t xml:space="preserve"> at the </w:t>
      </w:r>
      <w:r w:rsidRPr="00863C8D">
        <w:rPr>
          <w:bCs/>
        </w:rPr>
        <w:t>Crop Research Farm, Department of Agronomy, Naini Agriculture Institute, Sam Higginbottom University of Agriculture, Technology and Sciences, Prayagraj, Uttar Pradesh</w:t>
      </w:r>
      <w:r w:rsidRPr="00863C8D">
        <w:t xml:space="preserve">. The experimental site is geographically located at </w:t>
      </w:r>
      <w:r w:rsidRPr="00863C8D">
        <w:rPr>
          <w:bCs/>
        </w:rPr>
        <w:t>25°24’42” N latitude, 81°50’56” E longitude, and 98 m altitude</w:t>
      </w:r>
      <w:r w:rsidRPr="00863C8D">
        <w:t xml:space="preserve"> from sea level. The site lies on the </w:t>
      </w:r>
      <w:r w:rsidRPr="00863C8D">
        <w:rPr>
          <w:bCs/>
        </w:rPr>
        <w:t>right side of the river Yamuna</w:t>
      </w:r>
      <w:r w:rsidRPr="00863C8D">
        <w:t xml:space="preserve">, opposite </w:t>
      </w:r>
      <w:r w:rsidRPr="00863C8D">
        <w:rPr>
          <w:bCs/>
        </w:rPr>
        <w:t>Prayagraj city</w:t>
      </w:r>
      <w:r w:rsidRPr="00863C8D">
        <w:t xml:space="preserve">, and is approximately </w:t>
      </w:r>
      <w:r w:rsidRPr="00863C8D">
        <w:rPr>
          <w:bCs/>
        </w:rPr>
        <w:t>5 km away from Prayagraj-Rewa Road</w:t>
      </w:r>
      <w:r w:rsidRPr="00863C8D">
        <w:t>.</w:t>
      </w:r>
    </w:p>
    <w:p w14:paraId="32D13DDB" w14:textId="77777777" w:rsidR="003930CE" w:rsidRPr="007B68A7" w:rsidRDefault="003930CE" w:rsidP="007978C7">
      <w:pPr>
        <w:pStyle w:val="NormalWeb"/>
        <w:spacing w:before="0" w:beforeAutospacing="0" w:after="0" w:afterAutospacing="0" w:line="360" w:lineRule="auto"/>
        <w:jc w:val="both"/>
        <w:rPr>
          <w:b/>
          <w:sz w:val="28"/>
        </w:rPr>
      </w:pPr>
    </w:p>
    <w:p w14:paraId="1B6D690B" w14:textId="4F639639" w:rsidR="003930CE" w:rsidRPr="00D17733" w:rsidRDefault="00D17733" w:rsidP="007978C7">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D17733">
        <w:rPr>
          <w:rFonts w:ascii="Times New Roman" w:eastAsia="Times New Roman" w:hAnsi="Times New Roman" w:cs="Times New Roman"/>
          <w:b/>
          <w:bCs/>
          <w:sz w:val="27"/>
          <w:szCs w:val="27"/>
        </w:rPr>
        <w:t>Formulations Used for the Experiment</w:t>
      </w:r>
    </w:p>
    <w:p w14:paraId="4B5D014C" w14:textId="59DA927D" w:rsidR="003930CE" w:rsidRDefault="002463B8" w:rsidP="007978C7">
      <w:pPr>
        <w:spacing w:before="1" w:line="360" w:lineRule="auto"/>
        <w:jc w:val="both"/>
        <w:rPr>
          <w:rFonts w:ascii="Times New Roman" w:eastAsia="Times New Roman" w:hAnsi="Times New Roman" w:cs="Times New Roman"/>
          <w:sz w:val="24"/>
          <w:szCs w:val="24"/>
        </w:rPr>
      </w:pPr>
      <w:r w:rsidRPr="002463B8">
        <w:rPr>
          <w:rFonts w:ascii="Times New Roman" w:eastAsia="Times New Roman" w:hAnsi="Times New Roman" w:cs="Times New Roman"/>
          <w:sz w:val="24"/>
          <w:szCs w:val="24"/>
        </w:rPr>
        <w:lastRenderedPageBreak/>
        <w:t xml:space="preserve">The experiment </w:t>
      </w:r>
      <w:r w:rsidR="00753A0A">
        <w:rPr>
          <w:rFonts w:ascii="Times New Roman" w:eastAsia="Times New Roman" w:hAnsi="Times New Roman" w:cs="Times New Roman"/>
          <w:sz w:val="24"/>
          <w:szCs w:val="24"/>
        </w:rPr>
        <w:t>is</w:t>
      </w:r>
      <w:r w:rsidRPr="002463B8">
        <w:rPr>
          <w:rFonts w:ascii="Times New Roman" w:eastAsia="Times New Roman" w:hAnsi="Times New Roman" w:cs="Times New Roman"/>
          <w:sz w:val="24"/>
          <w:szCs w:val="24"/>
        </w:rPr>
        <w:t xml:space="preserve"> conducted in Randomized Block Design with ten treatments and three replications. Each replication </w:t>
      </w:r>
      <w:r w:rsidR="00753A0A">
        <w:rPr>
          <w:rFonts w:ascii="Times New Roman" w:eastAsia="Times New Roman" w:hAnsi="Times New Roman" w:cs="Times New Roman"/>
          <w:sz w:val="24"/>
          <w:szCs w:val="24"/>
        </w:rPr>
        <w:t>is</w:t>
      </w:r>
      <w:r w:rsidRPr="002463B8">
        <w:rPr>
          <w:rFonts w:ascii="Times New Roman" w:eastAsia="Times New Roman" w:hAnsi="Times New Roman" w:cs="Times New Roman"/>
          <w:sz w:val="24"/>
          <w:szCs w:val="24"/>
        </w:rPr>
        <w:t xml:space="preserve"> split into ten equal parts and treatments were imposed in it. Basically, the sources and levels of sulphur fertilizer were used for experimental purpose. All the treatments were allocated randomly to the plots to avoid same treatments in nearby plots. The treatment combinations used were: T1 : Single Super Phosphate @ 30 kg ha-1, T2 : Single Super Phosphate @ 45 kg ha-1, T3 : Single Super Phosphate @ 60 kg ha-1, T4 : Gypsum </w:t>
      </w:r>
      <w:bookmarkStart w:id="0" w:name="_GoBack"/>
      <w:r w:rsidRPr="002463B8">
        <w:rPr>
          <w:rFonts w:ascii="Times New Roman" w:eastAsia="Times New Roman" w:hAnsi="Times New Roman" w:cs="Times New Roman"/>
          <w:sz w:val="24"/>
          <w:szCs w:val="24"/>
        </w:rPr>
        <w:t>@</w:t>
      </w:r>
      <w:bookmarkEnd w:id="0"/>
      <w:r w:rsidRPr="002463B8">
        <w:rPr>
          <w:rFonts w:ascii="Times New Roman" w:eastAsia="Times New Roman" w:hAnsi="Times New Roman" w:cs="Times New Roman"/>
          <w:sz w:val="24"/>
          <w:szCs w:val="24"/>
        </w:rPr>
        <w:t xml:space="preserve"> 30 kg ha-1, T5 : Gypsum @ 45 kg ha-1,T6 : Gypsum @ 60 kg ha-1, T7 :Ammonium sulphate @ 30 kg ha-1, T8 : Ammonium sulphate @ 45 kg ha-1, T9 : Ammonium sulphate @ 60 kg ha-1 and T10 : Control.</w:t>
      </w:r>
    </w:p>
    <w:p w14:paraId="217DA7BF" w14:textId="3373556E" w:rsidR="00120D36" w:rsidRPr="00120D36" w:rsidRDefault="00120D36" w:rsidP="007978C7">
      <w:pPr>
        <w:spacing w:before="1" w:line="360" w:lineRule="auto"/>
        <w:jc w:val="both"/>
        <w:rPr>
          <w:rFonts w:ascii="Times New Roman" w:hAnsi="Times New Roman" w:cs="Times New Roman"/>
          <w:b/>
          <w:sz w:val="24"/>
          <w:szCs w:val="24"/>
        </w:rPr>
      </w:pPr>
      <w:r w:rsidRPr="00120D36">
        <w:rPr>
          <w:rFonts w:ascii="Times New Roman" w:hAnsi="Times New Roman" w:cs="Times New Roman"/>
          <w:b/>
          <w:sz w:val="24"/>
          <w:szCs w:val="24"/>
        </w:rPr>
        <w:t>Physiological Parameters determination</w:t>
      </w:r>
    </w:p>
    <w:p w14:paraId="113BEE75" w14:textId="41C0F1CE" w:rsidR="003930CE" w:rsidRDefault="00120D36" w:rsidP="00677EFE">
      <w:pPr>
        <w:pStyle w:val="BodyText"/>
        <w:spacing w:line="360" w:lineRule="auto"/>
        <w:ind w:firstLine="717"/>
        <w:jc w:val="both"/>
        <w:rPr>
          <w:sz w:val="24"/>
          <w:szCs w:val="24"/>
        </w:rPr>
      </w:pPr>
      <w:r w:rsidRPr="00C72F32">
        <w:rPr>
          <w:sz w:val="24"/>
          <w:szCs w:val="24"/>
        </w:rPr>
        <w:t xml:space="preserve">The experiment </w:t>
      </w:r>
      <w:r w:rsidR="00753A0A">
        <w:rPr>
          <w:sz w:val="24"/>
          <w:szCs w:val="24"/>
        </w:rPr>
        <w:t>is</w:t>
      </w:r>
      <w:r w:rsidRPr="00C72F32">
        <w:rPr>
          <w:sz w:val="24"/>
          <w:szCs w:val="24"/>
        </w:rPr>
        <w:t xml:space="preserve"> conducted to study the physiological growth parameters of the crop during its growth stages. At </w:t>
      </w:r>
      <w:r w:rsidR="00935DEB">
        <w:rPr>
          <w:sz w:val="24"/>
          <w:szCs w:val="24"/>
        </w:rPr>
        <w:t>15</w:t>
      </w:r>
      <w:r w:rsidRPr="00C72F32">
        <w:rPr>
          <w:sz w:val="24"/>
          <w:szCs w:val="24"/>
        </w:rPr>
        <w:t xml:space="preserve"> DAS (Days After Sowing), 5 plants were randomly tagged from each plot to observe the growth pattern. The plant height </w:t>
      </w:r>
      <w:r w:rsidR="00753A0A">
        <w:rPr>
          <w:sz w:val="24"/>
          <w:szCs w:val="24"/>
        </w:rPr>
        <w:t>is</w:t>
      </w:r>
      <w:r w:rsidRPr="00C72F32">
        <w:rPr>
          <w:sz w:val="24"/>
          <w:szCs w:val="24"/>
        </w:rPr>
        <w:t xml:space="preserve"> measured using a scale at 20 DAS and continued at 20-day intervals throughout the crop growth period. To record the dry weight, 5 plants, excluding the tagged ones, were collected from each plot at 20-day intervals. These plants were first dried in open air and then placed in a hot air oven for 24 hours to ensure complete drying. After drying, the dry weight of the samples </w:t>
      </w:r>
      <w:r w:rsidR="00753A0A">
        <w:rPr>
          <w:sz w:val="24"/>
          <w:szCs w:val="24"/>
        </w:rPr>
        <w:t>is</w:t>
      </w:r>
      <w:r w:rsidRPr="00C72F32">
        <w:rPr>
          <w:sz w:val="24"/>
          <w:szCs w:val="24"/>
        </w:rPr>
        <w:t xml:space="preserve"> measured using a weighing balance. The collected dry weight data were then utilized to calculate the Crop Growth Rate</w:t>
      </w:r>
      <w:r w:rsidRPr="00C72F32">
        <w:rPr>
          <w:b/>
          <w:bCs/>
          <w:sz w:val="24"/>
          <w:szCs w:val="24"/>
        </w:rPr>
        <w:t xml:space="preserve"> (CGR)</w:t>
      </w:r>
      <w:r>
        <w:rPr>
          <w:b/>
          <w:bCs/>
          <w:sz w:val="24"/>
          <w:szCs w:val="24"/>
        </w:rPr>
        <w:t xml:space="preserve"> </w:t>
      </w:r>
      <w:r w:rsidRPr="00935DEB">
        <w:rPr>
          <w:sz w:val="24"/>
          <w:szCs w:val="24"/>
        </w:rPr>
        <w:t xml:space="preserve">and </w:t>
      </w:r>
      <w:r>
        <w:t xml:space="preserve">Relative Growth Rate </w:t>
      </w:r>
      <w:r>
        <w:rPr>
          <w:b/>
          <w:bCs/>
          <w:sz w:val="24"/>
          <w:szCs w:val="24"/>
        </w:rPr>
        <w:t>(RGR)</w:t>
      </w:r>
      <w:r w:rsidRPr="00C72F32">
        <w:rPr>
          <w:sz w:val="24"/>
          <w:szCs w:val="24"/>
        </w:rPr>
        <w:t xml:space="preserve"> using a standard formula. This process helped in understanding the </w:t>
      </w:r>
      <w:r w:rsidRPr="00C72F32">
        <w:rPr>
          <w:bCs/>
          <w:sz w:val="24"/>
          <w:szCs w:val="24"/>
        </w:rPr>
        <w:t>growth performance and biomass accumulation</w:t>
      </w:r>
      <w:r w:rsidRPr="00C72F32">
        <w:rPr>
          <w:sz w:val="24"/>
          <w:szCs w:val="24"/>
        </w:rPr>
        <w:t xml:space="preserve"> of the crop under the given experimental conditions.</w:t>
      </w:r>
    </w:p>
    <w:p w14:paraId="4677C020" w14:textId="77777777" w:rsidR="00120D36" w:rsidRDefault="00120D36" w:rsidP="007978C7">
      <w:pPr>
        <w:spacing w:after="0" w:line="240" w:lineRule="auto"/>
        <w:jc w:val="both"/>
        <w:rPr>
          <w:rFonts w:ascii="Times New Roman" w:eastAsia="Times New Roman" w:hAnsi="Times New Roman" w:cs="Times New Roman"/>
          <w:b/>
          <w:sz w:val="28"/>
          <w:szCs w:val="24"/>
        </w:rPr>
      </w:pPr>
    </w:p>
    <w:p w14:paraId="7B12738C" w14:textId="77777777" w:rsidR="00120D36" w:rsidRPr="00236DEE" w:rsidRDefault="00120D36" w:rsidP="007978C7">
      <w:pPr>
        <w:spacing w:after="0" w:line="360" w:lineRule="auto"/>
        <w:jc w:val="both"/>
        <w:rPr>
          <w:rFonts w:ascii="Times New Roman" w:eastAsia="Times New Roman" w:hAnsi="Times New Roman" w:cs="Times New Roman"/>
          <w:b/>
          <w:sz w:val="28"/>
          <w:szCs w:val="24"/>
        </w:rPr>
      </w:pPr>
      <w:r w:rsidRPr="00236DEE">
        <w:rPr>
          <w:rFonts w:ascii="Times New Roman" w:eastAsia="Times New Roman" w:hAnsi="Times New Roman" w:cs="Times New Roman"/>
          <w:b/>
          <w:sz w:val="28"/>
          <w:szCs w:val="24"/>
        </w:rPr>
        <w:t xml:space="preserve">CGR= </w:t>
      </w:r>
      <w:r>
        <w:rPr>
          <w:rFonts w:ascii="Times New Roman" w:eastAsia="Times New Roman" w:hAnsi="Times New Roman" w:cs="Times New Roman"/>
          <w:b/>
          <w:sz w:val="28"/>
          <w:szCs w:val="24"/>
        </w:rPr>
        <w:t>(</w:t>
      </w:r>
      <w:r w:rsidRPr="00236DEE">
        <w:rPr>
          <w:rFonts w:ascii="Times New Roman" w:eastAsia="Times New Roman" w:hAnsi="Times New Roman" w:cs="Times New Roman"/>
          <w:b/>
          <w:sz w:val="28"/>
          <w:szCs w:val="24"/>
        </w:rPr>
        <w:t>W2−W1</w:t>
      </w:r>
      <w:r>
        <w:rPr>
          <w:rFonts w:ascii="Times New Roman" w:eastAsia="Times New Roman" w:hAnsi="Times New Roman" w:cs="Times New Roman"/>
          <w:b/>
          <w:sz w:val="28"/>
          <w:szCs w:val="24"/>
        </w:rPr>
        <w:t>)/</w:t>
      </w:r>
      <w:r w:rsidRPr="00236DEE">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w:t>
      </w:r>
      <w:r w:rsidRPr="00236DEE">
        <w:rPr>
          <w:rFonts w:ascii="Times New Roman" w:eastAsia="Times New Roman" w:hAnsi="Times New Roman" w:cs="Times New Roman"/>
          <w:b/>
          <w:sz w:val="28"/>
          <w:szCs w:val="24"/>
        </w:rPr>
        <w:t>S(t2−t1)</w:t>
      </w:r>
      <w:r>
        <w:rPr>
          <w:rFonts w:ascii="Times New Roman" w:eastAsia="Times New Roman" w:hAnsi="Times New Roman" w:cs="Times New Roman"/>
          <w:b/>
          <w:sz w:val="28"/>
          <w:szCs w:val="24"/>
        </w:rPr>
        <w:t>}</w:t>
      </w:r>
    </w:p>
    <w:p w14:paraId="0DE7BF98" w14:textId="77777777" w:rsidR="00120D36" w:rsidRPr="00C72F32" w:rsidRDefault="00120D36" w:rsidP="007978C7">
      <w:pPr>
        <w:spacing w:before="100" w:beforeAutospacing="1" w:after="100" w:afterAutospacing="1" w:line="360" w:lineRule="auto"/>
        <w:jc w:val="both"/>
        <w:rPr>
          <w:rFonts w:ascii="Times New Roman" w:eastAsia="Times New Roman" w:hAnsi="Times New Roman" w:cs="Times New Roman"/>
          <w:sz w:val="24"/>
          <w:szCs w:val="24"/>
        </w:rPr>
      </w:pPr>
      <w:r w:rsidRPr="00C72F32">
        <w:rPr>
          <w:rFonts w:ascii="Times New Roman" w:eastAsia="Times New Roman" w:hAnsi="Times New Roman" w:cs="Times New Roman"/>
          <w:sz w:val="24"/>
          <w:szCs w:val="24"/>
        </w:rPr>
        <w:t>Where:</w:t>
      </w:r>
    </w:p>
    <w:p w14:paraId="0EADD5E8" w14:textId="77777777" w:rsidR="00120D36" w:rsidRPr="00C72F32" w:rsidRDefault="00120D36" w:rsidP="007978C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C72F32">
        <w:rPr>
          <w:rFonts w:ascii="Times New Roman" w:eastAsia="Times New Roman" w:hAnsi="Times New Roman" w:cs="Times New Roman"/>
          <w:b/>
          <w:bCs/>
          <w:sz w:val="24"/>
          <w:szCs w:val="24"/>
        </w:rPr>
        <w:t>W1</w:t>
      </w:r>
      <w:r w:rsidRPr="00C72F32">
        <w:rPr>
          <w:rFonts w:ascii="Times New Roman" w:eastAsia="Times New Roman" w:hAnsi="Times New Roman" w:cs="Times New Roman"/>
          <w:sz w:val="24"/>
          <w:szCs w:val="24"/>
        </w:rPr>
        <w:t xml:space="preserve"> = Dry weight per unit area at time </w:t>
      </w:r>
      <w:r w:rsidRPr="00C72F32">
        <w:rPr>
          <w:rFonts w:ascii="Times New Roman" w:eastAsia="Times New Roman" w:hAnsi="Times New Roman" w:cs="Times New Roman"/>
          <w:b/>
          <w:bCs/>
          <w:sz w:val="24"/>
          <w:szCs w:val="24"/>
        </w:rPr>
        <w:t>t1</w:t>
      </w:r>
      <w:r w:rsidRPr="00C72F32">
        <w:rPr>
          <w:rFonts w:ascii="Times New Roman" w:eastAsia="Times New Roman" w:hAnsi="Times New Roman" w:cs="Times New Roman"/>
          <w:sz w:val="24"/>
          <w:szCs w:val="24"/>
        </w:rPr>
        <w:t xml:space="preserve"> (initial time)</w:t>
      </w:r>
    </w:p>
    <w:p w14:paraId="3DF3D4C9" w14:textId="77777777" w:rsidR="00120D36" w:rsidRPr="00C72F32" w:rsidRDefault="00120D36" w:rsidP="007978C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C72F32">
        <w:rPr>
          <w:rFonts w:ascii="Times New Roman" w:eastAsia="Times New Roman" w:hAnsi="Times New Roman" w:cs="Times New Roman"/>
          <w:b/>
          <w:bCs/>
          <w:sz w:val="24"/>
          <w:szCs w:val="24"/>
        </w:rPr>
        <w:t>W2</w:t>
      </w:r>
      <w:r w:rsidRPr="00C72F32">
        <w:rPr>
          <w:rFonts w:ascii="Times New Roman" w:eastAsia="Times New Roman" w:hAnsi="Times New Roman" w:cs="Times New Roman"/>
          <w:sz w:val="24"/>
          <w:szCs w:val="24"/>
        </w:rPr>
        <w:t xml:space="preserve"> = Dry weight per unit area at time </w:t>
      </w:r>
      <w:r w:rsidRPr="00C72F32">
        <w:rPr>
          <w:rFonts w:ascii="Times New Roman" w:eastAsia="Times New Roman" w:hAnsi="Times New Roman" w:cs="Times New Roman"/>
          <w:b/>
          <w:bCs/>
          <w:sz w:val="24"/>
          <w:szCs w:val="24"/>
        </w:rPr>
        <w:t>t2</w:t>
      </w:r>
      <w:r w:rsidRPr="00C72F32">
        <w:rPr>
          <w:rFonts w:ascii="Times New Roman" w:eastAsia="Times New Roman" w:hAnsi="Times New Roman" w:cs="Times New Roman"/>
          <w:sz w:val="24"/>
          <w:szCs w:val="24"/>
        </w:rPr>
        <w:t xml:space="preserve"> (final time)</w:t>
      </w:r>
    </w:p>
    <w:p w14:paraId="4E370301" w14:textId="77777777" w:rsidR="00120D36" w:rsidRPr="00C72F32" w:rsidRDefault="00120D36" w:rsidP="007978C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C72F32">
        <w:rPr>
          <w:rFonts w:ascii="Times New Roman" w:eastAsia="Times New Roman" w:hAnsi="Times New Roman" w:cs="Times New Roman"/>
          <w:b/>
          <w:bCs/>
          <w:sz w:val="24"/>
          <w:szCs w:val="24"/>
        </w:rPr>
        <w:t>S</w:t>
      </w:r>
      <w:r w:rsidRPr="00C72F32">
        <w:rPr>
          <w:rFonts w:ascii="Times New Roman" w:eastAsia="Times New Roman" w:hAnsi="Times New Roman" w:cs="Times New Roman"/>
          <w:sz w:val="24"/>
          <w:szCs w:val="24"/>
        </w:rPr>
        <w:t xml:space="preserve"> = Ground area (m²)</w:t>
      </w:r>
    </w:p>
    <w:p w14:paraId="2F7B0AFE" w14:textId="77777777" w:rsidR="00120D36" w:rsidRDefault="00120D36" w:rsidP="007978C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C72F32">
        <w:rPr>
          <w:rFonts w:ascii="Times New Roman" w:eastAsia="Times New Roman" w:hAnsi="Times New Roman" w:cs="Times New Roman"/>
          <w:b/>
          <w:bCs/>
          <w:sz w:val="24"/>
          <w:szCs w:val="24"/>
        </w:rPr>
        <w:t>t2 - t1</w:t>
      </w:r>
      <w:r w:rsidRPr="00C72F32">
        <w:rPr>
          <w:rFonts w:ascii="Times New Roman" w:eastAsia="Times New Roman" w:hAnsi="Times New Roman" w:cs="Times New Roman"/>
          <w:sz w:val="24"/>
          <w:szCs w:val="24"/>
        </w:rPr>
        <w:t xml:space="preserve"> = Time interval between two successive samplings (days)</w:t>
      </w:r>
    </w:p>
    <w:p w14:paraId="1A91BC87" w14:textId="528BC8B0" w:rsidR="00120D36" w:rsidRPr="00677EFE" w:rsidRDefault="00120D36" w:rsidP="00677EFE">
      <w:pPr>
        <w:spacing w:after="0" w:line="360" w:lineRule="auto"/>
        <w:jc w:val="both"/>
        <w:rPr>
          <w:rFonts w:ascii="Times New Roman" w:eastAsia="Cambria Math" w:hAnsi="Times New Roman" w:cs="Times New Roman"/>
          <w:sz w:val="24"/>
          <w:szCs w:val="24"/>
        </w:rPr>
      </w:pPr>
      <w:r w:rsidRPr="00863C8D">
        <w:rPr>
          <w:rFonts w:ascii="Times New Roman" w:hAnsi="Times New Roman" w:cs="Times New Roman"/>
          <w:sz w:val="24"/>
          <w:szCs w:val="24"/>
        </w:rPr>
        <w:lastRenderedPageBreak/>
        <w:t>Same way the Relative Growth Rate (RGR) also been calculated by using the formula –</w:t>
      </w:r>
    </w:p>
    <w:p w14:paraId="63FA3E90" w14:textId="5737D0D5" w:rsidR="00120D36" w:rsidRPr="00236DEE" w:rsidRDefault="00120D36" w:rsidP="007978C7">
      <w:pPr>
        <w:spacing w:before="1" w:line="360" w:lineRule="auto"/>
        <w:jc w:val="both"/>
        <w:rPr>
          <w:rFonts w:ascii="Times New Roman" w:hAnsi="Times New Roman" w:cs="Times New Roman"/>
          <w:b/>
          <w:sz w:val="28"/>
          <w:szCs w:val="24"/>
        </w:rPr>
      </w:pPr>
      <w:r w:rsidRPr="00236DEE">
        <w:rPr>
          <w:rFonts w:ascii="Times New Roman" w:hAnsi="Times New Roman" w:cs="Times New Roman"/>
          <w:b/>
          <w:sz w:val="28"/>
          <w:szCs w:val="24"/>
        </w:rPr>
        <w:t>RGR (g/g/</w:t>
      </w:r>
      <w:r w:rsidR="00935DEB" w:rsidRPr="00236DEE">
        <w:rPr>
          <w:rFonts w:ascii="Times New Roman" w:hAnsi="Times New Roman" w:cs="Times New Roman"/>
          <w:b/>
          <w:sz w:val="28"/>
          <w:szCs w:val="24"/>
        </w:rPr>
        <w:t>day) =</w:t>
      </w:r>
      <w:r w:rsidRPr="00236DEE">
        <w:rPr>
          <w:rFonts w:ascii="Times New Roman" w:hAnsi="Times New Roman" w:cs="Times New Roman"/>
          <w:b/>
          <w:sz w:val="28"/>
          <w:szCs w:val="24"/>
        </w:rPr>
        <w:t xml:space="preserve"> </w:t>
      </w:r>
      <w:r w:rsidRPr="00236DEE">
        <w:rPr>
          <w:rFonts w:ascii="Times New Roman" w:hAnsi="Times New Roman" w:cs="Times New Roman"/>
          <w:b/>
          <w:w w:val="105"/>
          <w:sz w:val="28"/>
          <w:szCs w:val="24"/>
        </w:rPr>
        <w:t>log</w:t>
      </w:r>
      <w:r w:rsidRPr="00236DEE">
        <w:rPr>
          <w:rFonts w:ascii="Times New Roman" w:hAnsi="Times New Roman" w:cs="Times New Roman"/>
          <w:b/>
          <w:w w:val="105"/>
          <w:sz w:val="28"/>
          <w:szCs w:val="24"/>
          <w:vertAlign w:val="subscript"/>
        </w:rPr>
        <w:t>e</w:t>
      </w:r>
      <w:r w:rsidRPr="00236DEE">
        <w:rPr>
          <w:rFonts w:ascii="Times New Roman" w:hAnsi="Times New Roman" w:cs="Times New Roman"/>
          <w:b/>
          <w:w w:val="105"/>
          <w:sz w:val="28"/>
          <w:szCs w:val="24"/>
        </w:rPr>
        <w:t>W</w:t>
      </w:r>
      <w:r w:rsidRPr="00236DEE">
        <w:rPr>
          <w:rFonts w:ascii="Times New Roman" w:hAnsi="Times New Roman" w:cs="Times New Roman"/>
          <w:b/>
          <w:w w:val="105"/>
          <w:sz w:val="28"/>
          <w:szCs w:val="24"/>
          <w:vertAlign w:val="subscript"/>
        </w:rPr>
        <w:t>2</w:t>
      </w:r>
      <w:r w:rsidRPr="00236DEE">
        <w:rPr>
          <w:rFonts w:ascii="Times New Roman" w:hAnsi="Times New Roman" w:cs="Times New Roman"/>
          <w:b/>
          <w:w w:val="105"/>
          <w:sz w:val="28"/>
          <w:szCs w:val="24"/>
        </w:rPr>
        <w:t>–log</w:t>
      </w:r>
      <w:r w:rsidRPr="00236DEE">
        <w:rPr>
          <w:rFonts w:ascii="Times New Roman" w:hAnsi="Times New Roman" w:cs="Times New Roman"/>
          <w:b/>
          <w:w w:val="105"/>
          <w:sz w:val="28"/>
          <w:szCs w:val="24"/>
          <w:vertAlign w:val="subscript"/>
        </w:rPr>
        <w:t>e</w:t>
      </w:r>
      <w:r w:rsidRPr="00236DEE">
        <w:rPr>
          <w:rFonts w:ascii="Times New Roman" w:hAnsi="Times New Roman" w:cs="Times New Roman"/>
          <w:b/>
          <w:w w:val="105"/>
          <w:sz w:val="28"/>
          <w:szCs w:val="24"/>
        </w:rPr>
        <w:t>W</w:t>
      </w:r>
      <w:r w:rsidRPr="00236DEE">
        <w:rPr>
          <w:rFonts w:ascii="Times New Roman" w:hAnsi="Times New Roman" w:cs="Times New Roman"/>
          <w:b/>
          <w:w w:val="105"/>
          <w:sz w:val="28"/>
          <w:szCs w:val="24"/>
          <w:vertAlign w:val="subscript"/>
        </w:rPr>
        <w:t>1</w:t>
      </w:r>
      <w:r w:rsidRPr="00236DEE">
        <w:rPr>
          <w:rFonts w:ascii="Times New Roman" w:hAnsi="Times New Roman" w:cs="Times New Roman"/>
          <w:b/>
          <w:w w:val="105"/>
          <w:sz w:val="28"/>
          <w:szCs w:val="24"/>
        </w:rPr>
        <w:t xml:space="preserve">/ </w:t>
      </w:r>
      <w:r w:rsidRPr="00236DEE">
        <w:rPr>
          <w:rFonts w:ascii="Times New Roman" w:hAnsi="Times New Roman" w:cs="Times New Roman"/>
          <w:b/>
          <w:sz w:val="28"/>
          <w:szCs w:val="24"/>
        </w:rPr>
        <w:t>(t</w:t>
      </w:r>
      <w:r w:rsidRPr="00236DEE">
        <w:rPr>
          <w:rFonts w:ascii="Times New Roman" w:hAnsi="Times New Roman" w:cs="Times New Roman"/>
          <w:b/>
          <w:sz w:val="28"/>
          <w:szCs w:val="24"/>
          <w:vertAlign w:val="subscript"/>
        </w:rPr>
        <w:t>2</w:t>
      </w:r>
      <w:r w:rsidRPr="00236DEE">
        <w:rPr>
          <w:rFonts w:ascii="Times New Roman" w:hAnsi="Times New Roman" w:cs="Times New Roman"/>
          <w:b/>
          <w:sz w:val="28"/>
          <w:szCs w:val="24"/>
        </w:rPr>
        <w:t>– t</w:t>
      </w:r>
      <w:r w:rsidRPr="00236DEE">
        <w:rPr>
          <w:rFonts w:ascii="Times New Roman" w:hAnsi="Times New Roman" w:cs="Times New Roman"/>
          <w:b/>
          <w:sz w:val="28"/>
          <w:szCs w:val="24"/>
          <w:vertAlign w:val="subscript"/>
        </w:rPr>
        <w:t>1</w:t>
      </w:r>
      <w:r w:rsidRPr="00236DEE">
        <w:rPr>
          <w:rFonts w:ascii="Times New Roman" w:hAnsi="Times New Roman" w:cs="Times New Roman"/>
          <w:b/>
          <w:sz w:val="28"/>
          <w:szCs w:val="24"/>
        </w:rPr>
        <w:t>)</w:t>
      </w:r>
    </w:p>
    <w:p w14:paraId="17960666" w14:textId="52896DFE" w:rsidR="00120D36" w:rsidRPr="00863C8D" w:rsidRDefault="00120D36" w:rsidP="00677EFE">
      <w:pPr>
        <w:pStyle w:val="BodyText"/>
        <w:spacing w:before="217" w:line="360" w:lineRule="auto"/>
        <w:ind w:left="121" w:right="-8839"/>
        <w:jc w:val="both"/>
        <w:rPr>
          <w:sz w:val="24"/>
          <w:szCs w:val="24"/>
        </w:rPr>
      </w:pPr>
      <w:r w:rsidRPr="00863C8D">
        <w:rPr>
          <w:sz w:val="24"/>
          <w:szCs w:val="24"/>
        </w:rPr>
        <w:t>Where,</w:t>
      </w:r>
    </w:p>
    <w:p w14:paraId="71803325" w14:textId="40B71B22" w:rsidR="00120D36" w:rsidRPr="00F566B9" w:rsidRDefault="00120D36" w:rsidP="007978C7">
      <w:pPr>
        <w:spacing w:after="0" w:line="360" w:lineRule="auto"/>
        <w:ind w:left="720" w:right="-288"/>
        <w:jc w:val="both"/>
        <w:rPr>
          <w:rFonts w:ascii="Times New Roman" w:eastAsia="Times New Roman" w:hAnsi="Times New Roman" w:cs="Times New Roman"/>
          <w:sz w:val="24"/>
          <w:szCs w:val="24"/>
        </w:rPr>
      </w:pPr>
      <w:r w:rsidRPr="00F566B9">
        <w:rPr>
          <w:rFonts w:ascii="Times New Roman" w:eastAsia="Times New Roman" w:hAnsi="Symbol" w:cs="Times New Roman"/>
          <w:sz w:val="24"/>
          <w:szCs w:val="24"/>
        </w:rPr>
        <w:t></w:t>
      </w:r>
      <w:r w:rsidRPr="00F566B9">
        <w:rPr>
          <w:rFonts w:ascii="Times New Roman" w:eastAsia="Times New Roman" w:hAnsi="Times New Roman" w:cs="Times New Roman"/>
          <w:sz w:val="24"/>
          <w:szCs w:val="24"/>
        </w:rPr>
        <w:t xml:space="preserve"> </w:t>
      </w:r>
      <w:r w:rsidRPr="00F566B9">
        <w:rPr>
          <w:rFonts w:ascii="Times New Roman" w:eastAsia="Times New Roman" w:hAnsi="Times New Roman" w:cs="Times New Roman"/>
          <w:b/>
          <w:bCs/>
          <w:sz w:val="24"/>
          <w:szCs w:val="24"/>
        </w:rPr>
        <w:t>Loge W1</w:t>
      </w:r>
      <w:r w:rsidRPr="00F566B9">
        <w:rPr>
          <w:rFonts w:ascii="Times New Roman" w:eastAsia="Times New Roman" w:hAnsi="Times New Roman" w:cs="Times New Roman"/>
          <w:sz w:val="24"/>
          <w:szCs w:val="24"/>
        </w:rPr>
        <w:t xml:space="preserve"> = Natural log of the initial dry weight (g) of the plants at time </w:t>
      </w:r>
      <w:r w:rsidRPr="00F566B9">
        <w:rPr>
          <w:rFonts w:ascii="Times New Roman" w:eastAsia="Times New Roman" w:hAnsi="Times New Roman" w:cs="Times New Roman"/>
          <w:b/>
          <w:bCs/>
          <w:sz w:val="24"/>
          <w:szCs w:val="24"/>
        </w:rPr>
        <w:t>t</w:t>
      </w:r>
      <w:r w:rsidRPr="00935DEB">
        <w:rPr>
          <w:rFonts w:ascii="Times New Roman" w:eastAsia="Times New Roman" w:hAnsi="Times New Roman" w:cs="Times New Roman"/>
          <w:b/>
          <w:bCs/>
          <w:sz w:val="24"/>
          <w:szCs w:val="24"/>
        </w:rPr>
        <w:t>1</w:t>
      </w:r>
      <w:r w:rsidRPr="00F566B9">
        <w:rPr>
          <w:rFonts w:ascii="Times New Roman" w:eastAsia="Times New Roman" w:hAnsi="Times New Roman" w:cs="Times New Roman"/>
          <w:sz w:val="24"/>
          <w:szCs w:val="24"/>
        </w:rPr>
        <w:t xml:space="preserve"> </w:t>
      </w:r>
    </w:p>
    <w:p w14:paraId="5E370634" w14:textId="4B98BBB8" w:rsidR="00120D36" w:rsidRPr="00F566B9" w:rsidRDefault="00120D36" w:rsidP="007978C7">
      <w:pPr>
        <w:spacing w:after="0" w:line="360" w:lineRule="auto"/>
        <w:ind w:left="720" w:right="-288"/>
        <w:jc w:val="both"/>
        <w:rPr>
          <w:rFonts w:ascii="Times New Roman" w:eastAsia="Times New Roman" w:hAnsi="Times New Roman" w:cs="Times New Roman"/>
          <w:sz w:val="24"/>
          <w:szCs w:val="24"/>
        </w:rPr>
      </w:pPr>
      <w:r w:rsidRPr="00F566B9">
        <w:rPr>
          <w:rFonts w:ascii="Times New Roman" w:eastAsia="Times New Roman" w:hAnsi="Symbol" w:cs="Times New Roman"/>
          <w:sz w:val="24"/>
          <w:szCs w:val="24"/>
        </w:rPr>
        <w:t></w:t>
      </w:r>
      <w:r w:rsidRPr="00F566B9">
        <w:rPr>
          <w:rFonts w:ascii="Times New Roman" w:eastAsia="Times New Roman" w:hAnsi="Times New Roman" w:cs="Times New Roman"/>
          <w:sz w:val="24"/>
          <w:szCs w:val="24"/>
        </w:rPr>
        <w:t xml:space="preserve"> </w:t>
      </w:r>
      <w:r w:rsidRPr="00F566B9">
        <w:rPr>
          <w:rFonts w:ascii="Times New Roman" w:eastAsia="Times New Roman" w:hAnsi="Times New Roman" w:cs="Times New Roman"/>
          <w:b/>
          <w:bCs/>
          <w:sz w:val="24"/>
          <w:szCs w:val="24"/>
        </w:rPr>
        <w:t>Loge W2</w:t>
      </w:r>
      <w:r w:rsidRPr="00F566B9">
        <w:rPr>
          <w:rFonts w:ascii="Times New Roman" w:eastAsia="Times New Roman" w:hAnsi="Times New Roman" w:cs="Times New Roman"/>
          <w:sz w:val="24"/>
          <w:szCs w:val="24"/>
        </w:rPr>
        <w:t xml:space="preserve"> = Natural log of the dry weight (g) of the plants after a certain time interval </w:t>
      </w:r>
      <w:r w:rsidRPr="00F566B9">
        <w:rPr>
          <w:rFonts w:ascii="Times New Roman" w:eastAsia="Times New Roman" w:hAnsi="Times New Roman" w:cs="Times New Roman"/>
          <w:b/>
          <w:bCs/>
          <w:sz w:val="24"/>
          <w:szCs w:val="24"/>
        </w:rPr>
        <w:t>t2</w:t>
      </w:r>
      <w:r w:rsidRPr="00F566B9">
        <w:rPr>
          <w:rFonts w:ascii="Times New Roman" w:eastAsia="Times New Roman" w:hAnsi="Times New Roman" w:cs="Times New Roman"/>
          <w:sz w:val="24"/>
          <w:szCs w:val="24"/>
        </w:rPr>
        <w:t xml:space="preserve"> </w:t>
      </w:r>
    </w:p>
    <w:p w14:paraId="7FF5EB27" w14:textId="3D666FEA" w:rsidR="00120D36" w:rsidRDefault="00120D36" w:rsidP="007978C7">
      <w:pPr>
        <w:spacing w:after="0" w:line="360" w:lineRule="auto"/>
        <w:ind w:left="720" w:right="-288"/>
        <w:jc w:val="both"/>
        <w:rPr>
          <w:rFonts w:ascii="Times New Roman" w:eastAsia="Times New Roman" w:hAnsi="Times New Roman" w:cs="Times New Roman"/>
          <w:sz w:val="24"/>
          <w:szCs w:val="24"/>
        </w:rPr>
      </w:pPr>
      <w:r w:rsidRPr="00F566B9">
        <w:rPr>
          <w:rFonts w:ascii="Times New Roman" w:eastAsia="Times New Roman" w:hAnsi="Symbol" w:cs="Times New Roman"/>
          <w:sz w:val="24"/>
          <w:szCs w:val="24"/>
        </w:rPr>
        <w:t></w:t>
      </w:r>
      <w:r w:rsidRPr="00F566B9">
        <w:rPr>
          <w:rFonts w:ascii="Times New Roman" w:eastAsia="Times New Roman" w:hAnsi="Times New Roman" w:cs="Times New Roman"/>
          <w:sz w:val="24"/>
          <w:szCs w:val="24"/>
        </w:rPr>
        <w:t xml:space="preserve"> </w:t>
      </w:r>
      <w:r w:rsidRPr="00F566B9">
        <w:rPr>
          <w:rFonts w:ascii="Times New Roman" w:eastAsia="Times New Roman" w:hAnsi="Times New Roman" w:cs="Times New Roman"/>
          <w:b/>
          <w:bCs/>
          <w:sz w:val="24"/>
          <w:szCs w:val="24"/>
        </w:rPr>
        <w:t>t1</w:t>
      </w:r>
      <w:r w:rsidRPr="00F566B9">
        <w:rPr>
          <w:rFonts w:ascii="Times New Roman" w:eastAsia="Times New Roman" w:hAnsi="Times New Roman" w:cs="Times New Roman"/>
          <w:sz w:val="24"/>
          <w:szCs w:val="24"/>
        </w:rPr>
        <w:t xml:space="preserve"> = Initial time of data collection (days) </w:t>
      </w:r>
    </w:p>
    <w:p w14:paraId="184B3773" w14:textId="1DE03755" w:rsidR="00120D36" w:rsidRDefault="00120D36" w:rsidP="007978C7">
      <w:pPr>
        <w:spacing w:after="0" w:line="360" w:lineRule="auto"/>
        <w:ind w:left="720" w:right="-288"/>
        <w:jc w:val="both"/>
        <w:rPr>
          <w:rFonts w:ascii="Times New Roman" w:eastAsia="Times New Roman" w:hAnsi="Times New Roman" w:cs="Times New Roman"/>
          <w:sz w:val="24"/>
          <w:szCs w:val="24"/>
        </w:rPr>
      </w:pPr>
      <w:r w:rsidRPr="00F566B9">
        <w:rPr>
          <w:rFonts w:ascii="Times New Roman" w:eastAsia="Times New Roman" w:hAnsi="Symbol" w:cs="Times New Roman"/>
          <w:sz w:val="24"/>
          <w:szCs w:val="24"/>
        </w:rPr>
        <w:t></w:t>
      </w:r>
      <w:r w:rsidRPr="00F566B9">
        <w:rPr>
          <w:rFonts w:ascii="Times New Roman" w:eastAsia="Times New Roman" w:hAnsi="Times New Roman" w:cs="Times New Roman"/>
          <w:sz w:val="24"/>
          <w:szCs w:val="24"/>
        </w:rPr>
        <w:t xml:space="preserve"> </w:t>
      </w:r>
      <w:r w:rsidRPr="00F566B9">
        <w:rPr>
          <w:rFonts w:ascii="Times New Roman" w:eastAsia="Times New Roman" w:hAnsi="Times New Roman" w:cs="Times New Roman"/>
          <w:b/>
          <w:bCs/>
          <w:sz w:val="24"/>
          <w:szCs w:val="24"/>
        </w:rPr>
        <w:t>t2</w:t>
      </w:r>
      <w:r w:rsidRPr="00F566B9">
        <w:rPr>
          <w:rFonts w:ascii="Times New Roman" w:eastAsia="Times New Roman" w:hAnsi="Times New Roman" w:cs="Times New Roman"/>
          <w:sz w:val="24"/>
          <w:szCs w:val="24"/>
        </w:rPr>
        <w:t xml:space="preserve"> = Time after a certain interval (days)</w:t>
      </w:r>
    </w:p>
    <w:p w14:paraId="189AE90F" w14:textId="77777777" w:rsidR="00AE1A9D" w:rsidRDefault="00AE1A9D" w:rsidP="007978C7">
      <w:pPr>
        <w:spacing w:after="0" w:line="360" w:lineRule="auto"/>
        <w:ind w:left="720" w:right="-288"/>
        <w:jc w:val="both"/>
        <w:rPr>
          <w:rFonts w:ascii="Times New Roman" w:eastAsia="Times New Roman" w:hAnsi="Times New Roman" w:cs="Times New Roman"/>
          <w:sz w:val="24"/>
          <w:szCs w:val="24"/>
        </w:rPr>
      </w:pPr>
    </w:p>
    <w:p w14:paraId="09EB935C" w14:textId="77777777" w:rsidR="00AE1A9D" w:rsidRPr="00F566B9" w:rsidRDefault="00AE1A9D" w:rsidP="007978C7">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F566B9">
        <w:rPr>
          <w:rFonts w:ascii="Times New Roman" w:eastAsia="Times New Roman" w:hAnsi="Times New Roman" w:cs="Times New Roman"/>
          <w:b/>
          <w:bCs/>
          <w:sz w:val="27"/>
          <w:szCs w:val="27"/>
        </w:rPr>
        <w:t>Statistical Analysis</w:t>
      </w:r>
    </w:p>
    <w:p w14:paraId="4CDBA306" w14:textId="0E22E517" w:rsidR="003930CE" w:rsidRDefault="00AE1A9D" w:rsidP="007978C7">
      <w:pPr>
        <w:pStyle w:val="NormalWeb"/>
        <w:spacing w:before="240" w:beforeAutospacing="0" w:after="0" w:afterAutospacing="0" w:line="360" w:lineRule="auto"/>
        <w:jc w:val="both"/>
      </w:pPr>
      <w:r w:rsidRPr="006754F7">
        <w:t xml:space="preserve">The collected data were analyzed using MS Excel software, and the results were expressed as arithmetic mean values with standard deviation (±SD). The Analysis of Variance (ANOVA) </w:t>
      </w:r>
      <w:r w:rsidRPr="00F175AD">
        <w:t xml:space="preserve">method of </w:t>
      </w:r>
      <w:r w:rsidRPr="00F175AD">
        <w:rPr>
          <w:b/>
          <w:i/>
        </w:rPr>
        <w:t>Gomez and Gomez</w:t>
      </w:r>
      <w:r w:rsidRPr="00F175AD">
        <w:rPr>
          <w:b/>
        </w:rPr>
        <w:t xml:space="preserve"> (1984)</w:t>
      </w:r>
      <w:r w:rsidRPr="00863C8D">
        <w:t xml:space="preserve"> </w:t>
      </w:r>
      <w:r w:rsidR="00753A0A">
        <w:t>is</w:t>
      </w:r>
      <w:r w:rsidRPr="006754F7">
        <w:t xml:space="preserve"> used to determine the significant differences between treatments. The significance level </w:t>
      </w:r>
      <w:r w:rsidR="00753A0A">
        <w:t>is</w:t>
      </w:r>
      <w:r w:rsidRPr="006754F7">
        <w:t xml:space="preserve"> set at P&lt;0.05, meaning the differences among treatments were considered statistically significant if the P-value </w:t>
      </w:r>
      <w:r w:rsidR="00753A0A">
        <w:t>is</w:t>
      </w:r>
      <w:r w:rsidRPr="006754F7">
        <w:t xml:space="preserve"> less than 0.05.</w:t>
      </w:r>
    </w:p>
    <w:p w14:paraId="430493A0" w14:textId="77777777" w:rsidR="00120D36" w:rsidRPr="006754F7" w:rsidRDefault="00120D36" w:rsidP="007978C7">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6754F7">
        <w:rPr>
          <w:rFonts w:ascii="Times New Roman" w:eastAsia="Times New Roman" w:hAnsi="Times New Roman" w:cs="Times New Roman"/>
          <w:b/>
          <w:bCs/>
          <w:sz w:val="27"/>
          <w:szCs w:val="27"/>
        </w:rPr>
        <w:t>Economic Analysis</w:t>
      </w:r>
    </w:p>
    <w:p w14:paraId="21A03EDD" w14:textId="511F0F53" w:rsidR="00120D36" w:rsidRPr="006754F7" w:rsidRDefault="00120D36" w:rsidP="007978C7">
      <w:pPr>
        <w:spacing w:before="100" w:beforeAutospacing="1" w:after="100" w:afterAutospacing="1" w:line="360" w:lineRule="auto"/>
        <w:jc w:val="both"/>
        <w:rPr>
          <w:rFonts w:ascii="Times New Roman" w:eastAsia="Times New Roman" w:hAnsi="Times New Roman" w:cs="Times New Roman"/>
          <w:sz w:val="24"/>
          <w:szCs w:val="24"/>
        </w:rPr>
      </w:pPr>
      <w:r w:rsidRPr="006754F7">
        <w:rPr>
          <w:rFonts w:ascii="Times New Roman" w:eastAsia="Times New Roman" w:hAnsi="Times New Roman" w:cs="Times New Roman"/>
          <w:sz w:val="24"/>
          <w:szCs w:val="24"/>
        </w:rPr>
        <w:t xml:space="preserve">The economic analysis </w:t>
      </w:r>
      <w:r w:rsidR="00753A0A">
        <w:rPr>
          <w:rFonts w:ascii="Times New Roman" w:eastAsia="Times New Roman" w:hAnsi="Times New Roman" w:cs="Times New Roman"/>
          <w:sz w:val="24"/>
          <w:szCs w:val="24"/>
        </w:rPr>
        <w:t>is</w:t>
      </w:r>
      <w:r w:rsidRPr="006754F7">
        <w:rPr>
          <w:rFonts w:ascii="Times New Roman" w:eastAsia="Times New Roman" w:hAnsi="Times New Roman" w:cs="Times New Roman"/>
          <w:sz w:val="24"/>
          <w:szCs w:val="24"/>
        </w:rPr>
        <w:t xml:space="preserve"> conducted to evaluate the </w:t>
      </w:r>
      <w:r w:rsidRPr="00B23D9C">
        <w:rPr>
          <w:rFonts w:ascii="Times New Roman" w:eastAsia="Times New Roman" w:hAnsi="Times New Roman" w:cs="Times New Roman"/>
          <w:bCs/>
          <w:sz w:val="24"/>
          <w:szCs w:val="24"/>
        </w:rPr>
        <w:t>cost-effectiveness</w:t>
      </w:r>
      <w:r w:rsidRPr="006754F7">
        <w:rPr>
          <w:rFonts w:ascii="Times New Roman" w:eastAsia="Times New Roman" w:hAnsi="Times New Roman" w:cs="Times New Roman"/>
          <w:sz w:val="24"/>
          <w:szCs w:val="24"/>
        </w:rPr>
        <w:t xml:space="preserve"> of different treatments in </w:t>
      </w:r>
      <w:r w:rsidR="00336D30">
        <w:rPr>
          <w:rFonts w:ascii="Times New Roman" w:eastAsia="Times New Roman" w:hAnsi="Times New Roman" w:cs="Times New Roman"/>
          <w:bCs/>
          <w:sz w:val="24"/>
          <w:szCs w:val="24"/>
        </w:rPr>
        <w:t>Toria</w:t>
      </w:r>
      <w:r w:rsidRPr="00B23D9C">
        <w:rPr>
          <w:rFonts w:ascii="Times New Roman" w:eastAsia="Times New Roman" w:hAnsi="Times New Roman" w:cs="Times New Roman"/>
          <w:bCs/>
          <w:sz w:val="24"/>
          <w:szCs w:val="24"/>
        </w:rPr>
        <w:t xml:space="preserve"> cultivation</w:t>
      </w:r>
      <w:r w:rsidRPr="006754F7">
        <w:rPr>
          <w:rFonts w:ascii="Times New Roman" w:eastAsia="Times New Roman" w:hAnsi="Times New Roman" w:cs="Times New Roman"/>
          <w:sz w:val="24"/>
          <w:szCs w:val="24"/>
        </w:rPr>
        <w:t>. The following economic parameters were considered:</w:t>
      </w:r>
    </w:p>
    <w:p w14:paraId="1B9860AE" w14:textId="77777777" w:rsidR="00120D36" w:rsidRPr="006754F7" w:rsidRDefault="00120D36" w:rsidP="007978C7">
      <w:pPr>
        <w:numPr>
          <w:ilvl w:val="0"/>
          <w:numId w:val="3"/>
        </w:numPr>
        <w:spacing w:after="0" w:line="360" w:lineRule="auto"/>
        <w:jc w:val="both"/>
        <w:rPr>
          <w:rFonts w:ascii="Times New Roman" w:eastAsia="Times New Roman" w:hAnsi="Times New Roman" w:cs="Times New Roman"/>
          <w:sz w:val="24"/>
          <w:szCs w:val="24"/>
        </w:rPr>
      </w:pPr>
      <w:r w:rsidRPr="00B23D9C">
        <w:rPr>
          <w:rFonts w:ascii="Times New Roman" w:eastAsia="Times New Roman" w:hAnsi="Times New Roman" w:cs="Times New Roman"/>
          <w:b/>
          <w:bCs/>
          <w:sz w:val="24"/>
          <w:szCs w:val="24"/>
        </w:rPr>
        <w:t>Cost of Cultivation:</w:t>
      </w:r>
      <w:r w:rsidRPr="006754F7">
        <w:rPr>
          <w:rFonts w:ascii="Times New Roman" w:eastAsia="Times New Roman" w:hAnsi="Times New Roman" w:cs="Times New Roman"/>
          <w:b/>
          <w:sz w:val="24"/>
          <w:szCs w:val="24"/>
        </w:rPr>
        <w:t xml:space="preserve"> </w:t>
      </w:r>
      <w:r w:rsidRPr="006754F7">
        <w:rPr>
          <w:rFonts w:ascii="Times New Roman" w:eastAsia="Times New Roman" w:hAnsi="Times New Roman" w:cs="Times New Roman"/>
          <w:sz w:val="24"/>
          <w:szCs w:val="24"/>
        </w:rPr>
        <w:t xml:space="preserve">It refers to the </w:t>
      </w:r>
      <w:r w:rsidRPr="00B23D9C">
        <w:rPr>
          <w:rFonts w:ascii="Times New Roman" w:eastAsia="Times New Roman" w:hAnsi="Times New Roman" w:cs="Times New Roman"/>
          <w:bCs/>
          <w:sz w:val="24"/>
          <w:szCs w:val="24"/>
        </w:rPr>
        <w:t>total expenditure</w:t>
      </w:r>
      <w:r w:rsidRPr="006754F7">
        <w:rPr>
          <w:rFonts w:ascii="Times New Roman" w:eastAsia="Times New Roman" w:hAnsi="Times New Roman" w:cs="Times New Roman"/>
          <w:sz w:val="24"/>
          <w:szCs w:val="24"/>
        </w:rPr>
        <w:t xml:space="preserve"> incurred during the cultivation process, including the cost of </w:t>
      </w:r>
      <w:r w:rsidRPr="00B23D9C">
        <w:rPr>
          <w:rFonts w:ascii="Times New Roman" w:eastAsia="Times New Roman" w:hAnsi="Times New Roman" w:cs="Times New Roman"/>
          <w:bCs/>
          <w:sz w:val="24"/>
          <w:szCs w:val="24"/>
        </w:rPr>
        <w:t>seeds, fertilizers, pesticides, labor, irrigation, machinery, and land rent</w:t>
      </w:r>
      <w:r w:rsidRPr="006754F7">
        <w:rPr>
          <w:rFonts w:ascii="Times New Roman" w:eastAsia="Times New Roman" w:hAnsi="Times New Roman" w:cs="Times New Roman"/>
          <w:sz w:val="24"/>
          <w:szCs w:val="24"/>
        </w:rPr>
        <w:t xml:space="preserve">. This helps in understanding the </w:t>
      </w:r>
      <w:r w:rsidRPr="00B23D9C">
        <w:rPr>
          <w:rFonts w:ascii="Times New Roman" w:eastAsia="Times New Roman" w:hAnsi="Times New Roman" w:cs="Times New Roman"/>
          <w:bCs/>
          <w:sz w:val="24"/>
          <w:szCs w:val="24"/>
        </w:rPr>
        <w:t>total investment</w:t>
      </w:r>
      <w:r w:rsidRPr="006754F7">
        <w:rPr>
          <w:rFonts w:ascii="Times New Roman" w:eastAsia="Times New Roman" w:hAnsi="Times New Roman" w:cs="Times New Roman"/>
          <w:sz w:val="24"/>
          <w:szCs w:val="24"/>
        </w:rPr>
        <w:t xml:space="preserve"> required for crop production.</w:t>
      </w:r>
    </w:p>
    <w:p w14:paraId="3FC1B61F" w14:textId="4C2C7390" w:rsidR="00120D36" w:rsidRPr="006754F7" w:rsidRDefault="00120D36" w:rsidP="007978C7">
      <w:pPr>
        <w:numPr>
          <w:ilvl w:val="0"/>
          <w:numId w:val="3"/>
        </w:numPr>
        <w:spacing w:after="0" w:line="360" w:lineRule="auto"/>
        <w:jc w:val="both"/>
        <w:rPr>
          <w:rFonts w:ascii="Times New Roman" w:eastAsia="Times New Roman" w:hAnsi="Times New Roman" w:cs="Times New Roman"/>
          <w:sz w:val="24"/>
          <w:szCs w:val="24"/>
        </w:rPr>
      </w:pPr>
      <w:r w:rsidRPr="00B23D9C">
        <w:rPr>
          <w:rFonts w:ascii="Times New Roman" w:eastAsia="Times New Roman" w:hAnsi="Times New Roman" w:cs="Times New Roman"/>
          <w:b/>
          <w:bCs/>
          <w:sz w:val="24"/>
          <w:szCs w:val="24"/>
        </w:rPr>
        <w:t>Gross Return:</w:t>
      </w:r>
      <w:r w:rsidRPr="006754F7">
        <w:rPr>
          <w:rFonts w:ascii="Times New Roman" w:eastAsia="Times New Roman" w:hAnsi="Times New Roman" w:cs="Times New Roman"/>
          <w:sz w:val="24"/>
          <w:szCs w:val="24"/>
        </w:rPr>
        <w:t xml:space="preserve"> It represents the </w:t>
      </w:r>
      <w:r w:rsidRPr="00B23D9C">
        <w:rPr>
          <w:rFonts w:ascii="Times New Roman" w:eastAsia="Times New Roman" w:hAnsi="Times New Roman" w:cs="Times New Roman"/>
          <w:bCs/>
          <w:sz w:val="24"/>
          <w:szCs w:val="24"/>
        </w:rPr>
        <w:t>total income</w:t>
      </w:r>
      <w:r w:rsidRPr="006754F7">
        <w:rPr>
          <w:rFonts w:ascii="Times New Roman" w:eastAsia="Times New Roman" w:hAnsi="Times New Roman" w:cs="Times New Roman"/>
          <w:sz w:val="24"/>
          <w:szCs w:val="24"/>
        </w:rPr>
        <w:t xml:space="preserve"> generated from the sale of </w:t>
      </w:r>
      <w:r w:rsidR="00336D30">
        <w:rPr>
          <w:rFonts w:ascii="Times New Roman" w:eastAsia="Times New Roman" w:hAnsi="Times New Roman" w:cs="Times New Roman"/>
          <w:bCs/>
          <w:sz w:val="24"/>
          <w:szCs w:val="24"/>
        </w:rPr>
        <w:t>Toria</w:t>
      </w:r>
      <w:r w:rsidRPr="00B23D9C">
        <w:rPr>
          <w:rFonts w:ascii="Times New Roman" w:eastAsia="Times New Roman" w:hAnsi="Times New Roman" w:cs="Times New Roman"/>
          <w:bCs/>
          <w:sz w:val="24"/>
          <w:szCs w:val="24"/>
        </w:rPr>
        <w:t xml:space="preserve"> seeds</w:t>
      </w:r>
      <w:r w:rsidRPr="006754F7">
        <w:rPr>
          <w:rFonts w:ascii="Times New Roman" w:eastAsia="Times New Roman" w:hAnsi="Times New Roman" w:cs="Times New Roman"/>
          <w:sz w:val="24"/>
          <w:szCs w:val="24"/>
        </w:rPr>
        <w:t xml:space="preserve"> without deducting any production costs.</w:t>
      </w:r>
    </w:p>
    <w:p w14:paraId="0574A4F9" w14:textId="7F3D3045" w:rsidR="00120D36" w:rsidRPr="006754F7" w:rsidRDefault="00120D36" w:rsidP="007978C7">
      <w:pPr>
        <w:numPr>
          <w:ilvl w:val="0"/>
          <w:numId w:val="3"/>
        </w:numPr>
        <w:spacing w:after="0" w:line="360" w:lineRule="auto"/>
        <w:jc w:val="both"/>
        <w:rPr>
          <w:rFonts w:ascii="Times New Roman" w:eastAsia="Times New Roman" w:hAnsi="Times New Roman" w:cs="Times New Roman"/>
          <w:sz w:val="24"/>
          <w:szCs w:val="24"/>
        </w:rPr>
      </w:pPr>
      <w:r w:rsidRPr="00B23D9C">
        <w:rPr>
          <w:rFonts w:ascii="Times New Roman" w:eastAsia="Times New Roman" w:hAnsi="Times New Roman" w:cs="Times New Roman"/>
          <w:b/>
          <w:bCs/>
          <w:sz w:val="24"/>
          <w:szCs w:val="24"/>
        </w:rPr>
        <w:t>Net Return:</w:t>
      </w:r>
      <w:r w:rsidRPr="006754F7">
        <w:rPr>
          <w:rFonts w:ascii="Times New Roman" w:eastAsia="Times New Roman" w:hAnsi="Times New Roman" w:cs="Times New Roman"/>
          <w:sz w:val="24"/>
          <w:szCs w:val="24"/>
        </w:rPr>
        <w:t xml:space="preserve"> The </w:t>
      </w:r>
      <w:r w:rsidRPr="00B23D9C">
        <w:rPr>
          <w:rFonts w:ascii="Times New Roman" w:eastAsia="Times New Roman" w:hAnsi="Times New Roman" w:cs="Times New Roman"/>
          <w:bCs/>
          <w:sz w:val="24"/>
          <w:szCs w:val="24"/>
        </w:rPr>
        <w:t>profit earned</w:t>
      </w:r>
      <w:r w:rsidRPr="006754F7">
        <w:rPr>
          <w:rFonts w:ascii="Times New Roman" w:eastAsia="Times New Roman" w:hAnsi="Times New Roman" w:cs="Times New Roman"/>
          <w:sz w:val="24"/>
          <w:szCs w:val="24"/>
        </w:rPr>
        <w:t xml:space="preserve"> after deducting the </w:t>
      </w:r>
      <w:r w:rsidRPr="00B23D9C">
        <w:rPr>
          <w:rFonts w:ascii="Times New Roman" w:eastAsia="Times New Roman" w:hAnsi="Times New Roman" w:cs="Times New Roman"/>
          <w:bCs/>
          <w:sz w:val="24"/>
          <w:szCs w:val="24"/>
        </w:rPr>
        <w:t>total cost of cultivation</w:t>
      </w:r>
      <w:r w:rsidRPr="006754F7">
        <w:rPr>
          <w:rFonts w:ascii="Times New Roman" w:eastAsia="Times New Roman" w:hAnsi="Times New Roman" w:cs="Times New Roman"/>
          <w:sz w:val="24"/>
          <w:szCs w:val="24"/>
        </w:rPr>
        <w:t xml:space="preserve"> from the </w:t>
      </w:r>
      <w:r w:rsidRPr="00B23D9C">
        <w:rPr>
          <w:rFonts w:ascii="Times New Roman" w:eastAsia="Times New Roman" w:hAnsi="Times New Roman" w:cs="Times New Roman"/>
          <w:bCs/>
          <w:sz w:val="24"/>
          <w:szCs w:val="24"/>
        </w:rPr>
        <w:t>gross return</w:t>
      </w:r>
      <w:r w:rsidRPr="006754F7">
        <w:rPr>
          <w:rFonts w:ascii="Times New Roman" w:eastAsia="Times New Roman" w:hAnsi="Times New Roman" w:cs="Times New Roman"/>
          <w:sz w:val="24"/>
          <w:szCs w:val="24"/>
        </w:rPr>
        <w:t xml:space="preserve">, indicating the </w:t>
      </w:r>
      <w:r w:rsidRPr="00B23D9C">
        <w:rPr>
          <w:rFonts w:ascii="Times New Roman" w:eastAsia="Times New Roman" w:hAnsi="Times New Roman" w:cs="Times New Roman"/>
          <w:bCs/>
          <w:sz w:val="24"/>
          <w:szCs w:val="24"/>
        </w:rPr>
        <w:t>actual income</w:t>
      </w:r>
      <w:r w:rsidRPr="006754F7">
        <w:rPr>
          <w:rFonts w:ascii="Times New Roman" w:eastAsia="Times New Roman" w:hAnsi="Times New Roman" w:cs="Times New Roman"/>
          <w:sz w:val="24"/>
          <w:szCs w:val="24"/>
        </w:rPr>
        <w:t xml:space="preserve"> from </w:t>
      </w:r>
      <w:r w:rsidR="00336D30">
        <w:rPr>
          <w:rFonts w:ascii="Times New Roman" w:eastAsia="Times New Roman" w:hAnsi="Times New Roman" w:cs="Times New Roman"/>
          <w:sz w:val="24"/>
          <w:szCs w:val="24"/>
        </w:rPr>
        <w:t>Toria</w:t>
      </w:r>
      <w:r w:rsidRPr="006754F7">
        <w:rPr>
          <w:rFonts w:ascii="Times New Roman" w:eastAsia="Times New Roman" w:hAnsi="Times New Roman" w:cs="Times New Roman"/>
          <w:sz w:val="24"/>
          <w:szCs w:val="24"/>
        </w:rPr>
        <w:t xml:space="preserve"> production.</w:t>
      </w:r>
    </w:p>
    <w:p w14:paraId="66E99289" w14:textId="7050BB05" w:rsidR="00120D36" w:rsidRPr="006754F7" w:rsidRDefault="00120D36" w:rsidP="007978C7">
      <w:pPr>
        <w:numPr>
          <w:ilvl w:val="0"/>
          <w:numId w:val="3"/>
        </w:numPr>
        <w:spacing w:after="0" w:line="360" w:lineRule="auto"/>
        <w:jc w:val="both"/>
        <w:rPr>
          <w:rFonts w:ascii="Times New Roman" w:eastAsia="Times New Roman" w:hAnsi="Times New Roman" w:cs="Times New Roman"/>
          <w:sz w:val="24"/>
          <w:szCs w:val="24"/>
        </w:rPr>
      </w:pPr>
      <w:r w:rsidRPr="00B23D9C">
        <w:rPr>
          <w:rFonts w:ascii="Times New Roman" w:eastAsia="Times New Roman" w:hAnsi="Times New Roman" w:cs="Times New Roman"/>
          <w:b/>
          <w:bCs/>
          <w:sz w:val="24"/>
          <w:szCs w:val="24"/>
        </w:rPr>
        <w:lastRenderedPageBreak/>
        <w:t>Benefit-Cost (B:C) Ratio:</w:t>
      </w:r>
      <w:r w:rsidRPr="006754F7">
        <w:rPr>
          <w:rFonts w:ascii="Times New Roman" w:eastAsia="Times New Roman" w:hAnsi="Times New Roman" w:cs="Times New Roman"/>
          <w:sz w:val="24"/>
          <w:szCs w:val="24"/>
        </w:rPr>
        <w:t xml:space="preserve"> It is calculated by dividing the </w:t>
      </w:r>
      <w:r w:rsidRPr="00B23D9C">
        <w:rPr>
          <w:rFonts w:ascii="Times New Roman" w:eastAsia="Times New Roman" w:hAnsi="Times New Roman" w:cs="Times New Roman"/>
          <w:bCs/>
          <w:sz w:val="24"/>
          <w:szCs w:val="24"/>
        </w:rPr>
        <w:t>gross return</w:t>
      </w:r>
      <w:r w:rsidRPr="006754F7">
        <w:rPr>
          <w:rFonts w:ascii="Times New Roman" w:eastAsia="Times New Roman" w:hAnsi="Times New Roman" w:cs="Times New Roman"/>
          <w:sz w:val="24"/>
          <w:szCs w:val="24"/>
        </w:rPr>
        <w:t xml:space="preserve"> by the </w:t>
      </w:r>
      <w:r w:rsidRPr="00B23D9C">
        <w:rPr>
          <w:rFonts w:ascii="Times New Roman" w:eastAsia="Times New Roman" w:hAnsi="Times New Roman" w:cs="Times New Roman"/>
          <w:bCs/>
          <w:sz w:val="24"/>
          <w:szCs w:val="24"/>
        </w:rPr>
        <w:t>total cost of cultivation</w:t>
      </w:r>
      <w:r w:rsidRPr="006754F7">
        <w:rPr>
          <w:rFonts w:ascii="Times New Roman" w:eastAsia="Times New Roman" w:hAnsi="Times New Roman" w:cs="Times New Roman"/>
          <w:sz w:val="24"/>
          <w:szCs w:val="24"/>
        </w:rPr>
        <w:t xml:space="preserve">. </w:t>
      </w:r>
      <w:r w:rsidRPr="00B23D9C">
        <w:rPr>
          <w:rFonts w:ascii="Times New Roman" w:eastAsia="Times New Roman" w:hAnsi="Times New Roman" w:cs="Times New Roman"/>
          <w:bCs/>
          <w:sz w:val="24"/>
          <w:szCs w:val="24"/>
        </w:rPr>
        <w:t>B:C ratio</w:t>
      </w:r>
      <w:r w:rsidRPr="006754F7">
        <w:rPr>
          <w:rFonts w:ascii="Times New Roman" w:eastAsia="Times New Roman" w:hAnsi="Times New Roman" w:cs="Times New Roman"/>
          <w:sz w:val="24"/>
          <w:szCs w:val="24"/>
        </w:rPr>
        <w:t xml:space="preserve"> greater than </w:t>
      </w:r>
      <w:r w:rsidRPr="00B23D9C">
        <w:rPr>
          <w:rFonts w:ascii="Times New Roman" w:eastAsia="Times New Roman" w:hAnsi="Times New Roman" w:cs="Times New Roman"/>
          <w:bCs/>
          <w:sz w:val="24"/>
          <w:szCs w:val="24"/>
        </w:rPr>
        <w:t>1</w:t>
      </w:r>
      <w:r w:rsidRPr="006754F7">
        <w:rPr>
          <w:rFonts w:ascii="Times New Roman" w:eastAsia="Times New Roman" w:hAnsi="Times New Roman" w:cs="Times New Roman"/>
          <w:sz w:val="24"/>
          <w:szCs w:val="24"/>
        </w:rPr>
        <w:t xml:space="preserve"> indicates a </w:t>
      </w:r>
      <w:r w:rsidRPr="00B23D9C">
        <w:rPr>
          <w:rFonts w:ascii="Times New Roman" w:eastAsia="Times New Roman" w:hAnsi="Times New Roman" w:cs="Times New Roman"/>
          <w:bCs/>
          <w:sz w:val="24"/>
          <w:szCs w:val="24"/>
        </w:rPr>
        <w:t>profitable investment</w:t>
      </w:r>
      <w:r w:rsidRPr="006754F7">
        <w:rPr>
          <w:rFonts w:ascii="Times New Roman" w:eastAsia="Times New Roman" w:hAnsi="Times New Roman" w:cs="Times New Roman"/>
          <w:sz w:val="24"/>
          <w:szCs w:val="24"/>
        </w:rPr>
        <w:t xml:space="preserve">, whereas a ratio less than </w:t>
      </w:r>
      <w:r w:rsidRPr="00B23D9C">
        <w:rPr>
          <w:rFonts w:ascii="Times New Roman" w:eastAsia="Times New Roman" w:hAnsi="Times New Roman" w:cs="Times New Roman"/>
          <w:bCs/>
          <w:sz w:val="24"/>
          <w:szCs w:val="24"/>
        </w:rPr>
        <w:t>1</w:t>
      </w:r>
      <w:r w:rsidRPr="006754F7">
        <w:rPr>
          <w:rFonts w:ascii="Times New Roman" w:eastAsia="Times New Roman" w:hAnsi="Times New Roman" w:cs="Times New Roman"/>
          <w:sz w:val="24"/>
          <w:szCs w:val="24"/>
        </w:rPr>
        <w:t xml:space="preserve"> suggests a </w:t>
      </w:r>
      <w:r w:rsidRPr="00B23D9C">
        <w:rPr>
          <w:rFonts w:ascii="Times New Roman" w:eastAsia="Times New Roman" w:hAnsi="Times New Roman" w:cs="Times New Roman"/>
          <w:bCs/>
          <w:sz w:val="24"/>
          <w:szCs w:val="24"/>
        </w:rPr>
        <w:t>loss</w:t>
      </w:r>
      <w:r w:rsidRPr="006754F7">
        <w:rPr>
          <w:rFonts w:ascii="Times New Roman" w:eastAsia="Times New Roman" w:hAnsi="Times New Roman" w:cs="Times New Roman"/>
          <w:sz w:val="24"/>
          <w:szCs w:val="24"/>
        </w:rPr>
        <w:t>.</w:t>
      </w:r>
    </w:p>
    <w:p w14:paraId="34D36A21" w14:textId="1A0D0B6A" w:rsidR="002463B8" w:rsidRDefault="00120D36" w:rsidP="007978C7">
      <w:pPr>
        <w:spacing w:after="0" w:line="360" w:lineRule="auto"/>
        <w:jc w:val="both"/>
        <w:rPr>
          <w:rFonts w:ascii="Times New Roman" w:eastAsia="Times New Roman" w:hAnsi="Times New Roman" w:cs="Times New Roman"/>
          <w:sz w:val="24"/>
          <w:szCs w:val="24"/>
        </w:rPr>
      </w:pPr>
      <w:r w:rsidRPr="006754F7">
        <w:rPr>
          <w:rFonts w:ascii="Times New Roman" w:eastAsia="Times New Roman" w:hAnsi="Times New Roman" w:cs="Times New Roman"/>
          <w:sz w:val="24"/>
          <w:szCs w:val="24"/>
        </w:rPr>
        <w:t xml:space="preserve">This analysis provided a clear understanding of the </w:t>
      </w:r>
      <w:r w:rsidRPr="00B23D9C">
        <w:rPr>
          <w:rFonts w:ascii="Times New Roman" w:eastAsia="Times New Roman" w:hAnsi="Times New Roman" w:cs="Times New Roman"/>
          <w:bCs/>
          <w:sz w:val="24"/>
          <w:szCs w:val="24"/>
        </w:rPr>
        <w:t>profitability and economic feasibility</w:t>
      </w:r>
      <w:r w:rsidRPr="006754F7">
        <w:rPr>
          <w:rFonts w:ascii="Times New Roman" w:eastAsia="Times New Roman" w:hAnsi="Times New Roman" w:cs="Times New Roman"/>
          <w:sz w:val="24"/>
          <w:szCs w:val="24"/>
        </w:rPr>
        <w:t xml:space="preserve"> of different treatments in </w:t>
      </w:r>
      <w:r w:rsidR="00336D30">
        <w:rPr>
          <w:rFonts w:ascii="Times New Roman" w:eastAsia="Times New Roman" w:hAnsi="Times New Roman" w:cs="Times New Roman"/>
          <w:bCs/>
          <w:sz w:val="24"/>
          <w:szCs w:val="24"/>
        </w:rPr>
        <w:t>Toria</w:t>
      </w:r>
      <w:r w:rsidRPr="00B23D9C">
        <w:rPr>
          <w:rFonts w:ascii="Times New Roman" w:eastAsia="Times New Roman" w:hAnsi="Times New Roman" w:cs="Times New Roman"/>
          <w:bCs/>
          <w:sz w:val="24"/>
          <w:szCs w:val="24"/>
        </w:rPr>
        <w:t xml:space="preserve"> cultivation</w:t>
      </w:r>
      <w:r w:rsidRPr="006754F7">
        <w:rPr>
          <w:rFonts w:ascii="Times New Roman" w:eastAsia="Times New Roman" w:hAnsi="Times New Roman" w:cs="Times New Roman"/>
          <w:sz w:val="24"/>
          <w:szCs w:val="24"/>
        </w:rPr>
        <w:t>.</w:t>
      </w:r>
    </w:p>
    <w:p w14:paraId="7EBE85D1" w14:textId="77777777" w:rsidR="00EB22D8" w:rsidRPr="00DB74AF" w:rsidRDefault="00EB22D8" w:rsidP="007978C7">
      <w:pPr>
        <w:spacing w:after="0" w:line="360" w:lineRule="auto"/>
        <w:jc w:val="both"/>
        <w:rPr>
          <w:rFonts w:ascii="Times New Roman" w:eastAsia="Times New Roman" w:hAnsi="Times New Roman" w:cs="Times New Roman"/>
          <w:sz w:val="24"/>
          <w:szCs w:val="24"/>
        </w:rPr>
      </w:pPr>
    </w:p>
    <w:p w14:paraId="57F65CAB" w14:textId="77777777" w:rsidR="00120D36" w:rsidRDefault="00120D36" w:rsidP="007978C7">
      <w:pPr>
        <w:spacing w:before="1" w:line="360" w:lineRule="auto"/>
        <w:jc w:val="both"/>
        <w:rPr>
          <w:rFonts w:ascii="Times New Roman" w:hAnsi="Times New Roman" w:cs="Times New Roman"/>
          <w:b/>
          <w:sz w:val="28"/>
          <w:szCs w:val="28"/>
        </w:rPr>
      </w:pPr>
      <w:r w:rsidRPr="00DD5917">
        <w:rPr>
          <w:rFonts w:ascii="Times New Roman" w:hAnsi="Times New Roman" w:cs="Times New Roman"/>
          <w:b/>
          <w:sz w:val="28"/>
          <w:szCs w:val="28"/>
        </w:rPr>
        <w:t xml:space="preserve">RESULT AND DISCUSSION </w:t>
      </w:r>
    </w:p>
    <w:p w14:paraId="214DEF41" w14:textId="77777777" w:rsidR="00120D36" w:rsidRPr="00B278BF" w:rsidRDefault="00120D36" w:rsidP="007978C7">
      <w:pPr>
        <w:tabs>
          <w:tab w:val="left" w:pos="1133"/>
          <w:tab w:val="left" w:pos="1134"/>
        </w:tabs>
        <w:spacing w:before="11" w:line="360" w:lineRule="auto"/>
        <w:jc w:val="both"/>
        <w:rPr>
          <w:rFonts w:ascii="Times New Roman" w:hAnsi="Times New Roman" w:cs="Times New Roman"/>
          <w:b/>
          <w:sz w:val="24"/>
          <w:szCs w:val="24"/>
        </w:rPr>
      </w:pPr>
      <w:r w:rsidRPr="00B278BF">
        <w:rPr>
          <w:rFonts w:ascii="Times New Roman" w:hAnsi="Times New Roman" w:cs="Times New Roman"/>
          <w:b/>
          <w:sz w:val="24"/>
          <w:szCs w:val="24"/>
        </w:rPr>
        <w:t>Plant height</w:t>
      </w:r>
    </w:p>
    <w:p w14:paraId="5B32BA9D" w14:textId="79BDE900" w:rsidR="002463B8" w:rsidRDefault="002463B8" w:rsidP="007978C7">
      <w:pPr>
        <w:tabs>
          <w:tab w:val="left" w:pos="1133"/>
          <w:tab w:val="left" w:pos="1134"/>
        </w:tabs>
        <w:spacing w:before="11" w:line="360" w:lineRule="auto"/>
        <w:jc w:val="both"/>
        <w:rPr>
          <w:rFonts w:ascii="Times New Roman" w:hAnsi="Times New Roman" w:cs="Times New Roman"/>
          <w:sz w:val="24"/>
          <w:szCs w:val="24"/>
        </w:rPr>
      </w:pPr>
      <w:r w:rsidRPr="002463B8">
        <w:rPr>
          <w:rFonts w:ascii="Times New Roman" w:hAnsi="Times New Roman" w:cs="Times New Roman"/>
          <w:sz w:val="24"/>
          <w:szCs w:val="24"/>
        </w:rPr>
        <w:t>At 80 DAS, the significantly higher plant height (1</w:t>
      </w:r>
      <w:r w:rsidR="00B21CDB">
        <w:rPr>
          <w:rFonts w:ascii="Times New Roman" w:hAnsi="Times New Roman" w:cs="Times New Roman"/>
          <w:sz w:val="24"/>
          <w:szCs w:val="24"/>
        </w:rPr>
        <w:t>12</w:t>
      </w:r>
      <w:r w:rsidR="00A40E75">
        <w:rPr>
          <w:rFonts w:ascii="Times New Roman" w:hAnsi="Times New Roman" w:cs="Times New Roman"/>
          <w:sz w:val="24"/>
          <w:szCs w:val="24"/>
        </w:rPr>
        <w:t>.25</w:t>
      </w:r>
      <w:r w:rsidRPr="002463B8">
        <w:rPr>
          <w:rFonts w:ascii="Times New Roman" w:hAnsi="Times New Roman" w:cs="Times New Roman"/>
          <w:sz w:val="24"/>
          <w:szCs w:val="24"/>
        </w:rPr>
        <w:t xml:space="preserve"> cm) </w:t>
      </w:r>
      <w:r w:rsidR="00753A0A">
        <w:rPr>
          <w:rFonts w:ascii="Times New Roman" w:hAnsi="Times New Roman" w:cs="Times New Roman"/>
          <w:sz w:val="24"/>
          <w:szCs w:val="24"/>
        </w:rPr>
        <w:t>is</w:t>
      </w:r>
      <w:r w:rsidRPr="002463B8">
        <w:rPr>
          <w:rFonts w:ascii="Times New Roman" w:hAnsi="Times New Roman" w:cs="Times New Roman"/>
          <w:sz w:val="24"/>
          <w:szCs w:val="24"/>
        </w:rPr>
        <w:t xml:space="preserve"> observed in treatment-9 (Ammonium sulphate @ 60 kg/ha). This could be attributed to enough nutrients, which aid in rapid vegetative growth of plants and, as a result, enhance plant height through cell elongation, cell division, photosynthesis, and plant cell turbidity </w:t>
      </w:r>
      <w:r w:rsidRPr="002463B8">
        <w:rPr>
          <w:rFonts w:ascii="Times New Roman" w:hAnsi="Times New Roman" w:cs="Times New Roman"/>
          <w:b/>
          <w:bCs/>
          <w:sz w:val="24"/>
          <w:szCs w:val="24"/>
        </w:rPr>
        <w:t>Tripathi et al., (2011).</w:t>
      </w:r>
    </w:p>
    <w:p w14:paraId="5621876C" w14:textId="6668BD4A" w:rsidR="00120D36" w:rsidRPr="00C86B71" w:rsidRDefault="00120D36" w:rsidP="007978C7">
      <w:pPr>
        <w:tabs>
          <w:tab w:val="left" w:pos="1133"/>
          <w:tab w:val="left" w:pos="1134"/>
        </w:tabs>
        <w:spacing w:before="11" w:line="360" w:lineRule="auto"/>
        <w:jc w:val="both"/>
        <w:rPr>
          <w:rFonts w:ascii="Times New Roman" w:hAnsi="Times New Roman" w:cs="Times New Roman"/>
          <w:b/>
          <w:sz w:val="24"/>
          <w:szCs w:val="24"/>
        </w:rPr>
      </w:pPr>
      <w:r w:rsidRPr="00C86B71">
        <w:rPr>
          <w:rFonts w:ascii="Times New Roman" w:hAnsi="Times New Roman" w:cs="Times New Roman"/>
          <w:b/>
          <w:sz w:val="24"/>
          <w:szCs w:val="24"/>
        </w:rPr>
        <w:t>Plant dry weight (g/plant)</w:t>
      </w:r>
    </w:p>
    <w:p w14:paraId="470EF273" w14:textId="77777777" w:rsidR="003027DD" w:rsidRDefault="002463B8" w:rsidP="003027DD">
      <w:pPr>
        <w:pStyle w:val="BodyText"/>
        <w:spacing w:line="360" w:lineRule="auto"/>
        <w:jc w:val="both"/>
        <w:rPr>
          <w:rFonts w:eastAsiaTheme="minorHAnsi"/>
          <w:b/>
          <w:bCs/>
          <w:sz w:val="24"/>
          <w:szCs w:val="24"/>
        </w:rPr>
      </w:pPr>
      <w:r w:rsidRPr="002463B8">
        <w:rPr>
          <w:rFonts w:eastAsiaTheme="minorHAnsi"/>
          <w:sz w:val="24"/>
          <w:szCs w:val="24"/>
        </w:rPr>
        <w:t xml:space="preserve">At 80 DAS, the significantly higher plant dry weight (19.33 g) </w:t>
      </w:r>
      <w:r w:rsidR="00753A0A">
        <w:rPr>
          <w:rFonts w:eastAsiaTheme="minorHAnsi"/>
          <w:sz w:val="24"/>
          <w:szCs w:val="24"/>
        </w:rPr>
        <w:t>is</w:t>
      </w:r>
      <w:r w:rsidRPr="002463B8">
        <w:rPr>
          <w:rFonts w:eastAsiaTheme="minorHAnsi"/>
          <w:sz w:val="24"/>
          <w:szCs w:val="24"/>
        </w:rPr>
        <w:t xml:space="preserve"> observed in treatment-9 (Ammonium sulphate at 60 kg/ha).This could be due to Sulphur levels, which aid in promoting and hastening the metabolic process, physiological activities, and increasing the photosynthesis process related to growth as a result of increasing plant height, number of branches and leaves, and other above ground and below ground plant structures, which were the probable reason for hastening the dry matter accumulations in plant </w:t>
      </w:r>
      <w:r w:rsidRPr="002463B8">
        <w:rPr>
          <w:rFonts w:eastAsiaTheme="minorHAnsi"/>
          <w:b/>
          <w:bCs/>
          <w:sz w:val="24"/>
          <w:szCs w:val="24"/>
        </w:rPr>
        <w:t>Mallick et al. (2015).</w:t>
      </w:r>
    </w:p>
    <w:p w14:paraId="7CECEC14" w14:textId="77777777" w:rsidR="003027DD" w:rsidRDefault="003027DD" w:rsidP="003027DD">
      <w:pPr>
        <w:pStyle w:val="BodyText"/>
        <w:spacing w:line="360" w:lineRule="auto"/>
        <w:jc w:val="both"/>
        <w:rPr>
          <w:b/>
          <w:bCs/>
          <w:sz w:val="24"/>
          <w:szCs w:val="24"/>
        </w:rPr>
      </w:pPr>
    </w:p>
    <w:p w14:paraId="4BF274F4" w14:textId="14E1FC3C" w:rsidR="003027DD" w:rsidRDefault="00E11CE3" w:rsidP="003027DD">
      <w:pPr>
        <w:pStyle w:val="BodyText"/>
        <w:spacing w:line="360" w:lineRule="auto"/>
        <w:jc w:val="both"/>
        <w:rPr>
          <w:b/>
          <w:bCs/>
          <w:sz w:val="24"/>
          <w:szCs w:val="24"/>
        </w:rPr>
      </w:pPr>
      <w:r w:rsidRPr="001B55F6">
        <w:rPr>
          <w:b/>
          <w:bCs/>
          <w:sz w:val="24"/>
          <w:szCs w:val="24"/>
        </w:rPr>
        <w:t>Branches/plant (no.)</w:t>
      </w:r>
    </w:p>
    <w:p w14:paraId="2E490E58" w14:textId="2377F4AE" w:rsidR="00E11CE3" w:rsidRPr="003027DD" w:rsidRDefault="00E11CE3" w:rsidP="003027DD">
      <w:pPr>
        <w:pStyle w:val="BodyText"/>
        <w:spacing w:line="360" w:lineRule="auto"/>
        <w:jc w:val="both"/>
        <w:rPr>
          <w:rFonts w:eastAsiaTheme="minorHAnsi"/>
          <w:b/>
          <w:bCs/>
          <w:sz w:val="24"/>
          <w:szCs w:val="24"/>
        </w:rPr>
      </w:pPr>
      <w:r w:rsidRPr="006E10A4">
        <w:t>The significant higher number of branches (8.47) is observed in treatment-9 (Ammonium sulphate at 60kg/ha), which is significantly superior over rest of the treatments. However, treatment-3 (SSP at 60 kg/ha) and treatment-6 (Gypsum at 60kg/ha) is found to be statistically at par with treatment- 9 (Ammonium sulphate</w:t>
      </w:r>
      <w:r w:rsidRPr="001B55F6">
        <w:rPr>
          <w:sz w:val="24"/>
          <w:szCs w:val="24"/>
        </w:rPr>
        <w:t xml:space="preserve"> at 60kg/ha). Specifically, optimal sulphur levels have been found to increase the number of branches and seeds per siliqua, as adequate sulfur is crucial for protein synthesis and metabolic processes essential for reproductive growth </w:t>
      </w:r>
      <w:r w:rsidRPr="001B55F6">
        <w:rPr>
          <w:b/>
          <w:bCs/>
          <w:sz w:val="24"/>
          <w:szCs w:val="24"/>
        </w:rPr>
        <w:t>(Mohammadi et al., 2005).</w:t>
      </w:r>
    </w:p>
    <w:p w14:paraId="4BD82551" w14:textId="77777777" w:rsidR="00984A95" w:rsidRPr="00984A95" w:rsidRDefault="00984A95" w:rsidP="005D4CA7">
      <w:pPr>
        <w:spacing w:after="0" w:line="360" w:lineRule="auto"/>
        <w:ind w:right="1440"/>
        <w:jc w:val="both"/>
        <w:rPr>
          <w:rFonts w:ascii="Times New Roman" w:hAnsi="Times New Roman" w:cs="Times New Roman"/>
          <w:sz w:val="24"/>
          <w:szCs w:val="24"/>
        </w:rPr>
      </w:pPr>
    </w:p>
    <w:p w14:paraId="2301A67F" w14:textId="6AF14A9A" w:rsidR="007B68A7" w:rsidRPr="002463B8" w:rsidRDefault="00120D36" w:rsidP="007978C7">
      <w:pPr>
        <w:pStyle w:val="BodyText"/>
        <w:spacing w:line="360" w:lineRule="auto"/>
        <w:jc w:val="both"/>
        <w:rPr>
          <w:rFonts w:eastAsiaTheme="minorHAnsi"/>
          <w:sz w:val="24"/>
          <w:szCs w:val="24"/>
        </w:rPr>
      </w:pPr>
      <w:r w:rsidRPr="00303422">
        <w:rPr>
          <w:b/>
          <w:sz w:val="24"/>
          <w:szCs w:val="24"/>
        </w:rPr>
        <w:t>Crop growth rate (g/m</w:t>
      </w:r>
      <w:r w:rsidRPr="00303422">
        <w:rPr>
          <w:b/>
          <w:sz w:val="24"/>
          <w:szCs w:val="24"/>
          <w:vertAlign w:val="superscript"/>
        </w:rPr>
        <w:t>2</w:t>
      </w:r>
      <w:r w:rsidRPr="00303422">
        <w:rPr>
          <w:b/>
          <w:sz w:val="24"/>
          <w:szCs w:val="24"/>
        </w:rPr>
        <w:t>/day)</w:t>
      </w:r>
    </w:p>
    <w:p w14:paraId="4C59DE89" w14:textId="735533F3" w:rsidR="002463B8" w:rsidRPr="002463B8" w:rsidRDefault="002463B8" w:rsidP="007978C7">
      <w:pPr>
        <w:pStyle w:val="Heading3"/>
        <w:tabs>
          <w:tab w:val="left" w:pos="953"/>
        </w:tabs>
        <w:spacing w:line="360" w:lineRule="auto"/>
        <w:jc w:val="both"/>
        <w:rPr>
          <w:b w:val="0"/>
          <w:bCs w:val="0"/>
          <w:color w:val="0D0D0D"/>
          <w:sz w:val="24"/>
          <w:szCs w:val="24"/>
        </w:rPr>
      </w:pPr>
      <w:r w:rsidRPr="002463B8">
        <w:rPr>
          <w:b w:val="0"/>
          <w:bCs w:val="0"/>
          <w:color w:val="0D0D0D"/>
          <w:sz w:val="24"/>
          <w:szCs w:val="24"/>
        </w:rPr>
        <w:lastRenderedPageBreak/>
        <w:t xml:space="preserve">At 60-80 DAS, the significantly higher crop growth rate (17.398 g/m2/day) </w:t>
      </w:r>
      <w:r w:rsidR="00753A0A">
        <w:rPr>
          <w:b w:val="0"/>
          <w:bCs w:val="0"/>
          <w:color w:val="0D0D0D"/>
          <w:sz w:val="24"/>
          <w:szCs w:val="24"/>
        </w:rPr>
        <w:t>is</w:t>
      </w:r>
      <w:r w:rsidRPr="002463B8">
        <w:rPr>
          <w:b w:val="0"/>
          <w:bCs w:val="0"/>
          <w:color w:val="0D0D0D"/>
          <w:sz w:val="24"/>
          <w:szCs w:val="24"/>
        </w:rPr>
        <w:t xml:space="preserve"> observed in treatment-9 (Ammonium sulphate at 60 kg/ha). However, treatment-4 (Gypsum at 30 kg/ha) and treatment-8 (Ammonium sulphate at 45 kg/ha) </w:t>
      </w:r>
      <w:r w:rsidR="00753A0A">
        <w:rPr>
          <w:b w:val="0"/>
          <w:bCs w:val="0"/>
          <w:color w:val="0D0D0D"/>
          <w:sz w:val="24"/>
          <w:szCs w:val="24"/>
        </w:rPr>
        <w:t>is</w:t>
      </w:r>
      <w:r w:rsidRPr="002463B8">
        <w:rPr>
          <w:b w:val="0"/>
          <w:bCs w:val="0"/>
          <w:color w:val="0D0D0D"/>
          <w:sz w:val="24"/>
          <w:szCs w:val="24"/>
        </w:rPr>
        <w:t xml:space="preserve"> found to be statistically at par with treatment-9</w:t>
      </w:r>
      <w:r w:rsidR="002C4D6C">
        <w:rPr>
          <w:b w:val="0"/>
          <w:bCs w:val="0"/>
          <w:color w:val="0D0D0D"/>
          <w:sz w:val="24"/>
          <w:szCs w:val="24"/>
        </w:rPr>
        <w:t>.</w:t>
      </w:r>
    </w:p>
    <w:p w14:paraId="3AF56BB9" w14:textId="74326501" w:rsidR="002463B8" w:rsidRPr="002463B8" w:rsidRDefault="002463B8" w:rsidP="00E11CE3">
      <w:pPr>
        <w:pStyle w:val="Heading3"/>
        <w:tabs>
          <w:tab w:val="left" w:pos="953"/>
        </w:tabs>
        <w:spacing w:line="360" w:lineRule="auto"/>
        <w:jc w:val="both"/>
        <w:rPr>
          <w:b w:val="0"/>
          <w:bCs w:val="0"/>
          <w:color w:val="0D0D0D"/>
          <w:sz w:val="24"/>
          <w:szCs w:val="24"/>
        </w:rPr>
      </w:pPr>
      <w:r w:rsidRPr="002463B8">
        <w:rPr>
          <w:b w:val="0"/>
          <w:bCs w:val="0"/>
          <w:color w:val="0D0D0D"/>
          <w:sz w:val="24"/>
          <w:szCs w:val="24"/>
        </w:rPr>
        <w:t xml:space="preserve">Sulphur levels that aid in promoting and hastening the metabolic process, physiological activities, and increasing the photosynthesis process related to growth as a result of increasing plant height, number of branches and leaves, and other above ground and below ground plant structures that were the probable reason for the eventual increase in crop growth rate </w:t>
      </w:r>
      <w:r w:rsidRPr="002463B8">
        <w:rPr>
          <w:color w:val="0D0D0D"/>
          <w:sz w:val="24"/>
          <w:szCs w:val="24"/>
        </w:rPr>
        <w:t>Mallick et al. (2015).</w:t>
      </w:r>
    </w:p>
    <w:p w14:paraId="4384D37C" w14:textId="5F7F8A9C" w:rsidR="007B68A7" w:rsidRDefault="00120D36" w:rsidP="007978C7">
      <w:pPr>
        <w:pStyle w:val="Heading3"/>
        <w:tabs>
          <w:tab w:val="left" w:pos="953"/>
        </w:tabs>
        <w:spacing w:line="360" w:lineRule="auto"/>
        <w:jc w:val="both"/>
        <w:rPr>
          <w:bCs w:val="0"/>
          <w:sz w:val="24"/>
        </w:rPr>
      </w:pPr>
      <w:r w:rsidRPr="00120D36">
        <w:rPr>
          <w:bCs w:val="0"/>
          <w:sz w:val="24"/>
        </w:rPr>
        <w:t>Relative growth rate (g/g/day)</w:t>
      </w:r>
    </w:p>
    <w:p w14:paraId="5D5A894B" w14:textId="3236C79C" w:rsidR="002463B8" w:rsidRPr="002463B8" w:rsidRDefault="002463B8" w:rsidP="007978C7">
      <w:pPr>
        <w:spacing w:line="360" w:lineRule="auto"/>
        <w:jc w:val="both"/>
        <w:rPr>
          <w:rFonts w:ascii="Times New Roman" w:eastAsia="Times New Roman" w:hAnsi="Times New Roman" w:cs="Times New Roman"/>
          <w:color w:val="0D0D0D"/>
          <w:sz w:val="24"/>
          <w:szCs w:val="24"/>
        </w:rPr>
      </w:pPr>
      <w:r w:rsidRPr="002463B8">
        <w:rPr>
          <w:rFonts w:ascii="Times New Roman" w:eastAsia="Times New Roman" w:hAnsi="Times New Roman" w:cs="Times New Roman"/>
          <w:color w:val="0D0D0D"/>
          <w:sz w:val="24"/>
          <w:szCs w:val="24"/>
        </w:rPr>
        <w:t xml:space="preserve">At 20-40 DAS the maximum relative crop growth rate (0.151 g/g/day) </w:t>
      </w:r>
      <w:r w:rsidR="00753A0A">
        <w:rPr>
          <w:rFonts w:ascii="Times New Roman" w:eastAsia="Times New Roman" w:hAnsi="Times New Roman" w:cs="Times New Roman"/>
          <w:color w:val="0D0D0D"/>
          <w:sz w:val="24"/>
          <w:szCs w:val="24"/>
        </w:rPr>
        <w:t>is</w:t>
      </w:r>
      <w:r w:rsidRPr="002463B8">
        <w:rPr>
          <w:rFonts w:ascii="Times New Roman" w:eastAsia="Times New Roman" w:hAnsi="Times New Roman" w:cs="Times New Roman"/>
          <w:color w:val="0D0D0D"/>
          <w:sz w:val="24"/>
          <w:szCs w:val="24"/>
        </w:rPr>
        <w:t xml:space="preserve"> observed in treatment-6 (Gypsum @ 60 kg S/ha). CGR and RGR are the growth indices which are calculated from the change in dry matter accumulation to study the growth of the plant within a particular time interval. The findings suggest that sulfur application affects plant growth dynamics and influences canopy formation, which is crucial for optimal light interception and biomass accumulation </w:t>
      </w:r>
      <w:r w:rsidRPr="002463B8">
        <w:rPr>
          <w:rFonts w:ascii="Times New Roman" w:eastAsia="Times New Roman" w:hAnsi="Times New Roman" w:cs="Times New Roman"/>
          <w:b/>
          <w:bCs/>
          <w:color w:val="0D0D0D"/>
          <w:sz w:val="24"/>
          <w:szCs w:val="24"/>
        </w:rPr>
        <w:t>(Soni &amp; Singh, 2023).</w:t>
      </w:r>
    </w:p>
    <w:p w14:paraId="6B373FB4" w14:textId="20A250BE" w:rsidR="00120D36" w:rsidRPr="00712354" w:rsidRDefault="00120D36" w:rsidP="007978C7">
      <w:pPr>
        <w:pStyle w:val="BodyText2"/>
      </w:pPr>
      <w:r>
        <w:t xml:space="preserve">Table </w:t>
      </w:r>
      <w:r w:rsidR="00525F73">
        <w:t>1: -</w:t>
      </w:r>
      <w:r>
        <w:t xml:space="preserve"> </w:t>
      </w:r>
      <w:r w:rsidRPr="008650F0">
        <w:t xml:space="preserve">Effect of </w:t>
      </w:r>
      <w:r w:rsidR="0005068D">
        <w:t xml:space="preserve">sources and levels of Sulphur </w:t>
      </w:r>
      <w:r w:rsidRPr="008650F0">
        <w:t xml:space="preserve">on </w:t>
      </w:r>
      <w:r w:rsidR="005D4CA7">
        <w:t>Growth attributes</w:t>
      </w:r>
      <w:r w:rsidRPr="008650F0">
        <w:t xml:space="preserve"> of </w:t>
      </w:r>
      <w:r w:rsidR="00336D30">
        <w:t>Toria</w:t>
      </w:r>
      <w:r>
        <w:t>.</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52"/>
        <w:gridCol w:w="1752"/>
        <w:gridCol w:w="1752"/>
        <w:gridCol w:w="1752"/>
        <w:gridCol w:w="1752"/>
        <w:gridCol w:w="1752"/>
      </w:tblGrid>
      <w:tr w:rsidR="00116802" w:rsidRPr="001B4CBF" w14:paraId="03464517" w14:textId="77777777" w:rsidTr="00116802">
        <w:trPr>
          <w:trHeight w:val="342"/>
        </w:trPr>
        <w:tc>
          <w:tcPr>
            <w:tcW w:w="1752" w:type="dxa"/>
            <w:shd w:val="clear" w:color="auto" w:fill="auto"/>
            <w:tcMar>
              <w:top w:w="261" w:type="dxa"/>
              <w:left w:w="17" w:type="dxa"/>
              <w:bottom w:w="0" w:type="dxa"/>
              <w:right w:w="17" w:type="dxa"/>
            </w:tcMar>
            <w:vAlign w:val="center"/>
            <w:hideMark/>
          </w:tcPr>
          <w:p w14:paraId="4193C91D" w14:textId="77777777" w:rsidR="00116802" w:rsidRPr="001B4CBF" w:rsidRDefault="00116802" w:rsidP="00A068B5">
            <w:pPr>
              <w:pStyle w:val="NormalWeb"/>
              <w:spacing w:before="0" w:beforeAutospacing="0" w:after="0" w:afterAutospacing="0" w:line="360" w:lineRule="auto"/>
              <w:jc w:val="center"/>
            </w:pPr>
            <w:r w:rsidRPr="001B4CBF">
              <w:rPr>
                <w:b/>
                <w:bCs/>
              </w:rPr>
              <w:t>Treatments</w:t>
            </w:r>
          </w:p>
        </w:tc>
        <w:tc>
          <w:tcPr>
            <w:tcW w:w="1752" w:type="dxa"/>
            <w:shd w:val="clear" w:color="auto" w:fill="auto"/>
            <w:tcMar>
              <w:top w:w="1" w:type="dxa"/>
              <w:left w:w="17" w:type="dxa"/>
              <w:bottom w:w="0" w:type="dxa"/>
              <w:right w:w="17" w:type="dxa"/>
            </w:tcMar>
            <w:vAlign w:val="center"/>
            <w:hideMark/>
          </w:tcPr>
          <w:p w14:paraId="5D972697" w14:textId="296E8A35" w:rsidR="00116802" w:rsidRDefault="00116802" w:rsidP="00A068B5">
            <w:pPr>
              <w:pStyle w:val="NormalWeb"/>
              <w:spacing w:before="0" w:beforeAutospacing="0" w:after="0" w:afterAutospacing="0"/>
              <w:jc w:val="center"/>
              <w:rPr>
                <w:b/>
                <w:bCs/>
              </w:rPr>
            </w:pPr>
            <w:r w:rsidRPr="001B4CBF">
              <w:rPr>
                <w:b/>
                <w:bCs/>
              </w:rPr>
              <w:t>Plant</w:t>
            </w:r>
            <w:r>
              <w:rPr>
                <w:b/>
                <w:bCs/>
              </w:rPr>
              <w:t xml:space="preserve"> </w:t>
            </w:r>
            <w:r w:rsidRPr="001B4CBF">
              <w:rPr>
                <w:b/>
                <w:bCs/>
              </w:rPr>
              <w:t>height</w:t>
            </w:r>
          </w:p>
          <w:p w14:paraId="0AB04C85" w14:textId="77777777" w:rsidR="00116802" w:rsidRPr="001B4CBF" w:rsidRDefault="00116802" w:rsidP="00A068B5">
            <w:pPr>
              <w:pStyle w:val="NormalWeb"/>
              <w:spacing w:before="0" w:beforeAutospacing="0" w:after="0" w:afterAutospacing="0"/>
              <w:jc w:val="center"/>
            </w:pPr>
            <w:r w:rsidRPr="001B4CBF">
              <w:rPr>
                <w:b/>
                <w:bCs/>
              </w:rPr>
              <w:t>(cm)</w:t>
            </w:r>
          </w:p>
          <w:p w14:paraId="28743FBE" w14:textId="77777777" w:rsidR="00116802" w:rsidRPr="001B4CBF" w:rsidRDefault="00116802" w:rsidP="00A068B5">
            <w:pPr>
              <w:pStyle w:val="NormalWeb"/>
              <w:spacing w:before="0" w:beforeAutospacing="0" w:after="0" w:afterAutospacing="0"/>
              <w:jc w:val="center"/>
            </w:pPr>
            <w:r w:rsidRPr="001B4CBF">
              <w:rPr>
                <w:b/>
                <w:bCs/>
              </w:rPr>
              <w:t>(At Harvest)</w:t>
            </w:r>
          </w:p>
        </w:tc>
        <w:tc>
          <w:tcPr>
            <w:tcW w:w="1752" w:type="dxa"/>
            <w:shd w:val="clear" w:color="auto" w:fill="auto"/>
            <w:tcMar>
              <w:top w:w="124" w:type="dxa"/>
              <w:left w:w="17" w:type="dxa"/>
              <w:bottom w:w="0" w:type="dxa"/>
              <w:right w:w="17" w:type="dxa"/>
            </w:tcMar>
            <w:vAlign w:val="center"/>
            <w:hideMark/>
          </w:tcPr>
          <w:p w14:paraId="0EBE230F" w14:textId="77777777" w:rsidR="00116802" w:rsidRPr="001B4CBF" w:rsidRDefault="00116802" w:rsidP="00A068B5">
            <w:pPr>
              <w:pStyle w:val="NormalWeb"/>
              <w:spacing w:before="0" w:beforeAutospacing="0" w:after="0" w:afterAutospacing="0"/>
              <w:jc w:val="center"/>
            </w:pPr>
            <w:r w:rsidRPr="001B4CBF">
              <w:rPr>
                <w:b/>
                <w:bCs/>
              </w:rPr>
              <w:t>Dry Weight</w:t>
            </w:r>
            <w:r w:rsidRPr="001B4CBF">
              <w:rPr>
                <w:b/>
                <w:bCs/>
                <w:lang w:val="en-IN"/>
              </w:rPr>
              <w:t>/plant</w:t>
            </w:r>
            <w:r w:rsidRPr="001B4CBF">
              <w:rPr>
                <w:b/>
                <w:bCs/>
              </w:rPr>
              <w:t>(g)</w:t>
            </w:r>
          </w:p>
          <w:p w14:paraId="2F53B16B" w14:textId="77777777" w:rsidR="00116802" w:rsidRPr="001B4CBF" w:rsidRDefault="00116802" w:rsidP="00A068B5">
            <w:pPr>
              <w:pStyle w:val="NormalWeb"/>
              <w:spacing w:before="0" w:beforeAutospacing="0" w:after="0" w:afterAutospacing="0"/>
              <w:jc w:val="center"/>
            </w:pPr>
            <w:r w:rsidRPr="001B4CBF">
              <w:rPr>
                <w:b/>
                <w:bCs/>
              </w:rPr>
              <w:t>(At Harvest)</w:t>
            </w:r>
          </w:p>
        </w:tc>
        <w:tc>
          <w:tcPr>
            <w:tcW w:w="1752" w:type="dxa"/>
          </w:tcPr>
          <w:p w14:paraId="78BFB5D0" w14:textId="77777777" w:rsidR="00116802" w:rsidRDefault="00116802" w:rsidP="00A068B5">
            <w:pPr>
              <w:pStyle w:val="NormalWeb"/>
              <w:spacing w:before="0" w:beforeAutospacing="0" w:after="0" w:afterAutospacing="0"/>
              <w:jc w:val="center"/>
              <w:rPr>
                <w:b/>
                <w:bCs/>
                <w:color w:val="000000"/>
                <w:kern w:val="24"/>
              </w:rPr>
            </w:pPr>
            <w:r>
              <w:rPr>
                <w:b/>
                <w:bCs/>
                <w:color w:val="000000"/>
                <w:kern w:val="24"/>
              </w:rPr>
              <w:t>Branches/plant</w:t>
            </w:r>
          </w:p>
          <w:p w14:paraId="5E4016DA" w14:textId="35181A8F" w:rsidR="00116802" w:rsidRDefault="00116802" w:rsidP="00A068B5">
            <w:pPr>
              <w:pStyle w:val="NormalWeb"/>
              <w:spacing w:before="0" w:beforeAutospacing="0" w:after="0" w:afterAutospacing="0"/>
              <w:jc w:val="center"/>
              <w:rPr>
                <w:b/>
                <w:bCs/>
                <w:color w:val="000000"/>
                <w:kern w:val="24"/>
              </w:rPr>
            </w:pPr>
            <w:r>
              <w:rPr>
                <w:b/>
                <w:bCs/>
                <w:color w:val="000000"/>
                <w:kern w:val="24"/>
              </w:rPr>
              <w:t>(no.)</w:t>
            </w:r>
          </w:p>
          <w:p w14:paraId="6BA9A258" w14:textId="5865C3A0" w:rsidR="00116802" w:rsidRDefault="00116802" w:rsidP="00A068B5">
            <w:pPr>
              <w:pStyle w:val="NormalWeb"/>
              <w:spacing w:before="0" w:beforeAutospacing="0" w:after="0" w:afterAutospacing="0"/>
              <w:jc w:val="center"/>
              <w:rPr>
                <w:b/>
                <w:bCs/>
                <w:color w:val="000000"/>
                <w:kern w:val="24"/>
              </w:rPr>
            </w:pPr>
            <w:r>
              <w:rPr>
                <w:b/>
                <w:bCs/>
                <w:color w:val="000000"/>
                <w:kern w:val="24"/>
              </w:rPr>
              <w:t>(At harvest)</w:t>
            </w:r>
          </w:p>
          <w:p w14:paraId="184F5341" w14:textId="2093A195" w:rsidR="00116802" w:rsidRDefault="00116802" w:rsidP="00A068B5">
            <w:pPr>
              <w:pStyle w:val="NormalWeb"/>
              <w:spacing w:before="0" w:beforeAutospacing="0" w:after="0" w:afterAutospacing="0"/>
              <w:jc w:val="center"/>
              <w:rPr>
                <w:b/>
                <w:bCs/>
                <w:color w:val="000000"/>
                <w:kern w:val="24"/>
              </w:rPr>
            </w:pPr>
          </w:p>
        </w:tc>
        <w:tc>
          <w:tcPr>
            <w:tcW w:w="1752" w:type="dxa"/>
            <w:shd w:val="clear" w:color="auto" w:fill="auto"/>
            <w:tcMar>
              <w:top w:w="17" w:type="dxa"/>
              <w:left w:w="17" w:type="dxa"/>
              <w:bottom w:w="0" w:type="dxa"/>
              <w:right w:w="17" w:type="dxa"/>
            </w:tcMar>
            <w:vAlign w:val="center"/>
            <w:hideMark/>
          </w:tcPr>
          <w:p w14:paraId="38CA2DD6" w14:textId="45563C2D" w:rsidR="00116802" w:rsidRDefault="00116802" w:rsidP="00A068B5">
            <w:pPr>
              <w:pStyle w:val="NormalWeb"/>
              <w:spacing w:before="0" w:beforeAutospacing="0" w:after="0" w:afterAutospacing="0"/>
              <w:jc w:val="center"/>
              <w:rPr>
                <w:rFonts w:ascii="Arial" w:hAnsi="Arial" w:cs="Arial"/>
                <w:sz w:val="36"/>
                <w:szCs w:val="36"/>
              </w:rPr>
            </w:pPr>
            <w:r>
              <w:rPr>
                <w:b/>
                <w:bCs/>
                <w:color w:val="000000"/>
                <w:kern w:val="24"/>
              </w:rPr>
              <w:t>CGR</w:t>
            </w:r>
          </w:p>
          <w:p w14:paraId="3F4D4E06" w14:textId="77777777" w:rsidR="00116802" w:rsidRDefault="00116802" w:rsidP="00A068B5">
            <w:pPr>
              <w:pStyle w:val="NormalWeb"/>
              <w:spacing w:before="0" w:beforeAutospacing="0" w:after="0" w:afterAutospacing="0"/>
              <w:jc w:val="center"/>
              <w:rPr>
                <w:rFonts w:ascii="Arial" w:hAnsi="Arial" w:cs="Arial"/>
                <w:sz w:val="36"/>
                <w:szCs w:val="36"/>
              </w:rPr>
            </w:pPr>
            <w:r>
              <w:rPr>
                <w:b/>
                <w:bCs/>
                <w:color w:val="000000"/>
                <w:kern w:val="24"/>
              </w:rPr>
              <w:t>(g/m</w:t>
            </w:r>
            <w:r>
              <w:rPr>
                <w:b/>
                <w:bCs/>
                <w:color w:val="000000"/>
                <w:kern w:val="24"/>
                <w:position w:val="5"/>
                <w:vertAlign w:val="superscript"/>
              </w:rPr>
              <w:t>2</w:t>
            </w:r>
            <w:r>
              <w:rPr>
                <w:b/>
                <w:bCs/>
                <w:color w:val="000000"/>
                <w:kern w:val="24"/>
              </w:rPr>
              <w:t>/day)</w:t>
            </w:r>
          </w:p>
          <w:p w14:paraId="6FF48515" w14:textId="4DC319E9" w:rsidR="00116802" w:rsidRDefault="00116802" w:rsidP="00A068B5">
            <w:pPr>
              <w:pStyle w:val="NormalWeb"/>
              <w:spacing w:before="0" w:beforeAutospacing="0" w:after="0" w:afterAutospacing="0"/>
              <w:jc w:val="center"/>
              <w:rPr>
                <w:rFonts w:ascii="Arial" w:hAnsi="Arial" w:cs="Arial"/>
                <w:sz w:val="36"/>
                <w:szCs w:val="36"/>
              </w:rPr>
            </w:pPr>
            <w:r>
              <w:rPr>
                <w:b/>
                <w:bCs/>
                <w:color w:val="000000"/>
                <w:spacing w:val="1"/>
                <w:kern w:val="24"/>
              </w:rPr>
              <w:t>60</w:t>
            </w:r>
            <w:r>
              <w:rPr>
                <w:b/>
                <w:bCs/>
                <w:color w:val="000000"/>
                <w:kern w:val="24"/>
              </w:rPr>
              <w:t xml:space="preserve"> – 80 DAS</w:t>
            </w:r>
          </w:p>
        </w:tc>
        <w:tc>
          <w:tcPr>
            <w:tcW w:w="1752" w:type="dxa"/>
            <w:shd w:val="clear" w:color="auto" w:fill="auto"/>
            <w:tcMar>
              <w:top w:w="88" w:type="dxa"/>
              <w:left w:w="17" w:type="dxa"/>
              <w:right w:w="17" w:type="dxa"/>
            </w:tcMar>
            <w:vAlign w:val="center"/>
            <w:hideMark/>
          </w:tcPr>
          <w:p w14:paraId="12A27410" w14:textId="77777777" w:rsidR="00116802" w:rsidRDefault="00116802" w:rsidP="00A068B5">
            <w:pPr>
              <w:pStyle w:val="NormalWeb"/>
              <w:spacing w:before="0" w:beforeAutospacing="0" w:after="0" w:afterAutospacing="0"/>
              <w:jc w:val="center"/>
              <w:rPr>
                <w:rFonts w:ascii="Arial" w:hAnsi="Arial" w:cs="Arial"/>
                <w:sz w:val="36"/>
                <w:szCs w:val="36"/>
              </w:rPr>
            </w:pPr>
            <w:r>
              <w:rPr>
                <w:b/>
                <w:bCs/>
                <w:color w:val="000000"/>
                <w:kern w:val="24"/>
              </w:rPr>
              <w:t>RGR</w:t>
            </w:r>
          </w:p>
          <w:p w14:paraId="7D4B3FFB" w14:textId="10B8CA1B" w:rsidR="00116802" w:rsidRDefault="00116802" w:rsidP="00A068B5">
            <w:pPr>
              <w:pStyle w:val="NormalWeb"/>
              <w:spacing w:before="0" w:beforeAutospacing="0" w:after="0" w:afterAutospacing="0"/>
              <w:jc w:val="center"/>
              <w:rPr>
                <w:rFonts w:ascii="Arial" w:hAnsi="Arial" w:cs="Arial"/>
                <w:sz w:val="36"/>
                <w:szCs w:val="36"/>
              </w:rPr>
            </w:pPr>
            <w:r>
              <w:rPr>
                <w:b/>
                <w:bCs/>
                <w:color w:val="000000"/>
                <w:spacing w:val="-1"/>
                <w:kern w:val="24"/>
              </w:rPr>
              <w:t>(g/g/day)</w:t>
            </w:r>
          </w:p>
          <w:p w14:paraId="4AE28CE6" w14:textId="1C2E1FCA" w:rsidR="00116802" w:rsidRDefault="00116802" w:rsidP="00A068B5">
            <w:pPr>
              <w:pStyle w:val="NormalWeb"/>
              <w:spacing w:before="0" w:beforeAutospacing="0" w:after="0" w:afterAutospacing="0"/>
              <w:jc w:val="center"/>
              <w:rPr>
                <w:rFonts w:ascii="Arial" w:hAnsi="Arial" w:cs="Arial"/>
                <w:sz w:val="36"/>
                <w:szCs w:val="36"/>
              </w:rPr>
            </w:pPr>
            <w:r>
              <w:rPr>
                <w:b/>
                <w:bCs/>
                <w:color w:val="000000"/>
                <w:spacing w:val="1"/>
                <w:kern w:val="24"/>
              </w:rPr>
              <w:t>20-40</w:t>
            </w:r>
          </w:p>
          <w:p w14:paraId="70443230" w14:textId="308641C7" w:rsidR="00116802" w:rsidRDefault="00116802" w:rsidP="00A068B5">
            <w:pPr>
              <w:pStyle w:val="NormalWeb"/>
              <w:spacing w:before="0" w:beforeAutospacing="0" w:after="0" w:afterAutospacing="0"/>
              <w:jc w:val="center"/>
              <w:rPr>
                <w:rFonts w:ascii="Arial" w:hAnsi="Arial" w:cs="Arial"/>
                <w:sz w:val="36"/>
                <w:szCs w:val="36"/>
              </w:rPr>
            </w:pPr>
            <w:r>
              <w:rPr>
                <w:b/>
                <w:bCs/>
                <w:color w:val="000000"/>
                <w:spacing w:val="-1"/>
                <w:kern w:val="24"/>
              </w:rPr>
              <w:t>DAS</w:t>
            </w:r>
          </w:p>
        </w:tc>
      </w:tr>
      <w:tr w:rsidR="00382C6B" w:rsidRPr="00120D36" w14:paraId="424600D5" w14:textId="77777777" w:rsidTr="00116802">
        <w:trPr>
          <w:trHeight w:val="389"/>
        </w:trPr>
        <w:tc>
          <w:tcPr>
            <w:tcW w:w="1752" w:type="dxa"/>
            <w:shd w:val="clear" w:color="auto" w:fill="auto"/>
            <w:tcMar>
              <w:top w:w="17" w:type="dxa"/>
              <w:left w:w="17" w:type="dxa"/>
              <w:bottom w:w="0" w:type="dxa"/>
              <w:right w:w="17" w:type="dxa"/>
            </w:tcMar>
            <w:vAlign w:val="center"/>
            <w:hideMark/>
          </w:tcPr>
          <w:p w14:paraId="39D53B54"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T1</w:t>
            </w:r>
          </w:p>
        </w:tc>
        <w:tc>
          <w:tcPr>
            <w:tcW w:w="1752" w:type="dxa"/>
            <w:shd w:val="clear" w:color="auto" w:fill="auto"/>
            <w:tcMar>
              <w:top w:w="74" w:type="dxa"/>
              <w:left w:w="17" w:type="dxa"/>
              <w:bottom w:w="0" w:type="dxa"/>
              <w:right w:w="17" w:type="dxa"/>
            </w:tcMar>
            <w:hideMark/>
          </w:tcPr>
          <w:p w14:paraId="4451D34B" w14:textId="0FBAD841" w:rsidR="00382C6B" w:rsidRPr="00120D36" w:rsidRDefault="00382C6B" w:rsidP="00382C6B">
            <w:pPr>
              <w:pStyle w:val="NormalWeb"/>
              <w:spacing w:before="240"/>
              <w:jc w:val="center"/>
              <w:rPr>
                <w:sz w:val="22"/>
                <w:szCs w:val="22"/>
              </w:rPr>
            </w:pPr>
            <w:r w:rsidRPr="00DF6F94">
              <w:t>102.73</w:t>
            </w:r>
          </w:p>
        </w:tc>
        <w:tc>
          <w:tcPr>
            <w:tcW w:w="1752" w:type="dxa"/>
            <w:shd w:val="clear" w:color="auto" w:fill="auto"/>
            <w:tcMar>
              <w:top w:w="17" w:type="dxa"/>
              <w:left w:w="17" w:type="dxa"/>
              <w:bottom w:w="0" w:type="dxa"/>
              <w:right w:w="17" w:type="dxa"/>
            </w:tcMar>
            <w:hideMark/>
          </w:tcPr>
          <w:p w14:paraId="1223C38F" w14:textId="1932A9BD" w:rsidR="00382C6B" w:rsidRPr="00120D36" w:rsidRDefault="00382C6B" w:rsidP="00382C6B">
            <w:pPr>
              <w:pStyle w:val="NormalWeb"/>
              <w:spacing w:before="240"/>
              <w:jc w:val="center"/>
              <w:rPr>
                <w:sz w:val="22"/>
                <w:szCs w:val="22"/>
              </w:rPr>
            </w:pPr>
            <w:r w:rsidRPr="00F205AB">
              <w:t>17.08</w:t>
            </w:r>
          </w:p>
        </w:tc>
        <w:tc>
          <w:tcPr>
            <w:tcW w:w="1752" w:type="dxa"/>
          </w:tcPr>
          <w:p w14:paraId="2E76487E" w14:textId="16F2E809"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7.47</w:t>
            </w:r>
          </w:p>
        </w:tc>
        <w:tc>
          <w:tcPr>
            <w:tcW w:w="1752" w:type="dxa"/>
            <w:shd w:val="clear" w:color="auto" w:fill="auto"/>
            <w:tcMar>
              <w:top w:w="17" w:type="dxa"/>
              <w:left w:w="17" w:type="dxa"/>
              <w:bottom w:w="0" w:type="dxa"/>
              <w:right w:w="17" w:type="dxa"/>
            </w:tcMar>
            <w:hideMark/>
          </w:tcPr>
          <w:p w14:paraId="0111FA3A" w14:textId="4030E2B6"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16.147</w:t>
            </w:r>
          </w:p>
        </w:tc>
        <w:tc>
          <w:tcPr>
            <w:tcW w:w="1752" w:type="dxa"/>
            <w:shd w:val="clear" w:color="auto" w:fill="auto"/>
            <w:tcMar>
              <w:top w:w="17" w:type="dxa"/>
              <w:left w:w="17" w:type="dxa"/>
              <w:bottom w:w="0" w:type="dxa"/>
              <w:right w:w="17" w:type="dxa"/>
            </w:tcMar>
            <w:hideMark/>
          </w:tcPr>
          <w:p w14:paraId="29B93C2B" w14:textId="7974EDA3"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0.139</w:t>
            </w:r>
          </w:p>
        </w:tc>
      </w:tr>
      <w:tr w:rsidR="00382C6B" w:rsidRPr="00120D36" w14:paraId="038F3695" w14:textId="77777777" w:rsidTr="00116802">
        <w:trPr>
          <w:trHeight w:val="157"/>
        </w:trPr>
        <w:tc>
          <w:tcPr>
            <w:tcW w:w="1752" w:type="dxa"/>
            <w:shd w:val="clear" w:color="auto" w:fill="auto"/>
            <w:tcMar>
              <w:top w:w="17" w:type="dxa"/>
              <w:left w:w="17" w:type="dxa"/>
              <w:bottom w:w="0" w:type="dxa"/>
              <w:right w:w="17" w:type="dxa"/>
            </w:tcMar>
            <w:vAlign w:val="center"/>
            <w:hideMark/>
          </w:tcPr>
          <w:p w14:paraId="129ACE1A"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T2</w:t>
            </w:r>
          </w:p>
        </w:tc>
        <w:tc>
          <w:tcPr>
            <w:tcW w:w="1752" w:type="dxa"/>
            <w:shd w:val="clear" w:color="auto" w:fill="auto"/>
            <w:tcMar>
              <w:top w:w="76" w:type="dxa"/>
              <w:left w:w="17" w:type="dxa"/>
              <w:bottom w:w="0" w:type="dxa"/>
              <w:right w:w="17" w:type="dxa"/>
            </w:tcMar>
            <w:hideMark/>
          </w:tcPr>
          <w:p w14:paraId="57E167A7" w14:textId="3A73A5AA" w:rsidR="00382C6B" w:rsidRPr="00120D36" w:rsidRDefault="00382C6B" w:rsidP="00382C6B">
            <w:pPr>
              <w:pStyle w:val="NormalWeb"/>
              <w:spacing w:before="240"/>
              <w:jc w:val="center"/>
              <w:rPr>
                <w:sz w:val="22"/>
                <w:szCs w:val="22"/>
              </w:rPr>
            </w:pPr>
            <w:r w:rsidRPr="00DF6F94">
              <w:t>104.60</w:t>
            </w:r>
          </w:p>
        </w:tc>
        <w:tc>
          <w:tcPr>
            <w:tcW w:w="1752" w:type="dxa"/>
            <w:shd w:val="clear" w:color="auto" w:fill="auto"/>
            <w:tcMar>
              <w:top w:w="17" w:type="dxa"/>
              <w:left w:w="17" w:type="dxa"/>
              <w:bottom w:w="0" w:type="dxa"/>
              <w:right w:w="17" w:type="dxa"/>
            </w:tcMar>
            <w:hideMark/>
          </w:tcPr>
          <w:p w14:paraId="7D5251F3" w14:textId="569CAD0F" w:rsidR="00382C6B" w:rsidRPr="00120D36" w:rsidRDefault="00382C6B" w:rsidP="00382C6B">
            <w:pPr>
              <w:pStyle w:val="NormalWeb"/>
              <w:spacing w:before="240"/>
              <w:jc w:val="center"/>
              <w:rPr>
                <w:sz w:val="22"/>
                <w:szCs w:val="22"/>
              </w:rPr>
            </w:pPr>
            <w:r w:rsidRPr="00F205AB">
              <w:t>16.98</w:t>
            </w:r>
          </w:p>
        </w:tc>
        <w:tc>
          <w:tcPr>
            <w:tcW w:w="1752" w:type="dxa"/>
          </w:tcPr>
          <w:p w14:paraId="572E684D" w14:textId="509A32C1"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8.00</w:t>
            </w:r>
          </w:p>
        </w:tc>
        <w:tc>
          <w:tcPr>
            <w:tcW w:w="1752" w:type="dxa"/>
            <w:shd w:val="clear" w:color="auto" w:fill="auto"/>
            <w:tcMar>
              <w:top w:w="17" w:type="dxa"/>
              <w:left w:w="17" w:type="dxa"/>
              <w:bottom w:w="0" w:type="dxa"/>
              <w:right w:w="17" w:type="dxa"/>
            </w:tcMar>
            <w:hideMark/>
          </w:tcPr>
          <w:p w14:paraId="5A1EC0C6" w14:textId="5C878CB8"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15.469</w:t>
            </w:r>
          </w:p>
        </w:tc>
        <w:tc>
          <w:tcPr>
            <w:tcW w:w="1752" w:type="dxa"/>
            <w:shd w:val="clear" w:color="auto" w:fill="auto"/>
            <w:tcMar>
              <w:top w:w="17" w:type="dxa"/>
              <w:left w:w="17" w:type="dxa"/>
              <w:bottom w:w="0" w:type="dxa"/>
              <w:right w:w="17" w:type="dxa"/>
            </w:tcMar>
            <w:hideMark/>
          </w:tcPr>
          <w:p w14:paraId="68D6628A" w14:textId="04C5156C"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0.129</w:t>
            </w:r>
          </w:p>
        </w:tc>
      </w:tr>
      <w:tr w:rsidR="00382C6B" w:rsidRPr="00120D36" w14:paraId="08585DCD" w14:textId="77777777" w:rsidTr="00116802">
        <w:trPr>
          <w:trHeight w:val="179"/>
        </w:trPr>
        <w:tc>
          <w:tcPr>
            <w:tcW w:w="1752" w:type="dxa"/>
            <w:shd w:val="clear" w:color="auto" w:fill="auto"/>
            <w:tcMar>
              <w:top w:w="17" w:type="dxa"/>
              <w:left w:w="17" w:type="dxa"/>
              <w:bottom w:w="0" w:type="dxa"/>
              <w:right w:w="17" w:type="dxa"/>
            </w:tcMar>
            <w:vAlign w:val="center"/>
            <w:hideMark/>
          </w:tcPr>
          <w:p w14:paraId="282D9B91"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T3</w:t>
            </w:r>
          </w:p>
        </w:tc>
        <w:tc>
          <w:tcPr>
            <w:tcW w:w="1752" w:type="dxa"/>
            <w:shd w:val="clear" w:color="auto" w:fill="auto"/>
            <w:tcMar>
              <w:top w:w="76" w:type="dxa"/>
              <w:left w:w="17" w:type="dxa"/>
              <w:bottom w:w="0" w:type="dxa"/>
              <w:right w:w="17" w:type="dxa"/>
            </w:tcMar>
            <w:hideMark/>
          </w:tcPr>
          <w:p w14:paraId="78B5CE4F" w14:textId="0A1EE653" w:rsidR="00382C6B" w:rsidRPr="00120D36" w:rsidRDefault="00382C6B" w:rsidP="00382C6B">
            <w:pPr>
              <w:pStyle w:val="NormalWeb"/>
              <w:spacing w:before="240"/>
              <w:jc w:val="center"/>
              <w:rPr>
                <w:sz w:val="22"/>
                <w:szCs w:val="22"/>
              </w:rPr>
            </w:pPr>
            <w:r w:rsidRPr="00DF6F94">
              <w:rPr>
                <w:color w:val="000000" w:themeColor="text1"/>
              </w:rPr>
              <w:t>110.89</w:t>
            </w:r>
          </w:p>
        </w:tc>
        <w:tc>
          <w:tcPr>
            <w:tcW w:w="1752" w:type="dxa"/>
            <w:shd w:val="clear" w:color="auto" w:fill="auto"/>
            <w:tcMar>
              <w:top w:w="17" w:type="dxa"/>
              <w:left w:w="17" w:type="dxa"/>
              <w:bottom w:w="0" w:type="dxa"/>
              <w:right w:w="17" w:type="dxa"/>
            </w:tcMar>
            <w:hideMark/>
          </w:tcPr>
          <w:p w14:paraId="71B89539" w14:textId="6D574EEE" w:rsidR="00382C6B" w:rsidRPr="00120D36" w:rsidRDefault="00382C6B" w:rsidP="00382C6B">
            <w:pPr>
              <w:pStyle w:val="NormalWeb"/>
              <w:spacing w:before="240"/>
              <w:jc w:val="center"/>
              <w:rPr>
                <w:sz w:val="22"/>
                <w:szCs w:val="22"/>
              </w:rPr>
            </w:pPr>
            <w:r w:rsidRPr="00F205AB">
              <w:t>18.28</w:t>
            </w:r>
          </w:p>
        </w:tc>
        <w:tc>
          <w:tcPr>
            <w:tcW w:w="1752" w:type="dxa"/>
          </w:tcPr>
          <w:p w14:paraId="2EDF1449" w14:textId="4699EADB" w:rsidR="00382C6B" w:rsidRPr="00600609" w:rsidRDefault="00382C6B" w:rsidP="00382C6B">
            <w:pPr>
              <w:pStyle w:val="NormalWeb"/>
              <w:spacing w:before="0" w:beforeAutospacing="0" w:after="0" w:afterAutospacing="0" w:line="360" w:lineRule="auto"/>
              <w:jc w:val="center"/>
              <w:rPr>
                <w:sz w:val="22"/>
                <w:szCs w:val="22"/>
              </w:rPr>
            </w:pPr>
            <w:r w:rsidRPr="00DF6F94">
              <w:t>8.27</w:t>
            </w:r>
          </w:p>
        </w:tc>
        <w:tc>
          <w:tcPr>
            <w:tcW w:w="1752" w:type="dxa"/>
            <w:shd w:val="clear" w:color="auto" w:fill="auto"/>
            <w:tcMar>
              <w:top w:w="17" w:type="dxa"/>
              <w:left w:w="17" w:type="dxa"/>
              <w:bottom w:w="0" w:type="dxa"/>
              <w:right w:w="17" w:type="dxa"/>
            </w:tcMar>
            <w:hideMark/>
          </w:tcPr>
          <w:p w14:paraId="51419488" w14:textId="3EE69496" w:rsidR="00382C6B" w:rsidRPr="007E155D" w:rsidRDefault="00382C6B" w:rsidP="00382C6B">
            <w:pPr>
              <w:pStyle w:val="NormalWeb"/>
              <w:spacing w:before="0" w:beforeAutospacing="0" w:after="0" w:afterAutospacing="0" w:line="360" w:lineRule="auto"/>
              <w:jc w:val="center"/>
              <w:rPr>
                <w:color w:val="000000" w:themeColor="text1"/>
              </w:rPr>
            </w:pPr>
            <w:r w:rsidRPr="00600609">
              <w:rPr>
                <w:sz w:val="22"/>
                <w:szCs w:val="22"/>
              </w:rPr>
              <w:t>15.884</w:t>
            </w:r>
          </w:p>
        </w:tc>
        <w:tc>
          <w:tcPr>
            <w:tcW w:w="1752" w:type="dxa"/>
            <w:shd w:val="clear" w:color="auto" w:fill="auto"/>
            <w:tcMar>
              <w:top w:w="17" w:type="dxa"/>
              <w:left w:w="17" w:type="dxa"/>
              <w:bottom w:w="0" w:type="dxa"/>
              <w:right w:w="17" w:type="dxa"/>
            </w:tcMar>
            <w:hideMark/>
          </w:tcPr>
          <w:p w14:paraId="5BEC03BD" w14:textId="29F4BD55"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0.126</w:t>
            </w:r>
          </w:p>
        </w:tc>
      </w:tr>
      <w:tr w:rsidR="00382C6B" w:rsidRPr="00120D36" w14:paraId="063D15F7" w14:textId="77777777" w:rsidTr="00116802">
        <w:trPr>
          <w:trHeight w:val="43"/>
        </w:trPr>
        <w:tc>
          <w:tcPr>
            <w:tcW w:w="1752" w:type="dxa"/>
            <w:shd w:val="clear" w:color="auto" w:fill="auto"/>
            <w:tcMar>
              <w:top w:w="17" w:type="dxa"/>
              <w:left w:w="17" w:type="dxa"/>
              <w:bottom w:w="0" w:type="dxa"/>
              <w:right w:w="17" w:type="dxa"/>
            </w:tcMar>
            <w:vAlign w:val="center"/>
            <w:hideMark/>
          </w:tcPr>
          <w:p w14:paraId="411349C7"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T4</w:t>
            </w:r>
          </w:p>
        </w:tc>
        <w:tc>
          <w:tcPr>
            <w:tcW w:w="1752" w:type="dxa"/>
            <w:shd w:val="clear" w:color="auto" w:fill="auto"/>
            <w:tcMar>
              <w:top w:w="83" w:type="dxa"/>
              <w:left w:w="17" w:type="dxa"/>
              <w:bottom w:w="0" w:type="dxa"/>
              <w:right w:w="17" w:type="dxa"/>
            </w:tcMar>
            <w:hideMark/>
          </w:tcPr>
          <w:p w14:paraId="1C023C00" w14:textId="0BF37A5F" w:rsidR="00382C6B" w:rsidRPr="00120D36" w:rsidRDefault="00382C6B" w:rsidP="00382C6B">
            <w:pPr>
              <w:pStyle w:val="NormalWeb"/>
              <w:spacing w:before="240"/>
              <w:jc w:val="center"/>
              <w:rPr>
                <w:sz w:val="22"/>
                <w:szCs w:val="22"/>
              </w:rPr>
            </w:pPr>
            <w:r w:rsidRPr="00DF6F94">
              <w:rPr>
                <w:color w:val="000000" w:themeColor="text1"/>
              </w:rPr>
              <w:t>104.19</w:t>
            </w:r>
          </w:p>
        </w:tc>
        <w:tc>
          <w:tcPr>
            <w:tcW w:w="1752" w:type="dxa"/>
            <w:shd w:val="clear" w:color="auto" w:fill="auto"/>
            <w:tcMar>
              <w:top w:w="17" w:type="dxa"/>
              <w:left w:w="17" w:type="dxa"/>
              <w:bottom w:w="0" w:type="dxa"/>
              <w:right w:w="17" w:type="dxa"/>
            </w:tcMar>
            <w:hideMark/>
          </w:tcPr>
          <w:p w14:paraId="1CC48446" w14:textId="35158CCD" w:rsidR="00382C6B" w:rsidRPr="00120D36" w:rsidRDefault="00382C6B" w:rsidP="00382C6B">
            <w:pPr>
              <w:pStyle w:val="NormalWeb"/>
              <w:spacing w:before="240"/>
              <w:jc w:val="center"/>
              <w:rPr>
                <w:sz w:val="22"/>
                <w:szCs w:val="22"/>
              </w:rPr>
            </w:pPr>
            <w:r w:rsidRPr="00F205AB">
              <w:t>17.36</w:t>
            </w:r>
          </w:p>
        </w:tc>
        <w:tc>
          <w:tcPr>
            <w:tcW w:w="1752" w:type="dxa"/>
          </w:tcPr>
          <w:p w14:paraId="6E73F12A" w14:textId="19D3BE1C"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7.33</w:t>
            </w:r>
          </w:p>
        </w:tc>
        <w:tc>
          <w:tcPr>
            <w:tcW w:w="1752" w:type="dxa"/>
            <w:shd w:val="clear" w:color="auto" w:fill="auto"/>
            <w:tcMar>
              <w:top w:w="17" w:type="dxa"/>
              <w:left w:w="17" w:type="dxa"/>
              <w:bottom w:w="0" w:type="dxa"/>
              <w:right w:w="17" w:type="dxa"/>
            </w:tcMar>
            <w:hideMark/>
          </w:tcPr>
          <w:p w14:paraId="3A1334B7" w14:textId="6381324F"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16.300</w:t>
            </w:r>
          </w:p>
        </w:tc>
        <w:tc>
          <w:tcPr>
            <w:tcW w:w="1752" w:type="dxa"/>
            <w:shd w:val="clear" w:color="auto" w:fill="auto"/>
            <w:tcMar>
              <w:top w:w="17" w:type="dxa"/>
              <w:left w:w="17" w:type="dxa"/>
              <w:bottom w:w="0" w:type="dxa"/>
              <w:right w:w="17" w:type="dxa"/>
            </w:tcMar>
            <w:hideMark/>
          </w:tcPr>
          <w:p w14:paraId="0DDA2EAB" w14:textId="60754987"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0.128</w:t>
            </w:r>
          </w:p>
        </w:tc>
      </w:tr>
      <w:tr w:rsidR="00382C6B" w:rsidRPr="00120D36" w14:paraId="230AC214" w14:textId="77777777" w:rsidTr="00116802">
        <w:trPr>
          <w:trHeight w:val="222"/>
        </w:trPr>
        <w:tc>
          <w:tcPr>
            <w:tcW w:w="1752" w:type="dxa"/>
            <w:shd w:val="clear" w:color="auto" w:fill="auto"/>
            <w:tcMar>
              <w:top w:w="17" w:type="dxa"/>
              <w:left w:w="17" w:type="dxa"/>
              <w:bottom w:w="0" w:type="dxa"/>
              <w:right w:w="17" w:type="dxa"/>
            </w:tcMar>
            <w:vAlign w:val="center"/>
            <w:hideMark/>
          </w:tcPr>
          <w:p w14:paraId="70804EEA"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T5</w:t>
            </w:r>
          </w:p>
        </w:tc>
        <w:tc>
          <w:tcPr>
            <w:tcW w:w="1752" w:type="dxa"/>
            <w:shd w:val="clear" w:color="auto" w:fill="auto"/>
            <w:tcMar>
              <w:top w:w="83" w:type="dxa"/>
              <w:left w:w="17" w:type="dxa"/>
              <w:bottom w:w="0" w:type="dxa"/>
              <w:right w:w="17" w:type="dxa"/>
            </w:tcMar>
            <w:hideMark/>
          </w:tcPr>
          <w:p w14:paraId="05604AF7" w14:textId="1BBE0394" w:rsidR="00382C6B" w:rsidRPr="00120D36" w:rsidRDefault="00382C6B" w:rsidP="00382C6B">
            <w:pPr>
              <w:pStyle w:val="NormalWeb"/>
              <w:spacing w:before="240"/>
              <w:jc w:val="center"/>
              <w:rPr>
                <w:sz w:val="22"/>
                <w:szCs w:val="22"/>
              </w:rPr>
            </w:pPr>
            <w:r w:rsidRPr="00DF6F94">
              <w:rPr>
                <w:color w:val="000000" w:themeColor="text1"/>
              </w:rPr>
              <w:t>108.97</w:t>
            </w:r>
          </w:p>
        </w:tc>
        <w:tc>
          <w:tcPr>
            <w:tcW w:w="1752" w:type="dxa"/>
            <w:shd w:val="clear" w:color="auto" w:fill="auto"/>
            <w:tcMar>
              <w:top w:w="17" w:type="dxa"/>
              <w:left w:w="17" w:type="dxa"/>
              <w:bottom w:w="0" w:type="dxa"/>
              <w:right w:w="17" w:type="dxa"/>
            </w:tcMar>
            <w:hideMark/>
          </w:tcPr>
          <w:p w14:paraId="5A28A532" w14:textId="778756C8" w:rsidR="00382C6B" w:rsidRPr="00120D36" w:rsidRDefault="00382C6B" w:rsidP="00382C6B">
            <w:pPr>
              <w:pStyle w:val="NormalWeb"/>
              <w:spacing w:before="240"/>
              <w:jc w:val="center"/>
              <w:rPr>
                <w:sz w:val="22"/>
                <w:szCs w:val="22"/>
              </w:rPr>
            </w:pPr>
            <w:r w:rsidRPr="00F205AB">
              <w:t>17.37</w:t>
            </w:r>
          </w:p>
        </w:tc>
        <w:tc>
          <w:tcPr>
            <w:tcW w:w="1752" w:type="dxa"/>
          </w:tcPr>
          <w:p w14:paraId="41D830BF" w14:textId="5D48BBE2"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7.80</w:t>
            </w:r>
          </w:p>
        </w:tc>
        <w:tc>
          <w:tcPr>
            <w:tcW w:w="1752" w:type="dxa"/>
            <w:shd w:val="clear" w:color="auto" w:fill="auto"/>
            <w:tcMar>
              <w:top w:w="17" w:type="dxa"/>
              <w:left w:w="17" w:type="dxa"/>
              <w:bottom w:w="0" w:type="dxa"/>
              <w:right w:w="17" w:type="dxa"/>
            </w:tcMar>
            <w:hideMark/>
          </w:tcPr>
          <w:p w14:paraId="6456433B" w14:textId="7CF0ED9A"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15.586</w:t>
            </w:r>
          </w:p>
        </w:tc>
        <w:tc>
          <w:tcPr>
            <w:tcW w:w="1752" w:type="dxa"/>
            <w:shd w:val="clear" w:color="auto" w:fill="auto"/>
            <w:tcMar>
              <w:top w:w="17" w:type="dxa"/>
              <w:left w:w="17" w:type="dxa"/>
              <w:bottom w:w="0" w:type="dxa"/>
              <w:right w:w="17" w:type="dxa"/>
            </w:tcMar>
            <w:hideMark/>
          </w:tcPr>
          <w:p w14:paraId="5C5E26FE" w14:textId="2A87D4DE"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0.138</w:t>
            </w:r>
          </w:p>
        </w:tc>
      </w:tr>
      <w:tr w:rsidR="00382C6B" w:rsidRPr="00120D36" w14:paraId="772E71EA" w14:textId="77777777" w:rsidTr="00116802">
        <w:trPr>
          <w:trHeight w:val="231"/>
        </w:trPr>
        <w:tc>
          <w:tcPr>
            <w:tcW w:w="1752" w:type="dxa"/>
            <w:shd w:val="clear" w:color="auto" w:fill="auto"/>
            <w:tcMar>
              <w:top w:w="17" w:type="dxa"/>
              <w:left w:w="17" w:type="dxa"/>
              <w:bottom w:w="0" w:type="dxa"/>
              <w:right w:w="17" w:type="dxa"/>
            </w:tcMar>
            <w:vAlign w:val="center"/>
            <w:hideMark/>
          </w:tcPr>
          <w:p w14:paraId="6EC45101"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lastRenderedPageBreak/>
              <w:t>T6</w:t>
            </w:r>
          </w:p>
        </w:tc>
        <w:tc>
          <w:tcPr>
            <w:tcW w:w="1752" w:type="dxa"/>
            <w:shd w:val="clear" w:color="auto" w:fill="auto"/>
            <w:tcMar>
              <w:top w:w="83" w:type="dxa"/>
              <w:left w:w="17" w:type="dxa"/>
              <w:bottom w:w="0" w:type="dxa"/>
              <w:right w:w="17" w:type="dxa"/>
            </w:tcMar>
            <w:hideMark/>
          </w:tcPr>
          <w:p w14:paraId="7C648819" w14:textId="723E8C4E" w:rsidR="00382C6B" w:rsidRPr="00120D36" w:rsidRDefault="00382C6B" w:rsidP="00382C6B">
            <w:pPr>
              <w:pStyle w:val="NormalWeb"/>
              <w:spacing w:before="240"/>
              <w:jc w:val="center"/>
              <w:rPr>
                <w:sz w:val="22"/>
                <w:szCs w:val="22"/>
              </w:rPr>
            </w:pPr>
            <w:r w:rsidRPr="00DF6F94">
              <w:rPr>
                <w:color w:val="000000" w:themeColor="text1"/>
              </w:rPr>
              <w:t>110.31</w:t>
            </w:r>
          </w:p>
        </w:tc>
        <w:tc>
          <w:tcPr>
            <w:tcW w:w="1752" w:type="dxa"/>
            <w:shd w:val="clear" w:color="auto" w:fill="auto"/>
            <w:tcMar>
              <w:top w:w="17" w:type="dxa"/>
              <w:left w:w="17" w:type="dxa"/>
              <w:bottom w:w="0" w:type="dxa"/>
              <w:right w:w="17" w:type="dxa"/>
            </w:tcMar>
            <w:hideMark/>
          </w:tcPr>
          <w:p w14:paraId="37C62749" w14:textId="45D3A4D8" w:rsidR="00382C6B" w:rsidRPr="00120D36" w:rsidRDefault="00382C6B" w:rsidP="00382C6B">
            <w:pPr>
              <w:pStyle w:val="NormalWeb"/>
              <w:spacing w:before="240"/>
              <w:jc w:val="center"/>
              <w:rPr>
                <w:sz w:val="22"/>
                <w:szCs w:val="22"/>
              </w:rPr>
            </w:pPr>
            <w:r w:rsidRPr="00F205AB">
              <w:t>17.78</w:t>
            </w:r>
          </w:p>
        </w:tc>
        <w:tc>
          <w:tcPr>
            <w:tcW w:w="1752" w:type="dxa"/>
          </w:tcPr>
          <w:p w14:paraId="653026A2" w14:textId="4A5CBED8"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8.27</w:t>
            </w:r>
          </w:p>
        </w:tc>
        <w:tc>
          <w:tcPr>
            <w:tcW w:w="1752" w:type="dxa"/>
            <w:shd w:val="clear" w:color="auto" w:fill="auto"/>
            <w:tcMar>
              <w:top w:w="17" w:type="dxa"/>
              <w:left w:w="17" w:type="dxa"/>
              <w:bottom w:w="0" w:type="dxa"/>
              <w:right w:w="17" w:type="dxa"/>
            </w:tcMar>
            <w:hideMark/>
          </w:tcPr>
          <w:p w14:paraId="47DDED44" w14:textId="0D9340F8"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15.120</w:t>
            </w:r>
          </w:p>
        </w:tc>
        <w:tc>
          <w:tcPr>
            <w:tcW w:w="1752" w:type="dxa"/>
            <w:shd w:val="clear" w:color="auto" w:fill="auto"/>
            <w:tcMar>
              <w:top w:w="17" w:type="dxa"/>
              <w:left w:w="17" w:type="dxa"/>
              <w:bottom w:w="0" w:type="dxa"/>
              <w:right w:w="17" w:type="dxa"/>
            </w:tcMar>
            <w:hideMark/>
          </w:tcPr>
          <w:p w14:paraId="27E42A10" w14:textId="2A3355F5"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0.139</w:t>
            </w:r>
          </w:p>
        </w:tc>
      </w:tr>
      <w:tr w:rsidR="00382C6B" w:rsidRPr="00120D36" w14:paraId="1175A0FE" w14:textId="77777777" w:rsidTr="00116802">
        <w:trPr>
          <w:trHeight w:val="201"/>
        </w:trPr>
        <w:tc>
          <w:tcPr>
            <w:tcW w:w="1752" w:type="dxa"/>
            <w:shd w:val="clear" w:color="auto" w:fill="auto"/>
            <w:tcMar>
              <w:top w:w="17" w:type="dxa"/>
              <w:left w:w="17" w:type="dxa"/>
              <w:bottom w:w="0" w:type="dxa"/>
              <w:right w:w="17" w:type="dxa"/>
            </w:tcMar>
            <w:vAlign w:val="center"/>
            <w:hideMark/>
          </w:tcPr>
          <w:p w14:paraId="4BD5107F"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T7</w:t>
            </w:r>
          </w:p>
        </w:tc>
        <w:tc>
          <w:tcPr>
            <w:tcW w:w="1752" w:type="dxa"/>
            <w:shd w:val="clear" w:color="auto" w:fill="auto"/>
            <w:tcMar>
              <w:top w:w="83" w:type="dxa"/>
              <w:left w:w="17" w:type="dxa"/>
              <w:bottom w:w="0" w:type="dxa"/>
              <w:right w:w="17" w:type="dxa"/>
            </w:tcMar>
            <w:hideMark/>
          </w:tcPr>
          <w:p w14:paraId="47E6C6F5" w14:textId="6E72A154" w:rsidR="00382C6B" w:rsidRPr="00120D36" w:rsidRDefault="00382C6B" w:rsidP="00382C6B">
            <w:pPr>
              <w:pStyle w:val="NormalWeb"/>
              <w:spacing w:before="240"/>
              <w:jc w:val="center"/>
              <w:rPr>
                <w:sz w:val="22"/>
                <w:szCs w:val="22"/>
              </w:rPr>
            </w:pPr>
            <w:r w:rsidRPr="00DF6F94">
              <w:rPr>
                <w:color w:val="000000" w:themeColor="text1"/>
              </w:rPr>
              <w:t>104.83</w:t>
            </w:r>
          </w:p>
        </w:tc>
        <w:tc>
          <w:tcPr>
            <w:tcW w:w="1752" w:type="dxa"/>
            <w:shd w:val="clear" w:color="auto" w:fill="auto"/>
            <w:tcMar>
              <w:top w:w="17" w:type="dxa"/>
              <w:left w:w="17" w:type="dxa"/>
              <w:bottom w:w="0" w:type="dxa"/>
              <w:right w:w="17" w:type="dxa"/>
            </w:tcMar>
            <w:hideMark/>
          </w:tcPr>
          <w:p w14:paraId="7B6B7147" w14:textId="1D55840F" w:rsidR="00382C6B" w:rsidRPr="00120D36" w:rsidRDefault="00382C6B" w:rsidP="00382C6B">
            <w:pPr>
              <w:pStyle w:val="NormalWeb"/>
              <w:spacing w:before="240"/>
              <w:jc w:val="center"/>
              <w:rPr>
                <w:sz w:val="22"/>
                <w:szCs w:val="22"/>
              </w:rPr>
            </w:pPr>
            <w:r w:rsidRPr="00F205AB">
              <w:t>17.47</w:t>
            </w:r>
          </w:p>
        </w:tc>
        <w:tc>
          <w:tcPr>
            <w:tcW w:w="1752" w:type="dxa"/>
          </w:tcPr>
          <w:p w14:paraId="65C8138B" w14:textId="631233F7"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7.80</w:t>
            </w:r>
          </w:p>
        </w:tc>
        <w:tc>
          <w:tcPr>
            <w:tcW w:w="1752" w:type="dxa"/>
            <w:shd w:val="clear" w:color="auto" w:fill="auto"/>
            <w:tcMar>
              <w:top w:w="17" w:type="dxa"/>
              <w:left w:w="17" w:type="dxa"/>
              <w:bottom w:w="0" w:type="dxa"/>
              <w:right w:w="17" w:type="dxa"/>
            </w:tcMar>
            <w:hideMark/>
          </w:tcPr>
          <w:p w14:paraId="63E5AD8C" w14:textId="2D9FC7FD"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16.134</w:t>
            </w:r>
          </w:p>
        </w:tc>
        <w:tc>
          <w:tcPr>
            <w:tcW w:w="1752" w:type="dxa"/>
            <w:shd w:val="clear" w:color="auto" w:fill="auto"/>
            <w:tcMar>
              <w:top w:w="17" w:type="dxa"/>
              <w:left w:w="17" w:type="dxa"/>
              <w:bottom w:w="0" w:type="dxa"/>
              <w:right w:w="17" w:type="dxa"/>
            </w:tcMar>
            <w:hideMark/>
          </w:tcPr>
          <w:p w14:paraId="7D3FBE54" w14:textId="46D488B9"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0.122</w:t>
            </w:r>
          </w:p>
        </w:tc>
      </w:tr>
      <w:tr w:rsidR="00382C6B" w:rsidRPr="00120D36" w14:paraId="512208E9" w14:textId="77777777" w:rsidTr="00116802">
        <w:trPr>
          <w:trHeight w:val="201"/>
        </w:trPr>
        <w:tc>
          <w:tcPr>
            <w:tcW w:w="1752" w:type="dxa"/>
            <w:shd w:val="clear" w:color="auto" w:fill="auto"/>
            <w:tcMar>
              <w:top w:w="17" w:type="dxa"/>
              <w:left w:w="17" w:type="dxa"/>
              <w:bottom w:w="0" w:type="dxa"/>
              <w:right w:w="17" w:type="dxa"/>
            </w:tcMar>
            <w:vAlign w:val="center"/>
            <w:hideMark/>
          </w:tcPr>
          <w:p w14:paraId="68ADE924"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T8</w:t>
            </w:r>
          </w:p>
        </w:tc>
        <w:tc>
          <w:tcPr>
            <w:tcW w:w="1752" w:type="dxa"/>
            <w:shd w:val="clear" w:color="auto" w:fill="auto"/>
            <w:tcMar>
              <w:top w:w="83" w:type="dxa"/>
              <w:left w:w="17" w:type="dxa"/>
              <w:bottom w:w="0" w:type="dxa"/>
              <w:right w:w="17" w:type="dxa"/>
            </w:tcMar>
            <w:hideMark/>
          </w:tcPr>
          <w:p w14:paraId="72D6051C" w14:textId="341D13A1" w:rsidR="00382C6B" w:rsidRPr="00120D36" w:rsidRDefault="00382C6B" w:rsidP="00382C6B">
            <w:pPr>
              <w:pStyle w:val="NormalWeb"/>
              <w:spacing w:before="240"/>
              <w:jc w:val="center"/>
              <w:rPr>
                <w:sz w:val="22"/>
                <w:szCs w:val="22"/>
              </w:rPr>
            </w:pPr>
            <w:r w:rsidRPr="00DF6F94">
              <w:rPr>
                <w:color w:val="000000" w:themeColor="text1"/>
              </w:rPr>
              <w:t>109.78</w:t>
            </w:r>
          </w:p>
        </w:tc>
        <w:tc>
          <w:tcPr>
            <w:tcW w:w="1752" w:type="dxa"/>
            <w:shd w:val="clear" w:color="auto" w:fill="auto"/>
            <w:tcMar>
              <w:top w:w="17" w:type="dxa"/>
              <w:left w:w="17" w:type="dxa"/>
              <w:bottom w:w="0" w:type="dxa"/>
              <w:right w:w="17" w:type="dxa"/>
            </w:tcMar>
            <w:hideMark/>
          </w:tcPr>
          <w:p w14:paraId="178EE6C1" w14:textId="4FE62F77" w:rsidR="00382C6B" w:rsidRPr="00120D36" w:rsidRDefault="00382C6B" w:rsidP="00382C6B">
            <w:pPr>
              <w:pStyle w:val="NormalWeb"/>
              <w:spacing w:before="240"/>
              <w:jc w:val="center"/>
              <w:rPr>
                <w:sz w:val="22"/>
                <w:szCs w:val="22"/>
              </w:rPr>
            </w:pPr>
            <w:r w:rsidRPr="00F205AB">
              <w:t>18.19</w:t>
            </w:r>
          </w:p>
        </w:tc>
        <w:tc>
          <w:tcPr>
            <w:tcW w:w="1752" w:type="dxa"/>
          </w:tcPr>
          <w:p w14:paraId="16CD7111" w14:textId="4C608038"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8.07</w:t>
            </w:r>
          </w:p>
        </w:tc>
        <w:tc>
          <w:tcPr>
            <w:tcW w:w="1752" w:type="dxa"/>
            <w:shd w:val="clear" w:color="auto" w:fill="auto"/>
            <w:tcMar>
              <w:top w:w="17" w:type="dxa"/>
              <w:left w:w="17" w:type="dxa"/>
              <w:bottom w:w="0" w:type="dxa"/>
              <w:right w:w="17" w:type="dxa"/>
            </w:tcMar>
            <w:hideMark/>
          </w:tcPr>
          <w:p w14:paraId="60373D06" w14:textId="19EF9254"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16.294</w:t>
            </w:r>
          </w:p>
        </w:tc>
        <w:tc>
          <w:tcPr>
            <w:tcW w:w="1752" w:type="dxa"/>
            <w:shd w:val="clear" w:color="auto" w:fill="auto"/>
            <w:tcMar>
              <w:top w:w="17" w:type="dxa"/>
              <w:left w:w="17" w:type="dxa"/>
              <w:bottom w:w="0" w:type="dxa"/>
              <w:right w:w="17" w:type="dxa"/>
            </w:tcMar>
            <w:hideMark/>
          </w:tcPr>
          <w:p w14:paraId="422CF0E3" w14:textId="7CFBA07C"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0.140</w:t>
            </w:r>
          </w:p>
        </w:tc>
      </w:tr>
      <w:tr w:rsidR="00382C6B" w:rsidRPr="00120D36" w14:paraId="3C75C2E4" w14:textId="77777777" w:rsidTr="00116802">
        <w:trPr>
          <w:trHeight w:val="237"/>
        </w:trPr>
        <w:tc>
          <w:tcPr>
            <w:tcW w:w="1752" w:type="dxa"/>
            <w:shd w:val="clear" w:color="auto" w:fill="auto"/>
            <w:tcMar>
              <w:top w:w="17" w:type="dxa"/>
              <w:left w:w="17" w:type="dxa"/>
              <w:bottom w:w="0" w:type="dxa"/>
              <w:right w:w="17" w:type="dxa"/>
            </w:tcMar>
            <w:vAlign w:val="center"/>
            <w:hideMark/>
          </w:tcPr>
          <w:p w14:paraId="21BCA152" w14:textId="77777777" w:rsidR="00382C6B" w:rsidRPr="00120D36" w:rsidRDefault="00382C6B" w:rsidP="00382C6B">
            <w:pPr>
              <w:pStyle w:val="NormalWeb"/>
              <w:spacing w:before="0" w:beforeAutospacing="0" w:after="0" w:afterAutospacing="0" w:line="360" w:lineRule="auto"/>
              <w:jc w:val="center"/>
              <w:rPr>
                <w:sz w:val="22"/>
                <w:szCs w:val="22"/>
              </w:rPr>
            </w:pPr>
            <w:r w:rsidRPr="00120D36">
              <w:rPr>
                <w:sz w:val="22"/>
                <w:szCs w:val="22"/>
              </w:rPr>
              <w:t>T9</w:t>
            </w:r>
          </w:p>
        </w:tc>
        <w:tc>
          <w:tcPr>
            <w:tcW w:w="1752" w:type="dxa"/>
            <w:shd w:val="clear" w:color="auto" w:fill="auto"/>
            <w:tcMar>
              <w:top w:w="83" w:type="dxa"/>
              <w:left w:w="17" w:type="dxa"/>
              <w:bottom w:w="0" w:type="dxa"/>
              <w:right w:w="17" w:type="dxa"/>
            </w:tcMar>
            <w:hideMark/>
          </w:tcPr>
          <w:p w14:paraId="5C8595FD" w14:textId="00E16353" w:rsidR="00382C6B" w:rsidRPr="00120D36" w:rsidRDefault="00382C6B" w:rsidP="00382C6B">
            <w:pPr>
              <w:pStyle w:val="NormalWeb"/>
              <w:spacing w:before="240"/>
              <w:jc w:val="center"/>
              <w:rPr>
                <w:sz w:val="22"/>
                <w:szCs w:val="22"/>
              </w:rPr>
            </w:pPr>
            <w:r w:rsidRPr="00DF6F94">
              <w:t>112.25</w:t>
            </w:r>
          </w:p>
        </w:tc>
        <w:tc>
          <w:tcPr>
            <w:tcW w:w="1752" w:type="dxa"/>
            <w:shd w:val="clear" w:color="auto" w:fill="auto"/>
            <w:tcMar>
              <w:top w:w="17" w:type="dxa"/>
              <w:left w:w="17" w:type="dxa"/>
              <w:bottom w:w="0" w:type="dxa"/>
              <w:right w:w="17" w:type="dxa"/>
            </w:tcMar>
            <w:hideMark/>
          </w:tcPr>
          <w:p w14:paraId="0BD7E487" w14:textId="4154F5EF" w:rsidR="00382C6B" w:rsidRPr="00120D36" w:rsidRDefault="00382C6B" w:rsidP="00382C6B">
            <w:pPr>
              <w:pStyle w:val="NormalWeb"/>
              <w:spacing w:before="240"/>
              <w:jc w:val="center"/>
              <w:rPr>
                <w:sz w:val="22"/>
                <w:szCs w:val="22"/>
              </w:rPr>
            </w:pPr>
            <w:r w:rsidRPr="00F205AB">
              <w:t>19.33</w:t>
            </w:r>
          </w:p>
        </w:tc>
        <w:tc>
          <w:tcPr>
            <w:tcW w:w="1752" w:type="dxa"/>
          </w:tcPr>
          <w:p w14:paraId="35477E3C" w14:textId="2D23B6FE"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8.47</w:t>
            </w:r>
          </w:p>
        </w:tc>
        <w:tc>
          <w:tcPr>
            <w:tcW w:w="1752" w:type="dxa"/>
            <w:shd w:val="clear" w:color="auto" w:fill="auto"/>
            <w:tcMar>
              <w:top w:w="17" w:type="dxa"/>
              <w:left w:w="17" w:type="dxa"/>
              <w:bottom w:w="0" w:type="dxa"/>
              <w:right w:w="17" w:type="dxa"/>
            </w:tcMar>
            <w:hideMark/>
          </w:tcPr>
          <w:p w14:paraId="7466CBCF" w14:textId="53D1DE3C" w:rsidR="00382C6B" w:rsidRPr="007E155D" w:rsidRDefault="00382C6B" w:rsidP="00382C6B">
            <w:pPr>
              <w:pStyle w:val="NormalWeb"/>
              <w:spacing w:before="76" w:beforeAutospacing="0" w:after="0" w:afterAutospacing="0" w:line="360" w:lineRule="auto"/>
              <w:ind w:left="475" w:right="72"/>
              <w:jc w:val="center"/>
              <w:rPr>
                <w:color w:val="000000" w:themeColor="text1"/>
              </w:rPr>
            </w:pPr>
            <w:r w:rsidRPr="00600609">
              <w:rPr>
                <w:sz w:val="22"/>
                <w:szCs w:val="22"/>
              </w:rPr>
              <w:t>17.398</w:t>
            </w:r>
          </w:p>
        </w:tc>
        <w:tc>
          <w:tcPr>
            <w:tcW w:w="1752" w:type="dxa"/>
            <w:shd w:val="clear" w:color="auto" w:fill="auto"/>
            <w:tcMar>
              <w:top w:w="17" w:type="dxa"/>
              <w:left w:w="17" w:type="dxa"/>
              <w:bottom w:w="0" w:type="dxa"/>
              <w:right w:w="17" w:type="dxa"/>
            </w:tcMar>
            <w:hideMark/>
          </w:tcPr>
          <w:p w14:paraId="26A5A9F4" w14:textId="69E2E6A7" w:rsidR="00382C6B" w:rsidRPr="00120D36" w:rsidRDefault="00382C6B" w:rsidP="00382C6B">
            <w:pPr>
              <w:pStyle w:val="NormalWeb"/>
              <w:spacing w:before="0" w:beforeAutospacing="0" w:after="0" w:afterAutospacing="0" w:line="360" w:lineRule="auto"/>
              <w:jc w:val="center"/>
              <w:rPr>
                <w:color w:val="000000" w:themeColor="text1"/>
                <w:sz w:val="22"/>
                <w:szCs w:val="22"/>
              </w:rPr>
            </w:pPr>
            <w:r w:rsidRPr="00740A7E">
              <w:rPr>
                <w:sz w:val="22"/>
                <w:szCs w:val="22"/>
              </w:rPr>
              <w:t>0.151</w:t>
            </w:r>
          </w:p>
        </w:tc>
      </w:tr>
      <w:tr w:rsidR="00382C6B" w:rsidRPr="00120D36" w14:paraId="15FF6B03" w14:textId="77777777" w:rsidTr="00116802">
        <w:trPr>
          <w:trHeight w:val="237"/>
        </w:trPr>
        <w:tc>
          <w:tcPr>
            <w:tcW w:w="1752" w:type="dxa"/>
            <w:shd w:val="clear" w:color="auto" w:fill="auto"/>
            <w:tcMar>
              <w:top w:w="17" w:type="dxa"/>
              <w:left w:w="17" w:type="dxa"/>
              <w:bottom w:w="0" w:type="dxa"/>
              <w:right w:w="17" w:type="dxa"/>
            </w:tcMar>
            <w:vAlign w:val="center"/>
          </w:tcPr>
          <w:p w14:paraId="6A260967" w14:textId="5490A285" w:rsidR="00382C6B" w:rsidRPr="00120D36" w:rsidRDefault="00382C6B" w:rsidP="00382C6B">
            <w:pPr>
              <w:pStyle w:val="NormalWeb"/>
              <w:spacing w:before="0" w:beforeAutospacing="0" w:after="0" w:afterAutospacing="0" w:line="360" w:lineRule="auto"/>
              <w:jc w:val="center"/>
              <w:rPr>
                <w:sz w:val="22"/>
                <w:szCs w:val="22"/>
              </w:rPr>
            </w:pPr>
            <w:r>
              <w:rPr>
                <w:sz w:val="22"/>
                <w:szCs w:val="22"/>
              </w:rPr>
              <w:t>T10</w:t>
            </w:r>
          </w:p>
        </w:tc>
        <w:tc>
          <w:tcPr>
            <w:tcW w:w="1752" w:type="dxa"/>
            <w:shd w:val="clear" w:color="auto" w:fill="auto"/>
            <w:tcMar>
              <w:top w:w="83" w:type="dxa"/>
              <w:left w:w="17" w:type="dxa"/>
              <w:bottom w:w="0" w:type="dxa"/>
              <w:right w:w="17" w:type="dxa"/>
            </w:tcMar>
          </w:tcPr>
          <w:p w14:paraId="50439D2B" w14:textId="22A04300" w:rsidR="00382C6B" w:rsidRPr="00211505" w:rsidRDefault="00382C6B" w:rsidP="00382C6B">
            <w:pPr>
              <w:pStyle w:val="NormalWeb"/>
              <w:spacing w:before="240"/>
              <w:jc w:val="center"/>
            </w:pPr>
            <w:r w:rsidRPr="00DF6F94">
              <w:t>101.08</w:t>
            </w:r>
          </w:p>
        </w:tc>
        <w:tc>
          <w:tcPr>
            <w:tcW w:w="1752" w:type="dxa"/>
            <w:shd w:val="clear" w:color="auto" w:fill="auto"/>
            <w:tcMar>
              <w:top w:w="17" w:type="dxa"/>
              <w:left w:w="17" w:type="dxa"/>
              <w:bottom w:w="0" w:type="dxa"/>
              <w:right w:w="17" w:type="dxa"/>
            </w:tcMar>
          </w:tcPr>
          <w:p w14:paraId="4CF151E9" w14:textId="736BB002" w:rsidR="00382C6B" w:rsidRPr="00F72A15" w:rsidRDefault="00382C6B" w:rsidP="00382C6B">
            <w:pPr>
              <w:pStyle w:val="NormalWeb"/>
              <w:spacing w:before="240"/>
              <w:jc w:val="center"/>
            </w:pPr>
            <w:r w:rsidRPr="00F205AB">
              <w:t>16.23</w:t>
            </w:r>
          </w:p>
        </w:tc>
        <w:tc>
          <w:tcPr>
            <w:tcW w:w="1752" w:type="dxa"/>
          </w:tcPr>
          <w:p w14:paraId="662530B9" w14:textId="4E2FEF29" w:rsidR="00382C6B" w:rsidRPr="00600609" w:rsidRDefault="00382C6B" w:rsidP="00382C6B">
            <w:pPr>
              <w:pStyle w:val="NormalWeb"/>
              <w:spacing w:before="76" w:beforeAutospacing="0" w:after="0" w:afterAutospacing="0" w:line="360" w:lineRule="auto"/>
              <w:ind w:left="475" w:right="72"/>
              <w:jc w:val="center"/>
              <w:rPr>
                <w:sz w:val="22"/>
                <w:szCs w:val="22"/>
              </w:rPr>
            </w:pPr>
            <w:r w:rsidRPr="00DF6F94">
              <w:t>7.27</w:t>
            </w:r>
          </w:p>
        </w:tc>
        <w:tc>
          <w:tcPr>
            <w:tcW w:w="1752" w:type="dxa"/>
            <w:shd w:val="clear" w:color="auto" w:fill="auto"/>
            <w:tcMar>
              <w:top w:w="17" w:type="dxa"/>
              <w:left w:w="17" w:type="dxa"/>
              <w:bottom w:w="0" w:type="dxa"/>
              <w:right w:w="17" w:type="dxa"/>
            </w:tcMar>
          </w:tcPr>
          <w:p w14:paraId="60E048EF" w14:textId="06758969" w:rsidR="00382C6B" w:rsidRPr="007E155D" w:rsidRDefault="00382C6B" w:rsidP="00382C6B">
            <w:pPr>
              <w:pStyle w:val="NormalWeb"/>
              <w:spacing w:before="76" w:beforeAutospacing="0" w:after="0" w:afterAutospacing="0" w:line="360" w:lineRule="auto"/>
              <w:ind w:left="475" w:right="72"/>
              <w:jc w:val="center"/>
              <w:rPr>
                <w:color w:val="000000"/>
              </w:rPr>
            </w:pPr>
            <w:r w:rsidRPr="00600609">
              <w:rPr>
                <w:sz w:val="22"/>
                <w:szCs w:val="22"/>
              </w:rPr>
              <w:t>15.379</w:t>
            </w:r>
          </w:p>
        </w:tc>
        <w:tc>
          <w:tcPr>
            <w:tcW w:w="1752" w:type="dxa"/>
            <w:shd w:val="clear" w:color="auto" w:fill="auto"/>
            <w:tcMar>
              <w:top w:w="17" w:type="dxa"/>
              <w:left w:w="17" w:type="dxa"/>
              <w:bottom w:w="0" w:type="dxa"/>
              <w:right w:w="17" w:type="dxa"/>
            </w:tcMar>
          </w:tcPr>
          <w:p w14:paraId="175AEB3E" w14:textId="589E5CD2" w:rsidR="00382C6B" w:rsidRPr="00F72A15" w:rsidRDefault="00382C6B" w:rsidP="00382C6B">
            <w:pPr>
              <w:pStyle w:val="NormalWeb"/>
              <w:spacing w:before="0" w:beforeAutospacing="0" w:after="0" w:afterAutospacing="0" w:line="360" w:lineRule="auto"/>
              <w:jc w:val="center"/>
            </w:pPr>
            <w:r w:rsidRPr="00740A7E">
              <w:rPr>
                <w:sz w:val="22"/>
                <w:szCs w:val="22"/>
              </w:rPr>
              <w:t>0.131</w:t>
            </w:r>
          </w:p>
        </w:tc>
      </w:tr>
      <w:tr w:rsidR="00382C6B" w:rsidRPr="00120D36" w14:paraId="40470A2B" w14:textId="77777777" w:rsidTr="00116802">
        <w:trPr>
          <w:trHeight w:val="309"/>
        </w:trPr>
        <w:tc>
          <w:tcPr>
            <w:tcW w:w="1752" w:type="dxa"/>
            <w:shd w:val="clear" w:color="auto" w:fill="auto"/>
            <w:tcMar>
              <w:top w:w="74" w:type="dxa"/>
              <w:left w:w="17" w:type="dxa"/>
              <w:bottom w:w="0" w:type="dxa"/>
              <w:right w:w="17" w:type="dxa"/>
            </w:tcMar>
            <w:vAlign w:val="center"/>
            <w:hideMark/>
          </w:tcPr>
          <w:p w14:paraId="58D7AC6A" w14:textId="77777777" w:rsidR="00382C6B" w:rsidRPr="00120D36" w:rsidRDefault="00382C6B" w:rsidP="00382C6B">
            <w:pPr>
              <w:pStyle w:val="NormalWeb"/>
              <w:spacing w:before="0" w:beforeAutospacing="0" w:after="0" w:afterAutospacing="0"/>
              <w:jc w:val="center"/>
              <w:rPr>
                <w:b/>
                <w:sz w:val="22"/>
                <w:szCs w:val="22"/>
              </w:rPr>
            </w:pPr>
            <w:r w:rsidRPr="00120D36">
              <w:rPr>
                <w:b/>
                <w:sz w:val="22"/>
                <w:szCs w:val="22"/>
              </w:rPr>
              <w:t>F-Test</w:t>
            </w:r>
          </w:p>
        </w:tc>
        <w:tc>
          <w:tcPr>
            <w:tcW w:w="1752" w:type="dxa"/>
            <w:shd w:val="clear" w:color="auto" w:fill="auto"/>
            <w:tcMar>
              <w:top w:w="17" w:type="dxa"/>
              <w:left w:w="17" w:type="dxa"/>
              <w:bottom w:w="0" w:type="dxa"/>
              <w:right w:w="17" w:type="dxa"/>
            </w:tcMar>
            <w:vAlign w:val="center"/>
            <w:hideMark/>
          </w:tcPr>
          <w:p w14:paraId="64FE3ABE" w14:textId="77777777" w:rsidR="00382C6B" w:rsidRPr="00A01212" w:rsidRDefault="00382C6B" w:rsidP="00382C6B">
            <w:pPr>
              <w:pStyle w:val="NormalWeb"/>
              <w:spacing w:before="240"/>
              <w:jc w:val="center"/>
              <w:rPr>
                <w:b/>
                <w:sz w:val="22"/>
                <w:szCs w:val="22"/>
              </w:rPr>
            </w:pPr>
            <w:r w:rsidRPr="00A01212">
              <w:rPr>
                <w:b/>
              </w:rPr>
              <w:t>S</w:t>
            </w:r>
          </w:p>
        </w:tc>
        <w:tc>
          <w:tcPr>
            <w:tcW w:w="1752" w:type="dxa"/>
            <w:shd w:val="clear" w:color="auto" w:fill="auto"/>
            <w:tcMar>
              <w:top w:w="74" w:type="dxa"/>
              <w:left w:w="17" w:type="dxa"/>
              <w:right w:w="17" w:type="dxa"/>
            </w:tcMar>
            <w:hideMark/>
          </w:tcPr>
          <w:p w14:paraId="08207BDF" w14:textId="54E4D502" w:rsidR="00382C6B" w:rsidRPr="00A01212" w:rsidRDefault="00382C6B" w:rsidP="00382C6B">
            <w:pPr>
              <w:pStyle w:val="NormalWeb"/>
              <w:spacing w:before="240"/>
              <w:jc w:val="center"/>
              <w:rPr>
                <w:b/>
                <w:sz w:val="22"/>
                <w:szCs w:val="22"/>
              </w:rPr>
            </w:pPr>
            <w:r w:rsidRPr="00A01212">
              <w:rPr>
                <w:b/>
              </w:rPr>
              <w:t>S</w:t>
            </w:r>
          </w:p>
        </w:tc>
        <w:tc>
          <w:tcPr>
            <w:tcW w:w="1752" w:type="dxa"/>
          </w:tcPr>
          <w:p w14:paraId="6F947E51" w14:textId="1FF6DD46" w:rsidR="00382C6B" w:rsidRPr="00A01212" w:rsidRDefault="00382C6B" w:rsidP="00382C6B">
            <w:pPr>
              <w:pStyle w:val="NormalWeb"/>
              <w:spacing w:before="76" w:beforeAutospacing="0" w:after="0" w:afterAutospacing="0" w:line="360" w:lineRule="auto"/>
              <w:ind w:left="475" w:right="72"/>
              <w:jc w:val="center"/>
              <w:rPr>
                <w:b/>
                <w:color w:val="000000" w:themeColor="text1"/>
                <w:kern w:val="24"/>
              </w:rPr>
            </w:pPr>
            <w:r w:rsidRPr="00DF6F94">
              <w:rPr>
                <w:b/>
                <w:spacing w:val="-10"/>
              </w:rPr>
              <w:t>S</w:t>
            </w:r>
          </w:p>
        </w:tc>
        <w:tc>
          <w:tcPr>
            <w:tcW w:w="1752" w:type="dxa"/>
            <w:shd w:val="clear" w:color="auto" w:fill="auto"/>
            <w:tcMar>
              <w:top w:w="74" w:type="dxa"/>
              <w:left w:w="17" w:type="dxa"/>
              <w:right w:w="17" w:type="dxa"/>
            </w:tcMar>
            <w:vAlign w:val="center"/>
            <w:hideMark/>
          </w:tcPr>
          <w:p w14:paraId="613CBC41" w14:textId="0D90302A" w:rsidR="00382C6B" w:rsidRPr="00A01212" w:rsidRDefault="00382C6B" w:rsidP="00382C6B">
            <w:pPr>
              <w:pStyle w:val="NormalWeb"/>
              <w:spacing w:before="76" w:beforeAutospacing="0" w:after="0" w:afterAutospacing="0" w:line="360" w:lineRule="auto"/>
              <w:ind w:left="475" w:right="72"/>
              <w:jc w:val="center"/>
              <w:rPr>
                <w:b/>
                <w:color w:val="000000" w:themeColor="text1"/>
                <w:sz w:val="22"/>
                <w:szCs w:val="22"/>
              </w:rPr>
            </w:pPr>
            <w:r w:rsidRPr="00A01212">
              <w:rPr>
                <w:b/>
                <w:color w:val="000000" w:themeColor="text1"/>
                <w:kern w:val="24"/>
              </w:rPr>
              <w:t>S</w:t>
            </w:r>
          </w:p>
        </w:tc>
        <w:tc>
          <w:tcPr>
            <w:tcW w:w="1752" w:type="dxa"/>
            <w:shd w:val="clear" w:color="auto" w:fill="auto"/>
            <w:tcMar>
              <w:top w:w="74" w:type="dxa"/>
              <w:left w:w="17" w:type="dxa"/>
              <w:right w:w="17" w:type="dxa"/>
            </w:tcMar>
            <w:hideMark/>
          </w:tcPr>
          <w:p w14:paraId="720EE3D3" w14:textId="6CFB6713" w:rsidR="00382C6B" w:rsidRPr="00A01212" w:rsidRDefault="00382C6B" w:rsidP="00382C6B">
            <w:pPr>
              <w:pStyle w:val="NormalWeb"/>
              <w:spacing w:before="76" w:beforeAutospacing="0" w:after="0" w:afterAutospacing="0" w:line="360" w:lineRule="auto"/>
              <w:ind w:left="475" w:right="72"/>
              <w:jc w:val="center"/>
              <w:rPr>
                <w:b/>
                <w:color w:val="000000" w:themeColor="text1"/>
                <w:sz w:val="22"/>
                <w:szCs w:val="22"/>
              </w:rPr>
            </w:pPr>
            <w:r w:rsidRPr="00A01212">
              <w:rPr>
                <w:b/>
              </w:rPr>
              <w:t>NS</w:t>
            </w:r>
          </w:p>
        </w:tc>
      </w:tr>
      <w:tr w:rsidR="00382C6B" w:rsidRPr="00120D36" w14:paraId="0FDDB074" w14:textId="77777777" w:rsidTr="00116802">
        <w:trPr>
          <w:trHeight w:val="27"/>
        </w:trPr>
        <w:tc>
          <w:tcPr>
            <w:tcW w:w="1752" w:type="dxa"/>
            <w:shd w:val="clear" w:color="auto" w:fill="auto"/>
            <w:tcMar>
              <w:top w:w="86" w:type="dxa"/>
              <w:left w:w="17" w:type="dxa"/>
              <w:bottom w:w="0" w:type="dxa"/>
              <w:right w:w="17" w:type="dxa"/>
            </w:tcMar>
            <w:vAlign w:val="center"/>
            <w:hideMark/>
          </w:tcPr>
          <w:p w14:paraId="005DD87C" w14:textId="77777777" w:rsidR="00382C6B" w:rsidRPr="00120D36" w:rsidRDefault="00382C6B" w:rsidP="00382C6B">
            <w:pPr>
              <w:pStyle w:val="NormalWeb"/>
              <w:spacing w:before="0" w:beforeAutospacing="0" w:after="0" w:afterAutospacing="0"/>
              <w:jc w:val="center"/>
              <w:rPr>
                <w:b/>
                <w:sz w:val="22"/>
                <w:szCs w:val="22"/>
              </w:rPr>
            </w:pPr>
            <w:proofErr w:type="spellStart"/>
            <w:r w:rsidRPr="00120D36">
              <w:rPr>
                <w:b/>
                <w:sz w:val="22"/>
                <w:szCs w:val="22"/>
              </w:rPr>
              <w:t>SEm</w:t>
            </w:r>
            <w:proofErr w:type="spellEnd"/>
            <w:r w:rsidRPr="00120D36">
              <w:rPr>
                <w:b/>
                <w:sz w:val="22"/>
                <w:szCs w:val="22"/>
              </w:rPr>
              <w:t>(</w:t>
            </w:r>
            <w:r w:rsidRPr="00120D36">
              <w:rPr>
                <w:b/>
                <w:sz w:val="22"/>
                <w:szCs w:val="22"/>
                <w:u w:val="thick"/>
              </w:rPr>
              <w:t>+)</w:t>
            </w:r>
          </w:p>
        </w:tc>
        <w:tc>
          <w:tcPr>
            <w:tcW w:w="1752" w:type="dxa"/>
            <w:shd w:val="clear" w:color="auto" w:fill="auto"/>
            <w:tcMar>
              <w:top w:w="17" w:type="dxa"/>
              <w:left w:w="17" w:type="dxa"/>
              <w:bottom w:w="0" w:type="dxa"/>
              <w:right w:w="17" w:type="dxa"/>
            </w:tcMar>
            <w:vAlign w:val="center"/>
            <w:hideMark/>
          </w:tcPr>
          <w:p w14:paraId="2B46BDC0" w14:textId="7A405A9A" w:rsidR="00382C6B" w:rsidRPr="00120D36" w:rsidRDefault="00382C6B" w:rsidP="00382C6B">
            <w:pPr>
              <w:pStyle w:val="NormalWeb"/>
              <w:spacing w:before="240"/>
              <w:jc w:val="center"/>
              <w:rPr>
                <w:sz w:val="22"/>
                <w:szCs w:val="22"/>
              </w:rPr>
            </w:pPr>
            <w:r>
              <w:rPr>
                <w:sz w:val="22"/>
                <w:szCs w:val="22"/>
              </w:rPr>
              <w:t>0.60</w:t>
            </w:r>
          </w:p>
        </w:tc>
        <w:tc>
          <w:tcPr>
            <w:tcW w:w="1752" w:type="dxa"/>
            <w:shd w:val="clear" w:color="auto" w:fill="auto"/>
            <w:tcMar>
              <w:top w:w="86" w:type="dxa"/>
              <w:left w:w="17" w:type="dxa"/>
              <w:right w:w="17" w:type="dxa"/>
            </w:tcMar>
            <w:hideMark/>
          </w:tcPr>
          <w:p w14:paraId="53EA4B23" w14:textId="67FDA5E3" w:rsidR="00382C6B" w:rsidRPr="00120D36" w:rsidRDefault="00382C6B" w:rsidP="00382C6B">
            <w:pPr>
              <w:pStyle w:val="NormalWeb"/>
              <w:spacing w:before="240"/>
              <w:jc w:val="center"/>
              <w:rPr>
                <w:sz w:val="22"/>
                <w:szCs w:val="22"/>
              </w:rPr>
            </w:pPr>
            <w:r w:rsidRPr="00F205AB">
              <w:t>0.21</w:t>
            </w:r>
          </w:p>
        </w:tc>
        <w:tc>
          <w:tcPr>
            <w:tcW w:w="1752" w:type="dxa"/>
          </w:tcPr>
          <w:p w14:paraId="05CC2AB8" w14:textId="5C93970D" w:rsidR="00382C6B" w:rsidRDefault="00382C6B" w:rsidP="00382C6B">
            <w:pPr>
              <w:pStyle w:val="NormalWeb"/>
              <w:spacing w:before="240" w:beforeAutospacing="0" w:after="0" w:afterAutospacing="0" w:line="360" w:lineRule="auto"/>
              <w:jc w:val="center"/>
              <w:rPr>
                <w:color w:val="000000" w:themeColor="text1"/>
                <w:kern w:val="24"/>
                <w:sz w:val="22"/>
                <w:szCs w:val="22"/>
              </w:rPr>
            </w:pPr>
            <w:r w:rsidRPr="00DF6F94">
              <w:t>0.10</w:t>
            </w:r>
          </w:p>
        </w:tc>
        <w:tc>
          <w:tcPr>
            <w:tcW w:w="1752" w:type="dxa"/>
            <w:shd w:val="clear" w:color="auto" w:fill="auto"/>
            <w:tcMar>
              <w:top w:w="86" w:type="dxa"/>
              <w:left w:w="17" w:type="dxa"/>
              <w:right w:w="17" w:type="dxa"/>
            </w:tcMar>
            <w:vAlign w:val="center"/>
            <w:hideMark/>
          </w:tcPr>
          <w:p w14:paraId="5E516484" w14:textId="3D912F30" w:rsidR="00382C6B" w:rsidRPr="00120D36" w:rsidRDefault="00382C6B" w:rsidP="00382C6B">
            <w:pPr>
              <w:pStyle w:val="NormalWeb"/>
              <w:spacing w:before="240" w:beforeAutospacing="0" w:after="0" w:afterAutospacing="0" w:line="360" w:lineRule="auto"/>
              <w:jc w:val="center"/>
              <w:rPr>
                <w:color w:val="000000" w:themeColor="text1"/>
                <w:sz w:val="22"/>
                <w:szCs w:val="22"/>
              </w:rPr>
            </w:pPr>
            <w:r>
              <w:rPr>
                <w:color w:val="000000" w:themeColor="text1"/>
                <w:kern w:val="24"/>
                <w:sz w:val="22"/>
                <w:szCs w:val="22"/>
              </w:rPr>
              <w:t>0.41</w:t>
            </w:r>
          </w:p>
        </w:tc>
        <w:tc>
          <w:tcPr>
            <w:tcW w:w="1752" w:type="dxa"/>
            <w:shd w:val="clear" w:color="auto" w:fill="auto"/>
            <w:tcMar>
              <w:top w:w="86" w:type="dxa"/>
              <w:left w:w="17" w:type="dxa"/>
              <w:right w:w="17" w:type="dxa"/>
            </w:tcMar>
            <w:hideMark/>
          </w:tcPr>
          <w:p w14:paraId="7389FDE2" w14:textId="4FD38D6B" w:rsidR="00382C6B" w:rsidRPr="00120D36" w:rsidRDefault="00382C6B" w:rsidP="00382C6B">
            <w:pPr>
              <w:pStyle w:val="NormalWeb"/>
              <w:spacing w:before="76" w:beforeAutospacing="0" w:after="0" w:afterAutospacing="0" w:line="360" w:lineRule="auto"/>
              <w:ind w:left="475" w:right="72"/>
              <w:jc w:val="center"/>
              <w:rPr>
                <w:color w:val="000000" w:themeColor="text1"/>
                <w:sz w:val="22"/>
                <w:szCs w:val="22"/>
              </w:rPr>
            </w:pPr>
            <w:r w:rsidRPr="001D2424">
              <w:rPr>
                <w:sz w:val="22"/>
                <w:szCs w:val="22"/>
              </w:rPr>
              <w:t>0.01</w:t>
            </w:r>
          </w:p>
        </w:tc>
      </w:tr>
      <w:tr w:rsidR="00382C6B" w:rsidRPr="00120D36" w14:paraId="0B047592" w14:textId="77777777" w:rsidTr="00116802">
        <w:trPr>
          <w:trHeight w:val="216"/>
        </w:trPr>
        <w:tc>
          <w:tcPr>
            <w:tcW w:w="1752" w:type="dxa"/>
            <w:shd w:val="clear" w:color="auto" w:fill="auto"/>
            <w:tcMar>
              <w:top w:w="57" w:type="dxa"/>
              <w:left w:w="17" w:type="dxa"/>
              <w:bottom w:w="0" w:type="dxa"/>
              <w:right w:w="17" w:type="dxa"/>
            </w:tcMar>
            <w:vAlign w:val="center"/>
            <w:hideMark/>
          </w:tcPr>
          <w:p w14:paraId="46C7149A" w14:textId="77777777" w:rsidR="00382C6B" w:rsidRPr="00120D36" w:rsidRDefault="00382C6B" w:rsidP="00382C6B">
            <w:pPr>
              <w:pStyle w:val="NormalWeb"/>
              <w:spacing w:before="0" w:beforeAutospacing="0" w:after="0" w:afterAutospacing="0"/>
              <w:jc w:val="center"/>
              <w:rPr>
                <w:b/>
                <w:sz w:val="22"/>
                <w:szCs w:val="22"/>
              </w:rPr>
            </w:pPr>
            <w:r w:rsidRPr="00120D36">
              <w:rPr>
                <w:b/>
                <w:sz w:val="22"/>
                <w:szCs w:val="22"/>
              </w:rPr>
              <w:t>CD(p=0.05)</w:t>
            </w:r>
          </w:p>
        </w:tc>
        <w:tc>
          <w:tcPr>
            <w:tcW w:w="1752" w:type="dxa"/>
            <w:shd w:val="clear" w:color="auto" w:fill="auto"/>
            <w:tcMar>
              <w:top w:w="17" w:type="dxa"/>
              <w:left w:w="17" w:type="dxa"/>
              <w:bottom w:w="0" w:type="dxa"/>
              <w:right w:w="17" w:type="dxa"/>
            </w:tcMar>
            <w:vAlign w:val="center"/>
            <w:hideMark/>
          </w:tcPr>
          <w:p w14:paraId="5E6E3634" w14:textId="1CA40CA5" w:rsidR="00382C6B" w:rsidRPr="00120D36" w:rsidRDefault="00382C6B" w:rsidP="00382C6B">
            <w:pPr>
              <w:pStyle w:val="NormalWeb"/>
              <w:spacing w:before="240"/>
              <w:jc w:val="center"/>
              <w:rPr>
                <w:sz w:val="22"/>
                <w:szCs w:val="22"/>
              </w:rPr>
            </w:pPr>
            <w:r>
              <w:rPr>
                <w:sz w:val="22"/>
                <w:szCs w:val="22"/>
              </w:rPr>
              <w:t>2.78</w:t>
            </w:r>
          </w:p>
        </w:tc>
        <w:tc>
          <w:tcPr>
            <w:tcW w:w="1752" w:type="dxa"/>
            <w:shd w:val="clear" w:color="auto" w:fill="auto"/>
            <w:tcMar>
              <w:top w:w="57" w:type="dxa"/>
              <w:left w:w="17" w:type="dxa"/>
              <w:right w:w="17" w:type="dxa"/>
            </w:tcMar>
            <w:hideMark/>
          </w:tcPr>
          <w:p w14:paraId="45225610" w14:textId="76D674CD" w:rsidR="00382C6B" w:rsidRPr="00120D36" w:rsidRDefault="00382C6B" w:rsidP="00382C6B">
            <w:pPr>
              <w:pStyle w:val="NormalWeb"/>
              <w:spacing w:before="240"/>
              <w:jc w:val="center"/>
              <w:rPr>
                <w:sz w:val="22"/>
                <w:szCs w:val="22"/>
              </w:rPr>
            </w:pPr>
            <w:r w:rsidRPr="00F205AB">
              <w:t>0.61</w:t>
            </w:r>
          </w:p>
        </w:tc>
        <w:tc>
          <w:tcPr>
            <w:tcW w:w="1752" w:type="dxa"/>
          </w:tcPr>
          <w:p w14:paraId="5CD33EEA" w14:textId="2516B8A6" w:rsidR="00382C6B" w:rsidRDefault="00382C6B" w:rsidP="00382C6B">
            <w:pPr>
              <w:pStyle w:val="NormalWeb"/>
              <w:spacing w:before="240" w:beforeAutospacing="0" w:after="0" w:afterAutospacing="0" w:line="360" w:lineRule="auto"/>
              <w:jc w:val="center"/>
              <w:rPr>
                <w:color w:val="000000" w:themeColor="text1"/>
                <w:kern w:val="24"/>
                <w:sz w:val="22"/>
                <w:szCs w:val="22"/>
              </w:rPr>
            </w:pPr>
            <w:r w:rsidRPr="00DF6F94">
              <w:t>0.29</w:t>
            </w:r>
          </w:p>
        </w:tc>
        <w:tc>
          <w:tcPr>
            <w:tcW w:w="1752" w:type="dxa"/>
            <w:shd w:val="clear" w:color="auto" w:fill="auto"/>
            <w:tcMar>
              <w:top w:w="57" w:type="dxa"/>
              <w:left w:w="17" w:type="dxa"/>
              <w:right w:w="17" w:type="dxa"/>
            </w:tcMar>
            <w:vAlign w:val="center"/>
            <w:hideMark/>
          </w:tcPr>
          <w:p w14:paraId="514C703D" w14:textId="56D24CA5" w:rsidR="00382C6B" w:rsidRPr="00120D36" w:rsidRDefault="00382C6B" w:rsidP="00382C6B">
            <w:pPr>
              <w:pStyle w:val="NormalWeb"/>
              <w:spacing w:before="240" w:beforeAutospacing="0" w:after="0" w:afterAutospacing="0" w:line="360" w:lineRule="auto"/>
              <w:jc w:val="center"/>
              <w:rPr>
                <w:color w:val="000000" w:themeColor="text1"/>
                <w:sz w:val="22"/>
                <w:szCs w:val="22"/>
              </w:rPr>
            </w:pPr>
            <w:r>
              <w:rPr>
                <w:color w:val="000000" w:themeColor="text1"/>
                <w:kern w:val="24"/>
                <w:sz w:val="22"/>
                <w:szCs w:val="22"/>
              </w:rPr>
              <w:t>1.21</w:t>
            </w:r>
          </w:p>
        </w:tc>
        <w:tc>
          <w:tcPr>
            <w:tcW w:w="1752" w:type="dxa"/>
            <w:shd w:val="clear" w:color="auto" w:fill="auto"/>
            <w:tcMar>
              <w:top w:w="57" w:type="dxa"/>
              <w:left w:w="17" w:type="dxa"/>
              <w:bottom w:w="0" w:type="dxa"/>
              <w:right w:w="17" w:type="dxa"/>
            </w:tcMar>
            <w:hideMark/>
          </w:tcPr>
          <w:p w14:paraId="7C7AB87C" w14:textId="7E8FE42F" w:rsidR="00382C6B" w:rsidRPr="00120D36" w:rsidRDefault="00382C6B" w:rsidP="00382C6B">
            <w:pPr>
              <w:pStyle w:val="NormalWeb"/>
              <w:spacing w:before="57" w:beforeAutospacing="0" w:after="0" w:afterAutospacing="0" w:line="360" w:lineRule="auto"/>
              <w:ind w:right="43"/>
              <w:jc w:val="center"/>
              <w:rPr>
                <w:color w:val="000000" w:themeColor="text1"/>
                <w:sz w:val="22"/>
                <w:szCs w:val="22"/>
              </w:rPr>
            </w:pPr>
            <w:r>
              <w:rPr>
                <w:sz w:val="22"/>
                <w:szCs w:val="22"/>
              </w:rPr>
              <w:t>-</w:t>
            </w:r>
          </w:p>
        </w:tc>
      </w:tr>
    </w:tbl>
    <w:p w14:paraId="451F13B7" w14:textId="3EB5DF1D" w:rsidR="00AE1A9D" w:rsidRPr="00EC07A1" w:rsidRDefault="00AE1A9D" w:rsidP="007978C7">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EC07A1">
        <w:rPr>
          <w:rFonts w:ascii="Times New Roman" w:eastAsia="Times New Roman" w:hAnsi="Times New Roman" w:cs="Times New Roman"/>
          <w:b/>
          <w:bCs/>
          <w:sz w:val="27"/>
          <w:szCs w:val="27"/>
        </w:rPr>
        <w:t>Economics</w:t>
      </w:r>
    </w:p>
    <w:p w14:paraId="5900F823" w14:textId="5A580C09" w:rsidR="00AE1A9D" w:rsidRPr="00EC07A1" w:rsidRDefault="00AE1A9D" w:rsidP="007978C7">
      <w:pPr>
        <w:spacing w:before="100" w:beforeAutospacing="1" w:after="100" w:afterAutospacing="1" w:line="360" w:lineRule="auto"/>
        <w:jc w:val="both"/>
        <w:rPr>
          <w:rFonts w:ascii="Times New Roman" w:eastAsia="Times New Roman" w:hAnsi="Times New Roman" w:cs="Times New Roman"/>
          <w:sz w:val="24"/>
          <w:szCs w:val="24"/>
        </w:rPr>
      </w:pPr>
      <w:r w:rsidRPr="00EC07A1">
        <w:rPr>
          <w:rFonts w:ascii="Times New Roman" w:eastAsia="Times New Roman" w:hAnsi="Times New Roman" w:cs="Times New Roman"/>
          <w:sz w:val="24"/>
          <w:szCs w:val="24"/>
        </w:rPr>
        <w:t xml:space="preserve">The economic analysis showed significant differences among treatments in terms of </w:t>
      </w:r>
      <w:r w:rsidRPr="00EC07A1">
        <w:rPr>
          <w:rFonts w:ascii="Times New Roman" w:eastAsia="Times New Roman" w:hAnsi="Times New Roman" w:cs="Times New Roman"/>
          <w:bCs/>
          <w:sz w:val="24"/>
          <w:szCs w:val="24"/>
        </w:rPr>
        <w:t>cost of cultivation</w:t>
      </w:r>
      <w:r w:rsidRPr="00EC07A1">
        <w:rPr>
          <w:rFonts w:ascii="Times New Roman" w:eastAsia="Times New Roman" w:hAnsi="Times New Roman" w:cs="Times New Roman"/>
          <w:sz w:val="24"/>
          <w:szCs w:val="24"/>
        </w:rPr>
        <w:t xml:space="preserve">, </w:t>
      </w:r>
      <w:r w:rsidRPr="00EC07A1">
        <w:rPr>
          <w:rFonts w:ascii="Times New Roman" w:eastAsia="Times New Roman" w:hAnsi="Times New Roman" w:cs="Times New Roman"/>
          <w:bCs/>
          <w:sz w:val="24"/>
          <w:szCs w:val="24"/>
        </w:rPr>
        <w:t>gross returns</w:t>
      </w:r>
      <w:r w:rsidRPr="00EC07A1">
        <w:rPr>
          <w:rFonts w:ascii="Times New Roman" w:eastAsia="Times New Roman" w:hAnsi="Times New Roman" w:cs="Times New Roman"/>
          <w:sz w:val="24"/>
          <w:szCs w:val="24"/>
        </w:rPr>
        <w:t xml:space="preserve">, </w:t>
      </w:r>
      <w:r w:rsidRPr="00EC07A1">
        <w:rPr>
          <w:rFonts w:ascii="Times New Roman" w:eastAsia="Times New Roman" w:hAnsi="Times New Roman" w:cs="Times New Roman"/>
          <w:bCs/>
          <w:sz w:val="24"/>
          <w:szCs w:val="24"/>
        </w:rPr>
        <w:t>net returns</w:t>
      </w:r>
      <w:r w:rsidRPr="00EC07A1">
        <w:rPr>
          <w:rFonts w:ascii="Times New Roman" w:eastAsia="Times New Roman" w:hAnsi="Times New Roman" w:cs="Times New Roman"/>
          <w:sz w:val="24"/>
          <w:szCs w:val="24"/>
        </w:rPr>
        <w:t xml:space="preserve">, and </w:t>
      </w:r>
      <w:r w:rsidRPr="00EC07A1">
        <w:rPr>
          <w:rFonts w:ascii="Times New Roman" w:eastAsia="Times New Roman" w:hAnsi="Times New Roman" w:cs="Times New Roman"/>
          <w:bCs/>
          <w:sz w:val="24"/>
          <w:szCs w:val="24"/>
        </w:rPr>
        <w:t>B:C ratio</w:t>
      </w:r>
      <w:r w:rsidRPr="00EC07A1">
        <w:rPr>
          <w:rFonts w:ascii="Times New Roman" w:eastAsia="Times New Roman" w:hAnsi="Times New Roman" w:cs="Times New Roman"/>
          <w:sz w:val="24"/>
          <w:szCs w:val="24"/>
        </w:rPr>
        <w:t xml:space="preserve">. The </w:t>
      </w:r>
      <w:r w:rsidRPr="00EC07A1">
        <w:rPr>
          <w:rFonts w:ascii="Times New Roman" w:eastAsia="Times New Roman" w:hAnsi="Times New Roman" w:cs="Times New Roman"/>
          <w:bCs/>
          <w:sz w:val="24"/>
          <w:szCs w:val="24"/>
        </w:rPr>
        <w:t xml:space="preserve">maximum gross return (INR </w:t>
      </w:r>
      <w:bookmarkStart w:id="1" w:name="_Hlk193709055"/>
      <w:r w:rsidR="00D62EB3">
        <w:rPr>
          <w:rFonts w:ascii="Times New Roman" w:eastAsia="Times New Roman" w:hAnsi="Times New Roman" w:cs="Times New Roman"/>
          <w:bCs/>
          <w:sz w:val="24"/>
          <w:szCs w:val="24"/>
        </w:rPr>
        <w:t>74,712</w:t>
      </w:r>
      <w:r w:rsidR="00B31996" w:rsidRPr="00B31996">
        <w:rPr>
          <w:rFonts w:ascii="Times New Roman" w:eastAsia="Times New Roman" w:hAnsi="Times New Roman" w:cs="Times New Roman"/>
          <w:bCs/>
          <w:sz w:val="24"/>
          <w:szCs w:val="24"/>
        </w:rPr>
        <w:t>.00</w:t>
      </w:r>
      <w:bookmarkEnd w:id="1"/>
      <w:r w:rsidRPr="00EC07A1">
        <w:rPr>
          <w:rFonts w:ascii="Times New Roman" w:eastAsia="Times New Roman" w:hAnsi="Times New Roman" w:cs="Times New Roman"/>
          <w:bCs/>
          <w:sz w:val="24"/>
          <w:szCs w:val="24"/>
        </w:rPr>
        <w:t>/ha)</w:t>
      </w:r>
      <w:r w:rsidRPr="00EC07A1">
        <w:rPr>
          <w:rFonts w:ascii="Times New Roman" w:eastAsia="Times New Roman" w:hAnsi="Times New Roman" w:cs="Times New Roman"/>
          <w:sz w:val="24"/>
          <w:szCs w:val="24"/>
        </w:rPr>
        <w:t xml:space="preserve"> and </w:t>
      </w:r>
      <w:r w:rsidRPr="00EC07A1">
        <w:rPr>
          <w:rFonts w:ascii="Times New Roman" w:eastAsia="Times New Roman" w:hAnsi="Times New Roman" w:cs="Times New Roman"/>
          <w:bCs/>
          <w:sz w:val="24"/>
          <w:szCs w:val="24"/>
        </w:rPr>
        <w:t>net return (INR</w:t>
      </w:r>
      <w:r w:rsidR="00B31996">
        <w:rPr>
          <w:rFonts w:ascii="Times New Roman" w:eastAsia="Times New Roman" w:hAnsi="Times New Roman" w:cs="Times New Roman"/>
          <w:bCs/>
          <w:sz w:val="24"/>
          <w:szCs w:val="24"/>
        </w:rPr>
        <w:t xml:space="preserve"> </w:t>
      </w:r>
      <w:r w:rsidR="00D62EB3">
        <w:rPr>
          <w:rFonts w:ascii="Times New Roman" w:eastAsia="Times New Roman" w:hAnsi="Times New Roman" w:cs="Times New Roman"/>
          <w:bCs/>
          <w:sz w:val="24"/>
          <w:szCs w:val="24"/>
        </w:rPr>
        <w:t>45,692</w:t>
      </w:r>
      <w:r w:rsidR="00B31996" w:rsidRPr="00B31996">
        <w:rPr>
          <w:rFonts w:ascii="Times New Roman" w:eastAsia="Times New Roman" w:hAnsi="Times New Roman" w:cs="Times New Roman"/>
          <w:bCs/>
          <w:sz w:val="24"/>
          <w:szCs w:val="24"/>
        </w:rPr>
        <w:t>.</w:t>
      </w:r>
      <w:r w:rsidR="00D62EB3">
        <w:rPr>
          <w:rFonts w:ascii="Times New Roman" w:eastAsia="Times New Roman" w:hAnsi="Times New Roman" w:cs="Times New Roman"/>
          <w:bCs/>
          <w:sz w:val="24"/>
          <w:szCs w:val="24"/>
        </w:rPr>
        <w:t>00</w:t>
      </w:r>
      <w:r w:rsidRPr="00EC07A1">
        <w:rPr>
          <w:rFonts w:ascii="Times New Roman" w:eastAsia="Times New Roman" w:hAnsi="Times New Roman" w:cs="Times New Roman"/>
          <w:bCs/>
          <w:sz w:val="24"/>
          <w:szCs w:val="24"/>
        </w:rPr>
        <w:t>/ha)</w:t>
      </w:r>
      <w:r w:rsidRPr="00EC07A1">
        <w:rPr>
          <w:rFonts w:ascii="Times New Roman" w:eastAsia="Times New Roman" w:hAnsi="Times New Roman" w:cs="Times New Roman"/>
          <w:sz w:val="24"/>
          <w:szCs w:val="24"/>
        </w:rPr>
        <w:t xml:space="preserve"> were achieved in </w:t>
      </w:r>
      <w:r w:rsidRPr="00EC07A1">
        <w:rPr>
          <w:rFonts w:ascii="Times New Roman" w:eastAsia="Times New Roman" w:hAnsi="Times New Roman" w:cs="Times New Roman"/>
          <w:bCs/>
          <w:sz w:val="24"/>
          <w:szCs w:val="24"/>
        </w:rPr>
        <w:t xml:space="preserve">Treatment </w:t>
      </w:r>
      <w:r w:rsidR="00D62EB3">
        <w:rPr>
          <w:rFonts w:ascii="Times New Roman" w:eastAsia="Times New Roman" w:hAnsi="Times New Roman" w:cs="Times New Roman"/>
          <w:bCs/>
          <w:sz w:val="24"/>
          <w:szCs w:val="24"/>
        </w:rPr>
        <w:t>9</w:t>
      </w:r>
      <w:r w:rsidRPr="00EC07A1">
        <w:rPr>
          <w:rFonts w:ascii="Times New Roman" w:eastAsia="Times New Roman" w:hAnsi="Times New Roman" w:cs="Times New Roman"/>
          <w:sz w:val="24"/>
          <w:szCs w:val="24"/>
        </w:rPr>
        <w:t xml:space="preserve"> </w:t>
      </w:r>
      <w:bookmarkStart w:id="2" w:name="_Hlk193709349"/>
      <w:r w:rsidRPr="00EC07A1">
        <w:rPr>
          <w:rFonts w:ascii="Times New Roman" w:eastAsia="Times New Roman" w:hAnsi="Times New Roman" w:cs="Times New Roman"/>
          <w:sz w:val="24"/>
          <w:szCs w:val="24"/>
        </w:rPr>
        <w:t>(</w:t>
      </w:r>
      <w:r w:rsidR="00D62EB3">
        <w:rPr>
          <w:rFonts w:ascii="Times New Roman" w:eastAsia="Times New Roman" w:hAnsi="Times New Roman" w:cs="Times New Roman"/>
          <w:sz w:val="24"/>
          <w:szCs w:val="24"/>
        </w:rPr>
        <w:t>Ammonium sulphate @ 60kg S/ha</w:t>
      </w:r>
      <w:r w:rsidRPr="00EC07A1">
        <w:rPr>
          <w:rFonts w:ascii="Times New Roman" w:eastAsia="Times New Roman" w:hAnsi="Times New Roman" w:cs="Times New Roman"/>
          <w:sz w:val="24"/>
          <w:szCs w:val="24"/>
        </w:rPr>
        <w:t>)</w:t>
      </w:r>
      <w:bookmarkEnd w:id="2"/>
      <w:r w:rsidR="00B31996">
        <w:rPr>
          <w:rFonts w:ascii="Times New Roman" w:eastAsia="Times New Roman" w:hAnsi="Times New Roman" w:cs="Times New Roman"/>
          <w:sz w:val="24"/>
          <w:szCs w:val="24"/>
        </w:rPr>
        <w:t>.</w:t>
      </w:r>
    </w:p>
    <w:p w14:paraId="6AD3506C" w14:textId="182C9E87" w:rsidR="002E41F1" w:rsidRPr="005D4CA7" w:rsidRDefault="00B31996" w:rsidP="007978C7">
      <w:pPr>
        <w:spacing w:before="100" w:beforeAutospacing="1" w:after="100" w:afterAutospacing="1" w:line="360" w:lineRule="auto"/>
        <w:jc w:val="both"/>
        <w:rPr>
          <w:rFonts w:ascii="Times New Roman" w:eastAsia="Times New Roman" w:hAnsi="Times New Roman" w:cs="Times New Roman"/>
          <w:sz w:val="24"/>
          <w:szCs w:val="24"/>
          <w:lang w:val="en-IN"/>
        </w:rPr>
      </w:pPr>
      <w:r w:rsidRPr="00B31996">
        <w:rPr>
          <w:rFonts w:ascii="Times New Roman" w:eastAsia="Times New Roman" w:hAnsi="Times New Roman" w:cs="Times New Roman"/>
          <w:sz w:val="24"/>
          <w:szCs w:val="24"/>
        </w:rPr>
        <w:t>Highest benefit cost ratio</w:t>
      </w:r>
      <w:r w:rsidRPr="00B31996">
        <w:rPr>
          <w:rFonts w:ascii="Times New Roman" w:eastAsia="Times New Roman" w:hAnsi="Times New Roman" w:cs="Times New Roman"/>
          <w:b/>
          <w:sz w:val="24"/>
          <w:szCs w:val="24"/>
        </w:rPr>
        <w:t xml:space="preserve"> </w:t>
      </w:r>
      <w:r w:rsidRPr="00B31996">
        <w:rPr>
          <w:rFonts w:ascii="Times New Roman" w:eastAsia="Times New Roman" w:hAnsi="Times New Roman" w:cs="Times New Roman"/>
          <w:sz w:val="24"/>
          <w:szCs w:val="24"/>
        </w:rPr>
        <w:t>(</w:t>
      </w:r>
      <w:r w:rsidR="00D62EB3">
        <w:rPr>
          <w:rFonts w:ascii="Times New Roman" w:eastAsia="Times New Roman" w:hAnsi="Times New Roman" w:cs="Times New Roman"/>
          <w:sz w:val="24"/>
          <w:szCs w:val="24"/>
        </w:rPr>
        <w:t>1</w:t>
      </w:r>
      <w:r w:rsidR="00DB3E25">
        <w:rPr>
          <w:rFonts w:ascii="Times New Roman" w:eastAsia="Times New Roman" w:hAnsi="Times New Roman" w:cs="Times New Roman"/>
          <w:sz w:val="24"/>
          <w:szCs w:val="24"/>
        </w:rPr>
        <w:t>.</w:t>
      </w:r>
      <w:r w:rsidR="00D62EB3">
        <w:rPr>
          <w:rFonts w:ascii="Times New Roman" w:eastAsia="Times New Roman" w:hAnsi="Times New Roman" w:cs="Times New Roman"/>
          <w:sz w:val="24"/>
          <w:szCs w:val="24"/>
        </w:rPr>
        <w:t>57</w:t>
      </w:r>
      <w:r w:rsidRPr="00B31996">
        <w:rPr>
          <w:rFonts w:ascii="Times New Roman" w:eastAsia="Times New Roman" w:hAnsi="Times New Roman" w:cs="Times New Roman"/>
          <w:sz w:val="24"/>
          <w:szCs w:val="24"/>
        </w:rPr>
        <w:t xml:space="preserve">) </w:t>
      </w:r>
      <w:r w:rsidR="00753A0A">
        <w:rPr>
          <w:rFonts w:ascii="Times New Roman" w:eastAsia="Times New Roman" w:hAnsi="Times New Roman" w:cs="Times New Roman"/>
          <w:sz w:val="24"/>
          <w:szCs w:val="24"/>
        </w:rPr>
        <w:t>is</w:t>
      </w:r>
      <w:r w:rsidRPr="00B31996">
        <w:rPr>
          <w:rFonts w:ascii="Times New Roman" w:eastAsia="Times New Roman" w:hAnsi="Times New Roman" w:cs="Times New Roman"/>
          <w:sz w:val="24"/>
          <w:szCs w:val="24"/>
        </w:rPr>
        <w:t xml:space="preserve"> recorded in treatment </w:t>
      </w:r>
      <w:r w:rsidR="00D62EB3">
        <w:rPr>
          <w:rFonts w:ascii="Times New Roman" w:eastAsia="Times New Roman" w:hAnsi="Times New Roman" w:cs="Times New Roman"/>
          <w:sz w:val="24"/>
          <w:szCs w:val="24"/>
        </w:rPr>
        <w:t>9</w:t>
      </w:r>
      <w:r w:rsidRPr="00B31996">
        <w:rPr>
          <w:rFonts w:ascii="Times New Roman" w:eastAsia="Times New Roman" w:hAnsi="Times New Roman" w:cs="Times New Roman"/>
          <w:sz w:val="24"/>
          <w:szCs w:val="24"/>
        </w:rPr>
        <w:t xml:space="preserve"> </w:t>
      </w:r>
      <w:r w:rsidR="00D62EB3">
        <w:rPr>
          <w:rFonts w:ascii="Times New Roman" w:eastAsia="Times New Roman" w:hAnsi="Times New Roman" w:cs="Times New Roman"/>
          <w:sz w:val="24"/>
          <w:szCs w:val="24"/>
        </w:rPr>
        <w:t xml:space="preserve">(Ammonium sulphate @ 60kg S/ha) </w:t>
      </w:r>
      <w:r w:rsidRPr="00B31996">
        <w:rPr>
          <w:rFonts w:ascii="Times New Roman" w:eastAsia="Times New Roman" w:hAnsi="Times New Roman" w:cs="Times New Roman"/>
          <w:sz w:val="24"/>
          <w:szCs w:val="24"/>
        </w:rPr>
        <w:t xml:space="preserve">as compared to other treatments. Higher B:C ratio </w:t>
      </w:r>
      <w:r w:rsidR="00753A0A">
        <w:rPr>
          <w:rFonts w:ascii="Times New Roman" w:eastAsia="Times New Roman" w:hAnsi="Times New Roman" w:cs="Times New Roman"/>
          <w:sz w:val="24"/>
          <w:szCs w:val="24"/>
        </w:rPr>
        <w:t>is</w:t>
      </w:r>
      <w:r w:rsidRPr="00B31996">
        <w:rPr>
          <w:rFonts w:ascii="Times New Roman" w:eastAsia="Times New Roman" w:hAnsi="Times New Roman" w:cs="Times New Roman"/>
          <w:sz w:val="24"/>
          <w:szCs w:val="24"/>
        </w:rPr>
        <w:t xml:space="preserve"> observed with </w:t>
      </w:r>
      <w:r w:rsidR="00D62EB3">
        <w:rPr>
          <w:rFonts w:ascii="Times New Roman" w:eastAsia="Times New Roman" w:hAnsi="Times New Roman" w:cs="Times New Roman"/>
          <w:sz w:val="24"/>
          <w:szCs w:val="24"/>
        </w:rPr>
        <w:t xml:space="preserve">Ammonium sulphate applied with 60kg S/ha in </w:t>
      </w:r>
      <w:r w:rsidR="00336D30">
        <w:rPr>
          <w:rFonts w:ascii="Times New Roman" w:eastAsia="Times New Roman" w:hAnsi="Times New Roman" w:cs="Times New Roman"/>
          <w:sz w:val="24"/>
          <w:szCs w:val="24"/>
        </w:rPr>
        <w:t>Toria</w:t>
      </w:r>
      <w:r w:rsidRPr="00B31996">
        <w:rPr>
          <w:rFonts w:ascii="Times New Roman" w:eastAsia="Times New Roman" w:hAnsi="Times New Roman" w:cs="Times New Roman"/>
          <w:sz w:val="24"/>
          <w:szCs w:val="24"/>
        </w:rPr>
        <w:t xml:space="preserve"> might be due to </w:t>
      </w:r>
      <w:r w:rsidRPr="00B31996">
        <w:rPr>
          <w:rFonts w:ascii="Times New Roman" w:eastAsia="Times New Roman" w:hAnsi="Times New Roman" w:cs="Times New Roman"/>
          <w:sz w:val="24"/>
          <w:szCs w:val="24"/>
          <w:lang w:val="en-IN"/>
        </w:rPr>
        <w:t>increased economic performance of crop such as yield of seed and stover, which in turn led to higher gross returns and net returns.</w:t>
      </w:r>
    </w:p>
    <w:p w14:paraId="43C8CA9C" w14:textId="3ABEC4EE" w:rsidR="00AE1A9D" w:rsidRPr="00EC07A1" w:rsidRDefault="00AE1A9D" w:rsidP="007978C7">
      <w:pPr>
        <w:tabs>
          <w:tab w:val="left" w:pos="0"/>
        </w:tabs>
        <w:spacing w:line="360" w:lineRule="auto"/>
        <w:ind w:right="237"/>
        <w:jc w:val="both"/>
        <w:rPr>
          <w:rFonts w:ascii="Times New Roman" w:hAnsi="Times New Roman" w:cs="Times New Roman"/>
          <w:b/>
          <w:sz w:val="28"/>
          <w:szCs w:val="28"/>
        </w:rPr>
      </w:pPr>
      <w:r>
        <w:rPr>
          <w:rFonts w:ascii="Times New Roman" w:hAnsi="Times New Roman" w:cs="Times New Roman"/>
          <w:b/>
          <w:bCs/>
          <w:sz w:val="28"/>
          <w:szCs w:val="28"/>
        </w:rPr>
        <w:t xml:space="preserve">Table </w:t>
      </w:r>
      <w:r w:rsidR="005D4CA7">
        <w:rPr>
          <w:rFonts w:ascii="Times New Roman" w:hAnsi="Times New Roman" w:cs="Times New Roman"/>
          <w:b/>
          <w:bCs/>
          <w:sz w:val="28"/>
          <w:szCs w:val="28"/>
        </w:rPr>
        <w:t>2</w:t>
      </w:r>
      <w:r w:rsidR="00B31996" w:rsidRPr="00EC07A1">
        <w:rPr>
          <w:rFonts w:ascii="Times New Roman" w:hAnsi="Times New Roman" w:cs="Times New Roman"/>
          <w:b/>
          <w:bCs/>
          <w:sz w:val="28"/>
          <w:szCs w:val="28"/>
        </w:rPr>
        <w:t>: -</w:t>
      </w:r>
      <w:r w:rsidRPr="00EC07A1">
        <w:rPr>
          <w:rFonts w:ascii="Times New Roman" w:hAnsi="Times New Roman" w:cs="Times New Roman"/>
          <w:b/>
          <w:bCs/>
          <w:sz w:val="28"/>
          <w:szCs w:val="28"/>
        </w:rPr>
        <w:t xml:space="preserve"> </w:t>
      </w:r>
      <w:r w:rsidRPr="00EC07A1">
        <w:rPr>
          <w:rFonts w:ascii="Times New Roman" w:hAnsi="Times New Roman" w:cs="Times New Roman"/>
          <w:b/>
          <w:sz w:val="28"/>
          <w:szCs w:val="28"/>
        </w:rPr>
        <w:t xml:space="preserve">Economics of different treatments in </w:t>
      </w:r>
      <w:proofErr w:type="spellStart"/>
      <w:r w:rsidR="00336D30">
        <w:rPr>
          <w:rFonts w:ascii="Times New Roman" w:hAnsi="Times New Roman" w:cs="Times New Roman"/>
          <w:b/>
          <w:sz w:val="28"/>
          <w:szCs w:val="28"/>
        </w:rPr>
        <w:t>Toria</w:t>
      </w:r>
      <w:proofErr w:type="spellEnd"/>
      <w:r w:rsidRPr="00EC07A1">
        <w:rPr>
          <w:rFonts w:ascii="Times New Roman" w:hAnsi="Times New Roman" w:cs="Times New Roman"/>
          <w:b/>
          <w:sz w:val="28"/>
          <w:szCs w:val="28"/>
        </w:rPr>
        <w:t>.</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71"/>
        <w:gridCol w:w="1871"/>
        <w:gridCol w:w="1872"/>
        <w:gridCol w:w="1871"/>
        <w:gridCol w:w="1872"/>
      </w:tblGrid>
      <w:tr w:rsidR="00AE1A9D" w:rsidRPr="00C213B2" w14:paraId="15728163" w14:textId="77777777" w:rsidTr="00336D30">
        <w:trPr>
          <w:trHeight w:val="1101"/>
        </w:trPr>
        <w:tc>
          <w:tcPr>
            <w:tcW w:w="1871" w:type="dxa"/>
            <w:shd w:val="clear" w:color="auto" w:fill="auto"/>
            <w:tcMar>
              <w:top w:w="261" w:type="dxa"/>
              <w:left w:w="17" w:type="dxa"/>
              <w:bottom w:w="0" w:type="dxa"/>
              <w:right w:w="17" w:type="dxa"/>
            </w:tcMar>
            <w:vAlign w:val="center"/>
            <w:hideMark/>
          </w:tcPr>
          <w:p w14:paraId="09118A75" w14:textId="77777777" w:rsidR="00AE1A9D" w:rsidRPr="005F1A42" w:rsidRDefault="00AE1A9D" w:rsidP="005776EA">
            <w:pPr>
              <w:pStyle w:val="NormalWeb"/>
              <w:spacing w:before="0" w:beforeAutospacing="0" w:after="0" w:afterAutospacing="0" w:line="276" w:lineRule="auto"/>
              <w:jc w:val="center"/>
            </w:pPr>
            <w:r w:rsidRPr="005F1A42">
              <w:rPr>
                <w:b/>
                <w:bCs/>
              </w:rPr>
              <w:t>Treatments</w:t>
            </w:r>
          </w:p>
        </w:tc>
        <w:tc>
          <w:tcPr>
            <w:tcW w:w="1871" w:type="dxa"/>
            <w:shd w:val="clear" w:color="auto" w:fill="auto"/>
            <w:tcMar>
              <w:top w:w="1" w:type="dxa"/>
              <w:left w:w="17" w:type="dxa"/>
              <w:bottom w:w="0" w:type="dxa"/>
              <w:right w:w="17" w:type="dxa"/>
            </w:tcMar>
            <w:vAlign w:val="center"/>
            <w:hideMark/>
          </w:tcPr>
          <w:p w14:paraId="00F95E6F" w14:textId="77777777" w:rsidR="00AE1A9D" w:rsidRPr="005F1A42" w:rsidRDefault="00AE1A9D" w:rsidP="005776EA">
            <w:pPr>
              <w:widowControl w:val="0"/>
              <w:autoSpaceDE w:val="0"/>
              <w:autoSpaceDN w:val="0"/>
              <w:spacing w:after="0" w:line="240" w:lineRule="auto"/>
              <w:ind w:left="288" w:hanging="548"/>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Cost of</w:t>
            </w:r>
          </w:p>
          <w:p w14:paraId="79A87714" w14:textId="77777777" w:rsidR="00AE1A9D" w:rsidRPr="005F1A42" w:rsidRDefault="00AE1A9D" w:rsidP="005776EA">
            <w:pPr>
              <w:widowControl w:val="0"/>
              <w:autoSpaceDE w:val="0"/>
              <w:autoSpaceDN w:val="0"/>
              <w:spacing w:after="0" w:line="240" w:lineRule="auto"/>
              <w:ind w:left="288" w:hanging="548"/>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Cultivation</w:t>
            </w:r>
          </w:p>
          <w:p w14:paraId="4EED214B" w14:textId="2BACCC56" w:rsidR="00AE1A9D" w:rsidRPr="005F1A42" w:rsidRDefault="00AE1A9D" w:rsidP="005776EA">
            <w:pPr>
              <w:widowControl w:val="0"/>
              <w:autoSpaceDE w:val="0"/>
              <w:autoSpaceDN w:val="0"/>
              <w:spacing w:after="0" w:line="240" w:lineRule="auto"/>
              <w:ind w:left="288" w:hanging="548"/>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w:t>
            </w:r>
            <w:r w:rsidR="00B31996">
              <w:rPr>
                <w:rFonts w:ascii="Times New Roman" w:eastAsia="Times New Roman" w:hAnsi="Times New Roman" w:cs="Times New Roman"/>
                <w:b/>
                <w:noProof/>
                <w:spacing w:val="-29"/>
                <w:sz w:val="24"/>
                <w:szCs w:val="24"/>
              </w:rPr>
              <w:t>INR</w:t>
            </w:r>
            <w:r w:rsidRPr="005F1A42">
              <w:rPr>
                <w:rFonts w:ascii="Times New Roman" w:eastAsia="Times New Roman" w:hAnsi="Times New Roman" w:cs="Times New Roman"/>
                <w:b/>
                <w:sz w:val="24"/>
                <w:szCs w:val="24"/>
              </w:rPr>
              <w:t>/ha)</w:t>
            </w:r>
          </w:p>
        </w:tc>
        <w:tc>
          <w:tcPr>
            <w:tcW w:w="1872" w:type="dxa"/>
            <w:shd w:val="clear" w:color="auto" w:fill="auto"/>
            <w:tcMar>
              <w:top w:w="124" w:type="dxa"/>
              <w:left w:w="17" w:type="dxa"/>
              <w:bottom w:w="0" w:type="dxa"/>
              <w:right w:w="17" w:type="dxa"/>
            </w:tcMar>
            <w:vAlign w:val="center"/>
            <w:hideMark/>
          </w:tcPr>
          <w:p w14:paraId="7A231654" w14:textId="77777777" w:rsidR="00AE1A9D" w:rsidRPr="005F1A42" w:rsidRDefault="00AE1A9D" w:rsidP="005776EA">
            <w:pPr>
              <w:widowControl w:val="0"/>
              <w:autoSpaceDE w:val="0"/>
              <w:autoSpaceDN w:val="0"/>
              <w:spacing w:after="0" w:line="240" w:lineRule="auto"/>
              <w:ind w:left="288" w:hanging="264"/>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Gross</w:t>
            </w:r>
          </w:p>
          <w:p w14:paraId="2F1C9DC9" w14:textId="77777777" w:rsidR="00AE1A9D" w:rsidRPr="005F1A42" w:rsidRDefault="00AE1A9D" w:rsidP="005776EA">
            <w:pPr>
              <w:widowControl w:val="0"/>
              <w:autoSpaceDE w:val="0"/>
              <w:autoSpaceDN w:val="0"/>
              <w:spacing w:after="0" w:line="240" w:lineRule="auto"/>
              <w:ind w:left="288" w:hanging="264"/>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Return</w:t>
            </w:r>
          </w:p>
          <w:p w14:paraId="77DDF8DD" w14:textId="2144608C" w:rsidR="00AE1A9D" w:rsidRPr="005F1A42" w:rsidRDefault="00AE1A9D" w:rsidP="005776EA">
            <w:pPr>
              <w:widowControl w:val="0"/>
              <w:autoSpaceDE w:val="0"/>
              <w:autoSpaceDN w:val="0"/>
              <w:spacing w:after="0" w:line="240" w:lineRule="auto"/>
              <w:ind w:left="288" w:hanging="264"/>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w:t>
            </w:r>
            <w:r w:rsidR="00D67721">
              <w:rPr>
                <w:rFonts w:ascii="Times New Roman" w:eastAsia="Times New Roman" w:hAnsi="Times New Roman" w:cs="Times New Roman"/>
                <w:b/>
                <w:sz w:val="24"/>
                <w:szCs w:val="24"/>
              </w:rPr>
              <w:t>INR</w:t>
            </w:r>
            <w:r w:rsidRPr="005F1A42">
              <w:rPr>
                <w:rFonts w:ascii="Times New Roman" w:eastAsia="Times New Roman" w:hAnsi="Times New Roman" w:cs="Times New Roman"/>
                <w:b/>
                <w:sz w:val="24"/>
                <w:szCs w:val="24"/>
              </w:rPr>
              <w:t>/ha)</w:t>
            </w:r>
          </w:p>
        </w:tc>
        <w:tc>
          <w:tcPr>
            <w:tcW w:w="1871" w:type="dxa"/>
            <w:shd w:val="clear" w:color="auto" w:fill="auto"/>
            <w:tcMar>
              <w:top w:w="17" w:type="dxa"/>
              <w:left w:w="17" w:type="dxa"/>
              <w:bottom w:w="0" w:type="dxa"/>
              <w:right w:w="17" w:type="dxa"/>
            </w:tcMar>
            <w:vAlign w:val="center"/>
            <w:hideMark/>
          </w:tcPr>
          <w:p w14:paraId="19A1361E" w14:textId="77777777" w:rsidR="00AE1A9D" w:rsidRPr="005F1A42" w:rsidRDefault="00AE1A9D" w:rsidP="005776EA">
            <w:pPr>
              <w:widowControl w:val="0"/>
              <w:autoSpaceDE w:val="0"/>
              <w:autoSpaceDN w:val="0"/>
              <w:spacing w:after="0" w:line="240" w:lineRule="auto"/>
              <w:ind w:left="288" w:hanging="159"/>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Net return</w:t>
            </w:r>
          </w:p>
          <w:p w14:paraId="58A5CBE1" w14:textId="39CD844E" w:rsidR="00AE1A9D" w:rsidRPr="005F1A42" w:rsidRDefault="00AE1A9D" w:rsidP="005776EA">
            <w:pPr>
              <w:widowControl w:val="0"/>
              <w:autoSpaceDE w:val="0"/>
              <w:autoSpaceDN w:val="0"/>
              <w:spacing w:after="0" w:line="240" w:lineRule="auto"/>
              <w:ind w:left="288" w:hanging="159"/>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w:t>
            </w:r>
            <w:r w:rsidR="00D67721">
              <w:rPr>
                <w:rFonts w:ascii="Times New Roman" w:eastAsia="Times New Roman" w:hAnsi="Times New Roman" w:cs="Times New Roman"/>
                <w:b/>
                <w:noProof/>
                <w:spacing w:val="-34"/>
                <w:sz w:val="24"/>
                <w:szCs w:val="24"/>
              </w:rPr>
              <w:t>INR</w:t>
            </w:r>
            <w:r w:rsidRPr="005F1A42">
              <w:rPr>
                <w:rFonts w:ascii="Times New Roman" w:eastAsia="Times New Roman" w:hAnsi="Times New Roman" w:cs="Times New Roman"/>
                <w:b/>
                <w:sz w:val="24"/>
                <w:szCs w:val="24"/>
              </w:rPr>
              <w:t>/ha)</w:t>
            </w:r>
          </w:p>
        </w:tc>
        <w:tc>
          <w:tcPr>
            <w:tcW w:w="1872" w:type="dxa"/>
            <w:shd w:val="clear" w:color="auto" w:fill="auto"/>
            <w:tcMar>
              <w:top w:w="88" w:type="dxa"/>
              <w:left w:w="17" w:type="dxa"/>
              <w:right w:w="17" w:type="dxa"/>
            </w:tcMar>
            <w:vAlign w:val="center"/>
            <w:hideMark/>
          </w:tcPr>
          <w:p w14:paraId="6B8B4C4E" w14:textId="77777777" w:rsidR="00AE1A9D" w:rsidRPr="005F1A42" w:rsidRDefault="00AE1A9D" w:rsidP="005776EA">
            <w:pPr>
              <w:widowControl w:val="0"/>
              <w:autoSpaceDE w:val="0"/>
              <w:autoSpaceDN w:val="0"/>
              <w:spacing w:after="0" w:line="240" w:lineRule="auto"/>
              <w:ind w:left="288"/>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B:C</w:t>
            </w:r>
          </w:p>
          <w:p w14:paraId="59FB36CF" w14:textId="77777777" w:rsidR="00AE1A9D" w:rsidRPr="005F1A42" w:rsidRDefault="00AE1A9D" w:rsidP="005776EA">
            <w:pPr>
              <w:widowControl w:val="0"/>
              <w:autoSpaceDE w:val="0"/>
              <w:autoSpaceDN w:val="0"/>
              <w:spacing w:after="0" w:line="240" w:lineRule="auto"/>
              <w:ind w:left="288" w:hanging="159"/>
              <w:jc w:val="center"/>
              <w:rPr>
                <w:rFonts w:ascii="Times New Roman" w:eastAsia="Times New Roman" w:hAnsi="Times New Roman" w:cs="Times New Roman"/>
                <w:b/>
                <w:sz w:val="24"/>
                <w:szCs w:val="24"/>
              </w:rPr>
            </w:pPr>
            <w:r w:rsidRPr="005F1A42">
              <w:rPr>
                <w:rFonts w:ascii="Times New Roman" w:eastAsia="Times New Roman" w:hAnsi="Times New Roman" w:cs="Times New Roman"/>
                <w:b/>
                <w:sz w:val="24"/>
                <w:szCs w:val="24"/>
              </w:rPr>
              <w:t>Ratio</w:t>
            </w:r>
          </w:p>
        </w:tc>
      </w:tr>
      <w:tr w:rsidR="002C00AA" w:rsidRPr="00AE1A9D" w14:paraId="1A81C70E" w14:textId="77777777" w:rsidTr="00336D30">
        <w:trPr>
          <w:trHeight w:val="628"/>
        </w:trPr>
        <w:tc>
          <w:tcPr>
            <w:tcW w:w="1871" w:type="dxa"/>
            <w:shd w:val="clear" w:color="auto" w:fill="auto"/>
            <w:tcMar>
              <w:top w:w="17" w:type="dxa"/>
              <w:left w:w="17" w:type="dxa"/>
              <w:bottom w:w="0" w:type="dxa"/>
              <w:right w:w="17" w:type="dxa"/>
            </w:tcMar>
            <w:vAlign w:val="center"/>
            <w:hideMark/>
          </w:tcPr>
          <w:p w14:paraId="64DA72CD"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T1</w:t>
            </w:r>
          </w:p>
        </w:tc>
        <w:tc>
          <w:tcPr>
            <w:tcW w:w="1871" w:type="dxa"/>
            <w:shd w:val="clear" w:color="auto" w:fill="auto"/>
            <w:tcMar>
              <w:top w:w="74" w:type="dxa"/>
              <w:left w:w="17" w:type="dxa"/>
              <w:bottom w:w="0" w:type="dxa"/>
              <w:right w:w="17" w:type="dxa"/>
            </w:tcMar>
            <w:hideMark/>
          </w:tcPr>
          <w:p w14:paraId="2B731963" w14:textId="7D38AFD7"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26770.00</w:t>
            </w:r>
          </w:p>
        </w:tc>
        <w:tc>
          <w:tcPr>
            <w:tcW w:w="1872" w:type="dxa"/>
            <w:shd w:val="clear" w:color="auto" w:fill="auto"/>
            <w:tcMar>
              <w:top w:w="17" w:type="dxa"/>
              <w:left w:w="17" w:type="dxa"/>
              <w:bottom w:w="0" w:type="dxa"/>
              <w:right w:w="17" w:type="dxa"/>
            </w:tcMar>
            <w:hideMark/>
          </w:tcPr>
          <w:p w14:paraId="79A1A88D" w14:textId="6CC6C4A7"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60742.00</w:t>
            </w:r>
          </w:p>
        </w:tc>
        <w:tc>
          <w:tcPr>
            <w:tcW w:w="1871" w:type="dxa"/>
            <w:shd w:val="clear" w:color="auto" w:fill="auto"/>
            <w:tcMar>
              <w:top w:w="17" w:type="dxa"/>
              <w:left w:w="17" w:type="dxa"/>
              <w:bottom w:w="0" w:type="dxa"/>
              <w:right w:w="17" w:type="dxa"/>
            </w:tcMar>
            <w:hideMark/>
          </w:tcPr>
          <w:p w14:paraId="49CC3543" w14:textId="7E1C977A"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33972.00</w:t>
            </w:r>
          </w:p>
        </w:tc>
        <w:tc>
          <w:tcPr>
            <w:tcW w:w="1872" w:type="dxa"/>
            <w:shd w:val="clear" w:color="auto" w:fill="auto"/>
            <w:tcMar>
              <w:top w:w="17" w:type="dxa"/>
              <w:left w:w="17" w:type="dxa"/>
              <w:bottom w:w="0" w:type="dxa"/>
              <w:right w:w="17" w:type="dxa"/>
            </w:tcMar>
            <w:hideMark/>
          </w:tcPr>
          <w:p w14:paraId="3A2437E9" w14:textId="61191480"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1.27</w:t>
            </w:r>
          </w:p>
        </w:tc>
      </w:tr>
      <w:tr w:rsidR="002C00AA" w:rsidRPr="00AE1A9D" w14:paraId="0F47EB5D" w14:textId="77777777" w:rsidTr="00336D30">
        <w:trPr>
          <w:trHeight w:val="589"/>
        </w:trPr>
        <w:tc>
          <w:tcPr>
            <w:tcW w:w="1871" w:type="dxa"/>
            <w:shd w:val="clear" w:color="auto" w:fill="auto"/>
            <w:tcMar>
              <w:top w:w="17" w:type="dxa"/>
              <w:left w:w="17" w:type="dxa"/>
              <w:bottom w:w="0" w:type="dxa"/>
              <w:right w:w="17" w:type="dxa"/>
            </w:tcMar>
            <w:vAlign w:val="center"/>
            <w:hideMark/>
          </w:tcPr>
          <w:p w14:paraId="7FBE1CA7"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lastRenderedPageBreak/>
              <w:t>T2</w:t>
            </w:r>
          </w:p>
        </w:tc>
        <w:tc>
          <w:tcPr>
            <w:tcW w:w="1871" w:type="dxa"/>
            <w:shd w:val="clear" w:color="auto" w:fill="auto"/>
            <w:tcMar>
              <w:top w:w="76" w:type="dxa"/>
              <w:left w:w="17" w:type="dxa"/>
              <w:bottom w:w="0" w:type="dxa"/>
              <w:right w:w="17" w:type="dxa"/>
            </w:tcMar>
            <w:hideMark/>
          </w:tcPr>
          <w:p w14:paraId="3B5E3831" w14:textId="64A088EC"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27770.00</w:t>
            </w:r>
          </w:p>
        </w:tc>
        <w:tc>
          <w:tcPr>
            <w:tcW w:w="1872" w:type="dxa"/>
            <w:shd w:val="clear" w:color="auto" w:fill="auto"/>
            <w:tcMar>
              <w:top w:w="17" w:type="dxa"/>
              <w:left w:w="17" w:type="dxa"/>
              <w:bottom w:w="0" w:type="dxa"/>
              <w:right w:w="17" w:type="dxa"/>
            </w:tcMar>
            <w:hideMark/>
          </w:tcPr>
          <w:p w14:paraId="289E7DA7" w14:textId="22A277CF"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63401.00</w:t>
            </w:r>
          </w:p>
        </w:tc>
        <w:tc>
          <w:tcPr>
            <w:tcW w:w="1871" w:type="dxa"/>
            <w:shd w:val="clear" w:color="auto" w:fill="auto"/>
            <w:tcMar>
              <w:top w:w="17" w:type="dxa"/>
              <w:left w:w="17" w:type="dxa"/>
              <w:bottom w:w="0" w:type="dxa"/>
              <w:right w:w="17" w:type="dxa"/>
            </w:tcMar>
            <w:hideMark/>
          </w:tcPr>
          <w:p w14:paraId="63473EF1" w14:textId="66526808"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35631.00</w:t>
            </w:r>
          </w:p>
        </w:tc>
        <w:tc>
          <w:tcPr>
            <w:tcW w:w="1872" w:type="dxa"/>
            <w:shd w:val="clear" w:color="auto" w:fill="auto"/>
            <w:tcMar>
              <w:top w:w="17" w:type="dxa"/>
              <w:left w:w="17" w:type="dxa"/>
              <w:bottom w:w="0" w:type="dxa"/>
              <w:right w:w="17" w:type="dxa"/>
            </w:tcMar>
            <w:hideMark/>
          </w:tcPr>
          <w:p w14:paraId="3F468422" w14:textId="4D619436"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1.28</w:t>
            </w:r>
          </w:p>
        </w:tc>
      </w:tr>
      <w:tr w:rsidR="002C00AA" w:rsidRPr="00AE1A9D" w14:paraId="64ED1DB0" w14:textId="77777777" w:rsidTr="00336D30">
        <w:trPr>
          <w:trHeight w:val="607"/>
        </w:trPr>
        <w:tc>
          <w:tcPr>
            <w:tcW w:w="1871" w:type="dxa"/>
            <w:shd w:val="clear" w:color="auto" w:fill="auto"/>
            <w:tcMar>
              <w:top w:w="17" w:type="dxa"/>
              <w:left w:w="17" w:type="dxa"/>
              <w:bottom w:w="0" w:type="dxa"/>
              <w:right w:w="17" w:type="dxa"/>
            </w:tcMar>
            <w:vAlign w:val="center"/>
            <w:hideMark/>
          </w:tcPr>
          <w:p w14:paraId="551D0E8C"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T3</w:t>
            </w:r>
          </w:p>
        </w:tc>
        <w:tc>
          <w:tcPr>
            <w:tcW w:w="1871" w:type="dxa"/>
            <w:shd w:val="clear" w:color="auto" w:fill="auto"/>
            <w:tcMar>
              <w:top w:w="76" w:type="dxa"/>
              <w:left w:w="17" w:type="dxa"/>
              <w:bottom w:w="0" w:type="dxa"/>
              <w:right w:w="17" w:type="dxa"/>
            </w:tcMar>
            <w:hideMark/>
          </w:tcPr>
          <w:p w14:paraId="56C400CD" w14:textId="43AC45D6"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28020.00</w:t>
            </w:r>
          </w:p>
        </w:tc>
        <w:tc>
          <w:tcPr>
            <w:tcW w:w="1872" w:type="dxa"/>
            <w:shd w:val="clear" w:color="auto" w:fill="auto"/>
            <w:tcMar>
              <w:top w:w="17" w:type="dxa"/>
              <w:left w:w="17" w:type="dxa"/>
              <w:bottom w:w="0" w:type="dxa"/>
              <w:right w:w="17" w:type="dxa"/>
            </w:tcMar>
            <w:hideMark/>
          </w:tcPr>
          <w:p w14:paraId="385FA08D" w14:textId="71FF8C7F"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64553.50</w:t>
            </w:r>
          </w:p>
        </w:tc>
        <w:tc>
          <w:tcPr>
            <w:tcW w:w="1871" w:type="dxa"/>
            <w:shd w:val="clear" w:color="auto" w:fill="auto"/>
            <w:tcMar>
              <w:top w:w="17" w:type="dxa"/>
              <w:left w:w="17" w:type="dxa"/>
              <w:bottom w:w="0" w:type="dxa"/>
              <w:right w:w="17" w:type="dxa"/>
            </w:tcMar>
            <w:hideMark/>
          </w:tcPr>
          <w:p w14:paraId="479F002A" w14:textId="54896AF9"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36533.50</w:t>
            </w:r>
          </w:p>
        </w:tc>
        <w:tc>
          <w:tcPr>
            <w:tcW w:w="1872" w:type="dxa"/>
            <w:shd w:val="clear" w:color="auto" w:fill="auto"/>
            <w:tcMar>
              <w:top w:w="17" w:type="dxa"/>
              <w:left w:w="17" w:type="dxa"/>
              <w:bottom w:w="0" w:type="dxa"/>
              <w:right w:w="17" w:type="dxa"/>
            </w:tcMar>
            <w:hideMark/>
          </w:tcPr>
          <w:p w14:paraId="39D614EA" w14:textId="590CA1C3"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1.30</w:t>
            </w:r>
          </w:p>
        </w:tc>
      </w:tr>
      <w:tr w:rsidR="002C00AA" w:rsidRPr="00AE1A9D" w14:paraId="663FC7CE" w14:textId="77777777" w:rsidTr="00336D30">
        <w:trPr>
          <w:trHeight w:val="659"/>
        </w:trPr>
        <w:tc>
          <w:tcPr>
            <w:tcW w:w="1871" w:type="dxa"/>
            <w:shd w:val="clear" w:color="auto" w:fill="auto"/>
            <w:tcMar>
              <w:top w:w="17" w:type="dxa"/>
              <w:left w:w="17" w:type="dxa"/>
              <w:bottom w:w="0" w:type="dxa"/>
              <w:right w:w="17" w:type="dxa"/>
            </w:tcMar>
            <w:vAlign w:val="center"/>
            <w:hideMark/>
          </w:tcPr>
          <w:p w14:paraId="7798CA1E"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T4</w:t>
            </w:r>
          </w:p>
        </w:tc>
        <w:tc>
          <w:tcPr>
            <w:tcW w:w="1871" w:type="dxa"/>
            <w:shd w:val="clear" w:color="auto" w:fill="auto"/>
            <w:tcMar>
              <w:top w:w="83" w:type="dxa"/>
              <w:left w:w="17" w:type="dxa"/>
              <w:bottom w:w="0" w:type="dxa"/>
              <w:right w:w="17" w:type="dxa"/>
            </w:tcMar>
            <w:hideMark/>
          </w:tcPr>
          <w:p w14:paraId="3B8ED14B" w14:textId="1572916B"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26076.50</w:t>
            </w:r>
          </w:p>
        </w:tc>
        <w:tc>
          <w:tcPr>
            <w:tcW w:w="1872" w:type="dxa"/>
            <w:shd w:val="clear" w:color="auto" w:fill="auto"/>
            <w:tcMar>
              <w:top w:w="17" w:type="dxa"/>
              <w:left w:w="17" w:type="dxa"/>
              <w:bottom w:w="0" w:type="dxa"/>
              <w:right w:w="17" w:type="dxa"/>
            </w:tcMar>
            <w:hideMark/>
          </w:tcPr>
          <w:p w14:paraId="70FFEF67" w14:textId="56FFA423"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60090.50</w:t>
            </w:r>
          </w:p>
        </w:tc>
        <w:tc>
          <w:tcPr>
            <w:tcW w:w="1871" w:type="dxa"/>
            <w:shd w:val="clear" w:color="auto" w:fill="auto"/>
            <w:tcMar>
              <w:top w:w="17" w:type="dxa"/>
              <w:left w:w="17" w:type="dxa"/>
              <w:bottom w:w="0" w:type="dxa"/>
              <w:right w:w="17" w:type="dxa"/>
            </w:tcMar>
            <w:hideMark/>
          </w:tcPr>
          <w:p w14:paraId="2590355C" w14:textId="074FD26B"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34014.00</w:t>
            </w:r>
          </w:p>
        </w:tc>
        <w:tc>
          <w:tcPr>
            <w:tcW w:w="1872" w:type="dxa"/>
            <w:shd w:val="clear" w:color="auto" w:fill="auto"/>
            <w:tcMar>
              <w:top w:w="17" w:type="dxa"/>
              <w:left w:w="17" w:type="dxa"/>
              <w:bottom w:w="0" w:type="dxa"/>
              <w:right w:w="17" w:type="dxa"/>
            </w:tcMar>
            <w:hideMark/>
          </w:tcPr>
          <w:p w14:paraId="285BD67A" w14:textId="10006ED6"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1.30</w:t>
            </w:r>
          </w:p>
        </w:tc>
      </w:tr>
      <w:tr w:rsidR="002C00AA" w:rsidRPr="00AE1A9D" w14:paraId="6E264A0C" w14:textId="77777777" w:rsidTr="00336D30">
        <w:trPr>
          <w:trHeight w:val="627"/>
        </w:trPr>
        <w:tc>
          <w:tcPr>
            <w:tcW w:w="1871" w:type="dxa"/>
            <w:shd w:val="clear" w:color="auto" w:fill="auto"/>
            <w:tcMar>
              <w:top w:w="17" w:type="dxa"/>
              <w:left w:w="17" w:type="dxa"/>
              <w:bottom w:w="0" w:type="dxa"/>
              <w:right w:w="17" w:type="dxa"/>
            </w:tcMar>
            <w:vAlign w:val="center"/>
            <w:hideMark/>
          </w:tcPr>
          <w:p w14:paraId="37E12099"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T5</w:t>
            </w:r>
          </w:p>
        </w:tc>
        <w:tc>
          <w:tcPr>
            <w:tcW w:w="1871" w:type="dxa"/>
            <w:shd w:val="clear" w:color="auto" w:fill="auto"/>
            <w:tcMar>
              <w:top w:w="83" w:type="dxa"/>
              <w:left w:w="17" w:type="dxa"/>
              <w:bottom w:w="0" w:type="dxa"/>
              <w:right w:w="17" w:type="dxa"/>
            </w:tcMar>
            <w:hideMark/>
          </w:tcPr>
          <w:p w14:paraId="52AC6399" w14:textId="16A9BC69"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26480.00</w:t>
            </w:r>
          </w:p>
        </w:tc>
        <w:tc>
          <w:tcPr>
            <w:tcW w:w="1872" w:type="dxa"/>
            <w:shd w:val="clear" w:color="auto" w:fill="auto"/>
            <w:tcMar>
              <w:top w:w="17" w:type="dxa"/>
              <w:left w:w="17" w:type="dxa"/>
              <w:bottom w:w="0" w:type="dxa"/>
              <w:right w:w="17" w:type="dxa"/>
            </w:tcMar>
            <w:hideMark/>
          </w:tcPr>
          <w:p w14:paraId="3A75D281" w14:textId="0D7F035E"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61555.00</w:t>
            </w:r>
          </w:p>
        </w:tc>
        <w:tc>
          <w:tcPr>
            <w:tcW w:w="1871" w:type="dxa"/>
            <w:shd w:val="clear" w:color="auto" w:fill="auto"/>
            <w:tcMar>
              <w:top w:w="17" w:type="dxa"/>
              <w:left w:w="17" w:type="dxa"/>
              <w:bottom w:w="0" w:type="dxa"/>
              <w:right w:w="17" w:type="dxa"/>
            </w:tcMar>
            <w:hideMark/>
          </w:tcPr>
          <w:p w14:paraId="5519643F" w14:textId="078C7879"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35075.00</w:t>
            </w:r>
          </w:p>
        </w:tc>
        <w:tc>
          <w:tcPr>
            <w:tcW w:w="1872" w:type="dxa"/>
            <w:shd w:val="clear" w:color="auto" w:fill="auto"/>
            <w:tcMar>
              <w:top w:w="17" w:type="dxa"/>
              <w:left w:w="17" w:type="dxa"/>
              <w:bottom w:w="0" w:type="dxa"/>
              <w:right w:w="17" w:type="dxa"/>
            </w:tcMar>
            <w:hideMark/>
          </w:tcPr>
          <w:p w14:paraId="4A27A65E" w14:textId="35C7EADB"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1.32</w:t>
            </w:r>
          </w:p>
        </w:tc>
      </w:tr>
      <w:tr w:rsidR="002C00AA" w:rsidRPr="00AE1A9D" w14:paraId="3F0B5631" w14:textId="77777777" w:rsidTr="00336D30">
        <w:trPr>
          <w:trHeight w:val="627"/>
        </w:trPr>
        <w:tc>
          <w:tcPr>
            <w:tcW w:w="1871" w:type="dxa"/>
            <w:shd w:val="clear" w:color="auto" w:fill="auto"/>
            <w:tcMar>
              <w:top w:w="17" w:type="dxa"/>
              <w:left w:w="17" w:type="dxa"/>
              <w:bottom w:w="0" w:type="dxa"/>
              <w:right w:w="17" w:type="dxa"/>
            </w:tcMar>
            <w:vAlign w:val="center"/>
            <w:hideMark/>
          </w:tcPr>
          <w:p w14:paraId="4DF3AFC3"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T6</w:t>
            </w:r>
          </w:p>
        </w:tc>
        <w:tc>
          <w:tcPr>
            <w:tcW w:w="1871" w:type="dxa"/>
            <w:shd w:val="clear" w:color="auto" w:fill="auto"/>
            <w:tcMar>
              <w:top w:w="83" w:type="dxa"/>
              <w:left w:w="17" w:type="dxa"/>
              <w:bottom w:w="0" w:type="dxa"/>
              <w:right w:w="17" w:type="dxa"/>
            </w:tcMar>
            <w:hideMark/>
          </w:tcPr>
          <w:p w14:paraId="18AA99FE" w14:textId="27ABCC4D"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26883.00</w:t>
            </w:r>
          </w:p>
        </w:tc>
        <w:tc>
          <w:tcPr>
            <w:tcW w:w="1872" w:type="dxa"/>
            <w:shd w:val="clear" w:color="auto" w:fill="auto"/>
            <w:tcMar>
              <w:top w:w="17" w:type="dxa"/>
              <w:left w:w="17" w:type="dxa"/>
              <w:bottom w:w="0" w:type="dxa"/>
              <w:right w:w="17" w:type="dxa"/>
            </w:tcMar>
            <w:hideMark/>
          </w:tcPr>
          <w:p w14:paraId="63E26A0E" w14:textId="3DC3C811"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67670.00</w:t>
            </w:r>
          </w:p>
        </w:tc>
        <w:tc>
          <w:tcPr>
            <w:tcW w:w="1871" w:type="dxa"/>
            <w:shd w:val="clear" w:color="auto" w:fill="auto"/>
            <w:tcMar>
              <w:top w:w="17" w:type="dxa"/>
              <w:left w:w="17" w:type="dxa"/>
              <w:bottom w:w="0" w:type="dxa"/>
              <w:right w:w="17" w:type="dxa"/>
            </w:tcMar>
            <w:hideMark/>
          </w:tcPr>
          <w:p w14:paraId="000B918D" w14:textId="7A96BC35"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40787.00</w:t>
            </w:r>
          </w:p>
        </w:tc>
        <w:tc>
          <w:tcPr>
            <w:tcW w:w="1872" w:type="dxa"/>
            <w:shd w:val="clear" w:color="auto" w:fill="auto"/>
            <w:tcMar>
              <w:top w:w="17" w:type="dxa"/>
              <w:left w:w="17" w:type="dxa"/>
              <w:bottom w:w="0" w:type="dxa"/>
              <w:right w:w="17" w:type="dxa"/>
            </w:tcMar>
            <w:hideMark/>
          </w:tcPr>
          <w:p w14:paraId="56DB885E" w14:textId="5A1B8975"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1.52</w:t>
            </w:r>
          </w:p>
        </w:tc>
      </w:tr>
      <w:tr w:rsidR="002C00AA" w:rsidRPr="00AE1A9D" w14:paraId="292B9100" w14:textId="77777777" w:rsidTr="00336D30">
        <w:trPr>
          <w:trHeight w:val="627"/>
        </w:trPr>
        <w:tc>
          <w:tcPr>
            <w:tcW w:w="1871" w:type="dxa"/>
            <w:shd w:val="clear" w:color="auto" w:fill="auto"/>
            <w:tcMar>
              <w:top w:w="17" w:type="dxa"/>
              <w:left w:w="17" w:type="dxa"/>
              <w:bottom w:w="0" w:type="dxa"/>
              <w:right w:w="17" w:type="dxa"/>
            </w:tcMar>
            <w:vAlign w:val="center"/>
            <w:hideMark/>
          </w:tcPr>
          <w:p w14:paraId="30F66753"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T7</w:t>
            </w:r>
          </w:p>
        </w:tc>
        <w:tc>
          <w:tcPr>
            <w:tcW w:w="1871" w:type="dxa"/>
            <w:shd w:val="clear" w:color="auto" w:fill="auto"/>
            <w:tcMar>
              <w:top w:w="83" w:type="dxa"/>
              <w:left w:w="17" w:type="dxa"/>
              <w:bottom w:w="0" w:type="dxa"/>
              <w:right w:w="17" w:type="dxa"/>
            </w:tcMar>
            <w:hideMark/>
          </w:tcPr>
          <w:p w14:paraId="77E6A69A" w14:textId="4453370B"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27145.00</w:t>
            </w:r>
          </w:p>
        </w:tc>
        <w:tc>
          <w:tcPr>
            <w:tcW w:w="1872" w:type="dxa"/>
            <w:shd w:val="clear" w:color="auto" w:fill="auto"/>
            <w:tcMar>
              <w:top w:w="17" w:type="dxa"/>
              <w:left w:w="17" w:type="dxa"/>
              <w:bottom w:w="0" w:type="dxa"/>
              <w:right w:w="17" w:type="dxa"/>
            </w:tcMar>
            <w:hideMark/>
          </w:tcPr>
          <w:p w14:paraId="66925EC6" w14:textId="3486F20D"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64968.50</w:t>
            </w:r>
          </w:p>
        </w:tc>
        <w:tc>
          <w:tcPr>
            <w:tcW w:w="1871" w:type="dxa"/>
            <w:shd w:val="clear" w:color="auto" w:fill="auto"/>
            <w:tcMar>
              <w:top w:w="17" w:type="dxa"/>
              <w:left w:w="17" w:type="dxa"/>
              <w:bottom w:w="0" w:type="dxa"/>
              <w:right w:w="17" w:type="dxa"/>
            </w:tcMar>
            <w:hideMark/>
          </w:tcPr>
          <w:p w14:paraId="184AC373" w14:textId="0F87F70E"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37823.50</w:t>
            </w:r>
          </w:p>
        </w:tc>
        <w:tc>
          <w:tcPr>
            <w:tcW w:w="1872" w:type="dxa"/>
            <w:shd w:val="clear" w:color="auto" w:fill="auto"/>
            <w:tcMar>
              <w:top w:w="17" w:type="dxa"/>
              <w:left w:w="17" w:type="dxa"/>
              <w:bottom w:w="0" w:type="dxa"/>
              <w:right w:w="17" w:type="dxa"/>
            </w:tcMar>
            <w:hideMark/>
          </w:tcPr>
          <w:p w14:paraId="0738CD60" w14:textId="7F50A0B0"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1.39</w:t>
            </w:r>
          </w:p>
        </w:tc>
      </w:tr>
      <w:tr w:rsidR="002C00AA" w:rsidRPr="00AE1A9D" w14:paraId="5E8A23BA" w14:textId="77777777" w:rsidTr="00336D30">
        <w:trPr>
          <w:trHeight w:val="717"/>
        </w:trPr>
        <w:tc>
          <w:tcPr>
            <w:tcW w:w="1871" w:type="dxa"/>
            <w:shd w:val="clear" w:color="auto" w:fill="auto"/>
            <w:tcMar>
              <w:top w:w="17" w:type="dxa"/>
              <w:left w:w="17" w:type="dxa"/>
              <w:bottom w:w="0" w:type="dxa"/>
              <w:right w:w="17" w:type="dxa"/>
            </w:tcMar>
            <w:vAlign w:val="center"/>
            <w:hideMark/>
          </w:tcPr>
          <w:p w14:paraId="07667E87"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T8</w:t>
            </w:r>
          </w:p>
        </w:tc>
        <w:tc>
          <w:tcPr>
            <w:tcW w:w="1871" w:type="dxa"/>
            <w:shd w:val="clear" w:color="auto" w:fill="auto"/>
            <w:tcMar>
              <w:top w:w="83" w:type="dxa"/>
              <w:left w:w="17" w:type="dxa"/>
              <w:bottom w:w="0" w:type="dxa"/>
              <w:right w:w="17" w:type="dxa"/>
            </w:tcMar>
            <w:hideMark/>
          </w:tcPr>
          <w:p w14:paraId="0210A623" w14:textId="29E8DB0A"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28082.50</w:t>
            </w:r>
          </w:p>
        </w:tc>
        <w:tc>
          <w:tcPr>
            <w:tcW w:w="1872" w:type="dxa"/>
            <w:shd w:val="clear" w:color="auto" w:fill="auto"/>
            <w:tcMar>
              <w:top w:w="17" w:type="dxa"/>
              <w:left w:w="17" w:type="dxa"/>
              <w:bottom w:w="0" w:type="dxa"/>
              <w:right w:w="17" w:type="dxa"/>
            </w:tcMar>
            <w:hideMark/>
          </w:tcPr>
          <w:p w14:paraId="53C23CD1" w14:textId="42BB8D6B"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67728.00</w:t>
            </w:r>
          </w:p>
        </w:tc>
        <w:tc>
          <w:tcPr>
            <w:tcW w:w="1871" w:type="dxa"/>
            <w:shd w:val="clear" w:color="auto" w:fill="auto"/>
            <w:tcMar>
              <w:top w:w="17" w:type="dxa"/>
              <w:left w:w="17" w:type="dxa"/>
              <w:bottom w:w="0" w:type="dxa"/>
              <w:right w:w="17" w:type="dxa"/>
            </w:tcMar>
            <w:hideMark/>
          </w:tcPr>
          <w:p w14:paraId="5DA40F4B" w14:textId="4F89AFE6"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39645.50</w:t>
            </w:r>
          </w:p>
        </w:tc>
        <w:tc>
          <w:tcPr>
            <w:tcW w:w="1872" w:type="dxa"/>
            <w:shd w:val="clear" w:color="auto" w:fill="auto"/>
            <w:tcMar>
              <w:top w:w="17" w:type="dxa"/>
              <w:left w:w="17" w:type="dxa"/>
              <w:bottom w:w="0" w:type="dxa"/>
              <w:right w:w="17" w:type="dxa"/>
            </w:tcMar>
            <w:hideMark/>
          </w:tcPr>
          <w:p w14:paraId="79EB9A44" w14:textId="2B7A6A0C"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1.41</w:t>
            </w:r>
          </w:p>
        </w:tc>
      </w:tr>
      <w:tr w:rsidR="002C00AA" w:rsidRPr="00AE1A9D" w14:paraId="077E58D3" w14:textId="77777777" w:rsidTr="00336D30">
        <w:trPr>
          <w:trHeight w:val="717"/>
        </w:trPr>
        <w:tc>
          <w:tcPr>
            <w:tcW w:w="1871" w:type="dxa"/>
            <w:shd w:val="clear" w:color="auto" w:fill="auto"/>
            <w:tcMar>
              <w:top w:w="17" w:type="dxa"/>
              <w:left w:w="17" w:type="dxa"/>
              <w:bottom w:w="0" w:type="dxa"/>
              <w:right w:w="17" w:type="dxa"/>
            </w:tcMar>
            <w:vAlign w:val="center"/>
            <w:hideMark/>
          </w:tcPr>
          <w:p w14:paraId="74898EAD" w14:textId="77777777" w:rsidR="002C00AA" w:rsidRPr="00AE1A9D" w:rsidRDefault="002C00AA" w:rsidP="005776EA">
            <w:pPr>
              <w:pStyle w:val="NormalWeb"/>
              <w:spacing w:before="0" w:beforeAutospacing="0" w:after="0" w:afterAutospacing="0"/>
              <w:jc w:val="center"/>
              <w:rPr>
                <w:sz w:val="22"/>
                <w:szCs w:val="22"/>
              </w:rPr>
            </w:pPr>
            <w:r w:rsidRPr="00AE1A9D">
              <w:rPr>
                <w:sz w:val="22"/>
                <w:szCs w:val="22"/>
              </w:rPr>
              <w:t>T9</w:t>
            </w:r>
          </w:p>
        </w:tc>
        <w:tc>
          <w:tcPr>
            <w:tcW w:w="1871" w:type="dxa"/>
            <w:shd w:val="clear" w:color="auto" w:fill="auto"/>
            <w:tcMar>
              <w:top w:w="83" w:type="dxa"/>
              <w:left w:w="17" w:type="dxa"/>
              <w:bottom w:w="0" w:type="dxa"/>
              <w:right w:w="17" w:type="dxa"/>
            </w:tcMar>
            <w:hideMark/>
          </w:tcPr>
          <w:p w14:paraId="5C338991" w14:textId="31E366CF" w:rsidR="002C00AA" w:rsidRPr="002C00AA" w:rsidRDefault="002C00AA" w:rsidP="005776EA">
            <w:pPr>
              <w:widowControl w:val="0"/>
              <w:autoSpaceDE w:val="0"/>
              <w:autoSpaceDN w:val="0"/>
              <w:spacing w:before="160" w:after="0" w:line="240" w:lineRule="auto"/>
              <w:ind w:left="-432"/>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29020.00</w:t>
            </w:r>
          </w:p>
        </w:tc>
        <w:tc>
          <w:tcPr>
            <w:tcW w:w="1872" w:type="dxa"/>
            <w:shd w:val="clear" w:color="auto" w:fill="auto"/>
            <w:tcMar>
              <w:top w:w="17" w:type="dxa"/>
              <w:left w:w="17" w:type="dxa"/>
              <w:bottom w:w="0" w:type="dxa"/>
              <w:right w:w="17" w:type="dxa"/>
            </w:tcMar>
            <w:hideMark/>
          </w:tcPr>
          <w:p w14:paraId="4031704B" w14:textId="23537CEE"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74712.00</w:t>
            </w:r>
          </w:p>
        </w:tc>
        <w:tc>
          <w:tcPr>
            <w:tcW w:w="1871" w:type="dxa"/>
            <w:shd w:val="clear" w:color="auto" w:fill="auto"/>
            <w:tcMar>
              <w:top w:w="17" w:type="dxa"/>
              <w:left w:w="17" w:type="dxa"/>
              <w:bottom w:w="0" w:type="dxa"/>
              <w:right w:w="17" w:type="dxa"/>
            </w:tcMar>
            <w:hideMark/>
          </w:tcPr>
          <w:p w14:paraId="43ADC74F" w14:textId="0F4F4F57"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45692.00</w:t>
            </w:r>
          </w:p>
        </w:tc>
        <w:tc>
          <w:tcPr>
            <w:tcW w:w="1872" w:type="dxa"/>
            <w:shd w:val="clear" w:color="auto" w:fill="auto"/>
            <w:tcMar>
              <w:top w:w="17" w:type="dxa"/>
              <w:left w:w="17" w:type="dxa"/>
              <w:bottom w:w="0" w:type="dxa"/>
              <w:right w:w="17" w:type="dxa"/>
            </w:tcMar>
            <w:hideMark/>
          </w:tcPr>
          <w:p w14:paraId="7CC40846" w14:textId="4CB8BD24" w:rsidR="002C00AA" w:rsidRPr="002C00AA" w:rsidRDefault="002C00AA" w:rsidP="005776EA">
            <w:pPr>
              <w:widowControl w:val="0"/>
              <w:autoSpaceDE w:val="0"/>
              <w:autoSpaceDN w:val="0"/>
              <w:spacing w:before="160" w:after="0" w:line="240" w:lineRule="auto"/>
              <w:jc w:val="center"/>
              <w:rPr>
                <w:rFonts w:ascii="Times New Roman" w:eastAsia="Times New Roman" w:hAnsi="Times New Roman" w:cs="Times New Roman"/>
                <w:color w:val="000000"/>
                <w:sz w:val="24"/>
                <w:szCs w:val="24"/>
              </w:rPr>
            </w:pPr>
            <w:r w:rsidRPr="002C00AA">
              <w:rPr>
                <w:rFonts w:ascii="Times New Roman" w:hAnsi="Times New Roman" w:cs="Times New Roman"/>
                <w:sz w:val="24"/>
                <w:szCs w:val="24"/>
              </w:rPr>
              <w:t>1.57</w:t>
            </w:r>
          </w:p>
        </w:tc>
      </w:tr>
      <w:tr w:rsidR="002C00AA" w:rsidRPr="00AE1A9D" w14:paraId="38942E6C" w14:textId="77777777" w:rsidTr="00336D30">
        <w:trPr>
          <w:trHeight w:val="717"/>
        </w:trPr>
        <w:tc>
          <w:tcPr>
            <w:tcW w:w="1871" w:type="dxa"/>
            <w:shd w:val="clear" w:color="auto" w:fill="auto"/>
            <w:tcMar>
              <w:top w:w="17" w:type="dxa"/>
              <w:left w:w="17" w:type="dxa"/>
              <w:bottom w:w="0" w:type="dxa"/>
              <w:right w:w="17" w:type="dxa"/>
            </w:tcMar>
            <w:vAlign w:val="center"/>
          </w:tcPr>
          <w:p w14:paraId="5CD51AE6" w14:textId="5A41C030" w:rsidR="002C00AA" w:rsidRPr="00AE1A9D" w:rsidRDefault="002C00AA" w:rsidP="005776EA">
            <w:pPr>
              <w:pStyle w:val="NormalWeb"/>
              <w:spacing w:before="0" w:beforeAutospacing="0" w:after="0" w:afterAutospacing="0"/>
              <w:jc w:val="center"/>
              <w:rPr>
                <w:sz w:val="22"/>
                <w:szCs w:val="22"/>
              </w:rPr>
            </w:pPr>
            <w:r>
              <w:rPr>
                <w:sz w:val="22"/>
                <w:szCs w:val="22"/>
              </w:rPr>
              <w:t>T10</w:t>
            </w:r>
          </w:p>
        </w:tc>
        <w:tc>
          <w:tcPr>
            <w:tcW w:w="1871" w:type="dxa"/>
            <w:shd w:val="clear" w:color="auto" w:fill="auto"/>
            <w:tcMar>
              <w:top w:w="83" w:type="dxa"/>
              <w:left w:w="17" w:type="dxa"/>
              <w:bottom w:w="0" w:type="dxa"/>
              <w:right w:w="17" w:type="dxa"/>
            </w:tcMar>
          </w:tcPr>
          <w:p w14:paraId="7675BF32" w14:textId="663CE6B7" w:rsidR="002C00AA" w:rsidRPr="002C00AA" w:rsidRDefault="002C00AA" w:rsidP="005776EA">
            <w:pPr>
              <w:widowControl w:val="0"/>
              <w:autoSpaceDE w:val="0"/>
              <w:autoSpaceDN w:val="0"/>
              <w:spacing w:before="160" w:after="0" w:line="240" w:lineRule="auto"/>
              <w:ind w:left="-432"/>
              <w:jc w:val="center"/>
              <w:rPr>
                <w:rFonts w:ascii="Times New Roman" w:hAnsi="Times New Roman" w:cs="Times New Roman"/>
                <w:sz w:val="24"/>
                <w:szCs w:val="24"/>
              </w:rPr>
            </w:pPr>
            <w:r w:rsidRPr="002C00AA">
              <w:rPr>
                <w:rFonts w:ascii="Times New Roman" w:hAnsi="Times New Roman" w:cs="Times New Roman"/>
                <w:sz w:val="24"/>
                <w:szCs w:val="24"/>
              </w:rPr>
              <w:t>25270.00</w:t>
            </w:r>
          </w:p>
        </w:tc>
        <w:tc>
          <w:tcPr>
            <w:tcW w:w="1872" w:type="dxa"/>
            <w:shd w:val="clear" w:color="auto" w:fill="auto"/>
            <w:tcMar>
              <w:top w:w="17" w:type="dxa"/>
              <w:left w:w="17" w:type="dxa"/>
              <w:bottom w:w="0" w:type="dxa"/>
              <w:right w:w="17" w:type="dxa"/>
            </w:tcMar>
          </w:tcPr>
          <w:p w14:paraId="1E34D29C" w14:textId="496BF61D" w:rsidR="002C00AA" w:rsidRPr="002C00AA" w:rsidRDefault="002C00AA" w:rsidP="005776EA">
            <w:pPr>
              <w:widowControl w:val="0"/>
              <w:autoSpaceDE w:val="0"/>
              <w:autoSpaceDN w:val="0"/>
              <w:spacing w:before="160" w:after="0" w:line="240" w:lineRule="auto"/>
              <w:jc w:val="center"/>
              <w:rPr>
                <w:rFonts w:ascii="Times New Roman" w:hAnsi="Times New Roman" w:cs="Times New Roman"/>
                <w:sz w:val="24"/>
                <w:szCs w:val="24"/>
              </w:rPr>
            </w:pPr>
            <w:r w:rsidRPr="002C00AA">
              <w:rPr>
                <w:rFonts w:ascii="Times New Roman" w:hAnsi="Times New Roman" w:cs="Times New Roman"/>
                <w:sz w:val="24"/>
                <w:szCs w:val="24"/>
              </w:rPr>
              <w:t>57806.00</w:t>
            </w:r>
          </w:p>
        </w:tc>
        <w:tc>
          <w:tcPr>
            <w:tcW w:w="1871" w:type="dxa"/>
            <w:shd w:val="clear" w:color="auto" w:fill="auto"/>
            <w:tcMar>
              <w:top w:w="17" w:type="dxa"/>
              <w:left w:w="17" w:type="dxa"/>
              <w:bottom w:w="0" w:type="dxa"/>
              <w:right w:w="17" w:type="dxa"/>
            </w:tcMar>
          </w:tcPr>
          <w:p w14:paraId="6B805E72" w14:textId="4DCD8522" w:rsidR="002C00AA" w:rsidRPr="002C00AA" w:rsidRDefault="002C00AA" w:rsidP="005776EA">
            <w:pPr>
              <w:widowControl w:val="0"/>
              <w:autoSpaceDE w:val="0"/>
              <w:autoSpaceDN w:val="0"/>
              <w:spacing w:before="160" w:after="0" w:line="240" w:lineRule="auto"/>
              <w:jc w:val="center"/>
              <w:rPr>
                <w:rFonts w:ascii="Times New Roman" w:hAnsi="Times New Roman" w:cs="Times New Roman"/>
                <w:sz w:val="24"/>
                <w:szCs w:val="24"/>
              </w:rPr>
            </w:pPr>
            <w:r w:rsidRPr="002C00AA">
              <w:rPr>
                <w:rFonts w:ascii="Times New Roman" w:hAnsi="Times New Roman" w:cs="Times New Roman"/>
                <w:sz w:val="24"/>
                <w:szCs w:val="24"/>
              </w:rPr>
              <w:t>32536.00</w:t>
            </w:r>
          </w:p>
        </w:tc>
        <w:tc>
          <w:tcPr>
            <w:tcW w:w="1872" w:type="dxa"/>
            <w:shd w:val="clear" w:color="auto" w:fill="auto"/>
            <w:tcMar>
              <w:top w:w="17" w:type="dxa"/>
              <w:left w:w="17" w:type="dxa"/>
              <w:bottom w:w="0" w:type="dxa"/>
              <w:right w:w="17" w:type="dxa"/>
            </w:tcMar>
          </w:tcPr>
          <w:p w14:paraId="36B428F6" w14:textId="607957F2" w:rsidR="002C00AA" w:rsidRPr="002C00AA" w:rsidRDefault="002C00AA" w:rsidP="005776EA">
            <w:pPr>
              <w:widowControl w:val="0"/>
              <w:autoSpaceDE w:val="0"/>
              <w:autoSpaceDN w:val="0"/>
              <w:spacing w:before="160" w:after="0" w:line="240" w:lineRule="auto"/>
              <w:jc w:val="center"/>
              <w:rPr>
                <w:rFonts w:ascii="Times New Roman" w:hAnsi="Times New Roman" w:cs="Times New Roman"/>
                <w:sz w:val="24"/>
                <w:szCs w:val="24"/>
              </w:rPr>
            </w:pPr>
            <w:r w:rsidRPr="002C00AA">
              <w:rPr>
                <w:rFonts w:ascii="Times New Roman" w:hAnsi="Times New Roman" w:cs="Times New Roman"/>
                <w:sz w:val="24"/>
                <w:szCs w:val="24"/>
              </w:rPr>
              <w:t>1.29</w:t>
            </w:r>
          </w:p>
        </w:tc>
      </w:tr>
    </w:tbl>
    <w:p w14:paraId="77939F9E" w14:textId="189DF65E" w:rsidR="00AE1A9D" w:rsidRPr="000D40E1" w:rsidRDefault="00AE1A9D" w:rsidP="007978C7">
      <w:pPr>
        <w:spacing w:before="100" w:beforeAutospacing="1" w:after="0" w:line="360" w:lineRule="auto"/>
        <w:jc w:val="both"/>
        <w:outlineLvl w:val="2"/>
        <w:rPr>
          <w:rFonts w:ascii="Times New Roman" w:eastAsia="Times New Roman" w:hAnsi="Times New Roman" w:cs="Times New Roman"/>
          <w:sz w:val="32"/>
          <w:szCs w:val="24"/>
        </w:rPr>
      </w:pPr>
      <w:r w:rsidRPr="000D40E1">
        <w:rPr>
          <w:rFonts w:ascii="Times New Roman" w:eastAsia="Times New Roman" w:hAnsi="Times New Roman" w:cs="Times New Roman"/>
          <w:b/>
          <w:bCs/>
          <w:sz w:val="27"/>
          <w:szCs w:val="27"/>
        </w:rPr>
        <w:t>Conclusion</w:t>
      </w:r>
      <w:r w:rsidRPr="000D40E1">
        <w:rPr>
          <w:rFonts w:ascii="Times New Roman" w:eastAsia="Times New Roman" w:hAnsi="Times New Roman" w:cs="Times New Roman"/>
          <w:sz w:val="32"/>
          <w:szCs w:val="24"/>
        </w:rPr>
        <w:t xml:space="preserve"> </w:t>
      </w:r>
    </w:p>
    <w:p w14:paraId="42627518" w14:textId="15F3F636" w:rsidR="00336D30" w:rsidRDefault="00336D30" w:rsidP="007978C7">
      <w:pPr>
        <w:spacing w:before="1" w:line="360" w:lineRule="auto"/>
        <w:jc w:val="both"/>
        <w:rPr>
          <w:rFonts w:ascii="Times New Roman" w:eastAsia="Times New Roman" w:hAnsi="Times New Roman" w:cs="Times New Roman"/>
          <w:sz w:val="24"/>
          <w:szCs w:val="24"/>
          <w:lang w:val="en-IN"/>
        </w:rPr>
      </w:pPr>
      <w:r w:rsidRPr="00336D30">
        <w:rPr>
          <w:rFonts w:ascii="Times New Roman" w:eastAsia="Times New Roman" w:hAnsi="Times New Roman" w:cs="Times New Roman"/>
          <w:sz w:val="24"/>
          <w:szCs w:val="24"/>
          <w:lang w:val="en-IN"/>
        </w:rPr>
        <w:t xml:space="preserve">It </w:t>
      </w:r>
      <w:r w:rsidR="00DB3E25">
        <w:rPr>
          <w:rFonts w:ascii="Times New Roman" w:eastAsia="Times New Roman" w:hAnsi="Times New Roman" w:cs="Times New Roman"/>
          <w:sz w:val="24"/>
          <w:szCs w:val="24"/>
          <w:lang w:val="en-IN"/>
        </w:rPr>
        <w:t>can be</w:t>
      </w:r>
      <w:r w:rsidRPr="00336D30">
        <w:rPr>
          <w:rFonts w:ascii="Times New Roman" w:eastAsia="Times New Roman" w:hAnsi="Times New Roman" w:cs="Times New Roman"/>
          <w:sz w:val="24"/>
          <w:szCs w:val="24"/>
          <w:lang w:val="en-IN"/>
        </w:rPr>
        <w:t xml:space="preserve"> concluded that with the application of Ammonium sulphate at 60kg/ha (Treatment-9), </w:t>
      </w:r>
      <w:r w:rsidR="00753A0A">
        <w:rPr>
          <w:rFonts w:ascii="Times New Roman" w:eastAsia="Times New Roman" w:hAnsi="Times New Roman" w:cs="Times New Roman"/>
          <w:sz w:val="24"/>
          <w:szCs w:val="24"/>
          <w:lang w:val="en-IN"/>
        </w:rPr>
        <w:t>is</w:t>
      </w:r>
      <w:r w:rsidR="00DB3E25">
        <w:rPr>
          <w:rFonts w:ascii="Times New Roman" w:eastAsia="Times New Roman" w:hAnsi="Times New Roman" w:cs="Times New Roman"/>
          <w:sz w:val="24"/>
          <w:szCs w:val="24"/>
          <w:lang w:val="en-IN"/>
        </w:rPr>
        <w:t xml:space="preserve"> found the most superior treatment combination for obtaining h</w:t>
      </w:r>
      <w:r w:rsidRPr="00336D30">
        <w:rPr>
          <w:rFonts w:ascii="Times New Roman" w:eastAsia="Times New Roman" w:hAnsi="Times New Roman" w:cs="Times New Roman"/>
          <w:sz w:val="24"/>
          <w:szCs w:val="24"/>
          <w:lang w:val="en-IN"/>
        </w:rPr>
        <w:t xml:space="preserve">igher </w:t>
      </w:r>
      <w:r w:rsidR="00DB3E25">
        <w:rPr>
          <w:rFonts w:ascii="Times New Roman" w:eastAsia="Times New Roman" w:hAnsi="Times New Roman" w:cs="Times New Roman"/>
          <w:sz w:val="24"/>
          <w:szCs w:val="24"/>
          <w:lang w:val="en-IN"/>
        </w:rPr>
        <w:t>seed</w:t>
      </w:r>
      <w:r w:rsidRPr="00336D30">
        <w:rPr>
          <w:rFonts w:ascii="Times New Roman" w:eastAsia="Times New Roman" w:hAnsi="Times New Roman" w:cs="Times New Roman"/>
          <w:sz w:val="24"/>
          <w:szCs w:val="24"/>
          <w:lang w:val="en-IN"/>
        </w:rPr>
        <w:t xml:space="preserve"> yield</w:t>
      </w:r>
      <w:r w:rsidR="00DB3E25">
        <w:rPr>
          <w:rFonts w:ascii="Times New Roman" w:eastAsia="Times New Roman" w:hAnsi="Times New Roman" w:cs="Times New Roman"/>
          <w:sz w:val="24"/>
          <w:szCs w:val="24"/>
          <w:lang w:val="en-IN"/>
        </w:rPr>
        <w:t xml:space="preserve"> (1.</w:t>
      </w:r>
      <w:r w:rsidR="00AE2EDE">
        <w:rPr>
          <w:rFonts w:ascii="Times New Roman" w:eastAsia="Times New Roman" w:hAnsi="Times New Roman" w:cs="Times New Roman"/>
          <w:sz w:val="24"/>
          <w:szCs w:val="24"/>
          <w:lang w:val="en-IN"/>
        </w:rPr>
        <w:t>18</w:t>
      </w:r>
      <w:r w:rsidR="00DB3E25">
        <w:rPr>
          <w:rFonts w:ascii="Times New Roman" w:eastAsia="Times New Roman" w:hAnsi="Times New Roman" w:cs="Times New Roman"/>
          <w:sz w:val="24"/>
          <w:szCs w:val="24"/>
          <w:lang w:val="en-IN"/>
        </w:rPr>
        <w:t xml:space="preserve"> t/ha) and </w:t>
      </w:r>
      <w:r w:rsidRPr="00336D30">
        <w:rPr>
          <w:rFonts w:ascii="Times New Roman" w:eastAsia="Times New Roman" w:hAnsi="Times New Roman" w:cs="Times New Roman"/>
          <w:sz w:val="24"/>
          <w:szCs w:val="24"/>
          <w:lang w:val="en-IN"/>
        </w:rPr>
        <w:t xml:space="preserve">net returns </w:t>
      </w:r>
      <w:r w:rsidR="00DB3E25">
        <w:rPr>
          <w:rFonts w:ascii="Times New Roman" w:eastAsia="Times New Roman" w:hAnsi="Times New Roman" w:cs="Times New Roman"/>
          <w:sz w:val="24"/>
          <w:szCs w:val="24"/>
          <w:lang w:val="en-IN"/>
        </w:rPr>
        <w:t>(INR 45692.00/ha) in Toria.</w:t>
      </w:r>
    </w:p>
    <w:p w14:paraId="72E6EDCC" w14:textId="76576531" w:rsidR="007244EB" w:rsidRPr="00336D30" w:rsidRDefault="007244EB" w:rsidP="007978C7">
      <w:pPr>
        <w:spacing w:before="1" w:line="360" w:lineRule="auto"/>
        <w:jc w:val="both"/>
        <w:rPr>
          <w:rFonts w:ascii="Times New Roman" w:hAnsi="Times New Roman" w:cs="Times New Roman"/>
          <w:b/>
          <w:sz w:val="28"/>
          <w:szCs w:val="28"/>
        </w:rPr>
      </w:pPr>
      <w:r w:rsidRPr="00B94B90">
        <w:rPr>
          <w:rFonts w:ascii="Times New Roman" w:hAnsi="Times New Roman" w:cs="Times New Roman"/>
          <w:b/>
          <w:sz w:val="28"/>
          <w:szCs w:val="28"/>
        </w:rPr>
        <w:t>Reference</w:t>
      </w:r>
    </w:p>
    <w:p w14:paraId="266A7EA6" w14:textId="77777777" w:rsidR="00336D30" w:rsidRPr="00336D30" w:rsidRDefault="00336D30" w:rsidP="007978C7">
      <w:pPr>
        <w:spacing w:after="100" w:afterAutospacing="1" w:line="360" w:lineRule="auto"/>
        <w:ind w:left="432" w:hanging="720"/>
        <w:jc w:val="both"/>
        <w:rPr>
          <w:rFonts w:ascii="Times New Roman" w:hAnsi="Times New Roman" w:cs="Times New Roman"/>
          <w:sz w:val="24"/>
          <w:szCs w:val="24"/>
        </w:rPr>
      </w:pPr>
      <w:r w:rsidRPr="00336D30">
        <w:rPr>
          <w:rFonts w:ascii="Times New Roman" w:hAnsi="Times New Roman" w:cs="Times New Roman"/>
          <w:sz w:val="24"/>
          <w:szCs w:val="24"/>
        </w:rPr>
        <w:t>Chauhan, D.R.  Mangat, R.  and Singh, I.  2002.  Response of Indian mustard (Brassica juncea) to irrigation and fertilization with various sources and level of sulphur. Indian Journal of Agronomy, 47(3): 422-426.</w:t>
      </w:r>
    </w:p>
    <w:p w14:paraId="5E8966F8" w14:textId="77777777" w:rsidR="00336D30" w:rsidRDefault="00336D30" w:rsidP="007978C7">
      <w:pPr>
        <w:spacing w:after="100" w:afterAutospacing="1" w:line="360" w:lineRule="auto"/>
        <w:ind w:left="432" w:hanging="720"/>
        <w:jc w:val="both"/>
        <w:rPr>
          <w:rFonts w:ascii="Times New Roman" w:hAnsi="Times New Roman" w:cs="Times New Roman"/>
          <w:sz w:val="24"/>
          <w:szCs w:val="24"/>
        </w:rPr>
      </w:pPr>
      <w:r w:rsidRPr="00336D30">
        <w:rPr>
          <w:rFonts w:ascii="Times New Roman" w:hAnsi="Times New Roman" w:cs="Times New Roman"/>
          <w:sz w:val="24"/>
          <w:szCs w:val="24"/>
        </w:rPr>
        <w:t>Chauhan, Z. Y., Patel, D. K and Bhabhor, K. 2020. Effect of nitrogen, phosphorus and sulphur on yield, nutrient uptake and soil fertility after harvest of mustard (Brassica juncea). International Journal of Current Microbiology and Applied Sciences. 9(6): 3506-3512.</w:t>
      </w:r>
    </w:p>
    <w:p w14:paraId="22FCD0BF" w14:textId="7B3A1410" w:rsidR="00336D30" w:rsidRPr="00336D30" w:rsidRDefault="00336D30" w:rsidP="007978C7">
      <w:pPr>
        <w:spacing w:after="100" w:afterAutospacing="1" w:line="360" w:lineRule="auto"/>
        <w:ind w:left="432" w:hanging="720"/>
        <w:jc w:val="both"/>
        <w:rPr>
          <w:rFonts w:ascii="Times New Roman" w:hAnsi="Times New Roman" w:cs="Times New Roman"/>
          <w:sz w:val="24"/>
          <w:szCs w:val="24"/>
        </w:rPr>
      </w:pPr>
      <w:r w:rsidRPr="00336D30">
        <w:rPr>
          <w:rFonts w:ascii="Times New Roman" w:hAnsi="Times New Roman" w:cs="Times New Roman"/>
          <w:sz w:val="24"/>
          <w:szCs w:val="24"/>
        </w:rPr>
        <w:lastRenderedPageBreak/>
        <w:t>D.R. Chauhan, Mangat Ram, &amp; Ishwar Singh. (2001). Response of Indian mustard (Brassica juncea) to irrigation and fertilization with various sources and levels of sulphur. Indian Journal of Agronomy, 47(3), 47_3.</w:t>
      </w:r>
    </w:p>
    <w:p w14:paraId="40866E7A" w14:textId="31170E8E" w:rsidR="00336D30" w:rsidRPr="00336D30" w:rsidRDefault="00336D30" w:rsidP="007978C7">
      <w:pPr>
        <w:spacing w:after="100" w:afterAutospacing="1" w:line="360" w:lineRule="auto"/>
        <w:ind w:left="432" w:hanging="720"/>
        <w:jc w:val="both"/>
        <w:rPr>
          <w:rFonts w:ascii="Times New Roman" w:hAnsi="Times New Roman" w:cs="Times New Roman"/>
          <w:sz w:val="24"/>
          <w:szCs w:val="24"/>
        </w:rPr>
      </w:pPr>
      <w:r w:rsidRPr="00336D30">
        <w:rPr>
          <w:rFonts w:ascii="Times New Roman" w:hAnsi="Times New Roman" w:cs="Times New Roman"/>
          <w:sz w:val="24"/>
          <w:szCs w:val="24"/>
        </w:rPr>
        <w:t xml:space="preserve">Ulaanbaatar, P., Mauthe, D., Lakshmi </w:t>
      </w:r>
      <w:proofErr w:type="spellStart"/>
      <w:r w:rsidRPr="00336D30">
        <w:rPr>
          <w:rFonts w:ascii="Times New Roman" w:hAnsi="Times New Roman" w:cs="Times New Roman"/>
          <w:sz w:val="24"/>
          <w:szCs w:val="24"/>
        </w:rPr>
        <w:t>devamma</w:t>
      </w:r>
      <w:proofErr w:type="spellEnd"/>
      <w:r w:rsidRPr="00336D30">
        <w:rPr>
          <w:rFonts w:ascii="Times New Roman" w:hAnsi="Times New Roman" w:cs="Times New Roman"/>
          <w:sz w:val="24"/>
          <w:szCs w:val="24"/>
        </w:rPr>
        <w:t xml:space="preserve">, T., Shet, R., </w:t>
      </w:r>
      <w:proofErr w:type="spellStart"/>
      <w:r w:rsidRPr="00336D30">
        <w:rPr>
          <w:rFonts w:ascii="Times New Roman" w:hAnsi="Times New Roman" w:cs="Times New Roman"/>
          <w:sz w:val="24"/>
          <w:szCs w:val="24"/>
        </w:rPr>
        <w:t>Ryavalad</w:t>
      </w:r>
      <w:proofErr w:type="spellEnd"/>
      <w:r w:rsidRPr="00336D30">
        <w:rPr>
          <w:rFonts w:ascii="Times New Roman" w:hAnsi="Times New Roman" w:cs="Times New Roman"/>
          <w:sz w:val="24"/>
          <w:szCs w:val="24"/>
        </w:rPr>
        <w:t xml:space="preserve">, S., </w:t>
      </w:r>
      <w:proofErr w:type="spellStart"/>
      <w:r w:rsidRPr="00336D30">
        <w:rPr>
          <w:rFonts w:ascii="Times New Roman" w:hAnsi="Times New Roman" w:cs="Times New Roman"/>
          <w:sz w:val="24"/>
          <w:szCs w:val="24"/>
        </w:rPr>
        <w:t>Tatagar</w:t>
      </w:r>
      <w:proofErr w:type="spellEnd"/>
      <w:r w:rsidRPr="00336D30">
        <w:rPr>
          <w:rFonts w:ascii="Times New Roman" w:hAnsi="Times New Roman" w:cs="Times New Roman"/>
          <w:sz w:val="24"/>
          <w:szCs w:val="24"/>
        </w:rPr>
        <w:t xml:space="preserve">, M., … &amp; M, A. (2024). Assessment of genetic variability in Chilli (capsicum annuum l.) genotypes for growth and yield traits. Journal of Advances in Biology &amp; Biotechnology, 27(3), 140-148. </w:t>
      </w:r>
    </w:p>
    <w:p w14:paraId="0049061B" w14:textId="5C96193A" w:rsidR="00336D30" w:rsidRPr="00336D30" w:rsidRDefault="00336D30" w:rsidP="007978C7">
      <w:pPr>
        <w:spacing w:after="100" w:afterAutospacing="1" w:line="360" w:lineRule="auto"/>
        <w:ind w:left="432" w:hanging="720"/>
        <w:jc w:val="both"/>
        <w:rPr>
          <w:rFonts w:ascii="Times New Roman" w:hAnsi="Times New Roman" w:cs="Times New Roman"/>
          <w:sz w:val="24"/>
          <w:szCs w:val="24"/>
        </w:rPr>
      </w:pPr>
      <w:r w:rsidRPr="00336D30">
        <w:rPr>
          <w:rFonts w:ascii="Times New Roman" w:hAnsi="Times New Roman" w:cs="Times New Roman"/>
          <w:sz w:val="24"/>
          <w:szCs w:val="24"/>
        </w:rPr>
        <w:t xml:space="preserve">Kosev, V. and Mikić, A. (2012). Short communication. assessing relationships between seed yield components in spring-sown field pea (Pisum sativum l.) cultivars in Bulgaria by correlation and path analysis. Spanish Journal of Agricultural Research, 10(4), 1075-1080. </w:t>
      </w:r>
    </w:p>
    <w:p w14:paraId="0C7BEDBD" w14:textId="77777777" w:rsidR="00336D30" w:rsidRPr="00336D30" w:rsidRDefault="00336D30" w:rsidP="007978C7">
      <w:pPr>
        <w:spacing w:after="100" w:afterAutospacing="1" w:line="360" w:lineRule="auto"/>
        <w:ind w:left="432" w:hanging="720"/>
        <w:jc w:val="both"/>
        <w:rPr>
          <w:rFonts w:ascii="Times New Roman" w:hAnsi="Times New Roman" w:cs="Times New Roman"/>
          <w:sz w:val="24"/>
          <w:szCs w:val="24"/>
        </w:rPr>
      </w:pPr>
      <w:r w:rsidRPr="00336D30">
        <w:rPr>
          <w:rFonts w:ascii="Times New Roman" w:hAnsi="Times New Roman" w:cs="Times New Roman"/>
          <w:sz w:val="24"/>
          <w:szCs w:val="24"/>
        </w:rPr>
        <w:t>Kumar, H and Yadav, D.S.  2007.  Effect of phosphorus and sulphur levels on growth, yield and quality of Indian mustard (Brassica juncea) cultivars. Indian Journal of Agronomy.52(2): 154-157.</w:t>
      </w:r>
    </w:p>
    <w:p w14:paraId="095C1A6C" w14:textId="77777777" w:rsidR="00336D30" w:rsidRPr="00336D30" w:rsidRDefault="00336D30" w:rsidP="007978C7">
      <w:pPr>
        <w:spacing w:after="100" w:afterAutospacing="1" w:line="360" w:lineRule="auto"/>
        <w:ind w:left="432" w:hanging="720"/>
        <w:jc w:val="both"/>
        <w:rPr>
          <w:rFonts w:ascii="Times New Roman" w:hAnsi="Times New Roman" w:cs="Times New Roman"/>
          <w:sz w:val="24"/>
          <w:szCs w:val="24"/>
        </w:rPr>
      </w:pPr>
      <w:r w:rsidRPr="00336D30">
        <w:rPr>
          <w:rFonts w:ascii="Times New Roman" w:hAnsi="Times New Roman" w:cs="Times New Roman"/>
          <w:sz w:val="24"/>
          <w:szCs w:val="24"/>
        </w:rPr>
        <w:t>Kumar, R.  and Trivedi, S.K.  2012.  Effect of levels and sources of sulphur on yield, quality and nutrient uptake by mustard (Brassica juncea L.). Progressive Agriculture, 12(1): 69-73.</w:t>
      </w:r>
    </w:p>
    <w:p w14:paraId="2D6E49EA" w14:textId="77777777" w:rsidR="00336D30" w:rsidRPr="00336D30" w:rsidRDefault="00336D30" w:rsidP="007978C7">
      <w:pPr>
        <w:spacing w:after="100" w:afterAutospacing="1" w:line="360" w:lineRule="auto"/>
        <w:ind w:left="432" w:hanging="720"/>
        <w:jc w:val="both"/>
        <w:rPr>
          <w:rFonts w:ascii="Times New Roman" w:hAnsi="Times New Roman" w:cs="Times New Roman"/>
          <w:sz w:val="24"/>
          <w:szCs w:val="24"/>
        </w:rPr>
      </w:pPr>
      <w:r w:rsidRPr="00336D30">
        <w:rPr>
          <w:rFonts w:ascii="Times New Roman" w:hAnsi="Times New Roman" w:cs="Times New Roman"/>
          <w:sz w:val="24"/>
          <w:szCs w:val="24"/>
        </w:rPr>
        <w:t>Mallick, R.B.  and Raj, A.  (2015).  Influence of phosphorus, sulphur and boron on growth, yield, nutrient uptake and economics of rapeseed (Brassica campestris. var. yellow sarson). International journal of plant, animal and environmental sciences5(3): 22-27.</w:t>
      </w:r>
    </w:p>
    <w:p w14:paraId="7B16526D" w14:textId="77777777" w:rsidR="00336D30" w:rsidRPr="00336D30" w:rsidRDefault="00336D30" w:rsidP="007978C7">
      <w:pPr>
        <w:spacing w:after="100" w:afterAutospacing="1" w:line="360" w:lineRule="auto"/>
        <w:ind w:left="432" w:hanging="720"/>
        <w:jc w:val="both"/>
        <w:rPr>
          <w:rFonts w:ascii="Times New Roman" w:hAnsi="Times New Roman" w:cs="Times New Roman"/>
          <w:sz w:val="24"/>
          <w:szCs w:val="24"/>
        </w:rPr>
      </w:pPr>
      <w:r w:rsidRPr="00336D30">
        <w:rPr>
          <w:rFonts w:ascii="Times New Roman" w:hAnsi="Times New Roman" w:cs="Times New Roman"/>
          <w:sz w:val="24"/>
          <w:szCs w:val="24"/>
        </w:rPr>
        <w:t>Meena, D.S.; Meena, V.R.  and Meena, A.K.  (2013). Fertilizer management studies on growth and productivity of hybrid Indian mustard Brassica juncea (L.) Journal of Oilseed Brassica 4(1): 39-42.</w:t>
      </w:r>
    </w:p>
    <w:p w14:paraId="2265104B" w14:textId="1A1E3704" w:rsidR="00336D30" w:rsidRPr="00336D30" w:rsidRDefault="00336D30" w:rsidP="007978C7">
      <w:pPr>
        <w:spacing w:after="100" w:afterAutospacing="1" w:line="360" w:lineRule="auto"/>
        <w:ind w:left="432" w:hanging="720"/>
        <w:jc w:val="both"/>
        <w:rPr>
          <w:rFonts w:ascii="Times New Roman" w:hAnsi="Times New Roman" w:cs="Times New Roman"/>
          <w:sz w:val="24"/>
          <w:szCs w:val="24"/>
        </w:rPr>
      </w:pPr>
      <w:r w:rsidRPr="00336D30">
        <w:rPr>
          <w:rFonts w:ascii="Times New Roman" w:hAnsi="Times New Roman" w:cs="Times New Roman"/>
          <w:sz w:val="24"/>
          <w:szCs w:val="24"/>
        </w:rPr>
        <w:t xml:space="preserve">Mohammadi, G., Javanshir, A., </w:t>
      </w:r>
      <w:proofErr w:type="spellStart"/>
      <w:r w:rsidRPr="00336D30">
        <w:rPr>
          <w:rFonts w:ascii="Times New Roman" w:hAnsi="Times New Roman" w:cs="Times New Roman"/>
          <w:sz w:val="24"/>
          <w:szCs w:val="24"/>
        </w:rPr>
        <w:t>Khooie</w:t>
      </w:r>
      <w:proofErr w:type="spellEnd"/>
      <w:r w:rsidRPr="00336D30">
        <w:rPr>
          <w:rFonts w:ascii="Times New Roman" w:hAnsi="Times New Roman" w:cs="Times New Roman"/>
          <w:sz w:val="24"/>
          <w:szCs w:val="24"/>
        </w:rPr>
        <w:t>, F., Mohammadi, S. (2005). Critical period of weed interference in chickpea. Weed Research, 45(1), 57-63</w:t>
      </w:r>
      <w:r w:rsidR="002E41F1">
        <w:rPr>
          <w:rFonts w:ascii="Times New Roman" w:hAnsi="Times New Roman" w:cs="Times New Roman"/>
          <w:sz w:val="24"/>
          <w:szCs w:val="24"/>
        </w:rPr>
        <w:t>.</w:t>
      </w:r>
    </w:p>
    <w:p w14:paraId="1A2EC7EB" w14:textId="0552B664" w:rsidR="00336D30" w:rsidRPr="00336D30" w:rsidRDefault="00336D30" w:rsidP="007978C7">
      <w:pPr>
        <w:spacing w:after="100" w:afterAutospacing="1" w:line="360" w:lineRule="auto"/>
        <w:ind w:left="432" w:hanging="720"/>
        <w:jc w:val="both"/>
        <w:rPr>
          <w:rFonts w:ascii="Times New Roman" w:hAnsi="Times New Roman" w:cs="Times New Roman"/>
          <w:sz w:val="24"/>
          <w:szCs w:val="24"/>
        </w:rPr>
      </w:pPr>
      <w:r w:rsidRPr="00336D30">
        <w:rPr>
          <w:rFonts w:ascii="Times New Roman" w:hAnsi="Times New Roman" w:cs="Times New Roman"/>
          <w:sz w:val="24"/>
          <w:szCs w:val="24"/>
        </w:rPr>
        <w:t xml:space="preserve">Saini, L., </w:t>
      </w:r>
      <w:proofErr w:type="spellStart"/>
      <w:r w:rsidRPr="00336D30">
        <w:rPr>
          <w:rFonts w:ascii="Times New Roman" w:hAnsi="Times New Roman" w:cs="Times New Roman"/>
          <w:sz w:val="24"/>
          <w:szCs w:val="24"/>
        </w:rPr>
        <w:t>Kakraliya</w:t>
      </w:r>
      <w:proofErr w:type="spellEnd"/>
      <w:r w:rsidRPr="00336D30">
        <w:rPr>
          <w:rFonts w:ascii="Times New Roman" w:hAnsi="Times New Roman" w:cs="Times New Roman"/>
          <w:sz w:val="24"/>
          <w:szCs w:val="24"/>
        </w:rPr>
        <w:t xml:space="preserve">, M., &amp; Kumar, P. (2020). Effects of different levels of NPK and sulphur on growth and yield attributes of rapeseed (brassica campestris var. toria). International Journal of Current Microbiology and Applied Sciences, 9(9), 1805-1811. </w:t>
      </w:r>
    </w:p>
    <w:p w14:paraId="0D43534C" w14:textId="453BFD9F" w:rsidR="00336D30" w:rsidRDefault="00336D30" w:rsidP="007978C7">
      <w:pPr>
        <w:spacing w:after="100" w:afterAutospacing="1" w:line="360" w:lineRule="auto"/>
        <w:ind w:left="432" w:hanging="720"/>
        <w:jc w:val="both"/>
        <w:rPr>
          <w:rFonts w:ascii="Times New Roman" w:hAnsi="Times New Roman" w:cs="Times New Roman"/>
          <w:sz w:val="24"/>
          <w:szCs w:val="24"/>
        </w:rPr>
      </w:pPr>
      <w:r w:rsidRPr="00336D30">
        <w:rPr>
          <w:rFonts w:ascii="Times New Roman" w:hAnsi="Times New Roman" w:cs="Times New Roman"/>
          <w:sz w:val="24"/>
          <w:szCs w:val="24"/>
        </w:rPr>
        <w:lastRenderedPageBreak/>
        <w:t>Soni, B. and Singh, R. (2023). Influence of sulphur and spacing on yield attributes and economics of toria (brassica campestris l.). International Journal of Plant &amp; Soil Science, 35(14), 298-303.</w:t>
      </w:r>
    </w:p>
    <w:sectPr w:rsidR="00336D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DC09A" w14:textId="77777777" w:rsidR="00434821" w:rsidRDefault="00434821" w:rsidP="00F144FE">
      <w:pPr>
        <w:spacing w:after="0" w:line="240" w:lineRule="auto"/>
      </w:pPr>
      <w:r>
        <w:separator/>
      </w:r>
    </w:p>
  </w:endnote>
  <w:endnote w:type="continuationSeparator" w:id="0">
    <w:p w14:paraId="0E22ADA6" w14:textId="77777777" w:rsidR="00434821" w:rsidRDefault="00434821" w:rsidP="00F1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2CBE" w14:textId="77777777" w:rsidR="00F144FE" w:rsidRDefault="00F14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C775" w14:textId="77777777" w:rsidR="00F144FE" w:rsidRDefault="00F14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92D5" w14:textId="77777777" w:rsidR="00F144FE" w:rsidRDefault="00F14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EC9F7" w14:textId="77777777" w:rsidR="00434821" w:rsidRDefault="00434821" w:rsidP="00F144FE">
      <w:pPr>
        <w:spacing w:after="0" w:line="240" w:lineRule="auto"/>
      </w:pPr>
      <w:r>
        <w:separator/>
      </w:r>
    </w:p>
  </w:footnote>
  <w:footnote w:type="continuationSeparator" w:id="0">
    <w:p w14:paraId="1217F31C" w14:textId="77777777" w:rsidR="00434821" w:rsidRDefault="00434821" w:rsidP="00F14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79E80" w14:textId="2A1932DA" w:rsidR="00F144FE" w:rsidRDefault="00F144FE">
    <w:pPr>
      <w:pStyle w:val="Header"/>
    </w:pPr>
    <w:r>
      <w:rPr>
        <w:noProof/>
      </w:rPr>
      <w:pict w14:anchorId="4A43E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137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BFE5" w14:textId="77A4ABD2" w:rsidR="00F144FE" w:rsidRDefault="00F144FE">
    <w:pPr>
      <w:pStyle w:val="Header"/>
    </w:pPr>
    <w:r>
      <w:rPr>
        <w:noProof/>
      </w:rPr>
      <w:pict w14:anchorId="7DF9E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137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4966" w14:textId="602645C5" w:rsidR="00F144FE" w:rsidRDefault="00F144FE">
    <w:pPr>
      <w:pStyle w:val="Header"/>
    </w:pPr>
    <w:r>
      <w:rPr>
        <w:noProof/>
      </w:rPr>
      <w:pict w14:anchorId="40D25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137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95239"/>
    <w:multiLevelType w:val="multilevel"/>
    <w:tmpl w:val="2522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65556"/>
    <w:multiLevelType w:val="multilevel"/>
    <w:tmpl w:val="3C46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C03D6"/>
    <w:multiLevelType w:val="multilevel"/>
    <w:tmpl w:val="C032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7733"/>
    <w:rsid w:val="00000E9B"/>
    <w:rsid w:val="00015D7C"/>
    <w:rsid w:val="0005068D"/>
    <w:rsid w:val="00054035"/>
    <w:rsid w:val="000C224D"/>
    <w:rsid w:val="000C6F6D"/>
    <w:rsid w:val="00116802"/>
    <w:rsid w:val="0011709B"/>
    <w:rsid w:val="00120D36"/>
    <w:rsid w:val="0016034E"/>
    <w:rsid w:val="00187C2B"/>
    <w:rsid w:val="001A04A2"/>
    <w:rsid w:val="001B55F6"/>
    <w:rsid w:val="001C6CEC"/>
    <w:rsid w:val="001D3BBD"/>
    <w:rsid w:val="001F1165"/>
    <w:rsid w:val="00203B77"/>
    <w:rsid w:val="002463B8"/>
    <w:rsid w:val="002600DF"/>
    <w:rsid w:val="00290049"/>
    <w:rsid w:val="002A0757"/>
    <w:rsid w:val="002C00AA"/>
    <w:rsid w:val="002C4D6C"/>
    <w:rsid w:val="002E41F1"/>
    <w:rsid w:val="002E7ADB"/>
    <w:rsid w:val="002F2978"/>
    <w:rsid w:val="003027DD"/>
    <w:rsid w:val="00303422"/>
    <w:rsid w:val="00335006"/>
    <w:rsid w:val="00336D30"/>
    <w:rsid w:val="00362E34"/>
    <w:rsid w:val="00382C6B"/>
    <w:rsid w:val="003930CE"/>
    <w:rsid w:val="003E4F93"/>
    <w:rsid w:val="00407FD2"/>
    <w:rsid w:val="004115B7"/>
    <w:rsid w:val="004266E7"/>
    <w:rsid w:val="00434821"/>
    <w:rsid w:val="004736DF"/>
    <w:rsid w:val="00473F04"/>
    <w:rsid w:val="0048040B"/>
    <w:rsid w:val="004824D0"/>
    <w:rsid w:val="004A52DF"/>
    <w:rsid w:val="004B1848"/>
    <w:rsid w:val="004B5BFE"/>
    <w:rsid w:val="004D1B5D"/>
    <w:rsid w:val="00500A2D"/>
    <w:rsid w:val="00513212"/>
    <w:rsid w:val="00525F73"/>
    <w:rsid w:val="00536A97"/>
    <w:rsid w:val="005418A6"/>
    <w:rsid w:val="005611EF"/>
    <w:rsid w:val="005776EA"/>
    <w:rsid w:val="0059688B"/>
    <w:rsid w:val="005D4CA7"/>
    <w:rsid w:val="005F10EA"/>
    <w:rsid w:val="005F44FF"/>
    <w:rsid w:val="006449B8"/>
    <w:rsid w:val="0066026D"/>
    <w:rsid w:val="00677EFE"/>
    <w:rsid w:val="006A14AF"/>
    <w:rsid w:val="006D092D"/>
    <w:rsid w:val="006D6CBB"/>
    <w:rsid w:val="006E10A4"/>
    <w:rsid w:val="007244EB"/>
    <w:rsid w:val="007457BB"/>
    <w:rsid w:val="00753A0A"/>
    <w:rsid w:val="00771F57"/>
    <w:rsid w:val="007978C7"/>
    <w:rsid w:val="007B68A7"/>
    <w:rsid w:val="007E155D"/>
    <w:rsid w:val="008D7AF5"/>
    <w:rsid w:val="008E06F4"/>
    <w:rsid w:val="008E2D08"/>
    <w:rsid w:val="008F0803"/>
    <w:rsid w:val="008F3E76"/>
    <w:rsid w:val="00920666"/>
    <w:rsid w:val="0092609F"/>
    <w:rsid w:val="00935DEB"/>
    <w:rsid w:val="00937A39"/>
    <w:rsid w:val="009604E7"/>
    <w:rsid w:val="009755E5"/>
    <w:rsid w:val="00977BFC"/>
    <w:rsid w:val="00984A95"/>
    <w:rsid w:val="00994F3A"/>
    <w:rsid w:val="009B2694"/>
    <w:rsid w:val="009B7B92"/>
    <w:rsid w:val="009C1C55"/>
    <w:rsid w:val="009E4657"/>
    <w:rsid w:val="00A01212"/>
    <w:rsid w:val="00A068B5"/>
    <w:rsid w:val="00A23384"/>
    <w:rsid w:val="00A3693F"/>
    <w:rsid w:val="00A40E75"/>
    <w:rsid w:val="00A54951"/>
    <w:rsid w:val="00A82499"/>
    <w:rsid w:val="00AA68C1"/>
    <w:rsid w:val="00AD5FC0"/>
    <w:rsid w:val="00AE1A9D"/>
    <w:rsid w:val="00AE2EDE"/>
    <w:rsid w:val="00AE7E1B"/>
    <w:rsid w:val="00B06712"/>
    <w:rsid w:val="00B21CDB"/>
    <w:rsid w:val="00B279D2"/>
    <w:rsid w:val="00B31996"/>
    <w:rsid w:val="00B661D1"/>
    <w:rsid w:val="00BD1249"/>
    <w:rsid w:val="00C06919"/>
    <w:rsid w:val="00C14B09"/>
    <w:rsid w:val="00C16CA4"/>
    <w:rsid w:val="00C36705"/>
    <w:rsid w:val="00C467C1"/>
    <w:rsid w:val="00C57CD4"/>
    <w:rsid w:val="00CA149B"/>
    <w:rsid w:val="00D04F53"/>
    <w:rsid w:val="00D16A50"/>
    <w:rsid w:val="00D17733"/>
    <w:rsid w:val="00D62EB3"/>
    <w:rsid w:val="00D63AF2"/>
    <w:rsid w:val="00D64BB6"/>
    <w:rsid w:val="00D67721"/>
    <w:rsid w:val="00D921F7"/>
    <w:rsid w:val="00DB3E25"/>
    <w:rsid w:val="00DB74AF"/>
    <w:rsid w:val="00DF7102"/>
    <w:rsid w:val="00E11CE3"/>
    <w:rsid w:val="00E278CB"/>
    <w:rsid w:val="00E54390"/>
    <w:rsid w:val="00E56F0B"/>
    <w:rsid w:val="00E64E08"/>
    <w:rsid w:val="00E74A56"/>
    <w:rsid w:val="00EB22D8"/>
    <w:rsid w:val="00EC0AEE"/>
    <w:rsid w:val="00ED1C1A"/>
    <w:rsid w:val="00F144FE"/>
    <w:rsid w:val="00F14A31"/>
    <w:rsid w:val="00F32EF9"/>
    <w:rsid w:val="00F400D2"/>
    <w:rsid w:val="00F60381"/>
    <w:rsid w:val="00F67091"/>
    <w:rsid w:val="00F77D79"/>
    <w:rsid w:val="00F93CB7"/>
    <w:rsid w:val="00FA7897"/>
    <w:rsid w:val="00FC09AD"/>
    <w:rsid w:val="00FC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43FA31"/>
  <w15:docId w15:val="{E8AEF716-F0FF-48BE-91B7-491A700A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D09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177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17733"/>
    <w:rPr>
      <w:rFonts w:ascii="Times New Roman" w:eastAsia="Times New Roman" w:hAnsi="Times New Roman" w:cs="Times New Roman"/>
      <w:b/>
      <w:bCs/>
      <w:sz w:val="27"/>
      <w:szCs w:val="27"/>
    </w:rPr>
  </w:style>
  <w:style w:type="character" w:styleId="Emphasis">
    <w:name w:val="Emphasis"/>
    <w:basedOn w:val="DefaultParagraphFont"/>
    <w:uiPriority w:val="20"/>
    <w:qFormat/>
    <w:rsid w:val="00D17733"/>
    <w:rPr>
      <w:i/>
      <w:iCs/>
    </w:rPr>
  </w:style>
  <w:style w:type="paragraph" w:styleId="BodyText">
    <w:name w:val="Body Text"/>
    <w:basedOn w:val="Normal"/>
    <w:link w:val="BodyTextChar"/>
    <w:uiPriority w:val="1"/>
    <w:qFormat/>
    <w:rsid w:val="00D17733"/>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D17733"/>
    <w:rPr>
      <w:rFonts w:ascii="Times New Roman" w:eastAsia="Times New Roman" w:hAnsi="Times New Roman" w:cs="Times New Roman"/>
      <w:sz w:val="23"/>
      <w:szCs w:val="23"/>
    </w:rPr>
  </w:style>
  <w:style w:type="character" w:styleId="Strong">
    <w:name w:val="Strong"/>
    <w:basedOn w:val="DefaultParagraphFont"/>
    <w:uiPriority w:val="22"/>
    <w:qFormat/>
    <w:rsid w:val="00D17733"/>
    <w:rPr>
      <w:b/>
      <w:bCs/>
    </w:rPr>
  </w:style>
  <w:style w:type="paragraph" w:styleId="BalloonText">
    <w:name w:val="Balloon Text"/>
    <w:basedOn w:val="Normal"/>
    <w:link w:val="BalloonTextChar"/>
    <w:uiPriority w:val="99"/>
    <w:semiHidden/>
    <w:unhideWhenUsed/>
    <w:rsid w:val="0012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D36"/>
    <w:rPr>
      <w:rFonts w:ascii="Tahoma" w:hAnsi="Tahoma" w:cs="Tahoma"/>
      <w:sz w:val="16"/>
      <w:szCs w:val="16"/>
    </w:rPr>
  </w:style>
  <w:style w:type="paragraph" w:customStyle="1" w:styleId="Default">
    <w:name w:val="Default"/>
    <w:rsid w:val="007244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6D092D"/>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unhideWhenUsed/>
    <w:rsid w:val="007B68A7"/>
    <w:pPr>
      <w:spacing w:before="1"/>
      <w:jc w:val="both"/>
    </w:pPr>
    <w:rPr>
      <w:rFonts w:ascii="Times New Roman" w:hAnsi="Times New Roman" w:cs="Times New Roman"/>
      <w:b/>
      <w:bCs/>
      <w:sz w:val="28"/>
      <w:szCs w:val="28"/>
    </w:rPr>
  </w:style>
  <w:style w:type="character" w:customStyle="1" w:styleId="BodyText2Char">
    <w:name w:val="Body Text 2 Char"/>
    <w:basedOn w:val="DefaultParagraphFont"/>
    <w:link w:val="BodyText2"/>
    <w:uiPriority w:val="99"/>
    <w:rsid w:val="007B68A7"/>
    <w:rPr>
      <w:rFonts w:ascii="Times New Roman" w:hAnsi="Times New Roman" w:cs="Times New Roman"/>
      <w:b/>
      <w:bCs/>
      <w:sz w:val="28"/>
      <w:szCs w:val="28"/>
    </w:rPr>
  </w:style>
  <w:style w:type="character" w:styleId="Hyperlink">
    <w:name w:val="Hyperlink"/>
    <w:basedOn w:val="DefaultParagraphFont"/>
    <w:uiPriority w:val="99"/>
    <w:unhideWhenUsed/>
    <w:rsid w:val="00336D30"/>
    <w:rPr>
      <w:color w:val="0000FF" w:themeColor="hyperlink"/>
      <w:u w:val="single"/>
    </w:rPr>
  </w:style>
  <w:style w:type="character" w:customStyle="1" w:styleId="UnresolvedMention1">
    <w:name w:val="Unresolved Mention1"/>
    <w:basedOn w:val="DefaultParagraphFont"/>
    <w:uiPriority w:val="99"/>
    <w:semiHidden/>
    <w:unhideWhenUsed/>
    <w:rsid w:val="00336D30"/>
    <w:rPr>
      <w:color w:val="605E5C"/>
      <w:shd w:val="clear" w:color="auto" w:fill="E1DFDD"/>
    </w:rPr>
  </w:style>
  <w:style w:type="paragraph" w:styleId="Header">
    <w:name w:val="header"/>
    <w:basedOn w:val="Normal"/>
    <w:link w:val="HeaderChar"/>
    <w:uiPriority w:val="99"/>
    <w:unhideWhenUsed/>
    <w:rsid w:val="00F14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4FE"/>
  </w:style>
  <w:style w:type="paragraph" w:styleId="Footer">
    <w:name w:val="footer"/>
    <w:basedOn w:val="Normal"/>
    <w:link w:val="FooterChar"/>
    <w:uiPriority w:val="99"/>
    <w:unhideWhenUsed/>
    <w:rsid w:val="00F14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3774">
      <w:bodyDiv w:val="1"/>
      <w:marLeft w:val="0"/>
      <w:marRight w:val="0"/>
      <w:marTop w:val="0"/>
      <w:marBottom w:val="0"/>
      <w:divBdr>
        <w:top w:val="none" w:sz="0" w:space="0" w:color="auto"/>
        <w:left w:val="none" w:sz="0" w:space="0" w:color="auto"/>
        <w:bottom w:val="none" w:sz="0" w:space="0" w:color="auto"/>
        <w:right w:val="none" w:sz="0" w:space="0" w:color="auto"/>
      </w:divBdr>
    </w:div>
    <w:div w:id="601838794">
      <w:bodyDiv w:val="1"/>
      <w:marLeft w:val="0"/>
      <w:marRight w:val="0"/>
      <w:marTop w:val="0"/>
      <w:marBottom w:val="0"/>
      <w:divBdr>
        <w:top w:val="none" w:sz="0" w:space="0" w:color="auto"/>
        <w:left w:val="none" w:sz="0" w:space="0" w:color="auto"/>
        <w:bottom w:val="none" w:sz="0" w:space="0" w:color="auto"/>
        <w:right w:val="none" w:sz="0" w:space="0" w:color="auto"/>
      </w:divBdr>
    </w:div>
    <w:div w:id="748230056">
      <w:bodyDiv w:val="1"/>
      <w:marLeft w:val="0"/>
      <w:marRight w:val="0"/>
      <w:marTop w:val="0"/>
      <w:marBottom w:val="0"/>
      <w:divBdr>
        <w:top w:val="none" w:sz="0" w:space="0" w:color="auto"/>
        <w:left w:val="none" w:sz="0" w:space="0" w:color="auto"/>
        <w:bottom w:val="none" w:sz="0" w:space="0" w:color="auto"/>
        <w:right w:val="none" w:sz="0" w:space="0" w:color="auto"/>
      </w:divBdr>
    </w:div>
    <w:div w:id="892157044">
      <w:bodyDiv w:val="1"/>
      <w:marLeft w:val="0"/>
      <w:marRight w:val="0"/>
      <w:marTop w:val="0"/>
      <w:marBottom w:val="0"/>
      <w:divBdr>
        <w:top w:val="none" w:sz="0" w:space="0" w:color="auto"/>
        <w:left w:val="none" w:sz="0" w:space="0" w:color="auto"/>
        <w:bottom w:val="none" w:sz="0" w:space="0" w:color="auto"/>
        <w:right w:val="none" w:sz="0" w:space="0" w:color="auto"/>
      </w:divBdr>
    </w:div>
    <w:div w:id="1267037339">
      <w:bodyDiv w:val="1"/>
      <w:marLeft w:val="0"/>
      <w:marRight w:val="0"/>
      <w:marTop w:val="0"/>
      <w:marBottom w:val="0"/>
      <w:divBdr>
        <w:top w:val="none" w:sz="0" w:space="0" w:color="auto"/>
        <w:left w:val="none" w:sz="0" w:space="0" w:color="auto"/>
        <w:bottom w:val="none" w:sz="0" w:space="0" w:color="auto"/>
        <w:right w:val="none" w:sz="0" w:space="0" w:color="auto"/>
      </w:divBdr>
    </w:div>
    <w:div w:id="150400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4C66-F067-46D8-A591-8A10384C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10</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vipin</dc:creator>
  <cp:lastModifiedBy>SDI 1084</cp:lastModifiedBy>
  <cp:revision>107</cp:revision>
  <cp:lastPrinted>2025-03-24T12:22:00Z</cp:lastPrinted>
  <dcterms:created xsi:type="dcterms:W3CDTF">2025-03-09T20:59:00Z</dcterms:created>
  <dcterms:modified xsi:type="dcterms:W3CDTF">2025-08-02T09:44:00Z</dcterms:modified>
</cp:coreProperties>
</file>