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632FB" w14:textId="77777777" w:rsidR="008F1B4E" w:rsidRPr="00387A17" w:rsidRDefault="008F1B4E" w:rsidP="008F1B4E">
      <w:pPr>
        <w:jc w:val="both"/>
        <w:rPr>
          <w:rFonts w:ascii="Times New Roman" w:hAnsi="Times New Roman"/>
          <w:b/>
          <w:bCs/>
          <w:szCs w:val="24"/>
        </w:rPr>
      </w:pPr>
      <w:r w:rsidRPr="00387A17">
        <w:rPr>
          <w:rFonts w:ascii="Times New Roman" w:hAnsi="Times New Roman"/>
          <w:b/>
          <w:bCs/>
          <w:szCs w:val="24"/>
        </w:rPr>
        <w:t xml:space="preserve">A Close Look at Migration and Factors Contributing to Mental Health Outcomes of International Students in the UK. </w:t>
      </w:r>
    </w:p>
    <w:p w14:paraId="1BBEA9CB" w14:textId="77777777" w:rsidR="008F1B4E" w:rsidRPr="00387A17" w:rsidRDefault="008F1B4E" w:rsidP="008F1B4E">
      <w:pPr>
        <w:jc w:val="both"/>
        <w:rPr>
          <w:rFonts w:ascii="Times New Roman" w:hAnsi="Times New Roman"/>
          <w:b/>
          <w:bCs/>
          <w:szCs w:val="24"/>
        </w:rPr>
      </w:pPr>
    </w:p>
    <w:p w14:paraId="73DC6836" w14:textId="77777777" w:rsidR="006576C2" w:rsidRDefault="006576C2" w:rsidP="008F1B4E">
      <w:pPr>
        <w:rPr>
          <w:rFonts w:ascii="Times New Roman" w:hAnsi="Times New Roman"/>
          <w:b/>
          <w:bCs/>
          <w:szCs w:val="24"/>
        </w:rPr>
      </w:pPr>
    </w:p>
    <w:p w14:paraId="4F059224" w14:textId="77777777" w:rsidR="009A7333" w:rsidRPr="00387A17" w:rsidRDefault="009A7333" w:rsidP="008F1B4E">
      <w:pPr>
        <w:rPr>
          <w:rFonts w:ascii="Times New Roman" w:hAnsi="Times New Roman"/>
          <w:b/>
          <w:bCs/>
          <w:szCs w:val="24"/>
        </w:rPr>
      </w:pPr>
    </w:p>
    <w:p w14:paraId="0720F02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Abstract</w:t>
      </w:r>
    </w:p>
    <w:p w14:paraId="15A9B38E" w14:textId="77777777" w:rsidR="008F1B4E" w:rsidRPr="00387A17" w:rsidRDefault="008F1B4E" w:rsidP="008F1B4E">
      <w:pPr>
        <w:rPr>
          <w:rFonts w:ascii="Times New Roman" w:hAnsi="Times New Roman"/>
          <w:b/>
          <w:bCs/>
          <w:szCs w:val="24"/>
        </w:rPr>
      </w:pPr>
    </w:p>
    <w:p w14:paraId="2A5A0895"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Background</w:t>
      </w:r>
      <w:r w:rsidRPr="00387A17">
        <w:rPr>
          <w:rFonts w:ascii="Times New Roman" w:hAnsi="Times New Roman"/>
          <w:szCs w:val="24"/>
        </w:rPr>
        <w:t>: Migration for educational purposes has become a defining feature of global higher education systems, with several universities in the global north, including the United Kingdom (UK), accounting for millions of students who migrate across borders to pursue academic qualifications and broaden their opportunities. However, there is a rising concern among these students that they are at risk of mental health issues due to migration-related causes. Therefore, this study aimed to systematically review the literature on the mental health and well-being of international students in the United Kingdom.</w:t>
      </w:r>
    </w:p>
    <w:p w14:paraId="5B08063B"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Method: </w:t>
      </w:r>
      <w:r w:rsidRPr="00387A17">
        <w:rPr>
          <w:rFonts w:ascii="Times New Roman" w:hAnsi="Times New Roman"/>
          <w:szCs w:val="24"/>
        </w:rPr>
        <w:t xml:space="preserve">A literature search was conducted using eleven databases - APA </w:t>
      </w:r>
      <w:proofErr w:type="spellStart"/>
      <w:r w:rsidRPr="00387A17">
        <w:rPr>
          <w:rFonts w:ascii="Times New Roman" w:hAnsi="Times New Roman"/>
          <w:szCs w:val="24"/>
        </w:rPr>
        <w:t>PsycArticles</w:t>
      </w:r>
      <w:proofErr w:type="spellEnd"/>
      <w:r w:rsidRPr="00387A17">
        <w:rPr>
          <w:rFonts w:ascii="Times New Roman" w:hAnsi="Times New Roman"/>
          <w:szCs w:val="24"/>
        </w:rPr>
        <w:t xml:space="preserve">, ASSIA, APA, </w:t>
      </w:r>
      <w:proofErr w:type="spellStart"/>
      <w:r w:rsidRPr="00387A17">
        <w:rPr>
          <w:rFonts w:ascii="Times New Roman" w:hAnsi="Times New Roman"/>
          <w:szCs w:val="24"/>
        </w:rPr>
        <w:t>Psycinfo</w:t>
      </w:r>
      <w:proofErr w:type="spellEnd"/>
      <w:r w:rsidRPr="00387A17">
        <w:rPr>
          <w:rFonts w:ascii="Times New Roman" w:hAnsi="Times New Roman"/>
          <w:szCs w:val="24"/>
        </w:rPr>
        <w:t>, CINAHL, MEDLINE, PubMed, Scopus, British Nursing Index, AMED, Google Scholar, Web of Science - for articles published from 2010. A pre-determined set of eligibility criteria was used to screen articles, and eligible articles were quality appraised using the JBI critical appraisal check tool. Due to considerable heterogeneity, the data was narratively analysed, considering statistical significance and the text narratives. Nineteen studies (N = 5) met the inclusion criteria.</w:t>
      </w:r>
    </w:p>
    <w:p w14:paraId="5DE3F7EC"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Results: </w:t>
      </w:r>
      <w:r w:rsidRPr="00387A17">
        <w:rPr>
          <w:rFonts w:ascii="Times New Roman" w:hAnsi="Times New Roman"/>
          <w:szCs w:val="24"/>
        </w:rPr>
        <w:t>Five Major factors contributing to mental health outcomes in international students included cultural adjustment, language barriers, support, social networks and stigma.</w:t>
      </w:r>
    </w:p>
    <w:p w14:paraId="0DAB078F"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Conclusion: </w:t>
      </w:r>
      <w:r w:rsidRPr="00387A17">
        <w:rPr>
          <w:rFonts w:ascii="Times New Roman" w:hAnsi="Times New Roman"/>
          <w:szCs w:val="24"/>
        </w:rPr>
        <w:t>The study showed that international students in the UK experience mental health issues and poor well-being linked to migration. Thus, universities need to recognise the causes and make efforts to support international students better.</w:t>
      </w:r>
    </w:p>
    <w:p w14:paraId="5838FD4F" w14:textId="77777777" w:rsidR="008F1B4E" w:rsidRDefault="008F1B4E"/>
    <w:p w14:paraId="593289C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Introduction</w:t>
      </w:r>
    </w:p>
    <w:p w14:paraId="02DC8764" w14:textId="77777777" w:rsidR="008F1B4E" w:rsidRPr="00387A17" w:rsidRDefault="008F1B4E" w:rsidP="008F1B4E">
      <w:pPr>
        <w:rPr>
          <w:rFonts w:ascii="Times New Roman" w:hAnsi="Times New Roman"/>
          <w:szCs w:val="24"/>
        </w:rPr>
      </w:pPr>
    </w:p>
    <w:p w14:paraId="6142B09D" w14:textId="2ED5E6AE"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Migration is a global phenomenon, with millions of individuals moving across borders for various reasons, including education</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Migration for educational purposes has become a defining feature of global higher education systems, with several universities in the global north majorly the United States of America (USA), Canada, Australia and the United Kingdom (UK) accounting for millions of students who migrate across borders to pursue academic qualifications </w:t>
      </w:r>
      <w:r w:rsidRPr="00387A17">
        <w:rPr>
          <w:rFonts w:ascii="Times New Roman" w:hAnsi="Times New Roman"/>
          <w:szCs w:val="24"/>
        </w:rPr>
        <w:lastRenderedPageBreak/>
        <w:t xml:space="preserve">and broaden their opportunities (McAuliffe and </w:t>
      </w:r>
      <w:proofErr w:type="spellStart"/>
      <w:r w:rsidRPr="00387A17">
        <w:rPr>
          <w:rFonts w:ascii="Times New Roman" w:hAnsi="Times New Roman"/>
          <w:szCs w:val="24"/>
        </w:rPr>
        <w:t>Ruhs</w:t>
      </w:r>
      <w:proofErr w:type="spellEnd"/>
      <w:r w:rsidRPr="00387A17">
        <w:rPr>
          <w:rFonts w:ascii="Times New Roman" w:hAnsi="Times New Roman"/>
          <w:szCs w:val="24"/>
        </w:rPr>
        <w:t xml:space="preserve">, 2017; </w:t>
      </w:r>
      <w:proofErr w:type="spellStart"/>
      <w:r w:rsidR="00A12C29">
        <w:rPr>
          <w:rFonts w:ascii="Times New Roman" w:hAnsi="Times New Roman"/>
          <w:szCs w:val="24"/>
        </w:rPr>
        <w:t>Shoge</w:t>
      </w:r>
      <w:proofErr w:type="spellEnd"/>
      <w:r w:rsidR="00A12C29">
        <w:rPr>
          <w:rFonts w:ascii="Times New Roman" w:hAnsi="Times New Roman"/>
          <w:szCs w:val="24"/>
        </w:rPr>
        <w:t xml:space="preserve"> et al., 2021, </w:t>
      </w:r>
      <w:r w:rsidRPr="00387A17">
        <w:rPr>
          <w:rFonts w:ascii="Times New Roman" w:hAnsi="Times New Roman"/>
          <w:szCs w:val="24"/>
        </w:rPr>
        <w:t xml:space="preserve">IIE, 2024). These international students contribute to cultural diversity, global knowledge exchange, and economic growth in host countries (Luo &amp; Jamieson-Drake, 2013; IIE, 2018; Universities UK, 2023; Wang et al., 2024). </w:t>
      </w:r>
    </w:p>
    <w:p w14:paraId="567E5419" w14:textId="77777777" w:rsidR="008F1B4E" w:rsidRPr="00387A17" w:rsidRDefault="008F1B4E" w:rsidP="008F1B4E">
      <w:pPr>
        <w:spacing w:line="360" w:lineRule="auto"/>
        <w:jc w:val="both"/>
        <w:rPr>
          <w:rFonts w:ascii="Times New Roman" w:hAnsi="Times New Roman"/>
          <w:szCs w:val="24"/>
        </w:rPr>
      </w:pPr>
    </w:p>
    <w:p w14:paraId="476D247D" w14:textId="77777777" w:rsidR="008F1B4E" w:rsidRPr="00387A17" w:rsidRDefault="008F1B4E" w:rsidP="008F1B4E">
      <w:pPr>
        <w:spacing w:line="360" w:lineRule="auto"/>
        <w:jc w:val="both"/>
        <w:rPr>
          <w:rFonts w:ascii="Times New Roman" w:hAnsi="Times New Roman"/>
          <w:szCs w:val="24"/>
        </w:rPr>
      </w:pPr>
    </w:p>
    <w:p w14:paraId="411DAE58" w14:textId="77777777" w:rsidR="008F1B4E" w:rsidRPr="00387A17" w:rsidRDefault="008F1B4E" w:rsidP="008F1B4E">
      <w:pPr>
        <w:spacing w:line="360" w:lineRule="auto"/>
        <w:jc w:val="both"/>
        <w:rPr>
          <w:rFonts w:ascii="Times New Roman" w:hAnsi="Times New Roman"/>
          <w:szCs w:val="24"/>
        </w:rPr>
      </w:pPr>
    </w:p>
    <w:p w14:paraId="2AB6452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w:drawing>
          <wp:inline distT="0" distB="0" distL="0" distR="0" wp14:anchorId="64656AC8" wp14:editId="065AEDB3">
            <wp:extent cx="5797262" cy="324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5818924" cy="3256975"/>
                    </a:xfrm>
                    <a:prstGeom prst="rect">
                      <a:avLst/>
                    </a:prstGeom>
                  </pic:spPr>
                </pic:pic>
              </a:graphicData>
            </a:graphic>
          </wp:inline>
        </w:drawing>
      </w:r>
    </w:p>
    <w:p w14:paraId="2D86D0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Figure 1: </w:t>
      </w:r>
      <w:r w:rsidRPr="00387A17">
        <w:rPr>
          <w:rFonts w:ascii="Times New Roman" w:hAnsi="Times New Roman"/>
          <w:szCs w:val="24"/>
        </w:rPr>
        <w:t>Top Destinations for International Students in 2023 (Image Adapted from IIE, 2024)</w:t>
      </w:r>
      <w:r w:rsidRPr="00387A17">
        <w:rPr>
          <w:rFonts w:ascii="Times New Roman" w:hAnsi="Times New Roman"/>
          <w:b/>
          <w:bCs/>
          <w:szCs w:val="24"/>
        </w:rPr>
        <w:br w:type="page"/>
      </w:r>
    </w:p>
    <w:p w14:paraId="2800D7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lastRenderedPageBreak/>
        <w:t xml:space="preserve">However, alongside these benefits, migration often presents challenges such as cultural adjustment, isolation, language difficulties, discrimination, and even racism, particularly as these students navigate unfamiliar academic, social, and cultural environments (Sherry et al., 2010; </w:t>
      </w:r>
      <w:proofErr w:type="spellStart"/>
      <w:r w:rsidRPr="00387A17">
        <w:rPr>
          <w:rFonts w:ascii="Times New Roman" w:hAnsi="Times New Roman"/>
          <w:szCs w:val="24"/>
        </w:rPr>
        <w:t>Akanwa</w:t>
      </w:r>
      <w:proofErr w:type="spellEnd"/>
      <w:r w:rsidRPr="00387A17">
        <w:rPr>
          <w:rFonts w:ascii="Times New Roman" w:hAnsi="Times New Roman"/>
          <w:szCs w:val="24"/>
        </w:rPr>
        <w:t>, 2015), all of which can have profound impacts on their mental health (Castelli, 2018).</w:t>
      </w:r>
    </w:p>
    <w:p w14:paraId="435D710A" w14:textId="77777777" w:rsidR="008F1B4E" w:rsidRPr="00387A17" w:rsidRDefault="008F1B4E" w:rsidP="008F1B4E">
      <w:pPr>
        <w:spacing w:line="360" w:lineRule="auto"/>
        <w:jc w:val="both"/>
        <w:rPr>
          <w:rFonts w:ascii="Times New Roman" w:hAnsi="Times New Roman"/>
          <w:szCs w:val="24"/>
        </w:rPr>
      </w:pPr>
    </w:p>
    <w:p w14:paraId="72C66AE4" w14:textId="151EF956"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The mental health of international students in the United Kingdom (UK) is an important topic because of the high number of international students who come to the United Kingdom every year (IIE, 2022). In fact, over the last 4 years, the UK has ranked as the top destination for international students all over Europe and ranked second and third at different times in the world according to the Institute of International Education (</w:t>
      </w:r>
      <w:proofErr w:type="spellStart"/>
      <w:r w:rsidR="003C0194">
        <w:rPr>
          <w:rFonts w:ascii="Times New Roman" w:hAnsi="Times New Roman"/>
          <w:szCs w:val="24"/>
        </w:rPr>
        <w:t>Fatoki</w:t>
      </w:r>
      <w:proofErr w:type="spellEnd"/>
      <w:r w:rsidR="003C0194">
        <w:rPr>
          <w:rFonts w:ascii="Times New Roman" w:hAnsi="Times New Roman"/>
          <w:szCs w:val="24"/>
        </w:rPr>
        <w:t xml:space="preserve"> et al., 2018</w:t>
      </w:r>
      <w:r w:rsidRPr="00387A17">
        <w:rPr>
          <w:rFonts w:ascii="Times New Roman" w:hAnsi="Times New Roman"/>
          <w:szCs w:val="24"/>
        </w:rPr>
        <w:t xml:space="preserve">). </w:t>
      </w:r>
    </w:p>
    <w:p w14:paraId="40FF9A00" w14:textId="77777777" w:rsidR="008F1B4E" w:rsidRPr="00387A17" w:rsidRDefault="008F1B4E" w:rsidP="008F1B4E">
      <w:pPr>
        <w:spacing w:line="360" w:lineRule="auto"/>
        <w:jc w:val="both"/>
        <w:rPr>
          <w:rFonts w:ascii="Times New Roman" w:hAnsi="Times New Roman"/>
          <w:szCs w:val="24"/>
        </w:rPr>
      </w:pPr>
    </w:p>
    <w:p w14:paraId="28C3BE81" w14:textId="7A6CB6F3"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The diverse backgrounds and migration experiences of this international student population necessitate a nuanced understanding of their mental health needs, as they study and integrate into the UK society</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Therefore, studying this large population of students is important for research, elucidating important insights into how migration can affect the mental health of these students and how the outcomes can be improved among this population. </w:t>
      </w:r>
    </w:p>
    <w:p w14:paraId="0080B326" w14:textId="77777777" w:rsidR="008F1B4E" w:rsidRPr="00387A17" w:rsidRDefault="008F1B4E" w:rsidP="008F1B4E">
      <w:pPr>
        <w:spacing w:line="360" w:lineRule="auto"/>
        <w:jc w:val="both"/>
        <w:rPr>
          <w:rFonts w:ascii="Times New Roman" w:hAnsi="Times New Roman"/>
          <w:szCs w:val="24"/>
        </w:rPr>
      </w:pPr>
    </w:p>
    <w:p w14:paraId="055A4F81" w14:textId="77777777" w:rsidR="008F1B4E" w:rsidRPr="00387A17" w:rsidRDefault="008F1B4E" w:rsidP="008F1B4E">
      <w:pPr>
        <w:spacing w:line="360" w:lineRule="auto"/>
        <w:jc w:val="both"/>
        <w:rPr>
          <w:rFonts w:ascii="Times New Roman" w:hAnsi="Times New Roman"/>
          <w:b/>
          <w:bCs/>
          <w:szCs w:val="24"/>
        </w:rPr>
      </w:pPr>
    </w:p>
    <w:p w14:paraId="74A8B2CB"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Methods</w:t>
      </w:r>
    </w:p>
    <w:p w14:paraId="06E01906" w14:textId="77777777"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The PEO framework (Table 1) is selected for this systematic review as it is the most suitable for conducting a qualitative analysis of the impact of migration on the mental health of international students studying in the UK. The PEO framework is a structured approach commonly used in evidence-based practice and research methodology, particularly in healthcare and related fields, to formulate clear and focused research questions (Paez, 2017). </w:t>
      </w:r>
    </w:p>
    <w:tbl>
      <w:tblPr>
        <w:tblStyle w:val="TableGrid"/>
        <w:tblpPr w:leftFromText="180" w:rightFromText="180" w:vertAnchor="text" w:horzAnchor="margin" w:tblpXSpec="center" w:tblpY="91"/>
        <w:tblW w:w="9091" w:type="dxa"/>
        <w:tblLook w:val="04A0" w:firstRow="1" w:lastRow="0" w:firstColumn="1" w:lastColumn="0" w:noHBand="0" w:noVBand="1"/>
      </w:tblPr>
      <w:tblGrid>
        <w:gridCol w:w="3340"/>
        <w:gridCol w:w="1236"/>
        <w:gridCol w:w="4515"/>
      </w:tblGrid>
      <w:tr w:rsidR="008F1B4E" w:rsidRPr="00387A17" w14:paraId="75BD7D49" w14:textId="77777777" w:rsidTr="00713664">
        <w:trPr>
          <w:trHeight w:val="438"/>
        </w:trPr>
        <w:tc>
          <w:tcPr>
            <w:tcW w:w="3340" w:type="dxa"/>
          </w:tcPr>
          <w:p w14:paraId="5E2CB7A5"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Population</w:t>
            </w:r>
          </w:p>
        </w:tc>
        <w:tc>
          <w:tcPr>
            <w:tcW w:w="1236" w:type="dxa"/>
          </w:tcPr>
          <w:p w14:paraId="748E252E"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Exposure</w:t>
            </w:r>
          </w:p>
        </w:tc>
        <w:tc>
          <w:tcPr>
            <w:tcW w:w="4515" w:type="dxa"/>
          </w:tcPr>
          <w:p w14:paraId="0C3559AA"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Outcome</w:t>
            </w:r>
          </w:p>
        </w:tc>
      </w:tr>
      <w:tr w:rsidR="008F1B4E" w:rsidRPr="00387A17" w14:paraId="0234C3F0" w14:textId="77777777" w:rsidTr="00713664">
        <w:trPr>
          <w:trHeight w:val="1659"/>
        </w:trPr>
        <w:tc>
          <w:tcPr>
            <w:tcW w:w="3340" w:type="dxa"/>
          </w:tcPr>
          <w:p w14:paraId="017C5202" w14:textId="77777777" w:rsidR="008F1B4E" w:rsidRPr="00387A17" w:rsidRDefault="008F1B4E" w:rsidP="00713664">
            <w:pPr>
              <w:spacing w:after="244" w:line="360" w:lineRule="auto"/>
              <w:jc w:val="both"/>
              <w:rPr>
                <w:rFonts w:ascii="Times New Roman" w:hAnsi="Times New Roman"/>
                <w:sz w:val="24"/>
                <w:szCs w:val="24"/>
              </w:rPr>
            </w:pPr>
            <w:r w:rsidRPr="00387A17">
              <w:rPr>
                <w:rFonts w:ascii="Times New Roman" w:hAnsi="Times New Roman"/>
                <w:sz w:val="24"/>
                <w:szCs w:val="24"/>
              </w:rPr>
              <w:t>International students studying in the UK</w:t>
            </w:r>
          </w:p>
          <w:p w14:paraId="1962CD34" w14:textId="77777777" w:rsidR="008F1B4E" w:rsidRPr="00387A17" w:rsidRDefault="008F1B4E" w:rsidP="00713664">
            <w:pPr>
              <w:spacing w:after="244" w:line="360" w:lineRule="auto"/>
              <w:jc w:val="both"/>
              <w:rPr>
                <w:rFonts w:ascii="Times New Roman" w:hAnsi="Times New Roman"/>
                <w:sz w:val="24"/>
                <w:szCs w:val="24"/>
              </w:rPr>
            </w:pPr>
          </w:p>
        </w:tc>
        <w:tc>
          <w:tcPr>
            <w:tcW w:w="1236" w:type="dxa"/>
          </w:tcPr>
          <w:p w14:paraId="7E66F963" w14:textId="77777777" w:rsidR="008F1B4E" w:rsidRPr="00387A17" w:rsidRDefault="008F1B4E" w:rsidP="00713664">
            <w:pPr>
              <w:spacing w:after="244" w:line="360" w:lineRule="auto"/>
              <w:ind w:right="11"/>
              <w:jc w:val="both"/>
              <w:rPr>
                <w:rFonts w:ascii="Times New Roman" w:hAnsi="Times New Roman"/>
                <w:sz w:val="24"/>
                <w:szCs w:val="24"/>
              </w:rPr>
            </w:pPr>
            <w:r w:rsidRPr="00387A17">
              <w:rPr>
                <w:rFonts w:ascii="Times New Roman" w:hAnsi="Times New Roman"/>
                <w:sz w:val="24"/>
                <w:szCs w:val="24"/>
              </w:rPr>
              <w:lastRenderedPageBreak/>
              <w:t>Migration</w:t>
            </w:r>
          </w:p>
        </w:tc>
        <w:tc>
          <w:tcPr>
            <w:tcW w:w="4515" w:type="dxa"/>
          </w:tcPr>
          <w:p w14:paraId="4F7A4AD4"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t>Mental Health outcomes e.g., Anxiety, Depression, Sadness, Stress, Psychological distress</w:t>
            </w:r>
          </w:p>
          <w:p w14:paraId="219592FD"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lastRenderedPageBreak/>
              <w:t xml:space="preserve"> Alternative Indicators of Mental Health (PTSD, suicidal ideation)</w:t>
            </w:r>
          </w:p>
        </w:tc>
      </w:tr>
    </w:tbl>
    <w:p w14:paraId="3D4D815D" w14:textId="77777777" w:rsidR="008F1B4E" w:rsidRPr="00387A17" w:rsidRDefault="008F1B4E" w:rsidP="008F1B4E">
      <w:pPr>
        <w:spacing w:line="360" w:lineRule="auto"/>
        <w:jc w:val="both"/>
        <w:rPr>
          <w:rFonts w:ascii="Times New Roman" w:hAnsi="Times New Roman"/>
          <w:b/>
          <w:bCs/>
          <w:szCs w:val="24"/>
        </w:rPr>
      </w:pPr>
    </w:p>
    <w:p w14:paraId="6168A8F3"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1: </w:t>
      </w:r>
      <w:r w:rsidRPr="00387A17">
        <w:rPr>
          <w:rFonts w:ascii="Times New Roman" w:hAnsi="Times New Roman"/>
          <w:szCs w:val="24"/>
        </w:rPr>
        <w:t>Summary of PEO Framework.</w:t>
      </w:r>
    </w:p>
    <w:p w14:paraId="07264CCB" w14:textId="77777777" w:rsidR="008F1B4E" w:rsidRPr="00387A17" w:rsidRDefault="008F1B4E" w:rsidP="008F1B4E">
      <w:pPr>
        <w:spacing w:line="360" w:lineRule="auto"/>
        <w:jc w:val="both"/>
        <w:rPr>
          <w:rFonts w:ascii="Times New Roman" w:hAnsi="Times New Roman"/>
          <w:b/>
          <w:bCs/>
          <w:szCs w:val="24"/>
        </w:rPr>
      </w:pPr>
    </w:p>
    <w:p w14:paraId="635CCB68"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79F42F71"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lastRenderedPageBreak/>
        <w:t>Eligibility Criteria</w:t>
      </w:r>
    </w:p>
    <w:p w14:paraId="27CCFA03"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Inclusion Criteria</w:t>
      </w:r>
    </w:p>
    <w:p w14:paraId="7DA01795"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 xml:space="preserve">a. </w:t>
      </w:r>
      <w:proofErr w:type="gramStart"/>
      <w:r w:rsidRPr="00387A17">
        <w:rPr>
          <w:rFonts w:ascii="Times New Roman" w:hAnsi="Times New Roman"/>
          <w:szCs w:val="24"/>
        </w:rPr>
        <w:t>International</w:t>
      </w:r>
      <w:proofErr w:type="gramEnd"/>
      <w:r w:rsidRPr="00387A17">
        <w:rPr>
          <w:rFonts w:ascii="Times New Roman" w:hAnsi="Times New Roman"/>
          <w:szCs w:val="24"/>
        </w:rPr>
        <w:t xml:space="preserve"> students studying in the UK. </w:t>
      </w:r>
    </w:p>
    <w:p w14:paraId="01B5AED0"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b. Studies that address the impact of migration on international students studying in the UK.</w:t>
      </w:r>
    </w:p>
    <w:p w14:paraId="32000275"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 xml:space="preserve">c. Studies that address specific mental health outcomes, </w:t>
      </w:r>
      <w:proofErr w:type="spellStart"/>
      <w:proofErr w:type="gramStart"/>
      <w:r w:rsidRPr="00387A17">
        <w:rPr>
          <w:rFonts w:ascii="Times New Roman" w:hAnsi="Times New Roman"/>
          <w:szCs w:val="24"/>
        </w:rPr>
        <w:t>e,g</w:t>
      </w:r>
      <w:proofErr w:type="spellEnd"/>
      <w:proofErr w:type="gramEnd"/>
      <w:r w:rsidRPr="00387A17">
        <w:rPr>
          <w:rFonts w:ascii="Times New Roman" w:hAnsi="Times New Roman"/>
          <w:szCs w:val="24"/>
        </w:rPr>
        <w:t>, anxiety, depression, etc.</w:t>
      </w:r>
    </w:p>
    <w:p w14:paraId="456B1261"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d. Studies that were published between January 2000 and 2024 to capture a comprehensive range of evidence on the impact of migration on the mental health of international students in the UK.</w:t>
      </w:r>
    </w:p>
    <w:p w14:paraId="37ACF5D8" w14:textId="77777777" w:rsidR="008F1B4E" w:rsidRPr="00387A17" w:rsidRDefault="008F1B4E" w:rsidP="008F1B4E">
      <w:pPr>
        <w:spacing w:before="100" w:beforeAutospacing="1" w:after="100" w:afterAutospacing="1"/>
        <w:jc w:val="both"/>
        <w:rPr>
          <w:rFonts w:ascii="Times New Roman" w:hAnsi="Times New Roman"/>
          <w:b/>
          <w:bCs/>
          <w:szCs w:val="24"/>
        </w:rPr>
      </w:pPr>
    </w:p>
    <w:p w14:paraId="01603ACF"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Exclusion Criteria</w:t>
      </w:r>
    </w:p>
    <w:p w14:paraId="63BCDAC8"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a. Studies Focusing on Populations Other Than International Students</w:t>
      </w:r>
    </w:p>
    <w:p w14:paraId="5F2224B7"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b. Research Not Addressing Mental Health Outcomes</w:t>
      </w:r>
    </w:p>
    <w:p w14:paraId="3BE761AA"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c. Non-Peer-Reviewed Literature (e.g., Opinion Pieces, Letters, Editorials)</w:t>
      </w:r>
    </w:p>
    <w:p w14:paraId="369A80CA"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d. Experimental studies: Randomised controlled trials (RCTs), case reports, opinion pieces, editorial reviews, and theoretical papers will not be included. T</w:t>
      </w:r>
    </w:p>
    <w:p w14:paraId="604B8A8A"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szCs w:val="24"/>
        </w:rPr>
        <w:t>e. Language of Publication</w:t>
      </w:r>
    </w:p>
    <w:p w14:paraId="4D0EC313" w14:textId="77777777" w:rsidR="008F1B4E" w:rsidRPr="00387A17" w:rsidRDefault="008F1B4E" w:rsidP="008F1B4E">
      <w:pPr>
        <w:spacing w:before="100" w:beforeAutospacing="1" w:after="100" w:afterAutospacing="1"/>
        <w:jc w:val="both"/>
        <w:rPr>
          <w:rFonts w:ascii="Times New Roman" w:hAnsi="Times New Roman"/>
          <w:b/>
          <w:bCs/>
          <w:szCs w:val="24"/>
        </w:rPr>
      </w:pPr>
    </w:p>
    <w:p w14:paraId="4A5E7BCE"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Search Strategy</w:t>
      </w:r>
    </w:p>
    <w:p w14:paraId="25C067C0" w14:textId="1800E47B" w:rsidR="008F1B4E" w:rsidRPr="00387A17" w:rsidRDefault="008F1B4E" w:rsidP="008F1B4E">
      <w:pPr>
        <w:spacing w:line="360" w:lineRule="auto"/>
        <w:jc w:val="both"/>
        <w:rPr>
          <w:rFonts w:ascii="Times New Roman" w:hAnsi="Times New Roman"/>
          <w:szCs w:val="24"/>
        </w:rPr>
      </w:pPr>
      <w:r w:rsidRPr="00387A17">
        <w:rPr>
          <w:rFonts w:ascii="Times New Roman" w:hAnsi="Times New Roman"/>
          <w:color w:val="000000" w:themeColor="text1"/>
          <w:szCs w:val="24"/>
        </w:rPr>
        <w:t xml:space="preserve">Eleven Databases were searched using keywords, and each search term and subject heading were developed for databases used in this study (Table </w:t>
      </w:r>
      <w:r w:rsidR="006F3968">
        <w:rPr>
          <w:rFonts w:ascii="Times New Roman" w:hAnsi="Times New Roman"/>
          <w:color w:val="000000" w:themeColor="text1"/>
          <w:szCs w:val="24"/>
        </w:rPr>
        <w:t>3</w:t>
      </w:r>
      <w:r w:rsidRPr="00387A17">
        <w:rPr>
          <w:rFonts w:ascii="Times New Roman" w:hAnsi="Times New Roman"/>
          <w:color w:val="000000" w:themeColor="text1"/>
          <w:szCs w:val="24"/>
        </w:rPr>
        <w:t xml:space="preserve">). </w:t>
      </w:r>
      <w:bookmarkStart w:id="0" w:name="OLE_LINK2"/>
      <w:r w:rsidRPr="00387A17">
        <w:rPr>
          <w:rFonts w:ascii="Times New Roman" w:hAnsi="Times New Roman"/>
          <w:color w:val="000000" w:themeColor="text1"/>
          <w:szCs w:val="24"/>
        </w:rPr>
        <w:t xml:space="preserve">Databases related to research in psychology were also included in the search strategy because mental health outcomes (depression, anxiety, sadness, suicidal ideation and PTSD) are related to psychology </w:t>
      </w:r>
      <w:bookmarkEnd w:id="0"/>
      <w:r w:rsidRPr="00387A17">
        <w:rPr>
          <w:rFonts w:ascii="Times New Roman" w:hAnsi="Times New Roman"/>
          <w:color w:val="000000" w:themeColor="text1"/>
          <w:szCs w:val="24"/>
        </w:rPr>
        <w:t>(</w:t>
      </w:r>
      <w:r w:rsidRPr="00387A17">
        <w:rPr>
          <w:rFonts w:ascii="Times New Roman" w:hAnsi="Times New Roman"/>
          <w:szCs w:val="24"/>
        </w:rPr>
        <w:t>Behrend, 2019</w:t>
      </w:r>
      <w:r w:rsidRPr="00387A17">
        <w:rPr>
          <w:rFonts w:ascii="Times New Roman" w:hAnsi="Times New Roman"/>
          <w:color w:val="000000" w:themeColor="text1"/>
          <w:szCs w:val="24"/>
        </w:rPr>
        <w:t>)</w:t>
      </w:r>
      <w:r w:rsidR="00A12C29">
        <w:rPr>
          <w:rFonts w:ascii="Times New Roman" w:hAnsi="Times New Roman"/>
          <w:color w:val="000000" w:themeColor="text1"/>
          <w:szCs w:val="24"/>
        </w:rPr>
        <w:t>.</w:t>
      </w:r>
      <w:r w:rsidRPr="00387A17">
        <w:rPr>
          <w:rFonts w:ascii="Times New Roman" w:hAnsi="Times New Roman"/>
          <w:color w:val="000000" w:themeColor="text1"/>
          <w:szCs w:val="24"/>
        </w:rPr>
        <w:t xml:space="preserve"> To guarantee a thorough search, the search was customised for each database. </w:t>
      </w:r>
      <w:r w:rsidRPr="00387A17">
        <w:rPr>
          <w:rFonts w:ascii="Times New Roman" w:hAnsi="Times New Roman"/>
          <w:szCs w:val="24"/>
        </w:rPr>
        <w:t>Medical Subject Headings (</w:t>
      </w:r>
      <w:proofErr w:type="spellStart"/>
      <w:r w:rsidRPr="00387A17">
        <w:rPr>
          <w:rFonts w:ascii="Times New Roman" w:hAnsi="Times New Roman"/>
          <w:szCs w:val="24"/>
        </w:rPr>
        <w:t>MeSH</w:t>
      </w:r>
      <w:proofErr w:type="spellEnd"/>
      <w:r w:rsidRPr="00387A17">
        <w:rPr>
          <w:rFonts w:ascii="Times New Roman" w:hAnsi="Times New Roman"/>
          <w:szCs w:val="24"/>
        </w:rPr>
        <w:t xml:space="preserve">), free text terms, and the EBSCO host platform were combined with a customised search technique to perform an electronic search. </w:t>
      </w:r>
    </w:p>
    <w:p w14:paraId="61590963" w14:textId="77777777" w:rsidR="008F1B4E" w:rsidRPr="00387A17" w:rsidRDefault="008F1B4E" w:rsidP="008F1B4E">
      <w:pPr>
        <w:spacing w:line="360" w:lineRule="auto"/>
        <w:jc w:val="both"/>
        <w:rPr>
          <w:rFonts w:ascii="Times New Roman" w:hAnsi="Times New Roman"/>
          <w:szCs w:val="24"/>
        </w:rPr>
      </w:pPr>
    </w:p>
    <w:p w14:paraId="2FCA1699" w14:textId="77777777" w:rsidR="008F1B4E" w:rsidRPr="00387A17" w:rsidRDefault="008F1B4E" w:rsidP="008F1B4E">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 xml:space="preserve">To identify relevant literature, the search strategy used a combination of keywords and Boolean operators. The keywords included "international students", “foreign students”, “overseas </w:t>
      </w:r>
      <w:r w:rsidRPr="00387A17">
        <w:rPr>
          <w:rFonts w:ascii="Times New Roman" w:hAnsi="Times New Roman"/>
          <w:bCs/>
          <w:szCs w:val="24"/>
        </w:rPr>
        <w:lastRenderedPageBreak/>
        <w:t>students”, “students from abroad”, "migration," "immigration," “emigration” "mental health," " mental health issues", and "mental health problems", "mental health disorders". The search was limited to articles published in the last twenty-four (24) years to ensure that the literature reviewed is current and adequate for the review.</w:t>
      </w:r>
    </w:p>
    <w:p w14:paraId="66E0654E" w14:textId="1A9B2744" w:rsidR="008F1B4E" w:rsidRPr="00A23273" w:rsidRDefault="008F1B4E" w:rsidP="00A23273">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For each database searched, the same search query was used for transparency and reproducibility. The combination includes the following: ("International Students" OR "foreign students" OR "overseas students" OR "students from abroad") AND ("Migration" OR "immigration" OR "emigration") AND ("Mental Health" OR "mental health issues" OR "mental health problems" OR "mental health disorders") AND ("United Kingdom" OR "UK" OR "Britain" OR "England"). All the search was conducted in November 2024, with filters applied for the year range (2000–2024), and language (English).</w:t>
      </w:r>
    </w:p>
    <w:p w14:paraId="499B3F12"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b/>
          <w:bCs/>
          <w:szCs w:val="24"/>
        </w:rPr>
        <w:t>Quality Assessment of Studies</w:t>
      </w:r>
    </w:p>
    <w:p w14:paraId="63CF784B" w14:textId="2A407A9F"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In this study, the Joanna Briggs Institute (JBI) was used to do a quality assessment for the review to ensure the trustworthiness, credibility, and relevance of the included studies</w:t>
      </w:r>
      <w:r w:rsidR="00B45E1E">
        <w:rPr>
          <w:rFonts w:ascii="Times New Roman" w:hAnsi="Times New Roman"/>
          <w:szCs w:val="24"/>
        </w:rPr>
        <w:t xml:space="preserve"> (</w:t>
      </w:r>
      <w:proofErr w:type="spellStart"/>
      <w:r w:rsidR="00B45E1E">
        <w:rPr>
          <w:rFonts w:ascii="Times New Roman" w:hAnsi="Times New Roman"/>
          <w:szCs w:val="24"/>
        </w:rPr>
        <w:t>Shoge</w:t>
      </w:r>
      <w:proofErr w:type="spellEnd"/>
      <w:r w:rsidR="00B45E1E">
        <w:rPr>
          <w:rFonts w:ascii="Times New Roman" w:hAnsi="Times New Roman"/>
          <w:szCs w:val="24"/>
        </w:rPr>
        <w:t xml:space="preserve"> et al</w:t>
      </w:r>
      <w:r w:rsidRPr="00387A17">
        <w:rPr>
          <w:rFonts w:ascii="Times New Roman" w:hAnsi="Times New Roman"/>
          <w:szCs w:val="24"/>
        </w:rPr>
        <w:t>.</w:t>
      </w:r>
      <w:r w:rsidR="00B45E1E">
        <w:rPr>
          <w:rFonts w:ascii="Times New Roman" w:hAnsi="Times New Roman"/>
          <w:szCs w:val="24"/>
        </w:rPr>
        <w:t>, 2021).</w:t>
      </w:r>
      <w:r w:rsidRPr="00387A17">
        <w:rPr>
          <w:rFonts w:ascii="Times New Roman" w:hAnsi="Times New Roman"/>
          <w:szCs w:val="24"/>
        </w:rPr>
        <w:t xml:space="preserve"> </w:t>
      </w:r>
    </w:p>
    <w:p w14:paraId="2946BE86" w14:textId="1ADB475E"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Each included study was evaluated using the appraisal domains and criteria; the criterion can be rated as "Yes", "No", "Unclear", or "Not Applicable". Studies with a JBI score higher than 70% were classified as having high quality, those with a score between 50% and 70% as having medium quality, and those with a score less than 50% as having low quality (Nowell et al., 2017). Table </w:t>
      </w:r>
      <w:r w:rsidR="00EA2FC8">
        <w:rPr>
          <w:rFonts w:ascii="Times New Roman" w:hAnsi="Times New Roman"/>
          <w:szCs w:val="24"/>
        </w:rPr>
        <w:t>2</w:t>
      </w:r>
      <w:r w:rsidRPr="00387A17">
        <w:rPr>
          <w:rFonts w:ascii="Times New Roman" w:hAnsi="Times New Roman"/>
          <w:szCs w:val="24"/>
        </w:rPr>
        <w:t xml:space="preserve">below shows the domain and criteria used to assess the quality of each study using the JBI tool: </w:t>
      </w:r>
    </w:p>
    <w:tbl>
      <w:tblPr>
        <w:tblStyle w:val="TableGrid"/>
        <w:tblW w:w="0" w:type="auto"/>
        <w:tblLook w:val="04A0" w:firstRow="1" w:lastRow="0" w:firstColumn="1" w:lastColumn="0" w:noHBand="0" w:noVBand="1"/>
      </w:tblPr>
      <w:tblGrid>
        <w:gridCol w:w="4508"/>
        <w:gridCol w:w="4508"/>
      </w:tblGrid>
      <w:tr w:rsidR="008F1B4E" w:rsidRPr="00387A17" w14:paraId="5BE260CC" w14:textId="77777777" w:rsidTr="00713664">
        <w:tc>
          <w:tcPr>
            <w:tcW w:w="4508" w:type="dxa"/>
          </w:tcPr>
          <w:p w14:paraId="1A07D607"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Domain</w:t>
            </w:r>
            <w:r w:rsidRPr="00387A17">
              <w:rPr>
                <w:rFonts w:ascii="Times New Roman" w:hAnsi="Times New Roman"/>
                <w:b/>
                <w:bCs/>
                <w:sz w:val="24"/>
                <w:szCs w:val="24"/>
              </w:rPr>
              <w:tab/>
            </w:r>
          </w:p>
        </w:tc>
        <w:tc>
          <w:tcPr>
            <w:tcW w:w="4508" w:type="dxa"/>
          </w:tcPr>
          <w:p w14:paraId="39AA78A0"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Criteria</w:t>
            </w:r>
          </w:p>
        </w:tc>
      </w:tr>
      <w:tr w:rsidR="008F1B4E" w:rsidRPr="00387A17" w14:paraId="2B1CA137" w14:textId="77777777" w:rsidTr="00713664">
        <w:tc>
          <w:tcPr>
            <w:tcW w:w="4508" w:type="dxa"/>
          </w:tcPr>
          <w:p w14:paraId="16A867A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philosophical perspective</w:t>
            </w:r>
          </w:p>
        </w:tc>
        <w:tc>
          <w:tcPr>
            <w:tcW w:w="4508" w:type="dxa"/>
          </w:tcPr>
          <w:p w14:paraId="559E0B19"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align its methodology with its underlying philosophical stance?</w:t>
            </w:r>
          </w:p>
        </w:tc>
      </w:tr>
      <w:tr w:rsidR="008F1B4E" w:rsidRPr="00387A17" w14:paraId="64E76C5A" w14:textId="77777777" w:rsidTr="00713664">
        <w:tc>
          <w:tcPr>
            <w:tcW w:w="4508" w:type="dxa"/>
          </w:tcPr>
          <w:p w14:paraId="04617A6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research objectives</w:t>
            </w:r>
          </w:p>
        </w:tc>
        <w:tc>
          <w:tcPr>
            <w:tcW w:w="4508" w:type="dxa"/>
          </w:tcPr>
          <w:p w14:paraId="2AA05B9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objectives appropriate and clearly addressed using the chosen methodology?</w:t>
            </w:r>
          </w:p>
        </w:tc>
      </w:tr>
      <w:tr w:rsidR="008F1B4E" w:rsidRPr="00387A17" w14:paraId="38B6B172" w14:textId="77777777" w:rsidTr="00713664">
        <w:tc>
          <w:tcPr>
            <w:tcW w:w="4508" w:type="dxa"/>
          </w:tcPr>
          <w:p w14:paraId="1D349C21"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methodology and data collection methods</w:t>
            </w:r>
          </w:p>
        </w:tc>
        <w:tc>
          <w:tcPr>
            <w:tcW w:w="4508" w:type="dxa"/>
          </w:tcPr>
          <w:p w14:paraId="065652E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data collection techniques consistent with the qualitative approach?</w:t>
            </w:r>
          </w:p>
        </w:tc>
      </w:tr>
      <w:tr w:rsidR="008F1B4E" w:rsidRPr="00387A17" w14:paraId="17E3ADDD" w14:textId="77777777" w:rsidTr="00713664">
        <w:tc>
          <w:tcPr>
            <w:tcW w:w="4508" w:type="dxa"/>
          </w:tcPr>
          <w:p w14:paraId="53C23A3B"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lastRenderedPageBreak/>
              <w:t>Representation of the voices of participants</w:t>
            </w:r>
          </w:p>
        </w:tc>
        <w:tc>
          <w:tcPr>
            <w:tcW w:w="4508" w:type="dxa"/>
          </w:tcPr>
          <w:p w14:paraId="5D40BEC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participants’ perspectives authentically represented, and does the study provide adequate quotes or examples?</w:t>
            </w:r>
          </w:p>
        </w:tc>
      </w:tr>
      <w:tr w:rsidR="008F1B4E" w:rsidRPr="00387A17" w14:paraId="5ED26AB4" w14:textId="77777777" w:rsidTr="00713664">
        <w:tc>
          <w:tcPr>
            <w:tcW w:w="4508" w:type="dxa"/>
          </w:tcPr>
          <w:p w14:paraId="1491BB6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Researcher's cultural or theoretical positioning</w:t>
            </w:r>
          </w:p>
        </w:tc>
        <w:tc>
          <w:tcPr>
            <w:tcW w:w="4508" w:type="dxa"/>
          </w:tcPr>
          <w:p w14:paraId="35CEEFC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reflect on the researcher’s influence or bias in the data collection and analysis?</w:t>
            </w:r>
          </w:p>
        </w:tc>
      </w:tr>
      <w:tr w:rsidR="008F1B4E" w:rsidRPr="00387A17" w14:paraId="3DD644C3" w14:textId="77777777" w:rsidTr="00713664">
        <w:tc>
          <w:tcPr>
            <w:tcW w:w="4508" w:type="dxa"/>
          </w:tcPr>
          <w:p w14:paraId="4954766C"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Ethical considerations</w:t>
            </w:r>
          </w:p>
        </w:tc>
        <w:tc>
          <w:tcPr>
            <w:tcW w:w="4508" w:type="dxa"/>
          </w:tcPr>
          <w:p w14:paraId="484FF0D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Were ethical standards adhered to?</w:t>
            </w:r>
          </w:p>
        </w:tc>
      </w:tr>
      <w:tr w:rsidR="008F1B4E" w:rsidRPr="00387A17" w14:paraId="6115F82D" w14:textId="77777777" w:rsidTr="00713664">
        <w:tc>
          <w:tcPr>
            <w:tcW w:w="4508" w:type="dxa"/>
          </w:tcPr>
          <w:p w14:paraId="6018C79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Data analysis congruity</w:t>
            </w:r>
          </w:p>
        </w:tc>
        <w:tc>
          <w:tcPr>
            <w:tcW w:w="4508" w:type="dxa"/>
          </w:tcPr>
          <w:p w14:paraId="31AD5155"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methods of data analysis consistent with qualitative principles?</w:t>
            </w:r>
          </w:p>
        </w:tc>
      </w:tr>
      <w:tr w:rsidR="008F1B4E" w:rsidRPr="00387A17" w14:paraId="2342CEF8" w14:textId="77777777" w:rsidTr="00713664">
        <w:tc>
          <w:tcPr>
            <w:tcW w:w="4508" w:type="dxa"/>
          </w:tcPr>
          <w:p w14:paraId="22DECF6F"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Interpretation of findings</w:t>
            </w:r>
          </w:p>
        </w:tc>
        <w:tc>
          <w:tcPr>
            <w:tcW w:w="4508" w:type="dxa"/>
          </w:tcPr>
          <w:p w14:paraId="58C89D2E"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findings substantiated by the data and adequately address the research question?</w:t>
            </w:r>
          </w:p>
        </w:tc>
      </w:tr>
      <w:tr w:rsidR="008F1B4E" w:rsidRPr="00387A17" w14:paraId="0E1B4D6E" w14:textId="77777777" w:rsidTr="00713664">
        <w:tc>
          <w:tcPr>
            <w:tcW w:w="4508" w:type="dxa"/>
          </w:tcPr>
          <w:p w14:paraId="550AD11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Use of a credible and rigorous methodology</w:t>
            </w:r>
          </w:p>
        </w:tc>
        <w:tc>
          <w:tcPr>
            <w:tcW w:w="4508" w:type="dxa"/>
          </w:tcPr>
          <w:p w14:paraId="1B0446C2"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Is there evidence of data saturation, audit trails, or triangulation to ensure trustworthiness?</w:t>
            </w:r>
          </w:p>
        </w:tc>
      </w:tr>
      <w:tr w:rsidR="008F1B4E" w:rsidRPr="00387A17" w14:paraId="00C2644F" w14:textId="77777777" w:rsidTr="00713664">
        <w:tc>
          <w:tcPr>
            <w:tcW w:w="4508" w:type="dxa"/>
          </w:tcPr>
          <w:p w14:paraId="48763D5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Overall relevance and conclusions</w:t>
            </w:r>
          </w:p>
        </w:tc>
        <w:tc>
          <w:tcPr>
            <w:tcW w:w="4508" w:type="dxa"/>
          </w:tcPr>
          <w:p w14:paraId="7B1C1E4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conclusions aligned with the findings and implications clearly stated?</w:t>
            </w:r>
          </w:p>
        </w:tc>
      </w:tr>
    </w:tbl>
    <w:p w14:paraId="3C8EEE5C" w14:textId="77777777" w:rsidR="008F1B4E" w:rsidRPr="00387A17" w:rsidRDefault="008F1B4E" w:rsidP="008F1B4E">
      <w:pPr>
        <w:spacing w:line="360" w:lineRule="auto"/>
        <w:jc w:val="both"/>
        <w:rPr>
          <w:rFonts w:ascii="Times New Roman" w:hAnsi="Times New Roman"/>
          <w:b/>
          <w:bCs/>
          <w:szCs w:val="24"/>
        </w:rPr>
      </w:pPr>
    </w:p>
    <w:p w14:paraId="525B1A16" w14:textId="6459527F"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w:t>
      </w:r>
      <w:r w:rsidR="00EA2FC8">
        <w:rPr>
          <w:rFonts w:ascii="Times New Roman" w:hAnsi="Times New Roman"/>
          <w:b/>
          <w:bCs/>
          <w:szCs w:val="24"/>
        </w:rPr>
        <w:t>2</w:t>
      </w:r>
      <w:r w:rsidRPr="00387A17">
        <w:rPr>
          <w:rFonts w:ascii="Times New Roman" w:hAnsi="Times New Roman"/>
          <w:b/>
          <w:bCs/>
          <w:szCs w:val="24"/>
        </w:rPr>
        <w:t>:</w:t>
      </w:r>
      <w:r w:rsidRPr="00387A17">
        <w:rPr>
          <w:rFonts w:ascii="Times New Roman" w:hAnsi="Times New Roman"/>
          <w:szCs w:val="24"/>
        </w:rPr>
        <w:t xml:space="preserve"> JBI Appraisal Domains and Criteria</w:t>
      </w:r>
    </w:p>
    <w:p w14:paraId="0C049B0E" w14:textId="77777777" w:rsidR="008F1B4E" w:rsidRPr="00387A17" w:rsidRDefault="008F1B4E" w:rsidP="008F1B4E">
      <w:pPr>
        <w:spacing w:line="360" w:lineRule="auto"/>
        <w:jc w:val="both"/>
        <w:rPr>
          <w:rFonts w:ascii="Times New Roman" w:hAnsi="Times New Roman"/>
          <w:szCs w:val="24"/>
        </w:rPr>
      </w:pPr>
    </w:p>
    <w:p w14:paraId="27BD327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Analysis of Included Studies</w:t>
      </w:r>
    </w:p>
    <w:p w14:paraId="2046CD6A" w14:textId="5A9B8E82"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A thematic analysis was conducted by reading each included study in-depth to understand its findings, context, and nuances as related to the mental health impacts of migration on international students</w:t>
      </w:r>
      <w:r w:rsidR="006576C2">
        <w:rPr>
          <w:rFonts w:ascii="Times New Roman" w:hAnsi="Times New Roman"/>
          <w:szCs w:val="24"/>
        </w:rPr>
        <w:t xml:space="preserve"> (Soori et al., 2025)</w:t>
      </w:r>
      <w:r w:rsidRPr="00387A17">
        <w:rPr>
          <w:rFonts w:ascii="Times New Roman" w:hAnsi="Times New Roman"/>
          <w:szCs w:val="24"/>
        </w:rPr>
        <w:t>. Any recurring patterns, terms, or concepts across studies were noted for later categorisation. Significant segments of data were labelled and these codes were reviewed and grouped into broader, overarching themes into meaningful categories, highlighting shared experiences across studies</w:t>
      </w:r>
      <w:r w:rsidR="006576C2">
        <w:rPr>
          <w:rFonts w:ascii="Times New Roman" w:hAnsi="Times New Roman"/>
          <w:szCs w:val="24"/>
        </w:rPr>
        <w:t xml:space="preserve"> (Soori et al., 2025)</w:t>
      </w:r>
      <w:r w:rsidRPr="00387A17">
        <w:rPr>
          <w:rFonts w:ascii="Times New Roman" w:hAnsi="Times New Roman"/>
          <w:szCs w:val="24"/>
        </w:rPr>
        <w:t xml:space="preserve">. Each theme was examined to ensure it accurately represents the data and aligns with the research question. Clear definitions were developed for each theme to clarify its meaning and scope; this stage also included creating sub-themes, and lastly, a narrative synthesis was written to present the themes. This systematic approach to thematic analysis ensures a rigorous, detailed synthesis of qualitative findings (Francke et al., 2019), helping to clarify the mental health impacts of migration on international students in the UK. </w:t>
      </w:r>
    </w:p>
    <w:p w14:paraId="5743137A" w14:textId="77777777" w:rsidR="008F1B4E" w:rsidRPr="00387A17" w:rsidRDefault="008F1B4E" w:rsidP="008F1B4E">
      <w:pPr>
        <w:rPr>
          <w:rFonts w:ascii="Times New Roman" w:hAnsi="Times New Roman"/>
          <w:b/>
          <w:bCs/>
          <w:szCs w:val="24"/>
        </w:rPr>
      </w:pPr>
      <w:r w:rsidRPr="00387A17">
        <w:rPr>
          <w:rFonts w:ascii="Times New Roman" w:hAnsi="Times New Roman"/>
          <w:szCs w:val="24"/>
        </w:rPr>
        <w:br w:type="page"/>
      </w:r>
      <w:r w:rsidRPr="00387A17">
        <w:rPr>
          <w:rFonts w:ascii="Times New Roman" w:hAnsi="Times New Roman"/>
          <w:b/>
          <w:bCs/>
          <w:szCs w:val="24"/>
        </w:rPr>
        <w:lastRenderedPageBreak/>
        <w:t xml:space="preserve"> </w:t>
      </w:r>
    </w:p>
    <w:p w14:paraId="4E102E2C" w14:textId="1CB6EE71" w:rsidR="008F1B4E" w:rsidRPr="006576C2"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Results </w:t>
      </w:r>
    </w:p>
    <w:p w14:paraId="5DC832B0" w14:textId="32E55B04"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This section compiles results from all stages of the systematic review process, encompassing structured search, selection process, quality assessment, data extraction, and data synthesis, all presented in tabular form along with their respective descriptions. The database search results, which include the search date, the number of results retrieved, the number of articles excluded due to irrelevancy, the number of duplicate articles, and the number of articles to be reviewed, are presented in Table </w:t>
      </w:r>
      <w:r w:rsidR="006F3968">
        <w:rPr>
          <w:rFonts w:ascii="Times New Roman" w:hAnsi="Times New Roman"/>
          <w:szCs w:val="24"/>
        </w:rPr>
        <w:t>3</w:t>
      </w:r>
      <w:r w:rsidRPr="00387A17">
        <w:rPr>
          <w:rFonts w:ascii="Times New Roman" w:hAnsi="Times New Roman"/>
          <w:szCs w:val="24"/>
        </w:rPr>
        <w:t xml:space="preserve"> below.</w:t>
      </w:r>
    </w:p>
    <w:p w14:paraId="644D6892" w14:textId="77777777" w:rsidR="008F1B4E" w:rsidRPr="00387A17" w:rsidRDefault="008F1B4E" w:rsidP="008F1B4E">
      <w:pPr>
        <w:spacing w:line="360" w:lineRule="auto"/>
        <w:jc w:val="both"/>
        <w:rPr>
          <w:rFonts w:ascii="Times New Roman" w:hAnsi="Times New Roman"/>
          <w:b/>
          <w:bCs/>
          <w:szCs w:val="24"/>
        </w:rPr>
      </w:pPr>
    </w:p>
    <w:p w14:paraId="08B192B1" w14:textId="1D5608A9"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Table </w:t>
      </w:r>
      <w:r w:rsidR="006F3968">
        <w:rPr>
          <w:rFonts w:ascii="Times New Roman" w:hAnsi="Times New Roman"/>
          <w:b/>
          <w:bCs/>
          <w:szCs w:val="24"/>
        </w:rPr>
        <w:t>3</w:t>
      </w:r>
      <w:r w:rsidRPr="00387A17">
        <w:rPr>
          <w:rFonts w:ascii="Times New Roman" w:hAnsi="Times New Roman"/>
          <w:b/>
          <w:bCs/>
          <w:szCs w:val="24"/>
        </w:rPr>
        <w:t xml:space="preserve">: </w:t>
      </w:r>
      <w:r w:rsidRPr="00387A17">
        <w:rPr>
          <w:rFonts w:ascii="Times New Roman" w:hAnsi="Times New Roman"/>
          <w:szCs w:val="24"/>
        </w:rPr>
        <w:t>Results of the Systematic Search</w:t>
      </w:r>
    </w:p>
    <w:tbl>
      <w:tblPr>
        <w:tblStyle w:val="GridTable1Light-Accent1"/>
        <w:tblW w:w="9209" w:type="dxa"/>
        <w:tblLook w:val="04A0" w:firstRow="1" w:lastRow="0" w:firstColumn="1" w:lastColumn="0" w:noHBand="0" w:noVBand="1"/>
      </w:tblPr>
      <w:tblGrid>
        <w:gridCol w:w="1523"/>
        <w:gridCol w:w="1495"/>
        <w:gridCol w:w="1499"/>
        <w:gridCol w:w="1501"/>
        <w:gridCol w:w="1499"/>
        <w:gridCol w:w="1692"/>
      </w:tblGrid>
      <w:tr w:rsidR="008F1B4E" w:rsidRPr="00387A17" w14:paraId="2F4EEE04"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F55482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Name of database searched</w:t>
            </w:r>
          </w:p>
        </w:tc>
        <w:tc>
          <w:tcPr>
            <w:tcW w:w="1495" w:type="dxa"/>
          </w:tcPr>
          <w:p w14:paraId="25BCB37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Search date</w:t>
            </w:r>
          </w:p>
        </w:tc>
        <w:tc>
          <w:tcPr>
            <w:tcW w:w="1499" w:type="dxa"/>
          </w:tcPr>
          <w:p w14:paraId="533DACC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results retrieved</w:t>
            </w:r>
          </w:p>
        </w:tc>
        <w:tc>
          <w:tcPr>
            <w:tcW w:w="1501" w:type="dxa"/>
          </w:tcPr>
          <w:p w14:paraId="001A324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Number articles excluded </w:t>
            </w:r>
          </w:p>
        </w:tc>
        <w:tc>
          <w:tcPr>
            <w:tcW w:w="1499" w:type="dxa"/>
          </w:tcPr>
          <w:p w14:paraId="0806809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duplicate articles</w:t>
            </w:r>
          </w:p>
        </w:tc>
        <w:tc>
          <w:tcPr>
            <w:tcW w:w="1692" w:type="dxa"/>
          </w:tcPr>
          <w:p w14:paraId="7C7F00C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articles to be reviewed</w:t>
            </w:r>
          </w:p>
        </w:tc>
      </w:tr>
      <w:tr w:rsidR="008F1B4E" w:rsidRPr="00387A17" w14:paraId="5D8AD893"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20DDE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 xml:space="preserve">APA </w:t>
            </w:r>
            <w:proofErr w:type="spellStart"/>
            <w:r w:rsidRPr="00387A17">
              <w:rPr>
                <w:rFonts w:ascii="Times New Roman" w:hAnsi="Times New Roman"/>
                <w:b w:val="0"/>
                <w:bCs w:val="0"/>
                <w:szCs w:val="24"/>
              </w:rPr>
              <w:t>PsycArticles</w:t>
            </w:r>
            <w:proofErr w:type="spellEnd"/>
          </w:p>
        </w:tc>
        <w:tc>
          <w:tcPr>
            <w:tcW w:w="1495" w:type="dxa"/>
          </w:tcPr>
          <w:p w14:paraId="691DC6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4/11/2024</w:t>
            </w:r>
          </w:p>
        </w:tc>
        <w:tc>
          <w:tcPr>
            <w:tcW w:w="1499" w:type="dxa"/>
          </w:tcPr>
          <w:p w14:paraId="3656878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5 </w:t>
            </w:r>
          </w:p>
        </w:tc>
        <w:tc>
          <w:tcPr>
            <w:tcW w:w="1501" w:type="dxa"/>
          </w:tcPr>
          <w:p w14:paraId="30995BD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499" w:type="dxa"/>
          </w:tcPr>
          <w:p w14:paraId="0666451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1C755D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r>
      <w:tr w:rsidR="008F1B4E" w:rsidRPr="00387A17" w14:paraId="7F9867F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32A376E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ASSIA</w:t>
            </w:r>
          </w:p>
        </w:tc>
        <w:tc>
          <w:tcPr>
            <w:tcW w:w="1495" w:type="dxa"/>
          </w:tcPr>
          <w:p w14:paraId="4415BD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7/11/2024</w:t>
            </w:r>
          </w:p>
        </w:tc>
        <w:tc>
          <w:tcPr>
            <w:tcW w:w="1499" w:type="dxa"/>
          </w:tcPr>
          <w:p w14:paraId="1126314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175 </w:t>
            </w:r>
          </w:p>
        </w:tc>
        <w:tc>
          <w:tcPr>
            <w:tcW w:w="1501" w:type="dxa"/>
          </w:tcPr>
          <w:p w14:paraId="013C7A1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148</w:t>
            </w:r>
          </w:p>
        </w:tc>
        <w:tc>
          <w:tcPr>
            <w:tcW w:w="1499" w:type="dxa"/>
          </w:tcPr>
          <w:p w14:paraId="0825427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13</w:t>
            </w:r>
          </w:p>
        </w:tc>
        <w:tc>
          <w:tcPr>
            <w:tcW w:w="1692" w:type="dxa"/>
          </w:tcPr>
          <w:p w14:paraId="18729A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w:t>
            </w:r>
          </w:p>
        </w:tc>
      </w:tr>
      <w:tr w:rsidR="008F1B4E" w:rsidRPr="00387A17" w14:paraId="2269EADA"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4D95B3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APA PsycINFO</w:t>
            </w:r>
          </w:p>
        </w:tc>
        <w:tc>
          <w:tcPr>
            <w:tcW w:w="1495" w:type="dxa"/>
          </w:tcPr>
          <w:p w14:paraId="718C2A9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8/11/2024</w:t>
            </w:r>
          </w:p>
        </w:tc>
        <w:tc>
          <w:tcPr>
            <w:tcW w:w="1499" w:type="dxa"/>
          </w:tcPr>
          <w:p w14:paraId="294B8B4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 xml:space="preserve">68 </w:t>
            </w:r>
          </w:p>
          <w:p w14:paraId="522AC5C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4DF2833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55</w:t>
            </w:r>
          </w:p>
        </w:tc>
        <w:tc>
          <w:tcPr>
            <w:tcW w:w="1499" w:type="dxa"/>
          </w:tcPr>
          <w:p w14:paraId="6B9FBA1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69B3665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w:t>
            </w:r>
          </w:p>
        </w:tc>
      </w:tr>
      <w:tr w:rsidR="008F1B4E" w:rsidRPr="00387A17" w14:paraId="58631F1D"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54637F77"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CINAHL</w:t>
            </w:r>
          </w:p>
        </w:tc>
        <w:tc>
          <w:tcPr>
            <w:tcW w:w="1495" w:type="dxa"/>
          </w:tcPr>
          <w:p w14:paraId="081DE30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7D9A70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13</w:t>
            </w:r>
          </w:p>
          <w:p w14:paraId="28ED424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311533D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499" w:type="dxa"/>
          </w:tcPr>
          <w:p w14:paraId="15730E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7A06226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w:t>
            </w:r>
          </w:p>
        </w:tc>
      </w:tr>
      <w:tr w:rsidR="008F1B4E" w:rsidRPr="00387A17" w14:paraId="76E5105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6DAD76DF"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MEDLINE</w:t>
            </w:r>
          </w:p>
        </w:tc>
        <w:tc>
          <w:tcPr>
            <w:tcW w:w="1495" w:type="dxa"/>
          </w:tcPr>
          <w:p w14:paraId="32B632F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12CDDB3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17</w:t>
            </w:r>
          </w:p>
        </w:tc>
        <w:tc>
          <w:tcPr>
            <w:tcW w:w="1501" w:type="dxa"/>
          </w:tcPr>
          <w:p w14:paraId="7E5F8A4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499" w:type="dxa"/>
          </w:tcPr>
          <w:p w14:paraId="3248693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1EF9F97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6</w:t>
            </w:r>
          </w:p>
        </w:tc>
      </w:tr>
      <w:tr w:rsidR="008F1B4E" w:rsidRPr="00387A17" w14:paraId="313FBE56"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4CAFE07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PubMed</w:t>
            </w:r>
          </w:p>
        </w:tc>
        <w:tc>
          <w:tcPr>
            <w:tcW w:w="1495" w:type="dxa"/>
          </w:tcPr>
          <w:p w14:paraId="12425A5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11/11/2024</w:t>
            </w:r>
          </w:p>
        </w:tc>
        <w:tc>
          <w:tcPr>
            <w:tcW w:w="1499" w:type="dxa"/>
          </w:tcPr>
          <w:p w14:paraId="1690AF2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479BFBB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4614EDE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2BF6AC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64276A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575AC73"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Scopus</w:t>
            </w:r>
          </w:p>
        </w:tc>
        <w:tc>
          <w:tcPr>
            <w:tcW w:w="1495" w:type="dxa"/>
          </w:tcPr>
          <w:p w14:paraId="3E65B5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15/11/2024</w:t>
            </w:r>
          </w:p>
        </w:tc>
        <w:tc>
          <w:tcPr>
            <w:tcW w:w="1499" w:type="dxa"/>
          </w:tcPr>
          <w:p w14:paraId="5EEB4E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042AD5C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7A57F46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1B480DB4"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58F192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2ECEAA5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British Nursing Index</w:t>
            </w:r>
          </w:p>
        </w:tc>
        <w:tc>
          <w:tcPr>
            <w:tcW w:w="1495" w:type="dxa"/>
          </w:tcPr>
          <w:p w14:paraId="496A15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18/11/2024</w:t>
            </w:r>
          </w:p>
        </w:tc>
        <w:tc>
          <w:tcPr>
            <w:tcW w:w="1499" w:type="dxa"/>
          </w:tcPr>
          <w:p w14:paraId="05CED6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6B023D9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5001D69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71917DA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387D835"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DC40BB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AMED</w:t>
            </w:r>
          </w:p>
        </w:tc>
        <w:tc>
          <w:tcPr>
            <w:tcW w:w="1495" w:type="dxa"/>
          </w:tcPr>
          <w:p w14:paraId="35012CC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092010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E2BDD9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63E1AF0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64051F1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255B40F"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D7E2AF6"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lastRenderedPageBreak/>
              <w:t>Google Scholar</w:t>
            </w:r>
          </w:p>
        </w:tc>
        <w:tc>
          <w:tcPr>
            <w:tcW w:w="1495" w:type="dxa"/>
          </w:tcPr>
          <w:p w14:paraId="6C432B0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67D6C1E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34DA69D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3A1BB8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547BF43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11B641E0"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CE96C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Web of Science</w:t>
            </w:r>
          </w:p>
        </w:tc>
        <w:tc>
          <w:tcPr>
            <w:tcW w:w="1495" w:type="dxa"/>
          </w:tcPr>
          <w:p w14:paraId="41F46E8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24/11/2024</w:t>
            </w:r>
          </w:p>
        </w:tc>
        <w:tc>
          <w:tcPr>
            <w:tcW w:w="1499" w:type="dxa"/>
          </w:tcPr>
          <w:p w14:paraId="5940E67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9D650A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1DDFEB7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3258BF7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9842BD2"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809FBB4"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Total</w:t>
            </w:r>
          </w:p>
        </w:tc>
        <w:tc>
          <w:tcPr>
            <w:tcW w:w="1495" w:type="dxa"/>
          </w:tcPr>
          <w:p w14:paraId="5209ED4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9" w:type="dxa"/>
          </w:tcPr>
          <w:p w14:paraId="61DF875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278</w:t>
            </w:r>
          </w:p>
        </w:tc>
        <w:tc>
          <w:tcPr>
            <w:tcW w:w="1501" w:type="dxa"/>
          </w:tcPr>
          <w:p w14:paraId="57570AD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222</w:t>
            </w:r>
          </w:p>
        </w:tc>
        <w:tc>
          <w:tcPr>
            <w:tcW w:w="1499" w:type="dxa"/>
          </w:tcPr>
          <w:p w14:paraId="4146A5F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19</w:t>
            </w:r>
          </w:p>
        </w:tc>
        <w:tc>
          <w:tcPr>
            <w:tcW w:w="1692" w:type="dxa"/>
          </w:tcPr>
          <w:p w14:paraId="4E5A4E8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37</w:t>
            </w:r>
          </w:p>
        </w:tc>
      </w:tr>
    </w:tbl>
    <w:p w14:paraId="5E9204C2" w14:textId="77777777" w:rsidR="008F1B4E" w:rsidRPr="00387A17" w:rsidRDefault="008F1B4E" w:rsidP="008F1B4E">
      <w:pPr>
        <w:spacing w:line="360" w:lineRule="auto"/>
        <w:jc w:val="both"/>
        <w:rPr>
          <w:rFonts w:ascii="Times New Roman" w:hAnsi="Times New Roman"/>
          <w:szCs w:val="24"/>
        </w:rPr>
      </w:pPr>
    </w:p>
    <w:p w14:paraId="22CD6EDB" w14:textId="25C8FF79"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Table </w:t>
      </w:r>
      <w:r w:rsidR="006F3968">
        <w:rPr>
          <w:rFonts w:ascii="Times New Roman" w:hAnsi="Times New Roman"/>
          <w:szCs w:val="24"/>
        </w:rPr>
        <w:t>3</w:t>
      </w:r>
      <w:r w:rsidRPr="00387A17">
        <w:rPr>
          <w:rFonts w:ascii="Times New Roman" w:hAnsi="Times New Roman"/>
          <w:szCs w:val="24"/>
        </w:rPr>
        <w:t xml:space="preserve"> presents the results of the systematic search, which shows how the search was carried out using the strategy template in Chapter 3 to find the articles required for the review. The databases and other resources that were searched to find relevant research for this review are also displayed in the table. It also includes the dates that the searches were carried out, the number of hit searches that were found, and the articles that were eliminated because of their irrelevant titles or otherwise duplicated within the database. Electronic searches of selected databases identified 278 studies. Before the screening, 19 records were discarded as duplicates leaving 259 papers for the first screening process.</w:t>
      </w:r>
    </w:p>
    <w:p w14:paraId="3E227C02" w14:textId="77777777" w:rsidR="008F1B4E" w:rsidRPr="00387A17" w:rsidRDefault="008F1B4E" w:rsidP="008F1B4E">
      <w:pPr>
        <w:spacing w:line="360" w:lineRule="auto"/>
        <w:jc w:val="both"/>
        <w:rPr>
          <w:rFonts w:ascii="Times New Roman" w:hAnsi="Times New Roman"/>
          <w:b/>
          <w:bCs/>
          <w:szCs w:val="24"/>
        </w:rPr>
      </w:pPr>
    </w:p>
    <w:p w14:paraId="4BFC3842"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4.1 Results of Included Studies Based on Screening Titles and Abstract and Reading Full-Text Paper</w:t>
      </w:r>
    </w:p>
    <w:p w14:paraId="26072C85" w14:textId="77777777" w:rsidR="008F1B4E" w:rsidRPr="00387A17" w:rsidRDefault="008F1B4E" w:rsidP="008F1B4E">
      <w:pPr>
        <w:spacing w:line="360" w:lineRule="auto"/>
        <w:jc w:val="both"/>
        <w:rPr>
          <w:rFonts w:ascii="Times New Roman" w:hAnsi="Times New Roman"/>
          <w:szCs w:val="24"/>
        </w:rPr>
      </w:pPr>
    </w:p>
    <w:p w14:paraId="7C43BD6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A total of 259 papers were screened for titles and abstracts, with 222 being removed during this stage. Subsequently, 37 papers were screened for full text, and out of these, 33 were excluded during full-text screening: 14 were discarded because they were quantitative surveys, 9 were not based in the UK, 8 did not address mental health and 2 involved studies featuring non-international students. All studies explored different groups of international students from various countries studying in the United Kingdom (UK). Each study was published between 2000 and 2024 (n = 4).</w:t>
      </w:r>
    </w:p>
    <w:p w14:paraId="4DC64FD8" w14:textId="77777777" w:rsidR="008F1B4E" w:rsidRPr="00387A17" w:rsidRDefault="008F1B4E" w:rsidP="008F1B4E">
      <w:pPr>
        <w:spacing w:line="360" w:lineRule="auto"/>
        <w:jc w:val="both"/>
        <w:rPr>
          <w:rFonts w:ascii="Times New Roman" w:hAnsi="Times New Roman"/>
          <w:b/>
          <w:bCs/>
          <w:szCs w:val="24"/>
        </w:rPr>
      </w:pPr>
    </w:p>
    <w:p w14:paraId="4BF1DE1F" w14:textId="5146C48A"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w:t>
      </w:r>
      <w:r w:rsidR="00C4681D">
        <w:rPr>
          <w:rFonts w:ascii="Times New Roman" w:hAnsi="Times New Roman"/>
          <w:b/>
          <w:bCs/>
          <w:szCs w:val="24"/>
        </w:rPr>
        <w:t>4</w:t>
      </w:r>
      <w:r w:rsidRPr="00387A17">
        <w:rPr>
          <w:rFonts w:ascii="Times New Roman" w:hAnsi="Times New Roman"/>
          <w:b/>
          <w:bCs/>
          <w:szCs w:val="24"/>
        </w:rPr>
        <w:t>:</w:t>
      </w:r>
      <w:r w:rsidRPr="00387A17">
        <w:rPr>
          <w:rFonts w:ascii="Times New Roman" w:hAnsi="Times New Roman"/>
          <w:szCs w:val="24"/>
        </w:rPr>
        <w:t xml:space="preserve"> Authors and Year of Publication Included Studies</w:t>
      </w:r>
    </w:p>
    <w:tbl>
      <w:tblPr>
        <w:tblStyle w:val="PlainTable1"/>
        <w:tblW w:w="9209" w:type="dxa"/>
        <w:tblLook w:val="04A0" w:firstRow="1" w:lastRow="0" w:firstColumn="1" w:lastColumn="0" w:noHBand="0" w:noVBand="1"/>
      </w:tblPr>
      <w:tblGrid>
        <w:gridCol w:w="1450"/>
        <w:gridCol w:w="7759"/>
      </w:tblGrid>
      <w:tr w:rsidR="008F1B4E" w:rsidRPr="00387A17" w14:paraId="33626875" w14:textId="77777777" w:rsidTr="00713664">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450" w:type="dxa"/>
          </w:tcPr>
          <w:p w14:paraId="18E31E23"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w:t>
            </w:r>
          </w:p>
        </w:tc>
        <w:tc>
          <w:tcPr>
            <w:tcW w:w="7759" w:type="dxa"/>
          </w:tcPr>
          <w:p w14:paraId="5C07D425"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Author (s) and Year</w:t>
            </w:r>
          </w:p>
        </w:tc>
      </w:tr>
      <w:tr w:rsidR="008F1B4E" w:rsidRPr="00387A17" w14:paraId="3B6A17C7"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4E224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7759" w:type="dxa"/>
          </w:tcPr>
          <w:p w14:paraId="0D84D19C"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color w:val="000000" w:themeColor="text1"/>
                <w:szCs w:val="24"/>
              </w:rPr>
              <w:t>Frampton, N., Smith, J. and Smithies, D., 2022. Understanding student mental health inequalities: International students. Student Minds.</w:t>
            </w:r>
          </w:p>
        </w:tc>
      </w:tr>
      <w:tr w:rsidR="008F1B4E" w:rsidRPr="00387A17" w14:paraId="6E7D8EA6"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701EF96B"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lastRenderedPageBreak/>
              <w:t>Paper 2</w:t>
            </w:r>
          </w:p>
        </w:tc>
        <w:tc>
          <w:tcPr>
            <w:tcW w:w="7759" w:type="dxa"/>
          </w:tcPr>
          <w:p w14:paraId="6F536C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387A17">
              <w:rPr>
                <w:rFonts w:ascii="Times New Roman" w:hAnsi="Times New Roman"/>
                <w:szCs w:val="24"/>
              </w:rPr>
              <w:t xml:space="preserve">Siby, A., Nishanth, A., Joseph, A.M., </w:t>
            </w:r>
            <w:proofErr w:type="spellStart"/>
            <w:r w:rsidRPr="00387A17">
              <w:rPr>
                <w:rFonts w:ascii="Times New Roman" w:hAnsi="Times New Roman"/>
                <w:szCs w:val="24"/>
              </w:rPr>
              <w:t>Parakkattel</w:t>
            </w:r>
            <w:proofErr w:type="spellEnd"/>
            <w:r w:rsidRPr="00387A17">
              <w:rPr>
                <w:rFonts w:ascii="Times New Roman" w:hAnsi="Times New Roman"/>
                <w:szCs w:val="24"/>
              </w:rPr>
              <w:t xml:space="preserve">, C., </w:t>
            </w:r>
            <w:proofErr w:type="spellStart"/>
            <w:r w:rsidRPr="00387A17">
              <w:rPr>
                <w:rFonts w:ascii="Times New Roman" w:hAnsi="Times New Roman"/>
                <w:szCs w:val="24"/>
              </w:rPr>
              <w:t>Noshy</w:t>
            </w:r>
            <w:proofErr w:type="spellEnd"/>
            <w:r w:rsidRPr="00387A17">
              <w:rPr>
                <w:rFonts w:ascii="Times New Roman" w:hAnsi="Times New Roman"/>
                <w:szCs w:val="24"/>
              </w:rPr>
              <w:t xml:space="preserve">, M.R. and Cherian, R., 2021. Impact of student migration from India to United Kingdom. Scripta </w:t>
            </w:r>
            <w:proofErr w:type="spellStart"/>
            <w:r w:rsidRPr="00387A17">
              <w:rPr>
                <w:rFonts w:ascii="Times New Roman" w:hAnsi="Times New Roman"/>
                <w:szCs w:val="24"/>
              </w:rPr>
              <w:t>Scientifica</w:t>
            </w:r>
            <w:proofErr w:type="spellEnd"/>
            <w:r w:rsidRPr="00387A17">
              <w:rPr>
                <w:rFonts w:ascii="Times New Roman" w:hAnsi="Times New Roman"/>
                <w:szCs w:val="24"/>
              </w:rPr>
              <w:t xml:space="preserve"> </w:t>
            </w:r>
            <w:proofErr w:type="spellStart"/>
            <w:r w:rsidRPr="00387A17">
              <w:rPr>
                <w:rFonts w:ascii="Times New Roman" w:hAnsi="Times New Roman"/>
                <w:szCs w:val="24"/>
              </w:rPr>
              <w:t>Salutis</w:t>
            </w:r>
            <w:proofErr w:type="spellEnd"/>
            <w:r w:rsidRPr="00387A17">
              <w:rPr>
                <w:rFonts w:ascii="Times New Roman" w:hAnsi="Times New Roman"/>
                <w:szCs w:val="24"/>
              </w:rPr>
              <w:t xml:space="preserve"> </w:t>
            </w:r>
            <w:proofErr w:type="spellStart"/>
            <w:r w:rsidRPr="00387A17">
              <w:rPr>
                <w:rFonts w:ascii="Times New Roman" w:hAnsi="Times New Roman"/>
                <w:szCs w:val="24"/>
              </w:rPr>
              <w:t>Publicae</w:t>
            </w:r>
            <w:proofErr w:type="spellEnd"/>
            <w:r w:rsidRPr="00387A17">
              <w:rPr>
                <w:rFonts w:ascii="Times New Roman" w:hAnsi="Times New Roman"/>
                <w:szCs w:val="24"/>
              </w:rPr>
              <w:t>, 7, pp.9-14.</w:t>
            </w:r>
          </w:p>
        </w:tc>
      </w:tr>
      <w:tr w:rsidR="008F1B4E" w:rsidRPr="00387A17" w14:paraId="1EEA4D92"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D67A1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3</w:t>
            </w:r>
          </w:p>
        </w:tc>
        <w:tc>
          <w:tcPr>
            <w:tcW w:w="7759" w:type="dxa"/>
          </w:tcPr>
          <w:p w14:paraId="7C1724C3"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eastAsia="Times New Roman" w:hAnsi="Times New Roman"/>
                <w:szCs w:val="24"/>
                <w:lang w:eastAsia="en-GB"/>
              </w:rPr>
              <w:t>Bradley, G., 2000. Responding effectively to the mental health needs of international students. Higher Education, 39, pp.417-433.</w:t>
            </w:r>
          </w:p>
        </w:tc>
      </w:tr>
      <w:tr w:rsidR="008F1B4E" w:rsidRPr="00387A17" w14:paraId="74A55A03"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1DAE8FE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7759" w:type="dxa"/>
          </w:tcPr>
          <w:p w14:paraId="4CD3CE7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tc>
      </w:tr>
    </w:tbl>
    <w:p w14:paraId="067B25AC" w14:textId="77777777" w:rsidR="008F1B4E" w:rsidRPr="00387A17" w:rsidRDefault="008F1B4E" w:rsidP="008F1B4E">
      <w:pPr>
        <w:spacing w:line="360" w:lineRule="auto"/>
        <w:jc w:val="both"/>
        <w:rPr>
          <w:rFonts w:ascii="Times New Roman" w:hAnsi="Times New Roman"/>
          <w:b/>
          <w:bCs/>
          <w:szCs w:val="24"/>
        </w:rPr>
      </w:pPr>
    </w:p>
    <w:p w14:paraId="3D60DF46" w14:textId="77777777" w:rsidR="008F1B4E" w:rsidRPr="00387A17" w:rsidRDefault="008F1B4E" w:rsidP="008F1B4E">
      <w:pPr>
        <w:rPr>
          <w:rFonts w:ascii="Times New Roman" w:hAnsi="Times New Roman"/>
          <w:b/>
          <w:bCs/>
          <w:szCs w:val="24"/>
        </w:rPr>
      </w:pPr>
    </w:p>
    <w:p w14:paraId="48624537"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4.2 Methodological Assessments of Studies Based on the Joanna Briggs Institute Framework (JBI)</w:t>
      </w:r>
    </w:p>
    <w:p w14:paraId="7D061F13"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Studies with a JBI score higher than 70% were classified as having high quality, those with a score between 50% and 70% as having medium quality, and those with a score less than 50% as having low quality (Nowell et al., 2017). Therefore, after completing the checklist, studies that answered "Yes" for up to 70%, particularly the critical ones, are considered high quality. Studies having less than 50% "No" or "Unclear" responses indicate methodological weaknesses (Marshall et al., 2013). </w:t>
      </w:r>
    </w:p>
    <w:p w14:paraId="6EE322C5" w14:textId="77777777" w:rsidR="008F1B4E" w:rsidRPr="00387A17" w:rsidRDefault="008F1B4E" w:rsidP="008F1B4E">
      <w:pPr>
        <w:spacing w:line="360" w:lineRule="auto"/>
        <w:jc w:val="both"/>
        <w:rPr>
          <w:rFonts w:ascii="Times New Roman" w:hAnsi="Times New Roman"/>
          <w:b/>
          <w:bCs/>
          <w:szCs w:val="24"/>
        </w:rPr>
      </w:pPr>
    </w:p>
    <w:p w14:paraId="1AB9DDF9" w14:textId="3DD3186E"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w:t>
      </w:r>
      <w:r w:rsidR="00C4681D">
        <w:rPr>
          <w:rFonts w:ascii="Times New Roman" w:hAnsi="Times New Roman"/>
          <w:b/>
          <w:bCs/>
          <w:szCs w:val="24"/>
        </w:rPr>
        <w:t>5</w:t>
      </w:r>
      <w:r w:rsidRPr="00387A17">
        <w:rPr>
          <w:rFonts w:ascii="Times New Roman" w:hAnsi="Times New Roman"/>
          <w:b/>
          <w:bCs/>
          <w:szCs w:val="24"/>
        </w:rPr>
        <w:t xml:space="preserve">: </w:t>
      </w:r>
      <w:r w:rsidRPr="00387A17">
        <w:rPr>
          <w:rFonts w:ascii="Times New Roman" w:hAnsi="Times New Roman"/>
          <w:szCs w:val="24"/>
        </w:rPr>
        <w:t>Quality Assessments of Included Studies Based on The JBI Critical Appraisal Checklist</w:t>
      </w:r>
    </w:p>
    <w:tbl>
      <w:tblPr>
        <w:tblStyle w:val="ListTable2-Accent1"/>
        <w:tblW w:w="0" w:type="auto"/>
        <w:tblLook w:val="04A0" w:firstRow="1" w:lastRow="0" w:firstColumn="1" w:lastColumn="0" w:noHBand="0" w:noVBand="1"/>
      </w:tblPr>
      <w:tblGrid>
        <w:gridCol w:w="1436"/>
        <w:gridCol w:w="1365"/>
        <w:gridCol w:w="1344"/>
        <w:gridCol w:w="1484"/>
        <w:gridCol w:w="1750"/>
        <w:gridCol w:w="1637"/>
      </w:tblGrid>
      <w:tr w:rsidR="008F1B4E" w:rsidRPr="00387A17" w14:paraId="06D099D2"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67855D6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Study Number</w:t>
            </w:r>
          </w:p>
        </w:tc>
        <w:tc>
          <w:tcPr>
            <w:tcW w:w="1365" w:type="dxa"/>
          </w:tcPr>
          <w:p w14:paraId="025DA20C"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Yes</w:t>
            </w:r>
          </w:p>
        </w:tc>
        <w:tc>
          <w:tcPr>
            <w:tcW w:w="1344" w:type="dxa"/>
          </w:tcPr>
          <w:p w14:paraId="5D1E6778"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w:t>
            </w:r>
          </w:p>
        </w:tc>
        <w:tc>
          <w:tcPr>
            <w:tcW w:w="1484" w:type="dxa"/>
          </w:tcPr>
          <w:p w14:paraId="727460E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Unclear</w:t>
            </w:r>
          </w:p>
        </w:tc>
        <w:tc>
          <w:tcPr>
            <w:tcW w:w="1750" w:type="dxa"/>
          </w:tcPr>
          <w:p w14:paraId="75B572F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Not Applicable</w:t>
            </w:r>
          </w:p>
        </w:tc>
        <w:tc>
          <w:tcPr>
            <w:tcW w:w="1637" w:type="dxa"/>
          </w:tcPr>
          <w:p w14:paraId="4D09AA2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Quality</w:t>
            </w:r>
          </w:p>
        </w:tc>
      </w:tr>
      <w:tr w:rsidR="008F1B4E" w:rsidRPr="00387A17" w14:paraId="0C9C4F7F"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0BA9BB0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1365" w:type="dxa"/>
          </w:tcPr>
          <w:p w14:paraId="09779AD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4C7BC12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484" w:type="dxa"/>
          </w:tcPr>
          <w:p w14:paraId="42AEFFD1"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750" w:type="dxa"/>
          </w:tcPr>
          <w:p w14:paraId="4E98C34D"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5893AA9"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748E75A3"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63A27667"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2</w:t>
            </w:r>
          </w:p>
        </w:tc>
        <w:tc>
          <w:tcPr>
            <w:tcW w:w="1365" w:type="dxa"/>
          </w:tcPr>
          <w:p w14:paraId="6AA5414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60C553C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0D2BA1C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5DE9463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938D69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55941693"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1843F34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3</w:t>
            </w:r>
          </w:p>
        </w:tc>
        <w:tc>
          <w:tcPr>
            <w:tcW w:w="1365" w:type="dxa"/>
          </w:tcPr>
          <w:p w14:paraId="01D92824"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7</w:t>
            </w:r>
          </w:p>
        </w:tc>
        <w:tc>
          <w:tcPr>
            <w:tcW w:w="1344" w:type="dxa"/>
          </w:tcPr>
          <w:p w14:paraId="02E5A0C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3E55D8D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750" w:type="dxa"/>
          </w:tcPr>
          <w:p w14:paraId="7E6DC70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479894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medium</w:t>
            </w:r>
          </w:p>
        </w:tc>
      </w:tr>
      <w:tr w:rsidR="008F1B4E" w:rsidRPr="00387A17" w14:paraId="7AA873E8"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2D32DE92"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1365" w:type="dxa"/>
          </w:tcPr>
          <w:p w14:paraId="1391405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344" w:type="dxa"/>
          </w:tcPr>
          <w:p w14:paraId="465EE1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40FF35F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19C6EFF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637" w:type="dxa"/>
          </w:tcPr>
          <w:p w14:paraId="7FF1CF3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bl>
    <w:p w14:paraId="2B738B2F" w14:textId="77777777" w:rsidR="008F1B4E" w:rsidRPr="00387A17" w:rsidRDefault="008F1B4E" w:rsidP="008F1B4E">
      <w:pPr>
        <w:spacing w:line="360" w:lineRule="auto"/>
        <w:jc w:val="both"/>
        <w:rPr>
          <w:rFonts w:ascii="Times New Roman" w:hAnsi="Times New Roman"/>
          <w:b/>
          <w:bCs/>
          <w:szCs w:val="24"/>
        </w:rPr>
      </w:pPr>
    </w:p>
    <w:p w14:paraId="0AAF6651" w14:textId="77777777" w:rsidR="008F1B4E" w:rsidRPr="00387A17" w:rsidRDefault="008F1B4E" w:rsidP="008F1B4E">
      <w:pPr>
        <w:rPr>
          <w:rFonts w:ascii="Times New Roman" w:hAnsi="Times New Roman"/>
          <w:szCs w:val="24"/>
        </w:rPr>
      </w:pPr>
      <w:r w:rsidRPr="00387A17">
        <w:rPr>
          <w:rFonts w:ascii="Times New Roman" w:hAnsi="Times New Roman"/>
          <w:szCs w:val="24"/>
        </w:rPr>
        <w:br w:type="page"/>
      </w:r>
    </w:p>
    <w:p w14:paraId="05F4D5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w:lastRenderedPageBreak/>
        <mc:AlternateContent>
          <mc:Choice Requires="wps">
            <w:drawing>
              <wp:anchor distT="0" distB="0" distL="114300" distR="114300" simplePos="0" relativeHeight="251668480" behindDoc="0" locked="0" layoutInCell="1" allowOverlap="1" wp14:anchorId="39C28C18" wp14:editId="7785584C">
                <wp:simplePos x="0" y="0"/>
                <wp:positionH relativeFrom="column">
                  <wp:posOffset>978434</wp:posOffset>
                </wp:positionH>
                <wp:positionV relativeFrom="paragraph">
                  <wp:posOffset>58514</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28C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77.05pt;margin-top:4.6pt;width:342.1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" fillcolor="#ffc000 [3207]" strokecolor="#7f5f00 [1607]" strokeweight="1pt">
                <v:textbo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v:textbox>
              </v:shape>
            </w:pict>
          </mc:Fallback>
        </mc:AlternateContent>
      </w:r>
    </w:p>
    <w:p w14:paraId="1CB0FE1B" w14:textId="77777777" w:rsidR="008F1B4E" w:rsidRPr="00387A17" w:rsidRDefault="008F1B4E" w:rsidP="008F1B4E">
      <w:pPr>
        <w:spacing w:line="360" w:lineRule="auto"/>
        <w:jc w:val="both"/>
        <w:rPr>
          <w:rFonts w:ascii="Times New Roman" w:hAnsi="Times New Roman"/>
          <w:szCs w:val="24"/>
        </w:rPr>
      </w:pPr>
    </w:p>
    <w:p w14:paraId="4D1105A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0288" behindDoc="0" locked="0" layoutInCell="1" allowOverlap="1" wp14:anchorId="519944CF" wp14:editId="7FF193EF">
                <wp:simplePos x="0" y="0"/>
                <wp:positionH relativeFrom="column">
                  <wp:posOffset>3526971</wp:posOffset>
                </wp:positionH>
                <wp:positionV relativeFrom="paragraph">
                  <wp:posOffset>109401</wp:posOffset>
                </wp:positionV>
                <wp:extent cx="2465615" cy="791845"/>
                <wp:effectExtent l="0" t="0" r="11430" b="8255"/>
                <wp:wrapNone/>
                <wp:docPr id="9" name="Rectangle 9"/>
                <wp:cNvGraphicFramePr/>
                <a:graphic xmlns:a="http://schemas.openxmlformats.org/drawingml/2006/main">
                  <a:graphicData uri="http://schemas.microsoft.com/office/word/2010/wordprocessingShape">
                    <wps:wsp>
                      <wps:cNvSpPr/>
                      <wps:spPr>
                        <a:xfrm>
                          <a:off x="0" y="0"/>
                          <a:ext cx="2465615" cy="791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44CF" id="Rectangle 9" o:spid="_x0000_s1027" style="position:absolute;left:0;text-align:left;margin-left:277.7pt;margin-top:8.6pt;width:194.1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DR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" filled="f" strokecolor="black [3213]" strokeweight="1pt">
                <v:textbo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59264" behindDoc="0" locked="0" layoutInCell="1" allowOverlap="1" wp14:anchorId="71C536C0" wp14:editId="35D25890">
                <wp:simplePos x="0" y="0"/>
                <wp:positionH relativeFrom="column">
                  <wp:posOffset>769545</wp:posOffset>
                </wp:positionH>
                <wp:positionV relativeFrom="paragraph">
                  <wp:posOffset>125390</wp:posOffset>
                </wp:positionV>
                <wp:extent cx="1887220" cy="724278"/>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1887220" cy="724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36C0" id="Rectangle 10" o:spid="_x0000_s1028" style="position:absolute;left:0;text-align:left;margin-left:60.6pt;margin-top:9.85pt;width:148.6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" filled="f" strokecolor="black [3213]" strokeweight="1pt">
                <v:textbo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v:textbox>
              </v:rect>
            </w:pict>
          </mc:Fallback>
        </mc:AlternateContent>
      </w:r>
    </w:p>
    <w:p w14:paraId="2112F2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5408" behindDoc="0" locked="0" layoutInCell="1" allowOverlap="1" wp14:anchorId="619C6D0B" wp14:editId="49102BF1">
                <wp:simplePos x="0" y="0"/>
                <wp:positionH relativeFrom="column">
                  <wp:posOffset>2860675</wp:posOffset>
                </wp:positionH>
                <wp:positionV relativeFrom="paragraph">
                  <wp:posOffset>178598</wp:posOffset>
                </wp:positionV>
                <wp:extent cx="563245" cy="0"/>
                <wp:effectExtent l="0" t="63500" r="0" b="76200"/>
                <wp:wrapNone/>
                <wp:docPr id="14" name="Straight Arrow Connector 1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9A9318" id="_x0000_t32" coordsize="21600,21600" o:spt="32" o:oned="t" path="m,l21600,21600e" filled="f">
                <v:path arrowok="t" fillok="f" o:connecttype="none"/>
                <o:lock v:ext="edit" shapetype="t"/>
              </v:shapetype>
              <v:shape id="Straight Arrow Connector 14" o:spid="_x0000_s1026" type="#_x0000_t32" style="position:absolute;margin-left:225.25pt;margin-top:14.05pt;width:44.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" strokecolor="black [3213]" strokeweight=".5pt">
                <v:stroke endarrow="block" joinstyle="miter"/>
              </v:shape>
            </w:pict>
          </mc:Fallback>
        </mc:AlternateContent>
      </w:r>
    </w:p>
    <w:p w14:paraId="6EEFA9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9504" behindDoc="0" locked="0" layoutInCell="1" allowOverlap="1" wp14:anchorId="0C729A70" wp14:editId="239B8505">
                <wp:simplePos x="0" y="0"/>
                <wp:positionH relativeFrom="column">
                  <wp:posOffset>-467678</wp:posOffset>
                </wp:positionH>
                <wp:positionV relativeFrom="paragraph">
                  <wp:posOffset>145570</wp:posOffset>
                </wp:positionV>
                <wp:extent cx="1395321" cy="262890"/>
                <wp:effectExtent l="0" t="5397" r="9207" b="9208"/>
                <wp:wrapNone/>
                <wp:docPr id="31" name="Flowchart: Alternate Process 31"/>
                <wp:cNvGraphicFramePr/>
                <a:graphic xmlns:a="http://schemas.openxmlformats.org/drawingml/2006/main">
                  <a:graphicData uri="http://schemas.microsoft.com/office/word/2010/wordprocessingShape">
                    <wps:wsp>
                      <wps:cNvSpPr/>
                      <wps:spPr>
                        <a:xfrm rot="16200000">
                          <a:off x="0" y="0"/>
                          <a:ext cx="1395321"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9A70" id="Flowchart: Alternate Process 31" o:spid="_x0000_s1029" type="#_x0000_t176" style="position:absolute;left:0;text-align:left;margin-left:-36.85pt;margin-top:11.45pt;width:109.85pt;height:2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" fillcolor="#9cc2e5 [1944]" strokecolor="black [3213]" strokeweight="1pt">
                <v:textbo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v:textbox>
              </v:shape>
            </w:pict>
          </mc:Fallback>
        </mc:AlternateContent>
      </w:r>
    </w:p>
    <w:p w14:paraId="7B4BEF0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8720" behindDoc="0" locked="0" layoutInCell="1" allowOverlap="1" wp14:anchorId="204ACB7D" wp14:editId="706D3680">
                <wp:simplePos x="0" y="0"/>
                <wp:positionH relativeFrom="column">
                  <wp:posOffset>1708785</wp:posOffset>
                </wp:positionH>
                <wp:positionV relativeFrom="paragraph">
                  <wp:posOffset>156065</wp:posOffset>
                </wp:positionV>
                <wp:extent cx="0" cy="318025"/>
                <wp:effectExtent l="63500" t="0" r="38100" b="38100"/>
                <wp:wrapNone/>
                <wp:docPr id="5" name="Straight Arrow Connector 5"/>
                <wp:cNvGraphicFramePr/>
                <a:graphic xmlns:a="http://schemas.openxmlformats.org/drawingml/2006/main">
                  <a:graphicData uri="http://schemas.microsoft.com/office/word/2010/wordprocessingShape">
                    <wps:wsp>
                      <wps:cNvCnPr/>
                      <wps:spPr>
                        <a:xfrm>
                          <a:off x="0" y="0"/>
                          <a:ext cx="0" cy="318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6E8B0" id="Straight Arrow Connector 5" o:spid="_x0000_s1026" type="#_x0000_t32" style="position:absolute;margin-left:134.55pt;margin-top:12.3pt;width:0;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" strokecolor="black [3213]" strokeweight=".5pt">
                <v:stroke endarrow="block" joinstyle="miter"/>
              </v:shape>
            </w:pict>
          </mc:Fallback>
        </mc:AlternateContent>
      </w:r>
    </w:p>
    <w:p w14:paraId="2B1E3338" w14:textId="77777777" w:rsidR="008F1B4E" w:rsidRPr="00387A17" w:rsidRDefault="008F1B4E" w:rsidP="008F1B4E">
      <w:pPr>
        <w:spacing w:line="360" w:lineRule="auto"/>
        <w:jc w:val="both"/>
        <w:rPr>
          <w:rFonts w:ascii="Times New Roman" w:hAnsi="Times New Roman"/>
          <w:szCs w:val="24"/>
        </w:rPr>
      </w:pPr>
    </w:p>
    <w:p w14:paraId="409FA4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7696" behindDoc="0" locked="0" layoutInCell="1" allowOverlap="1" wp14:anchorId="28D0C044" wp14:editId="6B6CBC9A">
                <wp:simplePos x="0" y="0"/>
                <wp:positionH relativeFrom="column">
                  <wp:posOffset>769545</wp:posOffset>
                </wp:positionH>
                <wp:positionV relativeFrom="paragraph">
                  <wp:posOffset>5998</wp:posOffset>
                </wp:positionV>
                <wp:extent cx="1896273" cy="515620"/>
                <wp:effectExtent l="0" t="0" r="8890" b="17780"/>
                <wp:wrapNone/>
                <wp:docPr id="2" name="Rectangle 2"/>
                <wp:cNvGraphicFramePr/>
                <a:graphic xmlns:a="http://schemas.openxmlformats.org/drawingml/2006/main">
                  <a:graphicData uri="http://schemas.microsoft.com/office/word/2010/wordprocessingShape">
                    <wps:wsp>
                      <wps:cNvSpPr/>
                      <wps:spPr>
                        <a:xfrm>
                          <a:off x="0" y="0"/>
                          <a:ext cx="1896273" cy="515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C044" id="Rectangle 2" o:spid="_x0000_s1030" style="position:absolute;left:0;text-align:left;margin-left:60.6pt;margin-top:.45pt;width:149.3pt;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" filled="f" strokecolor="black [3213]" strokeweight="1pt">
                <v:textbo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p>
    <w:p w14:paraId="4765E6E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p>
    <w:p w14:paraId="2B583E1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2576" behindDoc="0" locked="0" layoutInCell="1" allowOverlap="1" wp14:anchorId="458C6039" wp14:editId="35544359">
                <wp:simplePos x="0" y="0"/>
                <wp:positionH relativeFrom="column">
                  <wp:posOffset>1783080</wp:posOffset>
                </wp:positionH>
                <wp:positionV relativeFrom="paragraph">
                  <wp:posOffset>61123</wp:posOffset>
                </wp:positionV>
                <wp:extent cx="0" cy="423545"/>
                <wp:effectExtent l="63500" t="0" r="50800" b="33655"/>
                <wp:wrapNone/>
                <wp:docPr id="42" name="Straight Arrow Connector 42"/>
                <wp:cNvGraphicFramePr/>
                <a:graphic xmlns:a="http://schemas.openxmlformats.org/drawingml/2006/main">
                  <a:graphicData uri="http://schemas.microsoft.com/office/word/2010/wordprocessingShape">
                    <wps:wsp>
                      <wps:cNvCnPr/>
                      <wps:spPr>
                        <a:xfrm>
                          <a:off x="0" y="0"/>
                          <a:ext cx="0" cy="423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D10AF" id="Straight Arrow Connector 42" o:spid="_x0000_s1026" type="#_x0000_t32" style="position:absolute;margin-left:140.4pt;margin-top:4.8pt;width:0;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" strokecolor="black [3213]" strokeweight=".5pt">
                <v:stroke endarrow="block" joinstyle="miter"/>
              </v:shape>
            </w:pict>
          </mc:Fallback>
        </mc:AlternateContent>
      </w:r>
    </w:p>
    <w:p w14:paraId="735353E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2336" behindDoc="0" locked="0" layoutInCell="1" allowOverlap="1" wp14:anchorId="7CA88299" wp14:editId="67A71C8B">
                <wp:simplePos x="0" y="0"/>
                <wp:positionH relativeFrom="column">
                  <wp:posOffset>3684270</wp:posOffset>
                </wp:positionH>
                <wp:positionV relativeFrom="paragraph">
                  <wp:posOffset>244312</wp:posOffset>
                </wp:positionV>
                <wp:extent cx="2126615" cy="642620"/>
                <wp:effectExtent l="0" t="0" r="6985" b="17780"/>
                <wp:wrapNone/>
                <wp:docPr id="4" name="Rectangle 4"/>
                <wp:cNvGraphicFramePr/>
                <a:graphic xmlns:a="http://schemas.openxmlformats.org/drawingml/2006/main">
                  <a:graphicData uri="http://schemas.microsoft.com/office/word/2010/wordprocessingShape">
                    <wps:wsp>
                      <wps:cNvSpPr/>
                      <wps:spPr>
                        <a:xfrm>
                          <a:off x="0" y="0"/>
                          <a:ext cx="2126615" cy="642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8299" id="Rectangle 4" o:spid="_x0000_s1031" style="position:absolute;left:0;text-align:left;margin-left:290.1pt;margin-top:19.25pt;width:167.45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" filled="f" strokecolor="black [3213]" strokeweight="1pt">
                <v:textbo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v:textbox>
              </v:rect>
            </w:pict>
          </mc:Fallback>
        </mc:AlternateContent>
      </w:r>
    </w:p>
    <w:p w14:paraId="5EC659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1312" behindDoc="0" locked="0" layoutInCell="1" allowOverlap="1" wp14:anchorId="10FEEF2B" wp14:editId="1F2A02F7">
                <wp:simplePos x="0" y="0"/>
                <wp:positionH relativeFrom="column">
                  <wp:posOffset>810260</wp:posOffset>
                </wp:positionH>
                <wp:positionV relativeFrom="paragraph">
                  <wp:posOffset>36667</wp:posOffset>
                </wp:positionV>
                <wp:extent cx="1887220" cy="526415"/>
                <wp:effectExtent l="0" t="0" r="17780" b="698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EEF2B" id="Rectangle 3" o:spid="_x0000_s1032" style="position:absolute;left:0;text-align:left;margin-left:63.8pt;margin-top:2.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" filled="f" strokecolor="black [3213]" strokeweight="1pt">
                <v:textbo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70528" behindDoc="0" locked="0" layoutInCell="1" allowOverlap="1" wp14:anchorId="29C07601" wp14:editId="577BC7A6">
                <wp:simplePos x="0" y="0"/>
                <wp:positionH relativeFrom="column">
                  <wp:posOffset>-531495</wp:posOffset>
                </wp:positionH>
                <wp:positionV relativeFrom="paragraph">
                  <wp:posOffset>118582</wp:posOffset>
                </wp:positionV>
                <wp:extent cx="1526540" cy="262890"/>
                <wp:effectExtent l="0" t="3175" r="6985" b="6985"/>
                <wp:wrapNone/>
                <wp:docPr id="32" name="Flowchart: Alternate Process 32"/>
                <wp:cNvGraphicFramePr/>
                <a:graphic xmlns:a="http://schemas.openxmlformats.org/drawingml/2006/main">
                  <a:graphicData uri="http://schemas.microsoft.com/office/word/2010/wordprocessingShape">
                    <wps:wsp>
                      <wps:cNvSpPr/>
                      <wps:spPr>
                        <a:xfrm rot="16200000">
                          <a:off x="0" y="0"/>
                          <a:ext cx="152654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07601" id="Flowchart: Alternate Process 32" o:spid="_x0000_s1033" type="#_x0000_t176" style="position:absolute;left:0;text-align:left;margin-left:-41.85pt;margin-top:9.35pt;width:120.2pt;height:2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" fillcolor="#9cc2e5 [1944]" strokecolor="black [3213]" strokeweight="1pt">
                <v:textbo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v:textbox>
              </v:shape>
            </w:pict>
          </mc:Fallback>
        </mc:AlternateContent>
      </w:r>
    </w:p>
    <w:p w14:paraId="7A7680F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6432" behindDoc="0" locked="0" layoutInCell="1" allowOverlap="1" wp14:anchorId="42A7097D" wp14:editId="1D23E69D">
                <wp:simplePos x="0" y="0"/>
                <wp:positionH relativeFrom="column">
                  <wp:posOffset>2887345</wp:posOffset>
                </wp:positionH>
                <wp:positionV relativeFrom="paragraph">
                  <wp:posOffset>27777</wp:posOffset>
                </wp:positionV>
                <wp:extent cx="563245" cy="0"/>
                <wp:effectExtent l="0" t="63500" r="0" b="7620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E8B10" id="Straight Arrow Connector 15" o:spid="_x0000_s1026" type="#_x0000_t32" style="position:absolute;margin-left:227.35pt;margin-top:2.2pt;width:4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" strokecolor="black [3213]" strokeweight=".5pt">
                <v:stroke endarrow="block" joinstyle="miter"/>
              </v:shape>
            </w:pict>
          </mc:Fallback>
        </mc:AlternateContent>
      </w:r>
    </w:p>
    <w:p w14:paraId="2F3D957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4384" behindDoc="0" locked="0" layoutInCell="1" allowOverlap="1" wp14:anchorId="0552E596" wp14:editId="583E6915">
                <wp:simplePos x="0" y="0"/>
                <wp:positionH relativeFrom="column">
                  <wp:posOffset>3657600</wp:posOffset>
                </wp:positionH>
                <wp:positionV relativeFrom="paragraph">
                  <wp:posOffset>229870</wp:posOffset>
                </wp:positionV>
                <wp:extent cx="2237740" cy="2031365"/>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2237740" cy="203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E596" id="Rectangle 13" o:spid="_x0000_s1034" style="position:absolute;left:0;text-align:left;margin-left:4in;margin-top:18.1pt;width:176.2pt;height:15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" filled="f" strokecolor="black [3213]" strokeweight="1pt">
                <v:textbo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71552" behindDoc="0" locked="0" layoutInCell="1" allowOverlap="1" wp14:anchorId="6D52304E" wp14:editId="05140CD6">
                <wp:simplePos x="0" y="0"/>
                <wp:positionH relativeFrom="column">
                  <wp:posOffset>1780703</wp:posOffset>
                </wp:positionH>
                <wp:positionV relativeFrom="paragraph">
                  <wp:posOffset>87630</wp:posOffset>
                </wp:positionV>
                <wp:extent cx="0" cy="675005"/>
                <wp:effectExtent l="63500" t="0" r="76200" b="36195"/>
                <wp:wrapNone/>
                <wp:docPr id="36" name="Straight Arrow Connector 36"/>
                <wp:cNvGraphicFramePr/>
                <a:graphic xmlns:a="http://schemas.openxmlformats.org/drawingml/2006/main">
                  <a:graphicData uri="http://schemas.microsoft.com/office/word/2010/wordprocessingShape">
                    <wps:wsp>
                      <wps:cNvCnPr/>
                      <wps:spPr>
                        <a:xfrm>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425A90" id="Straight Arrow Connector 36" o:spid="_x0000_s1026" type="#_x0000_t32" style="position:absolute;margin-left:140.2pt;margin-top:6.9pt;width:0;height:5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" strokecolor="black [3213]" strokeweight=".5pt">
                <v:stroke endarrow="block" joinstyle="miter"/>
              </v:shape>
            </w:pict>
          </mc:Fallback>
        </mc:AlternateContent>
      </w:r>
    </w:p>
    <w:p w14:paraId="689AB523" w14:textId="77777777" w:rsidR="008F1B4E" w:rsidRPr="00387A17" w:rsidRDefault="008F1B4E" w:rsidP="008F1B4E">
      <w:pPr>
        <w:spacing w:line="360" w:lineRule="auto"/>
        <w:jc w:val="both"/>
        <w:rPr>
          <w:rFonts w:ascii="Times New Roman" w:hAnsi="Times New Roman"/>
          <w:szCs w:val="24"/>
        </w:rPr>
      </w:pPr>
    </w:p>
    <w:p w14:paraId="1223FC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3360" behindDoc="0" locked="0" layoutInCell="1" allowOverlap="1" wp14:anchorId="6D3D21D1" wp14:editId="5D4731FB">
                <wp:simplePos x="0" y="0"/>
                <wp:positionH relativeFrom="column">
                  <wp:posOffset>913765</wp:posOffset>
                </wp:positionH>
                <wp:positionV relativeFrom="paragraph">
                  <wp:posOffset>234315</wp:posOffset>
                </wp:positionV>
                <wp:extent cx="1887220" cy="651510"/>
                <wp:effectExtent l="0" t="0" r="17780" b="8890"/>
                <wp:wrapNone/>
                <wp:docPr id="12" name="Rectangle 12"/>
                <wp:cNvGraphicFramePr/>
                <a:graphic xmlns:a="http://schemas.openxmlformats.org/drawingml/2006/main">
                  <a:graphicData uri="http://schemas.microsoft.com/office/word/2010/wordprocessingShape">
                    <wps:wsp>
                      <wps:cNvSpPr/>
                      <wps:spPr>
                        <a:xfrm>
                          <a:off x="0" y="0"/>
                          <a:ext cx="1887220" cy="651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21D1" id="Rectangle 12" o:spid="_x0000_s1035" style="position:absolute;left:0;text-align:left;margin-left:71.95pt;margin-top:18.45pt;width:148.6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" filled="f" strokecolor="black [3213]" strokeweight="1pt">
                <v:textbo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v:textbox>
              </v:rect>
            </w:pict>
          </mc:Fallback>
        </mc:AlternateContent>
      </w:r>
    </w:p>
    <w:p w14:paraId="099C51DE" w14:textId="77777777" w:rsidR="008F1B4E" w:rsidRPr="00387A17" w:rsidRDefault="008F1B4E" w:rsidP="008F1B4E">
      <w:pPr>
        <w:spacing w:line="360" w:lineRule="auto"/>
        <w:jc w:val="both"/>
        <w:rPr>
          <w:rFonts w:ascii="Times New Roman" w:hAnsi="Times New Roman"/>
          <w:szCs w:val="24"/>
        </w:rPr>
      </w:pPr>
    </w:p>
    <w:p w14:paraId="4CFD5E4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7456" behindDoc="0" locked="0" layoutInCell="1" allowOverlap="1" wp14:anchorId="0F55491F" wp14:editId="55E2E30E">
                <wp:simplePos x="0" y="0"/>
                <wp:positionH relativeFrom="column">
                  <wp:posOffset>2966116</wp:posOffset>
                </wp:positionH>
                <wp:positionV relativeFrom="paragraph">
                  <wp:posOffset>23816</wp:posOffset>
                </wp:positionV>
                <wp:extent cx="563245" cy="0"/>
                <wp:effectExtent l="0" t="63500" r="0" b="7620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F2659" id="Straight Arrow Connector 17" o:spid="_x0000_s1026" type="#_x0000_t32" style="position:absolute;margin-left:233.55pt;margin-top:1.9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" strokecolor="black [3213]" strokeweight=".5pt">
                <v:stroke endarrow="block" joinstyle="miter"/>
              </v:shape>
            </w:pict>
          </mc:Fallback>
        </mc:AlternateContent>
      </w:r>
      <w:r w:rsidRPr="00387A17">
        <w:rPr>
          <w:rFonts w:ascii="Times New Roman" w:hAnsi="Times New Roman"/>
          <w:noProof/>
          <w:szCs w:val="24"/>
        </w:rPr>
        <mc:AlternateContent>
          <mc:Choice Requires="wps">
            <w:drawing>
              <wp:anchor distT="0" distB="0" distL="114300" distR="114300" simplePos="0" relativeHeight="251676672" behindDoc="0" locked="0" layoutInCell="1" allowOverlap="1" wp14:anchorId="7C2D8426" wp14:editId="79338D81">
                <wp:simplePos x="0" y="0"/>
                <wp:positionH relativeFrom="column">
                  <wp:posOffset>-375879</wp:posOffset>
                </wp:positionH>
                <wp:positionV relativeFrom="paragraph">
                  <wp:posOffset>126632</wp:posOffset>
                </wp:positionV>
                <wp:extent cx="1218713" cy="262890"/>
                <wp:effectExtent l="0" t="4762" r="8572" b="8573"/>
                <wp:wrapNone/>
                <wp:docPr id="6" name="Flowchart: Alternate Process 32"/>
                <wp:cNvGraphicFramePr/>
                <a:graphic xmlns:a="http://schemas.openxmlformats.org/drawingml/2006/main">
                  <a:graphicData uri="http://schemas.microsoft.com/office/word/2010/wordprocessingShape">
                    <wps:wsp>
                      <wps:cNvSpPr/>
                      <wps:spPr>
                        <a:xfrm rot="16200000">
                          <a:off x="0" y="0"/>
                          <a:ext cx="121871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8426" id="_x0000_s1036" type="#_x0000_t176" style="position:absolute;left:0;text-align:left;margin-left:-29.6pt;margin-top:9.95pt;width:95.95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" fillcolor="#9cc2e5 [1944]" strokecolor="black [3213]" strokeweight="1pt">
                <v:textbo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v:textbox>
              </v:shape>
            </w:pict>
          </mc:Fallback>
        </mc:AlternateContent>
      </w:r>
    </w:p>
    <w:p w14:paraId="2F17BA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3600" behindDoc="0" locked="0" layoutInCell="1" allowOverlap="1" wp14:anchorId="49C876B0" wp14:editId="2A7E1C46">
                <wp:simplePos x="0" y="0"/>
                <wp:positionH relativeFrom="column">
                  <wp:posOffset>1786890</wp:posOffset>
                </wp:positionH>
                <wp:positionV relativeFrom="paragraph">
                  <wp:posOffset>208696</wp:posOffset>
                </wp:positionV>
                <wp:extent cx="0" cy="746151"/>
                <wp:effectExtent l="63500" t="0" r="38100" b="41275"/>
                <wp:wrapNone/>
                <wp:docPr id="43" name="Straight Arrow Connector 43"/>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F83242" id="Straight Arrow Connector 43" o:spid="_x0000_s1026" type="#_x0000_t32" style="position:absolute;margin-left:140.7pt;margin-top:16.45pt;width:0;height:5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" strokecolor="black [3213]" strokeweight=".5pt">
                <v:stroke endarrow="block" joinstyle="miter"/>
              </v:shape>
            </w:pict>
          </mc:Fallback>
        </mc:AlternateContent>
      </w:r>
    </w:p>
    <w:p w14:paraId="3C49EEF3" w14:textId="77777777" w:rsidR="008F1B4E" w:rsidRPr="00387A17" w:rsidRDefault="008F1B4E" w:rsidP="008F1B4E">
      <w:pPr>
        <w:spacing w:line="360" w:lineRule="auto"/>
        <w:jc w:val="both"/>
        <w:rPr>
          <w:rFonts w:ascii="Times New Roman" w:hAnsi="Times New Roman"/>
          <w:szCs w:val="24"/>
        </w:rPr>
      </w:pPr>
    </w:p>
    <w:p w14:paraId="7B60B2C5" w14:textId="77777777" w:rsidR="008F1B4E" w:rsidRPr="00387A17" w:rsidRDefault="008F1B4E" w:rsidP="008F1B4E">
      <w:pPr>
        <w:spacing w:line="360" w:lineRule="auto"/>
        <w:jc w:val="both"/>
        <w:rPr>
          <w:rFonts w:ascii="Times New Roman" w:hAnsi="Times New Roman"/>
          <w:szCs w:val="24"/>
        </w:rPr>
      </w:pPr>
    </w:p>
    <w:p w14:paraId="47B72F3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5648" behindDoc="0" locked="0" layoutInCell="1" allowOverlap="1" wp14:anchorId="430F7735" wp14:editId="435CF48F">
                <wp:simplePos x="0" y="0"/>
                <wp:positionH relativeFrom="column">
                  <wp:posOffset>907742</wp:posOffset>
                </wp:positionH>
                <wp:positionV relativeFrom="paragraph">
                  <wp:posOffset>239332</wp:posOffset>
                </wp:positionV>
                <wp:extent cx="1887220" cy="723900"/>
                <wp:effectExtent l="0" t="0" r="17780" b="12700"/>
                <wp:wrapNone/>
                <wp:docPr id="45" name="Rectangle 4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7735" id="Rectangle 45" o:spid="_x0000_s1037" style="position:absolute;left:0;text-align:left;margin-left:71.5pt;margin-top:18.85pt;width:148.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" filled="f" strokecolor="black [3213]" strokeweight="1pt">
                <v:textbo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v:textbox>
              </v:rect>
            </w:pict>
          </mc:Fallback>
        </mc:AlternateContent>
      </w:r>
    </w:p>
    <w:p w14:paraId="599C4B2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4624" behindDoc="0" locked="0" layoutInCell="1" allowOverlap="1" wp14:anchorId="601EF6A7" wp14:editId="1EE9434E">
                <wp:simplePos x="0" y="0"/>
                <wp:positionH relativeFrom="column">
                  <wp:posOffset>-150178</wp:posOffset>
                </wp:positionH>
                <wp:positionV relativeFrom="paragraph">
                  <wp:posOffset>163676</wp:posOffset>
                </wp:positionV>
                <wp:extent cx="763905" cy="262890"/>
                <wp:effectExtent l="0" t="3492" r="7302" b="7303"/>
                <wp:wrapNone/>
                <wp:docPr id="44"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F6A7" id="Flowchart: Alternate Process 33" o:spid="_x0000_s1038" type="#_x0000_t176" style="position:absolute;left:0;text-align:left;margin-left:-11.85pt;margin-top:12.9pt;width:60.1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" fillcolor="#9cc2e5 [1944]" strokecolor="black [3213]" strokeweight="1pt">
                <v:textbo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v:textbox>
              </v:shape>
            </w:pict>
          </mc:Fallback>
        </mc:AlternateContent>
      </w:r>
    </w:p>
    <w:p w14:paraId="5BFB9A50" w14:textId="77777777" w:rsidR="008F1B4E" w:rsidRPr="00387A17" w:rsidRDefault="008F1B4E" w:rsidP="008F1B4E">
      <w:pPr>
        <w:spacing w:line="360" w:lineRule="auto"/>
        <w:jc w:val="both"/>
        <w:rPr>
          <w:rFonts w:ascii="Times New Roman" w:hAnsi="Times New Roman"/>
          <w:szCs w:val="24"/>
        </w:rPr>
      </w:pPr>
    </w:p>
    <w:p w14:paraId="5E5BE107" w14:textId="77777777" w:rsidR="008F1B4E" w:rsidRPr="00387A17" w:rsidRDefault="008F1B4E" w:rsidP="008F1B4E">
      <w:pPr>
        <w:spacing w:line="360" w:lineRule="auto"/>
        <w:jc w:val="both"/>
        <w:rPr>
          <w:rFonts w:ascii="Times New Roman" w:hAnsi="Times New Roman"/>
          <w:szCs w:val="24"/>
        </w:rPr>
      </w:pPr>
    </w:p>
    <w:p w14:paraId="05D4ADF3" w14:textId="77777777" w:rsidR="008F1B4E" w:rsidRPr="00387A17" w:rsidRDefault="008F1B4E" w:rsidP="008F1B4E">
      <w:pPr>
        <w:rPr>
          <w:rFonts w:ascii="Times New Roman" w:hAnsi="Times New Roman"/>
          <w:b/>
          <w:bCs/>
          <w:szCs w:val="24"/>
        </w:rPr>
      </w:pPr>
    </w:p>
    <w:p w14:paraId="4B22060A" w14:textId="13E45712" w:rsidR="008F1B4E" w:rsidRPr="00387A17" w:rsidRDefault="008F1B4E" w:rsidP="008F1B4E">
      <w:pPr>
        <w:rPr>
          <w:rFonts w:ascii="Times New Roman" w:hAnsi="Times New Roman"/>
          <w:b/>
          <w:bCs/>
          <w:szCs w:val="24"/>
        </w:rPr>
      </w:pPr>
      <w:r w:rsidRPr="00387A17">
        <w:rPr>
          <w:rFonts w:ascii="Times New Roman" w:hAnsi="Times New Roman"/>
          <w:b/>
          <w:bCs/>
          <w:szCs w:val="24"/>
        </w:rPr>
        <w:t xml:space="preserve">Figure </w:t>
      </w:r>
      <w:r w:rsidR="007048F2">
        <w:rPr>
          <w:rFonts w:ascii="Times New Roman" w:hAnsi="Times New Roman"/>
          <w:b/>
          <w:bCs/>
          <w:szCs w:val="24"/>
        </w:rPr>
        <w:t>2</w:t>
      </w:r>
      <w:r w:rsidRPr="00387A17">
        <w:rPr>
          <w:rFonts w:ascii="Times New Roman" w:hAnsi="Times New Roman"/>
          <w:b/>
          <w:bCs/>
          <w:szCs w:val="24"/>
        </w:rPr>
        <w:t xml:space="preserve"> </w:t>
      </w:r>
      <w:r w:rsidRPr="00387A17">
        <w:rPr>
          <w:rFonts w:ascii="Times New Roman" w:hAnsi="Times New Roman"/>
          <w:szCs w:val="24"/>
        </w:rPr>
        <w:t>PRISMA flowchart of searches, screening and inclusion and exclusion of studies.</w:t>
      </w:r>
      <w:r w:rsidRPr="00387A17">
        <w:rPr>
          <w:rFonts w:ascii="Times New Roman" w:hAnsi="Times New Roman"/>
          <w:b/>
          <w:bCs/>
          <w:szCs w:val="24"/>
        </w:rPr>
        <w:t xml:space="preserve"> </w:t>
      </w:r>
    </w:p>
    <w:p w14:paraId="734E8166" w14:textId="77777777" w:rsidR="008F1B4E" w:rsidRPr="00387A17" w:rsidRDefault="008F1B4E" w:rsidP="008F1B4E">
      <w:pPr>
        <w:spacing w:line="360" w:lineRule="auto"/>
        <w:jc w:val="both"/>
        <w:rPr>
          <w:rFonts w:ascii="Times New Roman" w:hAnsi="Times New Roman"/>
          <w:b/>
          <w:bCs/>
          <w:szCs w:val="24"/>
        </w:rPr>
      </w:pPr>
    </w:p>
    <w:p w14:paraId="25C7291B" w14:textId="77777777" w:rsidR="008F1B4E" w:rsidRPr="00387A17" w:rsidRDefault="008F1B4E" w:rsidP="008F1B4E">
      <w:pPr>
        <w:rPr>
          <w:rFonts w:ascii="Times New Roman" w:hAnsi="Times New Roman"/>
          <w:b/>
          <w:bCs/>
          <w:szCs w:val="24"/>
        </w:rPr>
      </w:pPr>
    </w:p>
    <w:p w14:paraId="6480BECF" w14:textId="77777777" w:rsidR="008F1B4E" w:rsidRPr="00387A17" w:rsidRDefault="008F1B4E" w:rsidP="008F1B4E">
      <w:pPr>
        <w:rPr>
          <w:rFonts w:ascii="Times New Roman" w:hAnsi="Times New Roman"/>
          <w:b/>
          <w:bCs/>
          <w:szCs w:val="24"/>
        </w:rPr>
      </w:pPr>
    </w:p>
    <w:p w14:paraId="3A24E869" w14:textId="77777777" w:rsidR="008F1B4E" w:rsidRPr="00387A17" w:rsidRDefault="008F1B4E" w:rsidP="008F1B4E">
      <w:pPr>
        <w:rPr>
          <w:rFonts w:ascii="Times New Roman" w:hAnsi="Times New Roman"/>
          <w:b/>
          <w:bCs/>
          <w:szCs w:val="24"/>
        </w:rPr>
      </w:pPr>
    </w:p>
    <w:p w14:paraId="34F4DC7C"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30BB60C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lastRenderedPageBreak/>
        <w:t>4.3 Description of All 4 Included Studies Based on the PEO Structure</w:t>
      </w:r>
    </w:p>
    <w:p w14:paraId="1F7D9DEC" w14:textId="77777777" w:rsidR="008F1B4E" w:rsidRPr="00387A17" w:rsidRDefault="008F1B4E" w:rsidP="008F1B4E">
      <w:pPr>
        <w:spacing w:line="360" w:lineRule="auto"/>
        <w:jc w:val="both"/>
        <w:rPr>
          <w:rFonts w:ascii="Times New Roman" w:hAnsi="Times New Roman"/>
          <w:szCs w:val="24"/>
        </w:rPr>
      </w:pPr>
    </w:p>
    <w:p w14:paraId="31202D7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Using the standardised data extraction procedure outlined in Chapter 3, the four papers were put through the extracted procedure to obtain relevant information for the review topic. All exposure for these papers is migration.</w:t>
      </w:r>
    </w:p>
    <w:p w14:paraId="3A7D1A0E" w14:textId="77777777" w:rsidR="008F1B4E" w:rsidRPr="00387A17" w:rsidRDefault="008F1B4E" w:rsidP="008F1B4E">
      <w:pPr>
        <w:spacing w:line="360" w:lineRule="auto"/>
        <w:rPr>
          <w:rFonts w:ascii="Times New Roman" w:hAnsi="Times New Roman"/>
          <w:b/>
          <w:bCs/>
          <w:szCs w:val="24"/>
        </w:rPr>
      </w:pPr>
    </w:p>
    <w:p w14:paraId="6C5D4D2C" w14:textId="54D14313" w:rsidR="008F1B4E" w:rsidRPr="00387A17" w:rsidRDefault="008F1B4E" w:rsidP="008F1B4E">
      <w:pPr>
        <w:spacing w:line="360" w:lineRule="auto"/>
        <w:rPr>
          <w:rFonts w:ascii="Times New Roman" w:hAnsi="Times New Roman"/>
          <w:color w:val="000000" w:themeColor="text1"/>
          <w:szCs w:val="24"/>
        </w:rPr>
      </w:pPr>
      <w:r w:rsidRPr="00387A17">
        <w:rPr>
          <w:rFonts w:ascii="Times New Roman" w:hAnsi="Times New Roman"/>
          <w:b/>
          <w:bCs/>
          <w:szCs w:val="24"/>
        </w:rPr>
        <w:t xml:space="preserve">Table </w:t>
      </w:r>
      <w:r w:rsidR="00BC00EB">
        <w:rPr>
          <w:rFonts w:ascii="Times New Roman" w:hAnsi="Times New Roman"/>
          <w:b/>
          <w:bCs/>
          <w:szCs w:val="24"/>
        </w:rPr>
        <w:t>6</w:t>
      </w:r>
      <w:r w:rsidRPr="00387A17">
        <w:rPr>
          <w:rFonts w:ascii="Times New Roman" w:hAnsi="Times New Roman"/>
          <w:b/>
          <w:bCs/>
          <w:szCs w:val="24"/>
        </w:rPr>
        <w:t>:</w:t>
      </w:r>
      <w:r w:rsidRPr="00387A17">
        <w:rPr>
          <w:rFonts w:ascii="Times New Roman" w:hAnsi="Times New Roman"/>
          <w:szCs w:val="24"/>
        </w:rPr>
        <w:t xml:space="preserve"> </w:t>
      </w:r>
      <w:r w:rsidRPr="00387A17">
        <w:rPr>
          <w:rFonts w:ascii="Times New Roman" w:hAnsi="Times New Roman"/>
          <w:color w:val="000000" w:themeColor="text1"/>
          <w:szCs w:val="24"/>
        </w:rPr>
        <w:t>Data Extraction of Papers Included</w:t>
      </w:r>
    </w:p>
    <w:tbl>
      <w:tblPr>
        <w:tblStyle w:val="PlainTable5"/>
        <w:tblW w:w="9066" w:type="dxa"/>
        <w:tblLayout w:type="fixed"/>
        <w:tblLook w:val="04A0" w:firstRow="1" w:lastRow="0" w:firstColumn="1" w:lastColumn="0" w:noHBand="0" w:noVBand="1"/>
      </w:tblPr>
      <w:tblGrid>
        <w:gridCol w:w="1257"/>
        <w:gridCol w:w="1220"/>
        <w:gridCol w:w="1683"/>
        <w:gridCol w:w="1247"/>
        <w:gridCol w:w="937"/>
        <w:gridCol w:w="878"/>
        <w:gridCol w:w="1844"/>
      </w:tblGrid>
      <w:tr w:rsidR="008F1B4E" w:rsidRPr="00387A17" w14:paraId="7B6067B7" w14:textId="77777777" w:rsidTr="00713664">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1257" w:type="dxa"/>
          </w:tcPr>
          <w:p w14:paraId="526672C4" w14:textId="77777777" w:rsidR="008F1B4E" w:rsidRPr="00387A17" w:rsidRDefault="008F1B4E" w:rsidP="00713664">
            <w:pPr>
              <w:spacing w:before="100" w:beforeAutospacing="1" w:after="100" w:afterAutospacing="1"/>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Details</w:t>
            </w:r>
          </w:p>
        </w:tc>
        <w:tc>
          <w:tcPr>
            <w:tcW w:w="1221" w:type="dxa"/>
          </w:tcPr>
          <w:p w14:paraId="3F4DA4B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Purpose</w:t>
            </w:r>
          </w:p>
        </w:tc>
        <w:tc>
          <w:tcPr>
            <w:tcW w:w="1684" w:type="dxa"/>
          </w:tcPr>
          <w:p w14:paraId="20B3EBD3"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Population</w:t>
            </w:r>
          </w:p>
        </w:tc>
        <w:tc>
          <w:tcPr>
            <w:tcW w:w="1248" w:type="dxa"/>
          </w:tcPr>
          <w:p w14:paraId="316AC91B"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Outcome</w:t>
            </w:r>
          </w:p>
        </w:tc>
        <w:tc>
          <w:tcPr>
            <w:tcW w:w="937" w:type="dxa"/>
          </w:tcPr>
          <w:p w14:paraId="68B1E746"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Collection</w:t>
            </w:r>
          </w:p>
        </w:tc>
        <w:tc>
          <w:tcPr>
            <w:tcW w:w="878" w:type="dxa"/>
          </w:tcPr>
          <w:p w14:paraId="0C0259CD"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Analysis</w:t>
            </w:r>
          </w:p>
        </w:tc>
        <w:tc>
          <w:tcPr>
            <w:tcW w:w="1841" w:type="dxa"/>
          </w:tcPr>
          <w:p w14:paraId="513BBA2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Result</w:t>
            </w:r>
          </w:p>
        </w:tc>
      </w:tr>
      <w:tr w:rsidR="008F1B4E" w:rsidRPr="00387A17" w14:paraId="7BF05789" w14:textId="77777777" w:rsidTr="00713664">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1257" w:type="dxa"/>
          </w:tcPr>
          <w:p w14:paraId="3C77CE9E"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t>Frampton, N., Smith, J. and Smithies, D., 2022. Understanding student mental health inequalities: International students. Student Minds.</w:t>
            </w:r>
          </w:p>
        </w:tc>
        <w:tc>
          <w:tcPr>
            <w:tcW w:w="1221" w:type="dxa"/>
          </w:tcPr>
          <w:p w14:paraId="5B3E560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 xml:space="preserve">To explore the diverse needs of students, particularly in addressing the health inequalities they encounter, and to </w:t>
            </w:r>
            <w:proofErr w:type="spellStart"/>
            <w:r w:rsidRPr="00387A17">
              <w:rPr>
                <w:rFonts w:ascii="Times New Roman" w:hAnsi="Times New Roman"/>
                <w:szCs w:val="24"/>
              </w:rPr>
              <w:t>analyze</w:t>
            </w:r>
            <w:proofErr w:type="spellEnd"/>
            <w:r w:rsidRPr="00387A17">
              <w:rPr>
                <w:rFonts w:ascii="Times New Roman" w:hAnsi="Times New Roman"/>
                <w:szCs w:val="24"/>
              </w:rPr>
              <w:t xml:space="preserve"> the subsequent impact on the overall state of student mental health.</w:t>
            </w:r>
          </w:p>
        </w:tc>
        <w:tc>
          <w:tcPr>
            <w:tcW w:w="1684" w:type="dxa"/>
          </w:tcPr>
          <w:p w14:paraId="0177CB40"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619 international students, with 248 being from Europe, 247 from Asia and 124 being grouped as ‘Other’ (North/South/Central America, Africa, Australia/ Oceania) studying in University of Nottingham and the University of Leeds</w:t>
            </w:r>
          </w:p>
        </w:tc>
        <w:tc>
          <w:tcPr>
            <w:tcW w:w="1248" w:type="dxa"/>
          </w:tcPr>
          <w:p w14:paraId="6BBD1543"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A full spectrum of experience ranging from good mental health to mental illness.</w:t>
            </w:r>
          </w:p>
        </w:tc>
        <w:tc>
          <w:tcPr>
            <w:tcW w:w="937" w:type="dxa"/>
          </w:tcPr>
          <w:p w14:paraId="4FE5A25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4" w:type="dxa"/>
          </w:tcPr>
          <w:p w14:paraId="3791409D"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5" w:type="dxa"/>
          </w:tcPr>
          <w:p w14:paraId="5A68A78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study’s findings show that international students report higher levels of concern about a range of issues including their wellbeing, the quality of their student experience and the need for greater support. The work with the International Student Panel and conversations with experts across the sector have shown that there is still a way to go in addressing the inequalities that exist between international students and UK-domiciled students.</w:t>
            </w:r>
          </w:p>
        </w:tc>
      </w:tr>
      <w:tr w:rsidR="008F1B4E" w:rsidRPr="00387A17" w14:paraId="51ED78AC" w14:textId="77777777" w:rsidTr="00713664">
        <w:trPr>
          <w:trHeight w:val="820"/>
        </w:trPr>
        <w:tc>
          <w:tcPr>
            <w:cnfStyle w:val="001000000000" w:firstRow="0" w:lastRow="0" w:firstColumn="1" w:lastColumn="0" w:oddVBand="0" w:evenVBand="0" w:oddHBand="0" w:evenHBand="0" w:firstRowFirstColumn="0" w:firstRowLastColumn="0" w:lastRowFirstColumn="0" w:lastRowLastColumn="0"/>
            <w:tcW w:w="1257" w:type="dxa"/>
          </w:tcPr>
          <w:p w14:paraId="4E5B0D04"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lastRenderedPageBreak/>
              <w:t xml:space="preserve">Siby, A., Nishanth, A., Joseph, A.M., </w:t>
            </w:r>
            <w:proofErr w:type="spellStart"/>
            <w:r w:rsidRPr="00387A17">
              <w:rPr>
                <w:rFonts w:ascii="Times New Roman" w:hAnsi="Times New Roman"/>
                <w:i w:val="0"/>
                <w:iCs w:val="0"/>
                <w:sz w:val="24"/>
                <w:szCs w:val="24"/>
              </w:rPr>
              <w:t>Parakkattel</w:t>
            </w:r>
            <w:proofErr w:type="spellEnd"/>
            <w:r w:rsidRPr="00387A17">
              <w:rPr>
                <w:rFonts w:ascii="Times New Roman" w:hAnsi="Times New Roman"/>
                <w:i w:val="0"/>
                <w:iCs w:val="0"/>
                <w:sz w:val="24"/>
                <w:szCs w:val="24"/>
              </w:rPr>
              <w:t xml:space="preserve">, C., </w:t>
            </w:r>
            <w:proofErr w:type="spellStart"/>
            <w:r w:rsidRPr="00387A17">
              <w:rPr>
                <w:rFonts w:ascii="Times New Roman" w:hAnsi="Times New Roman"/>
                <w:i w:val="0"/>
                <w:iCs w:val="0"/>
                <w:sz w:val="24"/>
                <w:szCs w:val="24"/>
              </w:rPr>
              <w:t>Noshy</w:t>
            </w:r>
            <w:proofErr w:type="spellEnd"/>
            <w:r w:rsidRPr="00387A17">
              <w:rPr>
                <w:rFonts w:ascii="Times New Roman" w:hAnsi="Times New Roman"/>
                <w:i w:val="0"/>
                <w:iCs w:val="0"/>
                <w:sz w:val="24"/>
                <w:szCs w:val="24"/>
              </w:rPr>
              <w:t xml:space="preserve">, M.R. and Cherian, R., 2021. Impact of student migration from India to United Kingdom. Scripta </w:t>
            </w:r>
            <w:proofErr w:type="spellStart"/>
            <w:r w:rsidRPr="00387A17">
              <w:rPr>
                <w:rFonts w:ascii="Times New Roman" w:hAnsi="Times New Roman"/>
                <w:i w:val="0"/>
                <w:iCs w:val="0"/>
                <w:sz w:val="24"/>
                <w:szCs w:val="24"/>
              </w:rPr>
              <w:t>Scientifica</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Salutis</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Publicae</w:t>
            </w:r>
            <w:proofErr w:type="spellEnd"/>
            <w:r w:rsidRPr="00387A17">
              <w:rPr>
                <w:rFonts w:ascii="Times New Roman" w:hAnsi="Times New Roman"/>
                <w:i w:val="0"/>
                <w:iCs w:val="0"/>
                <w:sz w:val="24"/>
                <w:szCs w:val="24"/>
              </w:rPr>
              <w:t>, 7, pp.9-14.</w:t>
            </w:r>
          </w:p>
        </w:tc>
        <w:tc>
          <w:tcPr>
            <w:tcW w:w="1221" w:type="dxa"/>
          </w:tcPr>
          <w:p w14:paraId="160F422D"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aimed to explore the impact of migration and acculturation and compare and contrast the findings of our research with existing research to comprehend fully the impact of migration and acculturation.</w:t>
            </w:r>
          </w:p>
        </w:tc>
        <w:tc>
          <w:tcPr>
            <w:tcW w:w="1684" w:type="dxa"/>
          </w:tcPr>
          <w:p w14:paraId="626A6527"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6 students (2 males and 4 females, within the age range 18–25) who had studied in the UK, and are now medical students at the Medical University of Varna, Bulgaria were interviewed about their experiences as an international student in the UK.</w:t>
            </w:r>
          </w:p>
        </w:tc>
        <w:tc>
          <w:tcPr>
            <w:tcW w:w="1248" w:type="dxa"/>
          </w:tcPr>
          <w:p w14:paraId="26B77AD6"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found that Indian students missed the intimacy and informality of their friendships back home, which further led to mental health issues.</w:t>
            </w:r>
          </w:p>
        </w:tc>
        <w:tc>
          <w:tcPr>
            <w:tcW w:w="937" w:type="dxa"/>
          </w:tcPr>
          <w:p w14:paraId="67F02C45"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via interviews using a semi-standardized format.</w:t>
            </w:r>
          </w:p>
        </w:tc>
        <w:tc>
          <w:tcPr>
            <w:tcW w:w="878" w:type="dxa"/>
          </w:tcPr>
          <w:p w14:paraId="03DF4CAE" w14:textId="77777777" w:rsidR="008F1B4E" w:rsidRPr="00387A17" w:rsidRDefault="008F1B4E" w:rsidP="00713664">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387A17">
              <w:t>Thematic analysis</w:t>
            </w:r>
          </w:p>
        </w:tc>
        <w:tc>
          <w:tcPr>
            <w:tcW w:w="1841" w:type="dxa"/>
          </w:tcPr>
          <w:p w14:paraId="288D5B1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Language barriers and culture shock were the biggest struggles, according to the respondents, due to different ethnic backgrounds, cultures and values.</w:t>
            </w:r>
          </w:p>
        </w:tc>
      </w:tr>
      <w:tr w:rsidR="008F1B4E" w:rsidRPr="00387A17" w14:paraId="399B3878" w14:textId="77777777" w:rsidTr="00713664">
        <w:trPr>
          <w:cnfStyle w:val="000000100000" w:firstRow="0" w:lastRow="0" w:firstColumn="0" w:lastColumn="0" w:oddVBand="0" w:evenVBand="0" w:oddHBand="1" w:evenHBand="0" w:firstRowFirstColumn="0" w:firstRowLastColumn="0" w:lastRowFirstColumn="0" w:lastRowLastColumn="0"/>
          <w:trHeight w:val="5374"/>
        </w:trPr>
        <w:tc>
          <w:tcPr>
            <w:cnfStyle w:val="001000000000" w:firstRow="0" w:lastRow="0" w:firstColumn="1" w:lastColumn="0" w:oddVBand="0" w:evenVBand="0" w:oddHBand="0" w:evenHBand="0" w:firstRowFirstColumn="0" w:firstRowLastColumn="0" w:lastRowFirstColumn="0" w:lastRowLastColumn="0"/>
            <w:tcW w:w="1257" w:type="dxa"/>
          </w:tcPr>
          <w:p w14:paraId="1E3B321B"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eastAsia="Times New Roman" w:hAnsi="Times New Roman"/>
                <w:i w:val="0"/>
                <w:iCs w:val="0"/>
                <w:sz w:val="24"/>
                <w:szCs w:val="24"/>
                <w:lang w:eastAsia="en-GB"/>
              </w:rPr>
              <w:lastRenderedPageBreak/>
              <w:t>Bradley, G., 2000. Responding effectively to the mental health needs of international students. Higher Education, 39, pp.417-433.</w:t>
            </w:r>
          </w:p>
        </w:tc>
        <w:tc>
          <w:tcPr>
            <w:tcW w:w="1221" w:type="dxa"/>
          </w:tcPr>
          <w:p w14:paraId="5FFE048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Cs w:val="24"/>
                <w:lang w:eastAsia="en-GB"/>
              </w:rPr>
            </w:pPr>
            <w:r w:rsidRPr="00387A17">
              <w:rPr>
                <w:rFonts w:ascii="Times New Roman" w:eastAsia="Times New Roman" w:hAnsi="Times New Roman"/>
                <w:szCs w:val="24"/>
                <w:lang w:eastAsia="en-GB"/>
              </w:rPr>
              <w:t>Describes the difficulties academic staff experience when responding to students with mental health problems and considers the potential of academic staff, student groups and the policies of the institution of higher education to contribute to improvements of the welfare of international students.</w:t>
            </w:r>
          </w:p>
        </w:tc>
        <w:tc>
          <w:tcPr>
            <w:tcW w:w="1684" w:type="dxa"/>
          </w:tcPr>
          <w:p w14:paraId="2F01B81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Within the University (The University of Hull) where the research took place, the current student population is 13,500 of which 10% are from overseas. Of the 10%, 47% are fee paying international students principally from Malaysia, China, Cyprus, India and Singapore, 29% are EU students paying ‘home fees’ and 24% are part of ERASMUS/Socrates programmes.</w:t>
            </w:r>
          </w:p>
        </w:tc>
        <w:tc>
          <w:tcPr>
            <w:tcW w:w="1248" w:type="dxa"/>
          </w:tcPr>
          <w:p w14:paraId="70012C6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International students voiced experience of a range of economic, social and academic pressures which appear to be different in degree and often in kind from those experienced by ‘home’ students. These factors in extreme cases may trigger and/or exacerbate mental health problems.</w:t>
            </w:r>
          </w:p>
        </w:tc>
        <w:tc>
          <w:tcPr>
            <w:tcW w:w="937" w:type="dxa"/>
          </w:tcPr>
          <w:p w14:paraId="7810DBD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8" w:type="dxa"/>
          </w:tcPr>
          <w:p w14:paraId="39CE5C9C"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1" w:type="dxa"/>
          </w:tcPr>
          <w:p w14:paraId="3CC3AB9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This research connects its findings to the broader literature on cross-cultural awareness and counselling. This research considers strategies for addressing the welfare needs of international students, referencing the roles of academic staff, student groups, and higher education institution policies.</w:t>
            </w:r>
          </w:p>
        </w:tc>
      </w:tr>
      <w:tr w:rsidR="008F1B4E" w:rsidRPr="00387A17" w14:paraId="2E0E24DC" w14:textId="77777777" w:rsidTr="00713664">
        <w:trPr>
          <w:trHeight w:val="3393"/>
        </w:trPr>
        <w:tc>
          <w:tcPr>
            <w:cnfStyle w:val="001000000000" w:firstRow="0" w:lastRow="0" w:firstColumn="1" w:lastColumn="0" w:oddVBand="0" w:evenVBand="0" w:oddHBand="0" w:evenHBand="0" w:firstRowFirstColumn="0" w:firstRowLastColumn="0" w:lastRowFirstColumn="0" w:lastRowLastColumn="0"/>
            <w:tcW w:w="1257" w:type="dxa"/>
          </w:tcPr>
          <w:p w14:paraId="12D2214C"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proofErr w:type="spellStart"/>
            <w:r w:rsidRPr="00387A17">
              <w:rPr>
                <w:rFonts w:ascii="Times New Roman" w:eastAsia="Times New Roman" w:hAnsi="Times New Roman"/>
                <w:i w:val="0"/>
                <w:iCs w:val="0"/>
                <w:sz w:val="24"/>
                <w:szCs w:val="24"/>
                <w:lang w:eastAsia="en-GB"/>
              </w:rPr>
              <w:lastRenderedPageBreak/>
              <w:t>Alloh</w:t>
            </w:r>
            <w:proofErr w:type="spellEnd"/>
            <w:r w:rsidRPr="00387A17">
              <w:rPr>
                <w:rFonts w:ascii="Times New Roman" w:eastAsia="Times New Roman" w:hAnsi="Times New Roman"/>
                <w:i w:val="0"/>
                <w:iCs w:val="0"/>
                <w:sz w:val="24"/>
                <w:szCs w:val="24"/>
                <w:lang w:eastAsia="en-GB"/>
              </w:rPr>
              <w:t>, F., Tait, D. and Taylor, C., 2018. Away from home: A qualitative exploration of health experiences of Nigerian students in UK university. Journal of International Students, 8(1), pp.1-20.</w:t>
            </w:r>
          </w:p>
        </w:tc>
        <w:tc>
          <w:tcPr>
            <w:tcW w:w="1221" w:type="dxa"/>
          </w:tcPr>
          <w:p w14:paraId="225421F3"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explored the factors that contribute to the health experience of Nigerian students in the United Kingdom.</w:t>
            </w:r>
          </w:p>
        </w:tc>
        <w:tc>
          <w:tcPr>
            <w:tcW w:w="1684" w:type="dxa"/>
          </w:tcPr>
          <w:p w14:paraId="10A729B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Nine students from Bournemouth University, United Kingdom</w:t>
            </w:r>
          </w:p>
        </w:tc>
        <w:tc>
          <w:tcPr>
            <w:tcW w:w="1248" w:type="dxa"/>
          </w:tcPr>
          <w:p w14:paraId="77F915E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Isolation, loneliness, social exclusion, depression, acculturative stress, security challenges, and limited healthcare access are some of the challenges faced by international students</w:t>
            </w:r>
          </w:p>
        </w:tc>
        <w:tc>
          <w:tcPr>
            <w:tcW w:w="937" w:type="dxa"/>
          </w:tcPr>
          <w:p w14:paraId="29CAC58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using semi-structured interviews</w:t>
            </w:r>
          </w:p>
        </w:tc>
        <w:tc>
          <w:tcPr>
            <w:tcW w:w="878" w:type="dxa"/>
          </w:tcPr>
          <w:p w14:paraId="630931F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content analysis and Interpretative phenomenological analysis (IPA) to interpret themes.</w:t>
            </w:r>
          </w:p>
        </w:tc>
        <w:tc>
          <w:tcPr>
            <w:tcW w:w="1841" w:type="dxa"/>
          </w:tcPr>
          <w:p w14:paraId="72CFEEE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findings have practical implications for Nigerian students' wellbeing in a U.K. university</w:t>
            </w:r>
          </w:p>
        </w:tc>
      </w:tr>
    </w:tbl>
    <w:p w14:paraId="6FA8E442" w14:textId="77777777" w:rsidR="008F1B4E" w:rsidRPr="00387A17" w:rsidRDefault="008F1B4E" w:rsidP="008F1B4E">
      <w:pPr>
        <w:spacing w:line="360" w:lineRule="auto"/>
        <w:rPr>
          <w:rFonts w:ascii="Times New Roman" w:hAnsi="Times New Roman"/>
          <w:b/>
          <w:bCs/>
          <w:szCs w:val="24"/>
        </w:rPr>
      </w:pPr>
    </w:p>
    <w:p w14:paraId="3D49BE19" w14:textId="77777777" w:rsidR="008F1B4E" w:rsidRPr="00387A17" w:rsidRDefault="008F1B4E" w:rsidP="008F1B4E">
      <w:pPr>
        <w:rPr>
          <w:rFonts w:ascii="Times New Roman" w:hAnsi="Times New Roman"/>
          <w:b/>
          <w:bCs/>
          <w:szCs w:val="24"/>
        </w:rPr>
      </w:pPr>
    </w:p>
    <w:p w14:paraId="395559AC"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t>Discussion</w:t>
      </w:r>
    </w:p>
    <w:p w14:paraId="1A5DFC38" w14:textId="77777777" w:rsidR="00FB1BEC" w:rsidRPr="00387A17" w:rsidRDefault="00FB1BEC" w:rsidP="00FB1BEC">
      <w:pPr>
        <w:spacing w:line="360" w:lineRule="auto"/>
        <w:jc w:val="both"/>
        <w:rPr>
          <w:rFonts w:ascii="Times New Roman" w:eastAsia="Times New Roman" w:hAnsi="Times New Roman"/>
          <w:szCs w:val="24"/>
          <w:lang w:eastAsia="en-GB"/>
        </w:rPr>
      </w:pPr>
    </w:p>
    <w:p w14:paraId="22A1B6EE"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In this study, five themes have been identified as significant challenges that pose risks to the mental health of international students. These themes include cultural adjustment (Frampton et al., 2022; Siby et al., 2021), language barriers (Frampton et al., 2022; Bradley, 2000), support (Bradley, 2000), social networks (Frampton et al., 2022; Bradley, 2000), and stigma (Bradley, 2000; </w:t>
      </w: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xml:space="preserve"> et al., 2018). These factors collectively influence the psychological well-being of international students, highlighting the need for targeted interventions and support systems to address these challenges and promote a healthier academic and social environment. </w:t>
      </w:r>
      <w:r w:rsidRPr="00387A17">
        <w:rPr>
          <w:rFonts w:ascii="Times New Roman" w:hAnsi="Times New Roman"/>
          <w:szCs w:val="24"/>
        </w:rPr>
        <w:t>This review shows that migration is linked to the mental health of international students. Most of the studies considered alluded to this, concurring that the factors that accompany migration discussed above negatively affect the mental health of international students, leading to mental health outcomes such as anxiety, depression, etc.</w:t>
      </w:r>
    </w:p>
    <w:p w14:paraId="30F37FFC" w14:textId="77777777" w:rsidR="00FB1BEC" w:rsidRPr="00387A17" w:rsidRDefault="00FB1BEC" w:rsidP="00FB1BEC">
      <w:pPr>
        <w:spacing w:line="360" w:lineRule="auto"/>
        <w:jc w:val="both"/>
        <w:rPr>
          <w:rFonts w:ascii="Times New Roman" w:hAnsi="Times New Roman"/>
          <w:szCs w:val="24"/>
        </w:rPr>
      </w:pPr>
    </w:p>
    <w:p w14:paraId="0881B0E1" w14:textId="77777777" w:rsidR="00FB1BEC" w:rsidRPr="00387A17" w:rsidRDefault="00FB1BEC" w:rsidP="00FB1BEC">
      <w:pPr>
        <w:spacing w:line="360" w:lineRule="auto"/>
        <w:jc w:val="both"/>
        <w:rPr>
          <w:rFonts w:ascii="Times New Roman" w:hAnsi="Times New Roman"/>
          <w:szCs w:val="24"/>
        </w:rPr>
      </w:pPr>
      <w:r w:rsidRPr="00387A17">
        <w:rPr>
          <w:rFonts w:ascii="Times New Roman" w:eastAsia="Times New Roman" w:hAnsi="Times New Roman"/>
          <w:szCs w:val="24"/>
          <w:lang w:eastAsia="en-GB"/>
        </w:rPr>
        <w:lastRenderedPageBreak/>
        <w:t xml:space="preserve">For example, cultural differences have been shown to impact how international students seek mental health services. Most international students in the UK are young (King et al., 2010), and from Asia and Africa (IIE, 2024), and according to Lee et al. (2009), Bhugra et al. (2014) and Lipson et al. (2018), in African and Asian cultures, young people use little to no mental health services. This is because it might be considered a weakness to express emotions, in contrast to European or Western cultures (Gulliver et al., 2010; Kim et al., 1999). This might suggest that African and Asian students might fear stigmatisation from friends, families or fellow countrymen and also lack trust in the mental health services of the UK (LI et al., 2016;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 Therefore, t</w:t>
      </w:r>
      <w:r w:rsidRPr="00387A17">
        <w:rPr>
          <w:rFonts w:ascii="Times New Roman" w:hAnsi="Times New Roman"/>
          <w:szCs w:val="24"/>
        </w:rPr>
        <w:t>he stigma surrounding mental health remains a pervasive barrier to seeking help, particularly for international students from cultures where mental health issues are not openly acknowledged.</w:t>
      </w:r>
    </w:p>
    <w:p w14:paraId="726B6268" w14:textId="77777777" w:rsidR="00FB1BEC" w:rsidRPr="00387A17" w:rsidRDefault="00FB1BEC" w:rsidP="00FB1BEC">
      <w:pPr>
        <w:spacing w:line="360" w:lineRule="auto"/>
        <w:jc w:val="both"/>
        <w:rPr>
          <w:rFonts w:ascii="Times New Roman" w:hAnsi="Times New Roman"/>
          <w:szCs w:val="24"/>
        </w:rPr>
      </w:pPr>
    </w:p>
    <w:p w14:paraId="1CAB123D" w14:textId="77777777" w:rsidR="00FB1BEC" w:rsidRPr="00387A17" w:rsidRDefault="00FB1BEC" w:rsidP="00FB1BEC">
      <w:pPr>
        <w:spacing w:line="360" w:lineRule="auto"/>
        <w:jc w:val="both"/>
        <w:rPr>
          <w:rFonts w:ascii="Times New Roman" w:eastAsiaTheme="minorHAnsi" w:hAnsi="Times New Roman"/>
          <w:szCs w:val="24"/>
        </w:rPr>
      </w:pPr>
      <w:r w:rsidRPr="00387A17">
        <w:rPr>
          <w:rFonts w:ascii="Times New Roman" w:hAnsi="Times New Roman"/>
          <w:szCs w:val="24"/>
        </w:rPr>
        <w:t>The reluctance of students to use counselling services due to the associated stigma and the visibility of such services underscores the need for more discreet and stigma-free support options. The broader literature confirms that stigma not only prevents individuals from seeking necessary help but also contributes to the deterioration of their mental health, emphasizing the importance of addressing these societal attitudes. Addressing this requires a two-fold approach: normalizing conversations around mental health and embedding culturally sensitive outreach into institutional practices as suggested by Armstrong-Astley et al., (2022).</w:t>
      </w:r>
    </w:p>
    <w:p w14:paraId="69E77BB5" w14:textId="77777777" w:rsidR="00FB1BEC" w:rsidRPr="00387A17" w:rsidRDefault="00FB1BEC" w:rsidP="00FB1BEC">
      <w:pPr>
        <w:spacing w:line="360" w:lineRule="auto"/>
        <w:jc w:val="both"/>
        <w:rPr>
          <w:rFonts w:ascii="Times New Roman" w:hAnsi="Times New Roman"/>
          <w:szCs w:val="24"/>
        </w:rPr>
      </w:pPr>
    </w:p>
    <w:p w14:paraId="7081CEE1"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Migration introduces significant cultural adjustments that often result in stress and anxiety among international students. Acculturative stress shows that adapting to a new culture can challenge one's identity, coping mechanisms, and sense of belonging (Desa et al., 2012). Frampton et al. (2022) and Siby et al. (2021) indicate that cultural differences, such as unfamiliar academic expectations, contribute to stress and anxiety among students. For instance, one student expressed how they initially underestimated the culture shock and subsequent anxiety they would face upon moving to London (Frampton et al., 2022). This aligns with broader research that emphasises the significant impact that cultural dissonance has on mental health and how the mismatch between students’ expectations and the realities of their new environments exacerbates their emotional strain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xml:space="preserve">). Lim (2016) also echoes these sentiments, noting the amplified challenges faced by international students due to the compounded stress of adapting to a new </w:t>
      </w:r>
      <w:r w:rsidRPr="00387A17">
        <w:rPr>
          <w:rFonts w:ascii="Times New Roman" w:hAnsi="Times New Roman"/>
          <w:szCs w:val="24"/>
        </w:rPr>
        <w:lastRenderedPageBreak/>
        <w:t>environment, which can lead to significant distress. These findings point to the importance of pre-departure preparation and cultural orientation programs to reduce the psychological toll of migration.</w:t>
      </w:r>
    </w:p>
    <w:p w14:paraId="3EEA7ECE" w14:textId="77777777" w:rsidR="00FB1BEC" w:rsidRPr="00387A17" w:rsidRDefault="00FB1BEC" w:rsidP="00FB1BEC">
      <w:pPr>
        <w:spacing w:line="360" w:lineRule="auto"/>
        <w:jc w:val="both"/>
        <w:rPr>
          <w:rFonts w:ascii="Times New Roman" w:hAnsi="Times New Roman"/>
          <w:szCs w:val="24"/>
        </w:rPr>
      </w:pPr>
    </w:p>
    <w:p w14:paraId="450F826C"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Yeh &amp; Inose (2012) identify language proficiency as a critical factor in reducing loneliness and promoting adjustment. This is especially important for international students as language barriers emerge as a significant impediment to social integration and self-expression (Mesidor &amp; Sly, 2016). Language barriers significantly hinder international student’s ability to integrate socially and academically, these barriers reflect a double burden, the need to perform academically while simultaneously navigating a linguistic and cultural gap (Lai et al., 2021). Frampton et al. (2022) and Bradley (2000) document how poor language skills hinder students from fully engaging in social and academic settings. This barrier not only affects their academic performance but also their ability to form meaningful social connections, leading to increased isolation and stress (</w:t>
      </w:r>
      <w:r w:rsidRPr="00387A17">
        <w:rPr>
          <w:rFonts w:ascii="Times New Roman" w:eastAsia="Times New Roman" w:hAnsi="Times New Roman"/>
          <w:szCs w:val="24"/>
          <w:lang w:eastAsia="en-GB"/>
        </w:rPr>
        <w:t>Andrade, 2006</w:t>
      </w:r>
      <w:r w:rsidRPr="00387A17">
        <w:rPr>
          <w:rFonts w:ascii="Times New Roman" w:hAnsi="Times New Roman"/>
          <w:szCs w:val="24"/>
        </w:rPr>
        <w:t>). These struggles with racism and managing academic expectations in a second language illuminate the compounded challenges faced by students who cannot fully communicate their needs or experiences. These findings emphasise the critical importance of offering robust language support programs to improve language proficiency, foster a sense of belonging and reduce isolation (Storch &amp; Hill, 2008).</w:t>
      </w:r>
    </w:p>
    <w:p w14:paraId="7F0B3E0D" w14:textId="77777777" w:rsidR="00FB1BEC" w:rsidRPr="00387A17" w:rsidRDefault="00FB1BEC" w:rsidP="00FB1BEC">
      <w:pPr>
        <w:spacing w:line="360" w:lineRule="auto"/>
        <w:jc w:val="both"/>
        <w:rPr>
          <w:rFonts w:ascii="Times New Roman" w:hAnsi="Times New Roman"/>
          <w:szCs w:val="24"/>
        </w:rPr>
      </w:pPr>
    </w:p>
    <w:p w14:paraId="6D586A3D"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The availability and accessibility of psychological support are pivotal in mitigating the challenges international students face. The theme of support was particularly evident in Bradley's (2000) study, his findings underline the critical role of support systems in addressing the mental health challenges of international students. However, the difficulty in engaging students with mental health challenges, such as reluctance to seek help, disclose struggles and a lack of culturally sensitive resources, often hinder effective intervention. The observations about students' unwillingness to disclose their mental health struggles and the need for a “safe place of refuge” point to systemic gaps in support structures. These findings align with wider literature, such as the WHO’s recognition of the mental health gap for migrants, which highlights how systemic barriers prevent access to timely and effective care (</w:t>
      </w:r>
      <w:proofErr w:type="spellStart"/>
      <w:r w:rsidRPr="00387A17">
        <w:rPr>
          <w:rFonts w:ascii="Times New Roman" w:hAnsi="Times New Roman"/>
          <w:szCs w:val="24"/>
        </w:rPr>
        <w:t>Akhiba</w:t>
      </w:r>
      <w:proofErr w:type="spellEnd"/>
      <w:r w:rsidRPr="00387A17">
        <w:rPr>
          <w:rFonts w:ascii="Times New Roman" w:hAnsi="Times New Roman"/>
          <w:szCs w:val="24"/>
        </w:rPr>
        <w:t xml:space="preserve"> et al., 2024). Moreover, the need for safe spaces mentioned by one of the students interviewed reinforces the importance of providing culturally competent mental health services that prioritise confidentiality and trust-building. This reflects the </w:t>
      </w:r>
      <w:r w:rsidRPr="00387A17">
        <w:rPr>
          <w:rFonts w:ascii="Times New Roman" w:hAnsi="Times New Roman"/>
          <w:szCs w:val="24"/>
        </w:rPr>
        <w:lastRenderedPageBreak/>
        <w:t>need for institutions to create culturally sensitive and accessible mental health resources that address both psychological and cultural needs.</w:t>
      </w:r>
    </w:p>
    <w:p w14:paraId="73F08731" w14:textId="77777777" w:rsidR="00FB1BEC" w:rsidRPr="00387A17" w:rsidRDefault="00FB1BEC" w:rsidP="00FB1BEC">
      <w:pPr>
        <w:spacing w:line="360" w:lineRule="auto"/>
        <w:jc w:val="both"/>
        <w:rPr>
          <w:rFonts w:ascii="Times New Roman" w:hAnsi="Times New Roman"/>
          <w:szCs w:val="24"/>
        </w:rPr>
      </w:pPr>
    </w:p>
    <w:p w14:paraId="6D7F4554"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A lack of social support compounds the psychological and emotional burdens of international students, as these students report feelings of exclusion and marginalisation (Frampton et al, 2022). The misalignment between their cultural values and the dominant social norms in the UK might deepen their sense of alienation. Social integration is a critical protective factor for mental health, and its absence increases vulnerability to loneliness and depression (</w:t>
      </w: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xml:space="preserve"> et al., 2015</w:t>
      </w:r>
      <w:r w:rsidRPr="00387A17">
        <w:rPr>
          <w:rFonts w:ascii="Times New Roman" w:hAnsi="Times New Roman"/>
          <w:szCs w:val="24"/>
        </w:rPr>
        <w:t>). For example, the constant reminders of their 'outsider' status through visa checks and other institutional practices, contribute to a sense of exclusion (</w:t>
      </w:r>
      <w:r w:rsidRPr="00387A17">
        <w:rPr>
          <w:rFonts w:ascii="Times New Roman" w:eastAsia="Times New Roman" w:hAnsi="Times New Roman"/>
          <w:szCs w:val="24"/>
          <w:lang w:eastAsia="en-GB"/>
        </w:rPr>
        <w:t>Domínguez et al., 2022</w:t>
      </w:r>
      <w:r w:rsidRPr="00387A17">
        <w:rPr>
          <w:rFonts w:ascii="Times New Roman" w:hAnsi="Times New Roman"/>
          <w:szCs w:val="24"/>
        </w:rPr>
        <w:t>). This highlights the necessity for universities to foster inclusive environments that support the building of diverse social networks. Frampton et al. (2022) and Bradley (2000) underscore the importance of social networks in mitigating stress and anxiety among international students. However, the difficulty in establishing these networks due to cultural differences and social anxiety is a major challenge. The lack of alignment between students’ social expectations and their experiences is well documented in studies of international students both in the UK and other European and American countries (Furnham</w:t>
      </w:r>
      <w:r w:rsidRPr="00387A17">
        <w:rPr>
          <w:rFonts w:ascii="Times New Roman" w:eastAsia="Times New Roman" w:hAnsi="Times New Roman"/>
          <w:szCs w:val="24"/>
          <w:lang w:eastAsia="en-GB"/>
        </w:rPr>
        <w:t>, 2002; Domínguez</w:t>
      </w:r>
      <w:r w:rsidRPr="00387A17">
        <w:rPr>
          <w:rFonts w:ascii="Times New Roman" w:hAnsi="Times New Roman"/>
          <w:szCs w:val="24"/>
        </w:rPr>
        <w:t xml:space="preserve"> et al., 2022; Hyseni Duraku et al., 2024), where international students often study.</w:t>
      </w:r>
    </w:p>
    <w:p w14:paraId="4693A253" w14:textId="77777777" w:rsidR="00FB1BEC" w:rsidRPr="00387A17" w:rsidRDefault="00FB1BEC" w:rsidP="00FB1BEC">
      <w:pPr>
        <w:spacing w:line="360" w:lineRule="auto"/>
        <w:jc w:val="both"/>
        <w:rPr>
          <w:rFonts w:ascii="Times New Roman" w:hAnsi="Times New Roman"/>
          <w:szCs w:val="24"/>
        </w:rPr>
      </w:pPr>
    </w:p>
    <w:p w14:paraId="28C718E7" w14:textId="72CA38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range of challenges faced by international students, including cultural adjustment, language barriers, and lack of support, significantly affects their mental health. As noted by Frampton et al. (2022), Bradley (2000), and </w:t>
      </w:r>
      <w:proofErr w:type="spellStart"/>
      <w:r w:rsidRPr="00387A17">
        <w:rPr>
          <w:rFonts w:ascii="Times New Roman" w:hAnsi="Times New Roman"/>
          <w:szCs w:val="24"/>
        </w:rPr>
        <w:t>Alloh</w:t>
      </w:r>
      <w:proofErr w:type="spellEnd"/>
      <w:r w:rsidRPr="00387A17">
        <w:rPr>
          <w:rFonts w:ascii="Times New Roman" w:hAnsi="Times New Roman"/>
          <w:szCs w:val="24"/>
        </w:rPr>
        <w:t xml:space="preserve"> et al. (2018), international students experience acculturative stress, which can lead to depression, loneliness, and loss of self-worth. These findings highlight the intersecting challenges that international students face, including cultural shock, dietary changes, sleep disturbances, and racial discrimination. For example, migrant international students might experience a compounded burden due to systemic racism (Lee &amp; Rice, 2007; </w:t>
      </w:r>
      <w:r w:rsidRPr="00387A17">
        <w:rPr>
          <w:rFonts w:ascii="Times New Roman" w:eastAsia="Times New Roman" w:hAnsi="Times New Roman"/>
          <w:szCs w:val="24"/>
          <w:lang w:eastAsia="en-GB"/>
        </w:rPr>
        <w:t>Gillborn, 2014</w:t>
      </w:r>
      <w:r w:rsidRPr="00387A17">
        <w:rPr>
          <w:rFonts w:ascii="Times New Roman" w:hAnsi="Times New Roman"/>
          <w:szCs w:val="24"/>
        </w:rPr>
        <w:t>). The additional burden of adjusting to new lifestyles and academic demands can further exacerbate these issues, highlighting the need for comprehensive support mechanisms to address these multifaceted challenges</w:t>
      </w:r>
      <w:sdt>
        <w:sdtPr>
          <w:rPr>
            <w:rFonts w:ascii="Times New Roman" w:hAnsi="Times New Roman"/>
            <w:color w:val="000000"/>
            <w:szCs w:val="24"/>
          </w:rPr>
          <w:tag w:val="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
          <w:id w:val="1671289056"/>
          <w:placeholder>
            <w:docPart w:val="DefaultPlaceholder_-1854013440"/>
          </w:placeholder>
        </w:sdtPr>
        <w:sdtContent>
          <w:r w:rsidR="006576C2" w:rsidRPr="006576C2">
            <w:rPr>
              <w:rFonts w:ascii="Times New Roman" w:hAnsi="Times New Roman"/>
              <w:color w:val="000000"/>
              <w:szCs w:val="24"/>
            </w:rPr>
            <w:t>[1]</w:t>
          </w:r>
        </w:sdtContent>
      </w:sdt>
      <w:r w:rsidRPr="00387A17">
        <w:rPr>
          <w:rFonts w:ascii="Times New Roman" w:hAnsi="Times New Roman"/>
          <w:szCs w:val="24"/>
        </w:rPr>
        <w:t xml:space="preserve">. This is the same as findings from other studies conducted among international students studying elsewhere in Europe and America (Lee &amp; Rice 2007; </w:t>
      </w:r>
      <w:proofErr w:type="spellStart"/>
      <w:r w:rsidRPr="00387A17">
        <w:rPr>
          <w:rFonts w:ascii="Times New Roman" w:hAnsi="Times New Roman"/>
          <w:szCs w:val="24"/>
        </w:rPr>
        <w:t>Dombou</w:t>
      </w:r>
      <w:proofErr w:type="spellEnd"/>
      <w:r w:rsidRPr="00387A17">
        <w:rPr>
          <w:rFonts w:ascii="Times New Roman" w:hAnsi="Times New Roman"/>
          <w:szCs w:val="24"/>
        </w:rPr>
        <w:t xml:space="preserve"> et al., 2023)</w:t>
      </w:r>
    </w:p>
    <w:p w14:paraId="79132C15" w14:textId="77777777" w:rsidR="00FB1BEC" w:rsidRPr="00387A17" w:rsidRDefault="00FB1BEC" w:rsidP="00FB1BEC">
      <w:pPr>
        <w:spacing w:line="360" w:lineRule="auto"/>
        <w:jc w:val="both"/>
        <w:rPr>
          <w:rFonts w:ascii="Times New Roman" w:hAnsi="Times New Roman"/>
          <w:szCs w:val="24"/>
        </w:rPr>
      </w:pPr>
    </w:p>
    <w:p w14:paraId="6F8F1D7C" w14:textId="77777777" w:rsidR="00FB1BEC" w:rsidRPr="00387A17" w:rsidRDefault="00FB1BEC" w:rsidP="00FB1BEC">
      <w:pPr>
        <w:spacing w:line="360" w:lineRule="auto"/>
        <w:jc w:val="both"/>
        <w:rPr>
          <w:rFonts w:ascii="Times New Roman" w:hAnsi="Times New Roman"/>
          <w:szCs w:val="24"/>
        </w:rPr>
      </w:pPr>
    </w:p>
    <w:p w14:paraId="606B01A0"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In a broader context, </w:t>
      </w:r>
      <w:r w:rsidRPr="00387A17">
        <w:rPr>
          <w:rFonts w:ascii="Times New Roman" w:eastAsia="Times New Roman" w:hAnsi="Times New Roman"/>
          <w:szCs w:val="24"/>
          <w:lang w:eastAsia="en-GB"/>
        </w:rPr>
        <w:t xml:space="preserve">all of these themes can be linked to migration and are consistent with other </w:t>
      </w:r>
      <w:r w:rsidRPr="00387A17">
        <w:rPr>
          <w:rFonts w:ascii="Times New Roman" w:hAnsi="Times New Roman"/>
          <w:szCs w:val="24"/>
        </w:rPr>
        <w:t xml:space="preserve">research on international students' mental health </w:t>
      </w:r>
      <w:r w:rsidRPr="00387A17">
        <w:rPr>
          <w:rFonts w:ascii="Times New Roman" w:eastAsia="Times New Roman" w:hAnsi="Times New Roman"/>
          <w:szCs w:val="24"/>
          <w:lang w:eastAsia="en-GB"/>
        </w:rPr>
        <w:t xml:space="preserve">in regions like America and other parts of Europe (Mori, 2000; Lee et al., 2004; Domínguez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which identifies stigma, language barriers, and cultural adjustment as significant challenges</w:t>
      </w:r>
      <w:r w:rsidRPr="00387A17">
        <w:rPr>
          <w:rFonts w:ascii="Times New Roman" w:eastAsia="Times New Roman" w:hAnsi="Times New Roman"/>
          <w:szCs w:val="24"/>
          <w:lang w:eastAsia="en-GB"/>
        </w:rPr>
        <w:t xml:space="preserve"> that migration has caused.  </w:t>
      </w:r>
      <w:r w:rsidRPr="00387A17">
        <w:rPr>
          <w:rFonts w:ascii="Times New Roman" w:hAnsi="Times New Roman"/>
          <w:szCs w:val="24"/>
        </w:rPr>
        <w:t>Although international studies consistently emphasise the necessity of inclusive social settings and diverse and culturally responsive learning environments, identifying how these settings meet the needs of international students is important for understanding their mental health. Therefore, addressing these issues requires a comprehensive strategy that considers the unique circumstances of international students and advocates for policies and procedures to enhance their mental health and overall well-being.</w:t>
      </w:r>
    </w:p>
    <w:p w14:paraId="042A4067" w14:textId="77777777" w:rsidR="00FB1BEC" w:rsidRPr="00387A17" w:rsidRDefault="00FB1BEC" w:rsidP="00FB1BEC">
      <w:pPr>
        <w:spacing w:line="360" w:lineRule="auto"/>
        <w:jc w:val="both"/>
        <w:rPr>
          <w:rFonts w:ascii="Times New Roman" w:hAnsi="Times New Roman"/>
          <w:b/>
          <w:bCs/>
          <w:szCs w:val="24"/>
        </w:rPr>
      </w:pPr>
    </w:p>
    <w:p w14:paraId="63F56AC2" w14:textId="77777777" w:rsidR="00FB1BEC" w:rsidRPr="00387A17" w:rsidRDefault="00FB1BEC" w:rsidP="00FB1BEC">
      <w:pPr>
        <w:rPr>
          <w:rFonts w:ascii="Times New Roman" w:hAnsi="Times New Roman"/>
          <w:b/>
          <w:bCs/>
          <w:szCs w:val="24"/>
        </w:rPr>
      </w:pPr>
      <w:r w:rsidRPr="00387A17">
        <w:rPr>
          <w:rFonts w:ascii="Times New Roman" w:hAnsi="Times New Roman"/>
          <w:b/>
          <w:bCs/>
          <w:szCs w:val="24"/>
        </w:rPr>
        <w:br w:type="page"/>
      </w:r>
    </w:p>
    <w:p w14:paraId="590D8F48"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 xml:space="preserve">Strengths and Limitations </w:t>
      </w:r>
    </w:p>
    <w:p w14:paraId="783EB231" w14:textId="77777777" w:rsidR="00FB1BEC" w:rsidRPr="00387A17" w:rsidRDefault="00FB1BEC" w:rsidP="00FB1BEC">
      <w:pPr>
        <w:spacing w:line="360" w:lineRule="auto"/>
        <w:jc w:val="both"/>
        <w:rPr>
          <w:rFonts w:ascii="Times New Roman" w:hAnsi="Times New Roman"/>
          <w:szCs w:val="24"/>
        </w:rPr>
      </w:pPr>
    </w:p>
    <w:p w14:paraId="05A27DDB" w14:textId="66DBD24C" w:rsidR="00FB1BEC" w:rsidRPr="00FB1BEC"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The primary strength of this review is its methodological approach, following a pre-defined protocol that enabled the selection of qualitative methodology articles that fit set eligibility criteria. </w:t>
      </w:r>
      <w:r w:rsidRPr="00387A17">
        <w:rPr>
          <w:rFonts w:ascii="Times New Roman" w:eastAsia="Times New Roman" w:hAnsi="Times New Roman"/>
          <w:szCs w:val="24"/>
          <w:lang w:eastAsia="en-GB"/>
        </w:rPr>
        <w:t xml:space="preserve">However, there are several limitations in this review. First is the potential for missing of articles not published in the English language, as only studies written in English were considered. By only including articles written in English, we may have overlooked relevant studies published in other languages. </w:t>
      </w:r>
      <w:r>
        <w:rPr>
          <w:rFonts w:ascii="Times New Roman" w:eastAsia="Times New Roman" w:hAnsi="Times New Roman"/>
          <w:szCs w:val="24"/>
          <w:lang w:eastAsia="en-GB"/>
        </w:rPr>
        <w:t xml:space="preserve"> </w:t>
      </w:r>
      <w:r w:rsidRPr="00387A17">
        <w:rPr>
          <w:rFonts w:ascii="Times New Roman" w:eastAsia="Times New Roman" w:hAnsi="Times New Roman"/>
          <w:szCs w:val="24"/>
          <w:lang w:eastAsia="en-GB"/>
        </w:rPr>
        <w:t xml:space="preserve">Another limitation is the search strategy. Although 11 Databases were searched for this review, human errors might have caused the missing of relevant articles, especially those that might have been removed because of keywords that were not present in the title or abstract of such articles. Also, it is noteworthy that only one person carried out the review, and this might have contributed to the human errors. </w:t>
      </w:r>
      <w:r w:rsidRPr="00387A17">
        <w:rPr>
          <w:rFonts w:ascii="Times New Roman" w:hAnsi="Times New Roman"/>
          <w:b/>
          <w:bCs/>
          <w:szCs w:val="24"/>
        </w:rPr>
        <w:br w:type="page"/>
      </w:r>
    </w:p>
    <w:p w14:paraId="45C2DE73"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Conclusions</w:t>
      </w:r>
    </w:p>
    <w:p w14:paraId="5FDCBBD7" w14:textId="77777777" w:rsidR="00FB1BEC" w:rsidRPr="00387A17" w:rsidRDefault="00FB1BEC" w:rsidP="00FB1BEC">
      <w:pPr>
        <w:spacing w:line="360" w:lineRule="auto"/>
        <w:jc w:val="both"/>
        <w:rPr>
          <w:rFonts w:ascii="Times New Roman" w:hAnsi="Times New Roman"/>
          <w:szCs w:val="24"/>
        </w:rPr>
      </w:pPr>
    </w:p>
    <w:p w14:paraId="3D2F464B" w14:textId="64F557EC"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The four studies identified and included in this study were all qualitative, and they revealed how migration influences the mental health of international students in the UK. Four major themes were synthesised - cultural, psychological, systemic, and institutional factors – exploring how they interplay with migration. As explained by this review's themes, the review examined how these themes shaped international students' challenges and lived experiences, which contributed to mental health outcomes.</w:t>
      </w:r>
      <w:r>
        <w:rPr>
          <w:rFonts w:ascii="Times New Roman" w:hAnsi="Times New Roman"/>
          <w:szCs w:val="24"/>
        </w:rPr>
        <w:t xml:space="preserve"> </w:t>
      </w:r>
      <w:r w:rsidRPr="00387A17">
        <w:rPr>
          <w:rFonts w:ascii="Times New Roman" w:hAnsi="Times New Roman"/>
          <w:szCs w:val="24"/>
        </w:rPr>
        <w:t xml:space="preserve">The findings in this study reveal insights into the mental well-being of international students, underscoring the need for structural, cultural, and institutional changes to address the mental health needs of these students as it is essential to their well-being and vital to both their academic success and eventual integration into the UK society. </w:t>
      </w:r>
    </w:p>
    <w:p w14:paraId="7FF359A5" w14:textId="77777777" w:rsidR="00070C7D" w:rsidRDefault="00070C7D" w:rsidP="00FB1BEC">
      <w:pPr>
        <w:rPr>
          <w:rFonts w:ascii="Times New Roman" w:hAnsi="Times New Roman"/>
          <w:szCs w:val="24"/>
        </w:rPr>
      </w:pPr>
    </w:p>
    <w:p w14:paraId="17D5486E" w14:textId="77777777" w:rsidR="00070C7D" w:rsidRDefault="00070C7D" w:rsidP="00FB1BEC">
      <w:pPr>
        <w:rPr>
          <w:rFonts w:ascii="Times New Roman" w:hAnsi="Times New Roman"/>
          <w:szCs w:val="24"/>
        </w:rPr>
      </w:pPr>
    </w:p>
    <w:p w14:paraId="22FABAF5" w14:textId="77777777" w:rsidR="00070C7D" w:rsidRPr="00070C7D" w:rsidRDefault="00070C7D" w:rsidP="00070C7D">
      <w:pPr>
        <w:rPr>
          <w:rFonts w:ascii="Times New Roman" w:hAnsi="Times New Roman"/>
          <w:szCs w:val="24"/>
        </w:rPr>
      </w:pPr>
      <w:r w:rsidRPr="00070C7D">
        <w:rPr>
          <w:rFonts w:ascii="Times New Roman" w:hAnsi="Times New Roman"/>
          <w:szCs w:val="24"/>
        </w:rPr>
        <w:t>COMPETING INTERESTS DISCLAIMER:</w:t>
      </w:r>
    </w:p>
    <w:p w14:paraId="59A892DF" w14:textId="07E31DFA" w:rsidR="00FB1BEC" w:rsidRPr="00387A17" w:rsidRDefault="00070C7D" w:rsidP="00070C7D">
      <w:pPr>
        <w:rPr>
          <w:rFonts w:ascii="Times New Roman" w:hAnsi="Times New Roman"/>
          <w:szCs w:val="24"/>
        </w:rPr>
      </w:pPr>
      <w:r w:rsidRPr="00070C7D">
        <w:rPr>
          <w:rFonts w:ascii="Times New Roman" w:hAnsi="Times New Roman"/>
          <w:szCs w:val="24"/>
        </w:rPr>
        <w:t>Authors have declared that they have no known competing financial interests OR non-financial interests OR personal relationships that could have appeared to influence the work reported in this paper.</w:t>
      </w:r>
      <w:r w:rsidR="00FB1BEC" w:rsidRPr="00387A17">
        <w:rPr>
          <w:rFonts w:ascii="Times New Roman" w:hAnsi="Times New Roman"/>
          <w:szCs w:val="24"/>
        </w:rPr>
        <w:br w:type="page"/>
      </w:r>
    </w:p>
    <w:p w14:paraId="2FF85AF7" w14:textId="4BDEC0F8" w:rsidR="003C0194" w:rsidRPr="005471FE" w:rsidRDefault="00FB1BEC" w:rsidP="00FB1BEC">
      <w:pPr>
        <w:spacing w:before="100" w:beforeAutospacing="1" w:after="100" w:afterAutospacing="1" w:line="360" w:lineRule="auto"/>
        <w:jc w:val="both"/>
        <w:rPr>
          <w:rFonts w:ascii="Times New Roman" w:hAnsi="Times New Roman"/>
          <w:b/>
          <w:bCs/>
          <w:szCs w:val="24"/>
        </w:rPr>
      </w:pPr>
      <w:r w:rsidRPr="00387A17">
        <w:rPr>
          <w:rFonts w:ascii="Times New Roman" w:hAnsi="Times New Roman"/>
          <w:b/>
          <w:bCs/>
          <w:szCs w:val="24"/>
        </w:rPr>
        <w:lastRenderedPageBreak/>
        <w:t>References</w:t>
      </w:r>
    </w:p>
    <w:p w14:paraId="216C6508" w14:textId="77777777" w:rsidR="00FB1BEC" w:rsidRPr="00387A17" w:rsidRDefault="00FB1BEC" w:rsidP="00FB1BEC">
      <w:pPr>
        <w:pStyle w:val="ListParagraph"/>
        <w:rPr>
          <w:rFonts w:ascii="Times New Roman" w:hAnsi="Times New Roman"/>
          <w:szCs w:val="24"/>
        </w:rPr>
      </w:pPr>
    </w:p>
    <w:p w14:paraId="566CA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Akiba, D., Perrone, M. and </w:t>
      </w:r>
      <w:proofErr w:type="spellStart"/>
      <w:r w:rsidRPr="00387A17">
        <w:rPr>
          <w:rFonts w:ascii="Times New Roman" w:hAnsi="Times New Roman"/>
          <w:szCs w:val="24"/>
        </w:rPr>
        <w:t>Almendral</w:t>
      </w:r>
      <w:proofErr w:type="spellEnd"/>
      <w:r w:rsidRPr="00387A17">
        <w:rPr>
          <w:rFonts w:ascii="Times New Roman" w:hAnsi="Times New Roman"/>
          <w:szCs w:val="24"/>
        </w:rPr>
        <w:t>, C., 2024. Study Abroad Angst: A Literature Review on the Mental Health of International Students During COVID-19. International Journal of Environmental Research and Public Health, 21(12), p.1562.</w:t>
      </w:r>
    </w:p>
    <w:p w14:paraId="21CF9B8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Akanwa</w:t>
      </w:r>
      <w:proofErr w:type="spellEnd"/>
      <w:r w:rsidRPr="00387A17">
        <w:rPr>
          <w:rFonts w:ascii="Times New Roman" w:hAnsi="Times New Roman"/>
          <w:szCs w:val="24"/>
        </w:rPr>
        <w:t>, E.E., 2015. International students in western developed countries: History, challenges, and prospects. Journal of International students, 5(3), pp.271-284.</w:t>
      </w:r>
    </w:p>
    <w:p w14:paraId="348F6928"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p w14:paraId="7CC203D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Aljaberi</w:t>
      </w:r>
      <w:proofErr w:type="spellEnd"/>
      <w:r w:rsidRPr="00387A17">
        <w:rPr>
          <w:rFonts w:ascii="Times New Roman" w:eastAsia="Times New Roman" w:hAnsi="Times New Roman"/>
          <w:szCs w:val="24"/>
          <w:lang w:eastAsia="en-GB"/>
        </w:rPr>
        <w:t xml:space="preserve">, M.A., </w:t>
      </w:r>
      <w:proofErr w:type="spellStart"/>
      <w:r w:rsidRPr="00387A17">
        <w:rPr>
          <w:rFonts w:ascii="Times New Roman" w:eastAsia="Times New Roman" w:hAnsi="Times New Roman"/>
          <w:szCs w:val="24"/>
          <w:lang w:eastAsia="en-GB"/>
        </w:rPr>
        <w:t>Alsalahi</w:t>
      </w:r>
      <w:proofErr w:type="spellEnd"/>
      <w:r w:rsidRPr="00387A17">
        <w:rPr>
          <w:rFonts w:ascii="Times New Roman" w:eastAsia="Times New Roman" w:hAnsi="Times New Roman"/>
          <w:szCs w:val="24"/>
          <w:lang w:eastAsia="en-GB"/>
        </w:rPr>
        <w:t>, A., Juni, M.H., Noman, S., Al-</w:t>
      </w:r>
      <w:proofErr w:type="spellStart"/>
      <w:r w:rsidRPr="00387A17">
        <w:rPr>
          <w:rFonts w:ascii="Times New Roman" w:eastAsia="Times New Roman" w:hAnsi="Times New Roman"/>
          <w:szCs w:val="24"/>
          <w:lang w:eastAsia="en-GB"/>
        </w:rPr>
        <w:t>Tammemi</w:t>
      </w:r>
      <w:proofErr w:type="spellEnd"/>
      <w:r w:rsidRPr="00387A17">
        <w:rPr>
          <w:rFonts w:ascii="Times New Roman" w:eastAsia="Times New Roman" w:hAnsi="Times New Roman"/>
          <w:szCs w:val="24"/>
          <w:lang w:eastAsia="en-GB"/>
        </w:rPr>
        <w:t>, A.A.B. and Hamat, R.A., 2021. Efficacy of interventional programs in reducing acculturative stress and enhancing adjustment of international students to the new host educational environment: A systematic review and meta-analysis. International Journal of Environmental Research and Public Health, 18(15), p.7765.</w:t>
      </w:r>
    </w:p>
    <w:p w14:paraId="3A192C1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Andrade, M.S., 2006. International students in English-speaking universities: Adjustment factors. Journal of Research in International education, 5(2), pp.131-154.</w:t>
      </w:r>
    </w:p>
    <w:p w14:paraId="72BC320F"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Andrews, B. and Wilding, J.M., 2004. The relation of depression and anxiety to life‐stress and achievement in students. British journal of psychology, 95(4), pp.509-521.</w:t>
      </w:r>
    </w:p>
    <w:p w14:paraId="38D957E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t>Armstrong-Astley, R., Flynn, D., Dooley, B.A. and Fox, T., 2022. HOW COUNSELLING AND PEER-LED SERVICES CAN OPTIMISE STUDENT SUCCESS: An integrated approach to student mental health and wellbeing in higher education. Trinity College Dublin.</w:t>
      </w:r>
    </w:p>
    <w:p w14:paraId="050DBC2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Arshad, R., de Lima, P. and </w:t>
      </w:r>
      <w:proofErr w:type="spellStart"/>
      <w:r w:rsidRPr="00387A17">
        <w:rPr>
          <w:rFonts w:ascii="Times New Roman" w:hAnsi="Times New Roman"/>
          <w:szCs w:val="24"/>
        </w:rPr>
        <w:t>Konstantoni</w:t>
      </w:r>
      <w:proofErr w:type="spellEnd"/>
      <w:r w:rsidRPr="00387A17">
        <w:rPr>
          <w:rFonts w:ascii="Times New Roman" w:hAnsi="Times New Roman"/>
          <w:szCs w:val="24"/>
        </w:rPr>
        <w:t xml:space="preserve">, K., 2012. Attracting international students: equitable services and support, campus cohesion and community engagement. Available from </w:t>
      </w:r>
      <w:hyperlink r:id="rId9" w:history="1">
        <w:r w:rsidRPr="00387A17">
          <w:rPr>
            <w:rStyle w:val="Hyperlink"/>
            <w:rFonts w:ascii="Times New Roman" w:hAnsi="Times New Roman"/>
            <w:szCs w:val="24"/>
          </w:rPr>
          <w:t>https://www.pure.ed.ac.uk/ws/portalfiles/portal/13412727/attracting_international_students.pdf</w:t>
        </w:r>
      </w:hyperlink>
      <w:r w:rsidRPr="00387A17">
        <w:rPr>
          <w:rFonts w:ascii="Times New Roman" w:hAnsi="Times New Roman"/>
          <w:szCs w:val="24"/>
        </w:rPr>
        <w:t>.  Accessed 22 December 2024.</w:t>
      </w:r>
    </w:p>
    <w:p w14:paraId="7AF783A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Batchelor, R., Pitman, E., </w:t>
      </w:r>
      <w:proofErr w:type="spellStart"/>
      <w:r w:rsidRPr="00387A17">
        <w:rPr>
          <w:rFonts w:ascii="Times New Roman" w:hAnsi="Times New Roman"/>
          <w:szCs w:val="24"/>
        </w:rPr>
        <w:t>Sharpington</w:t>
      </w:r>
      <w:proofErr w:type="spellEnd"/>
      <w:r w:rsidRPr="00387A17">
        <w:rPr>
          <w:rFonts w:ascii="Times New Roman" w:hAnsi="Times New Roman"/>
          <w:szCs w:val="24"/>
        </w:rPr>
        <w:t>, A., Stock, M. and Cage, E., 2020. Student perspectives on mental health support and services in the UK. Journal of Further and Higher Education, 44(4), pp.483-497.</w:t>
      </w:r>
    </w:p>
    <w:p w14:paraId="0482579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 xml:space="preserve">Bartram, B. and </w:t>
      </w:r>
      <w:proofErr w:type="spellStart"/>
      <w:r w:rsidRPr="00387A17">
        <w:rPr>
          <w:rFonts w:ascii="Times New Roman" w:hAnsi="Times New Roman"/>
          <w:szCs w:val="24"/>
        </w:rPr>
        <w:t>Terano</w:t>
      </w:r>
      <w:proofErr w:type="spellEnd"/>
      <w:r w:rsidRPr="00387A17">
        <w:rPr>
          <w:rFonts w:ascii="Times New Roman" w:hAnsi="Times New Roman"/>
          <w:szCs w:val="24"/>
        </w:rPr>
        <w:t>, M., 2011. Supporting international students in higher education: a comparative examination of approaches in the UK and USA. Learning and Teaching, 4(2), pp.30-44.</w:t>
      </w:r>
    </w:p>
    <w:p w14:paraId="1766FF1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Behrend, D., 2019. Psychology Database.</w:t>
      </w:r>
    </w:p>
    <w:p w14:paraId="6554066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Bethel, A., Ward, C. and </w:t>
      </w:r>
      <w:proofErr w:type="spellStart"/>
      <w:r w:rsidRPr="00387A17">
        <w:rPr>
          <w:rFonts w:ascii="Times New Roman" w:hAnsi="Times New Roman"/>
          <w:szCs w:val="24"/>
        </w:rPr>
        <w:t>Fetvadjiev</w:t>
      </w:r>
      <w:proofErr w:type="spellEnd"/>
      <w:r w:rsidRPr="00387A17">
        <w:rPr>
          <w:rFonts w:ascii="Times New Roman" w:hAnsi="Times New Roman"/>
          <w:szCs w:val="24"/>
        </w:rPr>
        <w:t>, V.H., 2020, September. Cross-cultural transition and psychological adaptation of international students: The mediating role of host national connectedness. In Frontiers in Education (Vol. 5, p. 539950). Frontiers Media SA.</w:t>
      </w:r>
    </w:p>
    <w:p w14:paraId="638614A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Bhugra, D., Gupta, S., Schouler-Ocak, M., Graeff-</w:t>
      </w:r>
      <w:proofErr w:type="spellStart"/>
      <w:r w:rsidRPr="00387A17">
        <w:rPr>
          <w:rFonts w:ascii="Times New Roman" w:eastAsia="Times New Roman" w:hAnsi="Times New Roman"/>
          <w:szCs w:val="24"/>
          <w:lang w:eastAsia="en-GB"/>
        </w:rPr>
        <w:t>Calliess</w:t>
      </w:r>
      <w:proofErr w:type="spellEnd"/>
      <w:r w:rsidRPr="00387A17">
        <w:rPr>
          <w:rFonts w:ascii="Times New Roman" w:eastAsia="Times New Roman" w:hAnsi="Times New Roman"/>
          <w:szCs w:val="24"/>
          <w:lang w:eastAsia="en-GB"/>
        </w:rPr>
        <w:t>, I., Deakin, N.A., Qureshi, A., Dales, J., Moussaoui, D., Kastrup, M., Tarricone, I. and Till, A., 2014. EPA guidance mental health care of migrants. European Psychiatry, 29(2), pp.107-115.</w:t>
      </w:r>
    </w:p>
    <w:p w14:paraId="29D31AD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Bradley, G., 2000. Responding effectively to the mental health needs of international students. Higher Education, 39, pp.417-433.</w:t>
      </w:r>
    </w:p>
    <w:p w14:paraId="22B9919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Brogden-Ward, A.J., 2021. Experiences of international students studying in a UK university: how do international students studying in the UK’s Higher Education sector build academic resilience?</w:t>
      </w:r>
    </w:p>
    <w:p w14:paraId="4412D50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218417F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6398E43A"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Castelli, F., 2018. Drivers of migration: why do people move? Journal of travel medicine, 25(1), </w:t>
      </w:r>
      <w:proofErr w:type="gramStart"/>
      <w:r w:rsidRPr="00387A17">
        <w:rPr>
          <w:rFonts w:ascii="Times New Roman" w:hAnsi="Times New Roman"/>
          <w:szCs w:val="24"/>
        </w:rPr>
        <w:t>p.tay</w:t>
      </w:r>
      <w:proofErr w:type="gramEnd"/>
      <w:r w:rsidRPr="00387A17">
        <w:rPr>
          <w:rFonts w:ascii="Times New Roman" w:hAnsi="Times New Roman"/>
          <w:szCs w:val="24"/>
        </w:rPr>
        <w:t>040.</w:t>
      </w:r>
    </w:p>
    <w:p w14:paraId="7B78826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Czaika</w:t>
      </w:r>
      <w:proofErr w:type="spellEnd"/>
      <w:r w:rsidRPr="00387A17">
        <w:rPr>
          <w:rFonts w:ascii="Times New Roman" w:hAnsi="Times New Roman"/>
          <w:szCs w:val="24"/>
        </w:rPr>
        <w:t>, M. and Reinprecht, C., 2022. Migration drivers: Why do people migrate. Introduction to migration studies: An interactive guide to the literatures on migration and diversity, pp.49-82.</w:t>
      </w:r>
    </w:p>
    <w:p w14:paraId="5930650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deBruyn</w:t>
      </w:r>
      <w:proofErr w:type="spellEnd"/>
      <w:r w:rsidRPr="00387A17">
        <w:rPr>
          <w:rFonts w:ascii="Times New Roman" w:hAnsi="Times New Roman"/>
          <w:szCs w:val="24"/>
        </w:rPr>
        <w:t>, C.E., 2023. Narratives of coping among international students during the COVID-19 pandemic (Doctoral dissertation, University of British Columbia).</w:t>
      </w:r>
    </w:p>
    <w:p w14:paraId="30A026F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Deepa, M. and Priya, V.K., 2020. Impact of social media on mental health of students. International Journal of Scientific &amp; Technology Research, 9(03).</w:t>
      </w:r>
    </w:p>
    <w:p w14:paraId="0B049E44"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lastRenderedPageBreak/>
        <w:t xml:space="preserve">Desa, A., </w:t>
      </w:r>
      <w:proofErr w:type="spellStart"/>
      <w:r w:rsidRPr="00387A17">
        <w:rPr>
          <w:rFonts w:ascii="Times New Roman" w:hAnsi="Times New Roman"/>
          <w:szCs w:val="24"/>
        </w:rPr>
        <w:t>Yusooff</w:t>
      </w:r>
      <w:proofErr w:type="spellEnd"/>
      <w:r w:rsidRPr="00387A17">
        <w:rPr>
          <w:rFonts w:ascii="Times New Roman" w:hAnsi="Times New Roman"/>
          <w:szCs w:val="24"/>
        </w:rPr>
        <w:t xml:space="preserve">, F. and </w:t>
      </w:r>
      <w:proofErr w:type="spellStart"/>
      <w:r w:rsidRPr="00387A17">
        <w:rPr>
          <w:rFonts w:ascii="Times New Roman" w:hAnsi="Times New Roman"/>
          <w:szCs w:val="24"/>
        </w:rPr>
        <w:t>Ba’yah</w:t>
      </w:r>
      <w:proofErr w:type="spellEnd"/>
      <w:r w:rsidRPr="00387A17">
        <w:rPr>
          <w:rFonts w:ascii="Times New Roman" w:hAnsi="Times New Roman"/>
          <w:szCs w:val="24"/>
        </w:rPr>
        <w:t xml:space="preserve"> Abd Kadir, N., 2012. Acculturative stress among international postgraduate students at UKM. Procedia-Social and </w:t>
      </w:r>
      <w:proofErr w:type="spellStart"/>
      <w:r w:rsidRPr="00387A17">
        <w:rPr>
          <w:rFonts w:ascii="Times New Roman" w:hAnsi="Times New Roman"/>
          <w:szCs w:val="24"/>
        </w:rPr>
        <w:t>Behavioral</w:t>
      </w:r>
      <w:proofErr w:type="spellEnd"/>
      <w:r w:rsidRPr="00387A17">
        <w:rPr>
          <w:rFonts w:ascii="Times New Roman" w:hAnsi="Times New Roman"/>
          <w:szCs w:val="24"/>
        </w:rPr>
        <w:t xml:space="preserve"> Sciences, 59, pp.364-369</w:t>
      </w:r>
    </w:p>
    <w:p w14:paraId="4B384ED3"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Dingle, H., 2014. Migration: the biology of life on the move. Oxford University Press, USA.</w:t>
      </w:r>
    </w:p>
    <w:p w14:paraId="672A663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J.M. and Yaya, S., 2022. Barriers and facilitators associated with the use of mental health services among immigrant students in high-income countries: a scoping review protocol. Systematic reviews, 11(1), p.22.</w:t>
      </w:r>
    </w:p>
    <w:p w14:paraId="60A00B1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xml:space="preserve">, J.M., Fournier, K. and Yaya, S., 2023. Barriers and facilitators associated with the use of mental health services among immigrant students in high-income countries: A systematic scoping review. </w:t>
      </w:r>
      <w:proofErr w:type="spellStart"/>
      <w:r w:rsidRPr="00387A17">
        <w:rPr>
          <w:rFonts w:ascii="Times New Roman" w:eastAsia="Times New Roman" w:hAnsi="Times New Roman"/>
          <w:szCs w:val="24"/>
          <w:lang w:eastAsia="en-GB"/>
        </w:rPr>
        <w:t>PloS</w:t>
      </w:r>
      <w:proofErr w:type="spellEnd"/>
      <w:r w:rsidRPr="00387A17">
        <w:rPr>
          <w:rFonts w:ascii="Times New Roman" w:eastAsia="Times New Roman" w:hAnsi="Times New Roman"/>
          <w:szCs w:val="24"/>
          <w:lang w:eastAsia="en-GB"/>
        </w:rPr>
        <w:t xml:space="preserve"> one, 18(6), p.e0287162.</w:t>
      </w:r>
    </w:p>
    <w:p w14:paraId="76D58921"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Domínguez, D.G., Cheng, H.L. and De La Rue, L., 2022. Career barriers and coping efficacy with international students in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programs. The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Psychologist, 50(6), pp.780-812.</w:t>
      </w:r>
    </w:p>
    <w:p w14:paraId="78FA9DC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Ecochard</w:t>
      </w:r>
      <w:proofErr w:type="spellEnd"/>
      <w:r w:rsidRPr="00387A17">
        <w:rPr>
          <w:rFonts w:ascii="Times New Roman" w:hAnsi="Times New Roman"/>
          <w:szCs w:val="24"/>
        </w:rPr>
        <w:t>, S. and Fotheringham, J., 2017. International students’ unique challenges–Why understanding international transitions to higher education matters. Journal of Perspectives in Applied Academic Practice, 5(2), pp.100-108.</w:t>
      </w:r>
    </w:p>
    <w:p w14:paraId="41843050" w14:textId="77777777" w:rsidR="00FB1BEC"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El Masri, A., 2020. Who speaks for international education? An Ontario case study. International education as public policy in Canada, pp.358-383.</w:t>
      </w:r>
    </w:p>
    <w:p w14:paraId="34E44528" w14:textId="06E0CD53" w:rsidR="0096222E" w:rsidRPr="00387A17" w:rsidRDefault="0096222E" w:rsidP="00FB1BEC">
      <w:pPr>
        <w:pStyle w:val="ListParagraph"/>
        <w:numPr>
          <w:ilvl w:val="0"/>
          <w:numId w:val="2"/>
        </w:numPr>
        <w:spacing w:line="360" w:lineRule="auto"/>
        <w:jc w:val="both"/>
        <w:rPr>
          <w:rFonts w:ascii="Times New Roman" w:hAnsi="Times New Roman"/>
          <w:szCs w:val="24"/>
        </w:rPr>
      </w:pPr>
      <w:proofErr w:type="spellStart"/>
      <w:r w:rsidRPr="0096222E">
        <w:rPr>
          <w:rFonts w:ascii="Times New Roman" w:hAnsi="Times New Roman"/>
          <w:szCs w:val="24"/>
        </w:rPr>
        <w:t>Fatoki</w:t>
      </w:r>
      <w:proofErr w:type="spellEnd"/>
      <w:r w:rsidRPr="0096222E">
        <w:rPr>
          <w:rFonts w:ascii="Times New Roman" w:hAnsi="Times New Roman"/>
          <w:szCs w:val="24"/>
        </w:rPr>
        <w:t xml:space="preserve">, J., Badmus, J., </w:t>
      </w:r>
      <w:proofErr w:type="spellStart"/>
      <w:r w:rsidRPr="0096222E">
        <w:rPr>
          <w:rFonts w:ascii="Times New Roman" w:hAnsi="Times New Roman"/>
          <w:szCs w:val="24"/>
        </w:rPr>
        <w:t>Adedosu</w:t>
      </w:r>
      <w:proofErr w:type="spellEnd"/>
      <w:r w:rsidRPr="0096222E">
        <w:rPr>
          <w:rFonts w:ascii="Times New Roman" w:hAnsi="Times New Roman"/>
          <w:szCs w:val="24"/>
        </w:rPr>
        <w:t>, O., Adegoke, A., Lawal, O., Ogunmola, I., &amp; Omotayo, T. (2018). Repeated Exposure of Herbal Concoction Imprints Toxicological Implications through Redox Imbalance in Male Wistar Rats. </w:t>
      </w:r>
      <w:r w:rsidRPr="0096222E">
        <w:rPr>
          <w:rFonts w:ascii="Times New Roman" w:hAnsi="Times New Roman"/>
          <w:i/>
          <w:iCs/>
          <w:szCs w:val="24"/>
        </w:rPr>
        <w:t>Journal of Pharmaceutical Research International</w:t>
      </w:r>
      <w:r w:rsidRPr="0096222E">
        <w:rPr>
          <w:rFonts w:ascii="Times New Roman" w:hAnsi="Times New Roman"/>
          <w:szCs w:val="24"/>
        </w:rPr>
        <w:t>, </w:t>
      </w:r>
      <w:r w:rsidRPr="0096222E">
        <w:rPr>
          <w:rFonts w:ascii="Times New Roman" w:hAnsi="Times New Roman"/>
          <w:i/>
          <w:iCs/>
          <w:szCs w:val="24"/>
        </w:rPr>
        <w:t>23</w:t>
      </w:r>
      <w:r w:rsidRPr="0096222E">
        <w:rPr>
          <w:rFonts w:ascii="Times New Roman" w:hAnsi="Times New Roman"/>
          <w:szCs w:val="24"/>
        </w:rPr>
        <w:t>(2), 1–18. https://doi.org/10.9734/jpri/2018/42002</w:t>
      </w:r>
    </w:p>
    <w:p w14:paraId="073E567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Feeney, M.K., Jung, H., Johnson, T.P. and Welch, E.W., 2023. US visa and immigration policy challenges: Explanations for faculty perceptions and intent to leave. Research in Higher Education, 64(7), pp.1031-1057.</w:t>
      </w:r>
    </w:p>
    <w:p w14:paraId="7D88C2B0"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Forbes-</w:t>
      </w:r>
      <w:proofErr w:type="spellStart"/>
      <w:r w:rsidRPr="00387A17">
        <w:rPr>
          <w:rFonts w:ascii="Times New Roman" w:hAnsi="Times New Roman"/>
          <w:szCs w:val="24"/>
        </w:rPr>
        <w:t>Mewett</w:t>
      </w:r>
      <w:proofErr w:type="spellEnd"/>
      <w:r w:rsidRPr="00387A17">
        <w:rPr>
          <w:rFonts w:ascii="Times New Roman" w:hAnsi="Times New Roman"/>
          <w:szCs w:val="24"/>
        </w:rPr>
        <w:t>, H. and Sawyer, A.M., 2019. International students and mental health. Journal of International Students, 6(3), pp.661-677.</w:t>
      </w:r>
    </w:p>
    <w:p w14:paraId="02A1CC8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Frampton, G.K., </w:t>
      </w:r>
      <w:proofErr w:type="spellStart"/>
      <w:r w:rsidRPr="00387A17">
        <w:rPr>
          <w:rFonts w:ascii="Times New Roman" w:hAnsi="Times New Roman"/>
          <w:szCs w:val="24"/>
        </w:rPr>
        <w:t>Livoreil</w:t>
      </w:r>
      <w:proofErr w:type="spellEnd"/>
      <w:r w:rsidRPr="00387A17">
        <w:rPr>
          <w:rFonts w:ascii="Times New Roman" w:hAnsi="Times New Roman"/>
          <w:szCs w:val="24"/>
        </w:rPr>
        <w:t xml:space="preserve">, B. and </w:t>
      </w:r>
      <w:proofErr w:type="spellStart"/>
      <w:r w:rsidRPr="00387A17">
        <w:rPr>
          <w:rFonts w:ascii="Times New Roman" w:hAnsi="Times New Roman"/>
          <w:szCs w:val="24"/>
        </w:rPr>
        <w:t>Petrokofsky</w:t>
      </w:r>
      <w:proofErr w:type="spellEnd"/>
      <w:r w:rsidRPr="00387A17">
        <w:rPr>
          <w:rFonts w:ascii="Times New Roman" w:hAnsi="Times New Roman"/>
          <w:szCs w:val="24"/>
        </w:rPr>
        <w:t>, G., 2017. Eligibility screening in evidence synthesis of environmental management topics. Environmental Evidence, 6, pp.1-13.</w:t>
      </w:r>
    </w:p>
    <w:p w14:paraId="142F405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Frampton, N., Smith, J. and Smithies, D., 2022. Understanding student mental health inequalities: International students. Student Minds.</w:t>
      </w:r>
    </w:p>
    <w:p w14:paraId="73C4FEE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Free, J.L., </w:t>
      </w:r>
      <w:proofErr w:type="spellStart"/>
      <w:r w:rsidRPr="00387A17">
        <w:rPr>
          <w:rFonts w:ascii="Times New Roman" w:hAnsi="Times New Roman"/>
          <w:szCs w:val="24"/>
        </w:rPr>
        <w:t>Križ</w:t>
      </w:r>
      <w:proofErr w:type="spellEnd"/>
      <w:r w:rsidRPr="00387A17">
        <w:rPr>
          <w:rFonts w:ascii="Times New Roman" w:hAnsi="Times New Roman"/>
          <w:szCs w:val="24"/>
        </w:rPr>
        <w:t xml:space="preserve">, K. and </w:t>
      </w:r>
      <w:proofErr w:type="spellStart"/>
      <w:r w:rsidRPr="00387A17">
        <w:rPr>
          <w:rFonts w:ascii="Times New Roman" w:hAnsi="Times New Roman"/>
          <w:szCs w:val="24"/>
        </w:rPr>
        <w:t>Konecnik</w:t>
      </w:r>
      <w:proofErr w:type="spellEnd"/>
      <w:r w:rsidRPr="00387A17">
        <w:rPr>
          <w:rFonts w:ascii="Times New Roman" w:hAnsi="Times New Roman"/>
          <w:szCs w:val="24"/>
        </w:rPr>
        <w:t>, J., 2014. Harvesting hardships: Educators’ views on the challenges of migrant students and their consequences on education. Children and Youth Services Review, 47, pp.187-197.</w:t>
      </w:r>
    </w:p>
    <w:p w14:paraId="67741A4B"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Furnham, A., 2002. The experience of being an overseas student. In Overseas students in higher education (pp. 25-41). Routledge.</w:t>
      </w:r>
    </w:p>
    <w:p w14:paraId="5E415AE7" w14:textId="612E7AB1" w:rsidR="00FB1BEC" w:rsidRPr="001F3752" w:rsidRDefault="00FB1BEC" w:rsidP="001F3752">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Gillborn, D., 2014, January. Racism as policy: A critical race analysis of education reforms in the United States and England. In The Educational Forum (Vol. 78, No. 1, pp. 26-41). Taylor &amp; Francis Group.</w:t>
      </w:r>
    </w:p>
    <w:p w14:paraId="0C493EB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Goldin, I., </w:t>
      </w:r>
      <w:proofErr w:type="spellStart"/>
      <w:r w:rsidRPr="00387A17">
        <w:rPr>
          <w:rFonts w:ascii="Times New Roman" w:hAnsi="Times New Roman"/>
          <w:szCs w:val="24"/>
        </w:rPr>
        <w:t>Balarajan</w:t>
      </w:r>
      <w:proofErr w:type="spellEnd"/>
      <w:r w:rsidRPr="00387A17">
        <w:rPr>
          <w:rFonts w:ascii="Times New Roman" w:hAnsi="Times New Roman"/>
          <w:szCs w:val="24"/>
        </w:rPr>
        <w:t>, M. and Cameron, G., 2011. Exceptional people: How migration shaped our world and will define our future.</w:t>
      </w:r>
    </w:p>
    <w:p w14:paraId="70F8A4EF"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Griffiths, M., Rogers, A. and Anderson, B., 2013. Migration, time and temporalities: Review and prospect. COMPAS Research Resources Paper, 3, pp.1-31.</w:t>
      </w:r>
    </w:p>
    <w:p w14:paraId="0DDC619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Gulliver, A., Griffiths, K.M. and Christensen, H., 2010. Perceived barriers and facilitators to mental health help-seeking in young people: a systematic review. BMC psychiatry, 10, pp.1-9.)</w:t>
      </w:r>
    </w:p>
    <w:p w14:paraId="5A98553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Hendrickson, B., Rosen, D. and Aune, R.K., 2011. An analysis of friendship networks, social connectedness, homesickness, and satisfaction levels of international students. International journal of intercultural relations, 35(3), pp.281-295.</w:t>
      </w:r>
    </w:p>
    <w:p w14:paraId="210AE34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J., Smith, T.B., Baker, M., Harris, T. and Stephenson, D., 2015. Loneliness and social isolation as risk factors for mortality: a meta-analytic review. Perspectives on psychological science, 10(2), pp.227-237</w:t>
      </w:r>
    </w:p>
    <w:p w14:paraId="39BDAD4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Hussein, M.I. and Coleman, B., 2024. The Impact of Finnish Government policy change on international students' mental health.</w:t>
      </w:r>
    </w:p>
    <w:p w14:paraId="3CAE37A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Hyseni Duraku, Z., Davis, H., Blakaj, A., Ahmedi Seferi, A., Mullaj, K. and </w:t>
      </w:r>
      <w:proofErr w:type="spellStart"/>
      <w:r w:rsidRPr="00387A17">
        <w:rPr>
          <w:rFonts w:ascii="Times New Roman" w:hAnsi="Times New Roman"/>
          <w:szCs w:val="24"/>
        </w:rPr>
        <w:t>Greiçevci</w:t>
      </w:r>
      <w:proofErr w:type="spellEnd"/>
      <w:r w:rsidRPr="00387A17">
        <w:rPr>
          <w:rFonts w:ascii="Times New Roman" w:hAnsi="Times New Roman"/>
          <w:szCs w:val="24"/>
        </w:rPr>
        <w:t>, V., 2024. Mental health awareness, stigma, and help-seeking attitudes among Albanian university students in the Western Balkans: a qualitative study. Frontiers in Public Health, 12, p.1434389.</w:t>
      </w:r>
    </w:p>
    <w:p w14:paraId="0299722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Iarovici</w:t>
      </w:r>
      <w:proofErr w:type="spellEnd"/>
      <w:r w:rsidRPr="00387A17">
        <w:rPr>
          <w:rFonts w:ascii="Times New Roman" w:hAnsi="Times New Roman"/>
          <w:szCs w:val="24"/>
        </w:rPr>
        <w:t>, D., 2014. Mental health issues and the university student. JHU Press.</w:t>
      </w:r>
    </w:p>
    <w:p w14:paraId="2495715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Kim, B.S., Atkinson, D.R. and Yang, P.H., 1999. The Asian Values Scale: Development, factor analysis, validation, and reliability. Journal of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46(3), p.342.</w:t>
      </w:r>
    </w:p>
    <w:p w14:paraId="14292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Kristiana, I.F., </w:t>
      </w:r>
      <w:proofErr w:type="spellStart"/>
      <w:r w:rsidRPr="00387A17">
        <w:rPr>
          <w:rFonts w:ascii="Times New Roman" w:hAnsi="Times New Roman"/>
          <w:szCs w:val="24"/>
        </w:rPr>
        <w:t>Karyanta</w:t>
      </w:r>
      <w:proofErr w:type="spellEnd"/>
      <w:r w:rsidRPr="00387A17">
        <w:rPr>
          <w:rFonts w:ascii="Times New Roman" w:hAnsi="Times New Roman"/>
          <w:szCs w:val="24"/>
        </w:rPr>
        <w:t xml:space="preserve">, N.A., Simanjuntak, E., </w:t>
      </w:r>
      <w:proofErr w:type="spellStart"/>
      <w:r w:rsidRPr="00387A17">
        <w:rPr>
          <w:rFonts w:ascii="Times New Roman" w:hAnsi="Times New Roman"/>
          <w:szCs w:val="24"/>
        </w:rPr>
        <w:t>Prihatsanti</w:t>
      </w:r>
      <w:proofErr w:type="spellEnd"/>
      <w:r w:rsidRPr="00387A17">
        <w:rPr>
          <w:rFonts w:ascii="Times New Roman" w:hAnsi="Times New Roman"/>
          <w:szCs w:val="24"/>
        </w:rPr>
        <w:t xml:space="preserve">, U., </w:t>
      </w:r>
      <w:proofErr w:type="spellStart"/>
      <w:r w:rsidRPr="00387A17">
        <w:rPr>
          <w:rFonts w:ascii="Times New Roman" w:hAnsi="Times New Roman"/>
          <w:szCs w:val="24"/>
        </w:rPr>
        <w:t>Ingarianti</w:t>
      </w:r>
      <w:proofErr w:type="spellEnd"/>
      <w:r w:rsidRPr="00387A17">
        <w:rPr>
          <w:rFonts w:ascii="Times New Roman" w:hAnsi="Times New Roman"/>
          <w:szCs w:val="24"/>
        </w:rPr>
        <w:t xml:space="preserve">, T.M. and </w:t>
      </w:r>
      <w:proofErr w:type="spellStart"/>
      <w:r w:rsidRPr="00387A17">
        <w:rPr>
          <w:rFonts w:ascii="Times New Roman" w:hAnsi="Times New Roman"/>
          <w:szCs w:val="24"/>
        </w:rPr>
        <w:t>Shohib</w:t>
      </w:r>
      <w:proofErr w:type="spellEnd"/>
      <w:r w:rsidRPr="00387A17">
        <w:rPr>
          <w:rFonts w:ascii="Times New Roman" w:hAnsi="Times New Roman"/>
          <w:szCs w:val="24"/>
        </w:rPr>
        <w:t>, M., 2022. Social support and acculturative stress of international students. International journal of environmental research and public health, 19(11), p.6568.</w:t>
      </w:r>
    </w:p>
    <w:p w14:paraId="0A49ED0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Lai, A.Y.K., Sit, S.M.M., Lam, S.K.K., Choi, A.C.M., </w:t>
      </w:r>
      <w:proofErr w:type="spellStart"/>
      <w:r w:rsidRPr="00387A17">
        <w:rPr>
          <w:rFonts w:ascii="Times New Roman" w:hAnsi="Times New Roman"/>
          <w:szCs w:val="24"/>
        </w:rPr>
        <w:t>Yiu</w:t>
      </w:r>
      <w:proofErr w:type="spellEnd"/>
      <w:r w:rsidRPr="00387A17">
        <w:rPr>
          <w:rFonts w:ascii="Times New Roman" w:hAnsi="Times New Roman"/>
          <w:szCs w:val="24"/>
        </w:rPr>
        <w:t>, D.Y.S., Lai, T.T.K., Ip, M.S.M. and Lam, T.H., 2021. A phenomenological study on the positive and negative experiences of Chinese international university students from Hong Kong studying in the UK and US in the early stage of the COVID-19 pandemic. Frontiers in psychiatry, 12, p.738474.</w:t>
      </w:r>
    </w:p>
    <w:p w14:paraId="5116D97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Lee, J.J. and Rice, C., 2007. Welcome to America? International student perceptions of discrimination. Higher education, 53(3), pp.381-409.</w:t>
      </w:r>
    </w:p>
    <w:p w14:paraId="74A1A5B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J.S., </w:t>
      </w:r>
      <w:proofErr w:type="spellStart"/>
      <w:r w:rsidRPr="00387A17">
        <w:rPr>
          <w:rFonts w:ascii="Times New Roman" w:hAnsi="Times New Roman"/>
          <w:szCs w:val="24"/>
        </w:rPr>
        <w:t>Koeske</w:t>
      </w:r>
      <w:proofErr w:type="spellEnd"/>
      <w:r w:rsidRPr="00387A17">
        <w:rPr>
          <w:rFonts w:ascii="Times New Roman" w:hAnsi="Times New Roman"/>
          <w:szCs w:val="24"/>
        </w:rPr>
        <w:t>, G.F. and Sales, E., 2004. Social support buffering of acculturative stress: A study of mental health symptoms among Korean international students. International Journal of Intercultural Relations, 28(5), pp.399-414.</w:t>
      </w:r>
    </w:p>
    <w:p w14:paraId="785F1E2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S., </w:t>
      </w:r>
      <w:proofErr w:type="spellStart"/>
      <w:r w:rsidRPr="00387A17">
        <w:rPr>
          <w:rFonts w:ascii="Times New Roman" w:hAnsi="Times New Roman"/>
          <w:szCs w:val="24"/>
        </w:rPr>
        <w:t>Juon</w:t>
      </w:r>
      <w:proofErr w:type="spellEnd"/>
      <w:r w:rsidRPr="00387A17">
        <w:rPr>
          <w:rFonts w:ascii="Times New Roman" w:hAnsi="Times New Roman"/>
          <w:szCs w:val="24"/>
        </w:rPr>
        <w:t>, H.S., Martinez, G., Hsu, C.E., Robinson, E.S., Bawa, J. and Ma, G.X., 2009. Model minority at risk: Expressed needs of mental health by Asian American young adults. Journal of community health, 34, pp.144-152.</w:t>
      </w:r>
    </w:p>
    <w:p w14:paraId="060E474E" w14:textId="77777777" w:rsidR="006576C2" w:rsidRDefault="00FB1BEC" w:rsidP="008F1B4E">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Lewis, J. and Bolton, P., Student Mental Health in England: Statistics, Policy, and Guidance. 2023 [online]</w:t>
      </w:r>
    </w:p>
    <w:p w14:paraId="759C90CE" w14:textId="77777777" w:rsidR="006576C2" w:rsidRPr="006576C2" w:rsidRDefault="006576C2" w:rsidP="008F1B4E">
      <w:pPr>
        <w:pStyle w:val="ListParagraph"/>
        <w:numPr>
          <w:ilvl w:val="0"/>
          <w:numId w:val="2"/>
        </w:numPr>
        <w:spacing w:line="360" w:lineRule="auto"/>
        <w:jc w:val="both"/>
        <w:rPr>
          <w:rFonts w:ascii="Times New Roman" w:hAnsi="Times New Roman"/>
          <w:szCs w:val="24"/>
        </w:rPr>
      </w:pPr>
      <w:proofErr w:type="spellStart"/>
      <w:r w:rsidRPr="006576C2">
        <w:rPr>
          <w:rFonts w:ascii="Times New Roman" w:hAnsi="Times New Roman"/>
          <w:szCs w:val="24"/>
        </w:rPr>
        <w:t>Shoge</w:t>
      </w:r>
      <w:proofErr w:type="spellEnd"/>
      <w:r w:rsidRPr="006576C2">
        <w:rPr>
          <w:rFonts w:ascii="Times New Roman" w:hAnsi="Times New Roman"/>
          <w:szCs w:val="24"/>
        </w:rPr>
        <w:t xml:space="preserve">, M., Abdullateef, A., </w:t>
      </w:r>
      <w:proofErr w:type="spellStart"/>
      <w:r w:rsidRPr="006576C2">
        <w:rPr>
          <w:rFonts w:ascii="Times New Roman" w:hAnsi="Times New Roman"/>
          <w:szCs w:val="24"/>
        </w:rPr>
        <w:t>Ozioko</w:t>
      </w:r>
      <w:proofErr w:type="spellEnd"/>
      <w:r w:rsidRPr="006576C2">
        <w:rPr>
          <w:rFonts w:ascii="Times New Roman" w:hAnsi="Times New Roman"/>
          <w:szCs w:val="24"/>
        </w:rPr>
        <w:t xml:space="preserve">, E. N., Muhammad, A., &amp; Lawal, H. A. (2021). Evaluation of Heavy Metals and Antimicrobial Efficacy of Four Hand Sanitizers Used during COVID-19 in </w:t>
      </w:r>
      <w:proofErr w:type="gramStart"/>
      <w:r w:rsidRPr="006576C2">
        <w:rPr>
          <w:rFonts w:ascii="Times New Roman" w:hAnsi="Times New Roman"/>
          <w:szCs w:val="24"/>
        </w:rPr>
        <w:t>AFIT ,</w:t>
      </w:r>
      <w:proofErr w:type="gramEnd"/>
      <w:r w:rsidRPr="006576C2">
        <w:rPr>
          <w:rFonts w:ascii="Times New Roman" w:hAnsi="Times New Roman"/>
          <w:szCs w:val="24"/>
        </w:rPr>
        <w:t xml:space="preserve"> </w:t>
      </w:r>
      <w:proofErr w:type="gramStart"/>
      <w:r w:rsidRPr="006576C2">
        <w:rPr>
          <w:rFonts w:ascii="Times New Roman" w:hAnsi="Times New Roman"/>
          <w:szCs w:val="24"/>
        </w:rPr>
        <w:t>Kaduna .</w:t>
      </w:r>
      <w:proofErr w:type="gramEnd"/>
      <w:r w:rsidRPr="006576C2">
        <w:rPr>
          <w:rFonts w:ascii="Times New Roman" w:hAnsi="Times New Roman"/>
          <w:szCs w:val="24"/>
        </w:rPr>
        <w:t> </w:t>
      </w:r>
      <w:r w:rsidRPr="006576C2">
        <w:rPr>
          <w:rFonts w:ascii="Times New Roman" w:hAnsi="Times New Roman"/>
          <w:i/>
          <w:iCs/>
          <w:szCs w:val="24"/>
        </w:rPr>
        <w:t>The International Journal of Engineering and Science (IJES)</w:t>
      </w:r>
      <w:r w:rsidRPr="006576C2">
        <w:rPr>
          <w:rFonts w:ascii="Times New Roman" w:hAnsi="Times New Roman"/>
          <w:szCs w:val="24"/>
        </w:rPr>
        <w:t>, </w:t>
      </w:r>
      <w:r w:rsidRPr="006576C2">
        <w:rPr>
          <w:rFonts w:ascii="Times New Roman" w:hAnsi="Times New Roman"/>
          <w:i/>
          <w:iCs/>
          <w:szCs w:val="24"/>
        </w:rPr>
        <w:t>1</w:t>
      </w:r>
      <w:r w:rsidRPr="006576C2">
        <w:rPr>
          <w:rFonts w:ascii="Times New Roman" w:hAnsi="Times New Roman"/>
          <w:szCs w:val="24"/>
        </w:rPr>
        <w:t>(1), 24–27.</w:t>
      </w:r>
      <w:r w:rsidRPr="006576C2">
        <w:rPr>
          <w:rFonts w:ascii="Times New Roman" w:hAnsi="Times New Roman"/>
          <w:b/>
          <w:bCs/>
          <w:szCs w:val="24"/>
        </w:rPr>
        <w:t xml:space="preserve"> </w:t>
      </w:r>
    </w:p>
    <w:p w14:paraId="5952DB74" w14:textId="6CEB7963" w:rsidR="006576C2" w:rsidRPr="006576C2" w:rsidRDefault="006576C2" w:rsidP="008F1B4E">
      <w:pPr>
        <w:pStyle w:val="ListParagraph"/>
        <w:numPr>
          <w:ilvl w:val="0"/>
          <w:numId w:val="2"/>
        </w:numPr>
        <w:spacing w:line="360" w:lineRule="auto"/>
        <w:jc w:val="both"/>
        <w:rPr>
          <w:rFonts w:ascii="Times New Roman" w:hAnsi="Times New Roman"/>
          <w:szCs w:val="24"/>
        </w:rPr>
      </w:pPr>
      <w:r w:rsidRPr="006576C2">
        <w:rPr>
          <w:rFonts w:ascii="Times New Roman" w:hAnsi="Times New Roman"/>
          <w:szCs w:val="24"/>
        </w:rPr>
        <w:t xml:space="preserve">Soori, H., Abdullateef, A., </w:t>
      </w:r>
      <w:proofErr w:type="spellStart"/>
      <w:r w:rsidRPr="006576C2">
        <w:rPr>
          <w:rFonts w:ascii="Times New Roman" w:hAnsi="Times New Roman"/>
          <w:szCs w:val="24"/>
        </w:rPr>
        <w:t>Mashood</w:t>
      </w:r>
      <w:proofErr w:type="spellEnd"/>
      <w:r w:rsidRPr="006576C2">
        <w:rPr>
          <w:rFonts w:ascii="Times New Roman" w:hAnsi="Times New Roman"/>
          <w:szCs w:val="24"/>
        </w:rPr>
        <w:t xml:space="preserve">, L. O., &amp; </w:t>
      </w:r>
      <w:proofErr w:type="spellStart"/>
      <w:r w:rsidRPr="006576C2">
        <w:rPr>
          <w:rFonts w:ascii="Times New Roman" w:hAnsi="Times New Roman"/>
          <w:szCs w:val="24"/>
        </w:rPr>
        <w:t>Apietu</w:t>
      </w:r>
      <w:proofErr w:type="spellEnd"/>
      <w:r w:rsidRPr="006576C2">
        <w:rPr>
          <w:rFonts w:ascii="Times New Roman" w:hAnsi="Times New Roman"/>
          <w:szCs w:val="24"/>
        </w:rPr>
        <w:t>, K. A. (2025). A Case Series Analysis of 1200 Breast Cancer Patients with 12 Years Follow-Up from a Single Hospital in Iran. </w:t>
      </w:r>
      <w:r w:rsidRPr="006576C2">
        <w:rPr>
          <w:rFonts w:ascii="Times New Roman" w:hAnsi="Times New Roman"/>
          <w:i/>
          <w:iCs/>
          <w:szCs w:val="24"/>
        </w:rPr>
        <w:t>Indian Journal of Surgery</w:t>
      </w:r>
      <w:r w:rsidRPr="006576C2">
        <w:rPr>
          <w:rFonts w:ascii="Times New Roman" w:hAnsi="Times New Roman"/>
          <w:szCs w:val="24"/>
        </w:rPr>
        <w:t>. https://doi.org/10.1007/s12262-025-04352-6</w:t>
      </w:r>
    </w:p>
    <w:p w14:paraId="510EA451" w14:textId="56FE51FF" w:rsidR="008F1B4E" w:rsidRPr="00FB1BEC" w:rsidRDefault="008F1B4E" w:rsidP="008F1B4E">
      <w:pPr>
        <w:pStyle w:val="ListParagraph"/>
        <w:numPr>
          <w:ilvl w:val="0"/>
          <w:numId w:val="2"/>
        </w:numPr>
        <w:spacing w:line="360" w:lineRule="auto"/>
        <w:jc w:val="both"/>
        <w:rPr>
          <w:rFonts w:ascii="Times New Roman" w:hAnsi="Times New Roman"/>
          <w:szCs w:val="24"/>
        </w:rPr>
      </w:pPr>
      <w:r w:rsidRPr="00FB1BEC">
        <w:rPr>
          <w:rFonts w:ascii="Times New Roman" w:hAnsi="Times New Roman"/>
          <w:b/>
          <w:bCs/>
          <w:szCs w:val="24"/>
        </w:rPr>
        <w:br w:type="page"/>
      </w:r>
    </w:p>
    <w:p w14:paraId="3967ABB1" w14:textId="77777777" w:rsidR="008F1B4E" w:rsidRDefault="008F1B4E"/>
    <w:sectPr w:rsidR="008F1B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E9AD" w14:textId="77777777" w:rsidR="005A09CE" w:rsidRDefault="005A09CE" w:rsidP="009A7333">
      <w:r>
        <w:separator/>
      </w:r>
    </w:p>
  </w:endnote>
  <w:endnote w:type="continuationSeparator" w:id="0">
    <w:p w14:paraId="7D444CC8" w14:textId="77777777" w:rsidR="005A09CE" w:rsidRDefault="005A09CE" w:rsidP="009A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AE13" w14:textId="77777777" w:rsidR="009A7333" w:rsidRDefault="009A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8E8E" w14:textId="77777777" w:rsidR="009A7333" w:rsidRDefault="009A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9BAD" w14:textId="77777777" w:rsidR="009A7333" w:rsidRDefault="009A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C21D" w14:textId="77777777" w:rsidR="005A09CE" w:rsidRDefault="005A09CE" w:rsidP="009A7333">
      <w:r>
        <w:separator/>
      </w:r>
    </w:p>
  </w:footnote>
  <w:footnote w:type="continuationSeparator" w:id="0">
    <w:p w14:paraId="2230906B" w14:textId="77777777" w:rsidR="005A09CE" w:rsidRDefault="005A09CE" w:rsidP="009A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07A1" w14:textId="23F48501" w:rsidR="009A7333" w:rsidRDefault="009A7333">
    <w:pPr>
      <w:pStyle w:val="Header"/>
    </w:pPr>
    <w:r>
      <w:rPr>
        <w:noProof/>
      </w:rPr>
      <w:pict w14:anchorId="44058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558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7D03" w14:textId="1EF24AC7" w:rsidR="009A7333" w:rsidRDefault="009A7333">
    <w:pPr>
      <w:pStyle w:val="Header"/>
    </w:pPr>
    <w:r>
      <w:rPr>
        <w:noProof/>
      </w:rPr>
      <w:pict w14:anchorId="1CF28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558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3DE0" w14:textId="24E8B2B5" w:rsidR="009A7333" w:rsidRDefault="009A7333">
    <w:pPr>
      <w:pStyle w:val="Header"/>
    </w:pPr>
    <w:r>
      <w:rPr>
        <w:noProof/>
      </w:rPr>
      <w:pict w14:anchorId="0B7BB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558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5F2F"/>
    <w:multiLevelType w:val="hybridMultilevel"/>
    <w:tmpl w:val="9740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40E4D"/>
    <w:multiLevelType w:val="hybridMultilevel"/>
    <w:tmpl w:val="3FB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2971">
    <w:abstractNumId w:val="1"/>
  </w:num>
  <w:num w:numId="2" w16cid:durableId="52941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4E"/>
    <w:rsid w:val="00070C7D"/>
    <w:rsid w:val="00183279"/>
    <w:rsid w:val="001F3752"/>
    <w:rsid w:val="00392429"/>
    <w:rsid w:val="003C0194"/>
    <w:rsid w:val="004F3072"/>
    <w:rsid w:val="005471FE"/>
    <w:rsid w:val="005A09CE"/>
    <w:rsid w:val="005B7887"/>
    <w:rsid w:val="006576C2"/>
    <w:rsid w:val="00693855"/>
    <w:rsid w:val="006F3968"/>
    <w:rsid w:val="007048F2"/>
    <w:rsid w:val="008F1B4E"/>
    <w:rsid w:val="0096222E"/>
    <w:rsid w:val="009A7333"/>
    <w:rsid w:val="00A12C29"/>
    <w:rsid w:val="00A23273"/>
    <w:rsid w:val="00B45E1E"/>
    <w:rsid w:val="00BC00EB"/>
    <w:rsid w:val="00C215E3"/>
    <w:rsid w:val="00C4681D"/>
    <w:rsid w:val="00DF5F3F"/>
    <w:rsid w:val="00EA2FC8"/>
    <w:rsid w:val="00EE4831"/>
    <w:rsid w:val="00F258E3"/>
    <w:rsid w:val="00FB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8342"/>
  <w15:chartTrackingRefBased/>
  <w15:docId w15:val="{CA75EA7E-7F85-4AB1-B11B-E16638A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B4E"/>
    <w:pPr>
      <w:spacing w:after="0" w:line="240" w:lineRule="auto"/>
    </w:pPr>
    <w:rPr>
      <w:rFonts w:ascii="Arial" w:eastAsia="Calibri" w:hAnsi="Arial" w:cs="Times New Roman"/>
      <w:kern w:val="0"/>
      <w:szCs w:val="22"/>
      <w:lang w:val="en-GB"/>
      <w14:ligatures w14:val="none"/>
    </w:rPr>
  </w:style>
  <w:style w:type="paragraph" w:styleId="Heading1">
    <w:name w:val="heading 1"/>
    <w:basedOn w:val="Normal"/>
    <w:next w:val="Normal"/>
    <w:link w:val="Heading1Char"/>
    <w:uiPriority w:val="9"/>
    <w:qFormat/>
    <w:rsid w:val="008F1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B4E"/>
    <w:rPr>
      <w:rFonts w:eastAsiaTheme="majorEastAsia" w:cstheme="majorBidi"/>
      <w:color w:val="272727" w:themeColor="text1" w:themeTint="D8"/>
    </w:rPr>
  </w:style>
  <w:style w:type="paragraph" w:styleId="Title">
    <w:name w:val="Title"/>
    <w:basedOn w:val="Normal"/>
    <w:next w:val="Normal"/>
    <w:link w:val="TitleChar"/>
    <w:uiPriority w:val="10"/>
    <w:qFormat/>
    <w:rsid w:val="008F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B4E"/>
    <w:pPr>
      <w:spacing w:before="160"/>
      <w:jc w:val="center"/>
    </w:pPr>
    <w:rPr>
      <w:i/>
      <w:iCs/>
      <w:color w:val="404040" w:themeColor="text1" w:themeTint="BF"/>
    </w:rPr>
  </w:style>
  <w:style w:type="character" w:customStyle="1" w:styleId="QuoteChar">
    <w:name w:val="Quote Char"/>
    <w:basedOn w:val="DefaultParagraphFont"/>
    <w:link w:val="Quote"/>
    <w:uiPriority w:val="29"/>
    <w:rsid w:val="008F1B4E"/>
    <w:rPr>
      <w:i/>
      <w:iCs/>
      <w:color w:val="404040" w:themeColor="text1" w:themeTint="BF"/>
    </w:rPr>
  </w:style>
  <w:style w:type="paragraph" w:styleId="ListParagraph">
    <w:name w:val="List Paragraph"/>
    <w:basedOn w:val="Normal"/>
    <w:uiPriority w:val="34"/>
    <w:qFormat/>
    <w:rsid w:val="008F1B4E"/>
    <w:pPr>
      <w:ind w:left="720"/>
      <w:contextualSpacing/>
    </w:pPr>
  </w:style>
  <w:style w:type="character" w:styleId="IntenseEmphasis">
    <w:name w:val="Intense Emphasis"/>
    <w:basedOn w:val="DefaultParagraphFont"/>
    <w:uiPriority w:val="21"/>
    <w:qFormat/>
    <w:rsid w:val="008F1B4E"/>
    <w:rPr>
      <w:i/>
      <w:iCs/>
      <w:color w:val="2F5496" w:themeColor="accent1" w:themeShade="BF"/>
    </w:rPr>
  </w:style>
  <w:style w:type="paragraph" w:styleId="IntenseQuote">
    <w:name w:val="Intense Quote"/>
    <w:basedOn w:val="Normal"/>
    <w:next w:val="Normal"/>
    <w:link w:val="IntenseQuoteChar"/>
    <w:uiPriority w:val="30"/>
    <w:qFormat/>
    <w:rsid w:val="008F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B4E"/>
    <w:rPr>
      <w:i/>
      <w:iCs/>
      <w:color w:val="2F5496" w:themeColor="accent1" w:themeShade="BF"/>
    </w:rPr>
  </w:style>
  <w:style w:type="character" w:styleId="IntenseReference">
    <w:name w:val="Intense Reference"/>
    <w:basedOn w:val="DefaultParagraphFont"/>
    <w:uiPriority w:val="32"/>
    <w:qFormat/>
    <w:rsid w:val="008F1B4E"/>
    <w:rPr>
      <w:b/>
      <w:bCs/>
      <w:smallCaps/>
      <w:color w:val="2F5496" w:themeColor="accent1" w:themeShade="BF"/>
      <w:spacing w:val="5"/>
    </w:rPr>
  </w:style>
  <w:style w:type="character" w:styleId="Hyperlink">
    <w:name w:val="Hyperlink"/>
    <w:basedOn w:val="DefaultParagraphFont"/>
    <w:uiPriority w:val="99"/>
    <w:unhideWhenUsed/>
    <w:rsid w:val="008F1B4E"/>
    <w:rPr>
      <w:color w:val="0563C1" w:themeColor="hyperlink"/>
      <w:u w:val="single"/>
    </w:rPr>
  </w:style>
  <w:style w:type="table" w:styleId="TableGrid">
    <w:name w:val="Table Grid"/>
    <w:basedOn w:val="TableNormal"/>
    <w:uiPriority w:val="59"/>
    <w:rsid w:val="008F1B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B4E"/>
    <w:pPr>
      <w:spacing w:before="100" w:beforeAutospacing="1" w:after="100" w:afterAutospacing="1"/>
    </w:pPr>
    <w:rPr>
      <w:rFonts w:ascii="Times New Roman" w:eastAsia="Times New Roman" w:hAnsi="Times New Roman"/>
      <w:szCs w:val="24"/>
      <w:lang w:eastAsia="en-GB"/>
    </w:rPr>
  </w:style>
  <w:style w:type="table" w:styleId="PlainTable5">
    <w:name w:val="Plain Table 5"/>
    <w:basedOn w:val="TableNormal"/>
    <w:uiPriority w:val="45"/>
    <w:rsid w:val="008F1B4E"/>
    <w:pPr>
      <w:spacing w:after="0" w:line="240" w:lineRule="auto"/>
    </w:pPr>
    <w:rPr>
      <w:kern w:val="0"/>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F1B4E"/>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1">
    <w:name w:val="List Table 2 Accent 1"/>
    <w:basedOn w:val="TableNormal"/>
    <w:uiPriority w:val="47"/>
    <w:rsid w:val="008F1B4E"/>
    <w:pPr>
      <w:spacing w:after="0" w:line="240" w:lineRule="auto"/>
    </w:pPr>
    <w:rPr>
      <w:kern w:val="0"/>
      <w:lang w:val="en-GB"/>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8F1B4E"/>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C0194"/>
    <w:rPr>
      <w:color w:val="666666"/>
    </w:rPr>
  </w:style>
  <w:style w:type="character" w:styleId="UnresolvedMention">
    <w:name w:val="Unresolved Mention"/>
    <w:basedOn w:val="DefaultParagraphFont"/>
    <w:uiPriority w:val="99"/>
    <w:semiHidden/>
    <w:unhideWhenUsed/>
    <w:rsid w:val="00DF5F3F"/>
    <w:rPr>
      <w:color w:val="605E5C"/>
      <w:shd w:val="clear" w:color="auto" w:fill="E1DFDD"/>
    </w:rPr>
  </w:style>
  <w:style w:type="paragraph" w:styleId="Header">
    <w:name w:val="header"/>
    <w:basedOn w:val="Normal"/>
    <w:link w:val="HeaderChar"/>
    <w:uiPriority w:val="99"/>
    <w:unhideWhenUsed/>
    <w:rsid w:val="009A7333"/>
    <w:pPr>
      <w:tabs>
        <w:tab w:val="center" w:pos="4680"/>
        <w:tab w:val="right" w:pos="9360"/>
      </w:tabs>
    </w:pPr>
  </w:style>
  <w:style w:type="character" w:customStyle="1" w:styleId="HeaderChar">
    <w:name w:val="Header Char"/>
    <w:basedOn w:val="DefaultParagraphFont"/>
    <w:link w:val="Header"/>
    <w:uiPriority w:val="99"/>
    <w:rsid w:val="009A7333"/>
    <w:rPr>
      <w:rFonts w:ascii="Arial" w:eastAsia="Calibri" w:hAnsi="Arial" w:cs="Times New Roman"/>
      <w:kern w:val="0"/>
      <w:szCs w:val="22"/>
      <w:lang w:val="en-GB"/>
      <w14:ligatures w14:val="none"/>
    </w:rPr>
  </w:style>
  <w:style w:type="paragraph" w:styleId="Footer">
    <w:name w:val="footer"/>
    <w:basedOn w:val="Normal"/>
    <w:link w:val="FooterChar"/>
    <w:uiPriority w:val="99"/>
    <w:unhideWhenUsed/>
    <w:rsid w:val="009A7333"/>
    <w:pPr>
      <w:tabs>
        <w:tab w:val="center" w:pos="4680"/>
        <w:tab w:val="right" w:pos="9360"/>
      </w:tabs>
    </w:pPr>
  </w:style>
  <w:style w:type="character" w:customStyle="1" w:styleId="FooterChar">
    <w:name w:val="Footer Char"/>
    <w:basedOn w:val="DefaultParagraphFont"/>
    <w:link w:val="Footer"/>
    <w:uiPriority w:val="99"/>
    <w:rsid w:val="009A7333"/>
    <w:rPr>
      <w:rFonts w:ascii="Arial" w:eastAsia="Calibri" w:hAnsi="Arial" w:cs="Times New Roman"/>
      <w:kern w:val="0"/>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467500">
      <w:bodyDiv w:val="1"/>
      <w:marLeft w:val="0"/>
      <w:marRight w:val="0"/>
      <w:marTop w:val="0"/>
      <w:marBottom w:val="0"/>
      <w:divBdr>
        <w:top w:val="none" w:sz="0" w:space="0" w:color="auto"/>
        <w:left w:val="none" w:sz="0" w:space="0" w:color="auto"/>
        <w:bottom w:val="none" w:sz="0" w:space="0" w:color="auto"/>
        <w:right w:val="none" w:sz="0" w:space="0" w:color="auto"/>
      </w:divBdr>
      <w:divsChild>
        <w:div w:id="130542700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ure.ed.ac.uk/ws/portalfiles/portal/13412727/attracting_international_students.p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789A944-029E-4D42-A78C-3CC8752EF4C6}"/>
      </w:docPartPr>
      <w:docPartBody>
        <w:p w:rsidR="00CB6FF0" w:rsidRDefault="00717AE6">
          <w:r w:rsidRPr="00EF53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6"/>
    <w:rsid w:val="00392429"/>
    <w:rsid w:val="00717AE6"/>
    <w:rsid w:val="00AF6759"/>
    <w:rsid w:val="00C215E3"/>
    <w:rsid w:val="00CB6FF0"/>
    <w:rsid w:val="00E60220"/>
    <w:rsid w:val="00EE4831"/>
    <w:rsid w:val="00F55815"/>
    <w:rsid w:val="00FC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0FECDB-BD91-4D7B-B9BC-EEA317347F91}">
  <we:reference id="wa104382081" version="1.55.1.0" store="en-US" storeType="OMEX"/>
  <we:alternateReferences>
    <we:reference id="WA104382081" version="1.55.1.0" store="" storeType="OMEX"/>
  </we:alternateReferences>
  <we:properties>
    <we:property name="MENDELEY_CITATIONS" value="[{&quot;citationID&quot;:&quot;MENDELEY_CITATION_31743930-15c8-4dbd-8d80-2a3a74d43c25&quot;,&quot;properties&quot;:{&quot;noteIndex&quot;:0},&quot;isEdited&quot;:false,&quot;manualOverride&quot;:{&quot;isManuallyOverridden&quot;:false,&quot;citeprocText&quot;:&quot;[1]&quot;,&quot;manualOverrideText&quot;:&quot;&quot;},&quot;citationTag&quot;:&quot;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quot;,&quot;citationItems&quot;:[{&quot;id&quot;:&quot;b4106496-3eec-3181-9b9a-a4e2469e0332&quot;,&quot;itemData&quot;:{&quot;type&quot;:&quot;article-journal&quot;,&quot;id&quot;:&quot;b4106496-3eec-3181-9b9a-a4e2469e0332&quot;,&quot;title&quot;:&quot;The Effect of Maternal Nutrition on Child Health and Development in Nigeria_ A Systematic Review (1).pdf&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06D0-6D48-4A81-903E-BF2557F7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27</Pages>
  <Words>6342</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Abdullateef</dc:creator>
  <cp:keywords/>
  <dc:description/>
  <cp:lastModifiedBy>Editor-22</cp:lastModifiedBy>
  <cp:revision>23</cp:revision>
  <dcterms:created xsi:type="dcterms:W3CDTF">2025-06-27T11:36:00Z</dcterms:created>
  <dcterms:modified xsi:type="dcterms:W3CDTF">2025-06-28T12:51:00Z</dcterms:modified>
</cp:coreProperties>
</file>