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C69DB" w14:textId="324BAF95" w:rsidR="00B25173" w:rsidRDefault="00B25173" w:rsidP="00B25173">
      <w:pPr>
        <w:jc w:val="center"/>
        <w:rPr>
          <w:b/>
          <w:bCs/>
          <w:sz w:val="28"/>
          <w:szCs w:val="28"/>
        </w:rPr>
      </w:pPr>
      <w:r w:rsidRPr="00B25173">
        <w:rPr>
          <w:b/>
          <w:bCs/>
          <w:sz w:val="28"/>
          <w:szCs w:val="28"/>
        </w:rPr>
        <w:t xml:space="preserve">THE ROLE OF VAGINAL </w:t>
      </w:r>
      <w:r w:rsidR="004F1C27" w:rsidRPr="004F1C27">
        <w:rPr>
          <w:b/>
          <w:bCs/>
          <w:i/>
          <w:iCs/>
          <w:sz w:val="28"/>
          <w:szCs w:val="28"/>
        </w:rPr>
        <w:t>LACTOBACILLI</w:t>
      </w:r>
      <w:r w:rsidRPr="00B25173">
        <w:rPr>
          <w:b/>
          <w:bCs/>
          <w:sz w:val="28"/>
          <w:szCs w:val="28"/>
        </w:rPr>
        <w:t xml:space="preserve"> IN CERVICAL CYTOLOGICAL OUTCOMES AMONG HPV-INFECTED WOMEN IN NIGER STATE, NIGERIA</w:t>
      </w:r>
    </w:p>
    <w:p w14:paraId="00478BA3" w14:textId="77777777" w:rsidR="00EB56DB" w:rsidRDefault="00EB56DB" w:rsidP="003C20EE">
      <w:pPr>
        <w:spacing w:before="100" w:beforeAutospacing="1" w:after="100" w:afterAutospacing="1" w:line="240" w:lineRule="auto"/>
        <w:outlineLvl w:val="1"/>
        <w:rPr>
          <w:rFonts w:eastAsia="Times New Roman"/>
          <w:b/>
          <w:bCs/>
          <w:sz w:val="36"/>
          <w:szCs w:val="36"/>
          <w:lang w:val="en-US"/>
        </w:rPr>
      </w:pPr>
    </w:p>
    <w:p w14:paraId="71FF75D3" w14:textId="3E8B47A0" w:rsidR="003C20EE" w:rsidRPr="003C20EE" w:rsidRDefault="003C20EE" w:rsidP="003C20EE">
      <w:pPr>
        <w:spacing w:before="100" w:beforeAutospacing="1" w:after="100" w:afterAutospacing="1" w:line="240" w:lineRule="auto"/>
        <w:outlineLvl w:val="1"/>
        <w:rPr>
          <w:rFonts w:eastAsia="Times New Roman"/>
          <w:b/>
          <w:bCs/>
          <w:sz w:val="36"/>
          <w:szCs w:val="36"/>
          <w:lang w:val="en-US"/>
        </w:rPr>
      </w:pPr>
      <w:bookmarkStart w:id="0" w:name="_GoBack"/>
      <w:bookmarkEnd w:id="0"/>
      <w:r w:rsidRPr="003C20EE">
        <w:rPr>
          <w:rFonts w:eastAsia="Times New Roman"/>
          <w:b/>
          <w:bCs/>
          <w:sz w:val="36"/>
          <w:szCs w:val="36"/>
          <w:lang w:val="en-US"/>
        </w:rPr>
        <w:t>Abstract</w:t>
      </w:r>
    </w:p>
    <w:p w14:paraId="23F404A4" w14:textId="241F707B" w:rsidR="00D730AB" w:rsidRDefault="00FF6EAF" w:rsidP="000E63C2">
      <w:pPr>
        <w:spacing w:before="100" w:beforeAutospacing="1" w:after="100" w:afterAutospacing="1" w:line="240" w:lineRule="auto"/>
        <w:jc w:val="both"/>
        <w:outlineLvl w:val="1"/>
        <w:rPr>
          <w:rFonts w:eastAsia="Times New Roman"/>
          <w:sz w:val="24"/>
          <w:szCs w:val="24"/>
          <w:lang w:val="en-US"/>
        </w:rPr>
      </w:pPr>
      <w:r w:rsidRPr="00FF6EAF">
        <w:rPr>
          <w:rFonts w:eastAsia="Times New Roman"/>
          <w:sz w:val="24"/>
          <w:szCs w:val="24"/>
          <w:lang w:val="en-US"/>
        </w:rPr>
        <w:t xml:space="preserve">This study investigated the role of vaginal </w:t>
      </w:r>
      <w:r w:rsidR="004F1C27" w:rsidRPr="004F1C27">
        <w:rPr>
          <w:rFonts w:eastAsia="Times New Roman"/>
          <w:i/>
          <w:iCs/>
          <w:sz w:val="24"/>
          <w:szCs w:val="24"/>
          <w:lang w:val="en-US"/>
        </w:rPr>
        <w:t>Lactobacilli</w:t>
      </w:r>
      <w:r w:rsidRPr="00FF6EAF">
        <w:rPr>
          <w:rFonts w:eastAsia="Times New Roman"/>
          <w:sz w:val="24"/>
          <w:szCs w:val="24"/>
          <w:lang w:val="en-US"/>
        </w:rPr>
        <w:t xml:space="preserve"> in influencing cervical cytological outcomes among HPV-infected women in Niger State, Nigeria. A total of 32 women who tested positive for HPV via PCR were assessed for cervical abnormalities using Papanicolaou (PAP) smear, while vaginal swab samples were cultured on de Man, </w:t>
      </w:r>
      <w:proofErr w:type="spellStart"/>
      <w:r w:rsidRPr="00FF6EAF">
        <w:rPr>
          <w:rFonts w:eastAsia="Times New Roman"/>
          <w:sz w:val="24"/>
          <w:szCs w:val="24"/>
          <w:lang w:val="en-US"/>
        </w:rPr>
        <w:t>Rogosa</w:t>
      </w:r>
      <w:proofErr w:type="spellEnd"/>
      <w:r w:rsidRPr="00FF6EAF">
        <w:rPr>
          <w:rFonts w:eastAsia="Times New Roman"/>
          <w:sz w:val="24"/>
          <w:szCs w:val="24"/>
          <w:lang w:val="en-US"/>
        </w:rPr>
        <w:t xml:space="preserve"> and Sharpe (MRS) agar to isolate </w:t>
      </w:r>
      <w:r w:rsidR="004F1C27" w:rsidRPr="004F1C27">
        <w:rPr>
          <w:rFonts w:eastAsia="Times New Roman"/>
          <w:i/>
          <w:iCs/>
          <w:sz w:val="24"/>
          <w:szCs w:val="24"/>
          <w:lang w:val="en-US"/>
        </w:rPr>
        <w:t>Lactobacilli</w:t>
      </w:r>
      <w:r w:rsidRPr="00FF6EAF">
        <w:rPr>
          <w:rFonts w:eastAsia="Times New Roman"/>
          <w:sz w:val="24"/>
          <w:szCs w:val="24"/>
          <w:lang w:val="en-US"/>
        </w:rPr>
        <w:t xml:space="preserve">, with growth categorized as none, scanty, moderate, or heavy. Results revealed that 68.8% of HPV-positive women had normal cytology, 12.5% had atypical squamous cells of undetermined significance (ASCUS), 12.5% had low-grade squamous intraepithelial lesions (LGSIL), and 6.3% showed inflammation. Notably, half of the participants had no detectable </w:t>
      </w:r>
      <w:r w:rsidR="004F1C27" w:rsidRPr="004F1C27">
        <w:rPr>
          <w:rFonts w:eastAsia="Times New Roman"/>
          <w:i/>
          <w:iCs/>
          <w:sz w:val="24"/>
          <w:szCs w:val="24"/>
          <w:lang w:val="en-US"/>
        </w:rPr>
        <w:t>Lactobacilli</w:t>
      </w:r>
      <w:r w:rsidRPr="00FF6EAF">
        <w:rPr>
          <w:rFonts w:eastAsia="Times New Roman"/>
          <w:sz w:val="24"/>
          <w:szCs w:val="24"/>
          <w:lang w:val="en-US"/>
        </w:rPr>
        <w:t xml:space="preserve"> growth. Statistical analysis showed a significant association between HPV infection and cytological abnormalities (χ² = 19.907, p &lt; 0.001), and between </w:t>
      </w:r>
      <w:r w:rsidR="004F1C27" w:rsidRPr="004F1C27">
        <w:rPr>
          <w:rFonts w:eastAsia="Times New Roman"/>
          <w:i/>
          <w:iCs/>
          <w:sz w:val="24"/>
          <w:szCs w:val="24"/>
          <w:lang w:val="en-US"/>
        </w:rPr>
        <w:t>Lactobacilli</w:t>
      </w:r>
      <w:r w:rsidRPr="00FF6EAF">
        <w:rPr>
          <w:rFonts w:eastAsia="Times New Roman"/>
          <w:sz w:val="24"/>
          <w:szCs w:val="24"/>
          <w:lang w:val="en-US"/>
        </w:rPr>
        <w:t xml:space="preserve"> abundance and cervical cytology (χ² = 20.913, p &lt; 0.001). Higher </w:t>
      </w:r>
      <w:r w:rsidR="004F1C27" w:rsidRPr="004F1C27">
        <w:rPr>
          <w:rFonts w:eastAsia="Times New Roman"/>
          <w:i/>
          <w:iCs/>
          <w:sz w:val="24"/>
          <w:szCs w:val="24"/>
          <w:lang w:val="en-US"/>
        </w:rPr>
        <w:t>Lactobacilli</w:t>
      </w:r>
      <w:r w:rsidRPr="00FF6EAF">
        <w:rPr>
          <w:rFonts w:eastAsia="Times New Roman"/>
          <w:sz w:val="24"/>
          <w:szCs w:val="24"/>
          <w:lang w:val="en-US"/>
        </w:rPr>
        <w:t xml:space="preserve"> levels were predominantly found in women with normal cytology, while absent or scanty growth was associated with abnormal findings. These results underscore the protective role of vaginal </w:t>
      </w:r>
      <w:r w:rsidR="004F1C27" w:rsidRPr="004F1C27">
        <w:rPr>
          <w:rFonts w:eastAsia="Times New Roman"/>
          <w:i/>
          <w:iCs/>
          <w:sz w:val="24"/>
          <w:szCs w:val="24"/>
          <w:lang w:val="en-US"/>
        </w:rPr>
        <w:t>Lactobacilli</w:t>
      </w:r>
      <w:r w:rsidRPr="00FF6EAF">
        <w:rPr>
          <w:rFonts w:eastAsia="Times New Roman"/>
          <w:sz w:val="24"/>
          <w:szCs w:val="24"/>
          <w:lang w:val="en-US"/>
        </w:rPr>
        <w:t xml:space="preserve"> in modulating HPV-related cervical epithelial changes and highlight the need to incorporate vaginal microbiota assessment into cervical cancer screening and prevention strategies, especially in resource-limited settings.</w:t>
      </w:r>
    </w:p>
    <w:p w14:paraId="7BCC3675" w14:textId="3B288E63" w:rsidR="0053741C" w:rsidRDefault="000E63C2" w:rsidP="000E63C2">
      <w:pPr>
        <w:spacing w:before="100" w:beforeAutospacing="1" w:after="100" w:afterAutospacing="1" w:line="240" w:lineRule="auto"/>
        <w:jc w:val="both"/>
        <w:outlineLvl w:val="1"/>
        <w:rPr>
          <w:rFonts w:eastAsia="Times New Roman"/>
          <w:sz w:val="24"/>
          <w:szCs w:val="24"/>
          <w:lang w:val="en-US"/>
        </w:rPr>
      </w:pPr>
      <w:r w:rsidRPr="000E63C2">
        <w:rPr>
          <w:rFonts w:eastAsia="Times New Roman"/>
          <w:b/>
          <w:bCs/>
          <w:sz w:val="24"/>
          <w:szCs w:val="24"/>
          <w:lang w:val="en-US"/>
        </w:rPr>
        <w:t>Keywords:</w:t>
      </w:r>
      <w:r w:rsidRPr="000E63C2">
        <w:rPr>
          <w:rFonts w:eastAsia="Times New Roman"/>
          <w:sz w:val="24"/>
          <w:szCs w:val="24"/>
          <w:lang w:val="en-US"/>
        </w:rPr>
        <w:t xml:space="preserve"> HPV infection, cervical cytology, </w:t>
      </w:r>
      <w:r w:rsidR="004F1C27" w:rsidRPr="004F1C27">
        <w:rPr>
          <w:rFonts w:eastAsia="Times New Roman"/>
          <w:i/>
          <w:iCs/>
          <w:sz w:val="24"/>
          <w:szCs w:val="24"/>
          <w:lang w:val="en-US"/>
        </w:rPr>
        <w:t>Lactobacilli</w:t>
      </w:r>
      <w:r w:rsidRPr="000E63C2">
        <w:rPr>
          <w:rFonts w:eastAsia="Times New Roman"/>
          <w:sz w:val="24"/>
          <w:szCs w:val="24"/>
          <w:lang w:val="en-US"/>
        </w:rPr>
        <w:t>, vaginal microbiota, Niger State, ASCUS, LGSIL, cervical cancer prevention.</w:t>
      </w:r>
    </w:p>
    <w:p w14:paraId="57913B5D" w14:textId="77777777" w:rsidR="004F1C27" w:rsidRPr="000E63C2" w:rsidRDefault="004F1C27" w:rsidP="000E63C2">
      <w:pPr>
        <w:spacing w:before="100" w:beforeAutospacing="1" w:after="100" w:afterAutospacing="1" w:line="240" w:lineRule="auto"/>
        <w:jc w:val="both"/>
        <w:outlineLvl w:val="1"/>
        <w:rPr>
          <w:rFonts w:eastAsia="Times New Roman"/>
          <w:sz w:val="24"/>
          <w:szCs w:val="24"/>
          <w:lang w:val="en-US"/>
        </w:rPr>
      </w:pPr>
    </w:p>
    <w:p w14:paraId="3AC262D7" w14:textId="0F5C4D2D" w:rsidR="003C20EE" w:rsidRPr="005B210F" w:rsidRDefault="008E5F0D" w:rsidP="005B210F">
      <w:pPr>
        <w:pStyle w:val="ListParagraph"/>
        <w:numPr>
          <w:ilvl w:val="0"/>
          <w:numId w:val="1"/>
        </w:numPr>
        <w:spacing w:before="100" w:beforeAutospacing="1" w:after="100" w:afterAutospacing="1" w:line="240" w:lineRule="auto"/>
        <w:ind w:left="360"/>
        <w:jc w:val="both"/>
        <w:outlineLvl w:val="1"/>
        <w:rPr>
          <w:rFonts w:eastAsia="Times New Roman"/>
          <w:b/>
          <w:bCs/>
          <w:sz w:val="36"/>
          <w:szCs w:val="36"/>
          <w:lang w:val="en-US"/>
        </w:rPr>
      </w:pPr>
      <w:r w:rsidRPr="005B210F">
        <w:rPr>
          <w:rFonts w:eastAsia="Times New Roman"/>
          <w:b/>
          <w:bCs/>
          <w:sz w:val="24"/>
          <w:szCs w:val="24"/>
          <w:lang w:val="en-US"/>
        </w:rPr>
        <w:t>INTRODUCTION</w:t>
      </w:r>
    </w:p>
    <w:p w14:paraId="7E0BB85A" w14:textId="40497D70" w:rsidR="004F1C27" w:rsidRPr="004F1C27" w:rsidRDefault="004F1C27" w:rsidP="004F1C27">
      <w:pPr>
        <w:spacing w:line="360" w:lineRule="auto"/>
        <w:jc w:val="both"/>
        <w:rPr>
          <w:rFonts w:eastAsia="Times New Roman"/>
          <w:sz w:val="24"/>
          <w:szCs w:val="24"/>
          <w:lang w:val="en-US"/>
        </w:rPr>
      </w:pPr>
      <w:bookmarkStart w:id="1" w:name="_Hlk199281939"/>
      <w:r w:rsidRPr="004F1C27">
        <w:rPr>
          <w:rFonts w:eastAsia="Times New Roman"/>
          <w:sz w:val="24"/>
          <w:szCs w:val="24"/>
          <w:lang w:val="en-US"/>
        </w:rPr>
        <w:t>Human papillomavirus (HPV) infection remains the most common sexually transmitted viral infection worldwide and is widely recognized as the primary etiological agent in the development of cervical cancer, particularly in low- and middle-income countries where access to prevention and treatment remains limited (</w:t>
      </w:r>
      <w:proofErr w:type="spellStart"/>
      <w:r w:rsidRPr="004F1C27">
        <w:rPr>
          <w:rFonts w:eastAsia="Times New Roman"/>
          <w:sz w:val="24"/>
          <w:szCs w:val="24"/>
          <w:lang w:val="en-US"/>
        </w:rPr>
        <w:t>Arbyn</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2020; Sung </w:t>
      </w:r>
      <w:r w:rsidRPr="004F1C27">
        <w:rPr>
          <w:rFonts w:eastAsia="Times New Roman"/>
          <w:i/>
          <w:iCs/>
          <w:sz w:val="24"/>
          <w:szCs w:val="24"/>
          <w:lang w:val="en-US"/>
        </w:rPr>
        <w:t>et al.,</w:t>
      </w:r>
      <w:r w:rsidRPr="004F1C27">
        <w:rPr>
          <w:rFonts w:eastAsia="Times New Roman"/>
          <w:sz w:val="24"/>
          <w:szCs w:val="24"/>
          <w:lang w:val="en-US"/>
        </w:rPr>
        <w:t xml:space="preserve"> 2021). Globally, persistent infection with high-risk HPV genotypes, notably HPV 16 and 18, accounts for approximately 95% of cervical cancer cases and significantly elevates the risk of progression from cervical intraepithelial neoplasia (CIN) to invasive cervical carcinoma (de </w:t>
      </w:r>
      <w:proofErr w:type="spellStart"/>
      <w:r w:rsidRPr="004F1C27">
        <w:rPr>
          <w:rFonts w:eastAsia="Times New Roman"/>
          <w:sz w:val="24"/>
          <w:szCs w:val="24"/>
          <w:lang w:val="en-US"/>
        </w:rPr>
        <w:t>Sanjosé</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2018). In Nigeria, cervical cancer is the second most common cancer among women, with an estimated 14,943 new cases and </w:t>
      </w:r>
      <w:r w:rsidRPr="004F1C27">
        <w:rPr>
          <w:rFonts w:eastAsia="Times New Roman"/>
          <w:sz w:val="24"/>
          <w:szCs w:val="24"/>
          <w:lang w:val="en-US"/>
        </w:rPr>
        <w:lastRenderedPageBreak/>
        <w:t xml:space="preserve">10,403 deaths annually, underscoring a substantial public health burden fueled by low screening coverage, limited HPV vaccination uptake, and inadequate healthcare infrastructure (Bruni </w:t>
      </w:r>
      <w:r w:rsidRPr="004F1C27">
        <w:rPr>
          <w:rFonts w:eastAsia="Times New Roman"/>
          <w:i/>
          <w:iCs/>
          <w:sz w:val="24"/>
          <w:szCs w:val="24"/>
          <w:lang w:val="en-US"/>
        </w:rPr>
        <w:t>et al.,</w:t>
      </w:r>
      <w:r w:rsidRPr="004F1C27">
        <w:rPr>
          <w:rFonts w:eastAsia="Times New Roman"/>
          <w:sz w:val="24"/>
          <w:szCs w:val="24"/>
          <w:lang w:val="en-US"/>
        </w:rPr>
        <w:t xml:space="preserve"> 2023). Despite the well-established causal role of HPV in cervical carcinogenesis, infection alone is insufficient to drive the progression to malignancy, as multiple host and environmental factors influence viral persistence and disease development.</w:t>
      </w:r>
    </w:p>
    <w:p w14:paraId="49F99970" w14:textId="5D75D4B2" w:rsidR="004F1C27" w:rsidRPr="004F1C27" w:rsidRDefault="004F1C27" w:rsidP="004F1C27">
      <w:pPr>
        <w:spacing w:line="360" w:lineRule="auto"/>
        <w:jc w:val="both"/>
        <w:rPr>
          <w:rFonts w:eastAsia="Times New Roman"/>
          <w:sz w:val="24"/>
          <w:szCs w:val="24"/>
          <w:lang w:val="en-US"/>
        </w:rPr>
      </w:pPr>
      <w:r w:rsidRPr="004F1C27">
        <w:rPr>
          <w:rFonts w:eastAsia="Times New Roman"/>
          <w:sz w:val="24"/>
          <w:szCs w:val="24"/>
          <w:lang w:val="en-US"/>
        </w:rPr>
        <w:t xml:space="preserve">Among these factors, the vaginal microbiota has emerged as a critical modulator of susceptibility to HPV infection, persistence, and the risk of cervical epithelial abnormalities (Mitra </w:t>
      </w:r>
      <w:r w:rsidRPr="004F1C27">
        <w:rPr>
          <w:rFonts w:eastAsia="Times New Roman"/>
          <w:i/>
          <w:iCs/>
          <w:sz w:val="24"/>
          <w:szCs w:val="24"/>
          <w:lang w:val="en-US"/>
        </w:rPr>
        <w:t>et al.,</w:t>
      </w:r>
      <w:r w:rsidRPr="004F1C27">
        <w:rPr>
          <w:rFonts w:eastAsia="Times New Roman"/>
          <w:sz w:val="24"/>
          <w:szCs w:val="24"/>
          <w:lang w:val="en-US"/>
        </w:rPr>
        <w:t xml:space="preserve"> 2020; </w:t>
      </w:r>
      <w:proofErr w:type="spellStart"/>
      <w:r w:rsidRPr="004F1C27">
        <w:rPr>
          <w:rFonts w:eastAsia="Times New Roman"/>
          <w:sz w:val="24"/>
          <w:szCs w:val="24"/>
          <w:lang w:val="en-US"/>
        </w:rPr>
        <w:t>Kyrgiou</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2017). A healthy vaginal ecosystem is typically dominated by </w:t>
      </w:r>
      <w:r w:rsidR="001B4069" w:rsidRPr="001B4069">
        <w:rPr>
          <w:rFonts w:eastAsia="Times New Roman"/>
          <w:i/>
          <w:iCs/>
          <w:sz w:val="24"/>
          <w:szCs w:val="24"/>
          <w:lang w:val="en-US"/>
        </w:rPr>
        <w:t>Lactobacillus</w:t>
      </w:r>
      <w:r w:rsidRPr="004F1C27">
        <w:rPr>
          <w:rFonts w:eastAsia="Times New Roman"/>
          <w:sz w:val="24"/>
          <w:szCs w:val="24"/>
          <w:lang w:val="en-US"/>
        </w:rPr>
        <w:t xml:space="preserve"> species, such as </w:t>
      </w:r>
      <w:r w:rsidR="001B4069" w:rsidRPr="001B4069">
        <w:rPr>
          <w:rFonts w:eastAsia="Times New Roman"/>
          <w:i/>
          <w:iCs/>
          <w:sz w:val="24"/>
          <w:szCs w:val="24"/>
          <w:lang w:val="en-US"/>
        </w:rPr>
        <w:t xml:space="preserve">L. </w:t>
      </w:r>
      <w:proofErr w:type="spellStart"/>
      <w:r w:rsidR="001B4069" w:rsidRPr="001B4069">
        <w:rPr>
          <w:rFonts w:eastAsia="Times New Roman"/>
          <w:i/>
          <w:iCs/>
          <w:sz w:val="24"/>
          <w:szCs w:val="24"/>
          <w:lang w:val="en-US"/>
        </w:rPr>
        <w:t>crispatus</w:t>
      </w:r>
      <w:proofErr w:type="spellEnd"/>
      <w:r w:rsidRPr="004F1C27">
        <w:rPr>
          <w:rFonts w:eastAsia="Times New Roman"/>
          <w:sz w:val="24"/>
          <w:szCs w:val="24"/>
          <w:lang w:val="en-US"/>
        </w:rPr>
        <w:t xml:space="preserve">, </w:t>
      </w:r>
      <w:r w:rsidRPr="001B4069">
        <w:rPr>
          <w:rFonts w:eastAsia="Times New Roman"/>
          <w:i/>
          <w:iCs/>
          <w:sz w:val="24"/>
          <w:szCs w:val="24"/>
          <w:lang w:val="en-US"/>
        </w:rPr>
        <w:t xml:space="preserve">L. </w:t>
      </w:r>
      <w:proofErr w:type="spellStart"/>
      <w:r w:rsidRPr="001B4069">
        <w:rPr>
          <w:rFonts w:eastAsia="Times New Roman"/>
          <w:i/>
          <w:iCs/>
          <w:sz w:val="24"/>
          <w:szCs w:val="24"/>
          <w:lang w:val="en-US"/>
        </w:rPr>
        <w:t>gasseri</w:t>
      </w:r>
      <w:proofErr w:type="spellEnd"/>
      <w:r w:rsidRPr="004F1C27">
        <w:rPr>
          <w:rFonts w:eastAsia="Times New Roman"/>
          <w:sz w:val="24"/>
          <w:szCs w:val="24"/>
          <w:lang w:val="en-US"/>
        </w:rPr>
        <w:t xml:space="preserve">, </w:t>
      </w:r>
      <w:r w:rsidRPr="001B4069">
        <w:rPr>
          <w:rFonts w:eastAsia="Times New Roman"/>
          <w:i/>
          <w:iCs/>
          <w:sz w:val="24"/>
          <w:szCs w:val="24"/>
          <w:lang w:val="en-US"/>
        </w:rPr>
        <w:t xml:space="preserve">L. </w:t>
      </w:r>
      <w:proofErr w:type="spellStart"/>
      <w:r w:rsidRPr="001B4069">
        <w:rPr>
          <w:rFonts w:eastAsia="Times New Roman"/>
          <w:i/>
          <w:iCs/>
          <w:sz w:val="24"/>
          <w:szCs w:val="24"/>
          <w:lang w:val="en-US"/>
        </w:rPr>
        <w:t>jensenii</w:t>
      </w:r>
      <w:proofErr w:type="spellEnd"/>
      <w:r w:rsidRPr="004F1C27">
        <w:rPr>
          <w:rFonts w:eastAsia="Times New Roman"/>
          <w:sz w:val="24"/>
          <w:szCs w:val="24"/>
          <w:lang w:val="en-US"/>
        </w:rPr>
        <w:t xml:space="preserve">, and </w:t>
      </w:r>
      <w:r w:rsidRPr="001B4069">
        <w:rPr>
          <w:rFonts w:eastAsia="Times New Roman"/>
          <w:i/>
          <w:iCs/>
          <w:sz w:val="24"/>
          <w:szCs w:val="24"/>
          <w:lang w:val="en-US"/>
        </w:rPr>
        <w:t xml:space="preserve">L. </w:t>
      </w:r>
      <w:proofErr w:type="spellStart"/>
      <w:r w:rsidRPr="001B4069">
        <w:rPr>
          <w:rFonts w:eastAsia="Times New Roman"/>
          <w:i/>
          <w:iCs/>
          <w:sz w:val="24"/>
          <w:szCs w:val="24"/>
          <w:lang w:val="en-US"/>
        </w:rPr>
        <w:t>iners</w:t>
      </w:r>
      <w:proofErr w:type="spellEnd"/>
      <w:r w:rsidRPr="004F1C27">
        <w:rPr>
          <w:rFonts w:eastAsia="Times New Roman"/>
          <w:sz w:val="24"/>
          <w:szCs w:val="24"/>
          <w:lang w:val="en-US"/>
        </w:rPr>
        <w:t xml:space="preserve">, which maintain a low pH through lactic acid production, inhibit the growth of pathogenic organisms, and modulate local immune responses to promote mucosal health (Leon-Gomez and Romero, 2025; Ravel </w:t>
      </w:r>
      <w:r w:rsidRPr="004F1C27">
        <w:rPr>
          <w:rFonts w:eastAsia="Times New Roman"/>
          <w:i/>
          <w:iCs/>
          <w:sz w:val="24"/>
          <w:szCs w:val="24"/>
          <w:lang w:val="en-US"/>
        </w:rPr>
        <w:t>et al.,</w:t>
      </w:r>
      <w:r w:rsidRPr="004F1C27">
        <w:rPr>
          <w:rFonts w:eastAsia="Times New Roman"/>
          <w:sz w:val="24"/>
          <w:szCs w:val="24"/>
          <w:lang w:val="en-US"/>
        </w:rPr>
        <w:t xml:space="preserve"> 2013). Disruption of this </w:t>
      </w:r>
      <w:r w:rsidR="001B4069" w:rsidRPr="001B4069">
        <w:rPr>
          <w:rFonts w:eastAsia="Times New Roman"/>
          <w:i/>
          <w:iCs/>
          <w:sz w:val="24"/>
          <w:szCs w:val="24"/>
          <w:lang w:val="en-US"/>
        </w:rPr>
        <w:t>Lactobacillus</w:t>
      </w:r>
      <w:r w:rsidRPr="004F1C27">
        <w:rPr>
          <w:rFonts w:eastAsia="Times New Roman"/>
          <w:sz w:val="24"/>
          <w:szCs w:val="24"/>
          <w:lang w:val="en-US"/>
        </w:rPr>
        <w:t xml:space="preserve">-dominated environment, known as vaginal dysbiosis, has been linked to an increased risk of HPV acquisition and persistence, possibly by impairing mucosal defenses and creating a pro-inflammatory microenvironment conducive to viral replication and integration (Yang </w:t>
      </w:r>
      <w:r w:rsidRPr="004F1C27">
        <w:rPr>
          <w:rFonts w:eastAsia="Times New Roman"/>
          <w:i/>
          <w:iCs/>
          <w:sz w:val="24"/>
          <w:szCs w:val="24"/>
          <w:lang w:val="en-US"/>
        </w:rPr>
        <w:t>et al.,</w:t>
      </w:r>
      <w:r w:rsidRPr="004F1C27">
        <w:rPr>
          <w:rFonts w:eastAsia="Times New Roman"/>
          <w:sz w:val="24"/>
          <w:szCs w:val="24"/>
          <w:lang w:val="en-US"/>
        </w:rPr>
        <w:t xml:space="preserve"> 2022). Furthermore, anaerobic bacteria such as </w:t>
      </w:r>
      <w:r w:rsidR="001B4069" w:rsidRPr="001B4069">
        <w:rPr>
          <w:rFonts w:eastAsia="Times New Roman"/>
          <w:i/>
          <w:iCs/>
          <w:sz w:val="24"/>
          <w:szCs w:val="24"/>
          <w:lang w:val="en-US"/>
        </w:rPr>
        <w:t>Gardnerella vaginalis</w:t>
      </w:r>
      <w:r w:rsidRPr="004F1C27">
        <w:rPr>
          <w:rFonts w:eastAsia="Times New Roman"/>
          <w:sz w:val="24"/>
          <w:szCs w:val="24"/>
          <w:lang w:val="en-US"/>
        </w:rPr>
        <w:t xml:space="preserve">, </w:t>
      </w:r>
      <w:proofErr w:type="spellStart"/>
      <w:r w:rsidRPr="001B4069">
        <w:rPr>
          <w:rFonts w:eastAsia="Times New Roman"/>
          <w:i/>
          <w:iCs/>
          <w:sz w:val="24"/>
          <w:szCs w:val="24"/>
          <w:lang w:val="en-US"/>
        </w:rPr>
        <w:t>Atopobium</w:t>
      </w:r>
      <w:proofErr w:type="spellEnd"/>
      <w:r w:rsidRPr="001B4069">
        <w:rPr>
          <w:rFonts w:eastAsia="Times New Roman"/>
          <w:i/>
          <w:iCs/>
          <w:sz w:val="24"/>
          <w:szCs w:val="24"/>
          <w:lang w:val="en-US"/>
        </w:rPr>
        <w:t xml:space="preserve"> </w:t>
      </w:r>
      <w:proofErr w:type="spellStart"/>
      <w:r w:rsidRPr="001B4069">
        <w:rPr>
          <w:rFonts w:eastAsia="Times New Roman"/>
          <w:i/>
          <w:iCs/>
          <w:sz w:val="24"/>
          <w:szCs w:val="24"/>
          <w:lang w:val="en-US"/>
        </w:rPr>
        <w:t>vaginae</w:t>
      </w:r>
      <w:proofErr w:type="spellEnd"/>
      <w:r w:rsidRPr="004F1C27">
        <w:rPr>
          <w:rFonts w:eastAsia="Times New Roman"/>
          <w:sz w:val="24"/>
          <w:szCs w:val="24"/>
          <w:lang w:val="en-US"/>
        </w:rPr>
        <w:t xml:space="preserve">, and </w:t>
      </w:r>
      <w:proofErr w:type="spellStart"/>
      <w:r w:rsidRPr="001B4069">
        <w:rPr>
          <w:rFonts w:eastAsia="Times New Roman"/>
          <w:i/>
          <w:iCs/>
          <w:sz w:val="24"/>
          <w:szCs w:val="24"/>
          <w:lang w:val="en-US"/>
        </w:rPr>
        <w:t>Sneathia</w:t>
      </w:r>
      <w:proofErr w:type="spellEnd"/>
      <w:r w:rsidRPr="004F1C27">
        <w:rPr>
          <w:rFonts w:eastAsia="Times New Roman"/>
          <w:sz w:val="24"/>
          <w:szCs w:val="24"/>
          <w:lang w:val="en-US"/>
        </w:rPr>
        <w:t xml:space="preserve"> species, commonly associated with dysbiosis, have been implicated in promoting inflammation and cellular changes that may accelerate HPV-induced neoplastic transformation (</w:t>
      </w:r>
      <w:proofErr w:type="spellStart"/>
      <w:r w:rsidRPr="004F1C27">
        <w:rPr>
          <w:rFonts w:eastAsia="Times New Roman"/>
          <w:sz w:val="24"/>
          <w:szCs w:val="24"/>
          <w:lang w:val="en-US"/>
        </w:rPr>
        <w:t>Santella</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2022).</w:t>
      </w:r>
    </w:p>
    <w:p w14:paraId="64B1729E" w14:textId="32443CC0" w:rsidR="004F1C27" w:rsidRDefault="004F1C27" w:rsidP="004F1C27">
      <w:pPr>
        <w:spacing w:line="360" w:lineRule="auto"/>
        <w:jc w:val="both"/>
        <w:rPr>
          <w:rFonts w:eastAsia="Times New Roman"/>
          <w:sz w:val="24"/>
          <w:szCs w:val="24"/>
          <w:lang w:val="en-US"/>
        </w:rPr>
      </w:pPr>
      <w:r w:rsidRPr="004F1C27">
        <w:rPr>
          <w:rFonts w:eastAsia="Times New Roman"/>
          <w:sz w:val="24"/>
          <w:szCs w:val="24"/>
          <w:lang w:val="en-US"/>
        </w:rPr>
        <w:t>Despite growing recognition of the interaction between vaginal microbiota and HPV pathogenesis, data from sub-Saharan Africa remain limited, and findings from other populations may not fully apply due to sociocultural, environmental, and genetic differences influencing vaginal microbial communities (</w:t>
      </w:r>
      <w:proofErr w:type="spellStart"/>
      <w:r w:rsidRPr="004F1C27">
        <w:rPr>
          <w:rFonts w:eastAsia="Times New Roman"/>
          <w:sz w:val="24"/>
          <w:szCs w:val="24"/>
          <w:lang w:val="en-US"/>
        </w:rPr>
        <w:t>Orya</w:t>
      </w:r>
      <w:proofErr w:type="spellEnd"/>
      <w:r w:rsidRPr="004F1C27">
        <w:rPr>
          <w:rFonts w:eastAsia="Times New Roman"/>
          <w:sz w:val="24"/>
          <w:szCs w:val="24"/>
          <w:lang w:val="en-US"/>
        </w:rPr>
        <w:t xml:space="preserve"> </w:t>
      </w:r>
      <w:r w:rsidRPr="004F1C27">
        <w:rPr>
          <w:rFonts w:eastAsia="Times New Roman"/>
          <w:i/>
          <w:iCs/>
          <w:sz w:val="24"/>
          <w:szCs w:val="24"/>
          <w:lang w:val="en-US"/>
        </w:rPr>
        <w:t>et al.,</w:t>
      </w:r>
      <w:r w:rsidRPr="004F1C27">
        <w:rPr>
          <w:rFonts w:eastAsia="Times New Roman"/>
          <w:sz w:val="24"/>
          <w:szCs w:val="24"/>
          <w:lang w:val="en-US"/>
        </w:rPr>
        <w:t xml:space="preserve"> 2024). In Nigeria, where cervical cancer morbidity and mortality remain alarmingly high, understanding the role of vaginal </w:t>
      </w:r>
      <w:r w:rsidRPr="004F1C27">
        <w:rPr>
          <w:rFonts w:eastAsia="Times New Roman"/>
          <w:i/>
          <w:iCs/>
          <w:sz w:val="24"/>
          <w:szCs w:val="24"/>
          <w:lang w:val="en-US"/>
        </w:rPr>
        <w:t>Lactobacilli</w:t>
      </w:r>
      <w:r w:rsidRPr="004F1C27">
        <w:rPr>
          <w:rFonts w:eastAsia="Times New Roman"/>
          <w:sz w:val="24"/>
          <w:szCs w:val="24"/>
          <w:lang w:val="en-US"/>
        </w:rPr>
        <w:t xml:space="preserve"> in modulating cervical cytological outcomes among HPV-infected women is especially important for developing locally appropriate prevention strategies. This study aimed to evaluate the prevalence of vaginal </w:t>
      </w:r>
      <w:r w:rsidRPr="004F1C27">
        <w:rPr>
          <w:rFonts w:eastAsia="Times New Roman"/>
          <w:i/>
          <w:iCs/>
          <w:sz w:val="24"/>
          <w:szCs w:val="24"/>
          <w:lang w:val="en-US"/>
        </w:rPr>
        <w:t>Lactobacilli</w:t>
      </w:r>
      <w:r w:rsidRPr="004F1C27">
        <w:rPr>
          <w:rFonts w:eastAsia="Times New Roman"/>
          <w:sz w:val="24"/>
          <w:szCs w:val="24"/>
          <w:lang w:val="en-US"/>
        </w:rPr>
        <w:t xml:space="preserve"> and characterize cervical cytological abnormalities among HPV-positive women in Niger State, Nigeria, providing essential epidemiological data. The findings have potential implications for integrating vaginal microbiota assessment into HPV screening programs and tailoring interventions to reduce cervical cancer risk in resource-constrained settings.</w:t>
      </w:r>
    </w:p>
    <w:p w14:paraId="397B41C5" w14:textId="5B0EDFED" w:rsidR="005B210F" w:rsidRPr="005B210F" w:rsidRDefault="005B210F" w:rsidP="004F1C27">
      <w:pPr>
        <w:spacing w:line="360" w:lineRule="auto"/>
        <w:jc w:val="both"/>
        <w:rPr>
          <w:rFonts w:eastAsia="Times New Roman"/>
          <w:b/>
          <w:bCs/>
          <w:sz w:val="24"/>
          <w:szCs w:val="24"/>
          <w:lang w:val="en-US"/>
        </w:rPr>
      </w:pPr>
      <w:r>
        <w:rPr>
          <w:rFonts w:eastAsia="Times New Roman"/>
          <w:b/>
          <w:bCs/>
          <w:sz w:val="24"/>
          <w:szCs w:val="24"/>
          <w:lang w:val="en-US"/>
        </w:rPr>
        <w:t xml:space="preserve">2. </w:t>
      </w:r>
      <w:r w:rsidR="008E5F0D" w:rsidRPr="005B210F">
        <w:rPr>
          <w:rFonts w:eastAsia="Times New Roman"/>
          <w:b/>
          <w:bCs/>
          <w:sz w:val="24"/>
          <w:szCs w:val="24"/>
          <w:lang w:val="en-US"/>
        </w:rPr>
        <w:t>MATERIALS AND METHODS</w:t>
      </w:r>
    </w:p>
    <w:p w14:paraId="4896F450" w14:textId="77777777" w:rsidR="005B210F" w:rsidRPr="005B210F" w:rsidRDefault="005B210F" w:rsidP="005B210F">
      <w:pPr>
        <w:spacing w:line="360" w:lineRule="auto"/>
        <w:jc w:val="both"/>
        <w:rPr>
          <w:rFonts w:eastAsia="Times New Roman"/>
          <w:b/>
          <w:bCs/>
          <w:sz w:val="24"/>
          <w:szCs w:val="24"/>
          <w:lang w:val="en-US"/>
        </w:rPr>
      </w:pPr>
      <w:r w:rsidRPr="005B210F">
        <w:rPr>
          <w:rFonts w:eastAsia="Times New Roman"/>
          <w:b/>
          <w:bCs/>
          <w:sz w:val="24"/>
          <w:szCs w:val="24"/>
          <w:lang w:val="en-US"/>
        </w:rPr>
        <w:lastRenderedPageBreak/>
        <w:t>2.1 Study Design and Ethical Considerations</w:t>
      </w:r>
    </w:p>
    <w:p w14:paraId="6227816B" w14:textId="77777777" w:rsidR="005B210F" w:rsidRP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t>A hospital-based, descriptive cross-sectional study was conducted over a three-month period at the General Hospital Minna, Niger State, Nigeria. Ethical approval for the study was obtained from both the Niger State Ministry of Health Ethics Committee and the General Hospital Minna Ethical Review Board. Prior to participation, written informed consent was obtained from all participants. The study enrolled a total of thirty-two (32) women, aged between 20 and 55 years, who tested positive for Human Papillomavirus (HPV) via PCR. Eligible participants were those who had previous sexual experience, were capable of undergoing a pelvic examination, and had abstained from vaginal probiotic use for at least 30 days and from sexual intercourse for at least 7 days before sample collection. Exclusion criteria included individuals who were virgins, pregnant, had a history of cervical precancer treatment within the past six months, had undergone hysterectomy, or had diagnosed immune system disorders.</w:t>
      </w:r>
    </w:p>
    <w:p w14:paraId="3BD793BC" w14:textId="77777777" w:rsidR="005B210F" w:rsidRPr="005B210F" w:rsidRDefault="005B210F" w:rsidP="005B210F">
      <w:pPr>
        <w:spacing w:line="360" w:lineRule="auto"/>
        <w:jc w:val="both"/>
        <w:rPr>
          <w:rFonts w:eastAsia="Times New Roman"/>
          <w:b/>
          <w:bCs/>
          <w:sz w:val="24"/>
          <w:szCs w:val="24"/>
          <w:lang w:val="en-US"/>
        </w:rPr>
      </w:pPr>
      <w:r w:rsidRPr="005B210F">
        <w:rPr>
          <w:rFonts w:eastAsia="Times New Roman"/>
          <w:b/>
          <w:bCs/>
          <w:sz w:val="24"/>
          <w:szCs w:val="24"/>
          <w:lang w:val="en-US"/>
        </w:rPr>
        <w:t>2.2 Sample Collection and Laboratory Techniques</w:t>
      </w:r>
    </w:p>
    <w:p w14:paraId="584B5BC0" w14:textId="77777777" w:rsidR="005B210F" w:rsidRP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t>Vaginal swab samples were collected from each participant by trained clinical personnel using sterile cotton swabs. Two swabs were obtained per participant by rotating along the lateral walls of the vagina to collect adequate cellular and microbial material. One swab was immediately smeared onto a clean glass slide for cytological evaluation. These slides were fixed in 95% ethanol to preserve cellular morphology and transported to the histology laboratory at General Hospital Minna. There, the slides were stained using the standard Papanicolaou (PAP) smear protocol, involving sequential application of hematoxylin, acid alcohol, orange G6, eosin azure, and xylene. After staining, the slides were mounted with dibutyl phthalate polystyrene xylene (DPX) and examined microscopically for cytological assessment.</w:t>
      </w:r>
    </w:p>
    <w:p w14:paraId="04ED1DB9" w14:textId="693DEAAD" w:rsidR="005B210F" w:rsidRP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t xml:space="preserve">The second swab was used for microbiological analysis to isolate and quantify vaginal </w:t>
      </w:r>
      <w:r w:rsidR="004F1C27" w:rsidRPr="004F1C27">
        <w:rPr>
          <w:rFonts w:eastAsia="Times New Roman"/>
          <w:i/>
          <w:iCs/>
          <w:sz w:val="24"/>
          <w:szCs w:val="24"/>
          <w:lang w:val="en-US"/>
        </w:rPr>
        <w:t>Lactobacilli</w:t>
      </w:r>
      <w:r w:rsidRPr="005B210F">
        <w:rPr>
          <w:rFonts w:eastAsia="Times New Roman"/>
          <w:sz w:val="24"/>
          <w:szCs w:val="24"/>
          <w:lang w:val="en-US"/>
        </w:rPr>
        <w:t xml:space="preserve">. This swab was transferred to the pathology laboratory and inoculated onto de Man, </w:t>
      </w:r>
      <w:proofErr w:type="spellStart"/>
      <w:r w:rsidRPr="005B210F">
        <w:rPr>
          <w:rFonts w:eastAsia="Times New Roman"/>
          <w:sz w:val="24"/>
          <w:szCs w:val="24"/>
          <w:lang w:val="en-US"/>
        </w:rPr>
        <w:t>Rogosa</w:t>
      </w:r>
      <w:proofErr w:type="spellEnd"/>
      <w:r w:rsidRPr="005B210F">
        <w:rPr>
          <w:rFonts w:eastAsia="Times New Roman"/>
          <w:sz w:val="24"/>
          <w:szCs w:val="24"/>
          <w:lang w:val="en-US"/>
        </w:rPr>
        <w:t xml:space="preserve">, and Sharpe (MRS) agar. Following incubation, bacterial colonies were subjected to standard biochemical identification procedures to confirm </w:t>
      </w:r>
      <w:r w:rsidR="004F1C27" w:rsidRPr="004F1C27">
        <w:rPr>
          <w:rFonts w:eastAsia="Times New Roman"/>
          <w:i/>
          <w:iCs/>
          <w:sz w:val="24"/>
          <w:szCs w:val="24"/>
          <w:lang w:val="en-US"/>
        </w:rPr>
        <w:t>Lactobacilli</w:t>
      </w:r>
      <w:r w:rsidRPr="005B210F">
        <w:rPr>
          <w:rFonts w:eastAsia="Times New Roman"/>
          <w:sz w:val="24"/>
          <w:szCs w:val="24"/>
          <w:lang w:val="en-US"/>
        </w:rPr>
        <w:t xml:space="preserve"> presence and assess growth levels, which were categorized as no growth, scanty, moderate, or heavy.</w:t>
      </w:r>
    </w:p>
    <w:p w14:paraId="0AEE4FAB" w14:textId="4759B7B3" w:rsidR="005B210F" w:rsidRPr="005B210F" w:rsidRDefault="005B210F" w:rsidP="005B210F">
      <w:pPr>
        <w:spacing w:line="360" w:lineRule="auto"/>
        <w:jc w:val="both"/>
        <w:rPr>
          <w:rFonts w:eastAsia="Times New Roman"/>
          <w:b/>
          <w:bCs/>
          <w:sz w:val="24"/>
          <w:szCs w:val="24"/>
          <w:lang w:val="en-US"/>
        </w:rPr>
      </w:pPr>
      <w:r>
        <w:rPr>
          <w:rFonts w:eastAsia="Times New Roman"/>
          <w:b/>
          <w:bCs/>
          <w:sz w:val="24"/>
          <w:szCs w:val="24"/>
          <w:lang w:val="en-US"/>
        </w:rPr>
        <w:t xml:space="preserve">2.3 </w:t>
      </w:r>
      <w:r w:rsidRPr="005B210F">
        <w:rPr>
          <w:rFonts w:eastAsia="Times New Roman"/>
          <w:b/>
          <w:bCs/>
          <w:sz w:val="24"/>
          <w:szCs w:val="24"/>
          <w:lang w:val="en-US"/>
        </w:rPr>
        <w:t>Data Analysis</w:t>
      </w:r>
    </w:p>
    <w:p w14:paraId="0C15B5CC" w14:textId="29641E11" w:rsidR="005B210F" w:rsidRDefault="005B210F" w:rsidP="005B210F">
      <w:pPr>
        <w:spacing w:line="360" w:lineRule="auto"/>
        <w:jc w:val="both"/>
        <w:rPr>
          <w:rFonts w:eastAsia="Times New Roman"/>
          <w:sz w:val="24"/>
          <w:szCs w:val="24"/>
          <w:lang w:val="en-US"/>
        </w:rPr>
      </w:pPr>
      <w:r w:rsidRPr="005B210F">
        <w:rPr>
          <w:rFonts w:eastAsia="Times New Roman"/>
          <w:sz w:val="24"/>
          <w:szCs w:val="24"/>
          <w:lang w:val="en-US"/>
        </w:rPr>
        <w:lastRenderedPageBreak/>
        <w:t xml:space="preserve">All collected data were entered and analyzed using IBM SPSS Statistics software, version 20. Descriptive statistics were used to summarize the data, and results were presented as frequencies and percentages in tables. Associations between HPV infection, cervical cytology findings, and </w:t>
      </w:r>
      <w:r w:rsidR="004F1C27" w:rsidRPr="004F1C27">
        <w:rPr>
          <w:rFonts w:eastAsia="Times New Roman"/>
          <w:i/>
          <w:iCs/>
          <w:sz w:val="24"/>
          <w:szCs w:val="24"/>
          <w:lang w:val="en-US"/>
        </w:rPr>
        <w:t>Lactobacilli</w:t>
      </w:r>
      <w:r w:rsidRPr="005B210F">
        <w:rPr>
          <w:rFonts w:eastAsia="Times New Roman"/>
          <w:sz w:val="24"/>
          <w:szCs w:val="24"/>
          <w:lang w:val="en-US"/>
        </w:rPr>
        <w:t xml:space="preserve"> growth levels were assessed using the Chi-square (χ²) test. A p-value of less than 0.05 was considered statistically significant.</w:t>
      </w:r>
    </w:p>
    <w:p w14:paraId="78BB9D5F" w14:textId="79206D72" w:rsidR="00301EF5" w:rsidRPr="005B210F" w:rsidRDefault="008E5F0D" w:rsidP="005B210F">
      <w:pPr>
        <w:pStyle w:val="ListParagraph"/>
        <w:numPr>
          <w:ilvl w:val="0"/>
          <w:numId w:val="3"/>
        </w:numPr>
        <w:spacing w:line="360" w:lineRule="auto"/>
        <w:ind w:left="360"/>
        <w:jc w:val="both"/>
        <w:rPr>
          <w:b/>
          <w:bCs/>
          <w:sz w:val="24"/>
          <w:szCs w:val="24"/>
        </w:rPr>
      </w:pPr>
      <w:r w:rsidRPr="005B210F">
        <w:rPr>
          <w:b/>
          <w:bCs/>
          <w:sz w:val="24"/>
          <w:szCs w:val="24"/>
        </w:rPr>
        <w:t>RESUL</w:t>
      </w:r>
      <w:r>
        <w:rPr>
          <w:b/>
          <w:bCs/>
          <w:sz w:val="24"/>
          <w:szCs w:val="24"/>
        </w:rPr>
        <w:t xml:space="preserve">T PRESENTATION </w:t>
      </w:r>
    </w:p>
    <w:p w14:paraId="612D7561" w14:textId="77777777" w:rsidR="00667A40" w:rsidRDefault="00667A40" w:rsidP="000E63C2">
      <w:pPr>
        <w:spacing w:line="360" w:lineRule="auto"/>
        <w:jc w:val="both"/>
        <w:rPr>
          <w:sz w:val="24"/>
          <w:szCs w:val="24"/>
        </w:rPr>
      </w:pPr>
      <w:r w:rsidRPr="00667A40">
        <w:rPr>
          <w:sz w:val="24"/>
          <w:szCs w:val="24"/>
        </w:rPr>
        <w:t>Table 1 shows the distribution of HPV-PCR positive cases based on cervical cytology results among 32 participants. The majority of HPV-positive women (68.8%) exhibited normal cytology. However, 12.5% had atypical squamous cells of undetermined significance (ASCUS), another 12.5% had low-grade squamous intraepithelial lesions (LGSIL), and 6.3% showed negative cytology with inflammation. A Chi-square test revealed a statistically significant association between HPV infection and cervical cytology categories (χ² = 19.907, df = 3, p &lt; 0.001), indicating a strong link between HPV presence and cytological abnormalities.</w:t>
      </w:r>
    </w:p>
    <w:tbl>
      <w:tblPr>
        <w:tblStyle w:val="LightShading1"/>
        <w:tblpPr w:leftFromText="180" w:rightFromText="180" w:vertAnchor="page" w:horzAnchor="margin" w:tblpY="9346"/>
        <w:tblW w:w="8910" w:type="dxa"/>
        <w:tblLayout w:type="fixed"/>
        <w:tblLook w:val="0620" w:firstRow="1" w:lastRow="0" w:firstColumn="0" w:lastColumn="0" w:noHBand="1" w:noVBand="1"/>
      </w:tblPr>
      <w:tblGrid>
        <w:gridCol w:w="3591"/>
        <w:gridCol w:w="1926"/>
        <w:gridCol w:w="2583"/>
        <w:gridCol w:w="810"/>
      </w:tblGrid>
      <w:tr w:rsidR="005B210F" w:rsidRPr="00C85CDE" w14:paraId="058116AC" w14:textId="77777777" w:rsidTr="004F1C27">
        <w:trPr>
          <w:cnfStyle w:val="100000000000" w:firstRow="1" w:lastRow="0" w:firstColumn="0" w:lastColumn="0" w:oddVBand="0" w:evenVBand="0" w:oddHBand="0" w:evenHBand="0" w:firstRowFirstColumn="0" w:firstRowLastColumn="0" w:lastRowFirstColumn="0" w:lastRowLastColumn="0"/>
          <w:trHeight w:val="640"/>
        </w:trPr>
        <w:tc>
          <w:tcPr>
            <w:tcW w:w="3591" w:type="dxa"/>
            <w:vAlign w:val="bottom"/>
          </w:tcPr>
          <w:p w14:paraId="517E35CA" w14:textId="77777777" w:rsidR="005B210F" w:rsidRPr="00935751" w:rsidRDefault="005B210F" w:rsidP="004F1C27">
            <w:pPr>
              <w:rPr>
                <w:sz w:val="24"/>
                <w:szCs w:val="24"/>
              </w:rPr>
            </w:pPr>
            <w:r w:rsidRPr="00847E48">
              <w:rPr>
                <w:rFonts w:eastAsia="Times New Roman"/>
                <w:sz w:val="24"/>
                <w:szCs w:val="24"/>
              </w:rPr>
              <w:t>PAP Smear Test Result</w:t>
            </w:r>
          </w:p>
        </w:tc>
        <w:tc>
          <w:tcPr>
            <w:tcW w:w="1926" w:type="dxa"/>
            <w:vAlign w:val="bottom"/>
          </w:tcPr>
          <w:p w14:paraId="71E25B20" w14:textId="77777777" w:rsidR="005B210F" w:rsidRPr="00935751" w:rsidRDefault="005B210F" w:rsidP="004F1C27">
            <w:pPr>
              <w:autoSpaceDE w:val="0"/>
              <w:autoSpaceDN w:val="0"/>
              <w:adjustRightInd w:val="0"/>
              <w:spacing w:line="320" w:lineRule="atLeast"/>
              <w:ind w:left="60" w:right="60"/>
              <w:jc w:val="center"/>
              <w:rPr>
                <w:color w:val="010205"/>
                <w:sz w:val="24"/>
                <w:szCs w:val="24"/>
              </w:rPr>
            </w:pPr>
            <w:r w:rsidRPr="00935751">
              <w:rPr>
                <w:rFonts w:eastAsia="Times New Roman"/>
                <w:sz w:val="24"/>
                <w:szCs w:val="24"/>
              </w:rPr>
              <w:t>No. of Samples</w:t>
            </w:r>
          </w:p>
        </w:tc>
        <w:tc>
          <w:tcPr>
            <w:tcW w:w="2583" w:type="dxa"/>
            <w:vAlign w:val="bottom"/>
          </w:tcPr>
          <w:p w14:paraId="13CEC52D" w14:textId="77777777" w:rsidR="005B210F" w:rsidRPr="00935751" w:rsidRDefault="005B210F" w:rsidP="004F1C27">
            <w:pPr>
              <w:autoSpaceDE w:val="0"/>
              <w:autoSpaceDN w:val="0"/>
              <w:adjustRightInd w:val="0"/>
              <w:spacing w:line="320" w:lineRule="atLeast"/>
              <w:ind w:left="60" w:right="60"/>
              <w:jc w:val="center"/>
              <w:rPr>
                <w:color w:val="010205"/>
                <w:sz w:val="24"/>
                <w:szCs w:val="24"/>
              </w:rPr>
            </w:pPr>
            <w:r w:rsidRPr="009F0720">
              <w:rPr>
                <w:sz w:val="24"/>
                <w:szCs w:val="24"/>
              </w:rPr>
              <w:t>Point Prevalence (%)</w:t>
            </w:r>
          </w:p>
        </w:tc>
        <w:tc>
          <w:tcPr>
            <w:tcW w:w="810" w:type="dxa"/>
            <w:vAlign w:val="bottom"/>
          </w:tcPr>
          <w:p w14:paraId="7E6F0E36" w14:textId="77777777" w:rsidR="005B210F" w:rsidRPr="00935751" w:rsidRDefault="005B210F" w:rsidP="004F1C27">
            <w:pPr>
              <w:rPr>
                <w:sz w:val="24"/>
                <w:szCs w:val="24"/>
              </w:rPr>
            </w:pPr>
            <w:r w:rsidRPr="00935751">
              <w:rPr>
                <w:rFonts w:eastAsia="Times New Roman"/>
                <w:color w:val="auto"/>
                <w:sz w:val="24"/>
                <w:szCs w:val="24"/>
              </w:rPr>
              <w:t>n=</w:t>
            </w:r>
            <w:r>
              <w:rPr>
                <w:rFonts w:eastAsia="Times New Roman"/>
                <w:color w:val="auto"/>
                <w:sz w:val="24"/>
                <w:szCs w:val="24"/>
              </w:rPr>
              <w:t>32</w:t>
            </w:r>
          </w:p>
        </w:tc>
      </w:tr>
      <w:tr w:rsidR="005B210F" w:rsidRPr="00C85CDE" w14:paraId="74288510" w14:textId="77777777" w:rsidTr="004F1C27">
        <w:trPr>
          <w:trHeight w:val="640"/>
        </w:trPr>
        <w:tc>
          <w:tcPr>
            <w:tcW w:w="3591" w:type="dxa"/>
            <w:vAlign w:val="center"/>
          </w:tcPr>
          <w:p w14:paraId="444F6B13" w14:textId="77777777" w:rsidR="005B210F" w:rsidRPr="00EB064A" w:rsidRDefault="005B210F" w:rsidP="004F1C27">
            <w:pPr>
              <w:rPr>
                <w:sz w:val="24"/>
                <w:szCs w:val="24"/>
              </w:rPr>
            </w:pPr>
            <w:r w:rsidRPr="00847E48">
              <w:rPr>
                <w:rFonts w:eastAsia="Times New Roman"/>
                <w:sz w:val="24"/>
                <w:szCs w:val="24"/>
              </w:rPr>
              <w:t>Normal</w:t>
            </w:r>
          </w:p>
        </w:tc>
        <w:tc>
          <w:tcPr>
            <w:tcW w:w="1926" w:type="dxa"/>
            <w:vAlign w:val="center"/>
          </w:tcPr>
          <w:p w14:paraId="35CB8049"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22</w:t>
            </w:r>
          </w:p>
        </w:tc>
        <w:tc>
          <w:tcPr>
            <w:tcW w:w="2583" w:type="dxa"/>
            <w:vAlign w:val="center"/>
          </w:tcPr>
          <w:p w14:paraId="5B0535D4"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68.8</w:t>
            </w:r>
          </w:p>
        </w:tc>
        <w:tc>
          <w:tcPr>
            <w:tcW w:w="810" w:type="dxa"/>
            <w:vAlign w:val="bottom"/>
          </w:tcPr>
          <w:p w14:paraId="71EEE087" w14:textId="77777777" w:rsidR="005B210F" w:rsidRPr="00C85CDE" w:rsidRDefault="005B210F" w:rsidP="004F1C27">
            <w:pPr>
              <w:rPr>
                <w:sz w:val="24"/>
                <w:szCs w:val="24"/>
              </w:rPr>
            </w:pPr>
          </w:p>
        </w:tc>
      </w:tr>
      <w:tr w:rsidR="005B210F" w:rsidRPr="00C85CDE" w14:paraId="1077BD99" w14:textId="77777777" w:rsidTr="004F1C27">
        <w:trPr>
          <w:trHeight w:val="640"/>
        </w:trPr>
        <w:tc>
          <w:tcPr>
            <w:tcW w:w="3591" w:type="dxa"/>
            <w:vAlign w:val="center"/>
          </w:tcPr>
          <w:p w14:paraId="5185B7EA" w14:textId="77777777" w:rsidR="005B210F" w:rsidRPr="00EB064A" w:rsidRDefault="005B210F" w:rsidP="004F1C27">
            <w:pPr>
              <w:rPr>
                <w:sz w:val="24"/>
                <w:szCs w:val="24"/>
              </w:rPr>
            </w:pPr>
            <w:r w:rsidRPr="00847E48">
              <w:rPr>
                <w:rFonts w:eastAsia="Times New Roman"/>
                <w:sz w:val="24"/>
                <w:szCs w:val="24"/>
              </w:rPr>
              <w:t>ASCUS (Atypical squamous cells)</w:t>
            </w:r>
          </w:p>
        </w:tc>
        <w:tc>
          <w:tcPr>
            <w:tcW w:w="1926" w:type="dxa"/>
            <w:vAlign w:val="center"/>
          </w:tcPr>
          <w:p w14:paraId="11ED64A7"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4</w:t>
            </w:r>
          </w:p>
        </w:tc>
        <w:tc>
          <w:tcPr>
            <w:tcW w:w="2583" w:type="dxa"/>
            <w:vAlign w:val="center"/>
          </w:tcPr>
          <w:p w14:paraId="5B3B0992"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12.5</w:t>
            </w:r>
          </w:p>
        </w:tc>
        <w:tc>
          <w:tcPr>
            <w:tcW w:w="810" w:type="dxa"/>
            <w:vAlign w:val="bottom"/>
          </w:tcPr>
          <w:p w14:paraId="02EB1B02" w14:textId="77777777" w:rsidR="005B210F" w:rsidRPr="00C85CDE" w:rsidRDefault="005B210F" w:rsidP="004F1C27">
            <w:pPr>
              <w:rPr>
                <w:sz w:val="24"/>
                <w:szCs w:val="24"/>
              </w:rPr>
            </w:pPr>
          </w:p>
        </w:tc>
      </w:tr>
      <w:tr w:rsidR="005B210F" w:rsidRPr="00C85CDE" w14:paraId="206DBB75" w14:textId="77777777" w:rsidTr="004F1C27">
        <w:trPr>
          <w:trHeight w:val="640"/>
        </w:trPr>
        <w:tc>
          <w:tcPr>
            <w:tcW w:w="3591" w:type="dxa"/>
            <w:vAlign w:val="center"/>
          </w:tcPr>
          <w:p w14:paraId="5CB14DF4" w14:textId="77777777" w:rsidR="005B210F" w:rsidRPr="00EB064A" w:rsidRDefault="005B210F" w:rsidP="004F1C27">
            <w:pPr>
              <w:rPr>
                <w:sz w:val="24"/>
                <w:szCs w:val="24"/>
              </w:rPr>
            </w:pPr>
            <w:r w:rsidRPr="00847E48">
              <w:rPr>
                <w:rFonts w:eastAsia="Times New Roman"/>
                <w:sz w:val="24"/>
                <w:szCs w:val="24"/>
              </w:rPr>
              <w:t>LGSIL (Low-grade lesion)</w:t>
            </w:r>
          </w:p>
        </w:tc>
        <w:tc>
          <w:tcPr>
            <w:tcW w:w="1926" w:type="dxa"/>
            <w:vAlign w:val="center"/>
          </w:tcPr>
          <w:p w14:paraId="19088367"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4</w:t>
            </w:r>
          </w:p>
        </w:tc>
        <w:tc>
          <w:tcPr>
            <w:tcW w:w="2583" w:type="dxa"/>
            <w:vAlign w:val="center"/>
          </w:tcPr>
          <w:p w14:paraId="76A5C042"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12.5</w:t>
            </w:r>
          </w:p>
        </w:tc>
        <w:tc>
          <w:tcPr>
            <w:tcW w:w="810" w:type="dxa"/>
            <w:vAlign w:val="bottom"/>
          </w:tcPr>
          <w:p w14:paraId="4FCDACDF" w14:textId="77777777" w:rsidR="005B210F" w:rsidRPr="00C85CDE" w:rsidRDefault="005B210F" w:rsidP="004F1C27">
            <w:pPr>
              <w:rPr>
                <w:sz w:val="24"/>
                <w:szCs w:val="24"/>
              </w:rPr>
            </w:pPr>
          </w:p>
        </w:tc>
      </w:tr>
      <w:tr w:rsidR="005B210F" w:rsidRPr="00C85CDE" w14:paraId="0E00C5A4" w14:textId="77777777" w:rsidTr="004F1C27">
        <w:trPr>
          <w:trHeight w:val="640"/>
        </w:trPr>
        <w:tc>
          <w:tcPr>
            <w:tcW w:w="3591" w:type="dxa"/>
            <w:vAlign w:val="center"/>
          </w:tcPr>
          <w:p w14:paraId="2CBD462E" w14:textId="77777777" w:rsidR="005B210F" w:rsidRPr="00EB064A" w:rsidRDefault="005B210F" w:rsidP="004F1C27">
            <w:pPr>
              <w:rPr>
                <w:sz w:val="24"/>
                <w:szCs w:val="24"/>
              </w:rPr>
            </w:pPr>
            <w:r w:rsidRPr="00847E48">
              <w:rPr>
                <w:rFonts w:eastAsia="Times New Roman"/>
                <w:sz w:val="24"/>
                <w:szCs w:val="24"/>
              </w:rPr>
              <w:t>Negative with Inflammation</w:t>
            </w:r>
          </w:p>
        </w:tc>
        <w:tc>
          <w:tcPr>
            <w:tcW w:w="1926" w:type="dxa"/>
            <w:vAlign w:val="center"/>
          </w:tcPr>
          <w:p w14:paraId="743A21E8"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2</w:t>
            </w:r>
          </w:p>
        </w:tc>
        <w:tc>
          <w:tcPr>
            <w:tcW w:w="2583" w:type="dxa"/>
            <w:vAlign w:val="center"/>
          </w:tcPr>
          <w:p w14:paraId="7533C141"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sz w:val="24"/>
                <w:szCs w:val="24"/>
              </w:rPr>
              <w:t>6.3</w:t>
            </w:r>
          </w:p>
        </w:tc>
        <w:tc>
          <w:tcPr>
            <w:tcW w:w="810" w:type="dxa"/>
            <w:vAlign w:val="bottom"/>
          </w:tcPr>
          <w:p w14:paraId="5D89E41B" w14:textId="77777777" w:rsidR="005B210F" w:rsidRPr="00C85CDE" w:rsidRDefault="005B210F" w:rsidP="004F1C27">
            <w:pPr>
              <w:rPr>
                <w:sz w:val="24"/>
                <w:szCs w:val="24"/>
              </w:rPr>
            </w:pPr>
          </w:p>
        </w:tc>
      </w:tr>
      <w:tr w:rsidR="005B210F" w:rsidRPr="00C85CDE" w14:paraId="711B8CB6" w14:textId="77777777" w:rsidTr="004F1C27">
        <w:trPr>
          <w:trHeight w:val="904"/>
        </w:trPr>
        <w:tc>
          <w:tcPr>
            <w:tcW w:w="3591" w:type="dxa"/>
            <w:vAlign w:val="center"/>
          </w:tcPr>
          <w:p w14:paraId="4EAAD249" w14:textId="77777777" w:rsidR="005B210F" w:rsidRPr="00C85CDE" w:rsidRDefault="005B210F" w:rsidP="004F1C27">
            <w:pPr>
              <w:rPr>
                <w:sz w:val="24"/>
                <w:szCs w:val="24"/>
              </w:rPr>
            </w:pPr>
            <w:r w:rsidRPr="00847E48">
              <w:rPr>
                <w:rFonts w:eastAsia="Times New Roman"/>
                <w:b/>
                <w:bCs/>
                <w:sz w:val="24"/>
                <w:szCs w:val="24"/>
              </w:rPr>
              <w:t>Total</w:t>
            </w:r>
          </w:p>
        </w:tc>
        <w:tc>
          <w:tcPr>
            <w:tcW w:w="1926" w:type="dxa"/>
            <w:vAlign w:val="center"/>
          </w:tcPr>
          <w:p w14:paraId="0A520CB8" w14:textId="77777777" w:rsidR="005B210F" w:rsidRPr="00605342"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b/>
                <w:bCs/>
                <w:sz w:val="24"/>
                <w:szCs w:val="24"/>
              </w:rPr>
              <w:t>32</w:t>
            </w:r>
          </w:p>
        </w:tc>
        <w:tc>
          <w:tcPr>
            <w:tcW w:w="2583" w:type="dxa"/>
            <w:vAlign w:val="center"/>
          </w:tcPr>
          <w:p w14:paraId="08BEAC4A" w14:textId="77777777" w:rsidR="005B210F" w:rsidRPr="00AC6B73" w:rsidRDefault="005B210F" w:rsidP="004F1C27">
            <w:pPr>
              <w:autoSpaceDE w:val="0"/>
              <w:autoSpaceDN w:val="0"/>
              <w:adjustRightInd w:val="0"/>
              <w:spacing w:line="320" w:lineRule="atLeast"/>
              <w:ind w:left="60" w:right="60"/>
              <w:jc w:val="center"/>
              <w:rPr>
                <w:color w:val="010205"/>
                <w:sz w:val="24"/>
                <w:szCs w:val="24"/>
              </w:rPr>
            </w:pPr>
            <w:r w:rsidRPr="00847E48">
              <w:rPr>
                <w:rFonts w:eastAsia="Times New Roman"/>
                <w:b/>
                <w:bCs/>
                <w:sz w:val="24"/>
                <w:szCs w:val="24"/>
              </w:rPr>
              <w:t>100</w:t>
            </w:r>
          </w:p>
        </w:tc>
        <w:tc>
          <w:tcPr>
            <w:tcW w:w="810" w:type="dxa"/>
            <w:vAlign w:val="bottom"/>
          </w:tcPr>
          <w:p w14:paraId="15E44443" w14:textId="77777777" w:rsidR="005B210F" w:rsidRPr="00C85CDE" w:rsidRDefault="005B210F" w:rsidP="004F1C27">
            <w:pPr>
              <w:rPr>
                <w:sz w:val="24"/>
                <w:szCs w:val="24"/>
              </w:rPr>
            </w:pPr>
          </w:p>
        </w:tc>
      </w:tr>
    </w:tbl>
    <w:p w14:paraId="14A284D5" w14:textId="5B2DB583" w:rsidR="000E63C2" w:rsidRPr="000E63C2" w:rsidRDefault="00300A9A" w:rsidP="000E63C2">
      <w:pPr>
        <w:spacing w:line="360" w:lineRule="auto"/>
        <w:jc w:val="both"/>
        <w:rPr>
          <w:b/>
          <w:sz w:val="24"/>
          <w:szCs w:val="24"/>
        </w:rPr>
      </w:pPr>
      <w:r w:rsidRPr="00847E48">
        <w:rPr>
          <w:rFonts w:eastAsia="Times New Roman"/>
          <w:b/>
          <w:sz w:val="24"/>
          <w:szCs w:val="24"/>
        </w:rPr>
        <w:t xml:space="preserve"> </w:t>
      </w:r>
      <w:r w:rsidR="000E63C2" w:rsidRPr="00847E48">
        <w:rPr>
          <w:rFonts w:eastAsia="Times New Roman"/>
          <w:b/>
          <w:sz w:val="24"/>
          <w:szCs w:val="24"/>
        </w:rPr>
        <w:t xml:space="preserve">Table 1: </w:t>
      </w:r>
      <w:r w:rsidR="000E63C2" w:rsidRPr="00847E48">
        <w:rPr>
          <w:b/>
          <w:bCs/>
          <w:color w:val="010205"/>
          <w:sz w:val="24"/>
          <w:szCs w:val="24"/>
        </w:rPr>
        <w:t>HPV</w:t>
      </w:r>
      <w:r w:rsidR="00F91037">
        <w:rPr>
          <w:b/>
          <w:bCs/>
          <w:color w:val="010205"/>
          <w:sz w:val="24"/>
          <w:szCs w:val="24"/>
        </w:rPr>
        <w:t xml:space="preserve"> Infection </w:t>
      </w:r>
      <w:r w:rsidR="000E63C2" w:rsidRPr="00847E48">
        <w:rPr>
          <w:b/>
          <w:bCs/>
          <w:color w:val="010205"/>
          <w:sz w:val="24"/>
          <w:szCs w:val="24"/>
        </w:rPr>
        <w:t xml:space="preserve">in Relation to </w:t>
      </w:r>
      <w:proofErr w:type="spellStart"/>
      <w:r w:rsidR="000E63C2" w:rsidRPr="00847E48">
        <w:rPr>
          <w:b/>
          <w:bCs/>
          <w:color w:val="010205"/>
          <w:sz w:val="24"/>
          <w:szCs w:val="24"/>
        </w:rPr>
        <w:t>Cyto</w:t>
      </w:r>
      <w:proofErr w:type="spellEnd"/>
      <w:r w:rsidR="000E63C2">
        <w:rPr>
          <w:b/>
          <w:bCs/>
          <w:color w:val="010205"/>
          <w:sz w:val="24"/>
          <w:szCs w:val="24"/>
        </w:rPr>
        <w:t>-</w:t>
      </w:r>
      <w:r w:rsidR="000E63C2" w:rsidRPr="00847E48">
        <w:rPr>
          <w:b/>
          <w:bCs/>
          <w:color w:val="010205"/>
          <w:sz w:val="24"/>
          <w:szCs w:val="24"/>
        </w:rPr>
        <w:t>diagnosis</w:t>
      </w:r>
    </w:p>
    <w:p w14:paraId="55395F9B" w14:textId="77777777" w:rsidR="000E63C2" w:rsidRDefault="000E63C2" w:rsidP="000E63C2">
      <w:pPr>
        <w:rPr>
          <w:rFonts w:eastAsia="Times New Roman"/>
          <w:sz w:val="24"/>
          <w:szCs w:val="24"/>
        </w:rPr>
      </w:pPr>
      <w:r w:rsidRPr="0095378A">
        <w:rPr>
          <w:rFonts w:eastAsia="Times New Roman"/>
          <w:sz w:val="24"/>
          <w:szCs w:val="24"/>
        </w:rPr>
        <w:t>X</w:t>
      </w:r>
      <w:r w:rsidRPr="0095378A">
        <w:rPr>
          <w:rFonts w:eastAsia="Times New Roman"/>
          <w:sz w:val="24"/>
          <w:szCs w:val="24"/>
          <w:vertAlign w:val="superscript"/>
        </w:rPr>
        <w:t xml:space="preserve">2 </w:t>
      </w:r>
      <w:r w:rsidRPr="0095378A">
        <w:rPr>
          <w:rFonts w:eastAsia="Times New Roman"/>
          <w:sz w:val="24"/>
          <w:szCs w:val="24"/>
        </w:rPr>
        <w:t xml:space="preserve">= </w:t>
      </w:r>
      <w:r w:rsidRPr="00211F8F">
        <w:rPr>
          <w:color w:val="010205"/>
          <w:sz w:val="24"/>
          <w:szCs w:val="24"/>
        </w:rPr>
        <w:t>19.907</w:t>
      </w:r>
      <w:r w:rsidRPr="00211F8F">
        <w:rPr>
          <w:color w:val="010205"/>
          <w:sz w:val="24"/>
          <w:szCs w:val="24"/>
          <w:vertAlign w:val="superscript"/>
        </w:rPr>
        <w:t>a</w:t>
      </w:r>
      <w:r w:rsidRPr="00AB03BB">
        <w:rPr>
          <w:rFonts w:eastAsia="Times New Roman"/>
          <w:sz w:val="24"/>
          <w:szCs w:val="24"/>
        </w:rPr>
        <w:t xml:space="preserve"> </w:t>
      </w:r>
      <w:r w:rsidRPr="0095378A">
        <w:rPr>
          <w:rFonts w:eastAsia="Times New Roman"/>
          <w:sz w:val="24"/>
          <w:szCs w:val="24"/>
        </w:rPr>
        <w:t>df</w:t>
      </w:r>
      <w:r>
        <w:rPr>
          <w:rFonts w:eastAsia="Times New Roman"/>
          <w:sz w:val="24"/>
          <w:szCs w:val="24"/>
        </w:rPr>
        <w:t xml:space="preserve"> = 3 p-value &lt;</w:t>
      </w:r>
      <w:r w:rsidRPr="00455D15">
        <w:rPr>
          <w:rFonts w:eastAsia="Times New Roman"/>
          <w:sz w:val="24"/>
          <w:szCs w:val="24"/>
        </w:rPr>
        <w:t>0</w:t>
      </w:r>
      <w:r>
        <w:rPr>
          <w:rFonts w:eastAsia="Times New Roman"/>
          <w:sz w:val="24"/>
          <w:szCs w:val="24"/>
        </w:rPr>
        <w:t>.001</w:t>
      </w:r>
    </w:p>
    <w:p w14:paraId="07CA367C" w14:textId="77777777" w:rsidR="005B210F" w:rsidRDefault="005B210F" w:rsidP="0053741C">
      <w:pPr>
        <w:spacing w:line="360" w:lineRule="auto"/>
        <w:jc w:val="both"/>
        <w:rPr>
          <w:sz w:val="24"/>
          <w:szCs w:val="24"/>
          <w:lang w:val="en-US"/>
        </w:rPr>
      </w:pPr>
    </w:p>
    <w:p w14:paraId="70F7BB8E" w14:textId="253587A1" w:rsidR="000E63C2" w:rsidRDefault="00667A40" w:rsidP="0053741C">
      <w:pPr>
        <w:spacing w:line="360" w:lineRule="auto"/>
        <w:jc w:val="both"/>
        <w:rPr>
          <w:sz w:val="24"/>
          <w:szCs w:val="24"/>
        </w:rPr>
      </w:pPr>
      <w:r w:rsidRPr="00667A40">
        <w:rPr>
          <w:sz w:val="24"/>
          <w:szCs w:val="24"/>
          <w:lang w:val="en-US"/>
        </w:rPr>
        <w:t xml:space="preserve">Table 2 presents the levels of </w:t>
      </w:r>
      <w:r w:rsidR="004F1C27" w:rsidRPr="004F1C27">
        <w:rPr>
          <w:i/>
          <w:iCs/>
          <w:sz w:val="24"/>
          <w:szCs w:val="24"/>
          <w:lang w:val="en-US"/>
        </w:rPr>
        <w:t>Lactobacilli</w:t>
      </w:r>
      <w:r w:rsidRPr="00667A40">
        <w:rPr>
          <w:sz w:val="24"/>
          <w:szCs w:val="24"/>
          <w:lang w:val="en-US"/>
        </w:rPr>
        <w:t xml:space="preserve"> growth in vaginal samples from the 32 HPV-positive participants. Half of the HPV-positive women (50%) had no </w:t>
      </w:r>
      <w:r w:rsidR="004F1C27" w:rsidRPr="004F1C27">
        <w:rPr>
          <w:i/>
          <w:iCs/>
          <w:sz w:val="24"/>
          <w:szCs w:val="24"/>
          <w:lang w:val="en-US"/>
        </w:rPr>
        <w:t>Lactobacilli</w:t>
      </w:r>
      <w:r w:rsidRPr="00667A40">
        <w:rPr>
          <w:sz w:val="24"/>
          <w:szCs w:val="24"/>
          <w:lang w:val="en-US"/>
        </w:rPr>
        <w:t xml:space="preserve"> growth, while 21.9% </w:t>
      </w:r>
      <w:r w:rsidRPr="00667A40">
        <w:rPr>
          <w:sz w:val="24"/>
          <w:szCs w:val="24"/>
          <w:lang w:val="en-US"/>
        </w:rPr>
        <w:lastRenderedPageBreak/>
        <w:t xml:space="preserve">showed heavy growth, 9.4% moderate growth, and 18.8% scanty growth. Statistical analysis confirmed a significant association between HPV infection status and </w:t>
      </w:r>
      <w:r w:rsidR="004F1C27" w:rsidRPr="004F1C27">
        <w:rPr>
          <w:i/>
          <w:iCs/>
          <w:sz w:val="24"/>
          <w:szCs w:val="24"/>
          <w:lang w:val="en-US"/>
        </w:rPr>
        <w:t>Lactobacilli</w:t>
      </w:r>
      <w:r w:rsidRPr="00667A40">
        <w:rPr>
          <w:sz w:val="24"/>
          <w:szCs w:val="24"/>
          <w:lang w:val="en-US"/>
        </w:rPr>
        <w:t xml:space="preserve"> growth levels (χ² = 20.913, df = 3, p &lt; 0.001), suggesting that the vaginal microbiota composition correlates with HPV infection.</w:t>
      </w:r>
    </w:p>
    <w:p w14:paraId="37BDC632" w14:textId="65BE6292" w:rsidR="000E63C2" w:rsidRPr="00EA0046" w:rsidRDefault="00300A9A" w:rsidP="000E63C2">
      <w:pPr>
        <w:spacing w:line="240" w:lineRule="auto"/>
        <w:rPr>
          <w:b/>
          <w:sz w:val="24"/>
          <w:szCs w:val="24"/>
        </w:rPr>
      </w:pPr>
      <w:r>
        <w:rPr>
          <w:b/>
          <w:sz w:val="24"/>
          <w:szCs w:val="24"/>
        </w:rPr>
        <w:t xml:space="preserve"> </w:t>
      </w:r>
      <w:r w:rsidR="000E63C2">
        <w:rPr>
          <w:b/>
          <w:sz w:val="24"/>
          <w:szCs w:val="24"/>
        </w:rPr>
        <w:t>Table 2</w:t>
      </w:r>
      <w:r w:rsidR="000E63C2" w:rsidRPr="00EA0046">
        <w:rPr>
          <w:b/>
          <w:sz w:val="24"/>
          <w:szCs w:val="24"/>
        </w:rPr>
        <w:t xml:space="preserve">: </w:t>
      </w:r>
      <w:r w:rsidR="000E63C2" w:rsidRPr="00EA0046">
        <w:rPr>
          <w:rFonts w:eastAsia="Times New Roman"/>
          <w:b/>
          <w:sz w:val="24"/>
          <w:szCs w:val="24"/>
        </w:rPr>
        <w:t xml:space="preserve">HPV </w:t>
      </w:r>
      <w:r w:rsidR="00F91037" w:rsidRPr="00EA0046">
        <w:rPr>
          <w:rFonts w:eastAsia="Times New Roman"/>
          <w:b/>
          <w:sz w:val="24"/>
          <w:szCs w:val="24"/>
        </w:rPr>
        <w:t xml:space="preserve">Infection </w:t>
      </w:r>
      <w:r w:rsidR="000E63C2" w:rsidRPr="00EA0046">
        <w:rPr>
          <w:b/>
          <w:sz w:val="24"/>
          <w:szCs w:val="24"/>
        </w:rPr>
        <w:t xml:space="preserve">in </w:t>
      </w:r>
      <w:r w:rsidR="00F91037" w:rsidRPr="00EA0046">
        <w:rPr>
          <w:b/>
          <w:sz w:val="24"/>
          <w:szCs w:val="24"/>
        </w:rPr>
        <w:t xml:space="preserve">Relation </w:t>
      </w:r>
      <w:r w:rsidR="000E63C2" w:rsidRPr="00EA0046">
        <w:rPr>
          <w:b/>
          <w:sz w:val="24"/>
          <w:szCs w:val="24"/>
        </w:rPr>
        <w:t xml:space="preserve">to </w:t>
      </w:r>
      <w:r w:rsidR="000E63C2" w:rsidRPr="00EA0046">
        <w:rPr>
          <w:rFonts w:eastAsia="Times New Roman"/>
          <w:b/>
          <w:sz w:val="24"/>
          <w:szCs w:val="24"/>
        </w:rPr>
        <w:t xml:space="preserve">Isolation of </w:t>
      </w:r>
      <w:r w:rsidR="004F1C27" w:rsidRPr="004F1C27">
        <w:rPr>
          <w:rFonts w:eastAsia="Times New Roman"/>
          <w:b/>
          <w:i/>
          <w:iCs/>
          <w:sz w:val="24"/>
          <w:szCs w:val="24"/>
        </w:rPr>
        <w:t>Lactobacilli</w:t>
      </w:r>
      <w:r w:rsidR="000E63C2" w:rsidRPr="00EA0046">
        <w:rPr>
          <w:rFonts w:eastAsia="Times New Roman"/>
          <w:b/>
          <w:sz w:val="24"/>
          <w:szCs w:val="24"/>
        </w:rPr>
        <w:t xml:space="preserve"> Growths</w:t>
      </w:r>
      <w:r w:rsidR="000E63C2">
        <w:rPr>
          <w:rFonts w:eastAsia="Times New Roman"/>
          <w:b/>
          <w:sz w:val="24"/>
          <w:szCs w:val="24"/>
        </w:rPr>
        <w:t xml:space="preserve"> </w:t>
      </w:r>
      <w:r w:rsidR="000E63C2" w:rsidRPr="00EA0046">
        <w:rPr>
          <w:rFonts w:eastAsia="Times New Roman"/>
          <w:b/>
          <w:sz w:val="24"/>
          <w:szCs w:val="24"/>
        </w:rPr>
        <w:t>Level</w:t>
      </w:r>
    </w:p>
    <w:tbl>
      <w:tblPr>
        <w:tblStyle w:val="LightShading1"/>
        <w:tblpPr w:leftFromText="180" w:rightFromText="180" w:vertAnchor="page" w:horzAnchor="margin" w:tblpY="4681"/>
        <w:tblW w:w="8684" w:type="dxa"/>
        <w:tblLayout w:type="fixed"/>
        <w:tblLook w:val="0620" w:firstRow="1" w:lastRow="0" w:firstColumn="0" w:lastColumn="0" w:noHBand="1" w:noVBand="1"/>
      </w:tblPr>
      <w:tblGrid>
        <w:gridCol w:w="3338"/>
        <w:gridCol w:w="1936"/>
        <w:gridCol w:w="2596"/>
        <w:gridCol w:w="814"/>
      </w:tblGrid>
      <w:tr w:rsidR="005B210F" w:rsidRPr="00C85CDE" w14:paraId="50830A25" w14:textId="77777777" w:rsidTr="005B210F">
        <w:trPr>
          <w:cnfStyle w:val="100000000000" w:firstRow="1" w:lastRow="0" w:firstColumn="0" w:lastColumn="0" w:oddVBand="0" w:evenVBand="0" w:oddHBand="0" w:evenHBand="0" w:firstRowFirstColumn="0" w:firstRowLastColumn="0" w:lastRowFirstColumn="0" w:lastRowLastColumn="0"/>
          <w:trHeight w:val="466"/>
        </w:trPr>
        <w:tc>
          <w:tcPr>
            <w:tcW w:w="3338" w:type="dxa"/>
            <w:vAlign w:val="bottom"/>
          </w:tcPr>
          <w:p w14:paraId="37DDFEA4" w14:textId="2F53B55B" w:rsidR="005B210F" w:rsidRPr="00935751" w:rsidRDefault="004F1C27" w:rsidP="005B210F">
            <w:pPr>
              <w:rPr>
                <w:sz w:val="24"/>
                <w:szCs w:val="24"/>
              </w:rPr>
            </w:pPr>
            <w:r w:rsidRPr="004F1C27">
              <w:rPr>
                <w:rFonts w:eastAsia="Times New Roman"/>
                <w:i/>
                <w:iCs/>
                <w:color w:val="auto"/>
                <w:sz w:val="24"/>
                <w:szCs w:val="24"/>
              </w:rPr>
              <w:t>Lactobacilli</w:t>
            </w:r>
            <w:r w:rsidR="005B210F" w:rsidRPr="00935751">
              <w:rPr>
                <w:rFonts w:eastAsia="Times New Roman"/>
                <w:color w:val="auto"/>
                <w:sz w:val="24"/>
                <w:szCs w:val="24"/>
              </w:rPr>
              <w:t xml:space="preserve"> Growths Level</w:t>
            </w:r>
          </w:p>
        </w:tc>
        <w:tc>
          <w:tcPr>
            <w:tcW w:w="1936" w:type="dxa"/>
            <w:vAlign w:val="bottom"/>
          </w:tcPr>
          <w:p w14:paraId="5A7EAF85" w14:textId="77777777" w:rsidR="005B210F" w:rsidRPr="00935751" w:rsidRDefault="005B210F" w:rsidP="005B210F">
            <w:pPr>
              <w:autoSpaceDE w:val="0"/>
              <w:autoSpaceDN w:val="0"/>
              <w:adjustRightInd w:val="0"/>
              <w:spacing w:line="320" w:lineRule="atLeast"/>
              <w:ind w:left="60" w:right="60"/>
              <w:jc w:val="center"/>
              <w:rPr>
                <w:color w:val="010205"/>
                <w:sz w:val="24"/>
                <w:szCs w:val="24"/>
              </w:rPr>
            </w:pPr>
            <w:r w:rsidRPr="00935751">
              <w:rPr>
                <w:rFonts w:eastAsia="Times New Roman"/>
                <w:sz w:val="24"/>
                <w:szCs w:val="24"/>
              </w:rPr>
              <w:t>No. of Samples</w:t>
            </w:r>
          </w:p>
        </w:tc>
        <w:tc>
          <w:tcPr>
            <w:tcW w:w="2596" w:type="dxa"/>
            <w:vAlign w:val="bottom"/>
          </w:tcPr>
          <w:p w14:paraId="49206845" w14:textId="77777777" w:rsidR="005B210F" w:rsidRPr="00935751" w:rsidRDefault="005B210F" w:rsidP="005B210F">
            <w:pPr>
              <w:autoSpaceDE w:val="0"/>
              <w:autoSpaceDN w:val="0"/>
              <w:adjustRightInd w:val="0"/>
              <w:spacing w:line="320" w:lineRule="atLeast"/>
              <w:ind w:left="60" w:right="60"/>
              <w:jc w:val="center"/>
              <w:rPr>
                <w:color w:val="010205"/>
                <w:sz w:val="24"/>
                <w:szCs w:val="24"/>
              </w:rPr>
            </w:pPr>
            <w:r w:rsidRPr="009F0720">
              <w:rPr>
                <w:sz w:val="24"/>
                <w:szCs w:val="24"/>
              </w:rPr>
              <w:t>Point Prevalence (%)</w:t>
            </w:r>
          </w:p>
        </w:tc>
        <w:tc>
          <w:tcPr>
            <w:tcW w:w="814" w:type="dxa"/>
            <w:vAlign w:val="bottom"/>
          </w:tcPr>
          <w:p w14:paraId="7B4CE891" w14:textId="77777777" w:rsidR="005B210F" w:rsidRPr="00935751" w:rsidRDefault="005B210F" w:rsidP="005B210F">
            <w:pPr>
              <w:rPr>
                <w:sz w:val="24"/>
                <w:szCs w:val="24"/>
              </w:rPr>
            </w:pPr>
            <w:r w:rsidRPr="00935751">
              <w:rPr>
                <w:rFonts w:eastAsia="Times New Roman"/>
                <w:color w:val="auto"/>
                <w:sz w:val="24"/>
                <w:szCs w:val="24"/>
              </w:rPr>
              <w:t>n=</w:t>
            </w:r>
            <w:r>
              <w:rPr>
                <w:rFonts w:eastAsia="Times New Roman"/>
                <w:color w:val="auto"/>
                <w:sz w:val="24"/>
                <w:szCs w:val="24"/>
              </w:rPr>
              <w:t>32</w:t>
            </w:r>
          </w:p>
        </w:tc>
      </w:tr>
      <w:tr w:rsidR="005B210F" w:rsidRPr="00C85CDE" w14:paraId="2170353B" w14:textId="77777777" w:rsidTr="005B210F">
        <w:trPr>
          <w:trHeight w:val="466"/>
        </w:trPr>
        <w:tc>
          <w:tcPr>
            <w:tcW w:w="3338" w:type="dxa"/>
            <w:vAlign w:val="center"/>
          </w:tcPr>
          <w:p w14:paraId="4E2916DD" w14:textId="77777777" w:rsidR="005B210F" w:rsidRPr="00EB064A" w:rsidRDefault="005B210F" w:rsidP="005B210F">
            <w:pPr>
              <w:rPr>
                <w:sz w:val="24"/>
                <w:szCs w:val="24"/>
              </w:rPr>
            </w:pPr>
            <w:r w:rsidRPr="009F0720">
              <w:rPr>
                <w:rFonts w:eastAsia="Times New Roman"/>
                <w:sz w:val="24"/>
                <w:szCs w:val="24"/>
              </w:rPr>
              <w:t>No Growth</w:t>
            </w:r>
          </w:p>
        </w:tc>
        <w:tc>
          <w:tcPr>
            <w:tcW w:w="1936" w:type="dxa"/>
            <w:vAlign w:val="center"/>
          </w:tcPr>
          <w:p w14:paraId="195F0BEE"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16</w:t>
            </w:r>
          </w:p>
        </w:tc>
        <w:tc>
          <w:tcPr>
            <w:tcW w:w="2596" w:type="dxa"/>
            <w:vAlign w:val="center"/>
          </w:tcPr>
          <w:p w14:paraId="6E5975A9"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50.0</w:t>
            </w:r>
          </w:p>
        </w:tc>
        <w:tc>
          <w:tcPr>
            <w:tcW w:w="814" w:type="dxa"/>
            <w:vAlign w:val="bottom"/>
          </w:tcPr>
          <w:p w14:paraId="7903CA2E" w14:textId="77777777" w:rsidR="005B210F" w:rsidRPr="00C85CDE" w:rsidRDefault="005B210F" w:rsidP="005B210F">
            <w:pPr>
              <w:rPr>
                <w:sz w:val="24"/>
                <w:szCs w:val="24"/>
              </w:rPr>
            </w:pPr>
          </w:p>
        </w:tc>
      </w:tr>
      <w:tr w:rsidR="005B210F" w:rsidRPr="00C85CDE" w14:paraId="2BC89D17" w14:textId="77777777" w:rsidTr="005B210F">
        <w:trPr>
          <w:trHeight w:val="466"/>
        </w:trPr>
        <w:tc>
          <w:tcPr>
            <w:tcW w:w="3338" w:type="dxa"/>
            <w:vAlign w:val="center"/>
          </w:tcPr>
          <w:p w14:paraId="68B6EF46" w14:textId="77777777" w:rsidR="005B210F" w:rsidRPr="00EB064A" w:rsidRDefault="005B210F" w:rsidP="005B210F">
            <w:pPr>
              <w:rPr>
                <w:sz w:val="24"/>
                <w:szCs w:val="24"/>
              </w:rPr>
            </w:pPr>
            <w:r w:rsidRPr="009F0720">
              <w:rPr>
                <w:rFonts w:eastAsia="Times New Roman"/>
                <w:sz w:val="24"/>
                <w:szCs w:val="24"/>
              </w:rPr>
              <w:t>Heavy Growths</w:t>
            </w:r>
          </w:p>
        </w:tc>
        <w:tc>
          <w:tcPr>
            <w:tcW w:w="1936" w:type="dxa"/>
            <w:vAlign w:val="center"/>
          </w:tcPr>
          <w:p w14:paraId="4D063E46"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7</w:t>
            </w:r>
          </w:p>
        </w:tc>
        <w:tc>
          <w:tcPr>
            <w:tcW w:w="2596" w:type="dxa"/>
            <w:vAlign w:val="center"/>
          </w:tcPr>
          <w:p w14:paraId="038FE836"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sz w:val="24"/>
                <w:szCs w:val="24"/>
              </w:rPr>
              <w:t>21.9</w:t>
            </w:r>
          </w:p>
        </w:tc>
        <w:tc>
          <w:tcPr>
            <w:tcW w:w="814" w:type="dxa"/>
            <w:vAlign w:val="bottom"/>
          </w:tcPr>
          <w:p w14:paraId="42CC1EDB" w14:textId="77777777" w:rsidR="005B210F" w:rsidRPr="00C85CDE" w:rsidRDefault="005B210F" w:rsidP="005B210F">
            <w:pPr>
              <w:rPr>
                <w:sz w:val="24"/>
                <w:szCs w:val="24"/>
              </w:rPr>
            </w:pPr>
          </w:p>
        </w:tc>
      </w:tr>
      <w:tr w:rsidR="005B210F" w:rsidRPr="00C85CDE" w14:paraId="08763DD8" w14:textId="77777777" w:rsidTr="005B210F">
        <w:trPr>
          <w:trHeight w:val="466"/>
        </w:trPr>
        <w:tc>
          <w:tcPr>
            <w:tcW w:w="3338" w:type="dxa"/>
            <w:vAlign w:val="center"/>
          </w:tcPr>
          <w:p w14:paraId="4A3F338D" w14:textId="77777777" w:rsidR="005B210F" w:rsidRPr="00EB064A" w:rsidRDefault="005B210F" w:rsidP="005B210F">
            <w:pPr>
              <w:rPr>
                <w:sz w:val="24"/>
                <w:szCs w:val="24"/>
              </w:rPr>
            </w:pPr>
            <w:r w:rsidRPr="009F0720">
              <w:rPr>
                <w:rFonts w:eastAsia="Times New Roman"/>
                <w:sz w:val="24"/>
                <w:szCs w:val="24"/>
              </w:rPr>
              <w:t>Moderate Growths</w:t>
            </w:r>
          </w:p>
        </w:tc>
        <w:tc>
          <w:tcPr>
            <w:tcW w:w="1936" w:type="dxa"/>
            <w:vAlign w:val="center"/>
          </w:tcPr>
          <w:p w14:paraId="75A98AE6"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Pr>
                <w:rFonts w:eastAsia="Times New Roman"/>
                <w:sz w:val="24"/>
                <w:szCs w:val="24"/>
              </w:rPr>
              <w:t>3</w:t>
            </w:r>
          </w:p>
        </w:tc>
        <w:tc>
          <w:tcPr>
            <w:tcW w:w="2596" w:type="dxa"/>
            <w:vAlign w:val="center"/>
          </w:tcPr>
          <w:p w14:paraId="0442A23A"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Pr>
                <w:rFonts w:eastAsia="Times New Roman"/>
                <w:sz w:val="24"/>
                <w:szCs w:val="24"/>
              </w:rPr>
              <w:t>9</w:t>
            </w:r>
            <w:r w:rsidRPr="009F0720">
              <w:rPr>
                <w:rFonts w:eastAsia="Times New Roman"/>
                <w:sz w:val="24"/>
                <w:szCs w:val="24"/>
              </w:rPr>
              <w:t>.</w:t>
            </w:r>
            <w:r>
              <w:rPr>
                <w:rFonts w:eastAsia="Times New Roman"/>
                <w:sz w:val="24"/>
                <w:szCs w:val="24"/>
              </w:rPr>
              <w:t>4</w:t>
            </w:r>
          </w:p>
        </w:tc>
        <w:tc>
          <w:tcPr>
            <w:tcW w:w="814" w:type="dxa"/>
            <w:vAlign w:val="bottom"/>
          </w:tcPr>
          <w:p w14:paraId="0B564A8A" w14:textId="77777777" w:rsidR="005B210F" w:rsidRPr="00C85CDE" w:rsidRDefault="005B210F" w:rsidP="005B210F">
            <w:pPr>
              <w:rPr>
                <w:sz w:val="24"/>
                <w:szCs w:val="24"/>
              </w:rPr>
            </w:pPr>
          </w:p>
        </w:tc>
      </w:tr>
      <w:tr w:rsidR="005B210F" w:rsidRPr="00C85CDE" w14:paraId="55C4FCC8" w14:textId="77777777" w:rsidTr="005B210F">
        <w:trPr>
          <w:trHeight w:val="466"/>
        </w:trPr>
        <w:tc>
          <w:tcPr>
            <w:tcW w:w="3338" w:type="dxa"/>
            <w:vAlign w:val="center"/>
          </w:tcPr>
          <w:p w14:paraId="3B2F334D" w14:textId="77777777" w:rsidR="005B210F" w:rsidRPr="00EB064A" w:rsidRDefault="005B210F" w:rsidP="005B210F">
            <w:pPr>
              <w:rPr>
                <w:sz w:val="24"/>
                <w:szCs w:val="24"/>
              </w:rPr>
            </w:pPr>
            <w:r w:rsidRPr="009F0720">
              <w:rPr>
                <w:rFonts w:eastAsia="Times New Roman"/>
                <w:sz w:val="24"/>
                <w:szCs w:val="24"/>
              </w:rPr>
              <w:t>Scanty Growths</w:t>
            </w:r>
          </w:p>
        </w:tc>
        <w:tc>
          <w:tcPr>
            <w:tcW w:w="1936" w:type="dxa"/>
          </w:tcPr>
          <w:p w14:paraId="1CCFF4C8"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607617">
              <w:t>6</w:t>
            </w:r>
          </w:p>
        </w:tc>
        <w:tc>
          <w:tcPr>
            <w:tcW w:w="2596" w:type="dxa"/>
          </w:tcPr>
          <w:p w14:paraId="70EE4E08"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607617">
              <w:t>18.8</w:t>
            </w:r>
          </w:p>
        </w:tc>
        <w:tc>
          <w:tcPr>
            <w:tcW w:w="814" w:type="dxa"/>
            <w:vAlign w:val="bottom"/>
          </w:tcPr>
          <w:p w14:paraId="01347DA6" w14:textId="77777777" w:rsidR="005B210F" w:rsidRPr="00C85CDE" w:rsidRDefault="005B210F" w:rsidP="005B210F">
            <w:pPr>
              <w:rPr>
                <w:sz w:val="24"/>
                <w:szCs w:val="24"/>
              </w:rPr>
            </w:pPr>
          </w:p>
        </w:tc>
      </w:tr>
      <w:tr w:rsidR="005B210F" w:rsidRPr="00C85CDE" w14:paraId="00A20556" w14:textId="77777777" w:rsidTr="005B210F">
        <w:trPr>
          <w:trHeight w:val="659"/>
        </w:trPr>
        <w:tc>
          <w:tcPr>
            <w:tcW w:w="3338" w:type="dxa"/>
            <w:vAlign w:val="center"/>
          </w:tcPr>
          <w:p w14:paraId="01225655" w14:textId="77777777" w:rsidR="005B210F" w:rsidRPr="00C85CDE" w:rsidRDefault="005B210F" w:rsidP="005B210F">
            <w:pPr>
              <w:rPr>
                <w:sz w:val="24"/>
                <w:szCs w:val="24"/>
              </w:rPr>
            </w:pPr>
            <w:r w:rsidRPr="009F0720">
              <w:rPr>
                <w:rFonts w:eastAsia="Times New Roman"/>
                <w:b/>
                <w:bCs/>
                <w:sz w:val="24"/>
                <w:szCs w:val="24"/>
              </w:rPr>
              <w:t>Total</w:t>
            </w:r>
          </w:p>
        </w:tc>
        <w:tc>
          <w:tcPr>
            <w:tcW w:w="1936" w:type="dxa"/>
            <w:vAlign w:val="center"/>
          </w:tcPr>
          <w:p w14:paraId="1D56B95F" w14:textId="77777777" w:rsidR="005B210F" w:rsidRPr="00605342"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b/>
                <w:bCs/>
                <w:sz w:val="24"/>
                <w:szCs w:val="24"/>
              </w:rPr>
              <w:t>32</w:t>
            </w:r>
          </w:p>
        </w:tc>
        <w:tc>
          <w:tcPr>
            <w:tcW w:w="2596" w:type="dxa"/>
            <w:vAlign w:val="center"/>
          </w:tcPr>
          <w:p w14:paraId="231237B9" w14:textId="77777777" w:rsidR="005B210F" w:rsidRPr="00AC6B73" w:rsidRDefault="005B210F" w:rsidP="005B210F">
            <w:pPr>
              <w:autoSpaceDE w:val="0"/>
              <w:autoSpaceDN w:val="0"/>
              <w:adjustRightInd w:val="0"/>
              <w:spacing w:line="320" w:lineRule="atLeast"/>
              <w:ind w:left="60" w:right="60"/>
              <w:jc w:val="center"/>
              <w:rPr>
                <w:color w:val="010205"/>
                <w:sz w:val="24"/>
                <w:szCs w:val="24"/>
              </w:rPr>
            </w:pPr>
            <w:r w:rsidRPr="009F0720">
              <w:rPr>
                <w:rFonts w:eastAsia="Times New Roman"/>
                <w:b/>
                <w:bCs/>
                <w:sz w:val="24"/>
                <w:szCs w:val="24"/>
              </w:rPr>
              <w:t>100</w:t>
            </w:r>
          </w:p>
        </w:tc>
        <w:tc>
          <w:tcPr>
            <w:tcW w:w="814" w:type="dxa"/>
            <w:vAlign w:val="bottom"/>
          </w:tcPr>
          <w:p w14:paraId="0CF07AC1" w14:textId="77777777" w:rsidR="005B210F" w:rsidRPr="00C85CDE" w:rsidRDefault="005B210F" w:rsidP="005B210F">
            <w:pPr>
              <w:rPr>
                <w:sz w:val="24"/>
                <w:szCs w:val="24"/>
              </w:rPr>
            </w:pPr>
          </w:p>
        </w:tc>
      </w:tr>
    </w:tbl>
    <w:p w14:paraId="2F079D63" w14:textId="77777777" w:rsidR="000E63C2" w:rsidRDefault="000E63C2" w:rsidP="000E63C2">
      <w:pPr>
        <w:spacing w:line="240" w:lineRule="auto"/>
        <w:contextualSpacing/>
        <w:rPr>
          <w:rFonts w:eastAsia="Times New Roman"/>
          <w:sz w:val="24"/>
          <w:szCs w:val="24"/>
        </w:rPr>
      </w:pPr>
    </w:p>
    <w:p w14:paraId="522DB701" w14:textId="77777777" w:rsidR="000E63C2" w:rsidRDefault="000E63C2" w:rsidP="000E63C2">
      <w:pPr>
        <w:spacing w:line="240" w:lineRule="auto"/>
        <w:contextualSpacing/>
        <w:rPr>
          <w:rFonts w:eastAsia="Times New Roman"/>
          <w:b/>
          <w:sz w:val="24"/>
          <w:szCs w:val="24"/>
        </w:rPr>
      </w:pPr>
      <w:r w:rsidRPr="0095378A">
        <w:rPr>
          <w:rFonts w:eastAsia="Times New Roman"/>
          <w:sz w:val="24"/>
          <w:szCs w:val="24"/>
        </w:rPr>
        <w:t>X</w:t>
      </w:r>
      <w:r w:rsidRPr="0095378A">
        <w:rPr>
          <w:rFonts w:eastAsia="Times New Roman"/>
          <w:sz w:val="24"/>
          <w:szCs w:val="24"/>
          <w:vertAlign w:val="superscript"/>
        </w:rPr>
        <w:t xml:space="preserve">2 </w:t>
      </w:r>
      <w:r w:rsidRPr="0095378A">
        <w:rPr>
          <w:rFonts w:eastAsia="Times New Roman"/>
          <w:sz w:val="24"/>
          <w:szCs w:val="24"/>
        </w:rPr>
        <w:t xml:space="preserve">= </w:t>
      </w:r>
      <w:r>
        <w:rPr>
          <w:color w:val="010205"/>
          <w:sz w:val="24"/>
          <w:szCs w:val="24"/>
        </w:rPr>
        <w:t>20.913</w:t>
      </w:r>
      <w:r w:rsidRPr="00C85CDE">
        <w:rPr>
          <w:color w:val="010205"/>
          <w:sz w:val="24"/>
          <w:szCs w:val="24"/>
        </w:rPr>
        <w:t xml:space="preserve"> </w:t>
      </w:r>
      <w:r w:rsidRPr="0095378A">
        <w:rPr>
          <w:rFonts w:eastAsia="Times New Roman"/>
          <w:sz w:val="24"/>
          <w:szCs w:val="24"/>
        </w:rPr>
        <w:t>df</w:t>
      </w:r>
      <w:r>
        <w:rPr>
          <w:rFonts w:eastAsia="Times New Roman"/>
          <w:sz w:val="24"/>
          <w:szCs w:val="24"/>
        </w:rPr>
        <w:t xml:space="preserve"> = 3 p-value &lt;</w:t>
      </w:r>
      <w:r w:rsidRPr="00455D15">
        <w:rPr>
          <w:rFonts w:eastAsia="Times New Roman"/>
          <w:sz w:val="24"/>
          <w:szCs w:val="24"/>
        </w:rPr>
        <w:t>0</w:t>
      </w:r>
      <w:r>
        <w:rPr>
          <w:rFonts w:eastAsia="Times New Roman"/>
          <w:sz w:val="24"/>
          <w:szCs w:val="24"/>
        </w:rPr>
        <w:t>.001</w:t>
      </w:r>
    </w:p>
    <w:p w14:paraId="3D37CE93" w14:textId="77777777" w:rsidR="000E63C2" w:rsidRDefault="000E63C2" w:rsidP="0053741C">
      <w:pPr>
        <w:spacing w:line="360" w:lineRule="auto"/>
        <w:jc w:val="both"/>
        <w:rPr>
          <w:sz w:val="24"/>
          <w:szCs w:val="24"/>
        </w:rPr>
      </w:pPr>
    </w:p>
    <w:p w14:paraId="56D6924F" w14:textId="0648AEC9" w:rsidR="00C3395E" w:rsidRDefault="00667A40" w:rsidP="0053741C">
      <w:pPr>
        <w:spacing w:line="360" w:lineRule="auto"/>
        <w:jc w:val="both"/>
        <w:rPr>
          <w:sz w:val="24"/>
          <w:szCs w:val="24"/>
        </w:rPr>
      </w:pPr>
      <w:r w:rsidRPr="00667A40">
        <w:rPr>
          <w:sz w:val="24"/>
          <w:szCs w:val="24"/>
        </w:rPr>
        <w:t xml:space="preserve">Table 3 details the association between </w:t>
      </w:r>
      <w:r w:rsidR="004F1C27" w:rsidRPr="004F1C27">
        <w:rPr>
          <w:i/>
          <w:iCs/>
          <w:sz w:val="24"/>
          <w:szCs w:val="24"/>
        </w:rPr>
        <w:t>Lactobacilli</w:t>
      </w:r>
      <w:r w:rsidRPr="00667A40">
        <w:rPr>
          <w:sz w:val="24"/>
          <w:szCs w:val="24"/>
        </w:rPr>
        <w:t xml:space="preserve"> growth levels and cervical cytology results among HPV-positive participants. Among women with no </w:t>
      </w:r>
      <w:r w:rsidR="004F1C27" w:rsidRPr="004F1C27">
        <w:rPr>
          <w:i/>
          <w:iCs/>
          <w:sz w:val="24"/>
          <w:szCs w:val="24"/>
        </w:rPr>
        <w:t>Lactobacilli</w:t>
      </w:r>
      <w:r w:rsidRPr="00667A40">
        <w:rPr>
          <w:sz w:val="24"/>
          <w:szCs w:val="24"/>
        </w:rPr>
        <w:t xml:space="preserve"> growth, 21.9% had normal cytology, while 12.5% showed ASCUS, 9.4% had LGSIL, and 6.2% had inflammation. Participants with heavy or moderate </w:t>
      </w:r>
      <w:r w:rsidR="004F1C27" w:rsidRPr="004F1C27">
        <w:rPr>
          <w:i/>
          <w:iCs/>
          <w:sz w:val="24"/>
          <w:szCs w:val="24"/>
        </w:rPr>
        <w:t>Lactobacilli</w:t>
      </w:r>
      <w:r w:rsidRPr="00667A40">
        <w:rPr>
          <w:sz w:val="24"/>
          <w:szCs w:val="24"/>
        </w:rPr>
        <w:t xml:space="preserve"> growth all had normal cytology. Scanty </w:t>
      </w:r>
      <w:r w:rsidR="004F1C27" w:rsidRPr="004F1C27">
        <w:rPr>
          <w:i/>
          <w:iCs/>
          <w:sz w:val="24"/>
          <w:szCs w:val="24"/>
        </w:rPr>
        <w:t>Lactobacilli</w:t>
      </w:r>
      <w:r w:rsidRPr="00667A40">
        <w:rPr>
          <w:sz w:val="24"/>
          <w:szCs w:val="24"/>
        </w:rPr>
        <w:t xml:space="preserve"> growth was mainly linked to normal cytology (15.6%) or LGSIL (3.1%). This distribution was statistically significant (χ² = 59.770, df = 15, p &lt; 0.001), demonstrating a relationship between vaginal microbiota abundance and cervical cytological outcomes.</w:t>
      </w:r>
    </w:p>
    <w:p w14:paraId="4460CC77" w14:textId="77777777" w:rsidR="008E5F0D" w:rsidRDefault="008E5F0D" w:rsidP="00C3395E">
      <w:pPr>
        <w:spacing w:line="240" w:lineRule="auto"/>
        <w:contextualSpacing/>
        <w:rPr>
          <w:rFonts w:eastAsia="Times New Roman"/>
          <w:b/>
          <w:sz w:val="24"/>
          <w:szCs w:val="24"/>
        </w:rPr>
      </w:pPr>
    </w:p>
    <w:p w14:paraId="5D04EC22" w14:textId="77777777" w:rsidR="008E5F0D" w:rsidRDefault="008E5F0D" w:rsidP="00C3395E">
      <w:pPr>
        <w:spacing w:line="240" w:lineRule="auto"/>
        <w:contextualSpacing/>
        <w:rPr>
          <w:rFonts w:eastAsia="Times New Roman"/>
          <w:b/>
          <w:sz w:val="24"/>
          <w:szCs w:val="24"/>
        </w:rPr>
      </w:pPr>
    </w:p>
    <w:p w14:paraId="5BEBA4F6" w14:textId="77777777" w:rsidR="008E5F0D" w:rsidRDefault="008E5F0D" w:rsidP="00C3395E">
      <w:pPr>
        <w:spacing w:line="240" w:lineRule="auto"/>
        <w:contextualSpacing/>
        <w:rPr>
          <w:rFonts w:eastAsia="Times New Roman"/>
          <w:b/>
          <w:sz w:val="24"/>
          <w:szCs w:val="24"/>
        </w:rPr>
      </w:pPr>
    </w:p>
    <w:p w14:paraId="5D35241F" w14:textId="77777777" w:rsidR="008E5F0D" w:rsidRDefault="008E5F0D" w:rsidP="00C3395E">
      <w:pPr>
        <w:spacing w:line="240" w:lineRule="auto"/>
        <w:contextualSpacing/>
        <w:rPr>
          <w:rFonts w:eastAsia="Times New Roman"/>
          <w:b/>
          <w:sz w:val="24"/>
          <w:szCs w:val="24"/>
        </w:rPr>
      </w:pPr>
    </w:p>
    <w:p w14:paraId="5444A80F" w14:textId="77777777" w:rsidR="008E5F0D" w:rsidRDefault="008E5F0D" w:rsidP="00C3395E">
      <w:pPr>
        <w:spacing w:line="240" w:lineRule="auto"/>
        <w:contextualSpacing/>
        <w:rPr>
          <w:rFonts w:eastAsia="Times New Roman"/>
          <w:b/>
          <w:sz w:val="24"/>
          <w:szCs w:val="24"/>
        </w:rPr>
      </w:pPr>
    </w:p>
    <w:p w14:paraId="5FB85FDD" w14:textId="77777777" w:rsidR="008E5F0D" w:rsidRDefault="008E5F0D" w:rsidP="00C3395E">
      <w:pPr>
        <w:spacing w:line="240" w:lineRule="auto"/>
        <w:contextualSpacing/>
        <w:rPr>
          <w:rFonts w:eastAsia="Times New Roman"/>
          <w:b/>
          <w:sz w:val="24"/>
          <w:szCs w:val="24"/>
        </w:rPr>
      </w:pPr>
    </w:p>
    <w:p w14:paraId="75FB7AF7" w14:textId="77777777" w:rsidR="008E5F0D" w:rsidRDefault="008E5F0D" w:rsidP="00C3395E">
      <w:pPr>
        <w:spacing w:line="240" w:lineRule="auto"/>
        <w:contextualSpacing/>
        <w:rPr>
          <w:rFonts w:eastAsia="Times New Roman"/>
          <w:b/>
          <w:sz w:val="24"/>
          <w:szCs w:val="24"/>
        </w:rPr>
      </w:pPr>
    </w:p>
    <w:p w14:paraId="088A5A6E" w14:textId="3F0A5A2E" w:rsidR="00C3395E" w:rsidRDefault="00C3395E" w:rsidP="00C3395E">
      <w:pPr>
        <w:spacing w:line="240" w:lineRule="auto"/>
        <w:contextualSpacing/>
        <w:rPr>
          <w:rFonts w:eastAsia="Times New Roman"/>
          <w:b/>
          <w:sz w:val="24"/>
          <w:szCs w:val="24"/>
        </w:rPr>
      </w:pPr>
      <w:r w:rsidRPr="00EE1C71">
        <w:rPr>
          <w:rFonts w:eastAsia="Times New Roman"/>
          <w:b/>
          <w:sz w:val="24"/>
          <w:szCs w:val="24"/>
        </w:rPr>
        <w:t>Table</w:t>
      </w:r>
      <w:r>
        <w:rPr>
          <w:rFonts w:eastAsia="Times New Roman"/>
          <w:b/>
          <w:sz w:val="24"/>
          <w:szCs w:val="24"/>
        </w:rPr>
        <w:t xml:space="preserve"> 3</w:t>
      </w:r>
      <w:r w:rsidRPr="00EE1C71">
        <w:rPr>
          <w:rFonts w:eastAsia="Times New Roman"/>
          <w:b/>
          <w:sz w:val="24"/>
          <w:szCs w:val="24"/>
        </w:rPr>
        <w:t xml:space="preserve">: Distribution of </w:t>
      </w:r>
      <w:r w:rsidR="004F1C27" w:rsidRPr="004F1C27">
        <w:rPr>
          <w:rFonts w:eastAsia="Times New Roman"/>
          <w:b/>
          <w:i/>
          <w:iCs/>
          <w:sz w:val="24"/>
          <w:szCs w:val="24"/>
        </w:rPr>
        <w:t>Lactobacilli</w:t>
      </w:r>
      <w:r w:rsidRPr="00EE1C71">
        <w:rPr>
          <w:rFonts w:eastAsia="Times New Roman"/>
          <w:b/>
          <w:i/>
          <w:iCs/>
          <w:sz w:val="24"/>
          <w:szCs w:val="24"/>
        </w:rPr>
        <w:t xml:space="preserve"> </w:t>
      </w:r>
      <w:r w:rsidRPr="00EE1C71">
        <w:rPr>
          <w:rFonts w:eastAsia="Times New Roman"/>
          <w:b/>
          <w:sz w:val="24"/>
          <w:szCs w:val="24"/>
        </w:rPr>
        <w:t xml:space="preserve">Growth Levels and Cervical Cytology </w:t>
      </w:r>
      <w:r w:rsidR="00F91037">
        <w:rPr>
          <w:rFonts w:eastAsia="Times New Roman"/>
          <w:b/>
          <w:sz w:val="24"/>
          <w:szCs w:val="24"/>
        </w:rPr>
        <w:t>A</w:t>
      </w:r>
      <w:r w:rsidRPr="00EE1C71">
        <w:rPr>
          <w:rFonts w:eastAsia="Times New Roman"/>
          <w:b/>
          <w:sz w:val="24"/>
          <w:szCs w:val="24"/>
        </w:rPr>
        <w:t>mong HPV Positive Participants</w:t>
      </w:r>
    </w:p>
    <w:tbl>
      <w:tblPr>
        <w:tblStyle w:val="LightShading1"/>
        <w:tblpPr w:leftFromText="180" w:rightFromText="180" w:vertAnchor="text" w:horzAnchor="margin" w:tblpXSpec="center" w:tblpY="35"/>
        <w:tblW w:w="10721" w:type="dxa"/>
        <w:tblLook w:val="06A0" w:firstRow="1" w:lastRow="0" w:firstColumn="1" w:lastColumn="0" w:noHBand="1" w:noVBand="1"/>
      </w:tblPr>
      <w:tblGrid>
        <w:gridCol w:w="2171"/>
        <w:gridCol w:w="1450"/>
        <w:gridCol w:w="1341"/>
        <w:gridCol w:w="1321"/>
        <w:gridCol w:w="1319"/>
        <w:gridCol w:w="2139"/>
        <w:gridCol w:w="980"/>
      </w:tblGrid>
      <w:tr w:rsidR="008E5F0D" w:rsidRPr="00926614" w14:paraId="0B699DCD" w14:textId="77777777" w:rsidTr="008E5F0D">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171" w:type="dxa"/>
            <w:hideMark/>
          </w:tcPr>
          <w:p w14:paraId="569A0182" w14:textId="77777777" w:rsidR="008E5F0D" w:rsidRDefault="008E5F0D" w:rsidP="008E5F0D">
            <w:pPr>
              <w:jc w:val="center"/>
              <w:rPr>
                <w:rFonts w:eastAsia="Times New Roman"/>
                <w:b w:val="0"/>
                <w:bCs w:val="0"/>
                <w:sz w:val="24"/>
                <w:szCs w:val="24"/>
              </w:rPr>
            </w:pPr>
          </w:p>
          <w:p w14:paraId="6D38CBC3" w14:textId="77777777" w:rsidR="008E5F0D" w:rsidRPr="00926614" w:rsidRDefault="008E5F0D" w:rsidP="008E5F0D">
            <w:pPr>
              <w:spacing w:after="0" w:line="240" w:lineRule="auto"/>
              <w:jc w:val="center"/>
              <w:rPr>
                <w:rFonts w:eastAsia="Times New Roman"/>
                <w:sz w:val="24"/>
                <w:szCs w:val="24"/>
              </w:rPr>
            </w:pPr>
            <w:r w:rsidRPr="00926614">
              <w:rPr>
                <w:rFonts w:eastAsia="Times New Roman"/>
                <w:sz w:val="24"/>
                <w:szCs w:val="24"/>
              </w:rPr>
              <w:lastRenderedPageBreak/>
              <w:t>Growths Level</w:t>
            </w:r>
          </w:p>
        </w:tc>
        <w:tc>
          <w:tcPr>
            <w:tcW w:w="1450" w:type="dxa"/>
          </w:tcPr>
          <w:p w14:paraId="36EDFB7D"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r>
              <w:rPr>
                <w:rFonts w:eastAsia="Times New Roman"/>
                <w:sz w:val="24"/>
                <w:szCs w:val="24"/>
              </w:rPr>
              <w:lastRenderedPageBreak/>
              <w:t>PAP Smear</w:t>
            </w:r>
          </w:p>
        </w:tc>
        <w:tc>
          <w:tcPr>
            <w:tcW w:w="1341" w:type="dxa"/>
            <w:hideMark/>
          </w:tcPr>
          <w:p w14:paraId="62D5C9CB"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Normal</w:t>
            </w:r>
          </w:p>
        </w:tc>
        <w:tc>
          <w:tcPr>
            <w:tcW w:w="1321" w:type="dxa"/>
            <w:hideMark/>
          </w:tcPr>
          <w:p w14:paraId="3EAB535A"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ASCUS</w:t>
            </w:r>
          </w:p>
        </w:tc>
        <w:tc>
          <w:tcPr>
            <w:tcW w:w="1319" w:type="dxa"/>
            <w:hideMark/>
          </w:tcPr>
          <w:p w14:paraId="4DA97F08"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LGSIL</w:t>
            </w:r>
          </w:p>
        </w:tc>
        <w:tc>
          <w:tcPr>
            <w:tcW w:w="2139" w:type="dxa"/>
            <w:hideMark/>
          </w:tcPr>
          <w:p w14:paraId="7A7B3FDA"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Inflammation</w:t>
            </w:r>
          </w:p>
        </w:tc>
        <w:tc>
          <w:tcPr>
            <w:tcW w:w="980" w:type="dxa"/>
          </w:tcPr>
          <w:p w14:paraId="654D8840" w14:textId="77777777" w:rsidR="008E5F0D" w:rsidRDefault="008E5F0D" w:rsidP="008E5F0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4"/>
                <w:szCs w:val="24"/>
              </w:rPr>
            </w:pPr>
          </w:p>
          <w:p w14:paraId="6A70FB67" w14:textId="77777777" w:rsidR="008E5F0D" w:rsidRPr="00926614" w:rsidRDefault="008E5F0D" w:rsidP="008E5F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lastRenderedPageBreak/>
              <w:t>n = 32</w:t>
            </w:r>
          </w:p>
        </w:tc>
      </w:tr>
      <w:tr w:rsidR="008E5F0D" w:rsidRPr="00926614" w14:paraId="6A151856" w14:textId="77777777" w:rsidTr="008E5F0D">
        <w:trPr>
          <w:trHeight w:val="1047"/>
        </w:trPr>
        <w:tc>
          <w:tcPr>
            <w:cnfStyle w:val="001000000000" w:firstRow="0" w:lastRow="0" w:firstColumn="1" w:lastColumn="0" w:oddVBand="0" w:evenVBand="0" w:oddHBand="0" w:evenHBand="0" w:firstRowFirstColumn="0" w:firstRowLastColumn="0" w:lastRowFirstColumn="0" w:lastRowLastColumn="0"/>
            <w:tcW w:w="2171" w:type="dxa"/>
            <w:hideMark/>
          </w:tcPr>
          <w:p w14:paraId="6DD76CDB" w14:textId="77777777" w:rsidR="008E5F0D" w:rsidRDefault="008E5F0D" w:rsidP="008E5F0D">
            <w:pPr>
              <w:rPr>
                <w:rFonts w:eastAsia="Times New Roman"/>
                <w:sz w:val="24"/>
                <w:szCs w:val="24"/>
              </w:rPr>
            </w:pPr>
          </w:p>
          <w:p w14:paraId="7C77EDEA" w14:textId="77777777" w:rsidR="008E5F0D" w:rsidRPr="00926614" w:rsidRDefault="008E5F0D" w:rsidP="008E5F0D">
            <w:pPr>
              <w:spacing w:after="0" w:line="240" w:lineRule="auto"/>
              <w:rPr>
                <w:rFonts w:eastAsia="Times New Roman"/>
                <w:b w:val="0"/>
                <w:bCs w:val="0"/>
                <w:sz w:val="24"/>
                <w:szCs w:val="24"/>
              </w:rPr>
            </w:pPr>
            <w:r w:rsidRPr="00926614">
              <w:rPr>
                <w:rFonts w:eastAsia="Times New Roman"/>
                <w:b w:val="0"/>
                <w:bCs w:val="0"/>
                <w:sz w:val="24"/>
                <w:szCs w:val="24"/>
              </w:rPr>
              <w:t>No Growth</w:t>
            </w:r>
          </w:p>
        </w:tc>
        <w:tc>
          <w:tcPr>
            <w:tcW w:w="1450" w:type="dxa"/>
          </w:tcPr>
          <w:p w14:paraId="1FEF1AA1"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32DD4644"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6DDD65E2"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7 (21.9%)</w:t>
            </w:r>
          </w:p>
        </w:tc>
        <w:tc>
          <w:tcPr>
            <w:tcW w:w="1321" w:type="dxa"/>
            <w:hideMark/>
          </w:tcPr>
          <w:p w14:paraId="619A7E5E"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7EEED24F"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4 (12.5%)</w:t>
            </w:r>
          </w:p>
        </w:tc>
        <w:tc>
          <w:tcPr>
            <w:tcW w:w="1319" w:type="dxa"/>
            <w:hideMark/>
          </w:tcPr>
          <w:p w14:paraId="2B070BB3"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48589430"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3 (9.4%)</w:t>
            </w:r>
          </w:p>
        </w:tc>
        <w:tc>
          <w:tcPr>
            <w:tcW w:w="2139" w:type="dxa"/>
            <w:hideMark/>
          </w:tcPr>
          <w:p w14:paraId="0939DE31" w14:textId="77777777" w:rsidR="008E5F0D" w:rsidRDefault="008E5F0D" w:rsidP="008E5F0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p w14:paraId="0C0DAEBC"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2 (6.2%)</w:t>
            </w:r>
          </w:p>
        </w:tc>
        <w:tc>
          <w:tcPr>
            <w:tcW w:w="980" w:type="dxa"/>
          </w:tcPr>
          <w:p w14:paraId="03F506DE"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1F29E3F4" w14:textId="77777777" w:rsidTr="008E5F0D">
        <w:trPr>
          <w:trHeight w:val="1047"/>
        </w:trPr>
        <w:tc>
          <w:tcPr>
            <w:cnfStyle w:val="001000000000" w:firstRow="0" w:lastRow="0" w:firstColumn="1" w:lastColumn="0" w:oddVBand="0" w:evenVBand="0" w:oddHBand="0" w:evenHBand="0" w:firstRowFirstColumn="0" w:firstRowLastColumn="0" w:lastRowFirstColumn="0" w:lastRowLastColumn="0"/>
            <w:tcW w:w="2171" w:type="dxa"/>
            <w:hideMark/>
          </w:tcPr>
          <w:p w14:paraId="46538318" w14:textId="77777777" w:rsidR="008E5F0D" w:rsidRPr="00926614" w:rsidRDefault="008E5F0D" w:rsidP="008E5F0D">
            <w:pPr>
              <w:spacing w:after="0" w:line="240" w:lineRule="auto"/>
              <w:rPr>
                <w:rFonts w:eastAsia="Times New Roman"/>
                <w:sz w:val="24"/>
                <w:szCs w:val="24"/>
              </w:rPr>
            </w:pPr>
            <w:r w:rsidRPr="00926614">
              <w:rPr>
                <w:rFonts w:eastAsia="Times New Roman"/>
                <w:sz w:val="24"/>
                <w:szCs w:val="24"/>
              </w:rPr>
              <w:t>Heavy Growths</w:t>
            </w:r>
          </w:p>
        </w:tc>
        <w:tc>
          <w:tcPr>
            <w:tcW w:w="1450" w:type="dxa"/>
          </w:tcPr>
          <w:p w14:paraId="0CD9001F"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7BE654EA"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7 (21.9%)</w:t>
            </w:r>
          </w:p>
        </w:tc>
        <w:tc>
          <w:tcPr>
            <w:tcW w:w="1321" w:type="dxa"/>
            <w:hideMark/>
          </w:tcPr>
          <w:p w14:paraId="4E5482ED"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1319" w:type="dxa"/>
            <w:hideMark/>
          </w:tcPr>
          <w:p w14:paraId="1B2FA9EC"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2139" w:type="dxa"/>
            <w:hideMark/>
          </w:tcPr>
          <w:p w14:paraId="0E9684D3"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980" w:type="dxa"/>
          </w:tcPr>
          <w:p w14:paraId="3F724E12"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50BBD52F" w14:textId="77777777" w:rsidTr="008E5F0D">
        <w:trPr>
          <w:trHeight w:val="1001"/>
        </w:trPr>
        <w:tc>
          <w:tcPr>
            <w:cnfStyle w:val="001000000000" w:firstRow="0" w:lastRow="0" w:firstColumn="1" w:lastColumn="0" w:oddVBand="0" w:evenVBand="0" w:oddHBand="0" w:evenHBand="0" w:firstRowFirstColumn="0" w:firstRowLastColumn="0" w:lastRowFirstColumn="0" w:lastRowLastColumn="0"/>
            <w:tcW w:w="2171" w:type="dxa"/>
            <w:hideMark/>
          </w:tcPr>
          <w:p w14:paraId="251AD232" w14:textId="77777777" w:rsidR="008E5F0D" w:rsidRPr="00926614" w:rsidRDefault="008E5F0D" w:rsidP="008E5F0D">
            <w:pPr>
              <w:spacing w:after="0" w:line="240" w:lineRule="auto"/>
              <w:rPr>
                <w:rFonts w:eastAsia="Times New Roman"/>
                <w:sz w:val="24"/>
                <w:szCs w:val="24"/>
              </w:rPr>
            </w:pPr>
            <w:r w:rsidRPr="00926614">
              <w:rPr>
                <w:rFonts w:eastAsia="Times New Roman"/>
                <w:sz w:val="24"/>
                <w:szCs w:val="24"/>
              </w:rPr>
              <w:t>Moderate Growths</w:t>
            </w:r>
          </w:p>
        </w:tc>
        <w:tc>
          <w:tcPr>
            <w:tcW w:w="1450" w:type="dxa"/>
          </w:tcPr>
          <w:p w14:paraId="10FE97BE" w14:textId="77777777" w:rsidR="008E5F0D"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121003C2"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3</w:t>
            </w:r>
            <w:r w:rsidRPr="00926614">
              <w:rPr>
                <w:rFonts w:eastAsia="Times New Roman"/>
                <w:sz w:val="24"/>
                <w:szCs w:val="24"/>
              </w:rPr>
              <w:t xml:space="preserve"> (</w:t>
            </w:r>
            <w:r>
              <w:rPr>
                <w:rFonts w:eastAsia="Times New Roman"/>
                <w:sz w:val="24"/>
                <w:szCs w:val="24"/>
              </w:rPr>
              <w:t>9</w:t>
            </w:r>
            <w:r w:rsidRPr="00926614">
              <w:rPr>
                <w:rFonts w:eastAsia="Times New Roman"/>
                <w:sz w:val="24"/>
                <w:szCs w:val="24"/>
              </w:rPr>
              <w:t>.</w:t>
            </w:r>
            <w:r>
              <w:rPr>
                <w:rFonts w:eastAsia="Times New Roman"/>
                <w:sz w:val="24"/>
                <w:szCs w:val="24"/>
              </w:rPr>
              <w:t>3</w:t>
            </w:r>
            <w:r w:rsidRPr="00926614">
              <w:rPr>
                <w:rFonts w:eastAsia="Times New Roman"/>
                <w:sz w:val="24"/>
                <w:szCs w:val="24"/>
              </w:rPr>
              <w:t>%)</w:t>
            </w:r>
          </w:p>
        </w:tc>
        <w:tc>
          <w:tcPr>
            <w:tcW w:w="1321" w:type="dxa"/>
            <w:hideMark/>
          </w:tcPr>
          <w:p w14:paraId="0B6CD1A4"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1319" w:type="dxa"/>
            <w:hideMark/>
          </w:tcPr>
          <w:p w14:paraId="68B341D7"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2139" w:type="dxa"/>
            <w:hideMark/>
          </w:tcPr>
          <w:p w14:paraId="3FF1B6F6"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980" w:type="dxa"/>
          </w:tcPr>
          <w:p w14:paraId="3704DDC0"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2E405FA5" w14:textId="77777777" w:rsidTr="008E5F0D">
        <w:trPr>
          <w:trHeight w:val="855"/>
        </w:trPr>
        <w:tc>
          <w:tcPr>
            <w:cnfStyle w:val="001000000000" w:firstRow="0" w:lastRow="0" w:firstColumn="1" w:lastColumn="0" w:oddVBand="0" w:evenVBand="0" w:oddHBand="0" w:evenHBand="0" w:firstRowFirstColumn="0" w:firstRowLastColumn="0" w:lastRowFirstColumn="0" w:lastRowLastColumn="0"/>
            <w:tcW w:w="2171" w:type="dxa"/>
            <w:hideMark/>
          </w:tcPr>
          <w:p w14:paraId="50EE3C06" w14:textId="77777777" w:rsidR="008E5F0D" w:rsidRPr="00926614" w:rsidRDefault="008E5F0D" w:rsidP="008E5F0D">
            <w:pPr>
              <w:spacing w:after="0" w:line="240" w:lineRule="auto"/>
              <w:rPr>
                <w:rFonts w:eastAsia="Times New Roman"/>
                <w:sz w:val="24"/>
                <w:szCs w:val="24"/>
              </w:rPr>
            </w:pPr>
            <w:r w:rsidRPr="009F0720">
              <w:rPr>
                <w:rFonts w:eastAsia="Times New Roman"/>
                <w:sz w:val="24"/>
                <w:szCs w:val="24"/>
              </w:rPr>
              <w:t>Scanty Growths</w:t>
            </w:r>
          </w:p>
        </w:tc>
        <w:tc>
          <w:tcPr>
            <w:tcW w:w="1450" w:type="dxa"/>
          </w:tcPr>
          <w:p w14:paraId="5E8184C0"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hideMark/>
          </w:tcPr>
          <w:p w14:paraId="29CE9A09"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5 (15.6%)</w:t>
            </w:r>
          </w:p>
        </w:tc>
        <w:tc>
          <w:tcPr>
            <w:tcW w:w="1321" w:type="dxa"/>
            <w:hideMark/>
          </w:tcPr>
          <w:p w14:paraId="75F80E67"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1319" w:type="dxa"/>
            <w:hideMark/>
          </w:tcPr>
          <w:p w14:paraId="484D7C07"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1 (3.1%)</w:t>
            </w:r>
          </w:p>
        </w:tc>
        <w:tc>
          <w:tcPr>
            <w:tcW w:w="2139" w:type="dxa"/>
            <w:hideMark/>
          </w:tcPr>
          <w:p w14:paraId="5F9C0710"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6614">
              <w:rPr>
                <w:rFonts w:eastAsia="Times New Roman"/>
                <w:sz w:val="24"/>
                <w:szCs w:val="24"/>
              </w:rPr>
              <w:t>0 (0.0%)</w:t>
            </w:r>
          </w:p>
        </w:tc>
        <w:tc>
          <w:tcPr>
            <w:tcW w:w="980" w:type="dxa"/>
          </w:tcPr>
          <w:p w14:paraId="7FC7C793" w14:textId="77777777" w:rsidR="008E5F0D" w:rsidRPr="00926614"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8E5F0D" w:rsidRPr="00926614" w14:paraId="0F8EC78B" w14:textId="77777777" w:rsidTr="008E5F0D">
        <w:trPr>
          <w:trHeight w:val="405"/>
        </w:trPr>
        <w:tc>
          <w:tcPr>
            <w:cnfStyle w:val="001000000000" w:firstRow="0" w:lastRow="0" w:firstColumn="1" w:lastColumn="0" w:oddVBand="0" w:evenVBand="0" w:oddHBand="0" w:evenHBand="0" w:firstRowFirstColumn="0" w:firstRowLastColumn="0" w:lastRowFirstColumn="0" w:lastRowLastColumn="0"/>
            <w:tcW w:w="2171" w:type="dxa"/>
          </w:tcPr>
          <w:p w14:paraId="76A1FF8D" w14:textId="77777777" w:rsidR="008E5F0D" w:rsidRPr="009F0720" w:rsidRDefault="008E5F0D" w:rsidP="008E5F0D">
            <w:pPr>
              <w:spacing w:after="0" w:line="240" w:lineRule="auto"/>
              <w:rPr>
                <w:rFonts w:eastAsia="Times New Roman"/>
                <w:sz w:val="24"/>
                <w:szCs w:val="24"/>
              </w:rPr>
            </w:pPr>
            <w:r>
              <w:rPr>
                <w:rFonts w:eastAsia="Times New Roman"/>
                <w:sz w:val="24"/>
                <w:szCs w:val="24"/>
              </w:rPr>
              <w:t>Total</w:t>
            </w:r>
          </w:p>
        </w:tc>
        <w:tc>
          <w:tcPr>
            <w:tcW w:w="1450" w:type="dxa"/>
          </w:tcPr>
          <w:p w14:paraId="3FD5B06B" w14:textId="77777777" w:rsidR="008E5F0D" w:rsidRPr="00926614" w:rsidRDefault="008E5F0D" w:rsidP="008E5F0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41" w:type="dxa"/>
          </w:tcPr>
          <w:p w14:paraId="03DDDDCE"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22 (68.8%)</w:t>
            </w:r>
          </w:p>
        </w:tc>
        <w:tc>
          <w:tcPr>
            <w:tcW w:w="1321" w:type="dxa"/>
          </w:tcPr>
          <w:p w14:paraId="7192CEA5"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4 (12.5%)</w:t>
            </w:r>
          </w:p>
        </w:tc>
        <w:tc>
          <w:tcPr>
            <w:tcW w:w="1319" w:type="dxa"/>
          </w:tcPr>
          <w:p w14:paraId="280E9398"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4 (12.5%)</w:t>
            </w:r>
          </w:p>
        </w:tc>
        <w:tc>
          <w:tcPr>
            <w:tcW w:w="2139" w:type="dxa"/>
          </w:tcPr>
          <w:p w14:paraId="5240E73D"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r w:rsidRPr="00F25B23">
              <w:rPr>
                <w:b/>
                <w:bCs/>
                <w:sz w:val="24"/>
                <w:szCs w:val="24"/>
              </w:rPr>
              <w:t>2 (6.2%)</w:t>
            </w:r>
          </w:p>
        </w:tc>
        <w:tc>
          <w:tcPr>
            <w:tcW w:w="980" w:type="dxa"/>
          </w:tcPr>
          <w:p w14:paraId="1EF3F1C5" w14:textId="77777777" w:rsidR="008E5F0D" w:rsidRPr="00F25B23" w:rsidRDefault="008E5F0D" w:rsidP="008E5F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 w:val="24"/>
                <w:szCs w:val="24"/>
              </w:rPr>
            </w:pPr>
          </w:p>
        </w:tc>
      </w:tr>
    </w:tbl>
    <w:p w14:paraId="1BAB8D84" w14:textId="77777777" w:rsidR="00C3395E" w:rsidRDefault="00C3395E" w:rsidP="00C3395E">
      <w:pPr>
        <w:spacing w:line="240" w:lineRule="auto"/>
        <w:contextualSpacing/>
        <w:rPr>
          <w:rFonts w:eastAsia="Times New Roman"/>
          <w:b/>
          <w:sz w:val="24"/>
          <w:szCs w:val="24"/>
        </w:rPr>
      </w:pPr>
      <w:r w:rsidRPr="0095378A">
        <w:rPr>
          <w:rFonts w:eastAsia="Times New Roman"/>
          <w:sz w:val="24"/>
          <w:szCs w:val="24"/>
        </w:rPr>
        <w:t>X</w:t>
      </w:r>
      <w:r w:rsidRPr="0095378A">
        <w:rPr>
          <w:rFonts w:eastAsia="Times New Roman"/>
          <w:sz w:val="24"/>
          <w:szCs w:val="24"/>
          <w:vertAlign w:val="superscript"/>
        </w:rPr>
        <w:t xml:space="preserve">2 </w:t>
      </w:r>
      <w:r w:rsidRPr="0095378A">
        <w:rPr>
          <w:rFonts w:eastAsia="Times New Roman"/>
          <w:sz w:val="24"/>
          <w:szCs w:val="24"/>
        </w:rPr>
        <w:t xml:space="preserve">= </w:t>
      </w:r>
      <w:r>
        <w:rPr>
          <w:color w:val="010205"/>
          <w:sz w:val="24"/>
          <w:szCs w:val="24"/>
        </w:rPr>
        <w:t>59.770</w:t>
      </w:r>
      <w:r w:rsidRPr="00C85CDE">
        <w:rPr>
          <w:color w:val="010205"/>
          <w:sz w:val="24"/>
          <w:szCs w:val="24"/>
        </w:rPr>
        <w:t xml:space="preserve"> </w:t>
      </w:r>
      <w:r w:rsidRPr="0095378A">
        <w:rPr>
          <w:rFonts w:eastAsia="Times New Roman"/>
          <w:sz w:val="24"/>
          <w:szCs w:val="24"/>
        </w:rPr>
        <w:t>df</w:t>
      </w:r>
      <w:r>
        <w:rPr>
          <w:rFonts w:eastAsia="Times New Roman"/>
          <w:sz w:val="24"/>
          <w:szCs w:val="24"/>
        </w:rPr>
        <w:t xml:space="preserve"> = 15 p-value &lt;</w:t>
      </w:r>
      <w:r w:rsidRPr="00455D15">
        <w:rPr>
          <w:rFonts w:eastAsia="Times New Roman"/>
          <w:sz w:val="24"/>
          <w:szCs w:val="24"/>
        </w:rPr>
        <w:t>0</w:t>
      </w:r>
      <w:r>
        <w:rPr>
          <w:rFonts w:eastAsia="Times New Roman"/>
          <w:sz w:val="24"/>
          <w:szCs w:val="24"/>
        </w:rPr>
        <w:t>.001</w:t>
      </w:r>
    </w:p>
    <w:bookmarkEnd w:id="1"/>
    <w:p w14:paraId="7E9653A9" w14:textId="77777777" w:rsidR="00300A9A" w:rsidRDefault="00300A9A" w:rsidP="00126DD2">
      <w:pPr>
        <w:spacing w:before="100" w:beforeAutospacing="1" w:after="100" w:afterAutospacing="1" w:line="240" w:lineRule="auto"/>
        <w:jc w:val="both"/>
        <w:outlineLvl w:val="1"/>
        <w:rPr>
          <w:rFonts w:eastAsia="Times New Roman"/>
          <w:b/>
          <w:bCs/>
          <w:sz w:val="36"/>
          <w:szCs w:val="36"/>
          <w:lang w:val="en-US"/>
        </w:rPr>
      </w:pPr>
    </w:p>
    <w:p w14:paraId="0F7E1F4A" w14:textId="221E4EF5" w:rsidR="003C20EE" w:rsidRPr="008051C8" w:rsidRDefault="008E5F0D" w:rsidP="008E5F0D">
      <w:pPr>
        <w:pStyle w:val="ListParagraph"/>
        <w:numPr>
          <w:ilvl w:val="0"/>
          <w:numId w:val="3"/>
        </w:numPr>
        <w:spacing w:before="100" w:beforeAutospacing="1" w:after="100" w:afterAutospacing="1" w:line="240" w:lineRule="auto"/>
        <w:ind w:left="360"/>
        <w:jc w:val="both"/>
        <w:outlineLvl w:val="1"/>
        <w:rPr>
          <w:rFonts w:eastAsia="Times New Roman"/>
          <w:b/>
          <w:bCs/>
          <w:sz w:val="36"/>
          <w:szCs w:val="36"/>
          <w:lang w:val="en-US"/>
        </w:rPr>
      </w:pPr>
      <w:r w:rsidRPr="008E5F0D">
        <w:rPr>
          <w:rFonts w:eastAsia="Times New Roman"/>
          <w:b/>
          <w:bCs/>
          <w:sz w:val="24"/>
          <w:szCs w:val="24"/>
          <w:lang w:val="en-US"/>
        </w:rPr>
        <w:t>DISCUSSION</w:t>
      </w:r>
    </w:p>
    <w:p w14:paraId="749B8528" w14:textId="38A55304"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Understanding the interactions between Human Papillomavirus (HPV) infection, cervical cytological outcomes, and vaginal microbiota composition is critical to advancing cervical cancer prevention strategies, especially in regions with limited access to healthcare resources. This study examined these associations among HPV-positive women in Niger State, Nigeria, providing novel epidemiological evidence that highlights the role of vaginal </w:t>
      </w:r>
      <w:r w:rsidR="004F1C27" w:rsidRPr="004F1C27">
        <w:rPr>
          <w:rFonts w:eastAsia="Times New Roman"/>
          <w:i/>
          <w:iCs/>
          <w:sz w:val="24"/>
          <w:szCs w:val="24"/>
          <w:lang w:val="en-US"/>
        </w:rPr>
        <w:t>Lactobacilli</w:t>
      </w:r>
      <w:r w:rsidRPr="008051C8">
        <w:rPr>
          <w:rFonts w:eastAsia="Times New Roman"/>
          <w:sz w:val="24"/>
          <w:szCs w:val="24"/>
          <w:lang w:val="en-US"/>
        </w:rPr>
        <w:t xml:space="preserve"> in modulating cervical health outcomes. The findings reveal significant correlations between HPV infection, cytological abnormalities, and </w:t>
      </w:r>
      <w:r w:rsidR="004F1C27" w:rsidRPr="004F1C27">
        <w:rPr>
          <w:rFonts w:eastAsia="Times New Roman"/>
          <w:i/>
          <w:iCs/>
          <w:sz w:val="24"/>
          <w:szCs w:val="24"/>
          <w:lang w:val="en-US"/>
        </w:rPr>
        <w:t>Lactobacilli</w:t>
      </w:r>
      <w:r w:rsidRPr="008051C8">
        <w:rPr>
          <w:rFonts w:eastAsia="Times New Roman"/>
          <w:sz w:val="24"/>
          <w:szCs w:val="24"/>
          <w:lang w:val="en-US"/>
        </w:rPr>
        <w:t xml:space="preserve"> growth, underscoring the importance of holistic screening approaches that consider both </w:t>
      </w:r>
      <w:proofErr w:type="spellStart"/>
      <w:r w:rsidRPr="008051C8">
        <w:rPr>
          <w:rFonts w:eastAsia="Times New Roman"/>
          <w:sz w:val="24"/>
          <w:szCs w:val="24"/>
          <w:lang w:val="en-US"/>
        </w:rPr>
        <w:t>virological</w:t>
      </w:r>
      <w:proofErr w:type="spellEnd"/>
      <w:r w:rsidRPr="008051C8">
        <w:rPr>
          <w:rFonts w:eastAsia="Times New Roman"/>
          <w:sz w:val="24"/>
          <w:szCs w:val="24"/>
          <w:lang w:val="en-US"/>
        </w:rPr>
        <w:t xml:space="preserve"> and microbiological factors in cervical disease management.</w:t>
      </w:r>
    </w:p>
    <w:p w14:paraId="5D0151C4" w14:textId="100A5DF5"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The observed significant association between HPV infection and cervical cytology abnormalities reinforces the well-established role of HPV as a primary etiological factor in the development of cervical epithelial changes. While a considerable proportion of HPV-positive participants (68.8%) exhibited normal cytology, the detection of atypical squamous cells of undetermined significance (ASCUS) and low-grade squamous intraepithelial lesions (LGSIL) among others is consistent with </w:t>
      </w:r>
      <w:r w:rsidRPr="008051C8">
        <w:rPr>
          <w:rFonts w:eastAsia="Times New Roman"/>
          <w:sz w:val="24"/>
          <w:szCs w:val="24"/>
          <w:lang w:val="en-US"/>
        </w:rPr>
        <w:lastRenderedPageBreak/>
        <w:t xml:space="preserve">the literature. For example, </w:t>
      </w:r>
      <w:proofErr w:type="spellStart"/>
      <w:r w:rsidRPr="008051C8">
        <w:rPr>
          <w:rFonts w:eastAsia="Times New Roman"/>
          <w:sz w:val="24"/>
          <w:szCs w:val="24"/>
          <w:lang w:val="en-US"/>
        </w:rPr>
        <w:t>Sankaranarayanan</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(2009) and </w:t>
      </w:r>
      <w:proofErr w:type="spellStart"/>
      <w:r w:rsidRPr="008051C8">
        <w:rPr>
          <w:rFonts w:eastAsia="Times New Roman"/>
          <w:sz w:val="24"/>
          <w:szCs w:val="24"/>
          <w:lang w:val="en-US"/>
        </w:rPr>
        <w:t>Tamarelle</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(2018) have documented that persistent HPV infection can gradually induce cellular transformation leading to cervical intraepithelial neoplasia. The strong statistical association in this study (χ² = 19.907, p &lt; 0.001) underscores the clinical importance of regular cytological surveillance, even in HPV-positive individuals with initially normal findings. Cytological screening, such as the Papanicolaou (PAP) smear, remains an effective, low-cost tool for early detection and timely intervention, especially in resource-limited settings.</w:t>
      </w:r>
    </w:p>
    <w:p w14:paraId="2B0CED0B" w14:textId="7ED85125"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Equally significant is the inverse relationship identified between HPV infection and </w:t>
      </w:r>
      <w:r w:rsidR="004F1C27" w:rsidRPr="004F1C27">
        <w:rPr>
          <w:rFonts w:eastAsia="Times New Roman"/>
          <w:i/>
          <w:iCs/>
          <w:sz w:val="24"/>
          <w:szCs w:val="24"/>
          <w:lang w:val="en-US"/>
        </w:rPr>
        <w:t>Lactobacilli</w:t>
      </w:r>
      <w:r w:rsidRPr="008051C8">
        <w:rPr>
          <w:rFonts w:eastAsia="Times New Roman"/>
          <w:sz w:val="24"/>
          <w:szCs w:val="24"/>
          <w:lang w:val="en-US"/>
        </w:rPr>
        <w:t xml:space="preserve"> abundance in the vaginal flora. The observation that 50% of HPV-positive women had no detectable </w:t>
      </w:r>
      <w:r w:rsidR="004F1C27" w:rsidRPr="004F1C27">
        <w:rPr>
          <w:rFonts w:eastAsia="Times New Roman"/>
          <w:i/>
          <w:iCs/>
          <w:sz w:val="24"/>
          <w:szCs w:val="24"/>
          <w:lang w:val="en-US"/>
        </w:rPr>
        <w:t>Lactobacilli</w:t>
      </w:r>
      <w:r w:rsidRPr="008051C8">
        <w:rPr>
          <w:rFonts w:eastAsia="Times New Roman"/>
          <w:sz w:val="24"/>
          <w:szCs w:val="24"/>
          <w:lang w:val="en-US"/>
        </w:rPr>
        <w:t xml:space="preserve"> suggests a state of vaginal dysbiosis that may compromise mucosal immunity and epithelial barrier function. This disruption in microbiota balance may create a more permissive environment for HPV acquisition and persistence. These findings are in line with those of </w:t>
      </w:r>
      <w:proofErr w:type="spellStart"/>
      <w:r w:rsidRPr="008051C8">
        <w:rPr>
          <w:rFonts w:eastAsia="Times New Roman"/>
          <w:sz w:val="24"/>
          <w:szCs w:val="24"/>
          <w:lang w:val="en-US"/>
        </w:rPr>
        <w:t>Kyrgiou</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(2017) and </w:t>
      </w:r>
      <w:proofErr w:type="spellStart"/>
      <w:r w:rsidRPr="008051C8">
        <w:rPr>
          <w:rFonts w:eastAsia="Times New Roman"/>
          <w:sz w:val="24"/>
          <w:szCs w:val="24"/>
          <w:lang w:val="en-US"/>
        </w:rPr>
        <w:t>Santella</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(2022), who have highlighted the protective function of a </w:t>
      </w:r>
      <w:r w:rsidR="001B4069" w:rsidRPr="001B4069">
        <w:rPr>
          <w:rFonts w:eastAsia="Times New Roman"/>
          <w:i/>
          <w:iCs/>
          <w:sz w:val="24"/>
          <w:szCs w:val="24"/>
          <w:lang w:val="en-US"/>
        </w:rPr>
        <w:t>Lactobacillus</w:t>
      </w:r>
      <w:r w:rsidRPr="008051C8">
        <w:rPr>
          <w:rFonts w:eastAsia="Times New Roman"/>
          <w:sz w:val="24"/>
          <w:szCs w:val="24"/>
          <w:lang w:val="en-US"/>
        </w:rPr>
        <w:t xml:space="preserve">-dominated vaginal ecosystem. The acidic environment maintained by </w:t>
      </w:r>
      <w:r w:rsidR="004F1C27" w:rsidRPr="004F1C27">
        <w:rPr>
          <w:rFonts w:eastAsia="Times New Roman"/>
          <w:i/>
          <w:iCs/>
          <w:sz w:val="24"/>
          <w:szCs w:val="24"/>
          <w:lang w:val="en-US"/>
        </w:rPr>
        <w:t>Lactobacilli</w:t>
      </w:r>
      <w:r w:rsidRPr="008051C8">
        <w:rPr>
          <w:rFonts w:eastAsia="Times New Roman"/>
          <w:sz w:val="24"/>
          <w:szCs w:val="24"/>
          <w:lang w:val="en-US"/>
        </w:rPr>
        <w:t xml:space="preserve">, alongside the production of hydrogen peroxide and other antimicrobial substances, is known to inhibit pathogenic colonization and support immune homeostasis (Ravel </w:t>
      </w:r>
      <w:r w:rsidR="004F1C27" w:rsidRPr="004F1C27">
        <w:rPr>
          <w:rFonts w:eastAsia="Times New Roman"/>
          <w:i/>
          <w:iCs/>
          <w:sz w:val="24"/>
          <w:szCs w:val="24"/>
          <w:lang w:val="en-US"/>
        </w:rPr>
        <w:t>et al.,</w:t>
      </w:r>
      <w:r w:rsidRPr="008051C8">
        <w:rPr>
          <w:rFonts w:eastAsia="Times New Roman"/>
          <w:sz w:val="24"/>
          <w:szCs w:val="24"/>
          <w:lang w:val="en-US"/>
        </w:rPr>
        <w:t xml:space="preserve"> 2013; Mitra </w:t>
      </w:r>
      <w:r w:rsidR="004F1C27" w:rsidRPr="004F1C27">
        <w:rPr>
          <w:rFonts w:eastAsia="Times New Roman"/>
          <w:i/>
          <w:iCs/>
          <w:sz w:val="24"/>
          <w:szCs w:val="24"/>
          <w:lang w:val="en-US"/>
        </w:rPr>
        <w:t>et al.,</w:t>
      </w:r>
      <w:r w:rsidRPr="008051C8">
        <w:rPr>
          <w:rFonts w:eastAsia="Times New Roman"/>
          <w:sz w:val="24"/>
          <w:szCs w:val="24"/>
          <w:lang w:val="en-US"/>
        </w:rPr>
        <w:t xml:space="preserve"> 2020). In contrast, the absence of these protective bacteria has been associated with higher inflammatory markers and epithelial susceptibility, contributing to HPV pathogenesis.</w:t>
      </w:r>
    </w:p>
    <w:p w14:paraId="3C4E3642" w14:textId="3DFB9399"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t xml:space="preserve">Further supporting these results is the clear association observed between </w:t>
      </w:r>
      <w:r w:rsidR="004F1C27" w:rsidRPr="004F1C27">
        <w:rPr>
          <w:rFonts w:eastAsia="Times New Roman"/>
          <w:i/>
          <w:iCs/>
          <w:sz w:val="24"/>
          <w:szCs w:val="24"/>
          <w:lang w:val="en-US"/>
        </w:rPr>
        <w:t>Lactobacilli</w:t>
      </w:r>
      <w:r w:rsidRPr="008051C8">
        <w:rPr>
          <w:rFonts w:eastAsia="Times New Roman"/>
          <w:sz w:val="24"/>
          <w:szCs w:val="24"/>
          <w:lang w:val="en-US"/>
        </w:rPr>
        <w:t xml:space="preserve"> growth levels and cervical cytological outcomes. Women with heavy or moderate </w:t>
      </w:r>
      <w:r w:rsidR="004F1C27" w:rsidRPr="004F1C27">
        <w:rPr>
          <w:rFonts w:eastAsia="Times New Roman"/>
          <w:i/>
          <w:iCs/>
          <w:sz w:val="24"/>
          <w:szCs w:val="24"/>
          <w:lang w:val="en-US"/>
        </w:rPr>
        <w:t>Lactobacilli</w:t>
      </w:r>
      <w:r w:rsidRPr="008051C8">
        <w:rPr>
          <w:rFonts w:eastAsia="Times New Roman"/>
          <w:sz w:val="24"/>
          <w:szCs w:val="24"/>
          <w:lang w:val="en-US"/>
        </w:rPr>
        <w:t xml:space="preserve"> presence predominantly exhibited normal cytological profiles, whereas those with scanty or absent </w:t>
      </w:r>
      <w:r w:rsidR="004F1C27" w:rsidRPr="004F1C27">
        <w:rPr>
          <w:rFonts w:eastAsia="Times New Roman"/>
          <w:i/>
          <w:iCs/>
          <w:sz w:val="24"/>
          <w:szCs w:val="24"/>
          <w:lang w:val="en-US"/>
        </w:rPr>
        <w:t>Lactobacilli</w:t>
      </w:r>
      <w:r w:rsidRPr="008051C8">
        <w:rPr>
          <w:rFonts w:eastAsia="Times New Roman"/>
          <w:sz w:val="24"/>
          <w:szCs w:val="24"/>
          <w:lang w:val="en-US"/>
        </w:rPr>
        <w:t xml:space="preserve"> were more likely to present with ASCUS or LGSIL. This reinforces the hypothesis that </w:t>
      </w:r>
      <w:r w:rsidR="004F1C27" w:rsidRPr="004F1C27">
        <w:rPr>
          <w:rFonts w:eastAsia="Times New Roman"/>
          <w:i/>
          <w:iCs/>
          <w:sz w:val="24"/>
          <w:szCs w:val="24"/>
          <w:lang w:val="en-US"/>
        </w:rPr>
        <w:t>Lactobacilli</w:t>
      </w:r>
      <w:r w:rsidRPr="008051C8">
        <w:rPr>
          <w:rFonts w:eastAsia="Times New Roman"/>
          <w:sz w:val="24"/>
          <w:szCs w:val="24"/>
          <w:lang w:val="en-US"/>
        </w:rPr>
        <w:t xml:space="preserve"> play a protective role not only in HPV prevention but also in mitigating the progression of HPV-related cervical abnormalities. This pattern corroborates findings from Yang </w:t>
      </w:r>
      <w:r w:rsidR="005C2FE8" w:rsidRPr="005C2FE8">
        <w:rPr>
          <w:rFonts w:eastAsia="Times New Roman"/>
          <w:i/>
          <w:iCs/>
          <w:sz w:val="24"/>
          <w:szCs w:val="24"/>
          <w:lang w:val="en-US"/>
        </w:rPr>
        <w:t>et al.</w:t>
      </w:r>
      <w:r w:rsidRPr="008051C8">
        <w:rPr>
          <w:rFonts w:eastAsia="Times New Roman"/>
          <w:sz w:val="24"/>
          <w:szCs w:val="24"/>
          <w:lang w:val="en-US"/>
        </w:rPr>
        <w:t xml:space="preserve"> (2022) and Leon-Gomez and Romero (2025), who documented that vaginal dysbiosis—characterized by a decline in beneficial </w:t>
      </w:r>
      <w:r w:rsidR="004F1C27" w:rsidRPr="004F1C27">
        <w:rPr>
          <w:rFonts w:eastAsia="Times New Roman"/>
          <w:i/>
          <w:iCs/>
          <w:sz w:val="24"/>
          <w:szCs w:val="24"/>
          <w:lang w:val="en-US"/>
        </w:rPr>
        <w:t>Lactobacilli</w:t>
      </w:r>
      <w:r w:rsidRPr="008051C8">
        <w:rPr>
          <w:rFonts w:eastAsia="Times New Roman"/>
          <w:sz w:val="24"/>
          <w:szCs w:val="24"/>
          <w:lang w:val="en-US"/>
        </w:rPr>
        <w:t xml:space="preserve">—correlates with higher HPV viral loads and more advanced cervical lesions. The protective mechanisms of </w:t>
      </w:r>
      <w:r w:rsidR="004F1C27" w:rsidRPr="004F1C27">
        <w:rPr>
          <w:rFonts w:eastAsia="Times New Roman"/>
          <w:i/>
          <w:iCs/>
          <w:sz w:val="24"/>
          <w:szCs w:val="24"/>
          <w:lang w:val="en-US"/>
        </w:rPr>
        <w:t>Lactobacilli</w:t>
      </w:r>
      <w:r w:rsidRPr="008051C8">
        <w:rPr>
          <w:rFonts w:eastAsia="Times New Roman"/>
          <w:sz w:val="24"/>
          <w:szCs w:val="24"/>
          <w:lang w:val="en-US"/>
        </w:rPr>
        <w:t xml:space="preserve"> include competitive exclusion of pathogens, downregulation of pro-inflammatory pathways, and promotion of epithelial repair, all of which are vital in maintaining cervical homeostasis.</w:t>
      </w:r>
    </w:p>
    <w:p w14:paraId="32FCDB86" w14:textId="5DDB0724" w:rsidR="008051C8" w:rsidRPr="008051C8" w:rsidRDefault="008051C8" w:rsidP="005C2FE8">
      <w:pPr>
        <w:spacing w:before="100" w:beforeAutospacing="1" w:after="100" w:afterAutospacing="1" w:line="360" w:lineRule="auto"/>
        <w:jc w:val="both"/>
        <w:outlineLvl w:val="1"/>
        <w:rPr>
          <w:rFonts w:eastAsia="Times New Roman"/>
          <w:sz w:val="24"/>
          <w:szCs w:val="24"/>
          <w:lang w:val="en-US"/>
        </w:rPr>
      </w:pPr>
      <w:r w:rsidRPr="008051C8">
        <w:rPr>
          <w:rFonts w:eastAsia="Times New Roman"/>
          <w:sz w:val="24"/>
          <w:szCs w:val="24"/>
          <w:lang w:val="en-US"/>
        </w:rPr>
        <w:lastRenderedPageBreak/>
        <w:t xml:space="preserve">Overall, the results from this study align with meta-analytic conclusions by </w:t>
      </w:r>
      <w:proofErr w:type="spellStart"/>
      <w:r w:rsidRPr="008051C8">
        <w:rPr>
          <w:rFonts w:eastAsia="Times New Roman"/>
          <w:sz w:val="24"/>
          <w:szCs w:val="24"/>
          <w:lang w:val="en-US"/>
        </w:rPr>
        <w:t>Tamarelle</w:t>
      </w:r>
      <w:proofErr w:type="spellEnd"/>
      <w:r w:rsidRPr="008051C8">
        <w:rPr>
          <w:rFonts w:eastAsia="Times New Roman"/>
          <w:sz w:val="24"/>
          <w:szCs w:val="24"/>
          <w:lang w:val="en-US"/>
        </w:rPr>
        <w:t xml:space="preserve"> </w:t>
      </w:r>
      <w:r w:rsidR="005C2FE8" w:rsidRPr="005C2FE8">
        <w:rPr>
          <w:rFonts w:eastAsia="Times New Roman"/>
          <w:i/>
          <w:iCs/>
          <w:sz w:val="24"/>
          <w:szCs w:val="24"/>
          <w:lang w:val="en-US"/>
        </w:rPr>
        <w:t>et al.</w:t>
      </w:r>
      <w:r w:rsidRPr="008051C8">
        <w:rPr>
          <w:rFonts w:eastAsia="Times New Roman"/>
          <w:sz w:val="24"/>
          <w:szCs w:val="24"/>
          <w:lang w:val="en-US"/>
        </w:rPr>
        <w:t xml:space="preserve"> (2018), affirming that the composition of vaginal microbiota plays a crucial role in influencing HPV infection dynamics and the trajectory of cervical disease. The data from Niger State contribute to the growing body of global evidence supporting the integration of microbiota assessment into cervical cancer prevention frameworks. Given the rising burden of cervical cancer in sub-Saharan Africa and the limited availability of HPV vaccination and advanced screening tools, interventions that promote a healthy vaginal microbiome—such as probiotic therapies or microbiota-focused public health initiatives—could serve as valuable adjuncts to existing preventive measures.</w:t>
      </w:r>
    </w:p>
    <w:p w14:paraId="16736427" w14:textId="3895D8E2" w:rsidR="002F2A7E" w:rsidRPr="008E5F0D" w:rsidRDefault="008E5F0D" w:rsidP="008E5F0D">
      <w:pPr>
        <w:pStyle w:val="ListParagraph"/>
        <w:numPr>
          <w:ilvl w:val="0"/>
          <w:numId w:val="3"/>
        </w:numPr>
        <w:spacing w:before="100" w:beforeAutospacing="1" w:after="100" w:afterAutospacing="1" w:line="240" w:lineRule="auto"/>
        <w:ind w:left="360"/>
        <w:jc w:val="both"/>
        <w:outlineLvl w:val="1"/>
        <w:rPr>
          <w:rFonts w:eastAsia="Times New Roman"/>
          <w:b/>
          <w:bCs/>
          <w:sz w:val="36"/>
          <w:szCs w:val="36"/>
          <w:lang w:val="en-US"/>
        </w:rPr>
      </w:pPr>
      <w:r w:rsidRPr="008E5F0D">
        <w:rPr>
          <w:rFonts w:eastAsia="Times New Roman"/>
          <w:b/>
          <w:bCs/>
          <w:sz w:val="24"/>
          <w:szCs w:val="24"/>
          <w:lang w:val="en-US"/>
        </w:rPr>
        <w:t>CONCLUSION</w:t>
      </w:r>
    </w:p>
    <w:p w14:paraId="6BFA42D9" w14:textId="42AE24EB" w:rsidR="00667A40" w:rsidRDefault="00667A40" w:rsidP="00667A40">
      <w:pPr>
        <w:spacing w:line="360" w:lineRule="auto"/>
        <w:jc w:val="both"/>
        <w:rPr>
          <w:rFonts w:eastAsia="Times New Roman"/>
          <w:sz w:val="24"/>
          <w:szCs w:val="24"/>
        </w:rPr>
      </w:pPr>
      <w:r w:rsidRPr="00667A40">
        <w:rPr>
          <w:rFonts w:eastAsia="Times New Roman"/>
          <w:sz w:val="24"/>
          <w:szCs w:val="24"/>
        </w:rPr>
        <w:t xml:space="preserve">This study highlights a significant relationship between HPV infection and cervical cytological abnormalities among women in Niger State, Nigeria. The data suggest that HPV-positive women are more likely to exhibit cytological changes ranging from ASCUS to low-grade lesions. Importantly, the presence and abundance of </w:t>
      </w:r>
      <w:r w:rsidR="004F1C27" w:rsidRPr="004F1C27">
        <w:rPr>
          <w:rFonts w:eastAsia="Times New Roman"/>
          <w:i/>
          <w:iCs/>
          <w:sz w:val="24"/>
          <w:szCs w:val="24"/>
        </w:rPr>
        <w:t>Lactobacilli</w:t>
      </w:r>
      <w:r w:rsidRPr="00667A40">
        <w:rPr>
          <w:rFonts w:eastAsia="Times New Roman"/>
          <w:sz w:val="24"/>
          <w:szCs w:val="24"/>
        </w:rPr>
        <w:t xml:space="preserve"> in the vaginal microbiota were significantly associated with HPV infection and cervical cytology outcomes, with higher </w:t>
      </w:r>
      <w:r w:rsidR="004F1C27" w:rsidRPr="004F1C27">
        <w:rPr>
          <w:rFonts w:eastAsia="Times New Roman"/>
          <w:i/>
          <w:iCs/>
          <w:sz w:val="24"/>
          <w:szCs w:val="24"/>
        </w:rPr>
        <w:t>Lactobacilli</w:t>
      </w:r>
      <w:r w:rsidRPr="00667A40">
        <w:rPr>
          <w:rFonts w:eastAsia="Times New Roman"/>
          <w:sz w:val="24"/>
          <w:szCs w:val="24"/>
        </w:rPr>
        <w:t xml:space="preserve"> levels linked to normal cervical cytology. These findings support the hypothesis that a healthy vaginal microbiome, dominated by </w:t>
      </w:r>
      <w:r w:rsidR="004F1C27" w:rsidRPr="004F1C27">
        <w:rPr>
          <w:rFonts w:eastAsia="Times New Roman"/>
          <w:i/>
          <w:iCs/>
          <w:sz w:val="24"/>
          <w:szCs w:val="24"/>
        </w:rPr>
        <w:t>Lactobacilli</w:t>
      </w:r>
      <w:r w:rsidRPr="00667A40">
        <w:rPr>
          <w:rFonts w:eastAsia="Times New Roman"/>
          <w:sz w:val="24"/>
          <w:szCs w:val="24"/>
        </w:rPr>
        <w:t>, may confer protective effects against HPV persistence and progression to cervical lesions. Therefore, interventions aimed at maintaining or restoring a balanced vaginal microbiota could complement existing cervical cancer screening programs. Future research should explore longitudinal relationships and mechanisms underlying the interplay between vaginal microbiota and HPV pathogenesis to inform targeted prevention strategies in Nigerian women.</w:t>
      </w:r>
    </w:p>
    <w:p w14:paraId="2BE7417A" w14:textId="78B0D06A" w:rsidR="002F2A7E" w:rsidRPr="008E5F0D" w:rsidRDefault="008E5F0D" w:rsidP="008E5F0D">
      <w:pPr>
        <w:pStyle w:val="ListParagraph"/>
        <w:numPr>
          <w:ilvl w:val="0"/>
          <w:numId w:val="3"/>
        </w:numPr>
        <w:spacing w:line="240" w:lineRule="auto"/>
        <w:ind w:left="360"/>
        <w:jc w:val="both"/>
        <w:rPr>
          <w:b/>
          <w:bCs/>
          <w:sz w:val="36"/>
          <w:szCs w:val="36"/>
          <w:lang w:val="en-US"/>
        </w:rPr>
      </w:pPr>
      <w:r w:rsidRPr="008E5F0D">
        <w:rPr>
          <w:b/>
          <w:bCs/>
          <w:sz w:val="24"/>
          <w:szCs w:val="24"/>
          <w:lang w:val="en-US"/>
        </w:rPr>
        <w:t>RECOMMENDATION</w:t>
      </w:r>
    </w:p>
    <w:p w14:paraId="2410DD14"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Based on the findings of this study, it is recommended that vaginal microbiota assessment, particularly the evaluation of Lactobacilli abundance, be integrated into existing cervical cancer screening programs. This integration could enable early identification of women at increased risk of cervical cytological abnormalities and allow for more targeted and effective interventions. Incorporating vaginal health assessment as part of routine screening may enhance the overall efficacy of HPV management strategies.</w:t>
      </w:r>
    </w:p>
    <w:p w14:paraId="6F3EB0B2"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 xml:space="preserve">Furthermore, public health initiatives should explore and promote interventions aimed at restoring or maintaining a healthy vaginal microbiota. These may include the use of </w:t>
      </w:r>
      <w:r w:rsidRPr="00600398">
        <w:rPr>
          <w:rFonts w:eastAsia="Times New Roman"/>
          <w:sz w:val="24"/>
          <w:szCs w:val="24"/>
          <w:lang w:val="en-US"/>
        </w:rPr>
        <w:lastRenderedPageBreak/>
        <w:t>probiotics or culturally appropriate lifestyle modifications that support Lactobacilli dominance in the vaginal environment. Such strategies could potentially reduce HPV persistence and the progression to cervical lesions, contributing to improved reproductive health outcomes.</w:t>
      </w:r>
    </w:p>
    <w:p w14:paraId="4BE8E6BD"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Efforts to increase HPV vaccination coverage and expand access to routine cervical screening must continue, especially in resource-limited settings like Niger State. Alongside these clinical efforts, public education campaigns should be intensified to raise awareness about HPV infection, its relationship with cervical cancer, and the protective role of vaginal microbiota. Educating women about vaginal health and cervical cancer prevention is essential for encouraging timely screening and healthcare engagement.</w:t>
      </w:r>
    </w:p>
    <w:p w14:paraId="3AAF3907"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In addition, further research is warranted to better understand the complex interactions between vaginal microbiota and HPV infection. Longitudinal studies investigating the causal mechanisms by which Lactobacilli influence HPV persistence and cervical lesion development are necessary. Such research could pave the way for innovative microbiome-based diagnostic tools and therapeutic approaches tailored to local populations.</w:t>
      </w:r>
    </w:p>
    <w:p w14:paraId="7520455A"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Healthcare providers should also receive capacity building and training on the significance of vaginal microbiota in reproductive health and its implications for HPV infection and cervical cancer risk. Empowering healthcare workers with this knowledge will improve patient counseling, management, and holistic care.</w:t>
      </w:r>
    </w:p>
    <w:p w14:paraId="239DA369" w14:textId="77777777" w:rsidR="00600398" w:rsidRPr="00600398" w:rsidRDefault="00600398" w:rsidP="00600398">
      <w:pPr>
        <w:pStyle w:val="ListParagraph"/>
        <w:numPr>
          <w:ilvl w:val="0"/>
          <w:numId w:val="4"/>
        </w:numPr>
        <w:spacing w:before="100" w:beforeAutospacing="1" w:after="100" w:afterAutospacing="1" w:line="360" w:lineRule="auto"/>
        <w:jc w:val="both"/>
        <w:rPr>
          <w:rFonts w:eastAsia="Times New Roman"/>
          <w:sz w:val="24"/>
          <w:szCs w:val="24"/>
          <w:lang w:val="en-US"/>
        </w:rPr>
      </w:pPr>
      <w:r w:rsidRPr="00600398">
        <w:rPr>
          <w:rFonts w:eastAsia="Times New Roman"/>
          <w:sz w:val="24"/>
          <w:szCs w:val="24"/>
          <w:lang w:val="en-US"/>
        </w:rPr>
        <w:t>Lastly, community engagement and education programs should be developed to promote awareness of vaginal health and the importance of regular cervical screening. Addressing cultural barriers and reducing stigma surrounding gynecological health will be key to encouraging women to seek preventive care and participate actively in cervical cancer control efforts.</w:t>
      </w:r>
    </w:p>
    <w:p w14:paraId="58DCF4AF" w14:textId="77777777" w:rsidR="00600398" w:rsidRDefault="00600398" w:rsidP="00AF467D">
      <w:pPr>
        <w:spacing w:before="100" w:beforeAutospacing="1" w:after="100" w:afterAutospacing="1" w:line="240" w:lineRule="auto"/>
        <w:rPr>
          <w:rFonts w:eastAsia="Times New Roman"/>
          <w:b/>
          <w:bCs/>
          <w:sz w:val="24"/>
          <w:szCs w:val="24"/>
          <w:lang w:val="en-US"/>
        </w:rPr>
      </w:pPr>
    </w:p>
    <w:p w14:paraId="37F3C158" w14:textId="77777777" w:rsidR="00600398" w:rsidRDefault="00600398" w:rsidP="00AF467D">
      <w:pPr>
        <w:spacing w:before="100" w:beforeAutospacing="1" w:after="100" w:afterAutospacing="1" w:line="240" w:lineRule="auto"/>
        <w:rPr>
          <w:rFonts w:eastAsia="Times New Roman"/>
          <w:b/>
          <w:bCs/>
          <w:sz w:val="24"/>
          <w:szCs w:val="24"/>
          <w:lang w:val="en-US"/>
        </w:rPr>
      </w:pPr>
    </w:p>
    <w:p w14:paraId="6A698E4D" w14:textId="77777777" w:rsidR="00600398" w:rsidRDefault="00600398" w:rsidP="00AF467D">
      <w:pPr>
        <w:spacing w:before="100" w:beforeAutospacing="1" w:after="100" w:afterAutospacing="1" w:line="240" w:lineRule="auto"/>
        <w:rPr>
          <w:rFonts w:eastAsia="Times New Roman"/>
          <w:b/>
          <w:bCs/>
          <w:sz w:val="24"/>
          <w:szCs w:val="24"/>
          <w:lang w:val="en-US"/>
        </w:rPr>
      </w:pPr>
    </w:p>
    <w:p w14:paraId="029AE242" w14:textId="77777777" w:rsidR="00600398" w:rsidRDefault="00600398" w:rsidP="00AF467D">
      <w:pPr>
        <w:spacing w:before="100" w:beforeAutospacing="1" w:after="100" w:afterAutospacing="1" w:line="240" w:lineRule="auto"/>
        <w:rPr>
          <w:rFonts w:eastAsia="Times New Roman"/>
          <w:b/>
          <w:bCs/>
          <w:sz w:val="24"/>
          <w:szCs w:val="24"/>
          <w:lang w:val="en-US"/>
        </w:rPr>
      </w:pPr>
    </w:p>
    <w:p w14:paraId="30EE265E" w14:textId="77777777" w:rsidR="00600398" w:rsidRDefault="00600398" w:rsidP="00AF467D">
      <w:pPr>
        <w:spacing w:before="100" w:beforeAutospacing="1" w:after="100" w:afterAutospacing="1" w:line="240" w:lineRule="auto"/>
        <w:rPr>
          <w:rFonts w:eastAsia="Times New Roman"/>
          <w:b/>
          <w:bCs/>
          <w:sz w:val="24"/>
          <w:szCs w:val="24"/>
          <w:lang w:val="en-US"/>
        </w:rPr>
      </w:pPr>
    </w:p>
    <w:p w14:paraId="77F7B018" w14:textId="1D4D1367" w:rsidR="00AF467D" w:rsidRPr="00AF467D" w:rsidRDefault="008E5F0D" w:rsidP="00AF467D">
      <w:pPr>
        <w:spacing w:before="100" w:beforeAutospacing="1" w:after="100" w:afterAutospacing="1" w:line="240" w:lineRule="auto"/>
        <w:rPr>
          <w:rFonts w:eastAsia="Times New Roman"/>
          <w:sz w:val="24"/>
          <w:szCs w:val="24"/>
          <w:lang w:val="en-US"/>
        </w:rPr>
      </w:pPr>
      <w:r w:rsidRPr="00703B40">
        <w:rPr>
          <w:rFonts w:eastAsia="Times New Roman"/>
          <w:b/>
          <w:bCs/>
          <w:sz w:val="24"/>
          <w:szCs w:val="24"/>
          <w:lang w:val="en-US"/>
        </w:rPr>
        <w:lastRenderedPageBreak/>
        <w:t>REFERENCES</w:t>
      </w:r>
    </w:p>
    <w:p w14:paraId="19AD521C"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proofErr w:type="spellStart"/>
      <w:r w:rsidRPr="00F60D23">
        <w:rPr>
          <w:rFonts w:eastAsia="Times New Roman"/>
          <w:color w:val="000000" w:themeColor="text1"/>
          <w:sz w:val="24"/>
          <w:szCs w:val="24"/>
        </w:rPr>
        <w:t>Arbyn</w:t>
      </w:r>
      <w:proofErr w:type="spellEnd"/>
      <w:r w:rsidRPr="00F60D23">
        <w:rPr>
          <w:rFonts w:eastAsia="Times New Roman"/>
          <w:color w:val="000000" w:themeColor="text1"/>
          <w:sz w:val="24"/>
          <w:szCs w:val="24"/>
        </w:rPr>
        <w:t xml:space="preserve">, M., </w:t>
      </w:r>
      <w:proofErr w:type="spellStart"/>
      <w:r w:rsidRPr="00F60D23">
        <w:rPr>
          <w:rFonts w:eastAsia="Times New Roman"/>
          <w:color w:val="000000" w:themeColor="text1"/>
          <w:sz w:val="24"/>
          <w:szCs w:val="24"/>
        </w:rPr>
        <w:t>Weiderpass</w:t>
      </w:r>
      <w:proofErr w:type="spellEnd"/>
      <w:r w:rsidRPr="00F60D23">
        <w:rPr>
          <w:rFonts w:eastAsia="Times New Roman"/>
          <w:color w:val="000000" w:themeColor="text1"/>
          <w:sz w:val="24"/>
          <w:szCs w:val="24"/>
        </w:rPr>
        <w:t xml:space="preserve">, E., Bruni, L., de </w:t>
      </w:r>
      <w:proofErr w:type="spellStart"/>
      <w:r w:rsidRPr="00F60D23">
        <w:rPr>
          <w:rFonts w:eastAsia="Times New Roman"/>
          <w:color w:val="000000" w:themeColor="text1"/>
          <w:sz w:val="24"/>
          <w:szCs w:val="24"/>
        </w:rPr>
        <w:t>Sanjosé</w:t>
      </w:r>
      <w:proofErr w:type="spellEnd"/>
      <w:r w:rsidRPr="00F60D23">
        <w:rPr>
          <w:rFonts w:eastAsia="Times New Roman"/>
          <w:color w:val="000000" w:themeColor="text1"/>
          <w:sz w:val="24"/>
          <w:szCs w:val="24"/>
        </w:rPr>
        <w:t xml:space="preserve">, S., Saraiya, M., </w:t>
      </w:r>
      <w:proofErr w:type="spellStart"/>
      <w:r w:rsidRPr="00F60D23">
        <w:rPr>
          <w:rFonts w:eastAsia="Times New Roman"/>
          <w:color w:val="000000" w:themeColor="text1"/>
          <w:sz w:val="24"/>
          <w:szCs w:val="24"/>
        </w:rPr>
        <w:t>Ferlay</w:t>
      </w:r>
      <w:proofErr w:type="spellEnd"/>
      <w:r w:rsidRPr="00F60D23">
        <w:rPr>
          <w:rFonts w:eastAsia="Times New Roman"/>
          <w:color w:val="000000" w:themeColor="text1"/>
          <w:sz w:val="24"/>
          <w:szCs w:val="24"/>
        </w:rPr>
        <w:t xml:space="preserve">, J., &amp; Bray, F. (2020). Estimates of incidence and mortality of cervical cancer in 2018: A worldwide analysis. </w:t>
      </w:r>
      <w:r w:rsidRPr="00F60D23">
        <w:rPr>
          <w:rFonts w:eastAsia="Times New Roman"/>
          <w:i/>
          <w:iCs/>
          <w:color w:val="000000" w:themeColor="text1"/>
          <w:sz w:val="24"/>
          <w:szCs w:val="24"/>
        </w:rPr>
        <w:t>The Lancet Global Health, 8</w:t>
      </w:r>
      <w:r w:rsidRPr="00F60D23">
        <w:rPr>
          <w:rFonts w:eastAsia="Times New Roman"/>
          <w:color w:val="000000" w:themeColor="text1"/>
          <w:sz w:val="24"/>
          <w:szCs w:val="24"/>
        </w:rPr>
        <w:t xml:space="preserve">(2), e191–e203. </w:t>
      </w:r>
      <w:hyperlink r:id="rId7" w:history="1">
        <w:r w:rsidRPr="00F60D23">
          <w:rPr>
            <w:rStyle w:val="Hyperlink"/>
            <w:rFonts w:eastAsia="Times New Roman"/>
            <w:color w:val="000000" w:themeColor="text1"/>
            <w:sz w:val="24"/>
            <w:szCs w:val="24"/>
          </w:rPr>
          <w:t>https://doi.org/10.1016/S2214-109X(19)30482-6</w:t>
        </w:r>
      </w:hyperlink>
    </w:p>
    <w:p w14:paraId="2933C9B9"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Bruni, L., </w:t>
      </w:r>
      <w:proofErr w:type="spellStart"/>
      <w:r w:rsidRPr="00F60D23">
        <w:rPr>
          <w:rFonts w:eastAsia="Times New Roman"/>
          <w:color w:val="000000" w:themeColor="text1"/>
          <w:sz w:val="24"/>
          <w:szCs w:val="24"/>
        </w:rPr>
        <w:t>Albero</w:t>
      </w:r>
      <w:proofErr w:type="spellEnd"/>
      <w:r w:rsidRPr="00F60D23">
        <w:rPr>
          <w:rFonts w:eastAsia="Times New Roman"/>
          <w:color w:val="000000" w:themeColor="text1"/>
          <w:sz w:val="24"/>
          <w:szCs w:val="24"/>
        </w:rPr>
        <w:t xml:space="preserve">, G., Serrano, B., Mena, M., Gómez, D., Muñoz, J., Bosch, F. X., &amp; de </w:t>
      </w:r>
      <w:proofErr w:type="spellStart"/>
      <w:r w:rsidRPr="00F60D23">
        <w:rPr>
          <w:rFonts w:eastAsia="Times New Roman"/>
          <w:color w:val="000000" w:themeColor="text1"/>
          <w:sz w:val="24"/>
          <w:szCs w:val="24"/>
        </w:rPr>
        <w:t>Sanjosé</w:t>
      </w:r>
      <w:proofErr w:type="spellEnd"/>
      <w:r w:rsidRPr="00F60D23">
        <w:rPr>
          <w:rFonts w:eastAsia="Times New Roman"/>
          <w:color w:val="000000" w:themeColor="text1"/>
          <w:sz w:val="24"/>
          <w:szCs w:val="24"/>
        </w:rPr>
        <w:t xml:space="preserve">, S. (2023). Human papillomavirus and related diseases in Nigeria: Summary report 2023. ICO/IARC Information Centre on HPV and Cancer (HPV Information Centre). </w:t>
      </w:r>
      <w:hyperlink r:id="rId8" w:tgtFrame="_new" w:history="1">
        <w:r w:rsidRPr="00F60D23">
          <w:rPr>
            <w:rFonts w:eastAsia="Times New Roman"/>
            <w:color w:val="000000" w:themeColor="text1"/>
            <w:sz w:val="24"/>
            <w:szCs w:val="24"/>
            <w:u w:val="single"/>
          </w:rPr>
          <w:t>https://hpvcentre.net/statistics/reports/NGA.pdf</w:t>
        </w:r>
      </w:hyperlink>
      <w:r w:rsidRPr="00F60D23">
        <w:rPr>
          <w:rFonts w:eastAsia="Times New Roman"/>
          <w:color w:val="000000" w:themeColor="text1"/>
          <w:sz w:val="24"/>
          <w:szCs w:val="24"/>
        </w:rPr>
        <w:t>​</w:t>
      </w:r>
    </w:p>
    <w:p w14:paraId="42CE97F9"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de </w:t>
      </w:r>
      <w:proofErr w:type="spellStart"/>
      <w:r w:rsidRPr="00F60D23">
        <w:rPr>
          <w:rFonts w:eastAsia="Times New Roman"/>
          <w:color w:val="000000" w:themeColor="text1"/>
          <w:sz w:val="24"/>
          <w:szCs w:val="24"/>
        </w:rPr>
        <w:t>Sanjosé</w:t>
      </w:r>
      <w:proofErr w:type="spellEnd"/>
      <w:r w:rsidRPr="00F60D23">
        <w:rPr>
          <w:rFonts w:eastAsia="Times New Roman"/>
          <w:color w:val="000000" w:themeColor="text1"/>
          <w:sz w:val="24"/>
          <w:szCs w:val="24"/>
        </w:rPr>
        <w:t xml:space="preserve">, S., </w:t>
      </w:r>
      <w:proofErr w:type="spellStart"/>
      <w:r w:rsidRPr="00F60D23">
        <w:rPr>
          <w:rFonts w:eastAsia="Times New Roman"/>
          <w:color w:val="000000" w:themeColor="text1"/>
          <w:sz w:val="24"/>
          <w:szCs w:val="24"/>
        </w:rPr>
        <w:t>Brotons</w:t>
      </w:r>
      <w:proofErr w:type="spellEnd"/>
      <w:r w:rsidRPr="00F60D23">
        <w:rPr>
          <w:rFonts w:eastAsia="Times New Roman"/>
          <w:color w:val="000000" w:themeColor="text1"/>
          <w:sz w:val="24"/>
          <w:szCs w:val="24"/>
        </w:rPr>
        <w:t xml:space="preserve">, M., &amp; </w:t>
      </w:r>
      <w:proofErr w:type="spellStart"/>
      <w:r w:rsidRPr="00F60D23">
        <w:rPr>
          <w:rFonts w:eastAsia="Times New Roman"/>
          <w:color w:val="000000" w:themeColor="text1"/>
          <w:sz w:val="24"/>
          <w:szCs w:val="24"/>
        </w:rPr>
        <w:t>Pavón</w:t>
      </w:r>
      <w:proofErr w:type="spellEnd"/>
      <w:r w:rsidRPr="00F60D23">
        <w:rPr>
          <w:rFonts w:eastAsia="Times New Roman"/>
          <w:color w:val="000000" w:themeColor="text1"/>
          <w:sz w:val="24"/>
          <w:szCs w:val="24"/>
        </w:rPr>
        <w:t xml:space="preserve">, M. A. (2018). The natural history of human papillomavirus infection. </w:t>
      </w:r>
      <w:r w:rsidRPr="00F60D23">
        <w:rPr>
          <w:rFonts w:eastAsia="Times New Roman"/>
          <w:i/>
          <w:iCs/>
          <w:color w:val="000000" w:themeColor="text1"/>
          <w:sz w:val="24"/>
          <w:szCs w:val="24"/>
        </w:rPr>
        <w:t>Best Practice &amp; Research Clinical Obstetrics &amp; Gynaecology, 47</w:t>
      </w:r>
      <w:r w:rsidRPr="00F60D23">
        <w:rPr>
          <w:rFonts w:eastAsia="Times New Roman"/>
          <w:color w:val="000000" w:themeColor="text1"/>
          <w:sz w:val="24"/>
          <w:szCs w:val="24"/>
        </w:rPr>
        <w:t xml:space="preserve">, 2–13. </w:t>
      </w:r>
      <w:hyperlink r:id="rId9" w:tgtFrame="_new" w:history="1">
        <w:r w:rsidRPr="00F60D23">
          <w:rPr>
            <w:rFonts w:eastAsia="Times New Roman"/>
            <w:color w:val="000000" w:themeColor="text1"/>
            <w:sz w:val="24"/>
            <w:szCs w:val="24"/>
            <w:u w:val="single"/>
          </w:rPr>
          <w:t>https://doi.org/10.1016/j.bpobgyn.2017.08.015</w:t>
        </w:r>
      </w:hyperlink>
      <w:r w:rsidRPr="00F60D23">
        <w:rPr>
          <w:rFonts w:eastAsia="Times New Roman"/>
          <w:color w:val="000000" w:themeColor="text1"/>
          <w:sz w:val="24"/>
          <w:szCs w:val="24"/>
        </w:rPr>
        <w:t>​</w:t>
      </w:r>
    </w:p>
    <w:p w14:paraId="0EF86069"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2" w:name="_Hlk199282598"/>
      <w:proofErr w:type="spellStart"/>
      <w:r w:rsidRPr="00F60D23">
        <w:rPr>
          <w:rFonts w:eastAsia="Times New Roman"/>
          <w:color w:val="000000" w:themeColor="text1"/>
          <w:sz w:val="24"/>
          <w:szCs w:val="24"/>
        </w:rPr>
        <w:t>Kyrgiou</w:t>
      </w:r>
      <w:proofErr w:type="spellEnd"/>
      <w:r w:rsidRPr="00F60D23">
        <w:rPr>
          <w:rFonts w:eastAsia="Times New Roman"/>
          <w:color w:val="000000" w:themeColor="text1"/>
          <w:sz w:val="24"/>
          <w:szCs w:val="24"/>
        </w:rPr>
        <w:t xml:space="preserve">, M., </w:t>
      </w:r>
      <w:proofErr w:type="spellStart"/>
      <w:r w:rsidRPr="00F60D23">
        <w:rPr>
          <w:rFonts w:eastAsia="Times New Roman"/>
          <w:color w:val="000000" w:themeColor="text1"/>
          <w:sz w:val="24"/>
          <w:szCs w:val="24"/>
        </w:rPr>
        <w:t>Moscicki</w:t>
      </w:r>
      <w:proofErr w:type="spellEnd"/>
      <w:r w:rsidRPr="00F60D23">
        <w:rPr>
          <w:rFonts w:eastAsia="Times New Roman"/>
          <w:color w:val="000000" w:themeColor="text1"/>
          <w:sz w:val="24"/>
          <w:szCs w:val="24"/>
        </w:rPr>
        <w:t xml:space="preserve">, A. B., </w:t>
      </w:r>
      <w:proofErr w:type="spellStart"/>
      <w:r w:rsidRPr="00F60D23">
        <w:rPr>
          <w:rFonts w:eastAsia="Times New Roman"/>
          <w:color w:val="000000" w:themeColor="text1"/>
          <w:sz w:val="24"/>
          <w:szCs w:val="24"/>
        </w:rPr>
        <w:t>Koliopoulos</w:t>
      </w:r>
      <w:proofErr w:type="spellEnd"/>
      <w:r w:rsidRPr="00F60D23">
        <w:rPr>
          <w:rFonts w:eastAsia="Times New Roman"/>
          <w:color w:val="000000" w:themeColor="text1"/>
          <w:sz w:val="24"/>
          <w:szCs w:val="24"/>
        </w:rPr>
        <w:t xml:space="preserve">, G., Martin-Hirsch, P., &amp; </w:t>
      </w:r>
      <w:proofErr w:type="spellStart"/>
      <w:r w:rsidRPr="00F60D23">
        <w:rPr>
          <w:rFonts w:eastAsia="Times New Roman"/>
          <w:color w:val="000000" w:themeColor="text1"/>
          <w:sz w:val="24"/>
          <w:szCs w:val="24"/>
        </w:rPr>
        <w:t>Arbyn</w:t>
      </w:r>
      <w:proofErr w:type="spellEnd"/>
      <w:r w:rsidRPr="00F60D23">
        <w:rPr>
          <w:rFonts w:eastAsia="Times New Roman"/>
          <w:color w:val="000000" w:themeColor="text1"/>
          <w:sz w:val="24"/>
          <w:szCs w:val="24"/>
        </w:rPr>
        <w:t xml:space="preserve">, M. (2017). Does the vaginal microbiota play a role in the development of cervical cancer? </w:t>
      </w:r>
      <w:r w:rsidRPr="00F60D23">
        <w:rPr>
          <w:rFonts w:eastAsia="Times New Roman"/>
          <w:i/>
          <w:iCs/>
          <w:color w:val="000000" w:themeColor="text1"/>
          <w:sz w:val="24"/>
          <w:szCs w:val="24"/>
        </w:rPr>
        <w:t>Translational Research, 179</w:t>
      </w:r>
      <w:r w:rsidRPr="00F60D23">
        <w:rPr>
          <w:rFonts w:eastAsia="Times New Roman"/>
          <w:color w:val="000000" w:themeColor="text1"/>
          <w:sz w:val="24"/>
          <w:szCs w:val="24"/>
        </w:rPr>
        <w:t xml:space="preserve">, 168–182. </w:t>
      </w:r>
      <w:hyperlink r:id="rId10" w:tgtFrame="_new" w:history="1">
        <w:r w:rsidRPr="00F60D23">
          <w:rPr>
            <w:rFonts w:eastAsia="Times New Roman"/>
            <w:color w:val="000000" w:themeColor="text1"/>
            <w:sz w:val="24"/>
            <w:szCs w:val="24"/>
            <w:u w:val="single"/>
          </w:rPr>
          <w:t>https://doi.org/10.1016/j.trsl.2016.07.004</w:t>
        </w:r>
      </w:hyperlink>
      <w:r w:rsidRPr="00F60D23">
        <w:rPr>
          <w:rFonts w:eastAsia="Times New Roman"/>
          <w:color w:val="000000" w:themeColor="text1"/>
          <w:sz w:val="24"/>
          <w:szCs w:val="24"/>
        </w:rPr>
        <w:t>​</w:t>
      </w:r>
    </w:p>
    <w:p w14:paraId="699743A1"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3" w:name="_Hlk199288673"/>
      <w:bookmarkEnd w:id="2"/>
      <w:r w:rsidRPr="00F60D23">
        <w:rPr>
          <w:rFonts w:eastAsia="Times New Roman"/>
          <w:color w:val="000000" w:themeColor="text1"/>
          <w:sz w:val="24"/>
          <w:szCs w:val="24"/>
        </w:rPr>
        <w:t>Leon-Gomez, P., &amp; Romero</w:t>
      </w:r>
      <w:bookmarkEnd w:id="3"/>
      <w:r w:rsidRPr="00F60D23">
        <w:rPr>
          <w:rFonts w:eastAsia="Times New Roman"/>
          <w:color w:val="000000" w:themeColor="text1"/>
          <w:sz w:val="24"/>
          <w:szCs w:val="24"/>
        </w:rPr>
        <w:t>, V. I. (2025). Human papillomavirus, vaginal microbiota and metagenomics: The interplay between development and progression of cervical cancer. Frontiers in Microbiology, 15, 1515258. https://doi.org/10.3389/fmicb.2024.1515258</w:t>
      </w:r>
    </w:p>
    <w:p w14:paraId="6B0A6D20"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4" w:name="_Hlk199282618"/>
      <w:r w:rsidRPr="00F60D23">
        <w:rPr>
          <w:rFonts w:eastAsia="Times New Roman"/>
          <w:color w:val="000000" w:themeColor="text1"/>
          <w:sz w:val="24"/>
          <w:szCs w:val="24"/>
        </w:rPr>
        <w:t xml:space="preserve">Mitra, A., </w:t>
      </w:r>
      <w:proofErr w:type="spellStart"/>
      <w:r w:rsidRPr="00F60D23">
        <w:rPr>
          <w:rFonts w:eastAsia="Times New Roman"/>
          <w:color w:val="000000" w:themeColor="text1"/>
          <w:sz w:val="24"/>
          <w:szCs w:val="24"/>
        </w:rPr>
        <w:t>MacIntyre</w:t>
      </w:r>
      <w:proofErr w:type="spellEnd"/>
      <w:r w:rsidRPr="00F60D23">
        <w:rPr>
          <w:rFonts w:eastAsia="Times New Roman"/>
          <w:color w:val="000000" w:themeColor="text1"/>
          <w:sz w:val="24"/>
          <w:szCs w:val="24"/>
        </w:rPr>
        <w:t xml:space="preserve">, D. A., </w:t>
      </w:r>
      <w:proofErr w:type="spellStart"/>
      <w:r w:rsidRPr="00F60D23">
        <w:rPr>
          <w:rFonts w:eastAsia="Times New Roman"/>
          <w:color w:val="000000" w:themeColor="text1"/>
          <w:sz w:val="24"/>
          <w:szCs w:val="24"/>
        </w:rPr>
        <w:t>Ntritsos</w:t>
      </w:r>
      <w:proofErr w:type="spellEnd"/>
      <w:r w:rsidRPr="00F60D23">
        <w:rPr>
          <w:rFonts w:eastAsia="Times New Roman"/>
          <w:color w:val="000000" w:themeColor="text1"/>
          <w:sz w:val="24"/>
          <w:szCs w:val="24"/>
        </w:rPr>
        <w:t xml:space="preserve">, G., Smith, A., </w:t>
      </w:r>
      <w:proofErr w:type="spellStart"/>
      <w:r w:rsidRPr="00F60D23">
        <w:rPr>
          <w:rFonts w:eastAsia="Times New Roman"/>
          <w:color w:val="000000" w:themeColor="text1"/>
          <w:sz w:val="24"/>
          <w:szCs w:val="24"/>
        </w:rPr>
        <w:t>Tsilidis</w:t>
      </w:r>
      <w:proofErr w:type="spellEnd"/>
      <w:r w:rsidRPr="00F60D23">
        <w:rPr>
          <w:rFonts w:eastAsia="Times New Roman"/>
          <w:color w:val="000000" w:themeColor="text1"/>
          <w:sz w:val="24"/>
          <w:szCs w:val="24"/>
        </w:rPr>
        <w:t xml:space="preserve">, K. K., </w:t>
      </w:r>
      <w:proofErr w:type="spellStart"/>
      <w:r w:rsidRPr="00F60D23">
        <w:rPr>
          <w:rFonts w:eastAsia="Times New Roman"/>
          <w:color w:val="000000" w:themeColor="text1"/>
          <w:sz w:val="24"/>
          <w:szCs w:val="24"/>
        </w:rPr>
        <w:t>Marchesi</w:t>
      </w:r>
      <w:proofErr w:type="spellEnd"/>
      <w:r w:rsidRPr="00F60D23">
        <w:rPr>
          <w:rFonts w:eastAsia="Times New Roman"/>
          <w:color w:val="000000" w:themeColor="text1"/>
          <w:sz w:val="24"/>
          <w:szCs w:val="24"/>
        </w:rPr>
        <w:t xml:space="preserve">, J. R., &amp; </w:t>
      </w:r>
      <w:proofErr w:type="spellStart"/>
      <w:r w:rsidRPr="00F60D23">
        <w:rPr>
          <w:rFonts w:eastAsia="Times New Roman"/>
          <w:color w:val="000000" w:themeColor="text1"/>
          <w:sz w:val="24"/>
          <w:szCs w:val="24"/>
        </w:rPr>
        <w:t>Kyrgiou</w:t>
      </w:r>
      <w:proofErr w:type="spellEnd"/>
      <w:r w:rsidRPr="00F60D23">
        <w:rPr>
          <w:rFonts w:eastAsia="Times New Roman"/>
          <w:color w:val="000000" w:themeColor="text1"/>
          <w:sz w:val="24"/>
          <w:szCs w:val="24"/>
        </w:rPr>
        <w:t xml:space="preserve">, M. (2020). The vaginal microbiota associates with the regression of untreated cervical intraepithelial neoplasia 2 lesions. </w:t>
      </w:r>
      <w:r w:rsidRPr="00F60D23">
        <w:rPr>
          <w:rFonts w:eastAsia="Times New Roman"/>
          <w:i/>
          <w:iCs/>
          <w:color w:val="000000" w:themeColor="text1"/>
          <w:sz w:val="24"/>
          <w:szCs w:val="24"/>
        </w:rPr>
        <w:t>Nature Communications, 11</w:t>
      </w:r>
      <w:r w:rsidRPr="00F60D23">
        <w:rPr>
          <w:rFonts w:eastAsia="Times New Roman"/>
          <w:color w:val="000000" w:themeColor="text1"/>
          <w:sz w:val="24"/>
          <w:szCs w:val="24"/>
        </w:rPr>
        <w:t xml:space="preserve">, 1999. </w:t>
      </w:r>
      <w:hyperlink r:id="rId11" w:tgtFrame="_new" w:history="1">
        <w:r w:rsidRPr="00F60D23">
          <w:rPr>
            <w:rFonts w:eastAsia="Times New Roman"/>
            <w:color w:val="000000" w:themeColor="text1"/>
            <w:sz w:val="24"/>
            <w:szCs w:val="24"/>
            <w:u w:val="single"/>
          </w:rPr>
          <w:t>https://doi.org/10.1038/s41467-020-15856-y</w:t>
        </w:r>
      </w:hyperlink>
      <w:r w:rsidRPr="00F60D23">
        <w:rPr>
          <w:rFonts w:eastAsia="Times New Roman"/>
          <w:color w:val="000000" w:themeColor="text1"/>
          <w:sz w:val="24"/>
          <w:szCs w:val="24"/>
        </w:rPr>
        <w:t>​</w:t>
      </w:r>
      <w:bookmarkEnd w:id="4"/>
    </w:p>
    <w:p w14:paraId="0A094536"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5" w:name="_Hlk199288574"/>
      <w:proofErr w:type="spellStart"/>
      <w:r w:rsidRPr="00F60D23">
        <w:rPr>
          <w:rFonts w:eastAsia="Times New Roman"/>
          <w:color w:val="000000" w:themeColor="text1"/>
          <w:sz w:val="24"/>
          <w:szCs w:val="24"/>
        </w:rPr>
        <w:t>Orya</w:t>
      </w:r>
      <w:bookmarkEnd w:id="5"/>
      <w:proofErr w:type="spellEnd"/>
      <w:r w:rsidRPr="00F60D23">
        <w:rPr>
          <w:rFonts w:eastAsia="Times New Roman"/>
          <w:color w:val="000000" w:themeColor="text1"/>
          <w:sz w:val="24"/>
          <w:szCs w:val="24"/>
        </w:rPr>
        <w:t xml:space="preserve">, E. E., Bello, K. K., Sampson, S., </w:t>
      </w:r>
      <w:proofErr w:type="spellStart"/>
      <w:r w:rsidRPr="00F60D23">
        <w:rPr>
          <w:rFonts w:eastAsia="Times New Roman"/>
          <w:color w:val="000000" w:themeColor="text1"/>
          <w:sz w:val="24"/>
          <w:szCs w:val="24"/>
        </w:rPr>
        <w:t>Envuladu</w:t>
      </w:r>
      <w:proofErr w:type="spellEnd"/>
      <w:r w:rsidRPr="00F60D23">
        <w:rPr>
          <w:rFonts w:eastAsia="Times New Roman"/>
          <w:color w:val="000000" w:themeColor="text1"/>
          <w:sz w:val="24"/>
          <w:szCs w:val="24"/>
        </w:rPr>
        <w:t xml:space="preserve">, E. A., &amp; </w:t>
      </w:r>
      <w:proofErr w:type="spellStart"/>
      <w:r w:rsidRPr="00F60D23">
        <w:rPr>
          <w:rFonts w:eastAsia="Times New Roman"/>
          <w:color w:val="000000" w:themeColor="text1"/>
          <w:sz w:val="24"/>
          <w:szCs w:val="24"/>
        </w:rPr>
        <w:t>Okagbue</w:t>
      </w:r>
      <w:proofErr w:type="spellEnd"/>
      <w:r w:rsidRPr="00F60D23">
        <w:rPr>
          <w:rFonts w:eastAsia="Times New Roman"/>
          <w:color w:val="000000" w:themeColor="text1"/>
          <w:sz w:val="24"/>
          <w:szCs w:val="24"/>
        </w:rPr>
        <w:t xml:space="preserve">, H. I. (2024). Varying </w:t>
      </w:r>
      <w:proofErr w:type="spellStart"/>
      <w:r w:rsidRPr="00F60D23">
        <w:rPr>
          <w:rFonts w:eastAsia="Times New Roman"/>
          <w:color w:val="000000" w:themeColor="text1"/>
          <w:sz w:val="24"/>
          <w:szCs w:val="24"/>
        </w:rPr>
        <w:t>behavioral</w:t>
      </w:r>
      <w:proofErr w:type="spellEnd"/>
      <w:r w:rsidRPr="00F60D23">
        <w:rPr>
          <w:rFonts w:eastAsia="Times New Roman"/>
          <w:color w:val="000000" w:themeColor="text1"/>
          <w:sz w:val="24"/>
          <w:szCs w:val="24"/>
        </w:rPr>
        <w:t xml:space="preserve"> differences and correlates of HPV infection among young adolescents in Benue State, Nigeria. BMC Public Health, 24, Article 1548. https://doi.org/10.1186/s12889-024-18747-2</w:t>
      </w:r>
    </w:p>
    <w:p w14:paraId="20B0E157" w14:textId="77777777" w:rsidR="00D730AB" w:rsidRPr="00C15F7A" w:rsidRDefault="00D730AB" w:rsidP="00D730AB">
      <w:pPr>
        <w:spacing w:before="100" w:beforeAutospacing="1" w:after="100" w:afterAutospacing="1" w:line="240" w:lineRule="auto"/>
        <w:ind w:left="720" w:hanging="720"/>
        <w:jc w:val="both"/>
        <w:rPr>
          <w:rFonts w:eastAsia="Times New Roman"/>
          <w:color w:val="000000" w:themeColor="text1"/>
          <w:sz w:val="24"/>
          <w:szCs w:val="24"/>
          <w:lang w:val="en-US"/>
        </w:rPr>
      </w:pPr>
      <w:bookmarkStart w:id="6" w:name="_Hlk199281232"/>
      <w:r w:rsidRPr="00C15F7A">
        <w:rPr>
          <w:rFonts w:eastAsia="Times New Roman"/>
          <w:color w:val="000000" w:themeColor="text1"/>
          <w:sz w:val="24"/>
          <w:szCs w:val="24"/>
          <w:lang w:val="en-US"/>
        </w:rPr>
        <w:t>Paz-</w:t>
      </w:r>
      <w:proofErr w:type="spellStart"/>
      <w:r w:rsidRPr="00C15F7A">
        <w:rPr>
          <w:rFonts w:eastAsia="Times New Roman"/>
          <w:color w:val="000000" w:themeColor="text1"/>
          <w:sz w:val="24"/>
          <w:szCs w:val="24"/>
          <w:lang w:val="en-US"/>
        </w:rPr>
        <w:t>Silava</w:t>
      </w:r>
      <w:bookmarkEnd w:id="6"/>
      <w:proofErr w:type="spellEnd"/>
      <w:r w:rsidRPr="00C15F7A">
        <w:rPr>
          <w:rFonts w:eastAsia="Times New Roman"/>
          <w:color w:val="000000" w:themeColor="text1"/>
          <w:sz w:val="24"/>
          <w:szCs w:val="24"/>
          <w:lang w:val="en-US"/>
        </w:rPr>
        <w:t xml:space="preserve">, S. L. M., </w:t>
      </w:r>
      <w:proofErr w:type="spellStart"/>
      <w:r w:rsidRPr="00C15F7A">
        <w:rPr>
          <w:rFonts w:eastAsia="Times New Roman"/>
          <w:color w:val="000000" w:themeColor="text1"/>
          <w:sz w:val="24"/>
          <w:szCs w:val="24"/>
          <w:lang w:val="en-US"/>
        </w:rPr>
        <w:t>Tabios</w:t>
      </w:r>
      <w:proofErr w:type="spellEnd"/>
      <w:r w:rsidRPr="00C15F7A">
        <w:rPr>
          <w:rFonts w:eastAsia="Times New Roman"/>
          <w:color w:val="000000" w:themeColor="text1"/>
          <w:sz w:val="24"/>
          <w:szCs w:val="24"/>
          <w:lang w:val="en-US"/>
        </w:rPr>
        <w:t xml:space="preserve">, I. K. B., </w:t>
      </w:r>
      <w:proofErr w:type="spellStart"/>
      <w:r w:rsidRPr="00C15F7A">
        <w:rPr>
          <w:rFonts w:eastAsia="Times New Roman"/>
          <w:color w:val="000000" w:themeColor="text1"/>
          <w:sz w:val="24"/>
          <w:szCs w:val="24"/>
          <w:lang w:val="en-US"/>
        </w:rPr>
        <w:t>Tantengco</w:t>
      </w:r>
      <w:proofErr w:type="spellEnd"/>
      <w:r w:rsidRPr="00C15F7A">
        <w:rPr>
          <w:rFonts w:eastAsia="Times New Roman"/>
          <w:color w:val="000000" w:themeColor="text1"/>
          <w:sz w:val="24"/>
          <w:szCs w:val="24"/>
          <w:lang w:val="en-US"/>
        </w:rPr>
        <w:t xml:space="preserve">, O. A. G., </w:t>
      </w:r>
      <w:proofErr w:type="spellStart"/>
      <w:r w:rsidRPr="00C15F7A">
        <w:rPr>
          <w:rFonts w:eastAsia="Times New Roman"/>
          <w:color w:val="000000" w:themeColor="text1"/>
          <w:sz w:val="24"/>
          <w:szCs w:val="24"/>
          <w:lang w:val="en-US"/>
        </w:rPr>
        <w:t>Climacosa</w:t>
      </w:r>
      <w:proofErr w:type="spellEnd"/>
      <w:r w:rsidRPr="00C15F7A">
        <w:rPr>
          <w:rFonts w:eastAsia="Times New Roman"/>
          <w:color w:val="000000" w:themeColor="text1"/>
          <w:sz w:val="24"/>
          <w:szCs w:val="24"/>
          <w:lang w:val="en-US"/>
        </w:rPr>
        <w:t xml:space="preserve">, F. M. M., </w:t>
      </w:r>
      <w:proofErr w:type="spellStart"/>
      <w:r w:rsidRPr="00C15F7A">
        <w:rPr>
          <w:rFonts w:eastAsia="Times New Roman"/>
          <w:color w:val="000000" w:themeColor="text1"/>
          <w:sz w:val="24"/>
          <w:szCs w:val="24"/>
          <w:lang w:val="en-US"/>
        </w:rPr>
        <w:t>Velayo</w:t>
      </w:r>
      <w:proofErr w:type="spellEnd"/>
      <w:r w:rsidRPr="00C15F7A">
        <w:rPr>
          <w:rFonts w:eastAsia="Times New Roman"/>
          <w:color w:val="000000" w:themeColor="text1"/>
          <w:sz w:val="24"/>
          <w:szCs w:val="24"/>
          <w:lang w:val="en-US"/>
        </w:rPr>
        <w:t xml:space="preserve">, C. L., </w:t>
      </w:r>
      <w:proofErr w:type="spellStart"/>
      <w:r w:rsidRPr="00C15F7A">
        <w:rPr>
          <w:rFonts w:eastAsia="Times New Roman"/>
          <w:color w:val="000000" w:themeColor="text1"/>
          <w:sz w:val="24"/>
          <w:szCs w:val="24"/>
          <w:lang w:val="en-US"/>
        </w:rPr>
        <w:t>Lintao</w:t>
      </w:r>
      <w:proofErr w:type="spellEnd"/>
      <w:r w:rsidRPr="00C15F7A">
        <w:rPr>
          <w:rFonts w:eastAsia="Times New Roman"/>
          <w:color w:val="000000" w:themeColor="text1"/>
          <w:sz w:val="24"/>
          <w:szCs w:val="24"/>
          <w:lang w:val="en-US"/>
        </w:rPr>
        <w:t xml:space="preserve">, R. C. V., Cando, L. F. T., </w:t>
      </w:r>
      <w:proofErr w:type="spellStart"/>
      <w:r w:rsidRPr="00C15F7A">
        <w:rPr>
          <w:rFonts w:eastAsia="Times New Roman"/>
          <w:color w:val="000000" w:themeColor="text1"/>
          <w:sz w:val="24"/>
          <w:szCs w:val="24"/>
          <w:lang w:val="en-US"/>
        </w:rPr>
        <w:t>Perias</w:t>
      </w:r>
      <w:proofErr w:type="spellEnd"/>
      <w:r w:rsidRPr="00C15F7A">
        <w:rPr>
          <w:rFonts w:eastAsia="Times New Roman"/>
          <w:color w:val="000000" w:themeColor="text1"/>
          <w:sz w:val="24"/>
          <w:szCs w:val="24"/>
          <w:lang w:val="en-US"/>
        </w:rPr>
        <w:t xml:space="preserve">, G. A. S., </w:t>
      </w:r>
      <w:proofErr w:type="spellStart"/>
      <w:r w:rsidRPr="00C15F7A">
        <w:rPr>
          <w:rFonts w:eastAsia="Times New Roman"/>
          <w:color w:val="000000" w:themeColor="text1"/>
          <w:sz w:val="24"/>
          <w:szCs w:val="24"/>
          <w:lang w:val="en-US"/>
        </w:rPr>
        <w:t>Idolor</w:t>
      </w:r>
      <w:proofErr w:type="spellEnd"/>
      <w:r w:rsidRPr="00C15F7A">
        <w:rPr>
          <w:rFonts w:eastAsia="Times New Roman"/>
          <w:color w:val="000000" w:themeColor="text1"/>
          <w:sz w:val="24"/>
          <w:szCs w:val="24"/>
          <w:lang w:val="en-US"/>
        </w:rPr>
        <w:t xml:space="preserve">, M. I. C., Francisco, A. G., </w:t>
      </w:r>
      <w:proofErr w:type="spellStart"/>
      <w:r w:rsidRPr="00C15F7A">
        <w:rPr>
          <w:rFonts w:eastAsia="Times New Roman"/>
          <w:color w:val="000000" w:themeColor="text1"/>
          <w:sz w:val="24"/>
          <w:szCs w:val="24"/>
          <w:lang w:val="en-US"/>
        </w:rPr>
        <w:t>Catral</w:t>
      </w:r>
      <w:proofErr w:type="spellEnd"/>
      <w:r w:rsidRPr="00C15F7A">
        <w:rPr>
          <w:rFonts w:eastAsia="Times New Roman"/>
          <w:color w:val="000000" w:themeColor="text1"/>
          <w:sz w:val="24"/>
          <w:szCs w:val="24"/>
          <w:lang w:val="en-US"/>
        </w:rPr>
        <w:t xml:space="preserve">, C. D. M., </w:t>
      </w:r>
      <w:proofErr w:type="spellStart"/>
      <w:r w:rsidRPr="00C15F7A">
        <w:rPr>
          <w:rFonts w:eastAsia="Times New Roman"/>
          <w:color w:val="000000" w:themeColor="text1"/>
          <w:sz w:val="24"/>
          <w:szCs w:val="24"/>
          <w:lang w:val="en-US"/>
        </w:rPr>
        <w:t>Chiong</w:t>
      </w:r>
      <w:proofErr w:type="spellEnd"/>
      <w:r w:rsidRPr="00C15F7A">
        <w:rPr>
          <w:rFonts w:eastAsia="Times New Roman"/>
          <w:color w:val="000000" w:themeColor="text1"/>
          <w:sz w:val="24"/>
          <w:szCs w:val="24"/>
          <w:lang w:val="en-US"/>
        </w:rPr>
        <w:t xml:space="preserve">, C. M., &amp; </w:t>
      </w:r>
      <w:proofErr w:type="spellStart"/>
      <w:r w:rsidRPr="00C15F7A">
        <w:rPr>
          <w:rFonts w:eastAsia="Times New Roman"/>
          <w:color w:val="000000" w:themeColor="text1"/>
          <w:sz w:val="24"/>
          <w:szCs w:val="24"/>
          <w:lang w:val="en-US"/>
        </w:rPr>
        <w:t>Dalmacio</w:t>
      </w:r>
      <w:proofErr w:type="spellEnd"/>
      <w:r w:rsidRPr="00C15F7A">
        <w:rPr>
          <w:rFonts w:eastAsia="Times New Roman"/>
          <w:color w:val="000000" w:themeColor="text1"/>
          <w:sz w:val="24"/>
          <w:szCs w:val="24"/>
          <w:lang w:val="en-US"/>
        </w:rPr>
        <w:t xml:space="preserve">, L. M. M. (2023). Determinants of acquisition, persistence, and clearance of oncogenic cervical human papillomavirus infection in the Philippines using a multi-omics approach: DEFEAT HPV study protocol. </w:t>
      </w:r>
      <w:r w:rsidRPr="00C15F7A">
        <w:rPr>
          <w:rFonts w:eastAsia="Times New Roman"/>
          <w:i/>
          <w:iCs/>
          <w:color w:val="000000" w:themeColor="text1"/>
          <w:sz w:val="24"/>
          <w:szCs w:val="24"/>
          <w:lang w:val="en-US"/>
        </w:rPr>
        <w:t>Healthcare</w:t>
      </w:r>
      <w:r w:rsidRPr="00C15F7A">
        <w:rPr>
          <w:rFonts w:eastAsia="Times New Roman"/>
          <w:color w:val="000000" w:themeColor="text1"/>
          <w:sz w:val="24"/>
          <w:szCs w:val="24"/>
          <w:lang w:val="en-US"/>
        </w:rPr>
        <w:t xml:space="preserve">, </w:t>
      </w:r>
      <w:r w:rsidRPr="00C15F7A">
        <w:rPr>
          <w:rFonts w:eastAsia="Times New Roman"/>
          <w:i/>
          <w:iCs/>
          <w:color w:val="000000" w:themeColor="text1"/>
          <w:sz w:val="24"/>
          <w:szCs w:val="24"/>
          <w:lang w:val="en-US"/>
        </w:rPr>
        <w:t>11</w:t>
      </w:r>
      <w:r w:rsidRPr="00C15F7A">
        <w:rPr>
          <w:rFonts w:eastAsia="Times New Roman"/>
          <w:color w:val="000000" w:themeColor="text1"/>
          <w:sz w:val="24"/>
          <w:szCs w:val="24"/>
          <w:lang w:val="en-US"/>
        </w:rPr>
        <w:t xml:space="preserve">(5), 658. </w:t>
      </w:r>
      <w:hyperlink r:id="rId12" w:history="1">
        <w:r w:rsidRPr="00C15F7A">
          <w:rPr>
            <w:rStyle w:val="Hyperlink"/>
            <w:rFonts w:eastAsia="Times New Roman"/>
            <w:color w:val="000000" w:themeColor="text1"/>
            <w:sz w:val="24"/>
            <w:szCs w:val="24"/>
            <w:lang w:val="en-US"/>
          </w:rPr>
          <w:t>https://doi.org/10.3390/healthcare11050658</w:t>
        </w:r>
      </w:hyperlink>
    </w:p>
    <w:p w14:paraId="3CC18D57"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lang w:val="en-US"/>
        </w:rPr>
      </w:pPr>
      <w:bookmarkStart w:id="7" w:name="_Hlk199282504"/>
      <w:r w:rsidRPr="00F75F29">
        <w:rPr>
          <w:rFonts w:eastAsia="Times New Roman"/>
          <w:color w:val="000000" w:themeColor="text1"/>
          <w:sz w:val="24"/>
          <w:szCs w:val="24"/>
          <w:lang w:val="en-US"/>
        </w:rPr>
        <w:t xml:space="preserve">Ravel, J., </w:t>
      </w:r>
      <w:proofErr w:type="spellStart"/>
      <w:r w:rsidRPr="00F75F29">
        <w:rPr>
          <w:rFonts w:eastAsia="Times New Roman"/>
          <w:color w:val="000000" w:themeColor="text1"/>
          <w:sz w:val="24"/>
          <w:szCs w:val="24"/>
          <w:lang w:val="en-US"/>
        </w:rPr>
        <w:t>Brotman</w:t>
      </w:r>
      <w:proofErr w:type="spellEnd"/>
      <w:r w:rsidRPr="00F75F29">
        <w:rPr>
          <w:rFonts w:eastAsia="Times New Roman"/>
          <w:color w:val="000000" w:themeColor="text1"/>
          <w:sz w:val="24"/>
          <w:szCs w:val="24"/>
          <w:lang w:val="en-US"/>
        </w:rPr>
        <w:t xml:space="preserve">, R. M., </w:t>
      </w:r>
      <w:proofErr w:type="spellStart"/>
      <w:r w:rsidRPr="00F75F29">
        <w:rPr>
          <w:rFonts w:eastAsia="Times New Roman"/>
          <w:color w:val="000000" w:themeColor="text1"/>
          <w:sz w:val="24"/>
          <w:szCs w:val="24"/>
          <w:lang w:val="en-US"/>
        </w:rPr>
        <w:t>Gajer</w:t>
      </w:r>
      <w:proofErr w:type="spellEnd"/>
      <w:r w:rsidRPr="00F75F29">
        <w:rPr>
          <w:rFonts w:eastAsia="Times New Roman"/>
          <w:color w:val="000000" w:themeColor="text1"/>
          <w:sz w:val="24"/>
          <w:szCs w:val="24"/>
          <w:lang w:val="en-US"/>
        </w:rPr>
        <w:t xml:space="preserve">, P., Ma, B., </w:t>
      </w:r>
      <w:proofErr w:type="spellStart"/>
      <w:r w:rsidRPr="00F75F29">
        <w:rPr>
          <w:rFonts w:eastAsia="Times New Roman"/>
          <w:color w:val="000000" w:themeColor="text1"/>
          <w:sz w:val="24"/>
          <w:szCs w:val="24"/>
          <w:lang w:val="en-US"/>
        </w:rPr>
        <w:t>Nandy</w:t>
      </w:r>
      <w:proofErr w:type="spellEnd"/>
      <w:r w:rsidRPr="00F75F29">
        <w:rPr>
          <w:rFonts w:eastAsia="Times New Roman"/>
          <w:color w:val="000000" w:themeColor="text1"/>
          <w:sz w:val="24"/>
          <w:szCs w:val="24"/>
          <w:lang w:val="en-US"/>
        </w:rPr>
        <w:t xml:space="preserve">, M., </w:t>
      </w:r>
      <w:proofErr w:type="spellStart"/>
      <w:r w:rsidRPr="00F75F29">
        <w:rPr>
          <w:rFonts w:eastAsia="Times New Roman"/>
          <w:color w:val="000000" w:themeColor="text1"/>
          <w:sz w:val="24"/>
          <w:szCs w:val="24"/>
          <w:lang w:val="en-US"/>
        </w:rPr>
        <w:t>Fadrosh</w:t>
      </w:r>
      <w:proofErr w:type="spellEnd"/>
      <w:r w:rsidRPr="00F75F29">
        <w:rPr>
          <w:rFonts w:eastAsia="Times New Roman"/>
          <w:color w:val="000000" w:themeColor="text1"/>
          <w:sz w:val="24"/>
          <w:szCs w:val="24"/>
          <w:lang w:val="en-US"/>
        </w:rPr>
        <w:t xml:space="preserve">, D. W., Sakamoto, J., Koenig, S. S. K., Fu, L., Zhou, X., Hickey, R. J., </w:t>
      </w:r>
      <w:proofErr w:type="spellStart"/>
      <w:r w:rsidRPr="00F75F29">
        <w:rPr>
          <w:rFonts w:eastAsia="Times New Roman"/>
          <w:color w:val="000000" w:themeColor="text1"/>
          <w:sz w:val="24"/>
          <w:szCs w:val="24"/>
          <w:lang w:val="en-US"/>
        </w:rPr>
        <w:t>Schwebke</w:t>
      </w:r>
      <w:proofErr w:type="spellEnd"/>
      <w:r w:rsidRPr="00F75F29">
        <w:rPr>
          <w:rFonts w:eastAsia="Times New Roman"/>
          <w:color w:val="000000" w:themeColor="text1"/>
          <w:sz w:val="24"/>
          <w:szCs w:val="24"/>
          <w:lang w:val="en-US"/>
        </w:rPr>
        <w:t xml:space="preserve">, J. R., &amp; Forney, L. J. (2013). Daily temporal dynamics of vaginal microbiota before, during and after episodes of bacterial vaginosis. </w:t>
      </w:r>
      <w:r w:rsidRPr="00F75F29">
        <w:rPr>
          <w:rFonts w:eastAsia="Times New Roman"/>
          <w:i/>
          <w:iCs/>
          <w:color w:val="000000" w:themeColor="text1"/>
          <w:sz w:val="24"/>
          <w:szCs w:val="24"/>
          <w:lang w:val="en-US"/>
        </w:rPr>
        <w:t>Microbiome, 1</w:t>
      </w:r>
      <w:r w:rsidRPr="00F75F29">
        <w:rPr>
          <w:rFonts w:eastAsia="Times New Roman"/>
          <w:color w:val="000000" w:themeColor="text1"/>
          <w:sz w:val="24"/>
          <w:szCs w:val="24"/>
          <w:lang w:val="en-US"/>
        </w:rPr>
        <w:t>(1), 29. https://doi.org/10.1186/2049-2618-1-29</w:t>
      </w:r>
      <w:r w:rsidRPr="00F60D23">
        <w:rPr>
          <w:rFonts w:eastAsia="Times New Roman"/>
          <w:color w:val="000000" w:themeColor="text1"/>
          <w:sz w:val="24"/>
          <w:szCs w:val="24"/>
        </w:rPr>
        <w:t>​</w:t>
      </w:r>
    </w:p>
    <w:bookmarkEnd w:id="7"/>
    <w:p w14:paraId="68580810"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lastRenderedPageBreak/>
        <w:t xml:space="preserve">Ravel, J., </w:t>
      </w:r>
      <w:proofErr w:type="spellStart"/>
      <w:r w:rsidRPr="00F60D23">
        <w:rPr>
          <w:rFonts w:eastAsia="Times New Roman"/>
          <w:color w:val="000000" w:themeColor="text1"/>
          <w:sz w:val="24"/>
          <w:szCs w:val="24"/>
        </w:rPr>
        <w:t>Gajer</w:t>
      </w:r>
      <w:proofErr w:type="spellEnd"/>
      <w:r w:rsidRPr="00F60D23">
        <w:rPr>
          <w:rFonts w:eastAsia="Times New Roman"/>
          <w:color w:val="000000" w:themeColor="text1"/>
          <w:sz w:val="24"/>
          <w:szCs w:val="24"/>
        </w:rPr>
        <w:t xml:space="preserve">, P., Abdo, Z., Schneider, G. M., Koenig, S. S. K., </w:t>
      </w:r>
      <w:proofErr w:type="spellStart"/>
      <w:r w:rsidRPr="00F60D23">
        <w:rPr>
          <w:rFonts w:eastAsia="Times New Roman"/>
          <w:color w:val="000000" w:themeColor="text1"/>
          <w:sz w:val="24"/>
          <w:szCs w:val="24"/>
        </w:rPr>
        <w:t>McCulle</w:t>
      </w:r>
      <w:proofErr w:type="spellEnd"/>
      <w:r w:rsidRPr="00F60D23">
        <w:rPr>
          <w:rFonts w:eastAsia="Times New Roman"/>
          <w:color w:val="000000" w:themeColor="text1"/>
          <w:sz w:val="24"/>
          <w:szCs w:val="24"/>
        </w:rPr>
        <w:t xml:space="preserve">, S. L., &amp; Forney, L. J. (2011). Vaginal microbiome of reproductive-age women. </w:t>
      </w:r>
      <w:r w:rsidRPr="00F60D23">
        <w:rPr>
          <w:rFonts w:eastAsia="Times New Roman"/>
          <w:i/>
          <w:iCs/>
          <w:color w:val="000000" w:themeColor="text1"/>
          <w:sz w:val="24"/>
          <w:szCs w:val="24"/>
        </w:rPr>
        <w:t>Proceedings of the National Academy of Sciences, 108</w:t>
      </w:r>
      <w:r w:rsidRPr="00F60D23">
        <w:rPr>
          <w:rFonts w:eastAsia="Times New Roman"/>
          <w:color w:val="000000" w:themeColor="text1"/>
          <w:sz w:val="24"/>
          <w:szCs w:val="24"/>
        </w:rPr>
        <w:t xml:space="preserve">(Supplement 1), 4680–4687. </w:t>
      </w:r>
      <w:hyperlink r:id="rId13" w:tgtFrame="_new" w:history="1">
        <w:r w:rsidRPr="00F60D23">
          <w:rPr>
            <w:rFonts w:eastAsia="Times New Roman"/>
            <w:color w:val="000000" w:themeColor="text1"/>
            <w:sz w:val="24"/>
            <w:szCs w:val="24"/>
            <w:u w:val="single"/>
          </w:rPr>
          <w:t>https://doi.org/10.1073/pnas.1002611107</w:t>
        </w:r>
      </w:hyperlink>
      <w:r w:rsidRPr="00F60D23">
        <w:rPr>
          <w:rFonts w:eastAsia="Times New Roman"/>
          <w:color w:val="000000" w:themeColor="text1"/>
          <w:sz w:val="24"/>
          <w:szCs w:val="24"/>
        </w:rPr>
        <w:t>​</w:t>
      </w:r>
    </w:p>
    <w:p w14:paraId="143A3644"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proofErr w:type="spellStart"/>
      <w:r w:rsidRPr="00F60D23">
        <w:rPr>
          <w:rFonts w:eastAsia="Times New Roman"/>
          <w:color w:val="000000" w:themeColor="text1"/>
          <w:sz w:val="24"/>
          <w:szCs w:val="24"/>
        </w:rPr>
        <w:t>Sankaranarayanan</w:t>
      </w:r>
      <w:proofErr w:type="spellEnd"/>
      <w:r w:rsidRPr="00F60D23">
        <w:rPr>
          <w:rFonts w:eastAsia="Times New Roman"/>
          <w:color w:val="000000" w:themeColor="text1"/>
          <w:sz w:val="24"/>
          <w:szCs w:val="24"/>
        </w:rPr>
        <w:t xml:space="preserve">, R., Nene, B. M., Shastri, S. S., Jayant, K., </w:t>
      </w:r>
      <w:proofErr w:type="spellStart"/>
      <w:r w:rsidRPr="00F60D23">
        <w:rPr>
          <w:rFonts w:eastAsia="Times New Roman"/>
          <w:color w:val="000000" w:themeColor="text1"/>
          <w:sz w:val="24"/>
          <w:szCs w:val="24"/>
        </w:rPr>
        <w:t>Muwonge</w:t>
      </w:r>
      <w:proofErr w:type="spellEnd"/>
      <w:r w:rsidRPr="00F60D23">
        <w:rPr>
          <w:rFonts w:eastAsia="Times New Roman"/>
          <w:color w:val="000000" w:themeColor="text1"/>
          <w:sz w:val="24"/>
          <w:szCs w:val="24"/>
        </w:rPr>
        <w:t xml:space="preserve">, R., </w:t>
      </w:r>
      <w:proofErr w:type="spellStart"/>
      <w:r w:rsidRPr="00F60D23">
        <w:rPr>
          <w:rFonts w:eastAsia="Times New Roman"/>
          <w:color w:val="000000" w:themeColor="text1"/>
          <w:sz w:val="24"/>
          <w:szCs w:val="24"/>
        </w:rPr>
        <w:t>Budukh</w:t>
      </w:r>
      <w:proofErr w:type="spellEnd"/>
      <w:r w:rsidRPr="00F60D23">
        <w:rPr>
          <w:rFonts w:eastAsia="Times New Roman"/>
          <w:color w:val="000000" w:themeColor="text1"/>
          <w:sz w:val="24"/>
          <w:szCs w:val="24"/>
        </w:rPr>
        <w:t xml:space="preserve">, A. M., </w:t>
      </w:r>
      <w:proofErr w:type="spellStart"/>
      <w:r w:rsidRPr="00F60D23">
        <w:rPr>
          <w:rFonts w:eastAsia="Times New Roman"/>
          <w:color w:val="000000" w:themeColor="text1"/>
          <w:sz w:val="24"/>
          <w:szCs w:val="24"/>
        </w:rPr>
        <w:t>Hingmire</w:t>
      </w:r>
      <w:proofErr w:type="spellEnd"/>
      <w:r w:rsidRPr="00F60D23">
        <w:rPr>
          <w:rFonts w:eastAsia="Times New Roman"/>
          <w:color w:val="000000" w:themeColor="text1"/>
          <w:sz w:val="24"/>
          <w:szCs w:val="24"/>
        </w:rPr>
        <w:t xml:space="preserve">, S., </w:t>
      </w:r>
      <w:proofErr w:type="spellStart"/>
      <w:r w:rsidRPr="00F60D23">
        <w:rPr>
          <w:rFonts w:eastAsia="Times New Roman"/>
          <w:color w:val="000000" w:themeColor="text1"/>
          <w:sz w:val="24"/>
          <w:szCs w:val="24"/>
        </w:rPr>
        <w:t>Malvi</w:t>
      </w:r>
      <w:proofErr w:type="spellEnd"/>
      <w:r w:rsidRPr="00F60D23">
        <w:rPr>
          <w:rFonts w:eastAsia="Times New Roman"/>
          <w:color w:val="000000" w:themeColor="text1"/>
          <w:sz w:val="24"/>
          <w:szCs w:val="24"/>
        </w:rPr>
        <w:t xml:space="preserve">, S. G., </w:t>
      </w:r>
      <w:proofErr w:type="spellStart"/>
      <w:r w:rsidRPr="00F60D23">
        <w:rPr>
          <w:rFonts w:eastAsia="Times New Roman"/>
          <w:color w:val="000000" w:themeColor="text1"/>
          <w:sz w:val="24"/>
          <w:szCs w:val="24"/>
        </w:rPr>
        <w:t>Thorat</w:t>
      </w:r>
      <w:proofErr w:type="spellEnd"/>
      <w:r w:rsidRPr="00F60D23">
        <w:rPr>
          <w:rFonts w:eastAsia="Times New Roman"/>
          <w:color w:val="000000" w:themeColor="text1"/>
          <w:sz w:val="24"/>
          <w:szCs w:val="24"/>
        </w:rPr>
        <w:t xml:space="preserve">, R., Kothari, A., </w:t>
      </w:r>
      <w:proofErr w:type="spellStart"/>
      <w:r w:rsidRPr="00F60D23">
        <w:rPr>
          <w:rFonts w:eastAsia="Times New Roman"/>
          <w:color w:val="000000" w:themeColor="text1"/>
          <w:sz w:val="24"/>
          <w:szCs w:val="24"/>
        </w:rPr>
        <w:t>Chinoy</w:t>
      </w:r>
      <w:proofErr w:type="spellEnd"/>
      <w:r w:rsidRPr="00F60D23">
        <w:rPr>
          <w:rFonts w:eastAsia="Times New Roman"/>
          <w:color w:val="000000" w:themeColor="text1"/>
          <w:sz w:val="24"/>
          <w:szCs w:val="24"/>
        </w:rPr>
        <w:t xml:space="preserve">, R., Kelkar, R., Kane, S., Desai, S., </w:t>
      </w:r>
      <w:proofErr w:type="spellStart"/>
      <w:r w:rsidRPr="00F60D23">
        <w:rPr>
          <w:rFonts w:eastAsia="Times New Roman"/>
          <w:color w:val="000000" w:themeColor="text1"/>
          <w:sz w:val="24"/>
          <w:szCs w:val="24"/>
        </w:rPr>
        <w:t>Keskar</w:t>
      </w:r>
      <w:proofErr w:type="spellEnd"/>
      <w:r w:rsidRPr="00F60D23">
        <w:rPr>
          <w:rFonts w:eastAsia="Times New Roman"/>
          <w:color w:val="000000" w:themeColor="text1"/>
          <w:sz w:val="24"/>
          <w:szCs w:val="24"/>
        </w:rPr>
        <w:t xml:space="preserve">, V. R., </w:t>
      </w:r>
      <w:proofErr w:type="spellStart"/>
      <w:r w:rsidRPr="00F60D23">
        <w:rPr>
          <w:rFonts w:eastAsia="Times New Roman"/>
          <w:color w:val="000000" w:themeColor="text1"/>
          <w:sz w:val="24"/>
          <w:szCs w:val="24"/>
        </w:rPr>
        <w:t>Rajeshwarkar</w:t>
      </w:r>
      <w:proofErr w:type="spellEnd"/>
      <w:r w:rsidRPr="00F60D23">
        <w:rPr>
          <w:rFonts w:eastAsia="Times New Roman"/>
          <w:color w:val="000000" w:themeColor="text1"/>
          <w:sz w:val="24"/>
          <w:szCs w:val="24"/>
        </w:rPr>
        <w:t xml:space="preserve">, R., </w:t>
      </w:r>
      <w:proofErr w:type="spellStart"/>
      <w:r w:rsidRPr="00F60D23">
        <w:rPr>
          <w:rFonts w:eastAsia="Times New Roman"/>
          <w:color w:val="000000" w:themeColor="text1"/>
          <w:sz w:val="24"/>
          <w:szCs w:val="24"/>
        </w:rPr>
        <w:t>Panse</w:t>
      </w:r>
      <w:proofErr w:type="spellEnd"/>
      <w:r w:rsidRPr="00F60D23">
        <w:rPr>
          <w:rFonts w:eastAsia="Times New Roman"/>
          <w:color w:val="000000" w:themeColor="text1"/>
          <w:sz w:val="24"/>
          <w:szCs w:val="24"/>
        </w:rPr>
        <w:t xml:space="preserve">, N., &amp; </w:t>
      </w:r>
      <w:proofErr w:type="spellStart"/>
      <w:r w:rsidRPr="00F60D23">
        <w:rPr>
          <w:rFonts w:eastAsia="Times New Roman"/>
          <w:color w:val="000000" w:themeColor="text1"/>
          <w:sz w:val="24"/>
          <w:szCs w:val="24"/>
        </w:rPr>
        <w:t>Dinshaw</w:t>
      </w:r>
      <w:proofErr w:type="spellEnd"/>
      <w:r w:rsidRPr="00F60D23">
        <w:rPr>
          <w:rFonts w:eastAsia="Times New Roman"/>
          <w:color w:val="000000" w:themeColor="text1"/>
          <w:sz w:val="24"/>
          <w:szCs w:val="24"/>
        </w:rPr>
        <w:t xml:space="preserve">, K. A. (2009). HPV screening for cervical cancer in rural India. </w:t>
      </w:r>
      <w:r w:rsidRPr="00F60D23">
        <w:rPr>
          <w:rFonts w:eastAsia="Times New Roman"/>
          <w:i/>
          <w:iCs/>
          <w:color w:val="000000" w:themeColor="text1"/>
          <w:sz w:val="24"/>
          <w:szCs w:val="24"/>
        </w:rPr>
        <w:t>The New England Journal of Medicine, 360</w:t>
      </w:r>
      <w:r w:rsidRPr="00F60D23">
        <w:rPr>
          <w:rFonts w:eastAsia="Times New Roman"/>
          <w:color w:val="000000" w:themeColor="text1"/>
          <w:sz w:val="24"/>
          <w:szCs w:val="24"/>
        </w:rPr>
        <w:t>(14), 1385–1394. https://doi.org/10.1056/NEJMoa0808516​</w:t>
      </w:r>
    </w:p>
    <w:p w14:paraId="18408A20" w14:textId="77777777" w:rsidR="00D730AB" w:rsidRPr="00F60D23" w:rsidRDefault="00D730AB" w:rsidP="00D730AB">
      <w:pPr>
        <w:spacing w:before="100" w:beforeAutospacing="1" w:after="100" w:afterAutospacing="1" w:line="240" w:lineRule="auto"/>
        <w:ind w:left="720" w:hanging="720"/>
        <w:rPr>
          <w:rFonts w:eastAsia="Times New Roman"/>
          <w:color w:val="000000" w:themeColor="text1"/>
          <w:sz w:val="24"/>
          <w:szCs w:val="24"/>
          <w:lang w:val="en-US"/>
        </w:rPr>
      </w:pPr>
      <w:proofErr w:type="spellStart"/>
      <w:r w:rsidRPr="003D1CAE">
        <w:rPr>
          <w:rFonts w:eastAsia="Times New Roman"/>
          <w:color w:val="000000" w:themeColor="text1"/>
          <w:sz w:val="24"/>
          <w:szCs w:val="24"/>
          <w:lang w:val="en-US"/>
        </w:rPr>
        <w:t>Santella</w:t>
      </w:r>
      <w:proofErr w:type="spellEnd"/>
      <w:r w:rsidRPr="003D1CAE">
        <w:rPr>
          <w:rFonts w:eastAsia="Times New Roman"/>
          <w:color w:val="000000" w:themeColor="text1"/>
          <w:sz w:val="24"/>
          <w:szCs w:val="24"/>
          <w:lang w:val="en-US"/>
        </w:rPr>
        <w:t xml:space="preserve">, B., Schettino, M. T., </w:t>
      </w:r>
      <w:proofErr w:type="spellStart"/>
      <w:r w:rsidRPr="003D1CAE">
        <w:rPr>
          <w:rFonts w:eastAsia="Times New Roman"/>
          <w:color w:val="000000" w:themeColor="text1"/>
          <w:sz w:val="24"/>
          <w:szCs w:val="24"/>
          <w:lang w:val="en-US"/>
        </w:rPr>
        <w:t>Franci</w:t>
      </w:r>
      <w:proofErr w:type="spellEnd"/>
      <w:r w:rsidRPr="003D1CAE">
        <w:rPr>
          <w:rFonts w:eastAsia="Times New Roman"/>
          <w:color w:val="000000" w:themeColor="text1"/>
          <w:sz w:val="24"/>
          <w:szCs w:val="24"/>
          <w:lang w:val="en-US"/>
        </w:rPr>
        <w:t xml:space="preserve">, G., De </w:t>
      </w:r>
      <w:proofErr w:type="spellStart"/>
      <w:r w:rsidRPr="003D1CAE">
        <w:rPr>
          <w:rFonts w:eastAsia="Times New Roman"/>
          <w:color w:val="000000" w:themeColor="text1"/>
          <w:sz w:val="24"/>
          <w:szCs w:val="24"/>
          <w:lang w:val="en-US"/>
        </w:rPr>
        <w:t>Franciscis</w:t>
      </w:r>
      <w:proofErr w:type="spellEnd"/>
      <w:r w:rsidRPr="003D1CAE">
        <w:rPr>
          <w:rFonts w:eastAsia="Times New Roman"/>
          <w:color w:val="000000" w:themeColor="text1"/>
          <w:sz w:val="24"/>
          <w:szCs w:val="24"/>
          <w:lang w:val="en-US"/>
        </w:rPr>
        <w:t xml:space="preserve">, P., </w:t>
      </w:r>
      <w:proofErr w:type="spellStart"/>
      <w:r w:rsidRPr="003D1CAE">
        <w:rPr>
          <w:rFonts w:eastAsia="Times New Roman"/>
          <w:color w:val="000000" w:themeColor="text1"/>
          <w:sz w:val="24"/>
          <w:szCs w:val="24"/>
          <w:lang w:val="en-US"/>
        </w:rPr>
        <w:t>Colacurci</w:t>
      </w:r>
      <w:proofErr w:type="spellEnd"/>
      <w:r w:rsidRPr="003D1CAE">
        <w:rPr>
          <w:rFonts w:eastAsia="Times New Roman"/>
          <w:color w:val="000000" w:themeColor="text1"/>
          <w:sz w:val="24"/>
          <w:szCs w:val="24"/>
          <w:lang w:val="en-US"/>
        </w:rPr>
        <w:t xml:space="preserve">, N., </w:t>
      </w:r>
      <w:proofErr w:type="spellStart"/>
      <w:r w:rsidRPr="003D1CAE">
        <w:rPr>
          <w:rFonts w:eastAsia="Times New Roman"/>
          <w:color w:val="000000" w:themeColor="text1"/>
          <w:sz w:val="24"/>
          <w:szCs w:val="24"/>
          <w:lang w:val="en-US"/>
        </w:rPr>
        <w:t>Schiattarella</w:t>
      </w:r>
      <w:proofErr w:type="spellEnd"/>
      <w:r w:rsidRPr="003D1CAE">
        <w:rPr>
          <w:rFonts w:eastAsia="Times New Roman"/>
          <w:color w:val="000000" w:themeColor="text1"/>
          <w:sz w:val="24"/>
          <w:szCs w:val="24"/>
          <w:lang w:val="en-US"/>
        </w:rPr>
        <w:t xml:space="preserve">, A., &amp; </w:t>
      </w:r>
      <w:proofErr w:type="spellStart"/>
      <w:r w:rsidRPr="003D1CAE">
        <w:rPr>
          <w:rFonts w:eastAsia="Times New Roman"/>
          <w:color w:val="000000" w:themeColor="text1"/>
          <w:sz w:val="24"/>
          <w:szCs w:val="24"/>
          <w:lang w:val="en-US"/>
        </w:rPr>
        <w:t>Galdiero</w:t>
      </w:r>
      <w:proofErr w:type="spellEnd"/>
      <w:r w:rsidRPr="003D1CAE">
        <w:rPr>
          <w:rFonts w:eastAsia="Times New Roman"/>
          <w:color w:val="000000" w:themeColor="text1"/>
          <w:sz w:val="24"/>
          <w:szCs w:val="24"/>
          <w:lang w:val="en-US"/>
        </w:rPr>
        <w:t xml:space="preserve">, M. (2022). Microbiota and HPV: The role of viral infection on vaginal microbiota. </w:t>
      </w:r>
      <w:r w:rsidRPr="003D1CAE">
        <w:rPr>
          <w:rFonts w:eastAsia="Times New Roman"/>
          <w:i/>
          <w:iCs/>
          <w:color w:val="000000" w:themeColor="text1"/>
          <w:sz w:val="24"/>
          <w:szCs w:val="24"/>
          <w:lang w:val="en-US"/>
        </w:rPr>
        <w:t>Journal of Medical Virology, 94</w:t>
      </w:r>
      <w:r w:rsidRPr="003D1CAE">
        <w:rPr>
          <w:rFonts w:eastAsia="Times New Roman"/>
          <w:color w:val="000000" w:themeColor="text1"/>
          <w:sz w:val="24"/>
          <w:szCs w:val="24"/>
          <w:lang w:val="en-US"/>
        </w:rPr>
        <w:t xml:space="preserve">(9), 4478–4484. </w:t>
      </w:r>
      <w:hyperlink r:id="rId14" w:history="1">
        <w:r w:rsidRPr="003D1CAE">
          <w:rPr>
            <w:rStyle w:val="Hyperlink"/>
            <w:rFonts w:eastAsia="Times New Roman"/>
            <w:color w:val="000000" w:themeColor="text1"/>
            <w:sz w:val="24"/>
            <w:szCs w:val="24"/>
            <w:lang w:val="en-US"/>
          </w:rPr>
          <w:t>https://doi.org/10.1002/jmv.27837</w:t>
        </w:r>
      </w:hyperlink>
      <w:r w:rsidRPr="00F60D23">
        <w:rPr>
          <w:rFonts w:eastAsia="Times New Roman"/>
          <w:color w:val="000000" w:themeColor="text1"/>
          <w:sz w:val="24"/>
          <w:szCs w:val="24"/>
        </w:rPr>
        <w:t>​</w:t>
      </w:r>
    </w:p>
    <w:p w14:paraId="7EFFA2AC"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r w:rsidRPr="00F60D23">
        <w:rPr>
          <w:rFonts w:eastAsia="Times New Roman"/>
          <w:color w:val="000000" w:themeColor="text1"/>
          <w:sz w:val="24"/>
          <w:szCs w:val="24"/>
        </w:rPr>
        <w:t xml:space="preserve">Sung, H., </w:t>
      </w:r>
      <w:proofErr w:type="spellStart"/>
      <w:r w:rsidRPr="00F60D23">
        <w:rPr>
          <w:rFonts w:eastAsia="Times New Roman"/>
          <w:color w:val="000000" w:themeColor="text1"/>
          <w:sz w:val="24"/>
          <w:szCs w:val="24"/>
        </w:rPr>
        <w:t>Ferlay</w:t>
      </w:r>
      <w:proofErr w:type="spellEnd"/>
      <w:r w:rsidRPr="00F60D23">
        <w:rPr>
          <w:rFonts w:eastAsia="Times New Roman"/>
          <w:color w:val="000000" w:themeColor="text1"/>
          <w:sz w:val="24"/>
          <w:szCs w:val="24"/>
        </w:rPr>
        <w:t xml:space="preserve">, J., Siegel, R. L., </w:t>
      </w:r>
      <w:proofErr w:type="spellStart"/>
      <w:r w:rsidRPr="00F60D23">
        <w:rPr>
          <w:rFonts w:eastAsia="Times New Roman"/>
          <w:color w:val="000000" w:themeColor="text1"/>
          <w:sz w:val="24"/>
          <w:szCs w:val="24"/>
        </w:rPr>
        <w:t>Laversanne</w:t>
      </w:r>
      <w:proofErr w:type="spellEnd"/>
      <w:r w:rsidRPr="00F60D23">
        <w:rPr>
          <w:rFonts w:eastAsia="Times New Roman"/>
          <w:color w:val="000000" w:themeColor="text1"/>
          <w:sz w:val="24"/>
          <w:szCs w:val="24"/>
        </w:rPr>
        <w:t xml:space="preserve">, M., </w:t>
      </w:r>
      <w:proofErr w:type="spellStart"/>
      <w:r w:rsidRPr="00F60D23">
        <w:rPr>
          <w:rFonts w:eastAsia="Times New Roman"/>
          <w:color w:val="000000" w:themeColor="text1"/>
          <w:sz w:val="24"/>
          <w:szCs w:val="24"/>
        </w:rPr>
        <w:t>Soerjomataram</w:t>
      </w:r>
      <w:proofErr w:type="spellEnd"/>
      <w:r w:rsidRPr="00F60D23">
        <w:rPr>
          <w:rFonts w:eastAsia="Times New Roman"/>
          <w:color w:val="000000" w:themeColor="text1"/>
          <w:sz w:val="24"/>
          <w:szCs w:val="24"/>
        </w:rPr>
        <w:t xml:space="preserve">, I., Jemal, A., &amp; Bray, F. (2021). Global cancer statistics 2020: GLOBOCAN estimates of incidence and mortality worldwide for 36 cancers in 185 countries. </w:t>
      </w:r>
      <w:r w:rsidRPr="00F60D23">
        <w:rPr>
          <w:rFonts w:eastAsia="Times New Roman"/>
          <w:i/>
          <w:iCs/>
          <w:color w:val="000000" w:themeColor="text1"/>
          <w:sz w:val="24"/>
          <w:szCs w:val="24"/>
        </w:rPr>
        <w:t>CA: A Cancer Journal for Clinicians, 71</w:t>
      </w:r>
      <w:r w:rsidRPr="00F60D23">
        <w:rPr>
          <w:rFonts w:eastAsia="Times New Roman"/>
          <w:color w:val="000000" w:themeColor="text1"/>
          <w:sz w:val="24"/>
          <w:szCs w:val="24"/>
        </w:rPr>
        <w:t xml:space="preserve">(3), 209–249. </w:t>
      </w:r>
      <w:hyperlink r:id="rId15" w:tgtFrame="_new" w:history="1">
        <w:r w:rsidRPr="00F60D23">
          <w:rPr>
            <w:rFonts w:eastAsia="Times New Roman"/>
            <w:color w:val="000000" w:themeColor="text1"/>
            <w:sz w:val="24"/>
            <w:szCs w:val="24"/>
            <w:u w:val="single"/>
          </w:rPr>
          <w:t>https://doi.org/10.3322/caac.21660</w:t>
        </w:r>
      </w:hyperlink>
      <w:r w:rsidRPr="00F60D23">
        <w:rPr>
          <w:rFonts w:eastAsia="Times New Roman"/>
          <w:color w:val="000000" w:themeColor="text1"/>
          <w:sz w:val="24"/>
          <w:szCs w:val="24"/>
        </w:rPr>
        <w:t>​</w:t>
      </w:r>
    </w:p>
    <w:p w14:paraId="30109167"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proofErr w:type="spellStart"/>
      <w:r w:rsidRPr="00F60D23">
        <w:rPr>
          <w:rFonts w:eastAsia="Times New Roman"/>
          <w:color w:val="000000" w:themeColor="text1"/>
          <w:sz w:val="24"/>
          <w:szCs w:val="24"/>
        </w:rPr>
        <w:t>Tamarelle</w:t>
      </w:r>
      <w:proofErr w:type="spellEnd"/>
      <w:r w:rsidRPr="00F60D23">
        <w:rPr>
          <w:rFonts w:eastAsia="Times New Roman"/>
          <w:color w:val="000000" w:themeColor="text1"/>
          <w:sz w:val="24"/>
          <w:szCs w:val="24"/>
        </w:rPr>
        <w:t xml:space="preserve">, J., </w:t>
      </w:r>
      <w:proofErr w:type="spellStart"/>
      <w:r w:rsidRPr="00F60D23">
        <w:rPr>
          <w:rFonts w:eastAsia="Times New Roman"/>
          <w:color w:val="000000" w:themeColor="text1"/>
          <w:sz w:val="24"/>
          <w:szCs w:val="24"/>
        </w:rPr>
        <w:t>Thiébaut</w:t>
      </w:r>
      <w:proofErr w:type="spellEnd"/>
      <w:r w:rsidRPr="00F60D23">
        <w:rPr>
          <w:rFonts w:eastAsia="Times New Roman"/>
          <w:color w:val="000000" w:themeColor="text1"/>
          <w:sz w:val="24"/>
          <w:szCs w:val="24"/>
        </w:rPr>
        <w:t xml:space="preserve">, A. C. M., de </w:t>
      </w:r>
      <w:proofErr w:type="spellStart"/>
      <w:r w:rsidRPr="00F60D23">
        <w:rPr>
          <w:rFonts w:eastAsia="Times New Roman"/>
          <w:color w:val="000000" w:themeColor="text1"/>
          <w:sz w:val="24"/>
          <w:szCs w:val="24"/>
        </w:rPr>
        <w:t>Barbeyrac</w:t>
      </w:r>
      <w:proofErr w:type="spellEnd"/>
      <w:r w:rsidRPr="00F60D23">
        <w:rPr>
          <w:rFonts w:eastAsia="Times New Roman"/>
          <w:color w:val="000000" w:themeColor="text1"/>
          <w:sz w:val="24"/>
          <w:szCs w:val="24"/>
        </w:rPr>
        <w:t xml:space="preserve">, B., </w:t>
      </w:r>
      <w:proofErr w:type="spellStart"/>
      <w:r w:rsidRPr="00F60D23">
        <w:rPr>
          <w:rFonts w:eastAsia="Times New Roman"/>
          <w:color w:val="000000" w:themeColor="text1"/>
          <w:sz w:val="24"/>
          <w:szCs w:val="24"/>
        </w:rPr>
        <w:t>Bébéar</w:t>
      </w:r>
      <w:proofErr w:type="spellEnd"/>
      <w:r w:rsidRPr="00F60D23">
        <w:rPr>
          <w:rFonts w:eastAsia="Times New Roman"/>
          <w:color w:val="000000" w:themeColor="text1"/>
          <w:sz w:val="24"/>
          <w:szCs w:val="24"/>
        </w:rPr>
        <w:t xml:space="preserve">, C., Ravel, J., &amp; </w:t>
      </w:r>
      <w:proofErr w:type="spellStart"/>
      <w:r w:rsidRPr="00F60D23">
        <w:rPr>
          <w:rFonts w:eastAsia="Times New Roman"/>
          <w:color w:val="000000" w:themeColor="text1"/>
          <w:sz w:val="24"/>
          <w:szCs w:val="24"/>
        </w:rPr>
        <w:t>Delarocque-Astagneau</w:t>
      </w:r>
      <w:proofErr w:type="spellEnd"/>
      <w:r w:rsidRPr="00F60D23">
        <w:rPr>
          <w:rFonts w:eastAsia="Times New Roman"/>
          <w:color w:val="000000" w:themeColor="text1"/>
          <w:sz w:val="24"/>
          <w:szCs w:val="24"/>
        </w:rPr>
        <w:t xml:space="preserve">, E. (2018). The vaginal microbiota and its association with Human Papillomavirus, Chlamydia trachomatis, Neisseria </w:t>
      </w:r>
      <w:proofErr w:type="spellStart"/>
      <w:r w:rsidRPr="00F60D23">
        <w:rPr>
          <w:rFonts w:eastAsia="Times New Roman"/>
          <w:color w:val="000000" w:themeColor="text1"/>
          <w:sz w:val="24"/>
          <w:szCs w:val="24"/>
        </w:rPr>
        <w:t>gonorrhea</w:t>
      </w:r>
      <w:proofErr w:type="spellEnd"/>
      <w:r w:rsidRPr="00F60D23">
        <w:rPr>
          <w:rFonts w:eastAsia="Times New Roman"/>
          <w:color w:val="000000" w:themeColor="text1"/>
          <w:sz w:val="24"/>
          <w:szCs w:val="24"/>
        </w:rPr>
        <w:t xml:space="preserve"> and Mycoplasma </w:t>
      </w:r>
      <w:proofErr w:type="spellStart"/>
      <w:r w:rsidRPr="00F60D23">
        <w:rPr>
          <w:rFonts w:eastAsia="Times New Roman"/>
          <w:color w:val="000000" w:themeColor="text1"/>
          <w:sz w:val="24"/>
          <w:szCs w:val="24"/>
        </w:rPr>
        <w:t>genitalium</w:t>
      </w:r>
      <w:proofErr w:type="spellEnd"/>
      <w:r w:rsidRPr="00F60D23">
        <w:rPr>
          <w:rFonts w:eastAsia="Times New Roman"/>
          <w:color w:val="000000" w:themeColor="text1"/>
          <w:sz w:val="24"/>
          <w:szCs w:val="24"/>
        </w:rPr>
        <w:t xml:space="preserve"> infections: A systematic review and meta-analysis. Clinical Microbiology and Infection, 25(1), 35–47. https://doi.org/10.1016/j.cmi.2018.04.019</w:t>
      </w:r>
    </w:p>
    <w:p w14:paraId="06A6EC12" w14:textId="4C6E29C0" w:rsidR="00D730AB" w:rsidRPr="00690C2A" w:rsidRDefault="00D730AB" w:rsidP="00D730AB">
      <w:pPr>
        <w:spacing w:before="100" w:beforeAutospacing="1" w:after="100" w:afterAutospacing="1" w:line="240" w:lineRule="auto"/>
        <w:ind w:left="720" w:hanging="720"/>
        <w:jc w:val="both"/>
        <w:rPr>
          <w:rFonts w:eastAsia="Times New Roman"/>
          <w:color w:val="000000" w:themeColor="text1"/>
          <w:sz w:val="24"/>
          <w:szCs w:val="24"/>
          <w:lang w:val="en-US"/>
        </w:rPr>
      </w:pPr>
      <w:bookmarkStart w:id="8" w:name="_Hlk199286015"/>
      <w:proofErr w:type="spellStart"/>
      <w:r w:rsidRPr="00690C2A">
        <w:rPr>
          <w:rFonts w:eastAsia="Times New Roman"/>
          <w:color w:val="000000" w:themeColor="text1"/>
          <w:sz w:val="24"/>
          <w:szCs w:val="24"/>
          <w:lang w:val="en-US"/>
        </w:rPr>
        <w:t>Triggiano</w:t>
      </w:r>
      <w:proofErr w:type="spellEnd"/>
      <w:r w:rsidRPr="00690C2A">
        <w:rPr>
          <w:rFonts w:eastAsia="Times New Roman"/>
          <w:color w:val="000000" w:themeColor="text1"/>
          <w:sz w:val="24"/>
          <w:szCs w:val="24"/>
          <w:lang w:val="en-US"/>
        </w:rPr>
        <w:t xml:space="preserve">, F., </w:t>
      </w:r>
      <w:proofErr w:type="spellStart"/>
      <w:r w:rsidRPr="00690C2A">
        <w:rPr>
          <w:rFonts w:eastAsia="Times New Roman"/>
          <w:color w:val="000000" w:themeColor="text1"/>
          <w:sz w:val="24"/>
          <w:szCs w:val="24"/>
          <w:lang w:val="en-US"/>
        </w:rPr>
        <w:t>Diella</w:t>
      </w:r>
      <w:proofErr w:type="spellEnd"/>
      <w:r w:rsidRPr="00690C2A">
        <w:rPr>
          <w:rFonts w:eastAsia="Times New Roman"/>
          <w:color w:val="000000" w:themeColor="text1"/>
          <w:sz w:val="24"/>
          <w:szCs w:val="24"/>
          <w:lang w:val="en-US"/>
        </w:rPr>
        <w:t xml:space="preserve">, G., </w:t>
      </w:r>
      <w:proofErr w:type="spellStart"/>
      <w:r w:rsidRPr="00690C2A">
        <w:rPr>
          <w:rFonts w:eastAsia="Times New Roman"/>
          <w:color w:val="000000" w:themeColor="text1"/>
          <w:sz w:val="24"/>
          <w:szCs w:val="24"/>
          <w:lang w:val="en-US"/>
        </w:rPr>
        <w:t>Lorusso</w:t>
      </w:r>
      <w:proofErr w:type="spellEnd"/>
      <w:r w:rsidRPr="00690C2A">
        <w:rPr>
          <w:rFonts w:eastAsia="Times New Roman"/>
          <w:color w:val="000000" w:themeColor="text1"/>
          <w:sz w:val="24"/>
          <w:szCs w:val="24"/>
          <w:lang w:val="en-US"/>
        </w:rPr>
        <w:t xml:space="preserve">, M., </w:t>
      </w:r>
      <w:proofErr w:type="spellStart"/>
      <w:r w:rsidRPr="00690C2A">
        <w:rPr>
          <w:rFonts w:eastAsia="Times New Roman"/>
          <w:color w:val="000000" w:themeColor="text1"/>
          <w:sz w:val="24"/>
          <w:szCs w:val="24"/>
          <w:lang w:val="en-US"/>
        </w:rPr>
        <w:t>Veneziani</w:t>
      </w:r>
      <w:proofErr w:type="spellEnd"/>
      <w:r w:rsidRPr="00690C2A">
        <w:rPr>
          <w:rFonts w:eastAsia="Times New Roman"/>
          <w:color w:val="000000" w:themeColor="text1"/>
          <w:sz w:val="24"/>
          <w:szCs w:val="24"/>
          <w:lang w:val="en-US"/>
        </w:rPr>
        <w:t xml:space="preserve">, P., </w:t>
      </w:r>
      <w:proofErr w:type="spellStart"/>
      <w:r w:rsidRPr="00690C2A">
        <w:rPr>
          <w:rFonts w:eastAsia="Times New Roman"/>
          <w:color w:val="000000" w:themeColor="text1"/>
          <w:sz w:val="24"/>
          <w:szCs w:val="24"/>
          <w:lang w:val="en-US"/>
        </w:rPr>
        <w:t>D’Ambrosio</w:t>
      </w:r>
      <w:proofErr w:type="spellEnd"/>
      <w:r w:rsidRPr="00690C2A">
        <w:rPr>
          <w:rFonts w:eastAsia="Times New Roman"/>
          <w:color w:val="000000" w:themeColor="text1"/>
          <w:sz w:val="24"/>
          <w:szCs w:val="24"/>
          <w:lang w:val="en-US"/>
        </w:rPr>
        <w:t xml:space="preserve">, M., Nesta, D., &amp; </w:t>
      </w:r>
      <w:proofErr w:type="spellStart"/>
      <w:r w:rsidRPr="00690C2A">
        <w:rPr>
          <w:rFonts w:eastAsia="Times New Roman"/>
          <w:color w:val="000000" w:themeColor="text1"/>
          <w:sz w:val="24"/>
          <w:szCs w:val="24"/>
          <w:lang w:val="en-US"/>
        </w:rPr>
        <w:t>Santacroce</w:t>
      </w:r>
      <w:proofErr w:type="spellEnd"/>
      <w:r w:rsidRPr="00690C2A">
        <w:rPr>
          <w:rFonts w:eastAsia="Times New Roman"/>
          <w:color w:val="000000" w:themeColor="text1"/>
          <w:sz w:val="24"/>
          <w:szCs w:val="24"/>
          <w:lang w:val="en-US"/>
        </w:rPr>
        <w:t xml:space="preserve">, L. (2025). Assessing the relationship between </w:t>
      </w:r>
      <w:r w:rsidR="004F1C27" w:rsidRPr="004F1C27">
        <w:rPr>
          <w:rFonts w:eastAsia="Times New Roman"/>
          <w:i/>
          <w:iCs/>
          <w:color w:val="000000" w:themeColor="text1"/>
          <w:sz w:val="24"/>
          <w:szCs w:val="24"/>
          <w:lang w:val="en-US"/>
        </w:rPr>
        <w:t>Lactobacilli</w:t>
      </w:r>
      <w:r w:rsidRPr="00690C2A">
        <w:rPr>
          <w:rFonts w:eastAsia="Times New Roman"/>
          <w:color w:val="000000" w:themeColor="text1"/>
          <w:sz w:val="24"/>
          <w:szCs w:val="24"/>
          <w:lang w:val="en-US"/>
        </w:rPr>
        <w:t xml:space="preserve"> and HPV: A decade of research. </w:t>
      </w:r>
      <w:proofErr w:type="spellStart"/>
      <w:r w:rsidRPr="00690C2A">
        <w:rPr>
          <w:rFonts w:eastAsia="Times New Roman"/>
          <w:i/>
          <w:iCs/>
          <w:color w:val="000000" w:themeColor="text1"/>
          <w:sz w:val="24"/>
          <w:szCs w:val="24"/>
          <w:lang w:val="en-US"/>
        </w:rPr>
        <w:t>Biocell</w:t>
      </w:r>
      <w:proofErr w:type="spellEnd"/>
      <w:r w:rsidRPr="00690C2A">
        <w:rPr>
          <w:rFonts w:eastAsia="Times New Roman"/>
          <w:i/>
          <w:iCs/>
          <w:color w:val="000000" w:themeColor="text1"/>
          <w:sz w:val="24"/>
          <w:szCs w:val="24"/>
          <w:lang w:val="en-US"/>
        </w:rPr>
        <w:t>, 49</w:t>
      </w:r>
      <w:r w:rsidRPr="00690C2A">
        <w:rPr>
          <w:rFonts w:eastAsia="Times New Roman"/>
          <w:color w:val="000000" w:themeColor="text1"/>
          <w:sz w:val="24"/>
          <w:szCs w:val="24"/>
          <w:lang w:val="en-US"/>
        </w:rPr>
        <w:t xml:space="preserve">(2), 199–220. </w:t>
      </w:r>
      <w:hyperlink r:id="rId16" w:tgtFrame="_new" w:history="1">
        <w:r w:rsidRPr="00690C2A">
          <w:rPr>
            <w:rStyle w:val="Hyperlink"/>
            <w:rFonts w:eastAsia="Times New Roman"/>
            <w:color w:val="000000" w:themeColor="text1"/>
            <w:sz w:val="24"/>
            <w:szCs w:val="24"/>
            <w:lang w:val="en-US"/>
          </w:rPr>
          <w:t>https://doi.org/10.32604/biocell.2025.059322</w:t>
        </w:r>
      </w:hyperlink>
    </w:p>
    <w:p w14:paraId="4CBB253C" w14:textId="77777777" w:rsidR="00D730AB" w:rsidRPr="00F60D23" w:rsidRDefault="00D730AB" w:rsidP="00D730AB">
      <w:pPr>
        <w:spacing w:before="100" w:beforeAutospacing="1" w:after="100" w:afterAutospacing="1" w:line="240" w:lineRule="auto"/>
        <w:ind w:left="720" w:hanging="720"/>
        <w:jc w:val="both"/>
        <w:rPr>
          <w:rFonts w:eastAsia="Times New Roman"/>
          <w:color w:val="000000" w:themeColor="text1"/>
          <w:sz w:val="24"/>
          <w:szCs w:val="24"/>
        </w:rPr>
      </w:pPr>
      <w:bookmarkStart w:id="9" w:name="_Hlk199288823"/>
      <w:bookmarkEnd w:id="8"/>
      <w:r w:rsidRPr="00F60D23">
        <w:rPr>
          <w:rFonts w:eastAsia="Times New Roman"/>
          <w:color w:val="000000" w:themeColor="text1"/>
          <w:sz w:val="24"/>
          <w:szCs w:val="24"/>
        </w:rPr>
        <w:t>Yang</w:t>
      </w:r>
      <w:bookmarkEnd w:id="9"/>
      <w:r w:rsidRPr="00F60D23">
        <w:rPr>
          <w:rFonts w:eastAsia="Times New Roman"/>
          <w:color w:val="000000" w:themeColor="text1"/>
          <w:sz w:val="24"/>
          <w:szCs w:val="24"/>
        </w:rPr>
        <w:t xml:space="preserve">, Z., Zhang, Y., </w:t>
      </w:r>
      <w:proofErr w:type="spellStart"/>
      <w:r w:rsidRPr="00F60D23">
        <w:rPr>
          <w:rFonts w:eastAsia="Times New Roman"/>
          <w:color w:val="000000" w:themeColor="text1"/>
          <w:sz w:val="24"/>
          <w:szCs w:val="24"/>
        </w:rPr>
        <w:t>Stubbe-Espejel</w:t>
      </w:r>
      <w:proofErr w:type="spellEnd"/>
      <w:r w:rsidRPr="00F60D23">
        <w:rPr>
          <w:rFonts w:eastAsia="Times New Roman"/>
          <w:color w:val="000000" w:themeColor="text1"/>
          <w:sz w:val="24"/>
          <w:szCs w:val="24"/>
        </w:rPr>
        <w:t>, A., Zhao, Y., Liu, M., Li, J., Zhao, Y., Tong, G., Liu, N., Qi, L., Hutchins, A., Lin, S., &amp; Li, Y. (2022). Vaginal microbiota and personal risk factors associated with HPV status conversion—A new approach to reduce the risk of cervical cancer? PLOS ONE, 17(8), e0270521. https://doi.org/10.1371/journal.pone.0270521</w:t>
      </w:r>
    </w:p>
    <w:p w14:paraId="322DA677" w14:textId="77777777" w:rsidR="00703B40" w:rsidRPr="002F2A7E" w:rsidRDefault="00703B40" w:rsidP="00301EF5">
      <w:pPr>
        <w:spacing w:line="480" w:lineRule="auto"/>
        <w:jc w:val="both"/>
        <w:rPr>
          <w:sz w:val="24"/>
          <w:szCs w:val="24"/>
          <w:lang w:val="en-US"/>
        </w:rPr>
      </w:pPr>
    </w:p>
    <w:sectPr w:rsidR="00703B40" w:rsidRPr="002F2A7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0AC58" w14:textId="77777777" w:rsidR="00923501" w:rsidRDefault="00923501" w:rsidP="0053741C">
      <w:pPr>
        <w:spacing w:after="0" w:line="240" w:lineRule="auto"/>
      </w:pPr>
      <w:r>
        <w:separator/>
      </w:r>
    </w:p>
  </w:endnote>
  <w:endnote w:type="continuationSeparator" w:id="0">
    <w:p w14:paraId="4FEFDD36" w14:textId="77777777" w:rsidR="00923501" w:rsidRDefault="00923501" w:rsidP="0053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560A" w14:textId="77777777" w:rsidR="00EB56DB" w:rsidRDefault="00EB5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098918"/>
      <w:docPartObj>
        <w:docPartGallery w:val="Page Numbers (Bottom of Page)"/>
        <w:docPartUnique/>
      </w:docPartObj>
    </w:sdtPr>
    <w:sdtEndPr>
      <w:rPr>
        <w:noProof/>
      </w:rPr>
    </w:sdtEndPr>
    <w:sdtContent>
      <w:p w14:paraId="4BD59434" w14:textId="3FC3A939" w:rsidR="00147F68" w:rsidRDefault="00147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21542" w14:textId="77777777" w:rsidR="0053741C" w:rsidRDefault="00537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9A1B" w14:textId="77777777" w:rsidR="00EB56DB" w:rsidRDefault="00EB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A21DF" w14:textId="77777777" w:rsidR="00923501" w:rsidRDefault="00923501" w:rsidP="0053741C">
      <w:pPr>
        <w:spacing w:after="0" w:line="240" w:lineRule="auto"/>
      </w:pPr>
      <w:r>
        <w:separator/>
      </w:r>
    </w:p>
  </w:footnote>
  <w:footnote w:type="continuationSeparator" w:id="0">
    <w:p w14:paraId="7B50082A" w14:textId="77777777" w:rsidR="00923501" w:rsidRDefault="00923501" w:rsidP="00537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9F55" w14:textId="0B0EDF7C" w:rsidR="00EB56DB" w:rsidRDefault="00EB56DB">
    <w:pPr>
      <w:pStyle w:val="Header"/>
    </w:pPr>
    <w:r>
      <w:rPr>
        <w:noProof/>
      </w:rPr>
      <w:pict w14:anchorId="4CB30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3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2644" w14:textId="6F7279E3" w:rsidR="00EB56DB" w:rsidRDefault="00EB56DB">
    <w:pPr>
      <w:pStyle w:val="Header"/>
    </w:pPr>
    <w:r>
      <w:rPr>
        <w:noProof/>
      </w:rPr>
      <w:pict w14:anchorId="19B92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3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1B6B9" w14:textId="70497452" w:rsidR="00EB56DB" w:rsidRDefault="00EB56DB">
    <w:pPr>
      <w:pStyle w:val="Header"/>
    </w:pPr>
    <w:r>
      <w:rPr>
        <w:noProof/>
      </w:rPr>
      <w:pict w14:anchorId="6C2F5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3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52FDE"/>
    <w:multiLevelType w:val="hybridMultilevel"/>
    <w:tmpl w:val="DE46D5CC"/>
    <w:lvl w:ilvl="0" w:tplc="1FE28E9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F7E38"/>
    <w:multiLevelType w:val="hybridMultilevel"/>
    <w:tmpl w:val="209C8072"/>
    <w:lvl w:ilvl="0" w:tplc="33CC6F96">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53D99"/>
    <w:multiLevelType w:val="hybridMultilevel"/>
    <w:tmpl w:val="50A68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44C9D"/>
    <w:multiLevelType w:val="hybridMultilevel"/>
    <w:tmpl w:val="CB16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F5"/>
    <w:rsid w:val="00003E51"/>
    <w:rsid w:val="00093571"/>
    <w:rsid w:val="000B70D3"/>
    <w:rsid w:val="000E63C2"/>
    <w:rsid w:val="0012161D"/>
    <w:rsid w:val="00126DD2"/>
    <w:rsid w:val="00142027"/>
    <w:rsid w:val="00147F68"/>
    <w:rsid w:val="001B4069"/>
    <w:rsid w:val="001D0077"/>
    <w:rsid w:val="001E57DA"/>
    <w:rsid w:val="00241252"/>
    <w:rsid w:val="00245BF2"/>
    <w:rsid w:val="00257D09"/>
    <w:rsid w:val="0026620B"/>
    <w:rsid w:val="00282638"/>
    <w:rsid w:val="002D359D"/>
    <w:rsid w:val="002F2A7E"/>
    <w:rsid w:val="00300A9A"/>
    <w:rsid w:val="00301EF5"/>
    <w:rsid w:val="003C20EE"/>
    <w:rsid w:val="003D1CAE"/>
    <w:rsid w:val="003F0DDE"/>
    <w:rsid w:val="003F5A66"/>
    <w:rsid w:val="00451C4B"/>
    <w:rsid w:val="004F1C27"/>
    <w:rsid w:val="005325A9"/>
    <w:rsid w:val="0053741C"/>
    <w:rsid w:val="005650BD"/>
    <w:rsid w:val="005A4083"/>
    <w:rsid w:val="005B210F"/>
    <w:rsid w:val="005C2FE8"/>
    <w:rsid w:val="00600398"/>
    <w:rsid w:val="006475D4"/>
    <w:rsid w:val="00667A40"/>
    <w:rsid w:val="00690C2A"/>
    <w:rsid w:val="00692425"/>
    <w:rsid w:val="006E304C"/>
    <w:rsid w:val="00703B40"/>
    <w:rsid w:val="00725E7D"/>
    <w:rsid w:val="007A1508"/>
    <w:rsid w:val="007E32B1"/>
    <w:rsid w:val="008051C8"/>
    <w:rsid w:val="008B025B"/>
    <w:rsid w:val="008B62F2"/>
    <w:rsid w:val="008E4257"/>
    <w:rsid w:val="008E5F0D"/>
    <w:rsid w:val="00923501"/>
    <w:rsid w:val="00945CA6"/>
    <w:rsid w:val="009C33DC"/>
    <w:rsid w:val="009F5C42"/>
    <w:rsid w:val="00A537E3"/>
    <w:rsid w:val="00A717A7"/>
    <w:rsid w:val="00AE7371"/>
    <w:rsid w:val="00AF467D"/>
    <w:rsid w:val="00B161DB"/>
    <w:rsid w:val="00B25173"/>
    <w:rsid w:val="00B65123"/>
    <w:rsid w:val="00B66880"/>
    <w:rsid w:val="00B82C20"/>
    <w:rsid w:val="00BD0803"/>
    <w:rsid w:val="00BE1071"/>
    <w:rsid w:val="00C15F7A"/>
    <w:rsid w:val="00C3395E"/>
    <w:rsid w:val="00D043AA"/>
    <w:rsid w:val="00D730AB"/>
    <w:rsid w:val="00DC6B14"/>
    <w:rsid w:val="00E63535"/>
    <w:rsid w:val="00E82549"/>
    <w:rsid w:val="00EA3D45"/>
    <w:rsid w:val="00EB56DB"/>
    <w:rsid w:val="00F517A7"/>
    <w:rsid w:val="00F7245D"/>
    <w:rsid w:val="00F75F29"/>
    <w:rsid w:val="00F91037"/>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4AD8D"/>
  <w15:chartTrackingRefBased/>
  <w15:docId w15:val="{D3F1F6B5-03A1-4051-9BB9-E1FED2DF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EF5"/>
    <w:pPr>
      <w:spacing w:after="200" w:line="276" w:lineRule="auto"/>
    </w:pPr>
    <w:rPr>
      <w:rFonts w:ascii="Times New Roman" w:hAnsi="Times New Roman" w:cs="Times New Roman"/>
      <w:lang w:val="en-GB"/>
    </w:rPr>
  </w:style>
  <w:style w:type="paragraph" w:styleId="Heading2">
    <w:name w:val="heading 2"/>
    <w:basedOn w:val="Normal"/>
    <w:link w:val="Heading2Char"/>
    <w:uiPriority w:val="9"/>
    <w:qFormat/>
    <w:rsid w:val="003C20EE"/>
    <w:pPr>
      <w:spacing w:before="100" w:beforeAutospacing="1" w:after="100" w:afterAutospacing="1" w:line="240" w:lineRule="auto"/>
      <w:outlineLvl w:val="1"/>
    </w:pPr>
    <w:rPr>
      <w:rFonts w:eastAsia="Times New Roman"/>
      <w:b/>
      <w:bCs/>
      <w:sz w:val="36"/>
      <w:szCs w:val="36"/>
      <w:lang w:val="en-US"/>
    </w:rPr>
  </w:style>
  <w:style w:type="paragraph" w:styleId="Heading3">
    <w:name w:val="heading 3"/>
    <w:basedOn w:val="Normal"/>
    <w:next w:val="Normal"/>
    <w:link w:val="Heading3Char"/>
    <w:uiPriority w:val="9"/>
    <w:semiHidden/>
    <w:unhideWhenUsed/>
    <w:qFormat/>
    <w:rsid w:val="002F2A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qFormat/>
    <w:rsid w:val="00301EF5"/>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301EF5"/>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2Char">
    <w:name w:val="Heading 2 Char"/>
    <w:basedOn w:val="DefaultParagraphFont"/>
    <w:link w:val="Heading2"/>
    <w:uiPriority w:val="9"/>
    <w:rsid w:val="003C20EE"/>
    <w:rPr>
      <w:rFonts w:ascii="Times New Roman" w:eastAsia="Times New Roman" w:hAnsi="Times New Roman" w:cs="Times New Roman"/>
      <w:b/>
      <w:bCs/>
      <w:sz w:val="36"/>
      <w:szCs w:val="36"/>
    </w:rPr>
  </w:style>
  <w:style w:type="character" w:styleId="Strong">
    <w:name w:val="Strong"/>
    <w:basedOn w:val="DefaultParagraphFont"/>
    <w:uiPriority w:val="22"/>
    <w:qFormat/>
    <w:rsid w:val="003C20EE"/>
    <w:rPr>
      <w:b/>
      <w:bCs/>
    </w:rPr>
  </w:style>
  <w:style w:type="character" w:styleId="Emphasis">
    <w:name w:val="Emphasis"/>
    <w:basedOn w:val="DefaultParagraphFont"/>
    <w:uiPriority w:val="20"/>
    <w:qFormat/>
    <w:rsid w:val="003C20EE"/>
    <w:rPr>
      <w:i/>
      <w:iCs/>
    </w:rPr>
  </w:style>
  <w:style w:type="character" w:customStyle="1" w:styleId="Heading3Char">
    <w:name w:val="Heading 3 Char"/>
    <w:basedOn w:val="DefaultParagraphFont"/>
    <w:link w:val="Heading3"/>
    <w:uiPriority w:val="9"/>
    <w:semiHidden/>
    <w:rsid w:val="002F2A7E"/>
    <w:rPr>
      <w:rFonts w:asciiTheme="majorHAnsi" w:eastAsiaTheme="majorEastAsia" w:hAnsiTheme="majorHAnsi" w:cstheme="majorBidi"/>
      <w:color w:val="1F3763" w:themeColor="accent1" w:themeShade="7F"/>
      <w:sz w:val="24"/>
      <w:szCs w:val="24"/>
      <w:lang w:val="en-GB"/>
    </w:rPr>
  </w:style>
  <w:style w:type="character" w:styleId="Hyperlink">
    <w:name w:val="Hyperlink"/>
    <w:basedOn w:val="DefaultParagraphFont"/>
    <w:uiPriority w:val="99"/>
    <w:unhideWhenUsed/>
    <w:rsid w:val="001D0077"/>
    <w:rPr>
      <w:strike w:val="0"/>
      <w:dstrike w:val="0"/>
      <w:color w:val="54A8A8"/>
      <w:u w:val="none"/>
      <w:effect w:val="none"/>
    </w:rPr>
  </w:style>
  <w:style w:type="paragraph" w:styleId="Header">
    <w:name w:val="header"/>
    <w:basedOn w:val="Normal"/>
    <w:link w:val="HeaderChar"/>
    <w:uiPriority w:val="99"/>
    <w:unhideWhenUsed/>
    <w:rsid w:val="00537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1C"/>
    <w:rPr>
      <w:rFonts w:ascii="Times New Roman" w:hAnsi="Times New Roman" w:cs="Times New Roman"/>
      <w:lang w:val="en-GB"/>
    </w:rPr>
  </w:style>
  <w:style w:type="paragraph" w:styleId="Footer">
    <w:name w:val="footer"/>
    <w:basedOn w:val="Normal"/>
    <w:link w:val="FooterChar"/>
    <w:uiPriority w:val="99"/>
    <w:unhideWhenUsed/>
    <w:rsid w:val="00537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41C"/>
    <w:rPr>
      <w:rFonts w:ascii="Times New Roman" w:hAnsi="Times New Roman" w:cs="Times New Roman"/>
      <w:lang w:val="en-GB"/>
    </w:rPr>
  </w:style>
  <w:style w:type="character" w:styleId="UnresolvedMention">
    <w:name w:val="Unresolved Mention"/>
    <w:basedOn w:val="DefaultParagraphFont"/>
    <w:uiPriority w:val="99"/>
    <w:semiHidden/>
    <w:unhideWhenUsed/>
    <w:rsid w:val="00451C4B"/>
    <w:rPr>
      <w:color w:val="605E5C"/>
      <w:shd w:val="clear" w:color="auto" w:fill="E1DFDD"/>
    </w:rPr>
  </w:style>
  <w:style w:type="paragraph" w:styleId="ListParagraph">
    <w:name w:val="List Paragraph"/>
    <w:basedOn w:val="Normal"/>
    <w:uiPriority w:val="34"/>
    <w:qFormat/>
    <w:rsid w:val="005B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6141">
      <w:bodyDiv w:val="1"/>
      <w:marLeft w:val="0"/>
      <w:marRight w:val="0"/>
      <w:marTop w:val="0"/>
      <w:marBottom w:val="0"/>
      <w:divBdr>
        <w:top w:val="none" w:sz="0" w:space="0" w:color="auto"/>
        <w:left w:val="none" w:sz="0" w:space="0" w:color="auto"/>
        <w:bottom w:val="none" w:sz="0" w:space="0" w:color="auto"/>
        <w:right w:val="none" w:sz="0" w:space="0" w:color="auto"/>
      </w:divBdr>
    </w:div>
    <w:div w:id="340744816">
      <w:bodyDiv w:val="1"/>
      <w:marLeft w:val="0"/>
      <w:marRight w:val="0"/>
      <w:marTop w:val="0"/>
      <w:marBottom w:val="0"/>
      <w:divBdr>
        <w:top w:val="none" w:sz="0" w:space="0" w:color="auto"/>
        <w:left w:val="none" w:sz="0" w:space="0" w:color="auto"/>
        <w:bottom w:val="none" w:sz="0" w:space="0" w:color="auto"/>
        <w:right w:val="none" w:sz="0" w:space="0" w:color="auto"/>
      </w:divBdr>
    </w:div>
    <w:div w:id="483743687">
      <w:bodyDiv w:val="1"/>
      <w:marLeft w:val="0"/>
      <w:marRight w:val="0"/>
      <w:marTop w:val="0"/>
      <w:marBottom w:val="0"/>
      <w:divBdr>
        <w:top w:val="none" w:sz="0" w:space="0" w:color="auto"/>
        <w:left w:val="none" w:sz="0" w:space="0" w:color="auto"/>
        <w:bottom w:val="none" w:sz="0" w:space="0" w:color="auto"/>
        <w:right w:val="none" w:sz="0" w:space="0" w:color="auto"/>
      </w:divBdr>
    </w:div>
    <w:div w:id="499470790">
      <w:bodyDiv w:val="1"/>
      <w:marLeft w:val="0"/>
      <w:marRight w:val="0"/>
      <w:marTop w:val="0"/>
      <w:marBottom w:val="0"/>
      <w:divBdr>
        <w:top w:val="none" w:sz="0" w:space="0" w:color="auto"/>
        <w:left w:val="none" w:sz="0" w:space="0" w:color="auto"/>
        <w:bottom w:val="none" w:sz="0" w:space="0" w:color="auto"/>
        <w:right w:val="none" w:sz="0" w:space="0" w:color="auto"/>
      </w:divBdr>
    </w:div>
    <w:div w:id="796339773">
      <w:bodyDiv w:val="1"/>
      <w:marLeft w:val="0"/>
      <w:marRight w:val="0"/>
      <w:marTop w:val="0"/>
      <w:marBottom w:val="0"/>
      <w:divBdr>
        <w:top w:val="none" w:sz="0" w:space="0" w:color="auto"/>
        <w:left w:val="none" w:sz="0" w:space="0" w:color="auto"/>
        <w:bottom w:val="none" w:sz="0" w:space="0" w:color="auto"/>
        <w:right w:val="none" w:sz="0" w:space="0" w:color="auto"/>
      </w:divBdr>
    </w:div>
    <w:div w:id="933784675">
      <w:bodyDiv w:val="1"/>
      <w:marLeft w:val="0"/>
      <w:marRight w:val="0"/>
      <w:marTop w:val="0"/>
      <w:marBottom w:val="0"/>
      <w:divBdr>
        <w:top w:val="none" w:sz="0" w:space="0" w:color="auto"/>
        <w:left w:val="none" w:sz="0" w:space="0" w:color="auto"/>
        <w:bottom w:val="none" w:sz="0" w:space="0" w:color="auto"/>
        <w:right w:val="none" w:sz="0" w:space="0" w:color="auto"/>
      </w:divBdr>
    </w:div>
    <w:div w:id="1003823173">
      <w:bodyDiv w:val="1"/>
      <w:marLeft w:val="0"/>
      <w:marRight w:val="0"/>
      <w:marTop w:val="0"/>
      <w:marBottom w:val="0"/>
      <w:divBdr>
        <w:top w:val="none" w:sz="0" w:space="0" w:color="auto"/>
        <w:left w:val="none" w:sz="0" w:space="0" w:color="auto"/>
        <w:bottom w:val="none" w:sz="0" w:space="0" w:color="auto"/>
        <w:right w:val="none" w:sz="0" w:space="0" w:color="auto"/>
      </w:divBdr>
    </w:div>
    <w:div w:id="1089694500">
      <w:bodyDiv w:val="1"/>
      <w:marLeft w:val="0"/>
      <w:marRight w:val="0"/>
      <w:marTop w:val="0"/>
      <w:marBottom w:val="0"/>
      <w:divBdr>
        <w:top w:val="none" w:sz="0" w:space="0" w:color="auto"/>
        <w:left w:val="none" w:sz="0" w:space="0" w:color="auto"/>
        <w:bottom w:val="none" w:sz="0" w:space="0" w:color="auto"/>
        <w:right w:val="none" w:sz="0" w:space="0" w:color="auto"/>
      </w:divBdr>
    </w:div>
    <w:div w:id="1224218062">
      <w:bodyDiv w:val="1"/>
      <w:marLeft w:val="0"/>
      <w:marRight w:val="0"/>
      <w:marTop w:val="0"/>
      <w:marBottom w:val="0"/>
      <w:divBdr>
        <w:top w:val="none" w:sz="0" w:space="0" w:color="auto"/>
        <w:left w:val="none" w:sz="0" w:space="0" w:color="auto"/>
        <w:bottom w:val="none" w:sz="0" w:space="0" w:color="auto"/>
        <w:right w:val="none" w:sz="0" w:space="0" w:color="auto"/>
      </w:divBdr>
    </w:div>
    <w:div w:id="1382443299">
      <w:bodyDiv w:val="1"/>
      <w:marLeft w:val="0"/>
      <w:marRight w:val="0"/>
      <w:marTop w:val="0"/>
      <w:marBottom w:val="0"/>
      <w:divBdr>
        <w:top w:val="none" w:sz="0" w:space="0" w:color="auto"/>
        <w:left w:val="none" w:sz="0" w:space="0" w:color="auto"/>
        <w:bottom w:val="none" w:sz="0" w:space="0" w:color="auto"/>
        <w:right w:val="none" w:sz="0" w:space="0" w:color="auto"/>
      </w:divBdr>
    </w:div>
    <w:div w:id="1742219294">
      <w:bodyDiv w:val="1"/>
      <w:marLeft w:val="0"/>
      <w:marRight w:val="0"/>
      <w:marTop w:val="0"/>
      <w:marBottom w:val="0"/>
      <w:divBdr>
        <w:top w:val="none" w:sz="0" w:space="0" w:color="auto"/>
        <w:left w:val="none" w:sz="0" w:space="0" w:color="auto"/>
        <w:bottom w:val="none" w:sz="0" w:space="0" w:color="auto"/>
        <w:right w:val="none" w:sz="0" w:space="0" w:color="auto"/>
      </w:divBdr>
    </w:div>
    <w:div w:id="1847211304">
      <w:bodyDiv w:val="1"/>
      <w:marLeft w:val="0"/>
      <w:marRight w:val="0"/>
      <w:marTop w:val="0"/>
      <w:marBottom w:val="0"/>
      <w:divBdr>
        <w:top w:val="none" w:sz="0" w:space="0" w:color="auto"/>
        <w:left w:val="none" w:sz="0" w:space="0" w:color="auto"/>
        <w:bottom w:val="none" w:sz="0" w:space="0" w:color="auto"/>
        <w:right w:val="none" w:sz="0" w:space="0" w:color="auto"/>
      </w:divBdr>
    </w:div>
    <w:div w:id="207017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vcentre.net/statistics/reports/NGA.pdf" TargetMode="External"/><Relationship Id="rId13" Type="http://schemas.openxmlformats.org/officeDocument/2006/relationships/hyperlink" Target="https://doi.org/10.1073/pnas.100261110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S2214-109X(19)30482-6" TargetMode="External"/><Relationship Id="rId12" Type="http://schemas.openxmlformats.org/officeDocument/2006/relationships/hyperlink" Target="https://doi.org/10.3390/healthcare1105065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2604/biocell.2025.05932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467-020-15856-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2/caac.21660" TargetMode="External"/><Relationship Id="rId23" Type="http://schemas.openxmlformats.org/officeDocument/2006/relationships/fontTable" Target="fontTable.xml"/><Relationship Id="rId10" Type="http://schemas.openxmlformats.org/officeDocument/2006/relationships/hyperlink" Target="https://doi.org/10.1016/j.trsl.2016.07.0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bpobgyn.2017.08.015" TargetMode="External"/><Relationship Id="rId14" Type="http://schemas.openxmlformats.org/officeDocument/2006/relationships/hyperlink" Target="https://doi.org/10.1002/jmv.2783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Yahaya</dc:creator>
  <cp:keywords/>
  <dc:description/>
  <cp:lastModifiedBy>SDI 1084</cp:lastModifiedBy>
  <cp:revision>7</cp:revision>
  <cp:lastPrinted>2025-05-28T10:53:00Z</cp:lastPrinted>
  <dcterms:created xsi:type="dcterms:W3CDTF">2025-07-30T10:10:00Z</dcterms:created>
  <dcterms:modified xsi:type="dcterms:W3CDTF">2025-07-31T10:59:00Z</dcterms:modified>
</cp:coreProperties>
</file>