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973B0" w14:textId="77777777" w:rsidR="00CA7818" w:rsidRDefault="00C97931" w:rsidP="00C97931">
      <w:pPr>
        <w:ind w:left="0" w:firstLine="0"/>
        <w:jc w:val="center"/>
        <w:rPr>
          <w:rFonts w:ascii="Times New Roman" w:hAnsi="Times New Roman" w:cs="Times New Roman"/>
          <w:b/>
          <w:bCs/>
          <w:sz w:val="28"/>
          <w:szCs w:val="28"/>
        </w:rPr>
      </w:pPr>
      <w:r w:rsidRPr="00C97931">
        <w:rPr>
          <w:rFonts w:ascii="Times New Roman" w:hAnsi="Times New Roman" w:cs="Times New Roman"/>
          <w:b/>
          <w:bCs/>
          <w:sz w:val="28"/>
          <w:szCs w:val="28"/>
        </w:rPr>
        <w:t>Characterization of different marigold (</w:t>
      </w:r>
      <w:r w:rsidRPr="00C97931">
        <w:rPr>
          <w:rFonts w:ascii="Times New Roman" w:hAnsi="Times New Roman" w:cs="Times New Roman"/>
          <w:b/>
          <w:bCs/>
          <w:i/>
          <w:iCs/>
          <w:sz w:val="28"/>
          <w:szCs w:val="28"/>
        </w:rPr>
        <w:t>Tagetes erecta</w:t>
      </w:r>
      <w:r w:rsidRPr="00C97931">
        <w:rPr>
          <w:rFonts w:ascii="Times New Roman" w:hAnsi="Times New Roman" w:cs="Times New Roman"/>
          <w:b/>
          <w:bCs/>
          <w:sz w:val="28"/>
          <w:szCs w:val="28"/>
        </w:rPr>
        <w:t xml:space="preserve"> L.</w:t>
      </w:r>
      <w:r>
        <w:rPr>
          <w:rFonts w:ascii="Times New Roman" w:hAnsi="Times New Roman" w:cs="Times New Roman"/>
          <w:b/>
          <w:bCs/>
          <w:sz w:val="28"/>
          <w:szCs w:val="28"/>
        </w:rPr>
        <w:t xml:space="preserve">) </w:t>
      </w:r>
      <w:r w:rsidRPr="00C97931">
        <w:rPr>
          <w:rFonts w:ascii="Times New Roman" w:hAnsi="Times New Roman" w:cs="Times New Roman"/>
          <w:b/>
          <w:bCs/>
          <w:sz w:val="28"/>
          <w:szCs w:val="28"/>
        </w:rPr>
        <w:t xml:space="preserve">varieties through their morphology and yield in the </w:t>
      </w:r>
      <w:r w:rsidR="002D7B14" w:rsidRPr="00C97931">
        <w:rPr>
          <w:rFonts w:ascii="Times New Roman" w:hAnsi="Times New Roman" w:cs="Times New Roman"/>
          <w:b/>
          <w:bCs/>
          <w:sz w:val="28"/>
          <w:szCs w:val="28"/>
        </w:rPr>
        <w:t>North-eastern</w:t>
      </w:r>
      <w:r w:rsidRPr="00C97931">
        <w:rPr>
          <w:rFonts w:ascii="Times New Roman" w:hAnsi="Times New Roman" w:cs="Times New Roman"/>
          <w:b/>
          <w:bCs/>
          <w:sz w:val="28"/>
          <w:szCs w:val="28"/>
        </w:rPr>
        <w:t xml:space="preserve"> Ghat Zone of Odisha</w:t>
      </w:r>
    </w:p>
    <w:p w14:paraId="5B43D580" w14:textId="77777777" w:rsidR="00B74034" w:rsidRDefault="00B74034" w:rsidP="00C810F7">
      <w:pPr>
        <w:ind w:left="0" w:firstLine="0"/>
        <w:jc w:val="center"/>
        <w:rPr>
          <w:rFonts w:ascii="Times New Roman" w:hAnsi="Times New Roman" w:cs="Times New Roman"/>
          <w:b/>
          <w:bCs/>
          <w:sz w:val="28"/>
          <w:szCs w:val="28"/>
          <w:vertAlign w:val="superscript"/>
        </w:rPr>
      </w:pPr>
      <w:bookmarkStart w:id="0" w:name="_GoBack"/>
      <w:bookmarkEnd w:id="0"/>
    </w:p>
    <w:p w14:paraId="0ED92515" w14:textId="77777777" w:rsidR="009B53AA" w:rsidRPr="00A80C65" w:rsidRDefault="00367977" w:rsidP="00C810F7">
      <w:pPr>
        <w:ind w:left="0" w:firstLine="0"/>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3B7043D0" w14:textId="77777777" w:rsidR="003151C1" w:rsidRPr="00B41053" w:rsidRDefault="003C35E2" w:rsidP="00830B89">
      <w:pPr>
        <w:spacing w:line="360" w:lineRule="auto"/>
        <w:ind w:left="0" w:firstLine="0"/>
        <w:rPr>
          <w:rFonts w:ascii="Times New Roman" w:hAnsi="Times New Roman" w:cs="Times New Roman"/>
          <w:sz w:val="24"/>
          <w:szCs w:val="24"/>
        </w:rPr>
      </w:pPr>
      <w:r w:rsidRPr="003C35E2">
        <w:rPr>
          <w:rFonts w:ascii="Times New Roman" w:hAnsi="Times New Roman" w:cs="Times New Roman"/>
          <w:sz w:val="24"/>
          <w:szCs w:val="24"/>
        </w:rPr>
        <w:t>Marigold occupies the topmost position in loose flower production, and variability in productivity is attributed to genetic differences and genotype-environment interactions.</w:t>
      </w:r>
      <w:r>
        <w:rPr>
          <w:rFonts w:ascii="Times New Roman" w:hAnsi="Times New Roman" w:cs="Times New Roman"/>
          <w:sz w:val="24"/>
          <w:szCs w:val="24"/>
        </w:rPr>
        <w:t xml:space="preserve"> </w:t>
      </w:r>
      <w:r w:rsidR="00367977" w:rsidRPr="00367977">
        <w:rPr>
          <w:rFonts w:ascii="Times New Roman" w:hAnsi="Times New Roman" w:cs="Times New Roman"/>
          <w:sz w:val="24"/>
          <w:szCs w:val="24"/>
        </w:rPr>
        <w:t>This study evaluates the performance of ten flowering plant varieties (T1 to T</w:t>
      </w:r>
      <w:r w:rsidR="00367977" w:rsidRPr="004E27C4">
        <w:rPr>
          <w:rFonts w:ascii="Times New Roman" w:hAnsi="Times New Roman" w:cs="Times New Roman"/>
          <w:sz w:val="24"/>
          <w:szCs w:val="24"/>
        </w:rPr>
        <w:t>10</w:t>
      </w:r>
      <w:r w:rsidR="00367977" w:rsidRPr="00367977">
        <w:rPr>
          <w:rFonts w:ascii="Times New Roman" w:hAnsi="Times New Roman" w:cs="Times New Roman"/>
          <w:sz w:val="24"/>
          <w:szCs w:val="24"/>
        </w:rPr>
        <w:t xml:space="preserve">) over two years (2023 and 2024) based </w:t>
      </w:r>
      <w:r w:rsidR="003151C1">
        <w:rPr>
          <w:rFonts w:ascii="Times New Roman" w:hAnsi="Times New Roman" w:cs="Times New Roman"/>
          <w:sz w:val="24"/>
          <w:szCs w:val="24"/>
        </w:rPr>
        <w:t xml:space="preserve">on morphological and yield attributes characters in </w:t>
      </w:r>
      <w:r w:rsidR="003151C1" w:rsidRPr="003151C1">
        <w:rPr>
          <w:rFonts w:ascii="Times New Roman" w:hAnsi="Times New Roman" w:cs="Times New Roman"/>
          <w:sz w:val="24"/>
          <w:szCs w:val="24"/>
        </w:rPr>
        <w:t>randomized block design</w:t>
      </w:r>
      <w:r w:rsidR="003151C1">
        <w:rPr>
          <w:rFonts w:ascii="Times New Roman" w:hAnsi="Times New Roman" w:cs="Times New Roman"/>
          <w:sz w:val="24"/>
          <w:szCs w:val="24"/>
        </w:rPr>
        <w:t xml:space="preserve"> at </w:t>
      </w:r>
      <w:r w:rsidR="003151C1" w:rsidRPr="003151C1">
        <w:rPr>
          <w:rFonts w:ascii="Times New Roman" w:hAnsi="Times New Roman" w:cs="Times New Roman"/>
          <w:sz w:val="24"/>
          <w:szCs w:val="24"/>
        </w:rPr>
        <w:t>the North-eastern Ghat Zone of Odisha</w:t>
      </w:r>
      <w:r w:rsidR="00367977" w:rsidRPr="003151C1">
        <w:rPr>
          <w:rFonts w:ascii="Times New Roman" w:hAnsi="Times New Roman" w:cs="Times New Roman"/>
          <w:sz w:val="24"/>
          <w:szCs w:val="24"/>
        </w:rPr>
        <w:t>.</w:t>
      </w:r>
      <w:r w:rsidR="00367977" w:rsidRPr="00367977">
        <w:rPr>
          <w:rFonts w:ascii="Times New Roman" w:hAnsi="Times New Roman" w:cs="Times New Roman"/>
          <w:sz w:val="24"/>
          <w:szCs w:val="24"/>
        </w:rPr>
        <w:t xml:space="preserve"> The experiment was conducted to identify varieties with superior traits for commercial floriculture. Results indicate significant variability among varieties, with T5-A. Vibha exhibiting the highest yield</w:t>
      </w:r>
      <w:r w:rsidR="003151C1">
        <w:rPr>
          <w:rFonts w:ascii="Times New Roman" w:hAnsi="Times New Roman" w:cs="Times New Roman"/>
          <w:sz w:val="24"/>
          <w:szCs w:val="24"/>
        </w:rPr>
        <w:t xml:space="preserve"> (34.2 q ha</w:t>
      </w:r>
      <w:r w:rsidR="003151C1" w:rsidRPr="003151C1">
        <w:rPr>
          <w:rFonts w:ascii="Times New Roman" w:hAnsi="Times New Roman" w:cs="Times New Roman"/>
          <w:sz w:val="24"/>
          <w:szCs w:val="24"/>
          <w:vertAlign w:val="superscript"/>
        </w:rPr>
        <w:t>-1</w:t>
      </w:r>
      <w:r w:rsidR="003151C1">
        <w:rPr>
          <w:rFonts w:ascii="Times New Roman" w:hAnsi="Times New Roman" w:cs="Times New Roman"/>
          <w:sz w:val="24"/>
          <w:szCs w:val="24"/>
        </w:rPr>
        <w:t xml:space="preserve">) </w:t>
      </w:r>
      <w:r w:rsidR="00367977" w:rsidRPr="00367977">
        <w:rPr>
          <w:rFonts w:ascii="Times New Roman" w:hAnsi="Times New Roman" w:cs="Times New Roman"/>
          <w:sz w:val="24"/>
          <w:szCs w:val="24"/>
        </w:rPr>
        <w:t xml:space="preserve">and largest </w:t>
      </w:r>
      <w:r w:rsidR="003151C1">
        <w:rPr>
          <w:rFonts w:ascii="Times New Roman" w:hAnsi="Times New Roman" w:cs="Times New Roman"/>
          <w:sz w:val="24"/>
          <w:szCs w:val="24"/>
        </w:rPr>
        <w:t>flower diameter (6.6cm</w:t>
      </w:r>
      <w:r w:rsidR="00367977" w:rsidRPr="00367977">
        <w:rPr>
          <w:rFonts w:ascii="Times New Roman" w:hAnsi="Times New Roman" w:cs="Times New Roman"/>
          <w:sz w:val="24"/>
          <w:szCs w:val="24"/>
        </w:rPr>
        <w:t xml:space="preserve">). </w:t>
      </w:r>
      <w:r w:rsidR="003151C1" w:rsidRPr="00367977">
        <w:rPr>
          <w:rFonts w:ascii="Times New Roman" w:hAnsi="Times New Roman" w:cs="Times New Roman"/>
          <w:sz w:val="24"/>
          <w:szCs w:val="24"/>
        </w:rPr>
        <w:t>A. Vibha</w:t>
      </w:r>
      <w:r w:rsidR="003151C1">
        <w:rPr>
          <w:rFonts w:ascii="Times New Roman" w:hAnsi="Times New Roman" w:cs="Times New Roman"/>
          <w:sz w:val="24"/>
          <w:szCs w:val="24"/>
        </w:rPr>
        <w:t xml:space="preserve"> produced 3.4</w:t>
      </w:r>
      <w:r w:rsidR="004E27C4">
        <w:rPr>
          <w:rFonts w:ascii="Times New Roman" w:hAnsi="Times New Roman" w:cs="Times New Roman"/>
          <w:sz w:val="24"/>
          <w:szCs w:val="24"/>
        </w:rPr>
        <w:t xml:space="preserve"> </w:t>
      </w:r>
      <w:r w:rsidR="003151C1">
        <w:rPr>
          <w:rFonts w:ascii="Times New Roman" w:hAnsi="Times New Roman" w:cs="Times New Roman"/>
          <w:sz w:val="24"/>
          <w:szCs w:val="24"/>
        </w:rPr>
        <w:t>times higher yield compared to</w:t>
      </w:r>
      <w:r w:rsidR="003151C1" w:rsidRPr="003151C1">
        <w:t xml:space="preserve"> </w:t>
      </w:r>
      <w:r w:rsidR="003151C1" w:rsidRPr="003151C1">
        <w:rPr>
          <w:rFonts w:ascii="Times New Roman" w:hAnsi="Times New Roman" w:cs="Times New Roman"/>
          <w:sz w:val="24"/>
          <w:szCs w:val="24"/>
        </w:rPr>
        <w:t>GFM-1</w:t>
      </w:r>
      <w:r w:rsidR="00906B00">
        <w:rPr>
          <w:rFonts w:ascii="Times New Roman" w:hAnsi="Times New Roman" w:cs="Times New Roman"/>
          <w:sz w:val="24"/>
          <w:szCs w:val="24"/>
        </w:rPr>
        <w:t xml:space="preserve"> with the </w:t>
      </w:r>
      <w:r w:rsidR="00A80C65">
        <w:rPr>
          <w:rFonts w:ascii="Times New Roman" w:hAnsi="Times New Roman" w:cs="Times New Roman"/>
          <w:sz w:val="24"/>
          <w:szCs w:val="24"/>
        </w:rPr>
        <w:t xml:space="preserve">higher </w:t>
      </w:r>
      <w:r w:rsidR="00906B00">
        <w:rPr>
          <w:rFonts w:ascii="Times New Roman" w:hAnsi="Times New Roman" w:cs="Times New Roman"/>
          <w:sz w:val="24"/>
          <w:szCs w:val="24"/>
        </w:rPr>
        <w:t xml:space="preserve">net return of </w:t>
      </w:r>
      <w:r w:rsidR="00A80C65">
        <w:rPr>
          <w:rFonts w:ascii="Times New Roman" w:hAnsi="Times New Roman" w:cs="Times New Roman"/>
          <w:sz w:val="24"/>
          <w:szCs w:val="24"/>
        </w:rPr>
        <w:t xml:space="preserve">Rs. </w:t>
      </w:r>
      <w:r w:rsidR="00906B00" w:rsidRPr="00906B00">
        <w:rPr>
          <w:rFonts w:ascii="Times New Roman" w:hAnsi="Times New Roman" w:cs="Times New Roman"/>
          <w:sz w:val="24"/>
          <w:szCs w:val="24"/>
        </w:rPr>
        <w:t>20</w:t>
      </w:r>
      <w:r w:rsidR="00A80C65">
        <w:rPr>
          <w:rFonts w:ascii="Times New Roman" w:hAnsi="Times New Roman" w:cs="Times New Roman"/>
          <w:sz w:val="24"/>
          <w:szCs w:val="24"/>
        </w:rPr>
        <w:t>00</w:t>
      </w:r>
      <w:r w:rsidR="00906B00" w:rsidRPr="00906B00">
        <w:rPr>
          <w:rFonts w:ascii="Times New Roman" w:hAnsi="Times New Roman" w:cs="Times New Roman"/>
          <w:sz w:val="24"/>
          <w:szCs w:val="24"/>
        </w:rPr>
        <w:t>00</w:t>
      </w:r>
      <w:r w:rsidR="00A80C65">
        <w:rPr>
          <w:rFonts w:ascii="Times New Roman" w:hAnsi="Times New Roman" w:cs="Times New Roman"/>
          <w:sz w:val="24"/>
          <w:szCs w:val="24"/>
        </w:rPr>
        <w:t xml:space="preserve"> ha</w:t>
      </w:r>
      <w:r w:rsidR="00A80C65" w:rsidRPr="00A80C65">
        <w:rPr>
          <w:rFonts w:ascii="Times New Roman" w:hAnsi="Times New Roman" w:cs="Times New Roman"/>
          <w:sz w:val="24"/>
          <w:szCs w:val="24"/>
          <w:vertAlign w:val="superscript"/>
        </w:rPr>
        <w:t>-1</w:t>
      </w:r>
      <w:r w:rsidR="00A80C65">
        <w:rPr>
          <w:rFonts w:ascii="Times New Roman" w:hAnsi="Times New Roman" w:cs="Times New Roman"/>
          <w:sz w:val="24"/>
          <w:szCs w:val="24"/>
        </w:rPr>
        <w:t xml:space="preserve"> respectively.</w:t>
      </w:r>
      <w:r w:rsidR="003151C1">
        <w:rPr>
          <w:rFonts w:ascii="Times New Roman" w:hAnsi="Times New Roman" w:cs="Times New Roman"/>
          <w:sz w:val="24"/>
          <w:szCs w:val="24"/>
        </w:rPr>
        <w:t xml:space="preserve"> </w:t>
      </w:r>
      <w:r w:rsidR="00367977" w:rsidRPr="00367977">
        <w:rPr>
          <w:rFonts w:ascii="Times New Roman" w:hAnsi="Times New Roman" w:cs="Times New Roman"/>
          <w:sz w:val="24"/>
          <w:szCs w:val="24"/>
        </w:rPr>
        <w:t>These findings provide valuable insights for selecting high-performing varieties and optimizing cultivation practices in floriculture.</w:t>
      </w:r>
      <w:r w:rsidR="004E27C4">
        <w:rPr>
          <w:rFonts w:ascii="Times New Roman" w:hAnsi="Times New Roman" w:cs="Times New Roman"/>
          <w:sz w:val="24"/>
          <w:szCs w:val="24"/>
        </w:rPr>
        <w:t xml:space="preserve"> </w:t>
      </w:r>
    </w:p>
    <w:p w14:paraId="5CE64A58" w14:textId="77777777" w:rsidR="00850C3C" w:rsidRDefault="00850C3C" w:rsidP="007668C0">
      <w:pPr>
        <w:ind w:left="0" w:firstLine="0"/>
        <w:rPr>
          <w:rFonts w:ascii="Times New Roman" w:hAnsi="Times New Roman" w:cs="Times New Roman"/>
          <w:b/>
          <w:bCs/>
          <w:sz w:val="24"/>
          <w:szCs w:val="24"/>
        </w:rPr>
      </w:pPr>
      <w:r w:rsidRPr="00850C3C">
        <w:rPr>
          <w:rFonts w:ascii="Times New Roman" w:hAnsi="Times New Roman" w:cs="Times New Roman"/>
          <w:b/>
          <w:bCs/>
          <w:sz w:val="24"/>
          <w:szCs w:val="24"/>
        </w:rPr>
        <w:t>Introduction</w:t>
      </w:r>
    </w:p>
    <w:p w14:paraId="09BEEC43" w14:textId="77777777" w:rsidR="004F46AB" w:rsidRDefault="00367977" w:rsidP="004F46AB">
      <w:pPr>
        <w:pStyle w:val="NormalWeb"/>
        <w:spacing w:line="360" w:lineRule="auto"/>
        <w:jc w:val="both"/>
      </w:pPr>
      <w:r w:rsidRPr="00367977">
        <w:t xml:space="preserve">Floriculture is a vital sector of modern agriculture, driven by the demand for ornamental plants with desirable traits such as large flower size, high yield, and robust growth </w:t>
      </w:r>
      <w:r>
        <w:t>(</w:t>
      </w:r>
      <w:r w:rsidR="00EC7B07" w:rsidRPr="00EC7B07">
        <w:t>Titisari</w:t>
      </w:r>
      <w:r w:rsidR="00EC7B07">
        <w:t xml:space="preserve"> </w:t>
      </w:r>
      <w:r w:rsidRPr="00367977">
        <w:t>202</w:t>
      </w:r>
      <w:r w:rsidR="00EC7B07">
        <w:t>5</w:t>
      </w:r>
      <w:r>
        <w:t>)</w:t>
      </w:r>
      <w:r w:rsidRPr="00367977">
        <w:t xml:space="preserve">. </w:t>
      </w:r>
      <w:r w:rsidR="004F46AB">
        <w:t>Marigold (</w:t>
      </w:r>
      <w:r w:rsidR="004F46AB">
        <w:rPr>
          <w:rStyle w:val="Emphasis"/>
        </w:rPr>
        <w:t>Tagetes erecta</w:t>
      </w:r>
      <w:r w:rsidR="004F46AB">
        <w:t xml:space="preserve"> L.), a member of the </w:t>
      </w:r>
      <w:r w:rsidR="004F46AB" w:rsidRPr="00127C9F">
        <w:rPr>
          <w:i/>
          <w:iCs/>
        </w:rPr>
        <w:t xml:space="preserve">Asteraceae </w:t>
      </w:r>
      <w:r w:rsidR="004F46AB">
        <w:t xml:space="preserve">family, is one of the most important commercial annual flower crops in India. It is widely cultivated and holds traditional significance, making it the most popular flower across the country. Marigolds are known for their excellent keeping quality and adaptability to diverse growing conditions, making them more versatile than many other annual flowering plants. In addition to their widespread use in landscape gardening, marigolds are grown for ornamental purposes and marketed in various forms such as cut flowers, loose flowers sold in bulk, garlands, and decorations for religious and cultural events. Marigolds also play a significant role in integrated pest management; they suppress soil nematode populations and act as a trap crop to control fruit borers in tomato cultivation. Furthermore, they show potential in phytoremediation due to their pollutant-absorbing abilities. The crop's year-round availability, ease of cultivation, and broad adaptability have contributed to its rising popularity across India. Marigolds are often referred to as the "poor man's crop" because they provide a good return even when cultivated on a small scale, such as in backyard gardens. Despite this, the currently available varieties tend to have lower yields, reduced vigor, and are more prone to lodging, highlighting the need for the </w:t>
      </w:r>
      <w:r w:rsidR="004F46AB">
        <w:lastRenderedPageBreak/>
        <w:t>development of genetically stable, high-yielding, semi-tall genotypes (</w:t>
      </w:r>
      <w:r w:rsidR="00D01949" w:rsidRPr="00D01949">
        <w:t>Kumar</w:t>
      </w:r>
      <w:r w:rsidR="004F46AB">
        <w:t xml:space="preserve"> et al., 20</w:t>
      </w:r>
      <w:r w:rsidR="00D01949">
        <w:t>22</w:t>
      </w:r>
      <w:r w:rsidR="004F46AB">
        <w:t xml:space="preserve">). Genetic variability plays a critical role in plant breeding, as it determines the potential for selecting superior genotypes. Since marigold is a cross-pollinated crop, the development of high-yielding varieties with specific desirable flower colours can significantly enhance farmer income. The vibrant marigold flowers are also rich in xanthophyll, a natural pigment used in poultry feed to enhance the colour of egg yolks and chicken skin, and in the textile industry for fabric dyeing. </w:t>
      </w:r>
      <w:r w:rsidR="001F1DB5" w:rsidRPr="001F1DB5">
        <w:t xml:space="preserve">This varietal performs well across different locations, seasons, and varying environmental conditions, maximizing its potential for successful adoption by farmers. </w:t>
      </w:r>
      <w:r w:rsidR="004F46AB">
        <w:t xml:space="preserve">To meet the growing demand and breeding objectives, research has been carried out to assess variability among marigold genotypes for traits of economic importance. Odisha, with its diverse agro-climatic zones, is well-suited for the cultivation of a wide range of horticultural crops, including fruits, vegetables, flowers, and spices. Given that high-value horticultural crops offer better economic returns per unit area than traditional field crops, it is essential to focus on their development. In this context, ten African marigold cultivars were evaluated under the </w:t>
      </w:r>
      <w:r w:rsidR="00127C9F">
        <w:t>North-eastern</w:t>
      </w:r>
      <w:r w:rsidR="004F46AB">
        <w:t xml:space="preserve"> </w:t>
      </w:r>
      <w:r w:rsidR="00127C9F">
        <w:t>Ghats</w:t>
      </w:r>
      <w:r w:rsidR="004F46AB">
        <w:t xml:space="preserve"> Zone of Odisha to identify promising types that could enhance production, productivity, and profitability for farmers in the region.</w:t>
      </w:r>
    </w:p>
    <w:p w14:paraId="7C7A7517" w14:textId="77777777" w:rsidR="007C43C1" w:rsidRPr="004F46AB" w:rsidRDefault="006F259F" w:rsidP="004F46AB">
      <w:pPr>
        <w:pStyle w:val="NormalWeb"/>
        <w:spacing w:line="360" w:lineRule="auto"/>
        <w:jc w:val="both"/>
        <w:rPr>
          <w:b/>
          <w:bCs/>
        </w:rPr>
      </w:pPr>
      <w:r w:rsidRPr="004F46AB">
        <w:rPr>
          <w:b/>
          <w:bCs/>
        </w:rPr>
        <w:t>Material and Method</w:t>
      </w:r>
    </w:p>
    <w:p w14:paraId="00EB00C0" w14:textId="77777777" w:rsidR="006F259F" w:rsidRDefault="003F2DD2" w:rsidP="00DF5A03">
      <w:pPr>
        <w:pStyle w:val="NormalWeb"/>
        <w:spacing w:line="360" w:lineRule="auto"/>
        <w:jc w:val="both"/>
      </w:pPr>
      <w:r>
        <w:t xml:space="preserve">The experimental trials were conducted at the Regional Research and Technology Transfer Station, G. Udayagiri, located at 20.5472° N latitude and 84.2286° E longitude. Due to its position in the north-eastern corner of the Deccan Plateau, the district enjoys a milder climate compared to the main </w:t>
      </w:r>
      <w:r w:rsidR="008C0E7E">
        <w:t>d</w:t>
      </w:r>
      <w:r>
        <w:t>eccan region. The area receives an average annual rainfall of 1427.9 mm, with approximately 74 rainy days per year (defined as days with at least 2.5 mm of rainfall). The climate is broadly categorized into four seasons: the hot summer season (March to May), the southwest monsoon season (June to September), the post-monsoon season (October to November), and the winter season (December to February). Figure 1 presents the average monthly weather parameters recorded during the cropping period.</w:t>
      </w:r>
      <w:r w:rsidR="00DF5A03" w:rsidRPr="00DF5A03">
        <w:t xml:space="preserve"> </w:t>
      </w:r>
      <w:r w:rsidR="00DF5A03">
        <w:t xml:space="preserve">The soil at the experimental site was classified as sandy loam in texture. The bulk density (BD) of the soil was recorded at 1.51 g cm⁻³, indicating a moderately compacted structure. The soil exhibited a slightly acidic reaction, with a pH of 5.8. The electrical conductivity (EC) measured at 25°C was 1.10 dS m⁻¹, which falls within the normal range for crop cultivation, suggesting non-saline conditions. The organic carbon content of the soil was 5.72 g kg⁻¹, reflecting a moderate level of organic matter. The soil was found to have available nitrogen (N) content of 220 kg </w:t>
      </w:r>
      <w:r w:rsidR="00DF5A03">
        <w:lastRenderedPageBreak/>
        <w:t xml:space="preserve">ha⁻¹, available phosphorus (P) of 12 kg ha⁻¹, and available potassium (K) of 180 kg ha⁻¹, indicating a medium fertility status in terms of macronutrients essential for crop growth. </w:t>
      </w:r>
      <w:r>
        <w:t xml:space="preserve">The experiment </w:t>
      </w:r>
      <w:r w:rsidR="00367977">
        <w:t xml:space="preserve">involved ten marigold varieties </w:t>
      </w:r>
      <w:r>
        <w:t>A. Abhi, A. Subha, B. Kaligendu, BM-4, A. Vibha, GFM-1, P. Arpita, P</w:t>
      </w:r>
      <w:r w:rsidR="00367977">
        <w:t xml:space="preserve">unjab Gaindu, BM-2, and P. Deep </w:t>
      </w:r>
      <w:r>
        <w:t>arranged in a randomized block design (RBD) with three replications (Fig. 2). Standard agronomic practices were followed throughout the trial. Observations were recorded on morphological traits such as plant height, number of primary and secondary branches per plant, and plant spread at 60 and 90 days after transplanting (DAT). Yield attributes included the number of days to 50% flowering, number of flowers per plant, flower diameter, average flower weight per plant, total flower yield, and number of flower head colours. The benefit-cost ratio was calculated following the methodology described by Mohapatra et al. (2023).</w:t>
      </w:r>
    </w:p>
    <w:p w14:paraId="52886FEF" w14:textId="77777777" w:rsidR="006523C2" w:rsidRDefault="006523C2" w:rsidP="003F2DD2">
      <w:pPr>
        <w:pStyle w:val="NormalWeb"/>
        <w:spacing w:line="360" w:lineRule="auto"/>
        <w:jc w:val="both"/>
      </w:pPr>
      <w:r>
        <w:t>Benefit -Cost ratio =</w:t>
      </w:r>
      <m:oMath>
        <m:f>
          <m:fPr>
            <m:ctrlPr>
              <w:rPr>
                <w:rFonts w:ascii="Cambria Math" w:hAnsi="Cambria Math"/>
                <w:i/>
              </w:rPr>
            </m:ctrlPr>
          </m:fPr>
          <m:num>
            <m:r>
              <w:rPr>
                <w:rFonts w:ascii="Cambria Math" w:hAnsi="Cambria Math"/>
              </w:rPr>
              <m:t>Gross Income</m:t>
            </m:r>
          </m:num>
          <m:den>
            <m:r>
              <w:rPr>
                <w:rFonts w:ascii="Cambria Math" w:hAnsi="Cambria Math"/>
              </w:rPr>
              <m:t>Cost of cultivation</m:t>
            </m:r>
          </m:den>
        </m:f>
      </m:oMath>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5076"/>
      </w:tblGrid>
      <w:tr w:rsidR="00DB07EB" w14:paraId="50F29491" w14:textId="77777777" w:rsidTr="00127C9F">
        <w:trPr>
          <w:trHeight w:val="3105"/>
        </w:trPr>
        <w:tc>
          <w:tcPr>
            <w:tcW w:w="4266" w:type="dxa"/>
          </w:tcPr>
          <w:p w14:paraId="573B07C7" w14:textId="77777777" w:rsidR="00DB07EB" w:rsidRDefault="00DB07EB" w:rsidP="00841BDA">
            <w:pPr>
              <w:ind w:left="0" w:firstLine="0"/>
              <w:rPr>
                <w:rFonts w:ascii="Times New Roman" w:hAnsi="Times New Roman" w:cs="Times New Roman"/>
                <w:sz w:val="24"/>
                <w:szCs w:val="24"/>
              </w:rPr>
            </w:pPr>
            <w:r w:rsidRPr="00DB07EB">
              <w:rPr>
                <w:rFonts w:ascii="Times New Roman" w:hAnsi="Times New Roman" w:cs="Times New Roman"/>
                <w:noProof/>
                <w:sz w:val="24"/>
                <w:szCs w:val="24"/>
                <w:lang w:eastAsia="en-IN" w:bidi="or-IN"/>
              </w:rPr>
              <w:drawing>
                <wp:inline distT="0" distB="0" distL="0" distR="0" wp14:anchorId="1AEE7620" wp14:editId="49366A23">
                  <wp:extent cx="2800350" cy="17621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EA64E70" w14:textId="77777777" w:rsidR="00DB07EB" w:rsidRDefault="00DB07EB" w:rsidP="00841BDA">
            <w:pPr>
              <w:ind w:left="0" w:firstLine="0"/>
              <w:rPr>
                <w:rFonts w:ascii="Times New Roman" w:hAnsi="Times New Roman" w:cs="Times New Roman"/>
                <w:sz w:val="24"/>
                <w:szCs w:val="24"/>
              </w:rPr>
            </w:pPr>
          </w:p>
        </w:tc>
        <w:tc>
          <w:tcPr>
            <w:tcW w:w="4804" w:type="dxa"/>
          </w:tcPr>
          <w:p w14:paraId="1D1BDCCE" w14:textId="77777777" w:rsidR="00DB07EB" w:rsidRDefault="00DB07EB" w:rsidP="00841BDA">
            <w:pPr>
              <w:ind w:left="0" w:firstLine="0"/>
              <w:rPr>
                <w:rFonts w:ascii="Times New Roman" w:hAnsi="Times New Roman" w:cs="Times New Roman"/>
                <w:sz w:val="24"/>
                <w:szCs w:val="24"/>
              </w:rPr>
            </w:pPr>
            <w:r w:rsidRPr="00DB07EB">
              <w:rPr>
                <w:rFonts w:ascii="Times New Roman" w:hAnsi="Times New Roman" w:cs="Times New Roman"/>
                <w:noProof/>
                <w:sz w:val="24"/>
                <w:szCs w:val="24"/>
                <w:lang w:eastAsia="en-IN" w:bidi="or-IN"/>
              </w:rPr>
              <w:drawing>
                <wp:inline distT="0" distB="0" distL="0" distR="0" wp14:anchorId="4792A99D" wp14:editId="6081D143">
                  <wp:extent cx="3076575" cy="18002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14:paraId="053A4E54" w14:textId="77777777" w:rsidR="007C43C1" w:rsidRDefault="002032EB" w:rsidP="007668C0">
      <w:pPr>
        <w:ind w:left="0" w:firstLine="0"/>
        <w:rPr>
          <w:rFonts w:ascii="Times New Roman" w:hAnsi="Times New Roman" w:cs="Times New Roman"/>
          <w:sz w:val="24"/>
          <w:szCs w:val="24"/>
        </w:rPr>
      </w:pPr>
      <w:r>
        <w:rPr>
          <w:rFonts w:ascii="Times New Roman" w:hAnsi="Times New Roman" w:cs="Times New Roman"/>
          <w:sz w:val="24"/>
          <w:szCs w:val="24"/>
        </w:rPr>
        <w:t xml:space="preserve">Fig 1. Climatic data during cropping period. </w:t>
      </w:r>
    </w:p>
    <w:p w14:paraId="28DBA337" w14:textId="77777777" w:rsidR="000C5FA7" w:rsidRDefault="000C5FA7" w:rsidP="007668C0">
      <w:pPr>
        <w:ind w:left="0" w:firstLine="0"/>
        <w:rPr>
          <w:rFonts w:ascii="Times New Roman" w:hAnsi="Times New Roman" w:cs="Times New Roman"/>
          <w:b/>
          <w:sz w:val="24"/>
          <w:szCs w:val="24"/>
        </w:rPr>
      </w:pPr>
      <w:r w:rsidRPr="008C0E7E">
        <w:rPr>
          <w:rFonts w:ascii="Times New Roman" w:hAnsi="Times New Roman" w:cs="Times New Roman"/>
          <w:b/>
          <w:sz w:val="24"/>
          <w:szCs w:val="24"/>
        </w:rPr>
        <w:t>Sta</w:t>
      </w:r>
      <w:r w:rsidR="008C0E7E" w:rsidRPr="008C0E7E">
        <w:rPr>
          <w:rFonts w:ascii="Times New Roman" w:hAnsi="Times New Roman" w:cs="Times New Roman"/>
          <w:b/>
          <w:sz w:val="24"/>
          <w:szCs w:val="24"/>
        </w:rPr>
        <w:t xml:space="preserve">tistical Analysis </w:t>
      </w:r>
    </w:p>
    <w:p w14:paraId="0D113F63" w14:textId="77777777" w:rsidR="002250E0" w:rsidRPr="002250E0" w:rsidRDefault="002250E0" w:rsidP="002250E0">
      <w:pPr>
        <w:spacing w:line="360" w:lineRule="auto"/>
        <w:ind w:left="0" w:firstLine="0"/>
        <w:rPr>
          <w:rFonts w:ascii="Times New Roman" w:hAnsi="Times New Roman" w:cs="Times New Roman"/>
          <w:sz w:val="24"/>
          <w:szCs w:val="24"/>
        </w:rPr>
      </w:pPr>
      <w:r w:rsidRPr="002250E0">
        <w:rPr>
          <w:rFonts w:ascii="Times New Roman" w:hAnsi="Times New Roman" w:cs="Times New Roman"/>
          <w:sz w:val="24"/>
          <w:szCs w:val="24"/>
        </w:rPr>
        <w:t xml:space="preserve">All parameters data were measured in triplicate (n=3), and the results were presented based on statistical analysis using methodology of Gomez and Gomez (1984). The data underwent one-way analysis of variance (ANOVA), and significant differences between treatments were assessed using Fisher’s protected least significant difference (LSD) at a significance level of P &lt; 0.05, utilizing R Studio software (Doebioresearch package). </w:t>
      </w:r>
    </w:p>
    <w:p w14:paraId="69B97A9A" w14:textId="77777777" w:rsidR="009D21EF" w:rsidRDefault="002032EB" w:rsidP="007668C0">
      <w:pPr>
        <w:ind w:left="0" w:firstLine="0"/>
        <w:rPr>
          <w:rFonts w:ascii="Times New Roman" w:hAnsi="Times New Roman" w:cs="Times New Roman"/>
          <w:sz w:val="24"/>
          <w:szCs w:val="24"/>
        </w:rPr>
      </w:pPr>
      <w:r>
        <w:rPr>
          <w:rFonts w:ascii="Times New Roman" w:hAnsi="Times New Roman" w:cs="Times New Roman"/>
          <w:noProof/>
          <w:sz w:val="24"/>
          <w:szCs w:val="24"/>
          <w:lang w:eastAsia="en-IN" w:bidi="or-IN"/>
        </w:rPr>
        <w:lastRenderedPageBreak/>
        <w:drawing>
          <wp:inline distT="0" distB="0" distL="0" distR="0" wp14:anchorId="6F45E063" wp14:editId="66BE2921">
            <wp:extent cx="4495800" cy="35329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2860" cy="3562057"/>
                    </a:xfrm>
                    <a:prstGeom prst="rect">
                      <a:avLst/>
                    </a:prstGeom>
                    <a:noFill/>
                  </pic:spPr>
                </pic:pic>
              </a:graphicData>
            </a:graphic>
          </wp:inline>
        </w:drawing>
      </w:r>
    </w:p>
    <w:p w14:paraId="0BA14449" w14:textId="77777777" w:rsidR="009D21EF" w:rsidRDefault="003F2DD2" w:rsidP="007668C0">
      <w:pPr>
        <w:ind w:left="0" w:firstLine="0"/>
        <w:rPr>
          <w:rFonts w:ascii="Times New Roman" w:hAnsi="Times New Roman" w:cs="Times New Roman"/>
          <w:sz w:val="24"/>
          <w:szCs w:val="24"/>
        </w:rPr>
      </w:pPr>
      <w:r>
        <w:rPr>
          <w:rFonts w:ascii="Times New Roman" w:hAnsi="Times New Roman" w:cs="Times New Roman"/>
          <w:sz w:val="24"/>
          <w:szCs w:val="24"/>
        </w:rPr>
        <w:t>Fig 2. Experimental photo</w:t>
      </w:r>
      <w:r w:rsidR="00D1532C">
        <w:rPr>
          <w:rFonts w:ascii="Times New Roman" w:hAnsi="Times New Roman" w:cs="Times New Roman"/>
          <w:sz w:val="24"/>
          <w:szCs w:val="24"/>
        </w:rPr>
        <w:t xml:space="preserve"> of field trails and </w:t>
      </w:r>
      <w:r w:rsidR="00F47301">
        <w:rPr>
          <w:rFonts w:ascii="Times New Roman" w:hAnsi="Times New Roman" w:cs="Times New Roman"/>
          <w:sz w:val="24"/>
          <w:szCs w:val="24"/>
        </w:rPr>
        <w:t xml:space="preserve">Morphological characteristics of </w:t>
      </w:r>
      <w:r w:rsidR="00D1532C">
        <w:rPr>
          <w:rFonts w:ascii="Times New Roman" w:hAnsi="Times New Roman" w:cs="Times New Roman"/>
          <w:sz w:val="24"/>
          <w:szCs w:val="24"/>
        </w:rPr>
        <w:t xml:space="preserve">different </w:t>
      </w:r>
      <w:r w:rsidR="00F47301">
        <w:rPr>
          <w:rFonts w:ascii="Times New Roman" w:hAnsi="Times New Roman" w:cs="Times New Roman"/>
          <w:sz w:val="24"/>
          <w:szCs w:val="24"/>
        </w:rPr>
        <w:t xml:space="preserve">varieties </w:t>
      </w:r>
      <w:r w:rsidR="00D1532C">
        <w:rPr>
          <w:rFonts w:ascii="Times New Roman" w:hAnsi="Times New Roman" w:cs="Times New Roman"/>
          <w:sz w:val="24"/>
          <w:szCs w:val="24"/>
        </w:rPr>
        <w:t>flowers</w:t>
      </w:r>
      <w:r>
        <w:rPr>
          <w:rFonts w:ascii="Times New Roman" w:hAnsi="Times New Roman" w:cs="Times New Roman"/>
          <w:sz w:val="24"/>
          <w:szCs w:val="24"/>
        </w:rPr>
        <w:t xml:space="preserve">. </w:t>
      </w:r>
    </w:p>
    <w:p w14:paraId="44C54BEF" w14:textId="77777777" w:rsidR="0050710B" w:rsidRDefault="0050710B" w:rsidP="00367977">
      <w:pPr>
        <w:ind w:left="0" w:firstLine="0"/>
        <w:rPr>
          <w:rFonts w:ascii="Times New Roman" w:eastAsia="Times New Roman" w:hAnsi="Times New Roman" w:cs="Times New Roman"/>
          <w:b/>
          <w:bCs/>
          <w:sz w:val="24"/>
          <w:szCs w:val="24"/>
          <w:lang w:eastAsia="en-IN" w:bidi="or-IN"/>
        </w:rPr>
      </w:pPr>
      <w:r w:rsidRPr="00FB5D59">
        <w:rPr>
          <w:rFonts w:ascii="Times New Roman" w:eastAsia="Times New Roman" w:hAnsi="Times New Roman" w:cs="Times New Roman"/>
          <w:b/>
          <w:bCs/>
          <w:sz w:val="24"/>
          <w:szCs w:val="24"/>
          <w:lang w:eastAsia="en-IN" w:bidi="or-IN"/>
        </w:rPr>
        <w:t>Results</w:t>
      </w:r>
      <w:r w:rsidR="00367977">
        <w:rPr>
          <w:rFonts w:ascii="Times New Roman" w:eastAsia="Times New Roman" w:hAnsi="Times New Roman" w:cs="Times New Roman"/>
          <w:b/>
          <w:bCs/>
          <w:sz w:val="24"/>
          <w:szCs w:val="24"/>
          <w:lang w:eastAsia="en-IN" w:bidi="or-IN"/>
        </w:rPr>
        <w:t xml:space="preserve"> and Discussion </w:t>
      </w:r>
    </w:p>
    <w:p w14:paraId="5FFED821" w14:textId="77777777" w:rsidR="00367977" w:rsidRPr="00367977" w:rsidRDefault="00367977" w:rsidP="00367977">
      <w:pPr>
        <w:ind w:left="0" w:firstLine="0"/>
        <w:rPr>
          <w:rFonts w:ascii="Times New Roman" w:hAnsi="Times New Roman" w:cs="Times New Roman"/>
          <w:color w:val="FF0000"/>
          <w:sz w:val="24"/>
          <w:szCs w:val="24"/>
        </w:rPr>
      </w:pPr>
      <w:r>
        <w:rPr>
          <w:rFonts w:ascii="Times New Roman" w:eastAsia="Times New Roman" w:hAnsi="Times New Roman" w:cs="Times New Roman"/>
          <w:b/>
          <w:bCs/>
          <w:sz w:val="24"/>
          <w:szCs w:val="24"/>
          <w:lang w:eastAsia="en-IN" w:bidi="or-IN"/>
        </w:rPr>
        <w:t xml:space="preserve">Plant height </w:t>
      </w:r>
    </w:p>
    <w:p w14:paraId="4EB64EB1" w14:textId="77777777" w:rsidR="00D42A90" w:rsidRDefault="00D42A90" w:rsidP="0050710B">
      <w:pPr>
        <w:spacing w:before="100" w:beforeAutospacing="1" w:after="100" w:afterAutospacing="1" w:line="240" w:lineRule="auto"/>
        <w:ind w:left="0" w:firstLine="0"/>
        <w:rPr>
          <w:rFonts w:ascii="Times New Roman" w:eastAsia="Times New Roman" w:hAnsi="Times New Roman" w:cs="Times New Roman"/>
          <w:sz w:val="24"/>
          <w:szCs w:val="24"/>
          <w:lang w:eastAsia="en-IN" w:bidi="or-IN"/>
        </w:rPr>
      </w:pPr>
      <w:r>
        <w:rPr>
          <w:rFonts w:ascii="Times New Roman" w:eastAsia="Times New Roman" w:hAnsi="Times New Roman" w:cs="Times New Roman"/>
          <w:b/>
          <w:bCs/>
          <w:sz w:val="24"/>
          <w:szCs w:val="24"/>
          <w:lang w:eastAsia="en-IN" w:bidi="or-IN"/>
        </w:rPr>
        <w:t xml:space="preserve">Morphological attributes </w:t>
      </w:r>
    </w:p>
    <w:p w14:paraId="42F5BAEF" w14:textId="77777777" w:rsidR="0050710B" w:rsidRDefault="000D463D" w:rsidP="009B53AA">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0501BE">
        <w:rPr>
          <w:rFonts w:ascii="Times New Roman" w:eastAsia="Times New Roman" w:hAnsi="Times New Roman" w:cs="Times New Roman"/>
          <w:sz w:val="24"/>
          <w:szCs w:val="24"/>
          <w:lang w:eastAsia="en-IN" w:bidi="or-IN"/>
        </w:rPr>
        <w:t>The height of a marigold variety is important for planning planting geometry, ensuring each plant has enough room to grow and thrive</w:t>
      </w:r>
      <w:r w:rsidR="00A20F2C" w:rsidRPr="000501BE">
        <w:rPr>
          <w:rFonts w:ascii="Times New Roman" w:eastAsia="Times New Roman" w:hAnsi="Times New Roman" w:cs="Times New Roman"/>
          <w:sz w:val="24"/>
          <w:szCs w:val="24"/>
          <w:lang w:eastAsia="en-IN" w:bidi="or-IN"/>
        </w:rPr>
        <w:t xml:space="preserve">. </w:t>
      </w:r>
      <w:r w:rsidR="0050710B" w:rsidRPr="000501BE">
        <w:rPr>
          <w:rFonts w:ascii="Times New Roman" w:eastAsia="Times New Roman" w:hAnsi="Times New Roman" w:cs="Times New Roman"/>
          <w:sz w:val="24"/>
          <w:szCs w:val="24"/>
          <w:lang w:eastAsia="en-IN" w:bidi="or-IN"/>
        </w:rPr>
        <w:t xml:space="preserve">The evaluation of ten </w:t>
      </w:r>
      <w:r w:rsidR="00D42A90" w:rsidRPr="000501BE">
        <w:rPr>
          <w:rFonts w:ascii="Times New Roman" w:eastAsia="Times New Roman" w:hAnsi="Times New Roman" w:cs="Times New Roman"/>
          <w:sz w:val="24"/>
          <w:szCs w:val="24"/>
          <w:lang w:eastAsia="en-IN" w:bidi="or-IN"/>
        </w:rPr>
        <w:t>marigold varieties over</w:t>
      </w:r>
      <w:r w:rsidR="0050710B" w:rsidRPr="000501BE">
        <w:rPr>
          <w:rFonts w:ascii="Times New Roman" w:eastAsia="Times New Roman" w:hAnsi="Times New Roman" w:cs="Times New Roman"/>
          <w:sz w:val="24"/>
          <w:szCs w:val="24"/>
          <w:lang w:eastAsia="en-IN" w:bidi="or-IN"/>
        </w:rPr>
        <w:t xml:space="preserve"> two consecutive years (2023 and 2024) revealed significant variations in morphological attributes </w:t>
      </w:r>
      <w:r w:rsidR="00D42A90" w:rsidRPr="000501BE">
        <w:rPr>
          <w:rFonts w:ascii="Times New Roman" w:eastAsia="Times New Roman" w:hAnsi="Times New Roman" w:cs="Times New Roman"/>
          <w:sz w:val="24"/>
          <w:szCs w:val="24"/>
          <w:lang w:eastAsia="en-IN" w:bidi="or-IN"/>
        </w:rPr>
        <w:t>are presented in Table 1</w:t>
      </w:r>
      <w:r w:rsidR="0050710B" w:rsidRPr="000501BE">
        <w:rPr>
          <w:rFonts w:ascii="Times New Roman" w:eastAsia="Times New Roman" w:hAnsi="Times New Roman" w:cs="Times New Roman"/>
          <w:sz w:val="24"/>
          <w:szCs w:val="24"/>
          <w:lang w:eastAsia="en-IN" w:bidi="or-IN"/>
        </w:rPr>
        <w:t>.</w:t>
      </w:r>
      <w:r w:rsidR="00D42A90" w:rsidRPr="000501BE">
        <w:rPr>
          <w:rFonts w:ascii="Times New Roman" w:eastAsia="Times New Roman" w:hAnsi="Times New Roman" w:cs="Times New Roman"/>
          <w:sz w:val="24"/>
          <w:szCs w:val="24"/>
          <w:lang w:eastAsia="en-IN" w:bidi="or-IN"/>
        </w:rPr>
        <w:t xml:space="preserve"> The maximum plant height was recorded </w:t>
      </w:r>
      <w:r w:rsidR="00E07AA9" w:rsidRPr="000501BE">
        <w:rPr>
          <w:rFonts w:ascii="Times New Roman" w:eastAsia="Times New Roman" w:hAnsi="Times New Roman" w:cs="Times New Roman"/>
          <w:sz w:val="24"/>
          <w:szCs w:val="24"/>
          <w:lang w:eastAsia="en-IN" w:bidi="or-IN"/>
        </w:rPr>
        <w:t>in treatment T1 (</w:t>
      </w:r>
      <w:r w:rsidR="00E07AA9" w:rsidRPr="000501BE">
        <w:rPr>
          <w:rFonts w:ascii="Times New Roman" w:eastAsia="Times New Roman" w:hAnsi="Times New Roman" w:cs="Times New Roman"/>
          <w:i/>
          <w:iCs/>
          <w:sz w:val="24"/>
          <w:szCs w:val="24"/>
          <w:lang w:eastAsia="en-IN" w:bidi="or-IN"/>
        </w:rPr>
        <w:t>A. Abhi</w:t>
      </w:r>
      <w:r w:rsidR="00E07AA9" w:rsidRPr="000501BE">
        <w:rPr>
          <w:rFonts w:ascii="Times New Roman" w:eastAsia="Times New Roman" w:hAnsi="Times New Roman" w:cs="Times New Roman"/>
          <w:sz w:val="24"/>
          <w:szCs w:val="24"/>
          <w:lang w:eastAsia="en-IN" w:bidi="or-IN"/>
        </w:rPr>
        <w:t xml:space="preserve">) with heights of 53.0 cm and 55.0 cm in 2023 and 2024. </w:t>
      </w:r>
      <w:r w:rsidR="0050710B" w:rsidRPr="000501BE">
        <w:rPr>
          <w:rFonts w:ascii="Times New Roman" w:eastAsia="Times New Roman" w:hAnsi="Times New Roman" w:cs="Times New Roman"/>
          <w:sz w:val="24"/>
          <w:szCs w:val="24"/>
          <w:lang w:eastAsia="en-IN" w:bidi="or-IN"/>
        </w:rPr>
        <w:t>In contrast, T6 (</w:t>
      </w:r>
      <w:r w:rsidR="0050710B" w:rsidRPr="000501BE">
        <w:rPr>
          <w:rFonts w:ascii="Times New Roman" w:eastAsia="Times New Roman" w:hAnsi="Times New Roman" w:cs="Times New Roman"/>
          <w:i/>
          <w:iCs/>
          <w:sz w:val="24"/>
          <w:szCs w:val="24"/>
          <w:lang w:eastAsia="en-IN" w:bidi="or-IN"/>
        </w:rPr>
        <w:t>GFM-1</w:t>
      </w:r>
      <w:r w:rsidR="0050710B" w:rsidRPr="000501BE">
        <w:rPr>
          <w:rFonts w:ascii="Times New Roman" w:eastAsia="Times New Roman" w:hAnsi="Times New Roman" w:cs="Times New Roman"/>
          <w:sz w:val="24"/>
          <w:szCs w:val="24"/>
          <w:lang w:eastAsia="en-IN" w:bidi="or-IN"/>
        </w:rPr>
        <w:t>) and T9 (</w:t>
      </w:r>
      <w:r w:rsidR="0050710B" w:rsidRPr="000501BE">
        <w:rPr>
          <w:rFonts w:ascii="Times New Roman" w:eastAsia="Times New Roman" w:hAnsi="Times New Roman" w:cs="Times New Roman"/>
          <w:i/>
          <w:iCs/>
          <w:sz w:val="24"/>
          <w:szCs w:val="24"/>
          <w:lang w:eastAsia="en-IN" w:bidi="or-IN"/>
        </w:rPr>
        <w:t>BM-2</w:t>
      </w:r>
      <w:r w:rsidR="0050710B" w:rsidRPr="000501BE">
        <w:rPr>
          <w:rFonts w:ascii="Times New Roman" w:eastAsia="Times New Roman" w:hAnsi="Times New Roman" w:cs="Times New Roman"/>
          <w:sz w:val="24"/>
          <w:szCs w:val="24"/>
          <w:lang w:eastAsia="en-IN" w:bidi="or-IN"/>
        </w:rPr>
        <w:t>) consistently recorded the lowest plant height across both years, with values ranging from 13.0 to 17.0 cm.</w:t>
      </w:r>
      <w:r w:rsidR="004B7AD3" w:rsidRPr="000501BE">
        <w:rPr>
          <w:rFonts w:ascii="Times New Roman" w:eastAsia="Times New Roman" w:hAnsi="Times New Roman" w:cs="Times New Roman"/>
          <w:sz w:val="24"/>
          <w:szCs w:val="24"/>
          <w:lang w:eastAsia="en-IN" w:bidi="or-IN"/>
        </w:rPr>
        <w:t xml:space="preserve"> </w:t>
      </w:r>
      <w:r w:rsidR="00E07AA9" w:rsidRPr="000501BE">
        <w:rPr>
          <w:rFonts w:ascii="Times New Roman" w:eastAsia="Times New Roman" w:hAnsi="Times New Roman" w:cs="Times New Roman"/>
          <w:sz w:val="24"/>
          <w:szCs w:val="24"/>
          <w:lang w:eastAsia="en-IN" w:bidi="or-IN"/>
        </w:rPr>
        <w:t xml:space="preserve"> </w:t>
      </w:r>
      <w:r w:rsidR="00D1532C" w:rsidRPr="000501BE">
        <w:rPr>
          <w:rFonts w:ascii="Times New Roman" w:eastAsia="Times New Roman" w:hAnsi="Times New Roman" w:cs="Times New Roman"/>
          <w:sz w:val="24"/>
          <w:szCs w:val="24"/>
          <w:lang w:eastAsia="en-IN" w:bidi="or-IN"/>
        </w:rPr>
        <w:t xml:space="preserve">A similar outcome in terms of variation in plant height was also reported by </w:t>
      </w:r>
      <w:r w:rsidR="006B608F" w:rsidRPr="000501BE">
        <w:rPr>
          <w:rFonts w:ascii="Times New Roman" w:hAnsi="Times New Roman" w:cs="Times New Roman"/>
          <w:color w:val="222222"/>
          <w:sz w:val="24"/>
          <w:szCs w:val="24"/>
          <w:shd w:val="clear" w:color="auto" w:fill="FFFFFF"/>
        </w:rPr>
        <w:t xml:space="preserve">Sharma and Jadagoudar (2021) </w:t>
      </w:r>
      <w:r w:rsidR="00D1532C" w:rsidRPr="000501BE">
        <w:rPr>
          <w:rFonts w:ascii="Times New Roman" w:eastAsia="Times New Roman" w:hAnsi="Times New Roman" w:cs="Times New Roman"/>
          <w:sz w:val="24"/>
          <w:szCs w:val="24"/>
          <w:lang w:eastAsia="en-IN" w:bidi="or-IN"/>
        </w:rPr>
        <w:t>in marigold</w:t>
      </w:r>
      <w:r w:rsidR="000F1CCF" w:rsidRPr="000501BE">
        <w:rPr>
          <w:rFonts w:ascii="Times New Roman" w:eastAsia="Times New Roman" w:hAnsi="Times New Roman" w:cs="Times New Roman"/>
          <w:sz w:val="24"/>
          <w:szCs w:val="24"/>
          <w:lang w:eastAsia="en-IN" w:bidi="or-IN"/>
        </w:rPr>
        <w:t xml:space="preserve">. Plant height is a varietal trait, and the observed variation among </w:t>
      </w:r>
      <w:bookmarkStart w:id="1" w:name="_Hlk205498208"/>
      <w:r w:rsidR="000F1CCF" w:rsidRPr="000501BE">
        <w:rPr>
          <w:rFonts w:ascii="Times New Roman" w:eastAsia="Times New Roman" w:hAnsi="Times New Roman" w:cs="Times New Roman"/>
          <w:sz w:val="24"/>
          <w:szCs w:val="24"/>
          <w:lang w:eastAsia="en-IN" w:bidi="or-IN"/>
        </w:rPr>
        <w:t xml:space="preserve">marigold varieties can be attributed to genetic differences and genotype-environment interactions </w:t>
      </w:r>
      <w:bookmarkEnd w:id="1"/>
      <w:r w:rsidR="000F1CCF" w:rsidRPr="000501BE">
        <w:rPr>
          <w:rFonts w:ascii="Times New Roman" w:eastAsia="Times New Roman" w:hAnsi="Times New Roman" w:cs="Times New Roman"/>
          <w:sz w:val="24"/>
          <w:szCs w:val="24"/>
          <w:lang w:eastAsia="en-IN" w:bidi="or-IN"/>
        </w:rPr>
        <w:t>(</w:t>
      </w:r>
      <w:r w:rsidR="000F1CCF" w:rsidRPr="000501BE">
        <w:rPr>
          <w:rFonts w:ascii="Times New Roman" w:hAnsi="Times New Roman" w:cs="Times New Roman"/>
          <w:sz w:val="24"/>
          <w:szCs w:val="24"/>
        </w:rPr>
        <w:t>Sumalatha, (2025).</w:t>
      </w:r>
      <w:r w:rsidR="000F1CCF" w:rsidRPr="000501BE">
        <w:rPr>
          <w:rFonts w:ascii="Times New Roman" w:eastAsia="Times New Roman" w:hAnsi="Times New Roman" w:cs="Times New Roman"/>
          <w:sz w:val="24"/>
          <w:szCs w:val="24"/>
          <w:lang w:eastAsia="en-IN" w:bidi="or-IN"/>
        </w:rPr>
        <w:t xml:space="preserve">). Additionally, improved root development and vigorous vegetative growth under favorable conditions may have contributed to increased plant height by enhancing photosynthetic activity. Furthermore, the </w:t>
      </w:r>
      <w:r w:rsidR="00FD1296" w:rsidRPr="000501BE">
        <w:rPr>
          <w:rFonts w:ascii="Times New Roman" w:eastAsia="Times New Roman" w:hAnsi="Times New Roman" w:cs="Times New Roman"/>
          <w:sz w:val="24"/>
          <w:szCs w:val="24"/>
          <w:lang w:eastAsia="en-IN" w:bidi="or-IN"/>
        </w:rPr>
        <w:t>favourable</w:t>
      </w:r>
      <w:r w:rsidR="000F1CCF" w:rsidRPr="000501BE">
        <w:rPr>
          <w:rFonts w:ascii="Times New Roman" w:eastAsia="Times New Roman" w:hAnsi="Times New Roman" w:cs="Times New Roman"/>
          <w:sz w:val="24"/>
          <w:szCs w:val="24"/>
          <w:lang w:eastAsia="en-IN" w:bidi="or-IN"/>
        </w:rPr>
        <w:t xml:space="preserve"> effects of nitrogen availability and higher chlorophyll content in the leaves may have promoted the synthesis of </w:t>
      </w:r>
      <w:r w:rsidR="000F1CCF" w:rsidRPr="000501BE">
        <w:rPr>
          <w:rFonts w:ascii="Times New Roman" w:eastAsia="Times New Roman" w:hAnsi="Times New Roman" w:cs="Times New Roman"/>
          <w:sz w:val="24"/>
          <w:szCs w:val="24"/>
          <w:lang w:eastAsia="en-IN" w:bidi="or-IN"/>
        </w:rPr>
        <w:lastRenderedPageBreak/>
        <w:t>carbohydrates and amino acids, thereby supporting enhanced vegetative growth (</w:t>
      </w:r>
      <w:r w:rsidR="00FD1296" w:rsidRPr="000501BE">
        <w:rPr>
          <w:rFonts w:ascii="Times New Roman" w:hAnsi="Times New Roman" w:cs="Times New Roman"/>
          <w:color w:val="222222"/>
          <w:sz w:val="24"/>
          <w:szCs w:val="20"/>
          <w:shd w:val="clear" w:color="auto" w:fill="FFFFFF"/>
        </w:rPr>
        <w:t>Lahkar et al., 2024</w:t>
      </w:r>
      <w:r w:rsidR="000F1CCF" w:rsidRPr="000501BE">
        <w:rPr>
          <w:rFonts w:ascii="Times New Roman" w:eastAsia="Times New Roman" w:hAnsi="Times New Roman" w:cs="Times New Roman"/>
          <w:sz w:val="24"/>
          <w:szCs w:val="24"/>
          <w:lang w:eastAsia="en-IN" w:bidi="or-IN"/>
        </w:rPr>
        <w:t>)</w:t>
      </w:r>
      <w:r w:rsidR="00FD1296" w:rsidRPr="000501BE">
        <w:rPr>
          <w:rFonts w:ascii="Times New Roman" w:eastAsia="Times New Roman" w:hAnsi="Times New Roman" w:cs="Times New Roman"/>
          <w:sz w:val="24"/>
          <w:szCs w:val="24"/>
          <w:lang w:eastAsia="en-IN" w:bidi="or-IN"/>
        </w:rPr>
        <w:t>.</w:t>
      </w:r>
      <w:r w:rsidR="000F1CCF" w:rsidRPr="000501BE">
        <w:rPr>
          <w:rFonts w:ascii="Times New Roman" w:eastAsia="Times New Roman" w:hAnsi="Times New Roman" w:cs="Times New Roman"/>
          <w:sz w:val="24"/>
          <w:szCs w:val="24"/>
          <w:lang w:eastAsia="en-IN" w:bidi="or-IN"/>
        </w:rPr>
        <w:t xml:space="preserve"> </w:t>
      </w:r>
      <w:r w:rsidRPr="000501BE">
        <w:rPr>
          <w:rFonts w:ascii="Times New Roman" w:eastAsia="Times New Roman" w:hAnsi="Times New Roman" w:cs="Times New Roman"/>
          <w:sz w:val="24"/>
          <w:szCs w:val="24"/>
          <w:lang w:eastAsia="en-IN" w:bidi="or-IN"/>
        </w:rPr>
        <w:t xml:space="preserve">Taller plants can improve plant ability to </w:t>
      </w:r>
      <w:r w:rsidR="00FD1296" w:rsidRPr="000501BE">
        <w:rPr>
          <w:rFonts w:ascii="Times New Roman" w:eastAsia="Times New Roman" w:hAnsi="Times New Roman" w:cs="Times New Roman"/>
          <w:sz w:val="24"/>
          <w:szCs w:val="24"/>
          <w:lang w:eastAsia="en-IN" w:bidi="or-IN"/>
        </w:rPr>
        <w:t>resist weed</w:t>
      </w:r>
      <w:r w:rsidRPr="000501BE">
        <w:rPr>
          <w:rFonts w:ascii="Times New Roman" w:eastAsia="Times New Roman" w:hAnsi="Times New Roman" w:cs="Times New Roman"/>
          <w:sz w:val="24"/>
          <w:szCs w:val="24"/>
          <w:lang w:eastAsia="en-IN" w:bidi="or-IN"/>
        </w:rPr>
        <w:t xml:space="preserve"> infestation and higher nutrient and solar radiation use efficiency and enhance overall productivity. More importantly, it creates a visually aesthetic ecosystem service for the viewers</w:t>
      </w:r>
      <w:r w:rsidR="00FD1296" w:rsidRPr="000501BE">
        <w:rPr>
          <w:rFonts w:ascii="Times New Roman" w:eastAsia="Times New Roman" w:hAnsi="Times New Roman" w:cs="Times New Roman"/>
          <w:sz w:val="24"/>
          <w:szCs w:val="24"/>
          <w:lang w:eastAsia="en-IN" w:bidi="or-IN"/>
        </w:rPr>
        <w:t xml:space="preserve"> (Singh, 2017).</w:t>
      </w:r>
      <w:r w:rsidR="000C4D84">
        <w:rPr>
          <w:rFonts w:ascii="Times New Roman" w:eastAsia="Times New Roman" w:hAnsi="Times New Roman" w:cs="Times New Roman"/>
          <w:sz w:val="24"/>
          <w:szCs w:val="24"/>
          <w:lang w:eastAsia="en-IN" w:bidi="or-IN"/>
        </w:rPr>
        <w:t xml:space="preserve"> </w:t>
      </w:r>
    </w:p>
    <w:p w14:paraId="68114C79" w14:textId="77777777" w:rsidR="00E07AA9" w:rsidRDefault="00E07AA9" w:rsidP="0050710B">
      <w:pPr>
        <w:spacing w:before="100" w:beforeAutospacing="1" w:after="100" w:afterAutospacing="1" w:line="240" w:lineRule="auto"/>
        <w:ind w:left="0" w:firstLine="0"/>
        <w:rPr>
          <w:rFonts w:ascii="Times New Roman" w:eastAsia="Times New Roman" w:hAnsi="Times New Roman" w:cs="Times New Roman"/>
          <w:b/>
          <w:bCs/>
          <w:sz w:val="24"/>
          <w:szCs w:val="24"/>
          <w:lang w:eastAsia="en-IN" w:bidi="or-IN"/>
        </w:rPr>
      </w:pPr>
      <w:r w:rsidRPr="00E07AA9">
        <w:rPr>
          <w:rFonts w:ascii="Times New Roman" w:eastAsia="Times New Roman" w:hAnsi="Times New Roman" w:cs="Times New Roman"/>
          <w:b/>
          <w:bCs/>
          <w:sz w:val="24"/>
          <w:szCs w:val="24"/>
          <w:lang w:eastAsia="en-IN" w:bidi="or-IN"/>
        </w:rPr>
        <w:t xml:space="preserve">Yield attributes </w:t>
      </w:r>
    </w:p>
    <w:p w14:paraId="7AAF9C23" w14:textId="77777777" w:rsidR="003548AF" w:rsidRDefault="00E07AA9" w:rsidP="00CE61CF">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C77159">
        <w:rPr>
          <w:rFonts w:ascii="Times New Roman" w:eastAsia="Times New Roman" w:hAnsi="Times New Roman" w:cs="Times New Roman"/>
          <w:sz w:val="24"/>
          <w:szCs w:val="24"/>
          <w:lang w:eastAsia="en-IN" w:bidi="or-IN"/>
        </w:rPr>
        <w:t>The yield attributes characters like average number of effective buds at the time of ploughing, numbers of ploughing, flowers diameter,</w:t>
      </w:r>
      <w:r w:rsidR="00127C9F" w:rsidRPr="00C77159">
        <w:rPr>
          <w:rFonts w:ascii="Times New Roman" w:eastAsia="Times New Roman" w:hAnsi="Times New Roman" w:cs="Times New Roman"/>
          <w:sz w:val="24"/>
          <w:szCs w:val="24"/>
          <w:lang w:eastAsia="en-IN" w:bidi="or-IN"/>
        </w:rPr>
        <w:t xml:space="preserve"> Fresh flower yield are presented in the Table 1. Significant variation in number of effective buds per plant </w:t>
      </w:r>
      <w:r w:rsidR="009B53AA" w:rsidRPr="00C77159">
        <w:rPr>
          <w:rFonts w:ascii="Times New Roman" w:eastAsia="Times New Roman" w:hAnsi="Times New Roman" w:cs="Times New Roman"/>
          <w:sz w:val="24"/>
          <w:szCs w:val="24"/>
          <w:lang w:eastAsia="en-IN" w:bidi="or-IN"/>
        </w:rPr>
        <w:t xml:space="preserve">among the treatments was found and ranged between 16 to 54 per plant. The maximum number of buds was found in A. vibha which as 100 to 184 percent higher over A. Abhi. </w:t>
      </w:r>
      <w:r w:rsidR="000F1CCF" w:rsidRPr="00C77159">
        <w:rPr>
          <w:rFonts w:ascii="Times New Roman" w:eastAsia="Times New Roman" w:hAnsi="Times New Roman" w:cs="Times New Roman"/>
          <w:sz w:val="24"/>
          <w:szCs w:val="24"/>
          <w:lang w:eastAsia="en-IN" w:bidi="or-IN"/>
        </w:rPr>
        <w:t xml:space="preserve">The variation in the number of buds per plant may be attributed to the genetic traits of the different varieties. An increase in the number of branches per plant could lead to a higher number of buds. Furthermore, differences in photosynthetic efficiency among varieties may enhance food accumulation, promoting better plant growth and, consequently, a higher number of flowers per plant. Similar findings have also been reported by </w:t>
      </w:r>
      <w:r w:rsidR="00FD1296" w:rsidRPr="00C77159">
        <w:rPr>
          <w:rFonts w:ascii="Times New Roman" w:eastAsia="Times New Roman" w:hAnsi="Times New Roman" w:cs="Times New Roman"/>
          <w:sz w:val="24"/>
          <w:szCs w:val="24"/>
          <w:lang w:eastAsia="en-IN" w:bidi="or-IN"/>
        </w:rPr>
        <w:t xml:space="preserve">DEDHIA et al., </w:t>
      </w:r>
      <w:r w:rsidR="000F1CCF" w:rsidRPr="00C77159">
        <w:rPr>
          <w:rFonts w:ascii="Times New Roman" w:eastAsia="Times New Roman" w:hAnsi="Times New Roman" w:cs="Times New Roman"/>
          <w:sz w:val="24"/>
          <w:szCs w:val="24"/>
          <w:lang w:eastAsia="en-IN" w:bidi="or-IN"/>
        </w:rPr>
        <w:t>(</w:t>
      </w:r>
      <w:r w:rsidR="00FD1296" w:rsidRPr="00C77159">
        <w:rPr>
          <w:rFonts w:ascii="Times New Roman" w:eastAsia="Times New Roman" w:hAnsi="Times New Roman" w:cs="Times New Roman"/>
          <w:sz w:val="24"/>
          <w:szCs w:val="24"/>
          <w:lang w:eastAsia="en-IN" w:bidi="or-IN"/>
        </w:rPr>
        <w:t>2024</w:t>
      </w:r>
      <w:r w:rsidR="000F1CCF" w:rsidRPr="00C77159">
        <w:rPr>
          <w:rFonts w:ascii="Times New Roman" w:eastAsia="Times New Roman" w:hAnsi="Times New Roman" w:cs="Times New Roman"/>
          <w:sz w:val="24"/>
          <w:szCs w:val="24"/>
          <w:lang w:eastAsia="en-IN" w:bidi="or-IN"/>
        </w:rPr>
        <w:t>).</w:t>
      </w:r>
      <w:r w:rsidR="00417A2B" w:rsidRPr="00C77159">
        <w:rPr>
          <w:rFonts w:ascii="Times New Roman" w:eastAsia="Times New Roman" w:hAnsi="Times New Roman" w:cs="Times New Roman"/>
          <w:sz w:val="24"/>
          <w:szCs w:val="24"/>
          <w:lang w:eastAsia="en-IN" w:bidi="or-IN"/>
        </w:rPr>
        <w:t xml:space="preserve"> </w:t>
      </w:r>
      <w:r w:rsidR="0050710B" w:rsidRPr="00C77159">
        <w:rPr>
          <w:rFonts w:ascii="Times New Roman" w:eastAsia="Times New Roman" w:hAnsi="Times New Roman" w:cs="Times New Roman"/>
          <w:sz w:val="24"/>
          <w:szCs w:val="24"/>
          <w:lang w:eastAsia="en-IN" w:bidi="or-IN"/>
        </w:rPr>
        <w:t>The frequency of pl</w:t>
      </w:r>
      <w:r w:rsidR="00363B36" w:rsidRPr="00C77159">
        <w:rPr>
          <w:rFonts w:ascii="Times New Roman" w:eastAsia="Times New Roman" w:hAnsi="Times New Roman" w:cs="Times New Roman"/>
          <w:sz w:val="24"/>
          <w:szCs w:val="24"/>
          <w:lang w:eastAsia="en-IN" w:bidi="or-IN"/>
        </w:rPr>
        <w:t>uckin</w:t>
      </w:r>
      <w:r w:rsidR="0050710B" w:rsidRPr="00C77159">
        <w:rPr>
          <w:rFonts w:ascii="Times New Roman" w:eastAsia="Times New Roman" w:hAnsi="Times New Roman" w:cs="Times New Roman"/>
          <w:sz w:val="24"/>
          <w:szCs w:val="24"/>
          <w:lang w:eastAsia="en-IN" w:bidi="or-IN"/>
        </w:rPr>
        <w:t>g varied slightly among treatments. Most genotypes required four to six ploughings, with T5 (</w:t>
      </w:r>
      <w:r w:rsidR="0050710B" w:rsidRPr="00C77159">
        <w:rPr>
          <w:rFonts w:ascii="Times New Roman" w:eastAsia="Times New Roman" w:hAnsi="Times New Roman" w:cs="Times New Roman"/>
          <w:i/>
          <w:iCs/>
          <w:sz w:val="24"/>
          <w:szCs w:val="24"/>
          <w:lang w:eastAsia="en-IN" w:bidi="or-IN"/>
        </w:rPr>
        <w:t>A. Vibha</w:t>
      </w:r>
      <w:r w:rsidR="0050710B" w:rsidRPr="00C77159">
        <w:rPr>
          <w:rFonts w:ascii="Times New Roman" w:eastAsia="Times New Roman" w:hAnsi="Times New Roman" w:cs="Times New Roman"/>
          <w:sz w:val="24"/>
          <w:szCs w:val="24"/>
          <w:lang w:eastAsia="en-IN" w:bidi="or-IN"/>
        </w:rPr>
        <w:t>) and T3 (</w:t>
      </w:r>
      <w:r w:rsidR="0050710B" w:rsidRPr="00C77159">
        <w:rPr>
          <w:rFonts w:ascii="Times New Roman" w:eastAsia="Times New Roman" w:hAnsi="Times New Roman" w:cs="Times New Roman"/>
          <w:i/>
          <w:iCs/>
          <w:sz w:val="24"/>
          <w:szCs w:val="24"/>
          <w:lang w:eastAsia="en-IN" w:bidi="or-IN"/>
        </w:rPr>
        <w:t>B. Kaligendu</w:t>
      </w:r>
      <w:r w:rsidR="0050710B" w:rsidRPr="00C77159">
        <w:rPr>
          <w:rFonts w:ascii="Times New Roman" w:eastAsia="Times New Roman" w:hAnsi="Times New Roman" w:cs="Times New Roman"/>
          <w:sz w:val="24"/>
          <w:szCs w:val="24"/>
          <w:lang w:eastAsia="en-IN" w:bidi="or-IN"/>
        </w:rPr>
        <w:t>) needing the highest (six), whereas T6 (</w:t>
      </w:r>
      <w:r w:rsidR="0050710B" w:rsidRPr="00C77159">
        <w:rPr>
          <w:rFonts w:ascii="Times New Roman" w:eastAsia="Times New Roman" w:hAnsi="Times New Roman" w:cs="Times New Roman"/>
          <w:i/>
          <w:iCs/>
          <w:sz w:val="24"/>
          <w:szCs w:val="24"/>
          <w:lang w:eastAsia="en-IN" w:bidi="or-IN"/>
        </w:rPr>
        <w:t>GFM-1</w:t>
      </w:r>
      <w:r w:rsidR="0050710B" w:rsidRPr="00C77159">
        <w:rPr>
          <w:rFonts w:ascii="Times New Roman" w:eastAsia="Times New Roman" w:hAnsi="Times New Roman" w:cs="Times New Roman"/>
          <w:sz w:val="24"/>
          <w:szCs w:val="24"/>
          <w:lang w:eastAsia="en-IN" w:bidi="or-IN"/>
        </w:rPr>
        <w:t>), T7 (</w:t>
      </w:r>
      <w:r w:rsidR="0050710B" w:rsidRPr="00C77159">
        <w:rPr>
          <w:rFonts w:ascii="Times New Roman" w:eastAsia="Times New Roman" w:hAnsi="Times New Roman" w:cs="Times New Roman"/>
          <w:i/>
          <w:iCs/>
          <w:sz w:val="24"/>
          <w:szCs w:val="24"/>
          <w:lang w:eastAsia="en-IN" w:bidi="or-IN"/>
        </w:rPr>
        <w:t>P. Arpita</w:t>
      </w:r>
      <w:r w:rsidR="0050710B" w:rsidRPr="00C77159">
        <w:rPr>
          <w:rFonts w:ascii="Times New Roman" w:eastAsia="Times New Roman" w:hAnsi="Times New Roman" w:cs="Times New Roman"/>
          <w:sz w:val="24"/>
          <w:szCs w:val="24"/>
          <w:lang w:eastAsia="en-IN" w:bidi="or-IN"/>
        </w:rPr>
        <w:t>), and T9 (</w:t>
      </w:r>
      <w:r w:rsidR="0050710B" w:rsidRPr="00C77159">
        <w:rPr>
          <w:rFonts w:ascii="Times New Roman" w:eastAsia="Times New Roman" w:hAnsi="Times New Roman" w:cs="Times New Roman"/>
          <w:i/>
          <w:iCs/>
          <w:sz w:val="24"/>
          <w:szCs w:val="24"/>
          <w:lang w:eastAsia="en-IN" w:bidi="or-IN"/>
        </w:rPr>
        <w:t>BM-2</w:t>
      </w:r>
      <w:r w:rsidR="0050710B" w:rsidRPr="00C77159">
        <w:rPr>
          <w:rFonts w:ascii="Times New Roman" w:eastAsia="Times New Roman" w:hAnsi="Times New Roman" w:cs="Times New Roman"/>
          <w:sz w:val="24"/>
          <w:szCs w:val="24"/>
          <w:lang w:eastAsia="en-IN" w:bidi="or-IN"/>
        </w:rPr>
        <w:t>) required the fewest (2</w:t>
      </w:r>
      <w:r w:rsidR="00A3008A" w:rsidRPr="00C77159">
        <w:rPr>
          <w:rFonts w:ascii="Times New Roman" w:eastAsia="Times New Roman" w:hAnsi="Times New Roman" w:cs="Times New Roman"/>
          <w:sz w:val="24"/>
          <w:szCs w:val="24"/>
          <w:lang w:eastAsia="en-IN" w:bidi="or-IN"/>
        </w:rPr>
        <w:t>-</w:t>
      </w:r>
      <w:r w:rsidR="0050710B" w:rsidRPr="00C77159">
        <w:rPr>
          <w:rFonts w:ascii="Times New Roman" w:eastAsia="Times New Roman" w:hAnsi="Times New Roman" w:cs="Times New Roman"/>
          <w:sz w:val="24"/>
          <w:szCs w:val="24"/>
          <w:lang w:eastAsia="en-IN" w:bidi="or-IN"/>
        </w:rPr>
        <w:t>3 times).</w:t>
      </w:r>
      <w:r w:rsidR="003548AF" w:rsidRPr="00C77159">
        <w:rPr>
          <w:rFonts w:ascii="Times New Roman" w:eastAsia="Times New Roman" w:hAnsi="Times New Roman" w:cs="Times New Roman"/>
          <w:sz w:val="24"/>
          <w:szCs w:val="24"/>
          <w:lang w:eastAsia="en-IN" w:bidi="or-IN"/>
        </w:rPr>
        <w:t xml:space="preserve"> </w:t>
      </w:r>
      <w:r w:rsidR="000F1CCF" w:rsidRPr="00C77159">
        <w:rPr>
          <w:rFonts w:ascii="Times New Roman" w:eastAsia="Times New Roman" w:hAnsi="Times New Roman" w:cs="Times New Roman"/>
          <w:sz w:val="24"/>
          <w:szCs w:val="24"/>
          <w:lang w:eastAsia="en-IN" w:bidi="or-IN"/>
        </w:rPr>
        <w:t>The frequency of plucking was closely linked to the duration of the flowering period and the timing of bud opening. Variations in the number of pluckings may be attributed to the genetic traits of the varieties, environmental conditions, and management practices</w:t>
      </w:r>
      <w:r w:rsidR="00417A2B" w:rsidRPr="00C77159">
        <w:rPr>
          <w:rFonts w:ascii="Times New Roman" w:eastAsia="Times New Roman" w:hAnsi="Times New Roman" w:cs="Times New Roman"/>
          <w:sz w:val="24"/>
          <w:szCs w:val="24"/>
          <w:lang w:eastAsia="en-IN" w:bidi="or-IN"/>
        </w:rPr>
        <w:t xml:space="preserve"> (Parasharet al., 2021;</w:t>
      </w:r>
      <w:r w:rsidR="00417A2B" w:rsidRPr="00C77159">
        <w:rPr>
          <w:rFonts w:ascii="Times New Roman" w:hAnsi="Times New Roman" w:cs="Times New Roman"/>
          <w:color w:val="222222"/>
          <w:sz w:val="24"/>
          <w:szCs w:val="20"/>
          <w:shd w:val="clear" w:color="auto" w:fill="FFFFFF"/>
        </w:rPr>
        <w:t xml:space="preserve"> Lahkar et al., 2024</w:t>
      </w:r>
      <w:r w:rsidR="00417A2B" w:rsidRPr="00C77159">
        <w:rPr>
          <w:rFonts w:ascii="Times New Roman" w:eastAsia="Times New Roman" w:hAnsi="Times New Roman" w:cs="Times New Roman"/>
          <w:sz w:val="24"/>
          <w:szCs w:val="24"/>
          <w:lang w:eastAsia="en-IN" w:bidi="or-IN"/>
        </w:rPr>
        <w:t>))</w:t>
      </w:r>
      <w:r w:rsidR="000F1CCF" w:rsidRPr="00C77159">
        <w:rPr>
          <w:rFonts w:ascii="Times New Roman" w:eastAsia="Times New Roman" w:hAnsi="Times New Roman" w:cs="Times New Roman"/>
          <w:sz w:val="24"/>
          <w:szCs w:val="24"/>
          <w:lang w:eastAsia="en-IN" w:bidi="or-IN"/>
        </w:rPr>
        <w:t>.</w:t>
      </w:r>
      <w:r w:rsidR="00417A2B" w:rsidRPr="00C77159">
        <w:rPr>
          <w:rFonts w:ascii="Times New Roman" w:eastAsia="Times New Roman" w:hAnsi="Times New Roman" w:cs="Times New Roman"/>
          <w:sz w:val="24"/>
          <w:szCs w:val="24"/>
          <w:lang w:eastAsia="en-IN" w:bidi="or-IN"/>
        </w:rPr>
        <w:t xml:space="preserve"> </w:t>
      </w:r>
      <w:r w:rsidR="000F1CCF" w:rsidRPr="00C77159">
        <w:rPr>
          <w:rFonts w:ascii="Times New Roman" w:eastAsia="Times New Roman" w:hAnsi="Times New Roman" w:cs="Times New Roman"/>
          <w:sz w:val="24"/>
          <w:szCs w:val="24"/>
          <w:lang w:eastAsia="en-IN" w:bidi="or-IN"/>
        </w:rPr>
        <w:t>Similar</w:t>
      </w:r>
      <w:r w:rsidR="001F2A6C" w:rsidRPr="00C77159">
        <w:rPr>
          <w:rFonts w:ascii="Times New Roman" w:eastAsia="Times New Roman" w:hAnsi="Times New Roman" w:cs="Times New Roman"/>
          <w:sz w:val="24"/>
          <w:szCs w:val="24"/>
          <w:lang w:eastAsia="en-IN" w:bidi="or-IN"/>
        </w:rPr>
        <w:t xml:space="preserve"> difference in the number of buds per plant among the genotypes was also recorded earlier in marigold by </w:t>
      </w:r>
      <w:r w:rsidR="001F2A6C" w:rsidRPr="00C77159">
        <w:rPr>
          <w:rFonts w:ascii="Times New Roman" w:hAnsi="Times New Roman" w:cs="Times New Roman"/>
          <w:sz w:val="24"/>
          <w:szCs w:val="24"/>
        </w:rPr>
        <w:t>Netam et al.</w:t>
      </w:r>
      <w:r w:rsidR="001F2A6C" w:rsidRPr="00C77159">
        <w:rPr>
          <w:rFonts w:ascii="Times New Roman" w:eastAsia="Times New Roman" w:hAnsi="Times New Roman" w:cs="Times New Roman"/>
          <w:sz w:val="24"/>
          <w:szCs w:val="24"/>
          <w:lang w:eastAsia="en-IN" w:bidi="or-IN"/>
        </w:rPr>
        <w:t xml:space="preserve"> (2019). </w:t>
      </w:r>
      <w:r w:rsidR="003548AF" w:rsidRPr="00C77159">
        <w:rPr>
          <w:rFonts w:ascii="Times New Roman" w:eastAsia="Times New Roman" w:hAnsi="Times New Roman" w:cs="Times New Roman"/>
          <w:sz w:val="24"/>
          <w:szCs w:val="24"/>
          <w:lang w:eastAsia="en-IN" w:bidi="or-IN"/>
        </w:rPr>
        <w:t xml:space="preserve">Similarly, the maximum flower diameter was recorded at A. Vibha during both year 2023, 2024 </w:t>
      </w:r>
      <w:r w:rsidR="0050710B" w:rsidRPr="00C77159">
        <w:rPr>
          <w:rFonts w:ascii="Times New Roman" w:eastAsia="Times New Roman" w:hAnsi="Times New Roman" w:cs="Times New Roman"/>
          <w:sz w:val="24"/>
          <w:szCs w:val="24"/>
          <w:lang w:eastAsia="en-IN" w:bidi="or-IN"/>
        </w:rPr>
        <w:t>respectively, followed closely by T4 (</w:t>
      </w:r>
      <w:r w:rsidR="0050710B" w:rsidRPr="00C77159">
        <w:rPr>
          <w:rFonts w:ascii="Times New Roman" w:eastAsia="Times New Roman" w:hAnsi="Times New Roman" w:cs="Times New Roman"/>
          <w:i/>
          <w:iCs/>
          <w:sz w:val="24"/>
          <w:szCs w:val="24"/>
          <w:lang w:eastAsia="en-IN" w:bidi="or-IN"/>
        </w:rPr>
        <w:t>BM-4</w:t>
      </w:r>
      <w:r w:rsidR="0050710B" w:rsidRPr="00C77159">
        <w:rPr>
          <w:rFonts w:ascii="Times New Roman" w:eastAsia="Times New Roman" w:hAnsi="Times New Roman" w:cs="Times New Roman"/>
          <w:sz w:val="24"/>
          <w:szCs w:val="24"/>
          <w:lang w:eastAsia="en-IN" w:bidi="or-IN"/>
        </w:rPr>
        <w:t>) and T2 (</w:t>
      </w:r>
      <w:r w:rsidR="0050710B" w:rsidRPr="00C77159">
        <w:rPr>
          <w:rFonts w:ascii="Times New Roman" w:eastAsia="Times New Roman" w:hAnsi="Times New Roman" w:cs="Times New Roman"/>
          <w:i/>
          <w:iCs/>
          <w:sz w:val="24"/>
          <w:szCs w:val="24"/>
          <w:lang w:eastAsia="en-IN" w:bidi="or-IN"/>
        </w:rPr>
        <w:t>A. Subha</w:t>
      </w:r>
      <w:r w:rsidR="0050710B" w:rsidRPr="00C77159">
        <w:rPr>
          <w:rFonts w:ascii="Times New Roman" w:eastAsia="Times New Roman" w:hAnsi="Times New Roman" w:cs="Times New Roman"/>
          <w:sz w:val="24"/>
          <w:szCs w:val="24"/>
          <w:lang w:eastAsia="en-IN" w:bidi="or-IN"/>
        </w:rPr>
        <w:t xml:space="preserve">). </w:t>
      </w:r>
      <w:r w:rsidR="000F1CCF" w:rsidRPr="00C77159">
        <w:rPr>
          <w:rFonts w:ascii="Times New Roman" w:eastAsia="Times New Roman" w:hAnsi="Times New Roman" w:cs="Times New Roman"/>
          <w:sz w:val="24"/>
          <w:szCs w:val="24"/>
          <w:lang w:eastAsia="en-IN" w:bidi="or-IN"/>
        </w:rPr>
        <w:t>The observed variation in this parameter can be attributed to the genetic makeup of the varieties and their interaction with environmental factors. Additionally, greater dry matter accumulation under favorable climatic conditions may have contributed to the increased flower diameter. The differences in flower diameter among marigold varieties are likely influenced by the genetic characteristics inherent to each variety</w:t>
      </w:r>
      <w:r w:rsidR="00417A2B" w:rsidRPr="00C77159">
        <w:rPr>
          <w:rFonts w:ascii="Times New Roman" w:eastAsia="Times New Roman" w:hAnsi="Times New Roman" w:cs="Times New Roman"/>
          <w:sz w:val="24"/>
          <w:szCs w:val="24"/>
          <w:lang w:eastAsia="en-IN" w:bidi="or-IN"/>
        </w:rPr>
        <w:t xml:space="preserve"> (</w:t>
      </w:r>
      <w:r w:rsidR="00417A2B" w:rsidRPr="00C77159">
        <w:rPr>
          <w:rFonts w:ascii="Times New Roman" w:hAnsi="Times New Roman" w:cs="Times New Roman"/>
          <w:color w:val="222222"/>
          <w:sz w:val="24"/>
          <w:szCs w:val="20"/>
          <w:shd w:val="clear" w:color="auto" w:fill="FFFFFF"/>
        </w:rPr>
        <w:t>Lahkar et al., 2024</w:t>
      </w:r>
      <w:r w:rsidR="00417A2B" w:rsidRPr="00C77159">
        <w:rPr>
          <w:rFonts w:ascii="Times New Roman" w:eastAsia="Times New Roman" w:hAnsi="Times New Roman" w:cs="Times New Roman"/>
          <w:sz w:val="24"/>
          <w:szCs w:val="24"/>
          <w:lang w:eastAsia="en-IN" w:bidi="or-IN"/>
        </w:rPr>
        <w:t>)</w:t>
      </w:r>
      <w:r w:rsidR="000F1CCF" w:rsidRPr="00C77159">
        <w:rPr>
          <w:rFonts w:ascii="Times New Roman" w:eastAsia="Times New Roman" w:hAnsi="Times New Roman" w:cs="Times New Roman"/>
          <w:sz w:val="24"/>
          <w:szCs w:val="24"/>
          <w:lang w:eastAsia="en-IN" w:bidi="or-IN"/>
        </w:rPr>
        <w:t xml:space="preserve">. </w:t>
      </w:r>
      <w:r w:rsidR="0050710B" w:rsidRPr="00C77159">
        <w:rPr>
          <w:rFonts w:ascii="Times New Roman" w:eastAsia="Times New Roman" w:hAnsi="Times New Roman" w:cs="Times New Roman"/>
          <w:sz w:val="24"/>
          <w:szCs w:val="24"/>
          <w:lang w:eastAsia="en-IN" w:bidi="or-IN"/>
        </w:rPr>
        <w:t>The smallest flowers were observed in T6 (</w:t>
      </w:r>
      <w:r w:rsidR="0050710B" w:rsidRPr="00C77159">
        <w:rPr>
          <w:rFonts w:ascii="Times New Roman" w:eastAsia="Times New Roman" w:hAnsi="Times New Roman" w:cs="Times New Roman"/>
          <w:i/>
          <w:iCs/>
          <w:sz w:val="24"/>
          <w:szCs w:val="24"/>
          <w:lang w:eastAsia="en-IN" w:bidi="or-IN"/>
        </w:rPr>
        <w:t>GFM-1</w:t>
      </w:r>
      <w:r w:rsidR="0050710B" w:rsidRPr="00C77159">
        <w:rPr>
          <w:rFonts w:ascii="Times New Roman" w:eastAsia="Times New Roman" w:hAnsi="Times New Roman" w:cs="Times New Roman"/>
          <w:sz w:val="24"/>
          <w:szCs w:val="24"/>
          <w:lang w:eastAsia="en-IN" w:bidi="or-IN"/>
        </w:rPr>
        <w:t>) and T7 (</w:t>
      </w:r>
      <w:r w:rsidR="0050710B" w:rsidRPr="00C77159">
        <w:rPr>
          <w:rFonts w:ascii="Times New Roman" w:eastAsia="Times New Roman" w:hAnsi="Times New Roman" w:cs="Times New Roman"/>
          <w:i/>
          <w:iCs/>
          <w:sz w:val="24"/>
          <w:szCs w:val="24"/>
          <w:lang w:eastAsia="en-IN" w:bidi="or-IN"/>
        </w:rPr>
        <w:t>P. Arpita</w:t>
      </w:r>
      <w:r w:rsidR="0050710B" w:rsidRPr="00C77159">
        <w:rPr>
          <w:rFonts w:ascii="Times New Roman" w:eastAsia="Times New Roman" w:hAnsi="Times New Roman" w:cs="Times New Roman"/>
          <w:sz w:val="24"/>
          <w:szCs w:val="24"/>
          <w:lang w:eastAsia="en-IN" w:bidi="or-IN"/>
        </w:rPr>
        <w:t>), ranging between 3.0 and 3.2 cm.</w:t>
      </w:r>
      <w:r w:rsidR="003548AF" w:rsidRPr="00C77159">
        <w:rPr>
          <w:rFonts w:ascii="Times New Roman" w:eastAsia="Times New Roman" w:hAnsi="Times New Roman" w:cs="Times New Roman"/>
          <w:sz w:val="24"/>
          <w:szCs w:val="24"/>
          <w:lang w:eastAsia="en-IN" w:bidi="or-IN"/>
        </w:rPr>
        <w:t xml:space="preserve"> </w:t>
      </w:r>
      <w:r w:rsidR="001F2A6C" w:rsidRPr="00C77159">
        <w:rPr>
          <w:rFonts w:ascii="Times New Roman" w:eastAsia="Times New Roman" w:hAnsi="Times New Roman" w:cs="Times New Roman"/>
          <w:sz w:val="24"/>
          <w:szCs w:val="24"/>
          <w:lang w:eastAsia="en-IN" w:bidi="or-IN"/>
        </w:rPr>
        <w:t>Similar results were observed by Narsude et al. (2010) and Deepa et al. (2016) in marigold (Table1).</w:t>
      </w:r>
      <w:r w:rsidR="000F1CCF" w:rsidRPr="00C77159">
        <w:rPr>
          <w:rFonts w:ascii="Times New Roman" w:eastAsia="Times New Roman" w:hAnsi="Times New Roman" w:cs="Times New Roman"/>
          <w:sz w:val="24"/>
          <w:szCs w:val="24"/>
          <w:lang w:eastAsia="en-IN" w:bidi="or-IN"/>
        </w:rPr>
        <w:t xml:space="preserve"> </w:t>
      </w:r>
      <w:r w:rsidR="0050710B" w:rsidRPr="00C77159">
        <w:rPr>
          <w:rFonts w:ascii="Times New Roman" w:eastAsia="Times New Roman" w:hAnsi="Times New Roman" w:cs="Times New Roman"/>
          <w:sz w:val="24"/>
          <w:szCs w:val="24"/>
          <w:lang w:eastAsia="en-IN" w:bidi="or-IN"/>
        </w:rPr>
        <w:t>The fresh flower yield varied significantly among the treatments. The highest yields were obtained from T5 (</w:t>
      </w:r>
      <w:r w:rsidR="0050710B" w:rsidRPr="00C77159">
        <w:rPr>
          <w:rFonts w:ascii="Times New Roman" w:eastAsia="Times New Roman" w:hAnsi="Times New Roman" w:cs="Times New Roman"/>
          <w:i/>
          <w:iCs/>
          <w:sz w:val="24"/>
          <w:szCs w:val="24"/>
          <w:lang w:eastAsia="en-IN" w:bidi="or-IN"/>
        </w:rPr>
        <w:t>A. Vibha</w:t>
      </w:r>
      <w:r w:rsidR="0050710B" w:rsidRPr="00C77159">
        <w:rPr>
          <w:rFonts w:ascii="Times New Roman" w:eastAsia="Times New Roman" w:hAnsi="Times New Roman" w:cs="Times New Roman"/>
          <w:sz w:val="24"/>
          <w:szCs w:val="24"/>
          <w:lang w:eastAsia="en-IN" w:bidi="or-IN"/>
        </w:rPr>
        <w:t>) at 34.0 q ha⁻¹ (2023) and 34.2 q ha⁻¹ (2024), followed by T2 (</w:t>
      </w:r>
      <w:r w:rsidR="0050710B" w:rsidRPr="00C77159">
        <w:rPr>
          <w:rFonts w:ascii="Times New Roman" w:eastAsia="Times New Roman" w:hAnsi="Times New Roman" w:cs="Times New Roman"/>
          <w:i/>
          <w:iCs/>
          <w:sz w:val="24"/>
          <w:szCs w:val="24"/>
          <w:lang w:eastAsia="en-IN" w:bidi="or-IN"/>
        </w:rPr>
        <w:t>A. Subha</w:t>
      </w:r>
      <w:r w:rsidR="0050710B" w:rsidRPr="00C77159">
        <w:rPr>
          <w:rFonts w:ascii="Times New Roman" w:eastAsia="Times New Roman" w:hAnsi="Times New Roman" w:cs="Times New Roman"/>
          <w:sz w:val="24"/>
          <w:szCs w:val="24"/>
          <w:lang w:eastAsia="en-IN" w:bidi="or-IN"/>
        </w:rPr>
        <w:t xml:space="preserve">) and T3 </w:t>
      </w:r>
      <w:r w:rsidR="0050710B" w:rsidRPr="00C77159">
        <w:rPr>
          <w:rFonts w:ascii="Times New Roman" w:eastAsia="Times New Roman" w:hAnsi="Times New Roman" w:cs="Times New Roman"/>
          <w:sz w:val="24"/>
          <w:szCs w:val="24"/>
          <w:lang w:eastAsia="en-IN" w:bidi="or-IN"/>
        </w:rPr>
        <w:lastRenderedPageBreak/>
        <w:t>(</w:t>
      </w:r>
      <w:r w:rsidR="0050710B" w:rsidRPr="00C77159">
        <w:rPr>
          <w:rFonts w:ascii="Times New Roman" w:eastAsia="Times New Roman" w:hAnsi="Times New Roman" w:cs="Times New Roman"/>
          <w:i/>
          <w:iCs/>
          <w:sz w:val="24"/>
          <w:szCs w:val="24"/>
          <w:lang w:eastAsia="en-IN" w:bidi="or-IN"/>
        </w:rPr>
        <w:t>B. Kaligendu</w:t>
      </w:r>
      <w:r w:rsidR="003548AF" w:rsidRPr="00C77159">
        <w:rPr>
          <w:rFonts w:ascii="Times New Roman" w:eastAsia="Times New Roman" w:hAnsi="Times New Roman" w:cs="Times New Roman"/>
          <w:sz w:val="24"/>
          <w:szCs w:val="24"/>
          <w:lang w:eastAsia="en-IN" w:bidi="or-IN"/>
        </w:rPr>
        <w:t>) which was 3.4</w:t>
      </w:r>
      <w:r w:rsidR="001F2A6C" w:rsidRPr="00C77159">
        <w:rPr>
          <w:rFonts w:ascii="Times New Roman" w:eastAsia="Times New Roman" w:hAnsi="Times New Roman" w:cs="Times New Roman"/>
          <w:sz w:val="24"/>
          <w:szCs w:val="24"/>
          <w:lang w:eastAsia="en-IN" w:bidi="or-IN"/>
        </w:rPr>
        <w:t xml:space="preserve"> </w:t>
      </w:r>
      <w:r w:rsidR="003548AF" w:rsidRPr="00C77159">
        <w:rPr>
          <w:rFonts w:ascii="Times New Roman" w:eastAsia="Times New Roman" w:hAnsi="Times New Roman" w:cs="Times New Roman"/>
          <w:sz w:val="24"/>
          <w:szCs w:val="24"/>
          <w:lang w:eastAsia="en-IN" w:bidi="or-IN"/>
        </w:rPr>
        <w:t xml:space="preserve">times higher over T6 (GFM-1) and T7 (P. Arpita). </w:t>
      </w:r>
      <w:r w:rsidR="0050710B" w:rsidRPr="00C77159">
        <w:rPr>
          <w:rFonts w:ascii="Times New Roman" w:eastAsia="Times New Roman" w:hAnsi="Times New Roman" w:cs="Times New Roman"/>
          <w:sz w:val="24"/>
          <w:szCs w:val="24"/>
          <w:lang w:eastAsia="en-IN" w:bidi="or-IN"/>
        </w:rPr>
        <w:t>The lowest yields were recorded in T6 (</w:t>
      </w:r>
      <w:r w:rsidR="0050710B" w:rsidRPr="00C77159">
        <w:rPr>
          <w:rFonts w:ascii="Times New Roman" w:eastAsia="Times New Roman" w:hAnsi="Times New Roman" w:cs="Times New Roman"/>
          <w:i/>
          <w:iCs/>
          <w:sz w:val="24"/>
          <w:szCs w:val="24"/>
          <w:lang w:eastAsia="en-IN" w:bidi="or-IN"/>
        </w:rPr>
        <w:t>GFM-1</w:t>
      </w:r>
      <w:r w:rsidR="0050710B" w:rsidRPr="00C77159">
        <w:rPr>
          <w:rFonts w:ascii="Times New Roman" w:eastAsia="Times New Roman" w:hAnsi="Times New Roman" w:cs="Times New Roman"/>
          <w:sz w:val="24"/>
          <w:szCs w:val="24"/>
          <w:lang w:eastAsia="en-IN" w:bidi="or-IN"/>
        </w:rPr>
        <w:t>) and T7 (</w:t>
      </w:r>
      <w:r w:rsidR="0050710B" w:rsidRPr="00C77159">
        <w:rPr>
          <w:rFonts w:ascii="Times New Roman" w:eastAsia="Times New Roman" w:hAnsi="Times New Roman" w:cs="Times New Roman"/>
          <w:i/>
          <w:iCs/>
          <w:sz w:val="24"/>
          <w:szCs w:val="24"/>
          <w:lang w:eastAsia="en-IN" w:bidi="or-IN"/>
        </w:rPr>
        <w:t>P. Arpita</w:t>
      </w:r>
      <w:r w:rsidR="0050710B" w:rsidRPr="00C77159">
        <w:rPr>
          <w:rFonts w:ascii="Times New Roman" w:eastAsia="Times New Roman" w:hAnsi="Times New Roman" w:cs="Times New Roman"/>
          <w:sz w:val="24"/>
          <w:szCs w:val="24"/>
          <w:lang w:eastAsia="en-IN" w:bidi="or-IN"/>
        </w:rPr>
        <w:t>), with values below 10.0 q ha⁻¹.</w:t>
      </w:r>
      <w:r w:rsidR="0025763A" w:rsidRPr="00C77159">
        <w:rPr>
          <w:rFonts w:ascii="Times New Roman" w:eastAsia="Times New Roman" w:hAnsi="Times New Roman" w:cs="Times New Roman"/>
          <w:sz w:val="24"/>
          <w:szCs w:val="24"/>
          <w:lang w:eastAsia="en-IN" w:bidi="or-IN"/>
        </w:rPr>
        <w:t xml:space="preserve"> </w:t>
      </w:r>
      <w:r w:rsidR="000F1CCF" w:rsidRPr="00C77159">
        <w:rPr>
          <w:rFonts w:ascii="Times New Roman" w:eastAsia="Times New Roman" w:hAnsi="Times New Roman" w:cs="Times New Roman"/>
          <w:sz w:val="24"/>
          <w:szCs w:val="24"/>
          <w:lang w:eastAsia="en-IN" w:bidi="or-IN"/>
        </w:rPr>
        <w:t>Higher flower weight and a greater number of flowers per plant for certain varieties, along with ideal temperature and photoperiod conditions during the flowering season, may be the causes of the rise in flower production per hectare</w:t>
      </w:r>
      <w:r w:rsidR="00417A2B" w:rsidRPr="00C77159">
        <w:rPr>
          <w:rFonts w:ascii="Times New Roman" w:eastAsia="Times New Roman" w:hAnsi="Times New Roman" w:cs="Times New Roman"/>
          <w:sz w:val="24"/>
          <w:szCs w:val="24"/>
          <w:lang w:eastAsia="en-IN" w:bidi="or-IN"/>
        </w:rPr>
        <w:t xml:space="preserve"> (</w:t>
      </w:r>
      <w:r w:rsidR="00417A2B" w:rsidRPr="00C77159">
        <w:rPr>
          <w:rFonts w:ascii="Times New Roman" w:hAnsi="Times New Roman" w:cs="Times New Roman"/>
          <w:sz w:val="24"/>
          <w:szCs w:val="24"/>
        </w:rPr>
        <w:t>Chandel et al.,2023;</w:t>
      </w:r>
      <w:r w:rsidR="00417A2B" w:rsidRPr="00C77159">
        <w:rPr>
          <w:rFonts w:ascii="Times New Roman" w:eastAsia="Times New Roman" w:hAnsi="Times New Roman" w:cs="Times New Roman"/>
          <w:sz w:val="24"/>
          <w:szCs w:val="24"/>
          <w:lang w:eastAsia="en-IN" w:bidi="or-IN"/>
        </w:rPr>
        <w:t xml:space="preserve"> (</w:t>
      </w:r>
      <w:r w:rsidR="00417A2B" w:rsidRPr="00C77159">
        <w:rPr>
          <w:rFonts w:ascii="Times New Roman" w:hAnsi="Times New Roman" w:cs="Times New Roman"/>
          <w:color w:val="222222"/>
          <w:sz w:val="24"/>
          <w:szCs w:val="20"/>
          <w:shd w:val="clear" w:color="auto" w:fill="FFFFFF"/>
        </w:rPr>
        <w:t>Lahkar et al., 2024)</w:t>
      </w:r>
      <w:r w:rsidR="00EE5DA3" w:rsidRPr="00C77159">
        <w:rPr>
          <w:rFonts w:ascii="Times New Roman" w:eastAsia="Times New Roman" w:hAnsi="Times New Roman" w:cs="Times New Roman"/>
          <w:sz w:val="24"/>
          <w:szCs w:val="24"/>
          <w:lang w:eastAsia="en-IN" w:bidi="or-IN"/>
        </w:rPr>
        <w:t xml:space="preserve">. </w:t>
      </w:r>
      <w:r w:rsidR="00E57F0C" w:rsidRPr="00C77159">
        <w:rPr>
          <w:rFonts w:ascii="Times New Roman" w:eastAsia="Times New Roman" w:hAnsi="Times New Roman" w:cs="Times New Roman"/>
          <w:sz w:val="24"/>
          <w:szCs w:val="24"/>
          <w:lang w:eastAsia="en-IN" w:bidi="or-IN"/>
        </w:rPr>
        <w:t>Deepa et al. (2016) and</w:t>
      </w:r>
      <w:r w:rsidR="00CE61CF" w:rsidRPr="00C77159">
        <w:t xml:space="preserve"> </w:t>
      </w:r>
      <w:r w:rsidR="00CE61CF" w:rsidRPr="00C77159">
        <w:rPr>
          <w:rFonts w:ascii="Times New Roman" w:eastAsia="Times New Roman" w:hAnsi="Times New Roman" w:cs="Times New Roman"/>
          <w:sz w:val="24"/>
          <w:szCs w:val="24"/>
          <w:lang w:eastAsia="en-IN" w:bidi="or-IN"/>
        </w:rPr>
        <w:t xml:space="preserve">Shilpa </w:t>
      </w:r>
      <w:r w:rsidR="00E57F0C" w:rsidRPr="00C77159">
        <w:rPr>
          <w:rFonts w:ascii="Times New Roman" w:eastAsia="Times New Roman" w:hAnsi="Times New Roman" w:cs="Times New Roman"/>
          <w:sz w:val="24"/>
          <w:szCs w:val="24"/>
          <w:lang w:eastAsia="en-IN" w:bidi="or-IN"/>
        </w:rPr>
        <w:t>et al. (20</w:t>
      </w:r>
      <w:r w:rsidR="00CE61CF" w:rsidRPr="00C77159">
        <w:rPr>
          <w:rFonts w:ascii="Times New Roman" w:eastAsia="Times New Roman" w:hAnsi="Times New Roman" w:cs="Times New Roman"/>
          <w:sz w:val="24"/>
          <w:szCs w:val="24"/>
          <w:lang w:eastAsia="en-IN" w:bidi="or-IN"/>
        </w:rPr>
        <w:t>22</w:t>
      </w:r>
      <w:r w:rsidR="00E57F0C" w:rsidRPr="00C77159">
        <w:rPr>
          <w:rFonts w:ascii="Times New Roman" w:eastAsia="Times New Roman" w:hAnsi="Times New Roman" w:cs="Times New Roman"/>
          <w:sz w:val="24"/>
          <w:szCs w:val="24"/>
          <w:lang w:eastAsia="en-IN" w:bidi="or-IN"/>
        </w:rPr>
        <w:t>) similarly observed similar outcomes in marigold.</w:t>
      </w:r>
      <w:r w:rsidR="00CE61CF" w:rsidRPr="00C77159">
        <w:t xml:space="preserve"> </w:t>
      </w:r>
      <w:r w:rsidR="00CE61CF" w:rsidRPr="00C77159">
        <w:rPr>
          <w:rFonts w:ascii="Times New Roman" w:eastAsia="Times New Roman" w:hAnsi="Times New Roman" w:cs="Times New Roman"/>
          <w:sz w:val="24"/>
          <w:szCs w:val="24"/>
          <w:lang w:eastAsia="en-IN" w:bidi="or-IN"/>
        </w:rPr>
        <w:t xml:space="preserve">The variation in flower yield is due to the genetic </w:t>
      </w:r>
      <w:r w:rsidR="00145190" w:rsidRPr="00C77159">
        <w:rPr>
          <w:rFonts w:ascii="Times New Roman" w:eastAsia="Times New Roman" w:hAnsi="Times New Roman" w:cs="Times New Roman"/>
          <w:sz w:val="24"/>
          <w:szCs w:val="24"/>
          <w:lang w:eastAsia="en-IN" w:bidi="or-IN"/>
        </w:rPr>
        <w:t>variability</w:t>
      </w:r>
      <w:r w:rsidR="00CE61CF" w:rsidRPr="00C77159">
        <w:rPr>
          <w:rFonts w:ascii="Times New Roman" w:eastAsia="Times New Roman" w:hAnsi="Times New Roman" w:cs="Times New Roman"/>
          <w:sz w:val="24"/>
          <w:szCs w:val="24"/>
          <w:lang w:eastAsia="en-IN" w:bidi="or-IN"/>
        </w:rPr>
        <w:t xml:space="preserve"> of</w:t>
      </w:r>
      <w:r w:rsidR="00145190" w:rsidRPr="00C77159">
        <w:rPr>
          <w:rFonts w:ascii="Times New Roman" w:eastAsia="Times New Roman" w:hAnsi="Times New Roman" w:cs="Times New Roman"/>
          <w:sz w:val="24"/>
          <w:szCs w:val="24"/>
          <w:lang w:eastAsia="en-IN" w:bidi="or-IN"/>
        </w:rPr>
        <w:t xml:space="preserve"> </w:t>
      </w:r>
      <w:r w:rsidR="00CE61CF" w:rsidRPr="00C77159">
        <w:rPr>
          <w:rFonts w:ascii="Times New Roman" w:eastAsia="Times New Roman" w:hAnsi="Times New Roman" w:cs="Times New Roman"/>
          <w:sz w:val="24"/>
          <w:szCs w:val="24"/>
          <w:lang w:eastAsia="en-IN" w:bidi="or-IN"/>
        </w:rPr>
        <w:t xml:space="preserve">the genotype and agroclimatic condition </w:t>
      </w:r>
      <w:r w:rsidR="00145190" w:rsidRPr="00C77159">
        <w:rPr>
          <w:rFonts w:ascii="Times New Roman" w:eastAsia="Times New Roman" w:hAnsi="Times New Roman" w:cs="Times New Roman"/>
          <w:sz w:val="24"/>
          <w:szCs w:val="24"/>
          <w:lang w:eastAsia="en-IN" w:bidi="or-IN"/>
        </w:rPr>
        <w:t xml:space="preserve">reported by </w:t>
      </w:r>
      <w:r w:rsidR="00CE61CF" w:rsidRPr="00C77159">
        <w:rPr>
          <w:rFonts w:ascii="Times New Roman" w:eastAsia="Times New Roman" w:hAnsi="Times New Roman" w:cs="Times New Roman"/>
          <w:sz w:val="24"/>
          <w:szCs w:val="24"/>
          <w:lang w:eastAsia="en-IN" w:bidi="or-IN"/>
        </w:rPr>
        <w:t>Shilpa et al.,</w:t>
      </w:r>
      <w:r w:rsidR="00145190" w:rsidRPr="00C77159">
        <w:rPr>
          <w:rFonts w:ascii="Times New Roman" w:eastAsia="Times New Roman" w:hAnsi="Times New Roman" w:cs="Times New Roman"/>
          <w:sz w:val="24"/>
          <w:szCs w:val="24"/>
          <w:lang w:eastAsia="en-IN" w:bidi="or-IN"/>
        </w:rPr>
        <w:t xml:space="preserve"> </w:t>
      </w:r>
      <w:r w:rsidR="00CE61CF" w:rsidRPr="00C77159">
        <w:rPr>
          <w:rFonts w:ascii="Times New Roman" w:eastAsia="Times New Roman" w:hAnsi="Times New Roman" w:cs="Times New Roman"/>
          <w:sz w:val="24"/>
          <w:szCs w:val="24"/>
          <w:lang w:eastAsia="en-IN" w:bidi="or-IN"/>
        </w:rPr>
        <w:t>(2022);</w:t>
      </w:r>
      <w:r w:rsidR="00145190" w:rsidRPr="00C77159">
        <w:rPr>
          <w:rFonts w:ascii="Times New Roman" w:eastAsia="Times New Roman" w:hAnsi="Times New Roman" w:cs="Times New Roman"/>
          <w:sz w:val="24"/>
          <w:szCs w:val="24"/>
          <w:lang w:eastAsia="en-IN" w:bidi="or-IN"/>
        </w:rPr>
        <w:t xml:space="preserve"> and</w:t>
      </w:r>
      <w:r w:rsidR="00CE61CF" w:rsidRPr="00C77159">
        <w:rPr>
          <w:rFonts w:ascii="Times New Roman" w:eastAsia="Times New Roman" w:hAnsi="Times New Roman" w:cs="Times New Roman"/>
          <w:sz w:val="24"/>
          <w:szCs w:val="24"/>
          <w:lang w:eastAsia="en-IN" w:bidi="or-IN"/>
        </w:rPr>
        <w:t xml:space="preserve"> Pratheeksha et al.,</w:t>
      </w:r>
      <w:r w:rsidR="00145190" w:rsidRPr="00C77159">
        <w:rPr>
          <w:rFonts w:ascii="Times New Roman" w:eastAsia="Times New Roman" w:hAnsi="Times New Roman" w:cs="Times New Roman"/>
          <w:sz w:val="24"/>
          <w:szCs w:val="24"/>
          <w:lang w:eastAsia="en-IN" w:bidi="or-IN"/>
        </w:rPr>
        <w:t xml:space="preserve"> </w:t>
      </w:r>
      <w:r w:rsidR="00CE61CF" w:rsidRPr="00C77159">
        <w:rPr>
          <w:rFonts w:ascii="Times New Roman" w:eastAsia="Times New Roman" w:hAnsi="Times New Roman" w:cs="Times New Roman"/>
          <w:sz w:val="24"/>
          <w:szCs w:val="24"/>
          <w:lang w:eastAsia="en-IN" w:bidi="or-IN"/>
        </w:rPr>
        <w:t>(2024).</w:t>
      </w:r>
    </w:p>
    <w:p w14:paraId="3E05F748" w14:textId="77777777" w:rsidR="00ED4DA0" w:rsidRDefault="00A80C65" w:rsidP="003548AF">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Pr>
          <w:rFonts w:ascii="Times New Roman" w:eastAsia="Times New Roman" w:hAnsi="Times New Roman" w:cs="Times New Roman"/>
          <w:sz w:val="24"/>
          <w:szCs w:val="24"/>
          <w:lang w:eastAsia="en-IN" w:bidi="or-IN"/>
        </w:rPr>
        <w:t xml:space="preserve">Table 1. </w:t>
      </w:r>
      <w:r w:rsidR="00ED4DA0">
        <w:rPr>
          <w:rFonts w:ascii="Times New Roman" w:eastAsia="Times New Roman" w:hAnsi="Times New Roman" w:cs="Times New Roman"/>
          <w:sz w:val="24"/>
          <w:szCs w:val="24"/>
          <w:lang w:eastAsia="en-IN" w:bidi="or-IN"/>
        </w:rPr>
        <w:t xml:space="preserve"> </w:t>
      </w:r>
      <w:r w:rsidR="00ED4DA0" w:rsidRPr="00ED4DA0">
        <w:rPr>
          <w:rFonts w:ascii="Times New Roman" w:eastAsia="Times New Roman" w:hAnsi="Times New Roman" w:cs="Times New Roman"/>
          <w:sz w:val="24"/>
          <w:szCs w:val="24"/>
          <w:lang w:eastAsia="en-IN" w:bidi="or-IN"/>
        </w:rPr>
        <w:t xml:space="preserve">Effect of different marigold varieties on </w:t>
      </w:r>
      <w:r w:rsidR="00ED4DA0">
        <w:rPr>
          <w:rFonts w:ascii="Times New Roman" w:eastAsia="Times New Roman" w:hAnsi="Times New Roman" w:cs="Times New Roman"/>
          <w:sz w:val="24"/>
          <w:szCs w:val="24"/>
          <w:lang w:eastAsia="en-IN" w:bidi="or-IN"/>
        </w:rPr>
        <w:t>morphological characters and yield</w:t>
      </w:r>
      <w:r w:rsidR="00ED4DA0" w:rsidRPr="00ED4DA0">
        <w:rPr>
          <w:rFonts w:ascii="Times New Roman" w:eastAsia="Times New Roman" w:hAnsi="Times New Roman" w:cs="Times New Roman"/>
          <w:sz w:val="24"/>
          <w:szCs w:val="24"/>
          <w:lang w:eastAsia="en-IN" w:bidi="or-IN"/>
        </w:rPr>
        <w:t>.</w:t>
      </w:r>
    </w:p>
    <w:tbl>
      <w:tblPr>
        <w:tblStyle w:val="TableGrid"/>
        <w:tblW w:w="99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2"/>
        <w:gridCol w:w="842"/>
        <w:gridCol w:w="717"/>
        <w:gridCol w:w="816"/>
        <w:gridCol w:w="817"/>
        <w:gridCol w:w="771"/>
        <w:gridCol w:w="863"/>
        <w:gridCol w:w="957"/>
        <w:gridCol w:w="838"/>
        <w:gridCol w:w="772"/>
        <w:gridCol w:w="787"/>
      </w:tblGrid>
      <w:tr w:rsidR="00A80C65" w:rsidRPr="00D460DA" w14:paraId="428CE6DC" w14:textId="77777777" w:rsidTr="002D7B14">
        <w:trPr>
          <w:trHeight w:val="719"/>
        </w:trPr>
        <w:tc>
          <w:tcPr>
            <w:tcW w:w="1732" w:type="dxa"/>
            <w:tcBorders>
              <w:top w:val="single" w:sz="4" w:space="0" w:color="auto"/>
              <w:bottom w:val="single" w:sz="4" w:space="0" w:color="auto"/>
            </w:tcBorders>
            <w:vAlign w:val="center"/>
            <w:hideMark/>
          </w:tcPr>
          <w:p w14:paraId="05EC55B5" w14:textId="77777777" w:rsidR="00A80C65" w:rsidRPr="00D460DA" w:rsidRDefault="00A80C65" w:rsidP="00417A2B">
            <w:pPr>
              <w:spacing w:after="200" w:line="276" w:lineRule="auto"/>
              <w:jc w:val="left"/>
              <w:rPr>
                <w:rFonts w:ascii="Times New Roman" w:hAnsi="Times New Roman" w:cs="Times New Roman"/>
              </w:rPr>
            </w:pPr>
            <w:r w:rsidRPr="00D460DA">
              <w:rPr>
                <w:rFonts w:ascii="Times New Roman" w:hAnsi="Times New Roman" w:cs="Times New Roman"/>
              </w:rPr>
              <w:t>Treatment</w:t>
            </w:r>
          </w:p>
        </w:tc>
        <w:tc>
          <w:tcPr>
            <w:tcW w:w="1559" w:type="dxa"/>
            <w:gridSpan w:val="2"/>
            <w:tcBorders>
              <w:top w:val="single" w:sz="4" w:space="0" w:color="auto"/>
              <w:bottom w:val="single" w:sz="4" w:space="0" w:color="auto"/>
            </w:tcBorders>
            <w:vAlign w:val="center"/>
            <w:hideMark/>
          </w:tcPr>
          <w:p w14:paraId="56A0BE58" w14:textId="77777777" w:rsidR="00A80C65" w:rsidRPr="00D460DA" w:rsidRDefault="00A80C65" w:rsidP="00417A2B">
            <w:pPr>
              <w:spacing w:after="200" w:line="276" w:lineRule="auto"/>
              <w:ind w:left="0" w:firstLine="0"/>
              <w:jc w:val="center"/>
              <w:rPr>
                <w:rFonts w:ascii="Times New Roman" w:hAnsi="Times New Roman" w:cs="Times New Roman"/>
              </w:rPr>
            </w:pPr>
            <w:r w:rsidRPr="00D460DA">
              <w:rPr>
                <w:rFonts w:ascii="Times New Roman" w:hAnsi="Times New Roman" w:cs="Times New Roman"/>
              </w:rPr>
              <w:t>Effective Plant height</w:t>
            </w:r>
          </w:p>
        </w:tc>
        <w:tc>
          <w:tcPr>
            <w:tcW w:w="1633" w:type="dxa"/>
            <w:gridSpan w:val="2"/>
            <w:tcBorders>
              <w:top w:val="single" w:sz="4" w:space="0" w:color="auto"/>
              <w:bottom w:val="single" w:sz="4" w:space="0" w:color="auto"/>
            </w:tcBorders>
            <w:vAlign w:val="center"/>
            <w:hideMark/>
          </w:tcPr>
          <w:p w14:paraId="6FB31BA5" w14:textId="77777777" w:rsidR="00A80C65" w:rsidRPr="00D460DA" w:rsidRDefault="00A80C65" w:rsidP="00417A2B">
            <w:pPr>
              <w:spacing w:after="200" w:line="276" w:lineRule="auto"/>
              <w:ind w:left="94" w:hanging="94"/>
              <w:jc w:val="center"/>
              <w:rPr>
                <w:rFonts w:ascii="Times New Roman" w:hAnsi="Times New Roman" w:cs="Times New Roman"/>
              </w:rPr>
            </w:pPr>
            <w:r w:rsidRPr="00D460DA">
              <w:rPr>
                <w:rFonts w:ascii="Times New Roman" w:hAnsi="Times New Roman" w:cs="Times New Roman"/>
              </w:rPr>
              <w:t>no. of effective bud per plant</w:t>
            </w:r>
          </w:p>
        </w:tc>
        <w:tc>
          <w:tcPr>
            <w:tcW w:w="1634" w:type="dxa"/>
            <w:gridSpan w:val="2"/>
            <w:tcBorders>
              <w:top w:val="single" w:sz="4" w:space="0" w:color="auto"/>
              <w:bottom w:val="single" w:sz="4" w:space="0" w:color="auto"/>
            </w:tcBorders>
            <w:vAlign w:val="center"/>
            <w:hideMark/>
          </w:tcPr>
          <w:p w14:paraId="45387570" w14:textId="77777777" w:rsidR="00A80C65" w:rsidRPr="00D460DA" w:rsidRDefault="00363B36" w:rsidP="00417A2B">
            <w:pPr>
              <w:spacing w:after="200" w:line="276" w:lineRule="auto"/>
              <w:ind w:left="0" w:firstLine="0"/>
              <w:jc w:val="center"/>
              <w:rPr>
                <w:rFonts w:ascii="Times New Roman" w:hAnsi="Times New Roman" w:cs="Times New Roman"/>
              </w:rPr>
            </w:pPr>
            <w:r>
              <w:rPr>
                <w:rFonts w:ascii="Times New Roman" w:eastAsia="Times New Roman" w:hAnsi="Times New Roman" w:cs="Times New Roman"/>
                <w:sz w:val="24"/>
                <w:szCs w:val="24"/>
                <w:lang w:eastAsia="en-IN" w:bidi="or-IN"/>
              </w:rPr>
              <w:t>F</w:t>
            </w:r>
            <w:r w:rsidRPr="0050710B">
              <w:rPr>
                <w:rFonts w:ascii="Times New Roman" w:eastAsia="Times New Roman" w:hAnsi="Times New Roman" w:cs="Times New Roman"/>
                <w:sz w:val="24"/>
                <w:szCs w:val="24"/>
                <w:lang w:eastAsia="en-IN" w:bidi="or-IN"/>
              </w:rPr>
              <w:t xml:space="preserve">requency of </w:t>
            </w:r>
            <w:r>
              <w:rPr>
                <w:rFonts w:ascii="Times New Roman" w:eastAsia="Times New Roman" w:hAnsi="Times New Roman" w:cs="Times New Roman"/>
                <w:sz w:val="24"/>
                <w:szCs w:val="24"/>
                <w:lang w:eastAsia="en-IN" w:bidi="or-IN"/>
              </w:rPr>
              <w:t>P</w:t>
            </w:r>
            <w:r w:rsidRPr="0050710B">
              <w:rPr>
                <w:rFonts w:ascii="Times New Roman" w:eastAsia="Times New Roman" w:hAnsi="Times New Roman" w:cs="Times New Roman"/>
                <w:sz w:val="24"/>
                <w:szCs w:val="24"/>
                <w:lang w:eastAsia="en-IN" w:bidi="or-IN"/>
              </w:rPr>
              <w:t>l</w:t>
            </w:r>
            <w:r>
              <w:rPr>
                <w:rFonts w:ascii="Times New Roman" w:eastAsia="Times New Roman" w:hAnsi="Times New Roman" w:cs="Times New Roman"/>
                <w:sz w:val="24"/>
                <w:szCs w:val="24"/>
                <w:lang w:eastAsia="en-IN" w:bidi="or-IN"/>
              </w:rPr>
              <w:t>uckin</w:t>
            </w:r>
            <w:r w:rsidRPr="0050710B">
              <w:rPr>
                <w:rFonts w:ascii="Times New Roman" w:eastAsia="Times New Roman" w:hAnsi="Times New Roman" w:cs="Times New Roman"/>
                <w:sz w:val="24"/>
                <w:szCs w:val="24"/>
                <w:lang w:eastAsia="en-IN" w:bidi="or-IN"/>
              </w:rPr>
              <w:t>g</w:t>
            </w:r>
          </w:p>
        </w:tc>
        <w:tc>
          <w:tcPr>
            <w:tcW w:w="1795" w:type="dxa"/>
            <w:gridSpan w:val="2"/>
            <w:tcBorders>
              <w:top w:val="single" w:sz="4" w:space="0" w:color="auto"/>
              <w:bottom w:val="single" w:sz="4" w:space="0" w:color="auto"/>
            </w:tcBorders>
            <w:vAlign w:val="center"/>
            <w:hideMark/>
          </w:tcPr>
          <w:p w14:paraId="21FE2421" w14:textId="77777777" w:rsidR="00A80C65" w:rsidRPr="00D460DA" w:rsidRDefault="00A80C65" w:rsidP="00417A2B">
            <w:pPr>
              <w:spacing w:after="200" w:line="276" w:lineRule="auto"/>
              <w:ind w:left="45" w:firstLine="0"/>
              <w:jc w:val="center"/>
              <w:rPr>
                <w:rFonts w:ascii="Times New Roman" w:hAnsi="Times New Roman" w:cs="Times New Roman"/>
              </w:rPr>
            </w:pPr>
            <w:r w:rsidRPr="00D460DA">
              <w:rPr>
                <w:rFonts w:ascii="Times New Roman" w:hAnsi="Times New Roman" w:cs="Times New Roman"/>
              </w:rPr>
              <w:t>flower diameter (Cm)</w:t>
            </w:r>
          </w:p>
        </w:tc>
        <w:tc>
          <w:tcPr>
            <w:tcW w:w="1559" w:type="dxa"/>
            <w:gridSpan w:val="2"/>
            <w:tcBorders>
              <w:top w:val="single" w:sz="4" w:space="0" w:color="auto"/>
              <w:bottom w:val="single" w:sz="4" w:space="0" w:color="auto"/>
            </w:tcBorders>
            <w:vAlign w:val="center"/>
            <w:hideMark/>
          </w:tcPr>
          <w:p w14:paraId="2DBCC2AF" w14:textId="77777777" w:rsidR="00A80C65" w:rsidRPr="00D460DA" w:rsidRDefault="00A80C65" w:rsidP="00417A2B">
            <w:pPr>
              <w:spacing w:after="200" w:line="276" w:lineRule="auto"/>
              <w:ind w:left="60" w:firstLine="0"/>
              <w:jc w:val="center"/>
              <w:rPr>
                <w:rFonts w:ascii="Times New Roman" w:hAnsi="Times New Roman" w:cs="Times New Roman"/>
              </w:rPr>
            </w:pPr>
            <w:r w:rsidRPr="00D460DA">
              <w:rPr>
                <w:rFonts w:ascii="Times New Roman" w:hAnsi="Times New Roman" w:cs="Times New Roman"/>
              </w:rPr>
              <w:t>Fresh flower yield</w:t>
            </w:r>
          </w:p>
          <w:p w14:paraId="3D856BFF" w14:textId="77777777" w:rsidR="00A80C65" w:rsidRPr="00D460DA" w:rsidRDefault="00A80C65" w:rsidP="00417A2B">
            <w:pPr>
              <w:spacing w:after="200" w:line="276" w:lineRule="auto"/>
              <w:ind w:left="60" w:firstLine="0"/>
              <w:jc w:val="center"/>
              <w:rPr>
                <w:rFonts w:ascii="Times New Roman" w:hAnsi="Times New Roman" w:cs="Times New Roman"/>
              </w:rPr>
            </w:pPr>
            <w:r w:rsidRPr="00D460DA">
              <w:rPr>
                <w:rFonts w:ascii="Times New Roman" w:hAnsi="Times New Roman" w:cs="Times New Roman"/>
              </w:rPr>
              <w:t>(q ha</w:t>
            </w:r>
            <w:r w:rsidRPr="00D460DA">
              <w:rPr>
                <w:rFonts w:ascii="Times New Roman" w:hAnsi="Times New Roman" w:cs="Times New Roman"/>
                <w:vertAlign w:val="superscript"/>
              </w:rPr>
              <w:t>-1</w:t>
            </w:r>
            <w:r w:rsidRPr="00D460DA">
              <w:rPr>
                <w:rFonts w:ascii="Times New Roman" w:hAnsi="Times New Roman" w:cs="Times New Roman"/>
              </w:rPr>
              <w:t>)</w:t>
            </w:r>
          </w:p>
        </w:tc>
      </w:tr>
      <w:tr w:rsidR="00A80C65" w:rsidRPr="00D460DA" w14:paraId="3AE16F09" w14:textId="77777777" w:rsidTr="002D7B14">
        <w:trPr>
          <w:trHeight w:val="328"/>
        </w:trPr>
        <w:tc>
          <w:tcPr>
            <w:tcW w:w="1732" w:type="dxa"/>
            <w:tcBorders>
              <w:top w:val="single" w:sz="4" w:space="0" w:color="auto"/>
            </w:tcBorders>
            <w:hideMark/>
          </w:tcPr>
          <w:p w14:paraId="32815BDE" w14:textId="77777777" w:rsidR="00A80C65" w:rsidRPr="00D460DA" w:rsidRDefault="00A80C65" w:rsidP="00417A2B">
            <w:pPr>
              <w:spacing w:after="200" w:line="276" w:lineRule="auto"/>
              <w:rPr>
                <w:rFonts w:ascii="Times New Roman" w:hAnsi="Times New Roman" w:cs="Times New Roman"/>
              </w:rPr>
            </w:pPr>
          </w:p>
        </w:tc>
        <w:tc>
          <w:tcPr>
            <w:tcW w:w="842" w:type="dxa"/>
            <w:tcBorders>
              <w:top w:val="single" w:sz="4" w:space="0" w:color="auto"/>
            </w:tcBorders>
            <w:hideMark/>
          </w:tcPr>
          <w:p w14:paraId="27AE143D"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2023</w:t>
            </w:r>
          </w:p>
        </w:tc>
        <w:tc>
          <w:tcPr>
            <w:tcW w:w="716" w:type="dxa"/>
            <w:tcBorders>
              <w:top w:val="single" w:sz="4" w:space="0" w:color="auto"/>
            </w:tcBorders>
            <w:hideMark/>
          </w:tcPr>
          <w:p w14:paraId="5C4B31A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2024</w:t>
            </w:r>
          </w:p>
        </w:tc>
        <w:tc>
          <w:tcPr>
            <w:tcW w:w="816" w:type="dxa"/>
            <w:tcBorders>
              <w:top w:val="single" w:sz="4" w:space="0" w:color="auto"/>
            </w:tcBorders>
            <w:hideMark/>
          </w:tcPr>
          <w:p w14:paraId="4BBD27DD"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2023</w:t>
            </w:r>
          </w:p>
        </w:tc>
        <w:tc>
          <w:tcPr>
            <w:tcW w:w="817" w:type="dxa"/>
            <w:tcBorders>
              <w:top w:val="single" w:sz="4" w:space="0" w:color="auto"/>
            </w:tcBorders>
            <w:hideMark/>
          </w:tcPr>
          <w:p w14:paraId="32AF32B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2024</w:t>
            </w:r>
          </w:p>
        </w:tc>
        <w:tc>
          <w:tcPr>
            <w:tcW w:w="771" w:type="dxa"/>
            <w:tcBorders>
              <w:top w:val="single" w:sz="4" w:space="0" w:color="auto"/>
            </w:tcBorders>
            <w:hideMark/>
          </w:tcPr>
          <w:p w14:paraId="06393967"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2023</w:t>
            </w:r>
          </w:p>
        </w:tc>
        <w:tc>
          <w:tcPr>
            <w:tcW w:w="863" w:type="dxa"/>
            <w:tcBorders>
              <w:top w:val="single" w:sz="4" w:space="0" w:color="auto"/>
            </w:tcBorders>
            <w:hideMark/>
          </w:tcPr>
          <w:p w14:paraId="5C5BCA4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2024</w:t>
            </w:r>
          </w:p>
        </w:tc>
        <w:tc>
          <w:tcPr>
            <w:tcW w:w="957" w:type="dxa"/>
            <w:tcBorders>
              <w:top w:val="single" w:sz="4" w:space="0" w:color="auto"/>
            </w:tcBorders>
            <w:hideMark/>
          </w:tcPr>
          <w:p w14:paraId="486B156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2023</w:t>
            </w:r>
          </w:p>
        </w:tc>
        <w:tc>
          <w:tcPr>
            <w:tcW w:w="837" w:type="dxa"/>
            <w:tcBorders>
              <w:top w:val="single" w:sz="4" w:space="0" w:color="auto"/>
            </w:tcBorders>
            <w:hideMark/>
          </w:tcPr>
          <w:p w14:paraId="4F20D893"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2024</w:t>
            </w:r>
          </w:p>
        </w:tc>
        <w:tc>
          <w:tcPr>
            <w:tcW w:w="772" w:type="dxa"/>
            <w:tcBorders>
              <w:top w:val="single" w:sz="4" w:space="0" w:color="auto"/>
            </w:tcBorders>
            <w:hideMark/>
          </w:tcPr>
          <w:p w14:paraId="3A21562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2023</w:t>
            </w:r>
          </w:p>
        </w:tc>
        <w:tc>
          <w:tcPr>
            <w:tcW w:w="786" w:type="dxa"/>
            <w:tcBorders>
              <w:top w:val="single" w:sz="4" w:space="0" w:color="auto"/>
            </w:tcBorders>
            <w:hideMark/>
          </w:tcPr>
          <w:p w14:paraId="2BF39680"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2024</w:t>
            </w:r>
          </w:p>
        </w:tc>
      </w:tr>
      <w:tr w:rsidR="00A80C65" w:rsidRPr="00D460DA" w14:paraId="6EDCC11A" w14:textId="77777777" w:rsidTr="002D7B14">
        <w:trPr>
          <w:trHeight w:val="274"/>
        </w:trPr>
        <w:tc>
          <w:tcPr>
            <w:tcW w:w="1732" w:type="dxa"/>
            <w:hideMark/>
          </w:tcPr>
          <w:p w14:paraId="756D917F"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T1-A. Abhi</w:t>
            </w:r>
          </w:p>
        </w:tc>
        <w:tc>
          <w:tcPr>
            <w:tcW w:w="842" w:type="dxa"/>
            <w:hideMark/>
          </w:tcPr>
          <w:p w14:paraId="07739E3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53</w:t>
            </w:r>
          </w:p>
        </w:tc>
        <w:tc>
          <w:tcPr>
            <w:tcW w:w="716" w:type="dxa"/>
            <w:hideMark/>
          </w:tcPr>
          <w:p w14:paraId="79886463"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55</w:t>
            </w:r>
          </w:p>
        </w:tc>
        <w:tc>
          <w:tcPr>
            <w:tcW w:w="816" w:type="dxa"/>
            <w:hideMark/>
          </w:tcPr>
          <w:p w14:paraId="008018B7"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16</w:t>
            </w:r>
          </w:p>
        </w:tc>
        <w:tc>
          <w:tcPr>
            <w:tcW w:w="817" w:type="dxa"/>
            <w:hideMark/>
          </w:tcPr>
          <w:p w14:paraId="4D40C393"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19</w:t>
            </w:r>
          </w:p>
        </w:tc>
        <w:tc>
          <w:tcPr>
            <w:tcW w:w="771" w:type="dxa"/>
            <w:hideMark/>
          </w:tcPr>
          <w:p w14:paraId="489BC6D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5</w:t>
            </w:r>
          </w:p>
        </w:tc>
        <w:tc>
          <w:tcPr>
            <w:tcW w:w="863" w:type="dxa"/>
            <w:hideMark/>
          </w:tcPr>
          <w:p w14:paraId="1B28867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4</w:t>
            </w:r>
          </w:p>
        </w:tc>
        <w:tc>
          <w:tcPr>
            <w:tcW w:w="957" w:type="dxa"/>
            <w:hideMark/>
          </w:tcPr>
          <w:p w14:paraId="7CBA707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5.5</w:t>
            </w:r>
          </w:p>
        </w:tc>
        <w:tc>
          <w:tcPr>
            <w:tcW w:w="837" w:type="dxa"/>
            <w:hideMark/>
          </w:tcPr>
          <w:p w14:paraId="1778A5A0"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5.4</w:t>
            </w:r>
          </w:p>
        </w:tc>
        <w:tc>
          <w:tcPr>
            <w:tcW w:w="772" w:type="dxa"/>
            <w:hideMark/>
          </w:tcPr>
          <w:p w14:paraId="0A76A74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14.9</w:t>
            </w:r>
          </w:p>
        </w:tc>
        <w:tc>
          <w:tcPr>
            <w:tcW w:w="786" w:type="dxa"/>
            <w:hideMark/>
          </w:tcPr>
          <w:p w14:paraId="04FCBC9F"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15.7</w:t>
            </w:r>
          </w:p>
        </w:tc>
      </w:tr>
      <w:tr w:rsidR="00A80C65" w:rsidRPr="00D460DA" w14:paraId="483310CB" w14:textId="77777777" w:rsidTr="002D7B14">
        <w:trPr>
          <w:trHeight w:val="328"/>
        </w:trPr>
        <w:tc>
          <w:tcPr>
            <w:tcW w:w="1732" w:type="dxa"/>
            <w:hideMark/>
          </w:tcPr>
          <w:p w14:paraId="25E8FC2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T2-A. Subha</w:t>
            </w:r>
          </w:p>
        </w:tc>
        <w:tc>
          <w:tcPr>
            <w:tcW w:w="842" w:type="dxa"/>
            <w:hideMark/>
          </w:tcPr>
          <w:p w14:paraId="761D573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40.5</w:t>
            </w:r>
          </w:p>
        </w:tc>
        <w:tc>
          <w:tcPr>
            <w:tcW w:w="716" w:type="dxa"/>
            <w:hideMark/>
          </w:tcPr>
          <w:p w14:paraId="5EA832B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44.2</w:t>
            </w:r>
          </w:p>
        </w:tc>
        <w:tc>
          <w:tcPr>
            <w:tcW w:w="816" w:type="dxa"/>
            <w:hideMark/>
          </w:tcPr>
          <w:p w14:paraId="75AEB759"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20</w:t>
            </w:r>
          </w:p>
        </w:tc>
        <w:tc>
          <w:tcPr>
            <w:tcW w:w="817" w:type="dxa"/>
            <w:hideMark/>
          </w:tcPr>
          <w:p w14:paraId="4ABCD0D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22</w:t>
            </w:r>
          </w:p>
        </w:tc>
        <w:tc>
          <w:tcPr>
            <w:tcW w:w="771" w:type="dxa"/>
            <w:hideMark/>
          </w:tcPr>
          <w:p w14:paraId="48A567C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6</w:t>
            </w:r>
          </w:p>
        </w:tc>
        <w:tc>
          <w:tcPr>
            <w:tcW w:w="863" w:type="dxa"/>
            <w:hideMark/>
          </w:tcPr>
          <w:p w14:paraId="0C8A3D2B"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w:t>
            </w:r>
          </w:p>
        </w:tc>
        <w:tc>
          <w:tcPr>
            <w:tcW w:w="957" w:type="dxa"/>
            <w:hideMark/>
          </w:tcPr>
          <w:p w14:paraId="2E595D3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5.5</w:t>
            </w:r>
          </w:p>
        </w:tc>
        <w:tc>
          <w:tcPr>
            <w:tcW w:w="837" w:type="dxa"/>
            <w:hideMark/>
          </w:tcPr>
          <w:p w14:paraId="355A8CA2"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5.6</w:t>
            </w:r>
          </w:p>
        </w:tc>
        <w:tc>
          <w:tcPr>
            <w:tcW w:w="772" w:type="dxa"/>
            <w:hideMark/>
          </w:tcPr>
          <w:p w14:paraId="6DD1E16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25.2</w:t>
            </w:r>
          </w:p>
        </w:tc>
        <w:tc>
          <w:tcPr>
            <w:tcW w:w="786" w:type="dxa"/>
            <w:hideMark/>
          </w:tcPr>
          <w:p w14:paraId="27C1930D"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25.9</w:t>
            </w:r>
          </w:p>
        </w:tc>
      </w:tr>
      <w:tr w:rsidR="00A80C65" w:rsidRPr="00D460DA" w14:paraId="57ACB934" w14:textId="77777777" w:rsidTr="002D7B14">
        <w:trPr>
          <w:trHeight w:val="328"/>
        </w:trPr>
        <w:tc>
          <w:tcPr>
            <w:tcW w:w="1732" w:type="dxa"/>
            <w:hideMark/>
          </w:tcPr>
          <w:p w14:paraId="6A1828FD"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T3-B. Kaligendu</w:t>
            </w:r>
          </w:p>
        </w:tc>
        <w:tc>
          <w:tcPr>
            <w:tcW w:w="842" w:type="dxa"/>
            <w:hideMark/>
          </w:tcPr>
          <w:p w14:paraId="3BE96BAB"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31</w:t>
            </w:r>
          </w:p>
        </w:tc>
        <w:tc>
          <w:tcPr>
            <w:tcW w:w="716" w:type="dxa"/>
            <w:hideMark/>
          </w:tcPr>
          <w:p w14:paraId="04D45F55"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32</w:t>
            </w:r>
          </w:p>
        </w:tc>
        <w:tc>
          <w:tcPr>
            <w:tcW w:w="816" w:type="dxa"/>
            <w:hideMark/>
          </w:tcPr>
          <w:p w14:paraId="6259FC0B"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26</w:t>
            </w:r>
          </w:p>
        </w:tc>
        <w:tc>
          <w:tcPr>
            <w:tcW w:w="817" w:type="dxa"/>
            <w:hideMark/>
          </w:tcPr>
          <w:p w14:paraId="31272CBB"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32</w:t>
            </w:r>
          </w:p>
        </w:tc>
        <w:tc>
          <w:tcPr>
            <w:tcW w:w="771" w:type="dxa"/>
            <w:hideMark/>
          </w:tcPr>
          <w:p w14:paraId="46EBC9A4"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6</w:t>
            </w:r>
          </w:p>
        </w:tc>
        <w:tc>
          <w:tcPr>
            <w:tcW w:w="863" w:type="dxa"/>
            <w:hideMark/>
          </w:tcPr>
          <w:p w14:paraId="5EA36BE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w:t>
            </w:r>
          </w:p>
        </w:tc>
        <w:tc>
          <w:tcPr>
            <w:tcW w:w="957" w:type="dxa"/>
            <w:hideMark/>
          </w:tcPr>
          <w:p w14:paraId="3E6F2FCB"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w:t>
            </w:r>
          </w:p>
        </w:tc>
        <w:tc>
          <w:tcPr>
            <w:tcW w:w="837" w:type="dxa"/>
            <w:hideMark/>
          </w:tcPr>
          <w:p w14:paraId="4A89656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4</w:t>
            </w:r>
          </w:p>
        </w:tc>
        <w:tc>
          <w:tcPr>
            <w:tcW w:w="772" w:type="dxa"/>
            <w:hideMark/>
          </w:tcPr>
          <w:p w14:paraId="1403CE0D"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24.6</w:t>
            </w:r>
          </w:p>
        </w:tc>
        <w:tc>
          <w:tcPr>
            <w:tcW w:w="786" w:type="dxa"/>
            <w:hideMark/>
          </w:tcPr>
          <w:p w14:paraId="710493F3"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24.4</w:t>
            </w:r>
          </w:p>
        </w:tc>
      </w:tr>
      <w:tr w:rsidR="00A80C65" w:rsidRPr="00D460DA" w14:paraId="3370C710" w14:textId="77777777" w:rsidTr="002D7B14">
        <w:trPr>
          <w:trHeight w:val="216"/>
        </w:trPr>
        <w:tc>
          <w:tcPr>
            <w:tcW w:w="1732" w:type="dxa"/>
            <w:hideMark/>
          </w:tcPr>
          <w:p w14:paraId="1849D75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T4-BM-4</w:t>
            </w:r>
          </w:p>
        </w:tc>
        <w:tc>
          <w:tcPr>
            <w:tcW w:w="842" w:type="dxa"/>
            <w:hideMark/>
          </w:tcPr>
          <w:p w14:paraId="63D6B0BE"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32</w:t>
            </w:r>
          </w:p>
        </w:tc>
        <w:tc>
          <w:tcPr>
            <w:tcW w:w="716" w:type="dxa"/>
            <w:hideMark/>
          </w:tcPr>
          <w:p w14:paraId="3E475332" w14:textId="77777777" w:rsidR="00A80C65" w:rsidRPr="00D460DA" w:rsidRDefault="00A80C65" w:rsidP="00417A2B">
            <w:pPr>
              <w:spacing w:after="200" w:line="276" w:lineRule="auto"/>
              <w:rPr>
                <w:rFonts w:ascii="Times New Roman" w:hAnsi="Times New Roman" w:cs="Times New Roman"/>
              </w:rPr>
            </w:pPr>
          </w:p>
        </w:tc>
        <w:tc>
          <w:tcPr>
            <w:tcW w:w="816" w:type="dxa"/>
            <w:hideMark/>
          </w:tcPr>
          <w:p w14:paraId="514F8DC3"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23</w:t>
            </w:r>
          </w:p>
        </w:tc>
        <w:tc>
          <w:tcPr>
            <w:tcW w:w="817" w:type="dxa"/>
            <w:hideMark/>
          </w:tcPr>
          <w:p w14:paraId="73FE618E"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24</w:t>
            </w:r>
          </w:p>
        </w:tc>
        <w:tc>
          <w:tcPr>
            <w:tcW w:w="771" w:type="dxa"/>
            <w:hideMark/>
          </w:tcPr>
          <w:p w14:paraId="00F17E20"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w:t>
            </w:r>
          </w:p>
        </w:tc>
        <w:tc>
          <w:tcPr>
            <w:tcW w:w="863" w:type="dxa"/>
            <w:hideMark/>
          </w:tcPr>
          <w:p w14:paraId="4B8036B7"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w:t>
            </w:r>
          </w:p>
        </w:tc>
        <w:tc>
          <w:tcPr>
            <w:tcW w:w="957" w:type="dxa"/>
            <w:hideMark/>
          </w:tcPr>
          <w:p w14:paraId="10BFE0F4"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5.5</w:t>
            </w:r>
          </w:p>
        </w:tc>
        <w:tc>
          <w:tcPr>
            <w:tcW w:w="837" w:type="dxa"/>
            <w:hideMark/>
          </w:tcPr>
          <w:p w14:paraId="2C25A0BF"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5.8</w:t>
            </w:r>
          </w:p>
        </w:tc>
        <w:tc>
          <w:tcPr>
            <w:tcW w:w="772" w:type="dxa"/>
            <w:hideMark/>
          </w:tcPr>
          <w:p w14:paraId="3A948A64"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17.6</w:t>
            </w:r>
          </w:p>
        </w:tc>
        <w:tc>
          <w:tcPr>
            <w:tcW w:w="786" w:type="dxa"/>
            <w:hideMark/>
          </w:tcPr>
          <w:p w14:paraId="6F8DF159"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17.7</w:t>
            </w:r>
          </w:p>
        </w:tc>
      </w:tr>
      <w:tr w:rsidR="00A80C65" w:rsidRPr="00D460DA" w14:paraId="5B65B46A" w14:textId="77777777" w:rsidTr="002D7B14">
        <w:trPr>
          <w:trHeight w:val="274"/>
        </w:trPr>
        <w:tc>
          <w:tcPr>
            <w:tcW w:w="1732" w:type="dxa"/>
            <w:hideMark/>
          </w:tcPr>
          <w:p w14:paraId="089181A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T5-A. Vibha</w:t>
            </w:r>
          </w:p>
        </w:tc>
        <w:tc>
          <w:tcPr>
            <w:tcW w:w="842" w:type="dxa"/>
            <w:hideMark/>
          </w:tcPr>
          <w:p w14:paraId="512809D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47</w:t>
            </w:r>
          </w:p>
        </w:tc>
        <w:tc>
          <w:tcPr>
            <w:tcW w:w="716" w:type="dxa"/>
            <w:hideMark/>
          </w:tcPr>
          <w:p w14:paraId="080F121E"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52</w:t>
            </w:r>
          </w:p>
        </w:tc>
        <w:tc>
          <w:tcPr>
            <w:tcW w:w="816" w:type="dxa"/>
            <w:hideMark/>
          </w:tcPr>
          <w:p w14:paraId="4536D08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32</w:t>
            </w:r>
          </w:p>
        </w:tc>
        <w:tc>
          <w:tcPr>
            <w:tcW w:w="817" w:type="dxa"/>
            <w:hideMark/>
          </w:tcPr>
          <w:p w14:paraId="62EABDC2"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54</w:t>
            </w:r>
          </w:p>
        </w:tc>
        <w:tc>
          <w:tcPr>
            <w:tcW w:w="771" w:type="dxa"/>
            <w:hideMark/>
          </w:tcPr>
          <w:p w14:paraId="627E98D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6</w:t>
            </w:r>
          </w:p>
        </w:tc>
        <w:tc>
          <w:tcPr>
            <w:tcW w:w="863" w:type="dxa"/>
            <w:hideMark/>
          </w:tcPr>
          <w:p w14:paraId="2DBA3005"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w:t>
            </w:r>
          </w:p>
        </w:tc>
        <w:tc>
          <w:tcPr>
            <w:tcW w:w="957" w:type="dxa"/>
            <w:hideMark/>
          </w:tcPr>
          <w:p w14:paraId="5AD10755"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6.5</w:t>
            </w:r>
          </w:p>
        </w:tc>
        <w:tc>
          <w:tcPr>
            <w:tcW w:w="837" w:type="dxa"/>
            <w:hideMark/>
          </w:tcPr>
          <w:p w14:paraId="201327B7"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6.6</w:t>
            </w:r>
          </w:p>
        </w:tc>
        <w:tc>
          <w:tcPr>
            <w:tcW w:w="772" w:type="dxa"/>
            <w:hideMark/>
          </w:tcPr>
          <w:p w14:paraId="19E7572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34</w:t>
            </w:r>
            <w:r w:rsidRPr="00D460DA">
              <w:rPr>
                <w:rFonts w:ascii="Times New Roman" w:hAnsi="Times New Roman" w:cs="Times New Roman"/>
              </w:rPr>
              <w:t>.0</w:t>
            </w:r>
          </w:p>
        </w:tc>
        <w:tc>
          <w:tcPr>
            <w:tcW w:w="786" w:type="dxa"/>
            <w:hideMark/>
          </w:tcPr>
          <w:p w14:paraId="5B07F59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34.2</w:t>
            </w:r>
          </w:p>
        </w:tc>
      </w:tr>
      <w:tr w:rsidR="00A80C65" w:rsidRPr="00D460DA" w14:paraId="789D8E2B" w14:textId="77777777" w:rsidTr="002D7B14">
        <w:trPr>
          <w:trHeight w:val="216"/>
        </w:trPr>
        <w:tc>
          <w:tcPr>
            <w:tcW w:w="1732" w:type="dxa"/>
            <w:hideMark/>
          </w:tcPr>
          <w:p w14:paraId="67C72B6F"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T6-GFM-1</w:t>
            </w:r>
          </w:p>
        </w:tc>
        <w:tc>
          <w:tcPr>
            <w:tcW w:w="842" w:type="dxa"/>
            <w:hideMark/>
          </w:tcPr>
          <w:p w14:paraId="5EDA34DD"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13</w:t>
            </w:r>
          </w:p>
        </w:tc>
        <w:tc>
          <w:tcPr>
            <w:tcW w:w="716" w:type="dxa"/>
            <w:hideMark/>
          </w:tcPr>
          <w:p w14:paraId="742ADF9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15</w:t>
            </w:r>
          </w:p>
        </w:tc>
        <w:tc>
          <w:tcPr>
            <w:tcW w:w="816" w:type="dxa"/>
            <w:hideMark/>
          </w:tcPr>
          <w:p w14:paraId="2BCFC359"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23</w:t>
            </w:r>
          </w:p>
        </w:tc>
        <w:tc>
          <w:tcPr>
            <w:tcW w:w="817" w:type="dxa"/>
            <w:hideMark/>
          </w:tcPr>
          <w:p w14:paraId="5C8608F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24</w:t>
            </w:r>
          </w:p>
        </w:tc>
        <w:tc>
          <w:tcPr>
            <w:tcW w:w="771" w:type="dxa"/>
            <w:hideMark/>
          </w:tcPr>
          <w:p w14:paraId="1D12F18E"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w:t>
            </w:r>
          </w:p>
        </w:tc>
        <w:tc>
          <w:tcPr>
            <w:tcW w:w="863" w:type="dxa"/>
            <w:hideMark/>
          </w:tcPr>
          <w:p w14:paraId="7AC997CB"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w:t>
            </w:r>
          </w:p>
        </w:tc>
        <w:tc>
          <w:tcPr>
            <w:tcW w:w="957" w:type="dxa"/>
            <w:hideMark/>
          </w:tcPr>
          <w:p w14:paraId="22D14454"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3.0</w:t>
            </w:r>
          </w:p>
        </w:tc>
        <w:tc>
          <w:tcPr>
            <w:tcW w:w="837" w:type="dxa"/>
            <w:hideMark/>
          </w:tcPr>
          <w:p w14:paraId="51370E7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3.2</w:t>
            </w:r>
          </w:p>
        </w:tc>
        <w:tc>
          <w:tcPr>
            <w:tcW w:w="772" w:type="dxa"/>
            <w:hideMark/>
          </w:tcPr>
          <w:p w14:paraId="48332E7E"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9.8</w:t>
            </w:r>
          </w:p>
        </w:tc>
        <w:tc>
          <w:tcPr>
            <w:tcW w:w="786" w:type="dxa"/>
            <w:hideMark/>
          </w:tcPr>
          <w:p w14:paraId="6E8B7F3F"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10.0</w:t>
            </w:r>
          </w:p>
        </w:tc>
      </w:tr>
      <w:tr w:rsidR="00A80C65" w:rsidRPr="00D460DA" w14:paraId="0F06422B" w14:textId="77777777" w:rsidTr="002D7B14">
        <w:trPr>
          <w:trHeight w:val="328"/>
        </w:trPr>
        <w:tc>
          <w:tcPr>
            <w:tcW w:w="1732" w:type="dxa"/>
            <w:hideMark/>
          </w:tcPr>
          <w:p w14:paraId="4F63F23E"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T7-P. Arpita</w:t>
            </w:r>
          </w:p>
        </w:tc>
        <w:tc>
          <w:tcPr>
            <w:tcW w:w="842" w:type="dxa"/>
            <w:hideMark/>
          </w:tcPr>
          <w:p w14:paraId="485120A5"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42.5</w:t>
            </w:r>
          </w:p>
        </w:tc>
        <w:tc>
          <w:tcPr>
            <w:tcW w:w="716" w:type="dxa"/>
            <w:hideMark/>
          </w:tcPr>
          <w:p w14:paraId="6B5E37E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45</w:t>
            </w:r>
          </w:p>
        </w:tc>
        <w:tc>
          <w:tcPr>
            <w:tcW w:w="816" w:type="dxa"/>
            <w:hideMark/>
          </w:tcPr>
          <w:p w14:paraId="18936A3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18</w:t>
            </w:r>
          </w:p>
        </w:tc>
        <w:tc>
          <w:tcPr>
            <w:tcW w:w="817" w:type="dxa"/>
            <w:hideMark/>
          </w:tcPr>
          <w:p w14:paraId="6A5E9CF7"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20</w:t>
            </w:r>
          </w:p>
        </w:tc>
        <w:tc>
          <w:tcPr>
            <w:tcW w:w="771" w:type="dxa"/>
            <w:hideMark/>
          </w:tcPr>
          <w:p w14:paraId="4AB89987"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w:t>
            </w:r>
          </w:p>
        </w:tc>
        <w:tc>
          <w:tcPr>
            <w:tcW w:w="863" w:type="dxa"/>
            <w:hideMark/>
          </w:tcPr>
          <w:p w14:paraId="26E6BC2B"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w:t>
            </w:r>
          </w:p>
        </w:tc>
        <w:tc>
          <w:tcPr>
            <w:tcW w:w="957" w:type="dxa"/>
            <w:hideMark/>
          </w:tcPr>
          <w:p w14:paraId="7CCD7537"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3.0</w:t>
            </w:r>
          </w:p>
        </w:tc>
        <w:tc>
          <w:tcPr>
            <w:tcW w:w="837" w:type="dxa"/>
            <w:hideMark/>
          </w:tcPr>
          <w:p w14:paraId="7116B6A3"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3.1</w:t>
            </w:r>
          </w:p>
        </w:tc>
        <w:tc>
          <w:tcPr>
            <w:tcW w:w="772" w:type="dxa"/>
            <w:hideMark/>
          </w:tcPr>
          <w:p w14:paraId="0F698E9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9.81</w:t>
            </w:r>
          </w:p>
        </w:tc>
        <w:tc>
          <w:tcPr>
            <w:tcW w:w="786" w:type="dxa"/>
            <w:hideMark/>
          </w:tcPr>
          <w:p w14:paraId="5F8F142F"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9.92</w:t>
            </w:r>
          </w:p>
        </w:tc>
      </w:tr>
      <w:tr w:rsidR="00A80C65" w:rsidRPr="00D460DA" w14:paraId="6ABBC8A2" w14:textId="77777777" w:rsidTr="002D7B14">
        <w:trPr>
          <w:trHeight w:val="328"/>
        </w:trPr>
        <w:tc>
          <w:tcPr>
            <w:tcW w:w="1732" w:type="dxa"/>
            <w:hideMark/>
          </w:tcPr>
          <w:p w14:paraId="7E251F18" w14:textId="77777777" w:rsidR="00A80C65" w:rsidRPr="00D460DA" w:rsidRDefault="00A80C65" w:rsidP="00417A2B">
            <w:pPr>
              <w:spacing w:after="200" w:line="276" w:lineRule="auto"/>
              <w:ind w:left="38" w:hanging="38"/>
              <w:rPr>
                <w:rFonts w:ascii="Times New Roman" w:hAnsi="Times New Roman" w:cs="Times New Roman"/>
              </w:rPr>
            </w:pPr>
            <w:r w:rsidRPr="00D460DA">
              <w:rPr>
                <w:rFonts w:ascii="Times New Roman" w:hAnsi="Times New Roman" w:cs="Times New Roman"/>
              </w:rPr>
              <w:t>T8-Punjab Gaindu</w:t>
            </w:r>
          </w:p>
        </w:tc>
        <w:tc>
          <w:tcPr>
            <w:tcW w:w="842" w:type="dxa"/>
            <w:hideMark/>
          </w:tcPr>
          <w:p w14:paraId="7126D3C0"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48</w:t>
            </w:r>
          </w:p>
        </w:tc>
        <w:tc>
          <w:tcPr>
            <w:tcW w:w="716" w:type="dxa"/>
            <w:hideMark/>
          </w:tcPr>
          <w:p w14:paraId="79966CA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51</w:t>
            </w:r>
          </w:p>
        </w:tc>
        <w:tc>
          <w:tcPr>
            <w:tcW w:w="816" w:type="dxa"/>
            <w:hideMark/>
          </w:tcPr>
          <w:p w14:paraId="1AD31EE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20</w:t>
            </w:r>
          </w:p>
        </w:tc>
        <w:tc>
          <w:tcPr>
            <w:tcW w:w="817" w:type="dxa"/>
            <w:hideMark/>
          </w:tcPr>
          <w:p w14:paraId="305574D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26</w:t>
            </w:r>
          </w:p>
        </w:tc>
        <w:tc>
          <w:tcPr>
            <w:tcW w:w="771" w:type="dxa"/>
            <w:hideMark/>
          </w:tcPr>
          <w:p w14:paraId="5970055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w:t>
            </w:r>
          </w:p>
        </w:tc>
        <w:tc>
          <w:tcPr>
            <w:tcW w:w="863" w:type="dxa"/>
            <w:hideMark/>
          </w:tcPr>
          <w:p w14:paraId="3988CA85"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4</w:t>
            </w:r>
          </w:p>
        </w:tc>
        <w:tc>
          <w:tcPr>
            <w:tcW w:w="957" w:type="dxa"/>
            <w:hideMark/>
          </w:tcPr>
          <w:p w14:paraId="4FCE1ED7"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5.0</w:t>
            </w:r>
          </w:p>
        </w:tc>
        <w:tc>
          <w:tcPr>
            <w:tcW w:w="837" w:type="dxa"/>
            <w:hideMark/>
          </w:tcPr>
          <w:p w14:paraId="318205B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5.4</w:t>
            </w:r>
          </w:p>
        </w:tc>
        <w:tc>
          <w:tcPr>
            <w:tcW w:w="772" w:type="dxa"/>
            <w:hideMark/>
          </w:tcPr>
          <w:p w14:paraId="6422B8C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16.9</w:t>
            </w:r>
          </w:p>
        </w:tc>
        <w:tc>
          <w:tcPr>
            <w:tcW w:w="786" w:type="dxa"/>
            <w:hideMark/>
          </w:tcPr>
          <w:p w14:paraId="2317FFC4"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17.5</w:t>
            </w:r>
          </w:p>
        </w:tc>
      </w:tr>
      <w:tr w:rsidR="00A80C65" w:rsidRPr="00D460DA" w14:paraId="76A95C3C" w14:textId="77777777" w:rsidTr="002D7B14">
        <w:trPr>
          <w:trHeight w:val="216"/>
        </w:trPr>
        <w:tc>
          <w:tcPr>
            <w:tcW w:w="1732" w:type="dxa"/>
            <w:hideMark/>
          </w:tcPr>
          <w:p w14:paraId="410CE52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T9-BM-2</w:t>
            </w:r>
          </w:p>
        </w:tc>
        <w:tc>
          <w:tcPr>
            <w:tcW w:w="842" w:type="dxa"/>
            <w:hideMark/>
          </w:tcPr>
          <w:p w14:paraId="26C04ED5"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16</w:t>
            </w:r>
          </w:p>
        </w:tc>
        <w:tc>
          <w:tcPr>
            <w:tcW w:w="716" w:type="dxa"/>
            <w:hideMark/>
          </w:tcPr>
          <w:p w14:paraId="3A9CFB4D"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17</w:t>
            </w:r>
          </w:p>
        </w:tc>
        <w:tc>
          <w:tcPr>
            <w:tcW w:w="816" w:type="dxa"/>
            <w:hideMark/>
          </w:tcPr>
          <w:p w14:paraId="33617C1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15</w:t>
            </w:r>
          </w:p>
        </w:tc>
        <w:tc>
          <w:tcPr>
            <w:tcW w:w="817" w:type="dxa"/>
            <w:hideMark/>
          </w:tcPr>
          <w:p w14:paraId="3DE30E6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18</w:t>
            </w:r>
          </w:p>
        </w:tc>
        <w:tc>
          <w:tcPr>
            <w:tcW w:w="771" w:type="dxa"/>
            <w:hideMark/>
          </w:tcPr>
          <w:p w14:paraId="4AAD0D5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w:t>
            </w:r>
          </w:p>
        </w:tc>
        <w:tc>
          <w:tcPr>
            <w:tcW w:w="863" w:type="dxa"/>
            <w:hideMark/>
          </w:tcPr>
          <w:p w14:paraId="6BE4AC39"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w:t>
            </w:r>
          </w:p>
        </w:tc>
        <w:tc>
          <w:tcPr>
            <w:tcW w:w="957" w:type="dxa"/>
            <w:hideMark/>
          </w:tcPr>
          <w:p w14:paraId="3EAFF1B4"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4.0</w:t>
            </w:r>
          </w:p>
        </w:tc>
        <w:tc>
          <w:tcPr>
            <w:tcW w:w="837" w:type="dxa"/>
            <w:hideMark/>
          </w:tcPr>
          <w:p w14:paraId="7ED86EE9"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4.2</w:t>
            </w:r>
          </w:p>
        </w:tc>
        <w:tc>
          <w:tcPr>
            <w:tcW w:w="772" w:type="dxa"/>
            <w:hideMark/>
          </w:tcPr>
          <w:p w14:paraId="5023EFC2"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12.6</w:t>
            </w:r>
          </w:p>
        </w:tc>
        <w:tc>
          <w:tcPr>
            <w:tcW w:w="786" w:type="dxa"/>
            <w:hideMark/>
          </w:tcPr>
          <w:p w14:paraId="0DB1BCE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12.7</w:t>
            </w:r>
          </w:p>
        </w:tc>
      </w:tr>
      <w:tr w:rsidR="00A80C65" w:rsidRPr="00D460DA" w14:paraId="55C0DDFC" w14:textId="77777777" w:rsidTr="002D7B14">
        <w:trPr>
          <w:trHeight w:val="274"/>
        </w:trPr>
        <w:tc>
          <w:tcPr>
            <w:tcW w:w="1732" w:type="dxa"/>
            <w:hideMark/>
          </w:tcPr>
          <w:p w14:paraId="5A4453F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T10-P. Deep</w:t>
            </w:r>
          </w:p>
        </w:tc>
        <w:tc>
          <w:tcPr>
            <w:tcW w:w="842" w:type="dxa"/>
            <w:hideMark/>
          </w:tcPr>
          <w:p w14:paraId="0A5639C6"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28</w:t>
            </w:r>
          </w:p>
        </w:tc>
        <w:tc>
          <w:tcPr>
            <w:tcW w:w="716" w:type="dxa"/>
            <w:hideMark/>
          </w:tcPr>
          <w:p w14:paraId="28F30AE4"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31</w:t>
            </w:r>
          </w:p>
        </w:tc>
        <w:tc>
          <w:tcPr>
            <w:tcW w:w="816" w:type="dxa"/>
            <w:hideMark/>
          </w:tcPr>
          <w:p w14:paraId="0EF59BE1"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32</w:t>
            </w:r>
          </w:p>
        </w:tc>
        <w:tc>
          <w:tcPr>
            <w:tcW w:w="817" w:type="dxa"/>
            <w:hideMark/>
          </w:tcPr>
          <w:p w14:paraId="7F69D26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29</w:t>
            </w:r>
          </w:p>
        </w:tc>
        <w:tc>
          <w:tcPr>
            <w:tcW w:w="771" w:type="dxa"/>
            <w:hideMark/>
          </w:tcPr>
          <w:p w14:paraId="19BA17E2"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w:t>
            </w:r>
          </w:p>
        </w:tc>
        <w:tc>
          <w:tcPr>
            <w:tcW w:w="863" w:type="dxa"/>
            <w:hideMark/>
          </w:tcPr>
          <w:p w14:paraId="1332F7D2"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5</w:t>
            </w:r>
          </w:p>
        </w:tc>
        <w:tc>
          <w:tcPr>
            <w:tcW w:w="957" w:type="dxa"/>
            <w:hideMark/>
          </w:tcPr>
          <w:p w14:paraId="2559E80A"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4.0</w:t>
            </w:r>
          </w:p>
        </w:tc>
        <w:tc>
          <w:tcPr>
            <w:tcW w:w="837" w:type="dxa"/>
            <w:hideMark/>
          </w:tcPr>
          <w:p w14:paraId="05279CAE"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3.8</w:t>
            </w:r>
          </w:p>
        </w:tc>
        <w:tc>
          <w:tcPr>
            <w:tcW w:w="772" w:type="dxa"/>
            <w:hideMark/>
          </w:tcPr>
          <w:p w14:paraId="5BB278E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17.2</w:t>
            </w:r>
          </w:p>
        </w:tc>
        <w:tc>
          <w:tcPr>
            <w:tcW w:w="786" w:type="dxa"/>
            <w:hideMark/>
          </w:tcPr>
          <w:p w14:paraId="68D530E0"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17.3</w:t>
            </w:r>
          </w:p>
        </w:tc>
      </w:tr>
      <w:tr w:rsidR="00A80C65" w:rsidRPr="00D460DA" w14:paraId="65C3490A" w14:textId="77777777" w:rsidTr="002D7B14">
        <w:trPr>
          <w:trHeight w:val="216"/>
        </w:trPr>
        <w:tc>
          <w:tcPr>
            <w:tcW w:w="1732" w:type="dxa"/>
            <w:hideMark/>
          </w:tcPr>
          <w:p w14:paraId="6310F9DE"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CD</w:t>
            </w:r>
          </w:p>
        </w:tc>
        <w:tc>
          <w:tcPr>
            <w:tcW w:w="842" w:type="dxa"/>
            <w:hideMark/>
          </w:tcPr>
          <w:p w14:paraId="1D4E9404"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 </w:t>
            </w:r>
          </w:p>
        </w:tc>
        <w:tc>
          <w:tcPr>
            <w:tcW w:w="716" w:type="dxa"/>
            <w:hideMark/>
          </w:tcPr>
          <w:p w14:paraId="6A91132D" w14:textId="77777777" w:rsidR="00A80C65" w:rsidRPr="00D460DA" w:rsidRDefault="00A80C65" w:rsidP="00417A2B">
            <w:pPr>
              <w:spacing w:after="200" w:line="276" w:lineRule="auto"/>
              <w:rPr>
                <w:rFonts w:ascii="Times New Roman" w:hAnsi="Times New Roman" w:cs="Times New Roman"/>
              </w:rPr>
            </w:pPr>
          </w:p>
        </w:tc>
        <w:tc>
          <w:tcPr>
            <w:tcW w:w="816" w:type="dxa"/>
            <w:hideMark/>
          </w:tcPr>
          <w:p w14:paraId="5A998840"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 </w:t>
            </w:r>
          </w:p>
        </w:tc>
        <w:tc>
          <w:tcPr>
            <w:tcW w:w="817" w:type="dxa"/>
            <w:hideMark/>
          </w:tcPr>
          <w:p w14:paraId="4F0CF676" w14:textId="77777777" w:rsidR="00A80C65" w:rsidRPr="00D460DA" w:rsidRDefault="00A80C65" w:rsidP="00417A2B">
            <w:pPr>
              <w:spacing w:after="200" w:line="276" w:lineRule="auto"/>
              <w:rPr>
                <w:rFonts w:ascii="Times New Roman" w:hAnsi="Times New Roman" w:cs="Times New Roman"/>
              </w:rPr>
            </w:pPr>
          </w:p>
        </w:tc>
        <w:tc>
          <w:tcPr>
            <w:tcW w:w="771" w:type="dxa"/>
            <w:hideMark/>
          </w:tcPr>
          <w:p w14:paraId="3F57E655"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 </w:t>
            </w:r>
          </w:p>
        </w:tc>
        <w:tc>
          <w:tcPr>
            <w:tcW w:w="863" w:type="dxa"/>
            <w:hideMark/>
          </w:tcPr>
          <w:p w14:paraId="2A2C2013" w14:textId="77777777" w:rsidR="00A80C65" w:rsidRPr="00D460DA" w:rsidRDefault="00A80C65" w:rsidP="00417A2B">
            <w:pPr>
              <w:spacing w:after="200" w:line="276" w:lineRule="auto"/>
              <w:rPr>
                <w:rFonts w:ascii="Times New Roman" w:hAnsi="Times New Roman" w:cs="Times New Roman"/>
              </w:rPr>
            </w:pPr>
          </w:p>
        </w:tc>
        <w:tc>
          <w:tcPr>
            <w:tcW w:w="957" w:type="dxa"/>
            <w:hideMark/>
          </w:tcPr>
          <w:p w14:paraId="79D7408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 </w:t>
            </w:r>
          </w:p>
        </w:tc>
        <w:tc>
          <w:tcPr>
            <w:tcW w:w="837" w:type="dxa"/>
            <w:hideMark/>
          </w:tcPr>
          <w:p w14:paraId="51D3941F" w14:textId="77777777" w:rsidR="00A80C65" w:rsidRPr="00D460DA" w:rsidRDefault="00A80C65" w:rsidP="00417A2B">
            <w:pPr>
              <w:spacing w:after="200" w:line="276" w:lineRule="auto"/>
              <w:rPr>
                <w:rFonts w:ascii="Times New Roman" w:hAnsi="Times New Roman" w:cs="Times New Roman"/>
              </w:rPr>
            </w:pPr>
          </w:p>
        </w:tc>
        <w:tc>
          <w:tcPr>
            <w:tcW w:w="772" w:type="dxa"/>
            <w:hideMark/>
          </w:tcPr>
          <w:p w14:paraId="3CE646B3"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3.45</w:t>
            </w:r>
          </w:p>
        </w:tc>
        <w:tc>
          <w:tcPr>
            <w:tcW w:w="786" w:type="dxa"/>
            <w:hideMark/>
          </w:tcPr>
          <w:p w14:paraId="693307E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3.85</w:t>
            </w:r>
          </w:p>
        </w:tc>
      </w:tr>
      <w:tr w:rsidR="00A80C65" w:rsidRPr="00D460DA" w14:paraId="06B585AE" w14:textId="77777777" w:rsidTr="002D7B14">
        <w:trPr>
          <w:trHeight w:val="216"/>
        </w:trPr>
        <w:tc>
          <w:tcPr>
            <w:tcW w:w="1732" w:type="dxa"/>
            <w:tcBorders>
              <w:bottom w:val="single" w:sz="4" w:space="0" w:color="auto"/>
            </w:tcBorders>
            <w:hideMark/>
          </w:tcPr>
          <w:p w14:paraId="0FD5E4D8"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SEM</w:t>
            </w:r>
          </w:p>
        </w:tc>
        <w:tc>
          <w:tcPr>
            <w:tcW w:w="842" w:type="dxa"/>
            <w:tcBorders>
              <w:bottom w:val="single" w:sz="4" w:space="0" w:color="auto"/>
            </w:tcBorders>
            <w:hideMark/>
          </w:tcPr>
          <w:p w14:paraId="1BB8EEA4"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 </w:t>
            </w:r>
          </w:p>
        </w:tc>
        <w:tc>
          <w:tcPr>
            <w:tcW w:w="716" w:type="dxa"/>
            <w:tcBorders>
              <w:bottom w:val="single" w:sz="4" w:space="0" w:color="auto"/>
            </w:tcBorders>
            <w:hideMark/>
          </w:tcPr>
          <w:p w14:paraId="20A7B796" w14:textId="77777777" w:rsidR="00A80C65" w:rsidRPr="00D460DA" w:rsidRDefault="00A80C65" w:rsidP="00417A2B">
            <w:pPr>
              <w:spacing w:after="200" w:line="276" w:lineRule="auto"/>
              <w:rPr>
                <w:rFonts w:ascii="Times New Roman" w:hAnsi="Times New Roman" w:cs="Times New Roman"/>
              </w:rPr>
            </w:pPr>
          </w:p>
        </w:tc>
        <w:tc>
          <w:tcPr>
            <w:tcW w:w="816" w:type="dxa"/>
            <w:tcBorders>
              <w:bottom w:val="single" w:sz="4" w:space="0" w:color="auto"/>
            </w:tcBorders>
            <w:hideMark/>
          </w:tcPr>
          <w:p w14:paraId="5D3ABD32"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 </w:t>
            </w:r>
          </w:p>
        </w:tc>
        <w:tc>
          <w:tcPr>
            <w:tcW w:w="817" w:type="dxa"/>
            <w:tcBorders>
              <w:bottom w:val="single" w:sz="4" w:space="0" w:color="auto"/>
            </w:tcBorders>
            <w:hideMark/>
          </w:tcPr>
          <w:p w14:paraId="317920D9" w14:textId="77777777" w:rsidR="00A80C65" w:rsidRPr="00D460DA" w:rsidRDefault="00A80C65" w:rsidP="00417A2B">
            <w:pPr>
              <w:spacing w:after="200" w:line="276" w:lineRule="auto"/>
              <w:rPr>
                <w:rFonts w:ascii="Times New Roman" w:hAnsi="Times New Roman" w:cs="Times New Roman"/>
              </w:rPr>
            </w:pPr>
          </w:p>
        </w:tc>
        <w:tc>
          <w:tcPr>
            <w:tcW w:w="771" w:type="dxa"/>
            <w:tcBorders>
              <w:bottom w:val="single" w:sz="4" w:space="0" w:color="auto"/>
            </w:tcBorders>
            <w:hideMark/>
          </w:tcPr>
          <w:p w14:paraId="0EEDFE13"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 </w:t>
            </w:r>
          </w:p>
        </w:tc>
        <w:tc>
          <w:tcPr>
            <w:tcW w:w="863" w:type="dxa"/>
            <w:tcBorders>
              <w:bottom w:val="single" w:sz="4" w:space="0" w:color="auto"/>
            </w:tcBorders>
            <w:hideMark/>
          </w:tcPr>
          <w:p w14:paraId="5B38DF31" w14:textId="77777777" w:rsidR="00A80C65" w:rsidRPr="00D460DA" w:rsidRDefault="00A80C65" w:rsidP="00417A2B">
            <w:pPr>
              <w:spacing w:after="200" w:line="276" w:lineRule="auto"/>
              <w:rPr>
                <w:rFonts w:ascii="Times New Roman" w:hAnsi="Times New Roman" w:cs="Times New Roman"/>
              </w:rPr>
            </w:pPr>
          </w:p>
        </w:tc>
        <w:tc>
          <w:tcPr>
            <w:tcW w:w="957" w:type="dxa"/>
            <w:tcBorders>
              <w:bottom w:val="single" w:sz="4" w:space="0" w:color="auto"/>
            </w:tcBorders>
            <w:hideMark/>
          </w:tcPr>
          <w:p w14:paraId="2FD72ECC"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 </w:t>
            </w:r>
          </w:p>
        </w:tc>
        <w:tc>
          <w:tcPr>
            <w:tcW w:w="837" w:type="dxa"/>
            <w:tcBorders>
              <w:bottom w:val="single" w:sz="4" w:space="0" w:color="auto"/>
            </w:tcBorders>
            <w:hideMark/>
          </w:tcPr>
          <w:p w14:paraId="6D2B1356" w14:textId="77777777" w:rsidR="00A80C65" w:rsidRPr="00D460DA" w:rsidRDefault="00A80C65" w:rsidP="00417A2B">
            <w:pPr>
              <w:spacing w:after="200" w:line="276" w:lineRule="auto"/>
              <w:rPr>
                <w:rFonts w:ascii="Times New Roman" w:hAnsi="Times New Roman" w:cs="Times New Roman"/>
              </w:rPr>
            </w:pPr>
          </w:p>
        </w:tc>
        <w:tc>
          <w:tcPr>
            <w:tcW w:w="772" w:type="dxa"/>
            <w:tcBorders>
              <w:bottom w:val="single" w:sz="4" w:space="0" w:color="auto"/>
            </w:tcBorders>
            <w:hideMark/>
          </w:tcPr>
          <w:p w14:paraId="2891B22B"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lang w:val="en-US"/>
              </w:rPr>
              <w:t>1.25</w:t>
            </w:r>
          </w:p>
        </w:tc>
        <w:tc>
          <w:tcPr>
            <w:tcW w:w="786" w:type="dxa"/>
            <w:tcBorders>
              <w:bottom w:val="single" w:sz="4" w:space="0" w:color="auto"/>
            </w:tcBorders>
            <w:hideMark/>
          </w:tcPr>
          <w:p w14:paraId="786CF30F" w14:textId="77777777" w:rsidR="00A80C65" w:rsidRPr="00D460DA" w:rsidRDefault="00A80C65" w:rsidP="00417A2B">
            <w:pPr>
              <w:spacing w:after="200" w:line="276" w:lineRule="auto"/>
              <w:rPr>
                <w:rFonts w:ascii="Times New Roman" w:hAnsi="Times New Roman" w:cs="Times New Roman"/>
              </w:rPr>
            </w:pPr>
            <w:r w:rsidRPr="00D460DA">
              <w:rPr>
                <w:rFonts w:ascii="Times New Roman" w:hAnsi="Times New Roman" w:cs="Times New Roman"/>
              </w:rPr>
              <w:t>1.33</w:t>
            </w:r>
          </w:p>
        </w:tc>
      </w:tr>
    </w:tbl>
    <w:p w14:paraId="7CD6282B" w14:textId="77777777" w:rsidR="00D51720" w:rsidRPr="00A17B0F" w:rsidRDefault="00D51720" w:rsidP="003548AF">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A17B0F">
        <w:rPr>
          <w:rStyle w:val="Strong"/>
          <w:rFonts w:ascii="Times New Roman" w:hAnsi="Times New Roman" w:cs="Times New Roman"/>
          <w:sz w:val="24"/>
          <w:szCs w:val="24"/>
        </w:rPr>
        <w:t>Economic Analysis</w:t>
      </w:r>
    </w:p>
    <w:p w14:paraId="3ECFF028" w14:textId="77777777" w:rsidR="00E8799E" w:rsidRDefault="00D51720" w:rsidP="00E8799E">
      <w:pPr>
        <w:pStyle w:val="NormalWeb"/>
        <w:spacing w:line="360" w:lineRule="auto"/>
        <w:jc w:val="both"/>
      </w:pPr>
      <w:r w:rsidRPr="00D51720">
        <w:t xml:space="preserve">The economic feasibility of different chrysanthemum genotypes was evaluated based on gross return, net return, and benefit-cost (B:C) ratio across two consecutive years (2023 and 2024) </w:t>
      </w:r>
      <w:r w:rsidRPr="00D51720">
        <w:lastRenderedPageBreak/>
        <w:t>(Table 2).</w:t>
      </w:r>
      <w:r w:rsidR="00127C9F">
        <w:t xml:space="preserve"> </w:t>
      </w:r>
      <w:r w:rsidRPr="00D51720">
        <w:t>Among all treatments, T5 (</w:t>
      </w:r>
      <w:r w:rsidRPr="00D51720">
        <w:rPr>
          <w:rStyle w:val="Emphasis"/>
        </w:rPr>
        <w:t>A. Vibha</w:t>
      </w:r>
      <w:r w:rsidRPr="00D51720">
        <w:t>) recorded the highest gross return of ₹2,72,000 in 2023 and ₹</w:t>
      </w:r>
      <w:r w:rsidR="00A80C65" w:rsidRPr="00A80C65">
        <w:t>273600</w:t>
      </w:r>
      <w:r w:rsidR="00A80C65">
        <w:t xml:space="preserve"> </w:t>
      </w:r>
      <w:r w:rsidRPr="00D51720">
        <w:t>in 2024, followed by T2 (</w:t>
      </w:r>
      <w:r w:rsidRPr="00D51720">
        <w:rPr>
          <w:rStyle w:val="Emphasis"/>
        </w:rPr>
        <w:t>A. Subha</w:t>
      </w:r>
      <w:r w:rsidRPr="00D51720">
        <w:t>) and T3 (</w:t>
      </w:r>
      <w:r w:rsidRPr="00D51720">
        <w:rPr>
          <w:rStyle w:val="Emphasis"/>
        </w:rPr>
        <w:t>B. Kaligendu</w:t>
      </w:r>
      <w:r w:rsidRPr="00D51720">
        <w:t>). Conversely, the lowest gross returns were observed in T6 (</w:t>
      </w:r>
      <w:r w:rsidRPr="00D51720">
        <w:rPr>
          <w:rStyle w:val="Emphasis"/>
        </w:rPr>
        <w:t>GFM-1</w:t>
      </w:r>
      <w:r w:rsidRPr="00D51720">
        <w:t>) and T7 (</w:t>
      </w:r>
      <w:r w:rsidRPr="00D51720">
        <w:rPr>
          <w:rStyle w:val="Emphasis"/>
        </w:rPr>
        <w:t>P. Arpita</w:t>
      </w:r>
      <w:r w:rsidRPr="00D51720">
        <w:t>), with values below ₹80,000 in both years.</w:t>
      </w:r>
      <w:r w:rsidR="00127C9F">
        <w:t xml:space="preserve"> </w:t>
      </w:r>
      <w:r w:rsidRPr="00D51720">
        <w:t>A similar trend was observed for net return. T5 (</w:t>
      </w:r>
      <w:r w:rsidRPr="00D51720">
        <w:rPr>
          <w:rStyle w:val="Emphasis"/>
        </w:rPr>
        <w:t>A. Vibha</w:t>
      </w:r>
      <w:r w:rsidRPr="00D51720">
        <w:t>) outperformed all other treatments, providing a net return of ₹2,00,000 in 2023 and ₹</w:t>
      </w:r>
      <w:r w:rsidR="00A80C65" w:rsidRPr="00A80C65">
        <w:t>2</w:t>
      </w:r>
      <w:r w:rsidR="00A80C65">
        <w:t>,</w:t>
      </w:r>
      <w:r w:rsidR="00A80C65" w:rsidRPr="00A80C65">
        <w:t>01</w:t>
      </w:r>
      <w:r w:rsidR="00A80C65">
        <w:t>,</w:t>
      </w:r>
      <w:r w:rsidR="00A80C65" w:rsidRPr="00A80C65">
        <w:t>600</w:t>
      </w:r>
      <w:r w:rsidR="00A80C65">
        <w:t xml:space="preserve"> </w:t>
      </w:r>
      <w:r w:rsidRPr="00D51720">
        <w:t>in 2024. Treatments T2 (</w:t>
      </w:r>
      <w:r w:rsidRPr="00D51720">
        <w:rPr>
          <w:rStyle w:val="Emphasis"/>
        </w:rPr>
        <w:t>A. Subha</w:t>
      </w:r>
      <w:r w:rsidRPr="00D51720">
        <w:t>) and T3 (</w:t>
      </w:r>
      <w:r w:rsidRPr="00D51720">
        <w:rPr>
          <w:rStyle w:val="Emphasis"/>
        </w:rPr>
        <w:t>B. Kaligendu</w:t>
      </w:r>
      <w:r w:rsidRPr="00D51720">
        <w:t>) also recorded high net returns above ₹1,20,000 in both years. In contrast, the lowest net returns were observed in T6 (</w:t>
      </w:r>
      <w:r w:rsidRPr="00D51720">
        <w:rPr>
          <w:rStyle w:val="Emphasis"/>
        </w:rPr>
        <w:t>GFM-1</w:t>
      </w:r>
      <w:r w:rsidRPr="00D51720">
        <w:t>) and T7 (</w:t>
      </w:r>
      <w:r w:rsidRPr="00D51720">
        <w:rPr>
          <w:rStyle w:val="Emphasis"/>
        </w:rPr>
        <w:t>P. Arpita</w:t>
      </w:r>
      <w:r w:rsidRPr="00D51720">
        <w:t>), both under ₹10,000 in 2023.</w:t>
      </w:r>
      <w:r w:rsidR="00127C9F">
        <w:t xml:space="preserve"> </w:t>
      </w:r>
      <w:r w:rsidRPr="00D51720">
        <w:t>The highest B:C ratio was obtained in T5 (</w:t>
      </w:r>
      <w:r w:rsidRPr="00D51720">
        <w:rPr>
          <w:rStyle w:val="Emphasis"/>
        </w:rPr>
        <w:t>A. Vibha</w:t>
      </w:r>
      <w:r w:rsidRPr="00D51720">
        <w:t xml:space="preserve">), with values of 3.78 and </w:t>
      </w:r>
      <w:r w:rsidR="00A80C65">
        <w:t>3</w:t>
      </w:r>
      <w:r w:rsidRPr="00D51720">
        <w:t>.8</w:t>
      </w:r>
      <w:r w:rsidR="00A80C65">
        <w:t>0</w:t>
      </w:r>
      <w:r w:rsidRPr="00D51720">
        <w:t xml:space="preserve"> in 2023 and 2024, respectively, indicating excellent profitability. T2 (</w:t>
      </w:r>
      <w:r w:rsidRPr="00D51720">
        <w:rPr>
          <w:rStyle w:val="Emphasis"/>
        </w:rPr>
        <w:t>A. Subha</w:t>
      </w:r>
      <w:r w:rsidRPr="00D51720">
        <w:t>) and T3 (</w:t>
      </w:r>
      <w:r w:rsidRPr="00D51720">
        <w:rPr>
          <w:rStyle w:val="Emphasis"/>
        </w:rPr>
        <w:t>B. Kaligendu</w:t>
      </w:r>
      <w:r w:rsidRPr="00D51720">
        <w:t>) also recorded economically viable B:C ratios, ranging from 2.</w:t>
      </w:r>
      <w:r w:rsidR="00A80C65">
        <w:t>71</w:t>
      </w:r>
      <w:r w:rsidRPr="00D51720">
        <w:t xml:space="preserve"> to 2.8</w:t>
      </w:r>
      <w:r w:rsidR="00A80C65">
        <w:t>8</w:t>
      </w:r>
      <w:r w:rsidRPr="00D51720">
        <w:t>. On the other hand, T6 (</w:t>
      </w:r>
      <w:r w:rsidRPr="00D51720">
        <w:rPr>
          <w:rStyle w:val="Emphasis"/>
        </w:rPr>
        <w:t>GFM-1</w:t>
      </w:r>
      <w:r w:rsidRPr="00D51720">
        <w:t>) and T7 (</w:t>
      </w:r>
      <w:r w:rsidRPr="00D51720">
        <w:rPr>
          <w:rStyle w:val="Emphasis"/>
        </w:rPr>
        <w:t>P. Arpita</w:t>
      </w:r>
      <w:r w:rsidRPr="00D51720">
        <w:t>) reported the lowest B:C ratios (&lt;</w:t>
      </w:r>
      <w:r w:rsidR="00A3008A">
        <w:t xml:space="preserve"> </w:t>
      </w:r>
      <w:r w:rsidR="00A80C65">
        <w:t>2</w:t>
      </w:r>
      <w:r w:rsidRPr="00D51720">
        <w:t>), suggesting these treatments were economically less viable.</w:t>
      </w:r>
      <w:r>
        <w:t xml:space="preserve"> </w:t>
      </w:r>
      <w:r w:rsidRPr="00D51720">
        <w:t xml:space="preserve">Overall, </w:t>
      </w:r>
      <w:r w:rsidRPr="00D51720">
        <w:rPr>
          <w:rStyle w:val="Emphasis"/>
        </w:rPr>
        <w:t>A. Vibha</w:t>
      </w:r>
      <w:r w:rsidRPr="00D51720">
        <w:t xml:space="preserve"> (T5) emerged as the most economically profitable genotype across both years, followed by </w:t>
      </w:r>
      <w:r w:rsidRPr="00D51720">
        <w:rPr>
          <w:rStyle w:val="Emphasis"/>
        </w:rPr>
        <w:t>A. Subha</w:t>
      </w:r>
      <w:r w:rsidRPr="00D51720">
        <w:t xml:space="preserve"> (T2) and </w:t>
      </w:r>
      <w:r w:rsidRPr="00D51720">
        <w:rPr>
          <w:rStyle w:val="Emphasis"/>
        </w:rPr>
        <w:t>B. Kaligendu</w:t>
      </w:r>
      <w:r w:rsidRPr="00D51720">
        <w:t xml:space="preserve"> (T3), considering all three economic indicators</w:t>
      </w:r>
      <w:r w:rsidR="00A3008A">
        <w:t xml:space="preserve"> </w:t>
      </w:r>
      <w:r w:rsidRPr="00D51720">
        <w:t>gross return, net return, and B:C ratio.</w:t>
      </w:r>
      <w:r w:rsidR="00CF674C">
        <w:t xml:space="preserve"> </w:t>
      </w:r>
      <w:r w:rsidR="00E8799E" w:rsidRPr="00E8799E">
        <w:t>Kaur et al. (2022)</w:t>
      </w:r>
      <w:r w:rsidR="00E8799E">
        <w:t xml:space="preserve"> </w:t>
      </w:r>
      <w:r w:rsidR="00E8799E" w:rsidRPr="00E8799E">
        <w:t>also reported the similar result of doubling farmers income with the cultivation of suitable marigold varieties. The expansion of marigold cultivation can significantly boost employee productivity, create jobs in floral production, and increase the profitability of farmers who grow marigolds.</w:t>
      </w:r>
    </w:p>
    <w:p w14:paraId="4A3D1628" w14:textId="77777777" w:rsidR="00A80C65" w:rsidRPr="00A80C65" w:rsidRDefault="00A80C65" w:rsidP="00E8799E">
      <w:pPr>
        <w:pStyle w:val="NormalWeb"/>
        <w:spacing w:line="360" w:lineRule="auto"/>
        <w:jc w:val="both"/>
      </w:pPr>
      <w:r>
        <w:t xml:space="preserve">Table 2.  </w:t>
      </w:r>
      <w:r w:rsidR="00ED4DA0">
        <w:t xml:space="preserve">Effect of different marigold varieties on farmer’s economy. </w:t>
      </w:r>
    </w:p>
    <w:tbl>
      <w:tblPr>
        <w:tblStyle w:val="TableGrid"/>
        <w:tblW w:w="939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3"/>
        <w:gridCol w:w="2032"/>
        <w:gridCol w:w="977"/>
        <w:gridCol w:w="977"/>
        <w:gridCol w:w="977"/>
        <w:gridCol w:w="977"/>
        <w:gridCol w:w="726"/>
        <w:gridCol w:w="727"/>
      </w:tblGrid>
      <w:tr w:rsidR="00A80C65" w:rsidRPr="00A17B0F" w14:paraId="06DB25F2" w14:textId="77777777" w:rsidTr="006D188E">
        <w:trPr>
          <w:trHeight w:val="521"/>
        </w:trPr>
        <w:tc>
          <w:tcPr>
            <w:tcW w:w="2003" w:type="dxa"/>
            <w:vMerge w:val="restart"/>
            <w:tcBorders>
              <w:top w:val="single" w:sz="4" w:space="0" w:color="auto"/>
            </w:tcBorders>
          </w:tcPr>
          <w:p w14:paraId="2487DE64" w14:textId="77777777" w:rsidR="00A80C65" w:rsidRPr="00A17B0F" w:rsidRDefault="00A80C65" w:rsidP="00A80C65">
            <w:pPr>
              <w:ind w:left="0" w:firstLine="0"/>
              <w:rPr>
                <w:rFonts w:ascii="Times New Roman" w:hAnsi="Times New Roman" w:cs="Times New Roman"/>
                <w:sz w:val="24"/>
                <w:szCs w:val="24"/>
              </w:rPr>
            </w:pPr>
            <w:r w:rsidRPr="00A17B0F">
              <w:rPr>
                <w:rFonts w:ascii="Times New Roman" w:hAnsi="Times New Roman" w:cs="Times New Roman"/>
                <w:sz w:val="24"/>
                <w:szCs w:val="24"/>
              </w:rPr>
              <w:t>Treatment</w:t>
            </w:r>
          </w:p>
        </w:tc>
        <w:tc>
          <w:tcPr>
            <w:tcW w:w="2032" w:type="dxa"/>
            <w:tcBorders>
              <w:top w:val="single" w:sz="4" w:space="0" w:color="auto"/>
            </w:tcBorders>
            <w:vAlign w:val="center"/>
          </w:tcPr>
          <w:p w14:paraId="0B6B5E59"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Cost of cultivation</w:t>
            </w:r>
          </w:p>
        </w:tc>
        <w:tc>
          <w:tcPr>
            <w:tcW w:w="1954" w:type="dxa"/>
            <w:gridSpan w:val="2"/>
            <w:tcBorders>
              <w:top w:val="single" w:sz="4" w:space="0" w:color="auto"/>
            </w:tcBorders>
            <w:vAlign w:val="center"/>
          </w:tcPr>
          <w:p w14:paraId="310F42C4"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Gross Return</w:t>
            </w:r>
          </w:p>
        </w:tc>
        <w:tc>
          <w:tcPr>
            <w:tcW w:w="1954" w:type="dxa"/>
            <w:gridSpan w:val="2"/>
            <w:tcBorders>
              <w:top w:val="single" w:sz="4" w:space="0" w:color="auto"/>
            </w:tcBorders>
            <w:vAlign w:val="center"/>
          </w:tcPr>
          <w:p w14:paraId="31812927"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Net return</w:t>
            </w:r>
          </w:p>
        </w:tc>
        <w:tc>
          <w:tcPr>
            <w:tcW w:w="1453" w:type="dxa"/>
            <w:gridSpan w:val="2"/>
            <w:tcBorders>
              <w:top w:val="single" w:sz="4" w:space="0" w:color="auto"/>
            </w:tcBorders>
            <w:vAlign w:val="center"/>
          </w:tcPr>
          <w:p w14:paraId="43148FBD"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B: C ratio</w:t>
            </w:r>
          </w:p>
        </w:tc>
      </w:tr>
      <w:tr w:rsidR="00A80C65" w:rsidRPr="00A17B0F" w14:paraId="28276723" w14:textId="77777777" w:rsidTr="006D188E">
        <w:trPr>
          <w:trHeight w:val="351"/>
        </w:trPr>
        <w:tc>
          <w:tcPr>
            <w:tcW w:w="2003" w:type="dxa"/>
            <w:vMerge/>
            <w:tcBorders>
              <w:bottom w:val="single" w:sz="4" w:space="0" w:color="auto"/>
            </w:tcBorders>
          </w:tcPr>
          <w:p w14:paraId="204B780D" w14:textId="77777777" w:rsidR="00A80C65" w:rsidRPr="00A17B0F" w:rsidRDefault="00A80C65" w:rsidP="00A80C65">
            <w:pPr>
              <w:ind w:left="0" w:firstLine="0"/>
              <w:rPr>
                <w:rFonts w:ascii="Times New Roman" w:hAnsi="Times New Roman" w:cs="Times New Roman"/>
                <w:sz w:val="24"/>
                <w:szCs w:val="24"/>
              </w:rPr>
            </w:pPr>
          </w:p>
        </w:tc>
        <w:tc>
          <w:tcPr>
            <w:tcW w:w="2032" w:type="dxa"/>
            <w:tcBorders>
              <w:bottom w:val="single" w:sz="4" w:space="0" w:color="auto"/>
            </w:tcBorders>
          </w:tcPr>
          <w:p w14:paraId="0A495AF9" w14:textId="77777777" w:rsidR="00A80C65" w:rsidRPr="00A17B0F" w:rsidRDefault="00A80C65" w:rsidP="00A80C65">
            <w:pPr>
              <w:ind w:left="0" w:firstLine="0"/>
              <w:rPr>
                <w:rFonts w:ascii="Times New Roman" w:hAnsi="Times New Roman" w:cs="Times New Roman"/>
                <w:sz w:val="24"/>
                <w:szCs w:val="24"/>
              </w:rPr>
            </w:pPr>
          </w:p>
        </w:tc>
        <w:tc>
          <w:tcPr>
            <w:tcW w:w="977" w:type="dxa"/>
            <w:tcBorders>
              <w:bottom w:val="single" w:sz="4" w:space="0" w:color="auto"/>
            </w:tcBorders>
          </w:tcPr>
          <w:p w14:paraId="3B33CA8A" w14:textId="77777777" w:rsidR="00A80C65" w:rsidRPr="00A17B0F" w:rsidRDefault="00A80C65" w:rsidP="00A80C65">
            <w:pPr>
              <w:ind w:left="0" w:firstLine="0"/>
              <w:rPr>
                <w:rFonts w:ascii="Times New Roman" w:hAnsi="Times New Roman" w:cs="Times New Roman"/>
                <w:sz w:val="24"/>
                <w:szCs w:val="24"/>
              </w:rPr>
            </w:pPr>
            <w:r w:rsidRPr="00A17B0F">
              <w:rPr>
                <w:rFonts w:ascii="Times New Roman" w:hAnsi="Times New Roman" w:cs="Times New Roman"/>
                <w:sz w:val="24"/>
                <w:szCs w:val="24"/>
              </w:rPr>
              <w:t>2023</w:t>
            </w:r>
          </w:p>
        </w:tc>
        <w:tc>
          <w:tcPr>
            <w:tcW w:w="977" w:type="dxa"/>
            <w:tcBorders>
              <w:bottom w:val="single" w:sz="4" w:space="0" w:color="auto"/>
            </w:tcBorders>
          </w:tcPr>
          <w:p w14:paraId="4CEDDFEE" w14:textId="77777777" w:rsidR="00A80C65" w:rsidRPr="00A17B0F" w:rsidRDefault="00A80C65" w:rsidP="00A80C65">
            <w:pPr>
              <w:ind w:left="0" w:firstLine="0"/>
              <w:rPr>
                <w:rFonts w:ascii="Times New Roman" w:hAnsi="Times New Roman" w:cs="Times New Roman"/>
                <w:sz w:val="24"/>
                <w:szCs w:val="24"/>
              </w:rPr>
            </w:pPr>
            <w:r w:rsidRPr="00A17B0F">
              <w:rPr>
                <w:rFonts w:ascii="Times New Roman" w:hAnsi="Times New Roman" w:cs="Times New Roman"/>
                <w:sz w:val="24"/>
                <w:szCs w:val="24"/>
              </w:rPr>
              <w:t>2024</w:t>
            </w:r>
          </w:p>
        </w:tc>
        <w:tc>
          <w:tcPr>
            <w:tcW w:w="977" w:type="dxa"/>
            <w:tcBorders>
              <w:bottom w:val="single" w:sz="4" w:space="0" w:color="auto"/>
            </w:tcBorders>
          </w:tcPr>
          <w:p w14:paraId="5CB49875" w14:textId="77777777" w:rsidR="00A80C65" w:rsidRPr="00A17B0F" w:rsidRDefault="00A80C65" w:rsidP="00A80C65">
            <w:pPr>
              <w:ind w:left="0" w:firstLine="0"/>
              <w:rPr>
                <w:rFonts w:ascii="Times New Roman" w:hAnsi="Times New Roman" w:cs="Times New Roman"/>
                <w:sz w:val="24"/>
                <w:szCs w:val="24"/>
              </w:rPr>
            </w:pPr>
            <w:r w:rsidRPr="00A17B0F">
              <w:rPr>
                <w:rFonts w:ascii="Times New Roman" w:hAnsi="Times New Roman" w:cs="Times New Roman"/>
                <w:sz w:val="24"/>
                <w:szCs w:val="24"/>
              </w:rPr>
              <w:t>2023</w:t>
            </w:r>
          </w:p>
        </w:tc>
        <w:tc>
          <w:tcPr>
            <w:tcW w:w="977" w:type="dxa"/>
            <w:tcBorders>
              <w:bottom w:val="single" w:sz="4" w:space="0" w:color="auto"/>
            </w:tcBorders>
          </w:tcPr>
          <w:p w14:paraId="1749A908" w14:textId="77777777" w:rsidR="00A80C65" w:rsidRPr="00A17B0F" w:rsidRDefault="00A80C65" w:rsidP="00A80C65">
            <w:pPr>
              <w:ind w:left="0" w:firstLine="0"/>
              <w:rPr>
                <w:rFonts w:ascii="Times New Roman" w:hAnsi="Times New Roman" w:cs="Times New Roman"/>
                <w:sz w:val="24"/>
                <w:szCs w:val="24"/>
              </w:rPr>
            </w:pPr>
            <w:r w:rsidRPr="00A17B0F">
              <w:rPr>
                <w:rFonts w:ascii="Times New Roman" w:hAnsi="Times New Roman" w:cs="Times New Roman"/>
                <w:sz w:val="24"/>
                <w:szCs w:val="24"/>
              </w:rPr>
              <w:t>2024</w:t>
            </w:r>
          </w:p>
        </w:tc>
        <w:tc>
          <w:tcPr>
            <w:tcW w:w="726" w:type="dxa"/>
            <w:tcBorders>
              <w:bottom w:val="single" w:sz="4" w:space="0" w:color="auto"/>
            </w:tcBorders>
          </w:tcPr>
          <w:p w14:paraId="7FE65A4A" w14:textId="77777777" w:rsidR="00A80C65" w:rsidRPr="00A17B0F" w:rsidRDefault="00A80C65" w:rsidP="00A80C65">
            <w:pPr>
              <w:ind w:left="0" w:firstLine="0"/>
              <w:rPr>
                <w:rFonts w:ascii="Times New Roman" w:hAnsi="Times New Roman" w:cs="Times New Roman"/>
                <w:sz w:val="24"/>
                <w:szCs w:val="24"/>
              </w:rPr>
            </w:pPr>
            <w:r w:rsidRPr="00A17B0F">
              <w:rPr>
                <w:rFonts w:ascii="Times New Roman" w:hAnsi="Times New Roman" w:cs="Times New Roman"/>
                <w:sz w:val="24"/>
                <w:szCs w:val="24"/>
              </w:rPr>
              <w:t>2023</w:t>
            </w:r>
          </w:p>
        </w:tc>
        <w:tc>
          <w:tcPr>
            <w:tcW w:w="727" w:type="dxa"/>
            <w:tcBorders>
              <w:bottom w:val="single" w:sz="4" w:space="0" w:color="auto"/>
            </w:tcBorders>
          </w:tcPr>
          <w:p w14:paraId="4322C68A" w14:textId="77777777" w:rsidR="00A80C65" w:rsidRPr="00A17B0F" w:rsidRDefault="00A80C65" w:rsidP="00A80C65">
            <w:pPr>
              <w:ind w:left="0" w:firstLine="0"/>
              <w:rPr>
                <w:rFonts w:ascii="Times New Roman" w:hAnsi="Times New Roman" w:cs="Times New Roman"/>
                <w:sz w:val="24"/>
                <w:szCs w:val="24"/>
              </w:rPr>
            </w:pPr>
            <w:r w:rsidRPr="00A17B0F">
              <w:rPr>
                <w:rFonts w:ascii="Times New Roman" w:hAnsi="Times New Roman" w:cs="Times New Roman"/>
                <w:sz w:val="24"/>
                <w:szCs w:val="24"/>
              </w:rPr>
              <w:t>2024</w:t>
            </w:r>
          </w:p>
        </w:tc>
      </w:tr>
      <w:tr w:rsidR="00A80C65" w:rsidRPr="00A17B0F" w14:paraId="67280B04" w14:textId="77777777" w:rsidTr="006D188E">
        <w:trPr>
          <w:trHeight w:val="351"/>
        </w:trPr>
        <w:tc>
          <w:tcPr>
            <w:tcW w:w="2003" w:type="dxa"/>
            <w:tcBorders>
              <w:top w:val="single" w:sz="4" w:space="0" w:color="auto"/>
            </w:tcBorders>
            <w:vAlign w:val="bottom"/>
          </w:tcPr>
          <w:p w14:paraId="0AAC7CBD"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T1-A. Abhi</w:t>
            </w:r>
          </w:p>
        </w:tc>
        <w:tc>
          <w:tcPr>
            <w:tcW w:w="2032" w:type="dxa"/>
            <w:tcBorders>
              <w:top w:val="single" w:sz="4" w:space="0" w:color="auto"/>
            </w:tcBorders>
            <w:vAlign w:val="bottom"/>
          </w:tcPr>
          <w:p w14:paraId="163A1C08"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tcBorders>
              <w:top w:val="single" w:sz="4" w:space="0" w:color="auto"/>
            </w:tcBorders>
            <w:vAlign w:val="bottom"/>
          </w:tcPr>
          <w:p w14:paraId="4E520951"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119200</w:t>
            </w:r>
          </w:p>
        </w:tc>
        <w:tc>
          <w:tcPr>
            <w:tcW w:w="977" w:type="dxa"/>
            <w:tcBorders>
              <w:top w:val="single" w:sz="4" w:space="0" w:color="auto"/>
            </w:tcBorders>
            <w:vAlign w:val="bottom"/>
          </w:tcPr>
          <w:p w14:paraId="3C3C3AEC"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125600</w:t>
            </w:r>
          </w:p>
        </w:tc>
        <w:tc>
          <w:tcPr>
            <w:tcW w:w="977" w:type="dxa"/>
            <w:tcBorders>
              <w:top w:val="single" w:sz="4" w:space="0" w:color="auto"/>
            </w:tcBorders>
            <w:vAlign w:val="bottom"/>
          </w:tcPr>
          <w:p w14:paraId="6DAD490C"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47200</w:t>
            </w:r>
          </w:p>
        </w:tc>
        <w:tc>
          <w:tcPr>
            <w:tcW w:w="977" w:type="dxa"/>
            <w:tcBorders>
              <w:top w:val="single" w:sz="4" w:space="0" w:color="auto"/>
            </w:tcBorders>
            <w:vAlign w:val="bottom"/>
          </w:tcPr>
          <w:p w14:paraId="2BD83EF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53600</w:t>
            </w:r>
          </w:p>
        </w:tc>
        <w:tc>
          <w:tcPr>
            <w:tcW w:w="726" w:type="dxa"/>
            <w:tcBorders>
              <w:top w:val="single" w:sz="4" w:space="0" w:color="auto"/>
            </w:tcBorders>
            <w:vAlign w:val="bottom"/>
          </w:tcPr>
          <w:p w14:paraId="21F4F32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1.66</w:t>
            </w:r>
          </w:p>
        </w:tc>
        <w:tc>
          <w:tcPr>
            <w:tcW w:w="727" w:type="dxa"/>
            <w:tcBorders>
              <w:top w:val="single" w:sz="4" w:space="0" w:color="auto"/>
            </w:tcBorders>
            <w:vAlign w:val="bottom"/>
          </w:tcPr>
          <w:p w14:paraId="4D2031EC"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1.74</w:t>
            </w:r>
          </w:p>
        </w:tc>
      </w:tr>
      <w:tr w:rsidR="00A80C65" w:rsidRPr="00A17B0F" w14:paraId="3A3A01A3" w14:textId="77777777" w:rsidTr="006D188E">
        <w:trPr>
          <w:trHeight w:val="341"/>
        </w:trPr>
        <w:tc>
          <w:tcPr>
            <w:tcW w:w="2003" w:type="dxa"/>
            <w:vAlign w:val="bottom"/>
          </w:tcPr>
          <w:p w14:paraId="063B81F5"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T2-A. Subha</w:t>
            </w:r>
          </w:p>
        </w:tc>
        <w:tc>
          <w:tcPr>
            <w:tcW w:w="2032" w:type="dxa"/>
            <w:vAlign w:val="bottom"/>
          </w:tcPr>
          <w:p w14:paraId="33F53DE4"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vAlign w:val="bottom"/>
          </w:tcPr>
          <w:p w14:paraId="62541BE8"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201600</w:t>
            </w:r>
          </w:p>
        </w:tc>
        <w:tc>
          <w:tcPr>
            <w:tcW w:w="977" w:type="dxa"/>
            <w:vAlign w:val="bottom"/>
          </w:tcPr>
          <w:p w14:paraId="4FBF8971"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207200</w:t>
            </w:r>
          </w:p>
        </w:tc>
        <w:tc>
          <w:tcPr>
            <w:tcW w:w="977" w:type="dxa"/>
            <w:vAlign w:val="bottom"/>
          </w:tcPr>
          <w:p w14:paraId="02089F0D"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129600</w:t>
            </w:r>
          </w:p>
        </w:tc>
        <w:tc>
          <w:tcPr>
            <w:tcW w:w="977" w:type="dxa"/>
            <w:vAlign w:val="bottom"/>
          </w:tcPr>
          <w:p w14:paraId="1FCA77E3"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135200</w:t>
            </w:r>
          </w:p>
        </w:tc>
        <w:tc>
          <w:tcPr>
            <w:tcW w:w="726" w:type="dxa"/>
            <w:vAlign w:val="bottom"/>
          </w:tcPr>
          <w:p w14:paraId="356601D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2.8</w:t>
            </w:r>
          </w:p>
        </w:tc>
        <w:tc>
          <w:tcPr>
            <w:tcW w:w="727" w:type="dxa"/>
            <w:vAlign w:val="bottom"/>
          </w:tcPr>
          <w:p w14:paraId="2561F67E"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2.88</w:t>
            </w:r>
          </w:p>
        </w:tc>
      </w:tr>
      <w:tr w:rsidR="00A80C65" w:rsidRPr="00A17B0F" w14:paraId="140A169D" w14:textId="77777777" w:rsidTr="006D188E">
        <w:trPr>
          <w:trHeight w:val="351"/>
        </w:trPr>
        <w:tc>
          <w:tcPr>
            <w:tcW w:w="2003" w:type="dxa"/>
            <w:vAlign w:val="bottom"/>
          </w:tcPr>
          <w:p w14:paraId="5E5D9717"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T3-B. Kaligendu</w:t>
            </w:r>
          </w:p>
        </w:tc>
        <w:tc>
          <w:tcPr>
            <w:tcW w:w="2032" w:type="dxa"/>
            <w:vAlign w:val="bottom"/>
          </w:tcPr>
          <w:p w14:paraId="477A352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vAlign w:val="bottom"/>
          </w:tcPr>
          <w:p w14:paraId="365522C8"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196800</w:t>
            </w:r>
          </w:p>
        </w:tc>
        <w:tc>
          <w:tcPr>
            <w:tcW w:w="977" w:type="dxa"/>
            <w:vAlign w:val="bottom"/>
          </w:tcPr>
          <w:p w14:paraId="7B242CC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195200</w:t>
            </w:r>
          </w:p>
        </w:tc>
        <w:tc>
          <w:tcPr>
            <w:tcW w:w="977" w:type="dxa"/>
            <w:vAlign w:val="bottom"/>
          </w:tcPr>
          <w:p w14:paraId="35D7554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124800</w:t>
            </w:r>
          </w:p>
        </w:tc>
        <w:tc>
          <w:tcPr>
            <w:tcW w:w="977" w:type="dxa"/>
            <w:vAlign w:val="bottom"/>
          </w:tcPr>
          <w:p w14:paraId="20EFE74E"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123200</w:t>
            </w:r>
          </w:p>
        </w:tc>
        <w:tc>
          <w:tcPr>
            <w:tcW w:w="726" w:type="dxa"/>
            <w:vAlign w:val="bottom"/>
          </w:tcPr>
          <w:p w14:paraId="2E8952A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2.73</w:t>
            </w:r>
          </w:p>
        </w:tc>
        <w:tc>
          <w:tcPr>
            <w:tcW w:w="727" w:type="dxa"/>
            <w:vAlign w:val="bottom"/>
          </w:tcPr>
          <w:p w14:paraId="6533ECA3"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2.71</w:t>
            </w:r>
          </w:p>
        </w:tc>
      </w:tr>
      <w:tr w:rsidR="00A80C65" w:rsidRPr="00A17B0F" w14:paraId="4A6F9D3E" w14:textId="77777777" w:rsidTr="006D188E">
        <w:trPr>
          <w:trHeight w:val="341"/>
        </w:trPr>
        <w:tc>
          <w:tcPr>
            <w:tcW w:w="2003" w:type="dxa"/>
            <w:vAlign w:val="bottom"/>
          </w:tcPr>
          <w:p w14:paraId="62124001"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T4-BM-4</w:t>
            </w:r>
          </w:p>
        </w:tc>
        <w:tc>
          <w:tcPr>
            <w:tcW w:w="2032" w:type="dxa"/>
            <w:vAlign w:val="bottom"/>
          </w:tcPr>
          <w:p w14:paraId="712E3E54"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vAlign w:val="bottom"/>
          </w:tcPr>
          <w:p w14:paraId="1619FFCC"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140800</w:t>
            </w:r>
          </w:p>
        </w:tc>
        <w:tc>
          <w:tcPr>
            <w:tcW w:w="977" w:type="dxa"/>
            <w:vAlign w:val="bottom"/>
          </w:tcPr>
          <w:p w14:paraId="7E77028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141600</w:t>
            </w:r>
          </w:p>
        </w:tc>
        <w:tc>
          <w:tcPr>
            <w:tcW w:w="977" w:type="dxa"/>
            <w:vAlign w:val="bottom"/>
          </w:tcPr>
          <w:p w14:paraId="36A8276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68800</w:t>
            </w:r>
          </w:p>
        </w:tc>
        <w:tc>
          <w:tcPr>
            <w:tcW w:w="977" w:type="dxa"/>
            <w:vAlign w:val="bottom"/>
          </w:tcPr>
          <w:p w14:paraId="6BFD06D0"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69600</w:t>
            </w:r>
          </w:p>
        </w:tc>
        <w:tc>
          <w:tcPr>
            <w:tcW w:w="726" w:type="dxa"/>
            <w:vAlign w:val="bottom"/>
          </w:tcPr>
          <w:p w14:paraId="64FB5CAF"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1.96</w:t>
            </w:r>
          </w:p>
        </w:tc>
        <w:tc>
          <w:tcPr>
            <w:tcW w:w="727" w:type="dxa"/>
            <w:vAlign w:val="bottom"/>
          </w:tcPr>
          <w:p w14:paraId="1A1FA0FC"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1.97</w:t>
            </w:r>
          </w:p>
        </w:tc>
      </w:tr>
      <w:tr w:rsidR="00A80C65" w:rsidRPr="00A17B0F" w14:paraId="004BEE12" w14:textId="77777777" w:rsidTr="006D188E">
        <w:trPr>
          <w:trHeight w:val="351"/>
        </w:trPr>
        <w:tc>
          <w:tcPr>
            <w:tcW w:w="2003" w:type="dxa"/>
            <w:vAlign w:val="bottom"/>
          </w:tcPr>
          <w:p w14:paraId="36F0281E"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T5-A. Vibha</w:t>
            </w:r>
          </w:p>
        </w:tc>
        <w:tc>
          <w:tcPr>
            <w:tcW w:w="2032" w:type="dxa"/>
            <w:vAlign w:val="bottom"/>
          </w:tcPr>
          <w:p w14:paraId="363FE383"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vAlign w:val="bottom"/>
          </w:tcPr>
          <w:p w14:paraId="4C07DF8C"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272000</w:t>
            </w:r>
          </w:p>
        </w:tc>
        <w:tc>
          <w:tcPr>
            <w:tcW w:w="977" w:type="dxa"/>
            <w:vAlign w:val="bottom"/>
          </w:tcPr>
          <w:p w14:paraId="6517D839"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273600</w:t>
            </w:r>
          </w:p>
        </w:tc>
        <w:tc>
          <w:tcPr>
            <w:tcW w:w="977" w:type="dxa"/>
            <w:vAlign w:val="bottom"/>
          </w:tcPr>
          <w:p w14:paraId="5ECEDEC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200000</w:t>
            </w:r>
          </w:p>
        </w:tc>
        <w:tc>
          <w:tcPr>
            <w:tcW w:w="977" w:type="dxa"/>
            <w:vAlign w:val="bottom"/>
          </w:tcPr>
          <w:p w14:paraId="4145F4A7"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201600</w:t>
            </w:r>
          </w:p>
        </w:tc>
        <w:tc>
          <w:tcPr>
            <w:tcW w:w="726" w:type="dxa"/>
            <w:vAlign w:val="bottom"/>
          </w:tcPr>
          <w:p w14:paraId="33C77B84"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3.78</w:t>
            </w:r>
          </w:p>
        </w:tc>
        <w:tc>
          <w:tcPr>
            <w:tcW w:w="727" w:type="dxa"/>
            <w:vAlign w:val="bottom"/>
          </w:tcPr>
          <w:p w14:paraId="06DA506C"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3.80</w:t>
            </w:r>
          </w:p>
        </w:tc>
      </w:tr>
      <w:tr w:rsidR="00A80C65" w:rsidRPr="00A17B0F" w14:paraId="104CEE9E" w14:textId="77777777" w:rsidTr="006D188E">
        <w:trPr>
          <w:trHeight w:val="169"/>
        </w:trPr>
        <w:tc>
          <w:tcPr>
            <w:tcW w:w="2003" w:type="dxa"/>
            <w:vAlign w:val="bottom"/>
          </w:tcPr>
          <w:p w14:paraId="7BF8C9CE"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T6-GFM-1</w:t>
            </w:r>
          </w:p>
        </w:tc>
        <w:tc>
          <w:tcPr>
            <w:tcW w:w="2032" w:type="dxa"/>
            <w:vAlign w:val="bottom"/>
          </w:tcPr>
          <w:p w14:paraId="1262D68E"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vAlign w:val="bottom"/>
          </w:tcPr>
          <w:p w14:paraId="74CDCB0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78400</w:t>
            </w:r>
          </w:p>
        </w:tc>
        <w:tc>
          <w:tcPr>
            <w:tcW w:w="977" w:type="dxa"/>
            <w:vAlign w:val="bottom"/>
          </w:tcPr>
          <w:p w14:paraId="15F34D73"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80000</w:t>
            </w:r>
          </w:p>
        </w:tc>
        <w:tc>
          <w:tcPr>
            <w:tcW w:w="977" w:type="dxa"/>
            <w:vAlign w:val="bottom"/>
          </w:tcPr>
          <w:p w14:paraId="31EEF059"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6400</w:t>
            </w:r>
          </w:p>
        </w:tc>
        <w:tc>
          <w:tcPr>
            <w:tcW w:w="977" w:type="dxa"/>
            <w:vAlign w:val="bottom"/>
          </w:tcPr>
          <w:p w14:paraId="3687495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8000</w:t>
            </w:r>
          </w:p>
        </w:tc>
        <w:tc>
          <w:tcPr>
            <w:tcW w:w="726" w:type="dxa"/>
            <w:vAlign w:val="bottom"/>
          </w:tcPr>
          <w:p w14:paraId="7F149119"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1.09</w:t>
            </w:r>
          </w:p>
        </w:tc>
        <w:tc>
          <w:tcPr>
            <w:tcW w:w="727" w:type="dxa"/>
            <w:vAlign w:val="bottom"/>
          </w:tcPr>
          <w:p w14:paraId="530F62C5"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1.11</w:t>
            </w:r>
          </w:p>
        </w:tc>
      </w:tr>
      <w:tr w:rsidR="00A80C65" w:rsidRPr="00A17B0F" w14:paraId="14B39828" w14:textId="77777777" w:rsidTr="006D188E">
        <w:trPr>
          <w:trHeight w:val="169"/>
        </w:trPr>
        <w:tc>
          <w:tcPr>
            <w:tcW w:w="2003" w:type="dxa"/>
            <w:vAlign w:val="bottom"/>
          </w:tcPr>
          <w:p w14:paraId="726AEF13"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T7-P. Arpita</w:t>
            </w:r>
          </w:p>
        </w:tc>
        <w:tc>
          <w:tcPr>
            <w:tcW w:w="2032" w:type="dxa"/>
            <w:vAlign w:val="bottom"/>
          </w:tcPr>
          <w:p w14:paraId="0B629747"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vAlign w:val="bottom"/>
          </w:tcPr>
          <w:p w14:paraId="60523D8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78480</w:t>
            </w:r>
          </w:p>
        </w:tc>
        <w:tc>
          <w:tcPr>
            <w:tcW w:w="977" w:type="dxa"/>
            <w:vAlign w:val="bottom"/>
          </w:tcPr>
          <w:p w14:paraId="4E0E7F57"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79360</w:t>
            </w:r>
          </w:p>
        </w:tc>
        <w:tc>
          <w:tcPr>
            <w:tcW w:w="977" w:type="dxa"/>
            <w:vAlign w:val="bottom"/>
          </w:tcPr>
          <w:p w14:paraId="1D3801A7"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6480</w:t>
            </w:r>
          </w:p>
        </w:tc>
        <w:tc>
          <w:tcPr>
            <w:tcW w:w="977" w:type="dxa"/>
            <w:vAlign w:val="bottom"/>
          </w:tcPr>
          <w:p w14:paraId="08A41D5E"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7360</w:t>
            </w:r>
          </w:p>
        </w:tc>
        <w:tc>
          <w:tcPr>
            <w:tcW w:w="726" w:type="dxa"/>
            <w:vAlign w:val="bottom"/>
          </w:tcPr>
          <w:p w14:paraId="1B074D6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1.09</w:t>
            </w:r>
          </w:p>
        </w:tc>
        <w:tc>
          <w:tcPr>
            <w:tcW w:w="727" w:type="dxa"/>
            <w:vAlign w:val="bottom"/>
          </w:tcPr>
          <w:p w14:paraId="02305ED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1.10</w:t>
            </w:r>
          </w:p>
        </w:tc>
      </w:tr>
      <w:tr w:rsidR="00A80C65" w:rsidRPr="00A17B0F" w14:paraId="185E8A92" w14:textId="77777777" w:rsidTr="006D188E">
        <w:trPr>
          <w:trHeight w:val="341"/>
        </w:trPr>
        <w:tc>
          <w:tcPr>
            <w:tcW w:w="2003" w:type="dxa"/>
            <w:vAlign w:val="bottom"/>
          </w:tcPr>
          <w:p w14:paraId="48E0EA89"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T8-Punjab Gaindu</w:t>
            </w:r>
          </w:p>
        </w:tc>
        <w:tc>
          <w:tcPr>
            <w:tcW w:w="2032" w:type="dxa"/>
            <w:vAlign w:val="bottom"/>
          </w:tcPr>
          <w:p w14:paraId="7792567E"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vAlign w:val="bottom"/>
          </w:tcPr>
          <w:p w14:paraId="440D1FFA"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135200</w:t>
            </w:r>
          </w:p>
        </w:tc>
        <w:tc>
          <w:tcPr>
            <w:tcW w:w="977" w:type="dxa"/>
            <w:vAlign w:val="bottom"/>
          </w:tcPr>
          <w:p w14:paraId="46908B91"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140000</w:t>
            </w:r>
          </w:p>
        </w:tc>
        <w:tc>
          <w:tcPr>
            <w:tcW w:w="977" w:type="dxa"/>
            <w:vAlign w:val="bottom"/>
          </w:tcPr>
          <w:p w14:paraId="32471A09"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63200</w:t>
            </w:r>
          </w:p>
        </w:tc>
        <w:tc>
          <w:tcPr>
            <w:tcW w:w="977" w:type="dxa"/>
            <w:vAlign w:val="bottom"/>
          </w:tcPr>
          <w:p w14:paraId="6CBE955F"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68000</w:t>
            </w:r>
          </w:p>
        </w:tc>
        <w:tc>
          <w:tcPr>
            <w:tcW w:w="726" w:type="dxa"/>
            <w:vAlign w:val="bottom"/>
          </w:tcPr>
          <w:p w14:paraId="66755000"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1.88</w:t>
            </w:r>
          </w:p>
        </w:tc>
        <w:tc>
          <w:tcPr>
            <w:tcW w:w="727" w:type="dxa"/>
            <w:vAlign w:val="bottom"/>
          </w:tcPr>
          <w:p w14:paraId="3D8AFED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1.94</w:t>
            </w:r>
          </w:p>
        </w:tc>
      </w:tr>
      <w:tr w:rsidR="00A80C65" w:rsidRPr="00A17B0F" w14:paraId="16124F8A" w14:textId="77777777" w:rsidTr="006D188E">
        <w:trPr>
          <w:trHeight w:val="351"/>
        </w:trPr>
        <w:tc>
          <w:tcPr>
            <w:tcW w:w="2003" w:type="dxa"/>
            <w:vAlign w:val="bottom"/>
          </w:tcPr>
          <w:p w14:paraId="7DF6B311"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T9-BM-2</w:t>
            </w:r>
          </w:p>
        </w:tc>
        <w:tc>
          <w:tcPr>
            <w:tcW w:w="2032" w:type="dxa"/>
            <w:vAlign w:val="bottom"/>
          </w:tcPr>
          <w:p w14:paraId="7C407D9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vAlign w:val="bottom"/>
          </w:tcPr>
          <w:p w14:paraId="511E478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100800</w:t>
            </w:r>
          </w:p>
        </w:tc>
        <w:tc>
          <w:tcPr>
            <w:tcW w:w="977" w:type="dxa"/>
            <w:vAlign w:val="bottom"/>
          </w:tcPr>
          <w:p w14:paraId="11AB82EE"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101600</w:t>
            </w:r>
          </w:p>
        </w:tc>
        <w:tc>
          <w:tcPr>
            <w:tcW w:w="977" w:type="dxa"/>
            <w:vAlign w:val="bottom"/>
          </w:tcPr>
          <w:p w14:paraId="7BCA995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28800</w:t>
            </w:r>
          </w:p>
        </w:tc>
        <w:tc>
          <w:tcPr>
            <w:tcW w:w="977" w:type="dxa"/>
            <w:vAlign w:val="bottom"/>
          </w:tcPr>
          <w:p w14:paraId="266A4167"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29600</w:t>
            </w:r>
          </w:p>
        </w:tc>
        <w:tc>
          <w:tcPr>
            <w:tcW w:w="726" w:type="dxa"/>
            <w:vAlign w:val="bottom"/>
          </w:tcPr>
          <w:p w14:paraId="555BE44F"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1.4</w:t>
            </w:r>
          </w:p>
        </w:tc>
        <w:tc>
          <w:tcPr>
            <w:tcW w:w="727" w:type="dxa"/>
            <w:vAlign w:val="bottom"/>
          </w:tcPr>
          <w:p w14:paraId="41528703"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1.41</w:t>
            </w:r>
          </w:p>
        </w:tc>
      </w:tr>
      <w:tr w:rsidR="00A80C65" w:rsidRPr="00A17B0F" w14:paraId="60D91EA4" w14:textId="77777777" w:rsidTr="006D188E">
        <w:trPr>
          <w:trHeight w:val="341"/>
        </w:trPr>
        <w:tc>
          <w:tcPr>
            <w:tcW w:w="2003" w:type="dxa"/>
            <w:vAlign w:val="bottom"/>
          </w:tcPr>
          <w:p w14:paraId="5782259E" w14:textId="77777777" w:rsidR="00A80C65" w:rsidRPr="00A17B0F" w:rsidRDefault="00A80C65" w:rsidP="00A80C65">
            <w:pPr>
              <w:rPr>
                <w:rFonts w:ascii="Times New Roman" w:hAnsi="Times New Roman" w:cs="Times New Roman"/>
                <w:color w:val="000000"/>
                <w:sz w:val="24"/>
                <w:szCs w:val="24"/>
              </w:rPr>
            </w:pPr>
            <w:r w:rsidRPr="00A17B0F">
              <w:rPr>
                <w:rFonts w:ascii="Times New Roman" w:hAnsi="Times New Roman" w:cs="Times New Roman"/>
                <w:color w:val="000000"/>
                <w:sz w:val="24"/>
                <w:szCs w:val="24"/>
              </w:rPr>
              <w:t>T10-P. Deep</w:t>
            </w:r>
          </w:p>
        </w:tc>
        <w:tc>
          <w:tcPr>
            <w:tcW w:w="2032" w:type="dxa"/>
            <w:vAlign w:val="bottom"/>
          </w:tcPr>
          <w:p w14:paraId="36E9F8FD"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72000</w:t>
            </w:r>
          </w:p>
        </w:tc>
        <w:tc>
          <w:tcPr>
            <w:tcW w:w="977" w:type="dxa"/>
            <w:vAlign w:val="bottom"/>
          </w:tcPr>
          <w:p w14:paraId="4901CC8A"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137600</w:t>
            </w:r>
          </w:p>
        </w:tc>
        <w:tc>
          <w:tcPr>
            <w:tcW w:w="977" w:type="dxa"/>
            <w:vAlign w:val="bottom"/>
          </w:tcPr>
          <w:p w14:paraId="6510A0AC"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138400</w:t>
            </w:r>
          </w:p>
        </w:tc>
        <w:tc>
          <w:tcPr>
            <w:tcW w:w="977" w:type="dxa"/>
            <w:vAlign w:val="bottom"/>
          </w:tcPr>
          <w:p w14:paraId="49F0DED2"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65600</w:t>
            </w:r>
          </w:p>
        </w:tc>
        <w:tc>
          <w:tcPr>
            <w:tcW w:w="977" w:type="dxa"/>
            <w:vAlign w:val="bottom"/>
          </w:tcPr>
          <w:p w14:paraId="38A0ED30"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66400</w:t>
            </w:r>
          </w:p>
        </w:tc>
        <w:tc>
          <w:tcPr>
            <w:tcW w:w="726" w:type="dxa"/>
            <w:vAlign w:val="bottom"/>
          </w:tcPr>
          <w:p w14:paraId="10B82E8B"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1.91</w:t>
            </w:r>
          </w:p>
        </w:tc>
        <w:tc>
          <w:tcPr>
            <w:tcW w:w="727" w:type="dxa"/>
            <w:vAlign w:val="bottom"/>
          </w:tcPr>
          <w:p w14:paraId="04DE57C0" w14:textId="77777777" w:rsidR="00A80C65" w:rsidRPr="00A17B0F" w:rsidRDefault="00A80C65" w:rsidP="00A17B0F">
            <w:pPr>
              <w:jc w:val="center"/>
              <w:rPr>
                <w:rFonts w:ascii="Times New Roman" w:hAnsi="Times New Roman" w:cs="Times New Roman"/>
                <w:color w:val="000000"/>
                <w:sz w:val="24"/>
                <w:szCs w:val="24"/>
              </w:rPr>
            </w:pPr>
            <w:r w:rsidRPr="00A17B0F">
              <w:rPr>
                <w:rFonts w:ascii="Times New Roman" w:hAnsi="Times New Roman" w:cs="Times New Roman"/>
                <w:color w:val="000000"/>
                <w:sz w:val="24"/>
                <w:szCs w:val="24"/>
              </w:rPr>
              <w:t>1.92</w:t>
            </w:r>
          </w:p>
        </w:tc>
      </w:tr>
      <w:tr w:rsidR="00A80C65" w:rsidRPr="00A17B0F" w14:paraId="41119A2D" w14:textId="77777777" w:rsidTr="006D188E">
        <w:trPr>
          <w:trHeight w:val="169"/>
        </w:trPr>
        <w:tc>
          <w:tcPr>
            <w:tcW w:w="2003" w:type="dxa"/>
          </w:tcPr>
          <w:p w14:paraId="047954C5" w14:textId="77777777" w:rsidR="00A80C65" w:rsidRPr="00A17B0F" w:rsidRDefault="00A80C65" w:rsidP="00A80C65">
            <w:pPr>
              <w:rPr>
                <w:rFonts w:ascii="Times New Roman" w:hAnsi="Times New Roman" w:cs="Times New Roman"/>
                <w:sz w:val="24"/>
                <w:szCs w:val="24"/>
              </w:rPr>
            </w:pPr>
            <w:r w:rsidRPr="00A17B0F">
              <w:rPr>
                <w:rFonts w:ascii="Times New Roman" w:hAnsi="Times New Roman" w:cs="Times New Roman"/>
                <w:sz w:val="24"/>
                <w:szCs w:val="24"/>
              </w:rPr>
              <w:t>CD</w:t>
            </w:r>
          </w:p>
        </w:tc>
        <w:tc>
          <w:tcPr>
            <w:tcW w:w="2032" w:type="dxa"/>
          </w:tcPr>
          <w:p w14:paraId="3DB5BF37" w14:textId="77777777" w:rsidR="00A80C65" w:rsidRPr="00A17B0F" w:rsidRDefault="00A80C65" w:rsidP="00A17B0F">
            <w:pPr>
              <w:ind w:left="0" w:firstLine="0"/>
              <w:jc w:val="center"/>
              <w:rPr>
                <w:rFonts w:ascii="Times New Roman" w:hAnsi="Times New Roman" w:cs="Times New Roman"/>
                <w:sz w:val="24"/>
                <w:szCs w:val="24"/>
              </w:rPr>
            </w:pPr>
          </w:p>
        </w:tc>
        <w:tc>
          <w:tcPr>
            <w:tcW w:w="977" w:type="dxa"/>
          </w:tcPr>
          <w:p w14:paraId="00757CEC"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1624</w:t>
            </w:r>
          </w:p>
        </w:tc>
        <w:tc>
          <w:tcPr>
            <w:tcW w:w="977" w:type="dxa"/>
          </w:tcPr>
          <w:p w14:paraId="36461857"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1752</w:t>
            </w:r>
          </w:p>
        </w:tc>
        <w:tc>
          <w:tcPr>
            <w:tcW w:w="977" w:type="dxa"/>
          </w:tcPr>
          <w:p w14:paraId="3A209AB2"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548</w:t>
            </w:r>
          </w:p>
        </w:tc>
        <w:tc>
          <w:tcPr>
            <w:tcW w:w="977" w:type="dxa"/>
          </w:tcPr>
          <w:p w14:paraId="0FDB82D9"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764</w:t>
            </w:r>
          </w:p>
        </w:tc>
        <w:tc>
          <w:tcPr>
            <w:tcW w:w="726" w:type="dxa"/>
          </w:tcPr>
          <w:p w14:paraId="73376CAF"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0.15</w:t>
            </w:r>
          </w:p>
        </w:tc>
        <w:tc>
          <w:tcPr>
            <w:tcW w:w="727" w:type="dxa"/>
          </w:tcPr>
          <w:p w14:paraId="30517C12"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0.19</w:t>
            </w:r>
          </w:p>
        </w:tc>
      </w:tr>
      <w:tr w:rsidR="00A80C65" w:rsidRPr="00A17B0F" w14:paraId="3427F7BF" w14:textId="77777777" w:rsidTr="006D188E">
        <w:trPr>
          <w:trHeight w:val="169"/>
        </w:trPr>
        <w:tc>
          <w:tcPr>
            <w:tcW w:w="2003" w:type="dxa"/>
            <w:tcBorders>
              <w:bottom w:val="single" w:sz="4" w:space="0" w:color="auto"/>
            </w:tcBorders>
          </w:tcPr>
          <w:p w14:paraId="5B548FCE" w14:textId="77777777" w:rsidR="00A80C65" w:rsidRPr="00A17B0F" w:rsidRDefault="00A80C65" w:rsidP="00A80C65">
            <w:pPr>
              <w:rPr>
                <w:rFonts w:ascii="Times New Roman" w:hAnsi="Times New Roman" w:cs="Times New Roman"/>
                <w:sz w:val="24"/>
                <w:szCs w:val="24"/>
              </w:rPr>
            </w:pPr>
            <w:r w:rsidRPr="00A17B0F">
              <w:rPr>
                <w:rFonts w:ascii="Times New Roman" w:hAnsi="Times New Roman" w:cs="Times New Roman"/>
                <w:sz w:val="24"/>
                <w:szCs w:val="24"/>
              </w:rPr>
              <w:t>SEM</w:t>
            </w:r>
          </w:p>
        </w:tc>
        <w:tc>
          <w:tcPr>
            <w:tcW w:w="2032" w:type="dxa"/>
            <w:tcBorders>
              <w:bottom w:val="single" w:sz="4" w:space="0" w:color="auto"/>
            </w:tcBorders>
          </w:tcPr>
          <w:p w14:paraId="561DBB69" w14:textId="77777777" w:rsidR="00A80C65" w:rsidRPr="00A17B0F" w:rsidRDefault="00A80C65" w:rsidP="00A17B0F">
            <w:pPr>
              <w:ind w:left="0" w:firstLine="0"/>
              <w:jc w:val="center"/>
              <w:rPr>
                <w:rFonts w:ascii="Times New Roman" w:hAnsi="Times New Roman" w:cs="Times New Roman"/>
                <w:sz w:val="24"/>
                <w:szCs w:val="24"/>
              </w:rPr>
            </w:pPr>
          </w:p>
        </w:tc>
        <w:tc>
          <w:tcPr>
            <w:tcW w:w="977" w:type="dxa"/>
            <w:tcBorders>
              <w:bottom w:val="single" w:sz="4" w:space="0" w:color="auto"/>
            </w:tcBorders>
          </w:tcPr>
          <w:p w14:paraId="4DAB825C"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15.42</w:t>
            </w:r>
          </w:p>
        </w:tc>
        <w:tc>
          <w:tcPr>
            <w:tcW w:w="977" w:type="dxa"/>
            <w:tcBorders>
              <w:bottom w:val="single" w:sz="4" w:space="0" w:color="auto"/>
            </w:tcBorders>
          </w:tcPr>
          <w:p w14:paraId="47B4EDBF"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13.42</w:t>
            </w:r>
          </w:p>
        </w:tc>
        <w:tc>
          <w:tcPr>
            <w:tcW w:w="977" w:type="dxa"/>
            <w:tcBorders>
              <w:bottom w:val="single" w:sz="4" w:space="0" w:color="auto"/>
            </w:tcBorders>
          </w:tcPr>
          <w:p w14:paraId="03118890"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7.02</w:t>
            </w:r>
          </w:p>
        </w:tc>
        <w:tc>
          <w:tcPr>
            <w:tcW w:w="977" w:type="dxa"/>
            <w:tcBorders>
              <w:bottom w:val="single" w:sz="4" w:space="0" w:color="auto"/>
            </w:tcBorders>
          </w:tcPr>
          <w:p w14:paraId="52B0BD6D"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5.64</w:t>
            </w:r>
          </w:p>
        </w:tc>
        <w:tc>
          <w:tcPr>
            <w:tcW w:w="726" w:type="dxa"/>
            <w:tcBorders>
              <w:bottom w:val="single" w:sz="4" w:space="0" w:color="auto"/>
            </w:tcBorders>
          </w:tcPr>
          <w:p w14:paraId="615FD285"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0.02</w:t>
            </w:r>
          </w:p>
        </w:tc>
        <w:tc>
          <w:tcPr>
            <w:tcW w:w="727" w:type="dxa"/>
            <w:tcBorders>
              <w:bottom w:val="single" w:sz="4" w:space="0" w:color="auto"/>
            </w:tcBorders>
          </w:tcPr>
          <w:p w14:paraId="341C1395" w14:textId="77777777" w:rsidR="00A80C65" w:rsidRPr="00A17B0F" w:rsidRDefault="00ED4DA0" w:rsidP="00A17B0F">
            <w:pPr>
              <w:ind w:left="0" w:firstLine="0"/>
              <w:jc w:val="center"/>
              <w:rPr>
                <w:rFonts w:ascii="Times New Roman" w:hAnsi="Times New Roman" w:cs="Times New Roman"/>
                <w:sz w:val="24"/>
                <w:szCs w:val="24"/>
              </w:rPr>
            </w:pPr>
            <w:r w:rsidRPr="00A17B0F">
              <w:rPr>
                <w:rFonts w:ascii="Times New Roman" w:hAnsi="Times New Roman" w:cs="Times New Roman"/>
                <w:sz w:val="24"/>
                <w:szCs w:val="24"/>
              </w:rPr>
              <w:t>0.02</w:t>
            </w:r>
          </w:p>
        </w:tc>
      </w:tr>
    </w:tbl>
    <w:p w14:paraId="7C583233" w14:textId="77777777" w:rsidR="00CA7818" w:rsidRPr="00A17B0F" w:rsidRDefault="00CA7818">
      <w:pPr>
        <w:rPr>
          <w:rFonts w:ascii="Times New Roman" w:hAnsi="Times New Roman" w:cs="Times New Roman"/>
        </w:rPr>
      </w:pPr>
    </w:p>
    <w:p w14:paraId="5E8ACA3B" w14:textId="77777777" w:rsidR="00AE2BCE" w:rsidRDefault="00A17B0F" w:rsidP="00AE2BCE">
      <w:pPr>
        <w:spacing w:before="100" w:beforeAutospacing="1" w:after="100" w:afterAutospacing="1" w:line="360" w:lineRule="auto"/>
        <w:ind w:left="0" w:firstLine="0"/>
        <w:rPr>
          <w:rFonts w:ascii="Times New Roman" w:eastAsia="Times New Roman" w:hAnsi="Times New Roman" w:cs="Times New Roman"/>
          <w:b/>
          <w:sz w:val="24"/>
          <w:szCs w:val="24"/>
          <w:lang w:eastAsia="en-IN" w:bidi="or-IN"/>
        </w:rPr>
      </w:pPr>
      <w:r w:rsidRPr="00A17B0F">
        <w:rPr>
          <w:rFonts w:ascii="Times New Roman" w:eastAsia="Times New Roman" w:hAnsi="Times New Roman" w:cs="Times New Roman"/>
          <w:b/>
          <w:sz w:val="24"/>
          <w:szCs w:val="24"/>
          <w:lang w:eastAsia="en-IN" w:bidi="or-IN"/>
        </w:rPr>
        <w:lastRenderedPageBreak/>
        <w:t xml:space="preserve">Conclusion </w:t>
      </w:r>
    </w:p>
    <w:p w14:paraId="0D7D3571" w14:textId="77777777" w:rsidR="005D08A0" w:rsidRDefault="00AE2BCE" w:rsidP="005D08A0">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AE2BCE">
        <w:rPr>
          <w:rFonts w:ascii="Times New Roman" w:eastAsia="Times New Roman" w:hAnsi="Times New Roman" w:cs="Times New Roman"/>
          <w:sz w:val="24"/>
          <w:szCs w:val="24"/>
          <w:lang w:eastAsia="en-IN" w:bidi="or-IN"/>
        </w:rPr>
        <w:t>The experiment was based on a comparative assessment of marigold varieties as per their</w:t>
      </w:r>
      <w:r>
        <w:rPr>
          <w:rFonts w:ascii="Times New Roman" w:eastAsia="Times New Roman" w:hAnsi="Times New Roman" w:cs="Times New Roman"/>
          <w:sz w:val="24"/>
          <w:szCs w:val="24"/>
          <w:lang w:eastAsia="en-IN" w:bidi="or-IN"/>
        </w:rPr>
        <w:t xml:space="preserve"> </w:t>
      </w:r>
      <w:r w:rsidRPr="00AE2BCE">
        <w:rPr>
          <w:rFonts w:ascii="Times New Roman" w:eastAsia="Times New Roman" w:hAnsi="Times New Roman" w:cs="Times New Roman"/>
          <w:sz w:val="24"/>
          <w:szCs w:val="24"/>
          <w:lang w:eastAsia="en-IN" w:bidi="or-IN"/>
        </w:rPr>
        <w:t xml:space="preserve">morphological and yield attributes. The result obtained among the French marigold genotypes was that A. Vibha was found to be better with regard to vegetative growth, flower productivity, and economy among marigold varieties. This information will contribute to the selection of the best marigold variety suitable for an agroclimatic zone. </w:t>
      </w:r>
      <w:r w:rsidR="005D08A0" w:rsidRPr="005D08A0">
        <w:rPr>
          <w:rFonts w:ascii="Times New Roman" w:eastAsia="Times New Roman" w:hAnsi="Times New Roman" w:cs="Times New Roman"/>
          <w:sz w:val="24"/>
          <w:szCs w:val="24"/>
          <w:lang w:eastAsia="en-IN" w:bidi="or-IN"/>
        </w:rPr>
        <w:t>This information will also assist the government and policymakers in including the best-performing marigold varieties in the varietal release cycle under the floriculture mission in the North Eastern Ghat Zone. Furthermore, this study contributes to improving farmers' livelihoods by supporting efforts to double farm income.</w:t>
      </w:r>
    </w:p>
    <w:p w14:paraId="5F8C6D7B" w14:textId="77777777" w:rsidR="00765309" w:rsidRDefault="00765309" w:rsidP="005D08A0">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p>
    <w:p w14:paraId="0DD2EA26" w14:textId="77777777" w:rsidR="00765309" w:rsidRPr="00765309" w:rsidRDefault="00765309" w:rsidP="00765309">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765309">
        <w:rPr>
          <w:rFonts w:ascii="Times New Roman" w:eastAsia="Times New Roman" w:hAnsi="Times New Roman" w:cs="Times New Roman"/>
          <w:sz w:val="24"/>
          <w:szCs w:val="24"/>
          <w:lang w:eastAsia="en-IN" w:bidi="or-IN"/>
        </w:rPr>
        <w:t>COMPETING INTERESTS DISCLAIMER:</w:t>
      </w:r>
    </w:p>
    <w:p w14:paraId="230A73C3" w14:textId="6F6D664E" w:rsidR="00765309" w:rsidRDefault="00765309" w:rsidP="00765309">
      <w:pPr>
        <w:spacing w:before="100" w:beforeAutospacing="1" w:after="100" w:afterAutospacing="1" w:line="360" w:lineRule="auto"/>
        <w:ind w:left="0" w:firstLine="0"/>
        <w:rPr>
          <w:rFonts w:ascii="Times New Roman" w:eastAsia="Times New Roman" w:hAnsi="Times New Roman" w:cs="Times New Roman"/>
          <w:sz w:val="24"/>
          <w:szCs w:val="24"/>
          <w:lang w:eastAsia="en-IN" w:bidi="or-IN"/>
        </w:rPr>
      </w:pPr>
      <w:r w:rsidRPr="00765309">
        <w:rPr>
          <w:rFonts w:ascii="Times New Roman" w:eastAsia="Times New Roman" w:hAnsi="Times New Roman" w:cs="Times New Roman"/>
          <w:sz w:val="24"/>
          <w:szCs w:val="24"/>
          <w:lang w:eastAsia="en-IN" w:bidi="or-IN"/>
        </w:rPr>
        <w:t>Authors have declared that they have no known competing financial interests OR non-financial interests OR personal relationships that could have appeared to influence the work reported in this paper.</w:t>
      </w:r>
    </w:p>
    <w:p w14:paraId="1777FB22" w14:textId="77777777" w:rsidR="007D63BC" w:rsidRPr="007D63BC" w:rsidRDefault="007D63BC" w:rsidP="005D08A0">
      <w:pPr>
        <w:spacing w:before="100" w:beforeAutospacing="1" w:after="100" w:afterAutospacing="1" w:line="360" w:lineRule="auto"/>
        <w:ind w:left="0" w:firstLine="0"/>
        <w:rPr>
          <w:rFonts w:ascii="Times New Roman" w:hAnsi="Times New Roman" w:cs="Times New Roman"/>
          <w:b/>
          <w:sz w:val="24"/>
          <w:szCs w:val="24"/>
        </w:rPr>
      </w:pPr>
      <w:r w:rsidRPr="007D63BC">
        <w:rPr>
          <w:rFonts w:ascii="Times New Roman" w:hAnsi="Times New Roman" w:cs="Times New Roman"/>
          <w:b/>
          <w:sz w:val="24"/>
          <w:szCs w:val="24"/>
        </w:rPr>
        <w:t xml:space="preserve">Reference </w:t>
      </w:r>
    </w:p>
    <w:p w14:paraId="70E9FAF9" w14:textId="77777777" w:rsidR="00FD21B1" w:rsidRDefault="00FD21B1">
      <w:pPr>
        <w:rPr>
          <w:rFonts w:ascii="Times New Roman" w:hAnsi="Times New Roman" w:cs="Times New Roman"/>
          <w:sz w:val="24"/>
          <w:szCs w:val="24"/>
        </w:rPr>
      </w:pPr>
      <w:r w:rsidRPr="00417A2B">
        <w:rPr>
          <w:rFonts w:ascii="Times New Roman" w:hAnsi="Times New Roman" w:cs="Times New Roman"/>
          <w:sz w:val="24"/>
          <w:szCs w:val="24"/>
        </w:rPr>
        <w:t>Chandel, A., Thakur, M., Singh, G., Dogra, R., Bajad, A., Soni, V., &amp; Bhargava, B. (2023). Flower regulation in floriculture: an agronomic concept and commercial use. Journal of Plant Growth Regulation, 42(4), 2136-2161.</w:t>
      </w:r>
    </w:p>
    <w:p w14:paraId="5B4E286D" w14:textId="77777777" w:rsidR="00FD21B1" w:rsidRPr="00417A2B" w:rsidRDefault="00FD21B1">
      <w:pPr>
        <w:rPr>
          <w:rFonts w:ascii="Times New Roman" w:hAnsi="Times New Roman" w:cs="Times New Roman"/>
          <w:sz w:val="24"/>
          <w:szCs w:val="24"/>
        </w:rPr>
      </w:pPr>
      <w:r w:rsidRPr="00417A2B">
        <w:rPr>
          <w:rFonts w:ascii="Times New Roman" w:hAnsi="Times New Roman" w:cs="Times New Roman"/>
          <w:sz w:val="24"/>
          <w:szCs w:val="24"/>
        </w:rPr>
        <w:t>DEDHIA, L., ARIVALAGAN, M., &amp; TEJASWINI, P. (2024). Performance evaluation of marigold pre-breeding lines for total carotenoids content, flower yield and associated traits. Journal of Ornamental Horticulture, 27(1), 82-89.</w:t>
      </w:r>
    </w:p>
    <w:p w14:paraId="6071D51B" w14:textId="77777777" w:rsidR="00FD21B1" w:rsidRPr="006A000B" w:rsidRDefault="00FD21B1" w:rsidP="00E57F0C">
      <w:pPr>
        <w:rPr>
          <w:rFonts w:ascii="Times New Roman" w:hAnsi="Times New Roman" w:cs="Times New Roman"/>
          <w:sz w:val="24"/>
          <w:szCs w:val="24"/>
        </w:rPr>
      </w:pPr>
      <w:r w:rsidRPr="006A000B">
        <w:rPr>
          <w:rFonts w:ascii="Times New Roman" w:hAnsi="Times New Roman" w:cs="Times New Roman"/>
          <w:sz w:val="24"/>
          <w:szCs w:val="24"/>
        </w:rPr>
        <w:t>Deepa VP, Patil VS, Venugopal CK, Biradar MS,</w:t>
      </w:r>
      <w:r>
        <w:rPr>
          <w:rFonts w:ascii="Times New Roman" w:hAnsi="Times New Roman" w:cs="Times New Roman"/>
          <w:sz w:val="24"/>
          <w:szCs w:val="24"/>
        </w:rPr>
        <w:t xml:space="preserve"> </w:t>
      </w:r>
      <w:r w:rsidRPr="006A000B">
        <w:rPr>
          <w:rFonts w:ascii="Times New Roman" w:hAnsi="Times New Roman" w:cs="Times New Roman"/>
          <w:sz w:val="24"/>
          <w:szCs w:val="24"/>
        </w:rPr>
        <w:t>Shridhar K. Study on the growth and yield attributes of marigold (</w:t>
      </w:r>
      <w:r w:rsidRPr="006A000B">
        <w:rPr>
          <w:rFonts w:ascii="Times New Roman" w:hAnsi="Times New Roman" w:cs="Times New Roman"/>
          <w:i/>
          <w:sz w:val="24"/>
          <w:szCs w:val="24"/>
        </w:rPr>
        <w:t>Tagetes</w:t>
      </w:r>
      <w:r w:rsidRPr="006A000B">
        <w:rPr>
          <w:rFonts w:ascii="Times New Roman" w:hAnsi="Times New Roman" w:cs="Times New Roman"/>
          <w:sz w:val="24"/>
          <w:szCs w:val="24"/>
        </w:rPr>
        <w:t xml:space="preserve"> spp.) hybrids under Dharwad condition. HortFlora Res. Spectrum 2016;5(1):43-47. </w:t>
      </w:r>
    </w:p>
    <w:p w14:paraId="0A096226" w14:textId="77777777" w:rsidR="00FD21B1" w:rsidRPr="00417A2B" w:rsidRDefault="00FD21B1">
      <w:pPr>
        <w:rPr>
          <w:rFonts w:ascii="Times New Roman" w:hAnsi="Times New Roman" w:cs="Times New Roman"/>
          <w:sz w:val="24"/>
          <w:szCs w:val="24"/>
        </w:rPr>
      </w:pPr>
      <w:r w:rsidRPr="00FD21B1">
        <w:rPr>
          <w:rFonts w:ascii="Times New Roman" w:hAnsi="Times New Roman" w:cs="Times New Roman"/>
          <w:sz w:val="24"/>
          <w:szCs w:val="24"/>
        </w:rPr>
        <w:t>Gomez, K. A., &amp; Gomez, A. A. (1984). Statistical procedures for agricultural research. John wiley &amp; sons.</w:t>
      </w:r>
    </w:p>
    <w:p w14:paraId="25071084" w14:textId="77777777" w:rsidR="00FD21B1" w:rsidRPr="006A000B" w:rsidRDefault="00FD21B1" w:rsidP="00CE61CF">
      <w:pPr>
        <w:rPr>
          <w:rFonts w:ascii="Times New Roman" w:hAnsi="Times New Roman" w:cs="Times New Roman"/>
          <w:color w:val="222222"/>
          <w:sz w:val="24"/>
          <w:szCs w:val="24"/>
          <w:shd w:val="clear" w:color="auto" w:fill="FFFFFF"/>
        </w:rPr>
      </w:pPr>
      <w:r w:rsidRPr="006A000B">
        <w:rPr>
          <w:rFonts w:ascii="Times New Roman" w:hAnsi="Times New Roman" w:cs="Times New Roman"/>
          <w:color w:val="222222"/>
          <w:sz w:val="24"/>
          <w:szCs w:val="24"/>
          <w:shd w:val="clear" w:color="auto" w:fill="FFFFFF"/>
        </w:rPr>
        <w:t>Kaur, M., Bhat, A., Sadik-Zada, E. R., &amp; Sharma, R. (2022). </w:t>
      </w:r>
      <w:r w:rsidRPr="006A000B">
        <w:rPr>
          <w:rFonts w:ascii="Times New Roman" w:hAnsi="Times New Roman" w:cs="Times New Roman"/>
          <w:i/>
          <w:iCs/>
          <w:color w:val="222222"/>
          <w:sz w:val="24"/>
          <w:szCs w:val="24"/>
          <w:shd w:val="clear" w:color="auto" w:fill="FFFFFF"/>
        </w:rPr>
        <w:t>Productivity Analysis and Employment Effects of Marigold Cultivation in Jammu, India. Horticulturae 2022, 8, 263</w:t>
      </w:r>
      <w:r w:rsidRPr="006A000B">
        <w:rPr>
          <w:rFonts w:ascii="Times New Roman" w:hAnsi="Times New Roman" w:cs="Times New Roman"/>
          <w:color w:val="222222"/>
          <w:sz w:val="24"/>
          <w:szCs w:val="24"/>
          <w:shd w:val="clear" w:color="auto" w:fill="FFFFFF"/>
        </w:rPr>
        <w:t>.</w:t>
      </w:r>
    </w:p>
    <w:p w14:paraId="1B116116" w14:textId="77777777" w:rsidR="00FD21B1" w:rsidRPr="006A000B" w:rsidRDefault="00FD21B1" w:rsidP="00CE61CF">
      <w:pPr>
        <w:rPr>
          <w:rFonts w:ascii="Times New Roman" w:hAnsi="Times New Roman" w:cs="Times New Roman"/>
          <w:color w:val="222222"/>
          <w:sz w:val="24"/>
          <w:szCs w:val="24"/>
          <w:shd w:val="clear" w:color="auto" w:fill="FFFFFF"/>
        </w:rPr>
      </w:pPr>
      <w:r w:rsidRPr="006A000B">
        <w:rPr>
          <w:rFonts w:ascii="Times New Roman" w:hAnsi="Times New Roman" w:cs="Times New Roman"/>
          <w:color w:val="222222"/>
          <w:sz w:val="24"/>
          <w:szCs w:val="24"/>
          <w:shd w:val="clear" w:color="auto" w:fill="FFFFFF"/>
        </w:rPr>
        <w:lastRenderedPageBreak/>
        <w:t>Kumar, A., Gautam, R. D., Kumar, A., Singh, S., &amp; Singh, S. (2022). Understanding the effect of different abiotic stresses on wild marigold (</w:t>
      </w:r>
      <w:r w:rsidRPr="006A000B">
        <w:rPr>
          <w:rFonts w:ascii="Times New Roman" w:hAnsi="Times New Roman" w:cs="Times New Roman"/>
          <w:i/>
          <w:color w:val="222222"/>
          <w:sz w:val="24"/>
          <w:szCs w:val="24"/>
          <w:shd w:val="clear" w:color="auto" w:fill="FFFFFF"/>
        </w:rPr>
        <w:t>Tagetes minuta</w:t>
      </w:r>
      <w:r w:rsidRPr="006A000B">
        <w:rPr>
          <w:rFonts w:ascii="Times New Roman" w:hAnsi="Times New Roman" w:cs="Times New Roman"/>
          <w:color w:val="222222"/>
          <w:sz w:val="24"/>
          <w:szCs w:val="24"/>
          <w:shd w:val="clear" w:color="auto" w:fill="FFFFFF"/>
        </w:rPr>
        <w:t xml:space="preserve"> L.) and role of breeding strategies for developing tolerant lines. </w:t>
      </w:r>
      <w:r w:rsidRPr="006A000B">
        <w:rPr>
          <w:rFonts w:ascii="Times New Roman" w:hAnsi="Times New Roman" w:cs="Times New Roman"/>
          <w:i/>
          <w:iCs/>
          <w:color w:val="222222"/>
          <w:sz w:val="24"/>
          <w:szCs w:val="24"/>
          <w:shd w:val="clear" w:color="auto" w:fill="FFFFFF"/>
        </w:rPr>
        <w:t>Frontiers in Plant Science</w:t>
      </w:r>
      <w:r w:rsidRPr="006A000B">
        <w:rPr>
          <w:rFonts w:ascii="Times New Roman" w:hAnsi="Times New Roman" w:cs="Times New Roman"/>
          <w:color w:val="222222"/>
          <w:sz w:val="24"/>
          <w:szCs w:val="24"/>
          <w:shd w:val="clear" w:color="auto" w:fill="FFFFFF"/>
        </w:rPr>
        <w:t>, </w:t>
      </w:r>
      <w:r w:rsidRPr="006A000B">
        <w:rPr>
          <w:rFonts w:ascii="Times New Roman" w:hAnsi="Times New Roman" w:cs="Times New Roman"/>
          <w:i/>
          <w:iCs/>
          <w:color w:val="222222"/>
          <w:sz w:val="24"/>
          <w:szCs w:val="24"/>
          <w:shd w:val="clear" w:color="auto" w:fill="FFFFFF"/>
        </w:rPr>
        <w:t>12</w:t>
      </w:r>
      <w:r w:rsidRPr="006A000B">
        <w:rPr>
          <w:rFonts w:ascii="Times New Roman" w:hAnsi="Times New Roman" w:cs="Times New Roman"/>
          <w:color w:val="222222"/>
          <w:sz w:val="24"/>
          <w:szCs w:val="24"/>
          <w:shd w:val="clear" w:color="auto" w:fill="FFFFFF"/>
        </w:rPr>
        <w:t>, 754457.</w:t>
      </w:r>
    </w:p>
    <w:p w14:paraId="04C64743" w14:textId="77777777" w:rsidR="00FD21B1" w:rsidRPr="00FD1296" w:rsidRDefault="00FD21B1" w:rsidP="00CE61CF">
      <w:pPr>
        <w:rPr>
          <w:rFonts w:ascii="Times New Roman" w:hAnsi="Times New Roman" w:cs="Times New Roman"/>
          <w:sz w:val="32"/>
          <w:szCs w:val="24"/>
        </w:rPr>
      </w:pPr>
      <w:r w:rsidRPr="00FD1296">
        <w:rPr>
          <w:rFonts w:ascii="Times New Roman" w:hAnsi="Times New Roman" w:cs="Times New Roman"/>
          <w:color w:val="222222"/>
          <w:sz w:val="24"/>
          <w:szCs w:val="20"/>
          <w:shd w:val="clear" w:color="auto" w:fill="FFFFFF"/>
        </w:rPr>
        <w:t>Lahkar, C., Singh, S. K., Baruah, A. R., &amp; Borkakati, R. P. (2024). Assessment of genetic purity in african marigold (Tagetes erecta) hybrids using microsatellite markers. </w:t>
      </w:r>
      <w:r w:rsidRPr="00FD1296">
        <w:rPr>
          <w:rFonts w:ascii="Times New Roman" w:hAnsi="Times New Roman" w:cs="Times New Roman"/>
          <w:i/>
          <w:iCs/>
          <w:color w:val="222222"/>
          <w:sz w:val="24"/>
          <w:szCs w:val="20"/>
          <w:shd w:val="clear" w:color="auto" w:fill="FFFFFF"/>
        </w:rPr>
        <w:t>Agricultural Research</w:t>
      </w:r>
      <w:r w:rsidRPr="00FD1296">
        <w:rPr>
          <w:rFonts w:ascii="Times New Roman" w:hAnsi="Times New Roman" w:cs="Times New Roman"/>
          <w:color w:val="222222"/>
          <w:sz w:val="24"/>
          <w:szCs w:val="20"/>
          <w:shd w:val="clear" w:color="auto" w:fill="FFFFFF"/>
        </w:rPr>
        <w:t>, </w:t>
      </w:r>
      <w:r w:rsidRPr="00FD1296">
        <w:rPr>
          <w:rFonts w:ascii="Times New Roman" w:hAnsi="Times New Roman" w:cs="Times New Roman"/>
          <w:i/>
          <w:iCs/>
          <w:color w:val="222222"/>
          <w:sz w:val="24"/>
          <w:szCs w:val="20"/>
          <w:shd w:val="clear" w:color="auto" w:fill="FFFFFF"/>
        </w:rPr>
        <w:t>13</w:t>
      </w:r>
      <w:r w:rsidRPr="00FD1296">
        <w:rPr>
          <w:rFonts w:ascii="Times New Roman" w:hAnsi="Times New Roman" w:cs="Times New Roman"/>
          <w:color w:val="222222"/>
          <w:sz w:val="24"/>
          <w:szCs w:val="20"/>
          <w:shd w:val="clear" w:color="auto" w:fill="FFFFFF"/>
        </w:rPr>
        <w:t>(1), 1-9.</w:t>
      </w:r>
    </w:p>
    <w:p w14:paraId="45A886A5" w14:textId="77777777" w:rsidR="00FD21B1" w:rsidRDefault="00FD21B1" w:rsidP="00CE61CF">
      <w:pPr>
        <w:rPr>
          <w:rFonts w:ascii="Times New Roman" w:hAnsi="Times New Roman" w:cs="Times New Roman"/>
          <w:color w:val="222222"/>
          <w:sz w:val="24"/>
          <w:szCs w:val="24"/>
          <w:shd w:val="clear" w:color="auto" w:fill="FFFFFF"/>
        </w:rPr>
      </w:pPr>
      <w:r w:rsidRPr="006A000B">
        <w:rPr>
          <w:rFonts w:ascii="Times New Roman" w:hAnsi="Times New Roman" w:cs="Times New Roman"/>
          <w:color w:val="222222"/>
          <w:sz w:val="24"/>
          <w:szCs w:val="24"/>
          <w:shd w:val="clear" w:color="auto" w:fill="FFFFFF"/>
        </w:rPr>
        <w:t>Mohapatra, K. K., Nayak, A. K., Patra, R. K., Tripathi, R., Swain, C. K., Moharana, K. C., ... &amp; Tesfai, M. (2023). Multi-criteria assessment to screen climate smart rice establishment techniques in coastal rice production system of India. </w:t>
      </w:r>
      <w:r w:rsidRPr="006A000B">
        <w:rPr>
          <w:rFonts w:ascii="Times New Roman" w:hAnsi="Times New Roman" w:cs="Times New Roman"/>
          <w:i/>
          <w:iCs/>
          <w:color w:val="222222"/>
          <w:sz w:val="24"/>
          <w:szCs w:val="24"/>
          <w:shd w:val="clear" w:color="auto" w:fill="FFFFFF"/>
        </w:rPr>
        <w:t>Frontiers in Plant Science</w:t>
      </w:r>
      <w:r w:rsidRPr="006A000B">
        <w:rPr>
          <w:rFonts w:ascii="Times New Roman" w:hAnsi="Times New Roman" w:cs="Times New Roman"/>
          <w:color w:val="222222"/>
          <w:sz w:val="24"/>
          <w:szCs w:val="24"/>
          <w:shd w:val="clear" w:color="auto" w:fill="FFFFFF"/>
        </w:rPr>
        <w:t>, </w:t>
      </w:r>
      <w:r w:rsidRPr="006A000B">
        <w:rPr>
          <w:rFonts w:ascii="Times New Roman" w:hAnsi="Times New Roman" w:cs="Times New Roman"/>
          <w:i/>
          <w:iCs/>
          <w:color w:val="222222"/>
          <w:sz w:val="24"/>
          <w:szCs w:val="24"/>
          <w:shd w:val="clear" w:color="auto" w:fill="FFFFFF"/>
        </w:rPr>
        <w:t>14</w:t>
      </w:r>
      <w:r w:rsidRPr="006A000B">
        <w:rPr>
          <w:rFonts w:ascii="Times New Roman" w:hAnsi="Times New Roman" w:cs="Times New Roman"/>
          <w:color w:val="222222"/>
          <w:sz w:val="24"/>
          <w:szCs w:val="24"/>
          <w:shd w:val="clear" w:color="auto" w:fill="FFFFFF"/>
        </w:rPr>
        <w:t>, 1130545.</w:t>
      </w:r>
    </w:p>
    <w:p w14:paraId="6D422F58" w14:textId="77777777" w:rsidR="00FD21B1" w:rsidRPr="006A000B" w:rsidRDefault="00FD21B1" w:rsidP="00A17B0F">
      <w:pPr>
        <w:rPr>
          <w:rFonts w:ascii="Times New Roman" w:hAnsi="Times New Roman" w:cs="Times New Roman"/>
          <w:sz w:val="24"/>
          <w:szCs w:val="24"/>
        </w:rPr>
      </w:pPr>
      <w:r w:rsidRPr="006A000B">
        <w:rPr>
          <w:rFonts w:ascii="Times New Roman" w:hAnsi="Times New Roman" w:cs="Times New Roman"/>
          <w:sz w:val="24"/>
          <w:szCs w:val="24"/>
        </w:rPr>
        <w:t>Narsude PB, Kadam AS, Patil VK. Studies on the growth and yield attributes of different African marigold (</w:t>
      </w:r>
      <w:r w:rsidRPr="006A000B">
        <w:rPr>
          <w:rFonts w:ascii="Times New Roman" w:hAnsi="Times New Roman" w:cs="Times New Roman"/>
          <w:i/>
          <w:sz w:val="24"/>
          <w:szCs w:val="24"/>
        </w:rPr>
        <w:t>Tagetes erecta</w:t>
      </w:r>
      <w:r w:rsidRPr="006A000B">
        <w:rPr>
          <w:rFonts w:ascii="Times New Roman" w:hAnsi="Times New Roman" w:cs="Times New Roman"/>
          <w:sz w:val="24"/>
          <w:szCs w:val="24"/>
        </w:rPr>
        <w:t xml:space="preserve"> L.) genotypes under Marathwada conditions. AsianJ Hort 2010;5(2):284-286. </w:t>
      </w:r>
    </w:p>
    <w:p w14:paraId="1F1F4725" w14:textId="77777777" w:rsidR="00FD21B1" w:rsidRPr="006A000B" w:rsidRDefault="00FD21B1" w:rsidP="001F2A6C">
      <w:pPr>
        <w:rPr>
          <w:rFonts w:ascii="Times New Roman" w:hAnsi="Times New Roman" w:cs="Times New Roman"/>
          <w:sz w:val="24"/>
          <w:szCs w:val="24"/>
        </w:rPr>
      </w:pPr>
      <w:r w:rsidRPr="006A000B">
        <w:rPr>
          <w:rFonts w:ascii="Times New Roman" w:hAnsi="Times New Roman" w:cs="Times New Roman"/>
          <w:sz w:val="24"/>
          <w:szCs w:val="24"/>
        </w:rPr>
        <w:t>Netam M, Sharma G, Shukla A. The growth performance</w:t>
      </w:r>
      <w:r>
        <w:rPr>
          <w:rFonts w:ascii="Times New Roman" w:hAnsi="Times New Roman" w:cs="Times New Roman"/>
          <w:sz w:val="24"/>
          <w:szCs w:val="24"/>
        </w:rPr>
        <w:t xml:space="preserve"> </w:t>
      </w:r>
      <w:r w:rsidRPr="006A000B">
        <w:rPr>
          <w:rFonts w:ascii="Times New Roman" w:hAnsi="Times New Roman" w:cs="Times New Roman"/>
          <w:sz w:val="24"/>
          <w:szCs w:val="24"/>
        </w:rPr>
        <w:t>of marigold (</w:t>
      </w:r>
      <w:r w:rsidRPr="006A000B">
        <w:rPr>
          <w:rFonts w:ascii="Times New Roman" w:hAnsi="Times New Roman" w:cs="Times New Roman"/>
          <w:i/>
          <w:sz w:val="24"/>
          <w:szCs w:val="24"/>
        </w:rPr>
        <w:t>Tagetes erecta</w:t>
      </w:r>
      <w:r w:rsidRPr="006A000B">
        <w:rPr>
          <w:rFonts w:ascii="Times New Roman" w:hAnsi="Times New Roman" w:cs="Times New Roman"/>
          <w:sz w:val="24"/>
          <w:szCs w:val="24"/>
        </w:rPr>
        <w:t xml:space="preserve"> L.) Under Chhattisgarh plains</w:t>
      </w:r>
      <w:r>
        <w:rPr>
          <w:rFonts w:ascii="Times New Roman" w:hAnsi="Times New Roman" w:cs="Times New Roman"/>
          <w:sz w:val="24"/>
          <w:szCs w:val="24"/>
        </w:rPr>
        <w:t xml:space="preserve"> </w:t>
      </w:r>
      <w:r w:rsidRPr="006A000B">
        <w:rPr>
          <w:rFonts w:ascii="Times New Roman" w:hAnsi="Times New Roman" w:cs="Times New Roman"/>
          <w:sz w:val="24"/>
          <w:szCs w:val="24"/>
        </w:rPr>
        <w:t>agro-climatic condition. J Pharmacogn Phytochem2019;8(2S):235-237.</w:t>
      </w:r>
    </w:p>
    <w:p w14:paraId="0DF919CE" w14:textId="77777777" w:rsidR="00FD21B1" w:rsidRDefault="00FD21B1">
      <w:pPr>
        <w:rPr>
          <w:rFonts w:ascii="Times New Roman" w:hAnsi="Times New Roman" w:cs="Times New Roman"/>
          <w:sz w:val="24"/>
          <w:szCs w:val="24"/>
        </w:rPr>
      </w:pPr>
      <w:r w:rsidRPr="00417A2B">
        <w:rPr>
          <w:rFonts w:ascii="Times New Roman" w:hAnsi="Times New Roman" w:cs="Times New Roman"/>
          <w:sz w:val="24"/>
          <w:szCs w:val="24"/>
        </w:rPr>
        <w:t>Parashar, K., Parashar, A., Yogesh, S., Vigyan, K., Sirohi, K., &amp; Coa, S. J. (2021). Marigold Cultivation:-A sustainable avenue for farmer's livelihood security.</w:t>
      </w:r>
    </w:p>
    <w:p w14:paraId="285FB2A1" w14:textId="77777777" w:rsidR="00FD21B1" w:rsidRPr="006A000B" w:rsidRDefault="00FD21B1" w:rsidP="00CE61CF">
      <w:pPr>
        <w:rPr>
          <w:rFonts w:ascii="Times New Roman" w:hAnsi="Times New Roman" w:cs="Times New Roman"/>
          <w:sz w:val="24"/>
          <w:szCs w:val="24"/>
        </w:rPr>
      </w:pPr>
      <w:r w:rsidRPr="006A000B">
        <w:rPr>
          <w:rFonts w:ascii="Times New Roman" w:hAnsi="Times New Roman" w:cs="Times New Roman"/>
          <w:sz w:val="24"/>
          <w:szCs w:val="24"/>
        </w:rPr>
        <w:t>Pratheeksha, C. T., Kulkarni, B. S., Pavankumar, P., Shirol, A. M., Thammaih, N., Satish, D., &amp; Nishani, S. (2024). Standardization of Spacing and Fertilizer Levels for Growth, Yield and Flower Quality of French Marigold (</w:t>
      </w:r>
      <w:r w:rsidRPr="006A000B">
        <w:rPr>
          <w:rFonts w:ascii="Times New Roman" w:hAnsi="Times New Roman" w:cs="Times New Roman"/>
          <w:i/>
          <w:sz w:val="24"/>
          <w:szCs w:val="24"/>
        </w:rPr>
        <w:t>Tagetes patula</w:t>
      </w:r>
      <w:r w:rsidRPr="006A000B">
        <w:rPr>
          <w:rFonts w:ascii="Times New Roman" w:hAnsi="Times New Roman" w:cs="Times New Roman"/>
          <w:sz w:val="24"/>
          <w:szCs w:val="24"/>
        </w:rPr>
        <w:t xml:space="preserve"> L.). Journal of Advances in Biology &amp; Biotechnology, 27(8), 387-398.</w:t>
      </w:r>
    </w:p>
    <w:p w14:paraId="7A548634" w14:textId="77777777" w:rsidR="00FD21B1" w:rsidRPr="006A000B" w:rsidRDefault="00FD21B1" w:rsidP="001F2A6C">
      <w:pPr>
        <w:rPr>
          <w:rFonts w:ascii="Times New Roman" w:hAnsi="Times New Roman" w:cs="Times New Roman"/>
          <w:sz w:val="24"/>
          <w:szCs w:val="24"/>
        </w:rPr>
      </w:pPr>
      <w:r w:rsidRPr="006A000B">
        <w:rPr>
          <w:rFonts w:ascii="Times New Roman" w:hAnsi="Times New Roman" w:cs="Times New Roman"/>
          <w:color w:val="222222"/>
          <w:sz w:val="24"/>
          <w:szCs w:val="24"/>
          <w:shd w:val="clear" w:color="auto" w:fill="FFFFFF"/>
        </w:rPr>
        <w:t>Sharma, G., &amp; Jadagoudar, B. (2021). Comparative analysis and agro-morphological evaluation of French marigold genotypes (</w:t>
      </w:r>
      <w:r w:rsidRPr="006A000B">
        <w:rPr>
          <w:rFonts w:ascii="Times New Roman" w:hAnsi="Times New Roman" w:cs="Times New Roman"/>
          <w:i/>
          <w:color w:val="222222"/>
          <w:sz w:val="24"/>
          <w:szCs w:val="24"/>
          <w:shd w:val="clear" w:color="auto" w:fill="FFFFFF"/>
        </w:rPr>
        <w:t>Tagetes patula</w:t>
      </w:r>
      <w:r w:rsidRPr="006A000B">
        <w:rPr>
          <w:rFonts w:ascii="Times New Roman" w:hAnsi="Times New Roman" w:cs="Times New Roman"/>
          <w:color w:val="222222"/>
          <w:sz w:val="24"/>
          <w:szCs w:val="24"/>
          <w:shd w:val="clear" w:color="auto" w:fill="FFFFFF"/>
        </w:rPr>
        <w:t xml:space="preserve"> L.). </w:t>
      </w:r>
      <w:r w:rsidRPr="006A000B">
        <w:rPr>
          <w:rFonts w:ascii="Times New Roman" w:hAnsi="Times New Roman" w:cs="Times New Roman"/>
          <w:i/>
          <w:iCs/>
          <w:color w:val="222222"/>
          <w:sz w:val="24"/>
          <w:szCs w:val="24"/>
          <w:shd w:val="clear" w:color="auto" w:fill="FFFFFF"/>
        </w:rPr>
        <w:t>J Pharma Innov</w:t>
      </w:r>
      <w:r w:rsidRPr="006A000B">
        <w:rPr>
          <w:rFonts w:ascii="Times New Roman" w:hAnsi="Times New Roman" w:cs="Times New Roman"/>
          <w:color w:val="222222"/>
          <w:sz w:val="24"/>
          <w:szCs w:val="24"/>
          <w:shd w:val="clear" w:color="auto" w:fill="FFFFFF"/>
        </w:rPr>
        <w:t>, </w:t>
      </w:r>
      <w:r w:rsidRPr="006A000B">
        <w:rPr>
          <w:rFonts w:ascii="Times New Roman" w:hAnsi="Times New Roman" w:cs="Times New Roman"/>
          <w:i/>
          <w:iCs/>
          <w:color w:val="222222"/>
          <w:sz w:val="24"/>
          <w:szCs w:val="24"/>
          <w:shd w:val="clear" w:color="auto" w:fill="FFFFFF"/>
        </w:rPr>
        <w:t>10</w:t>
      </w:r>
      <w:r w:rsidRPr="006A000B">
        <w:rPr>
          <w:rFonts w:ascii="Times New Roman" w:hAnsi="Times New Roman" w:cs="Times New Roman"/>
          <w:color w:val="222222"/>
          <w:sz w:val="24"/>
          <w:szCs w:val="24"/>
          <w:shd w:val="clear" w:color="auto" w:fill="FFFFFF"/>
        </w:rPr>
        <w:t>(5), 1558-1560.</w:t>
      </w:r>
    </w:p>
    <w:p w14:paraId="17AD702E" w14:textId="77777777" w:rsidR="00FD21B1" w:rsidRPr="006A000B" w:rsidRDefault="00FD21B1" w:rsidP="00CE61CF">
      <w:pPr>
        <w:rPr>
          <w:rFonts w:ascii="Times New Roman" w:hAnsi="Times New Roman" w:cs="Times New Roman"/>
          <w:sz w:val="24"/>
          <w:szCs w:val="24"/>
        </w:rPr>
      </w:pPr>
      <w:r w:rsidRPr="006A000B">
        <w:rPr>
          <w:rFonts w:ascii="Times New Roman" w:hAnsi="Times New Roman" w:cs="Times New Roman"/>
          <w:sz w:val="24"/>
          <w:szCs w:val="24"/>
        </w:rPr>
        <w:t>Shilpa, P., Sreelatha U., Minimol J.S., Sankar M. and Suma A. (2022). Evaluation of growth parameters and yield attributes of marigold genotypes under humid tropical plains. Journal of Tropical Agriculture, 60(1).</w:t>
      </w:r>
    </w:p>
    <w:p w14:paraId="73B54EC7" w14:textId="77777777" w:rsidR="00FD21B1" w:rsidRPr="00417A2B" w:rsidRDefault="00FD21B1">
      <w:pPr>
        <w:rPr>
          <w:rFonts w:ascii="Times New Roman" w:hAnsi="Times New Roman" w:cs="Times New Roman"/>
          <w:sz w:val="24"/>
          <w:szCs w:val="24"/>
        </w:rPr>
      </w:pPr>
      <w:r w:rsidRPr="00FD1296">
        <w:rPr>
          <w:rFonts w:ascii="Times New Roman" w:hAnsi="Times New Roman" w:cs="Times New Roman"/>
          <w:sz w:val="24"/>
        </w:rPr>
        <w:t xml:space="preserve">Singh, H. P. (2017). Landscape gardening for ecological and aesthetic gains. Floriculture and </w:t>
      </w:r>
      <w:r w:rsidRPr="00417A2B">
        <w:rPr>
          <w:rFonts w:ascii="Times New Roman" w:hAnsi="Times New Roman" w:cs="Times New Roman"/>
          <w:sz w:val="24"/>
          <w:szCs w:val="24"/>
        </w:rPr>
        <w:t>Landscape Gardening; Malhotra, SK, Ram, L., Eds, 1-10.</w:t>
      </w:r>
    </w:p>
    <w:p w14:paraId="0D9C1FBB" w14:textId="77777777" w:rsidR="00FD21B1" w:rsidRDefault="00FD21B1" w:rsidP="00CE61CF">
      <w:pPr>
        <w:rPr>
          <w:rFonts w:ascii="Times New Roman" w:hAnsi="Times New Roman" w:cs="Times New Roman"/>
          <w:sz w:val="24"/>
          <w:szCs w:val="24"/>
        </w:rPr>
      </w:pPr>
      <w:r w:rsidRPr="000F1CCF">
        <w:rPr>
          <w:rFonts w:ascii="Times New Roman" w:hAnsi="Times New Roman" w:cs="Times New Roman"/>
          <w:sz w:val="24"/>
          <w:szCs w:val="24"/>
        </w:rPr>
        <w:t>Sumalatha, A. (2025). Genetic inheritance and identification of molecular markers linked to male sterility in African marigold (Tagetes erecta L.).</w:t>
      </w:r>
    </w:p>
    <w:p w14:paraId="397A1117" w14:textId="77777777" w:rsidR="00FD21B1" w:rsidRPr="006A000B" w:rsidRDefault="00FD21B1" w:rsidP="00CE61CF">
      <w:pPr>
        <w:rPr>
          <w:rFonts w:ascii="Times New Roman" w:hAnsi="Times New Roman" w:cs="Times New Roman"/>
          <w:color w:val="222222"/>
          <w:sz w:val="24"/>
          <w:szCs w:val="24"/>
          <w:shd w:val="clear" w:color="auto" w:fill="FFFFFF"/>
        </w:rPr>
      </w:pPr>
      <w:r w:rsidRPr="006A000B">
        <w:rPr>
          <w:rFonts w:ascii="Times New Roman" w:hAnsi="Times New Roman" w:cs="Times New Roman"/>
          <w:color w:val="222222"/>
          <w:sz w:val="24"/>
          <w:szCs w:val="24"/>
          <w:shd w:val="clear" w:color="auto" w:fill="FFFFFF"/>
        </w:rPr>
        <w:t>Titisari, A. (2025). Floriculture: A comparative insight of environmental business opportunities in Indonesia and India. </w:t>
      </w:r>
      <w:r w:rsidRPr="006A000B">
        <w:rPr>
          <w:rFonts w:ascii="Times New Roman" w:hAnsi="Times New Roman" w:cs="Times New Roman"/>
          <w:i/>
          <w:iCs/>
          <w:color w:val="222222"/>
          <w:sz w:val="24"/>
          <w:szCs w:val="24"/>
          <w:shd w:val="clear" w:color="auto" w:fill="FFFFFF"/>
        </w:rPr>
        <w:t>Jurnal Bisnis Kehutanan dan Lingkungan</w:t>
      </w:r>
      <w:r w:rsidRPr="006A000B">
        <w:rPr>
          <w:rFonts w:ascii="Times New Roman" w:hAnsi="Times New Roman" w:cs="Times New Roman"/>
          <w:color w:val="222222"/>
          <w:sz w:val="24"/>
          <w:szCs w:val="24"/>
          <w:shd w:val="clear" w:color="auto" w:fill="FFFFFF"/>
        </w:rPr>
        <w:t>, </w:t>
      </w:r>
      <w:r w:rsidRPr="006A000B">
        <w:rPr>
          <w:rFonts w:ascii="Times New Roman" w:hAnsi="Times New Roman" w:cs="Times New Roman"/>
          <w:i/>
          <w:iCs/>
          <w:color w:val="222222"/>
          <w:sz w:val="24"/>
          <w:szCs w:val="24"/>
          <w:shd w:val="clear" w:color="auto" w:fill="FFFFFF"/>
        </w:rPr>
        <w:t>2</w:t>
      </w:r>
      <w:r w:rsidRPr="006A000B">
        <w:rPr>
          <w:rFonts w:ascii="Times New Roman" w:hAnsi="Times New Roman" w:cs="Times New Roman"/>
          <w:color w:val="222222"/>
          <w:sz w:val="24"/>
          <w:szCs w:val="24"/>
          <w:shd w:val="clear" w:color="auto" w:fill="FFFFFF"/>
        </w:rPr>
        <w:t>(2), 122-138.</w:t>
      </w:r>
    </w:p>
    <w:sectPr w:rsidR="00FD21B1" w:rsidRPr="006A000B" w:rsidSect="00DA322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15D52" w14:textId="77777777" w:rsidR="00B60614" w:rsidRDefault="00B60614" w:rsidP="00584F66">
      <w:pPr>
        <w:spacing w:after="0" w:line="240" w:lineRule="auto"/>
      </w:pPr>
      <w:r>
        <w:separator/>
      </w:r>
    </w:p>
  </w:endnote>
  <w:endnote w:type="continuationSeparator" w:id="0">
    <w:p w14:paraId="47DF4459" w14:textId="77777777" w:rsidR="00B60614" w:rsidRDefault="00B60614" w:rsidP="00584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Kalinga">
    <w:altName w:val="Kalinga"/>
    <w:charset w:val="00"/>
    <w:family w:val="swiss"/>
    <w:pitch w:val="variable"/>
    <w:sig w:usb0="0008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5071" w14:textId="77777777" w:rsidR="00CA7024" w:rsidRDefault="00CA7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304C8" w14:textId="77777777" w:rsidR="00CA7024" w:rsidRDefault="00CA70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ED71" w14:textId="77777777" w:rsidR="00CA7024" w:rsidRDefault="00CA7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2B575" w14:textId="77777777" w:rsidR="00B60614" w:rsidRDefault="00B60614" w:rsidP="00584F66">
      <w:pPr>
        <w:spacing w:after="0" w:line="240" w:lineRule="auto"/>
      </w:pPr>
      <w:r>
        <w:separator/>
      </w:r>
    </w:p>
  </w:footnote>
  <w:footnote w:type="continuationSeparator" w:id="0">
    <w:p w14:paraId="0CA1BBF4" w14:textId="77777777" w:rsidR="00B60614" w:rsidRDefault="00B60614" w:rsidP="00584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7C73" w14:textId="2116AE7A" w:rsidR="00CA7024" w:rsidRDefault="00CA7024">
    <w:pPr>
      <w:pStyle w:val="Header"/>
    </w:pPr>
    <w:r>
      <w:rPr>
        <w:noProof/>
      </w:rPr>
      <w:pict w14:anchorId="140864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33672"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07E24" w14:textId="0C1A2E22" w:rsidR="00CA7024" w:rsidRDefault="00CA7024">
    <w:pPr>
      <w:pStyle w:val="Header"/>
    </w:pPr>
    <w:r>
      <w:rPr>
        <w:noProof/>
      </w:rPr>
      <w:pict w14:anchorId="38AE26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3367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DF07" w14:textId="3F04D082" w:rsidR="00CA7024" w:rsidRDefault="00CA7024">
    <w:pPr>
      <w:pStyle w:val="Header"/>
    </w:pPr>
    <w:r>
      <w:rPr>
        <w:noProof/>
      </w:rPr>
      <w:pict w14:anchorId="4BFCD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733671"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EF0"/>
    <w:rsid w:val="00042EEB"/>
    <w:rsid w:val="00043A64"/>
    <w:rsid w:val="000501BE"/>
    <w:rsid w:val="000C4D84"/>
    <w:rsid w:val="000C5361"/>
    <w:rsid w:val="000C5FA7"/>
    <w:rsid w:val="000D463D"/>
    <w:rsid w:val="000F1CCF"/>
    <w:rsid w:val="0011690E"/>
    <w:rsid w:val="00127C9F"/>
    <w:rsid w:val="00145190"/>
    <w:rsid w:val="001B293A"/>
    <w:rsid w:val="001C5AA2"/>
    <w:rsid w:val="001F1DB5"/>
    <w:rsid w:val="001F2A6C"/>
    <w:rsid w:val="00201925"/>
    <w:rsid w:val="002032EB"/>
    <w:rsid w:val="00213327"/>
    <w:rsid w:val="0021609B"/>
    <w:rsid w:val="002250E0"/>
    <w:rsid w:val="0025763A"/>
    <w:rsid w:val="002D7B14"/>
    <w:rsid w:val="002F7107"/>
    <w:rsid w:val="003151C1"/>
    <w:rsid w:val="003548AF"/>
    <w:rsid w:val="00363B36"/>
    <w:rsid w:val="00367977"/>
    <w:rsid w:val="00390B4A"/>
    <w:rsid w:val="00390C56"/>
    <w:rsid w:val="003C35E2"/>
    <w:rsid w:val="003F2DD2"/>
    <w:rsid w:val="00417A2B"/>
    <w:rsid w:val="004B7AD3"/>
    <w:rsid w:val="004E27C4"/>
    <w:rsid w:val="004E53BF"/>
    <w:rsid w:val="004F46AB"/>
    <w:rsid w:val="0050710B"/>
    <w:rsid w:val="005328CA"/>
    <w:rsid w:val="0056728B"/>
    <w:rsid w:val="00584F66"/>
    <w:rsid w:val="00585ECA"/>
    <w:rsid w:val="00587340"/>
    <w:rsid w:val="005B4BE7"/>
    <w:rsid w:val="005C379C"/>
    <w:rsid w:val="005D08A0"/>
    <w:rsid w:val="005E2B4C"/>
    <w:rsid w:val="00611006"/>
    <w:rsid w:val="006523C2"/>
    <w:rsid w:val="006A000B"/>
    <w:rsid w:val="006B3488"/>
    <w:rsid w:val="006B608F"/>
    <w:rsid w:val="006D188E"/>
    <w:rsid w:val="006F259F"/>
    <w:rsid w:val="006F6573"/>
    <w:rsid w:val="00765309"/>
    <w:rsid w:val="007668C0"/>
    <w:rsid w:val="007C43C1"/>
    <w:rsid w:val="007D63BC"/>
    <w:rsid w:val="00830B89"/>
    <w:rsid w:val="00841BDA"/>
    <w:rsid w:val="008479AA"/>
    <w:rsid w:val="00850C3C"/>
    <w:rsid w:val="00882CE7"/>
    <w:rsid w:val="00893175"/>
    <w:rsid w:val="008C0E7E"/>
    <w:rsid w:val="00906B00"/>
    <w:rsid w:val="009A1F2C"/>
    <w:rsid w:val="009B53AA"/>
    <w:rsid w:val="009C68CC"/>
    <w:rsid w:val="009D21EF"/>
    <w:rsid w:val="00A17B0F"/>
    <w:rsid w:val="00A20F2C"/>
    <w:rsid w:val="00A3008A"/>
    <w:rsid w:val="00A80C65"/>
    <w:rsid w:val="00AE2BCE"/>
    <w:rsid w:val="00B41053"/>
    <w:rsid w:val="00B60614"/>
    <w:rsid w:val="00B74034"/>
    <w:rsid w:val="00B90B67"/>
    <w:rsid w:val="00BA7BD2"/>
    <w:rsid w:val="00BB505F"/>
    <w:rsid w:val="00C00A36"/>
    <w:rsid w:val="00C21917"/>
    <w:rsid w:val="00C77159"/>
    <w:rsid w:val="00C80D27"/>
    <w:rsid w:val="00C810F7"/>
    <w:rsid w:val="00C97931"/>
    <w:rsid w:val="00CA7024"/>
    <w:rsid w:val="00CA7818"/>
    <w:rsid w:val="00CE61CF"/>
    <w:rsid w:val="00CF674C"/>
    <w:rsid w:val="00D01949"/>
    <w:rsid w:val="00D039A1"/>
    <w:rsid w:val="00D1532C"/>
    <w:rsid w:val="00D317B5"/>
    <w:rsid w:val="00D42A90"/>
    <w:rsid w:val="00D460DA"/>
    <w:rsid w:val="00D51720"/>
    <w:rsid w:val="00D81837"/>
    <w:rsid w:val="00DA322B"/>
    <w:rsid w:val="00DB07EB"/>
    <w:rsid w:val="00DB4BE4"/>
    <w:rsid w:val="00DF5A03"/>
    <w:rsid w:val="00E07AA9"/>
    <w:rsid w:val="00E21F95"/>
    <w:rsid w:val="00E34DAF"/>
    <w:rsid w:val="00E52FDE"/>
    <w:rsid w:val="00E57F0C"/>
    <w:rsid w:val="00E8799E"/>
    <w:rsid w:val="00E94B01"/>
    <w:rsid w:val="00EC7B07"/>
    <w:rsid w:val="00ED4DA0"/>
    <w:rsid w:val="00EE5DA3"/>
    <w:rsid w:val="00F22EF0"/>
    <w:rsid w:val="00F47301"/>
    <w:rsid w:val="00F85B83"/>
    <w:rsid w:val="00FB5D59"/>
    <w:rsid w:val="00FD1296"/>
    <w:rsid w:val="00FD21B1"/>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E6683D"/>
  <w15:chartTrackingRefBased/>
  <w15:docId w15:val="{D92B4DCD-EA64-4802-99D5-7A8A13C9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ind w:left="709" w:hanging="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0710B"/>
    <w:pPr>
      <w:spacing w:before="100" w:beforeAutospacing="1" w:after="100" w:afterAutospacing="1" w:line="240" w:lineRule="auto"/>
      <w:ind w:left="0" w:firstLine="0"/>
      <w:jc w:val="left"/>
      <w:outlineLvl w:val="2"/>
    </w:pPr>
    <w:rPr>
      <w:rFonts w:ascii="Times New Roman" w:eastAsia="Times New Roman" w:hAnsi="Times New Roman" w:cs="Times New Roman"/>
      <w:b/>
      <w:bCs/>
      <w:sz w:val="27"/>
      <w:szCs w:val="27"/>
      <w:lang w:eastAsia="en-IN"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7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0710B"/>
    <w:rPr>
      <w:rFonts w:ascii="Times New Roman" w:eastAsia="Times New Roman" w:hAnsi="Times New Roman" w:cs="Times New Roman"/>
      <w:b/>
      <w:bCs/>
      <w:sz w:val="27"/>
      <w:szCs w:val="27"/>
      <w:lang w:eastAsia="en-IN" w:bidi="or-IN"/>
    </w:rPr>
  </w:style>
  <w:style w:type="character" w:styleId="Strong">
    <w:name w:val="Strong"/>
    <w:basedOn w:val="DefaultParagraphFont"/>
    <w:uiPriority w:val="22"/>
    <w:qFormat/>
    <w:rsid w:val="0050710B"/>
    <w:rPr>
      <w:b/>
      <w:bCs/>
    </w:rPr>
  </w:style>
  <w:style w:type="paragraph" w:styleId="NormalWeb">
    <w:name w:val="Normal (Web)"/>
    <w:basedOn w:val="Normal"/>
    <w:uiPriority w:val="99"/>
    <w:unhideWhenUsed/>
    <w:rsid w:val="0050710B"/>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en-IN" w:bidi="or-IN"/>
    </w:rPr>
  </w:style>
  <w:style w:type="character" w:styleId="Emphasis">
    <w:name w:val="Emphasis"/>
    <w:basedOn w:val="DefaultParagraphFont"/>
    <w:uiPriority w:val="20"/>
    <w:qFormat/>
    <w:rsid w:val="0050710B"/>
    <w:rPr>
      <w:i/>
      <w:iCs/>
    </w:rPr>
  </w:style>
  <w:style w:type="character" w:styleId="Hyperlink">
    <w:name w:val="Hyperlink"/>
    <w:basedOn w:val="DefaultParagraphFont"/>
    <w:uiPriority w:val="99"/>
    <w:unhideWhenUsed/>
    <w:rsid w:val="001F2A6C"/>
    <w:rPr>
      <w:color w:val="0000FF"/>
      <w:u w:val="single"/>
    </w:rPr>
  </w:style>
  <w:style w:type="paragraph" w:styleId="Header">
    <w:name w:val="header"/>
    <w:basedOn w:val="Normal"/>
    <w:link w:val="HeaderChar"/>
    <w:uiPriority w:val="99"/>
    <w:unhideWhenUsed/>
    <w:rsid w:val="00584F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F66"/>
  </w:style>
  <w:style w:type="paragraph" w:styleId="Footer">
    <w:name w:val="footer"/>
    <w:basedOn w:val="Normal"/>
    <w:link w:val="FooterChar"/>
    <w:uiPriority w:val="99"/>
    <w:unhideWhenUsed/>
    <w:rsid w:val="00584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F66"/>
  </w:style>
  <w:style w:type="character" w:styleId="PlaceholderText">
    <w:name w:val="Placeholder Text"/>
    <w:basedOn w:val="DefaultParagraphFont"/>
    <w:uiPriority w:val="99"/>
    <w:semiHidden/>
    <w:rsid w:val="006523C2"/>
    <w:rPr>
      <w:color w:val="808080"/>
    </w:rPr>
  </w:style>
  <w:style w:type="character" w:styleId="UnresolvedMention">
    <w:name w:val="Unresolved Mention"/>
    <w:basedOn w:val="DefaultParagraphFont"/>
    <w:uiPriority w:val="99"/>
    <w:semiHidden/>
    <w:unhideWhenUsed/>
    <w:rsid w:val="00B74034"/>
    <w:rPr>
      <w:color w:val="605E5C"/>
      <w:shd w:val="clear" w:color="auto" w:fill="E1DFDD"/>
    </w:rPr>
  </w:style>
  <w:style w:type="paragraph" w:styleId="ListParagraph">
    <w:name w:val="List Paragraph"/>
    <w:basedOn w:val="Normal"/>
    <w:uiPriority w:val="34"/>
    <w:qFormat/>
    <w:rsid w:val="007653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902">
      <w:bodyDiv w:val="1"/>
      <w:marLeft w:val="0"/>
      <w:marRight w:val="0"/>
      <w:marTop w:val="0"/>
      <w:marBottom w:val="0"/>
      <w:divBdr>
        <w:top w:val="none" w:sz="0" w:space="0" w:color="auto"/>
        <w:left w:val="none" w:sz="0" w:space="0" w:color="auto"/>
        <w:bottom w:val="none" w:sz="0" w:space="0" w:color="auto"/>
        <w:right w:val="none" w:sz="0" w:space="0" w:color="auto"/>
      </w:divBdr>
    </w:div>
    <w:div w:id="104926950">
      <w:bodyDiv w:val="1"/>
      <w:marLeft w:val="0"/>
      <w:marRight w:val="0"/>
      <w:marTop w:val="0"/>
      <w:marBottom w:val="0"/>
      <w:divBdr>
        <w:top w:val="none" w:sz="0" w:space="0" w:color="auto"/>
        <w:left w:val="none" w:sz="0" w:space="0" w:color="auto"/>
        <w:bottom w:val="none" w:sz="0" w:space="0" w:color="auto"/>
        <w:right w:val="none" w:sz="0" w:space="0" w:color="auto"/>
      </w:divBdr>
    </w:div>
    <w:div w:id="180826987">
      <w:bodyDiv w:val="1"/>
      <w:marLeft w:val="0"/>
      <w:marRight w:val="0"/>
      <w:marTop w:val="0"/>
      <w:marBottom w:val="0"/>
      <w:divBdr>
        <w:top w:val="none" w:sz="0" w:space="0" w:color="auto"/>
        <w:left w:val="none" w:sz="0" w:space="0" w:color="auto"/>
        <w:bottom w:val="none" w:sz="0" w:space="0" w:color="auto"/>
        <w:right w:val="none" w:sz="0" w:space="0" w:color="auto"/>
      </w:divBdr>
    </w:div>
    <w:div w:id="238906988">
      <w:bodyDiv w:val="1"/>
      <w:marLeft w:val="0"/>
      <w:marRight w:val="0"/>
      <w:marTop w:val="0"/>
      <w:marBottom w:val="0"/>
      <w:divBdr>
        <w:top w:val="none" w:sz="0" w:space="0" w:color="auto"/>
        <w:left w:val="none" w:sz="0" w:space="0" w:color="auto"/>
        <w:bottom w:val="none" w:sz="0" w:space="0" w:color="auto"/>
        <w:right w:val="none" w:sz="0" w:space="0" w:color="auto"/>
      </w:divBdr>
    </w:div>
    <w:div w:id="263616717">
      <w:bodyDiv w:val="1"/>
      <w:marLeft w:val="0"/>
      <w:marRight w:val="0"/>
      <w:marTop w:val="0"/>
      <w:marBottom w:val="0"/>
      <w:divBdr>
        <w:top w:val="none" w:sz="0" w:space="0" w:color="auto"/>
        <w:left w:val="none" w:sz="0" w:space="0" w:color="auto"/>
        <w:bottom w:val="none" w:sz="0" w:space="0" w:color="auto"/>
        <w:right w:val="none" w:sz="0" w:space="0" w:color="auto"/>
      </w:divBdr>
      <w:divsChild>
        <w:div w:id="2146778463">
          <w:marLeft w:val="0"/>
          <w:marRight w:val="0"/>
          <w:marTop w:val="0"/>
          <w:marBottom w:val="0"/>
          <w:divBdr>
            <w:top w:val="none" w:sz="0" w:space="0" w:color="auto"/>
            <w:left w:val="none" w:sz="0" w:space="0" w:color="auto"/>
            <w:bottom w:val="none" w:sz="0" w:space="0" w:color="auto"/>
            <w:right w:val="none" w:sz="0" w:space="0" w:color="auto"/>
          </w:divBdr>
          <w:divsChild>
            <w:div w:id="615598534">
              <w:marLeft w:val="0"/>
              <w:marRight w:val="0"/>
              <w:marTop w:val="0"/>
              <w:marBottom w:val="0"/>
              <w:divBdr>
                <w:top w:val="none" w:sz="0" w:space="0" w:color="auto"/>
                <w:left w:val="none" w:sz="0" w:space="0" w:color="auto"/>
                <w:bottom w:val="none" w:sz="0" w:space="0" w:color="auto"/>
                <w:right w:val="none" w:sz="0" w:space="0" w:color="auto"/>
              </w:divBdr>
            </w:div>
            <w:div w:id="12779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656">
      <w:bodyDiv w:val="1"/>
      <w:marLeft w:val="0"/>
      <w:marRight w:val="0"/>
      <w:marTop w:val="0"/>
      <w:marBottom w:val="0"/>
      <w:divBdr>
        <w:top w:val="none" w:sz="0" w:space="0" w:color="auto"/>
        <w:left w:val="none" w:sz="0" w:space="0" w:color="auto"/>
        <w:bottom w:val="none" w:sz="0" w:space="0" w:color="auto"/>
        <w:right w:val="none" w:sz="0" w:space="0" w:color="auto"/>
      </w:divBdr>
    </w:div>
    <w:div w:id="817960512">
      <w:bodyDiv w:val="1"/>
      <w:marLeft w:val="0"/>
      <w:marRight w:val="0"/>
      <w:marTop w:val="0"/>
      <w:marBottom w:val="0"/>
      <w:divBdr>
        <w:top w:val="none" w:sz="0" w:space="0" w:color="auto"/>
        <w:left w:val="none" w:sz="0" w:space="0" w:color="auto"/>
        <w:bottom w:val="none" w:sz="0" w:space="0" w:color="auto"/>
        <w:right w:val="none" w:sz="0" w:space="0" w:color="auto"/>
      </w:divBdr>
    </w:div>
    <w:div w:id="1496188393">
      <w:bodyDiv w:val="1"/>
      <w:marLeft w:val="0"/>
      <w:marRight w:val="0"/>
      <w:marTop w:val="0"/>
      <w:marBottom w:val="0"/>
      <w:divBdr>
        <w:top w:val="none" w:sz="0" w:space="0" w:color="auto"/>
        <w:left w:val="none" w:sz="0" w:space="0" w:color="auto"/>
        <w:bottom w:val="none" w:sz="0" w:space="0" w:color="auto"/>
        <w:right w:val="none" w:sz="0" w:space="0" w:color="auto"/>
      </w:divBdr>
    </w:div>
    <w:div w:id="1740782022">
      <w:bodyDiv w:val="1"/>
      <w:marLeft w:val="0"/>
      <w:marRight w:val="0"/>
      <w:marTop w:val="0"/>
      <w:marBottom w:val="0"/>
      <w:divBdr>
        <w:top w:val="none" w:sz="0" w:space="0" w:color="auto"/>
        <w:left w:val="none" w:sz="0" w:space="0" w:color="auto"/>
        <w:bottom w:val="none" w:sz="0" w:space="0" w:color="auto"/>
        <w:right w:val="none" w:sz="0" w:space="0" w:color="auto"/>
      </w:divBdr>
      <w:divsChild>
        <w:div w:id="2096054706">
          <w:marLeft w:val="0"/>
          <w:marRight w:val="0"/>
          <w:marTop w:val="0"/>
          <w:marBottom w:val="0"/>
          <w:divBdr>
            <w:top w:val="none" w:sz="0" w:space="0" w:color="auto"/>
            <w:left w:val="none" w:sz="0" w:space="0" w:color="auto"/>
            <w:bottom w:val="none" w:sz="0" w:space="0" w:color="auto"/>
            <w:right w:val="none" w:sz="0" w:space="0" w:color="auto"/>
          </w:divBdr>
          <w:divsChild>
            <w:div w:id="954479746">
              <w:marLeft w:val="0"/>
              <w:marRight w:val="0"/>
              <w:marTop w:val="0"/>
              <w:marBottom w:val="0"/>
              <w:divBdr>
                <w:top w:val="none" w:sz="0" w:space="0" w:color="auto"/>
                <w:left w:val="none" w:sz="0" w:space="0" w:color="auto"/>
                <w:bottom w:val="none" w:sz="0" w:space="0" w:color="auto"/>
                <w:right w:val="none" w:sz="0" w:space="0" w:color="auto"/>
              </w:divBdr>
            </w:div>
            <w:div w:id="19671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41041">
      <w:bodyDiv w:val="1"/>
      <w:marLeft w:val="0"/>
      <w:marRight w:val="0"/>
      <w:marTop w:val="0"/>
      <w:marBottom w:val="0"/>
      <w:divBdr>
        <w:top w:val="none" w:sz="0" w:space="0" w:color="auto"/>
        <w:left w:val="none" w:sz="0" w:space="0" w:color="auto"/>
        <w:bottom w:val="none" w:sz="0" w:space="0" w:color="auto"/>
        <w:right w:val="none" w:sz="0" w:space="0" w:color="auto"/>
      </w:divBdr>
      <w:divsChild>
        <w:div w:id="1264261375">
          <w:marLeft w:val="0"/>
          <w:marRight w:val="0"/>
          <w:marTop w:val="0"/>
          <w:marBottom w:val="0"/>
          <w:divBdr>
            <w:top w:val="none" w:sz="0" w:space="0" w:color="auto"/>
            <w:left w:val="none" w:sz="0" w:space="0" w:color="auto"/>
            <w:bottom w:val="none" w:sz="0" w:space="0" w:color="auto"/>
            <w:right w:val="none" w:sz="0" w:space="0" w:color="auto"/>
          </w:divBdr>
          <w:divsChild>
            <w:div w:id="15891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H:\2.%20RRTTS-G-UDAYAGIRI\2024-2025\Ragi%20Garden%20pea%20sysytem%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2.%20RRTTS-G-UDAYAGIRI\2024-2025\Ragi%20Garden%20pea%20sysytem%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4452945209901"/>
          <c:y val="0.13211148392318198"/>
          <c:w val="0.66733309198419166"/>
          <c:h val="0.65612795638114296"/>
        </c:manualLayout>
      </c:layout>
      <c:areaChart>
        <c:grouping val="standard"/>
        <c:varyColors val="0"/>
        <c:ser>
          <c:idx val="1"/>
          <c:order val="1"/>
          <c:tx>
            <c:strRef>
              <c:f>Sheet2!$M$23</c:f>
              <c:strCache>
                <c:ptCount val="1"/>
                <c:pt idx="0">
                  <c:v>Normal rainfall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numRef>
              <c:f>Sheet2!$K$24:$K$38</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Sheet2!$M$24:$M$38</c:f>
              <c:numCache>
                <c:formatCode>General</c:formatCode>
                <c:ptCount val="15"/>
                <c:pt idx="0">
                  <c:v>12.4</c:v>
                </c:pt>
                <c:pt idx="1">
                  <c:v>19.5</c:v>
                </c:pt>
                <c:pt idx="2">
                  <c:v>24.5</c:v>
                </c:pt>
                <c:pt idx="3">
                  <c:v>47</c:v>
                </c:pt>
                <c:pt idx="4">
                  <c:v>77.900000000000006</c:v>
                </c:pt>
                <c:pt idx="5">
                  <c:v>198.1</c:v>
                </c:pt>
                <c:pt idx="6">
                  <c:v>333.6</c:v>
                </c:pt>
                <c:pt idx="7">
                  <c:v>362.2</c:v>
                </c:pt>
                <c:pt idx="8">
                  <c:v>263.39999999999998</c:v>
                </c:pt>
                <c:pt idx="9">
                  <c:v>133.1</c:v>
                </c:pt>
                <c:pt idx="10">
                  <c:v>29.8</c:v>
                </c:pt>
                <c:pt idx="11">
                  <c:v>7.3</c:v>
                </c:pt>
                <c:pt idx="12">
                  <c:v>12.4</c:v>
                </c:pt>
                <c:pt idx="13">
                  <c:v>19.5</c:v>
                </c:pt>
                <c:pt idx="14">
                  <c:v>24.5</c:v>
                </c:pt>
              </c:numCache>
            </c:numRef>
          </c:val>
          <c:extLst>
            <c:ext xmlns:c16="http://schemas.microsoft.com/office/drawing/2014/chart" uri="{C3380CC4-5D6E-409C-BE32-E72D297353CC}">
              <c16:uniqueId val="{00000000-A41F-4ECA-8F8F-2C2663C7B796}"/>
            </c:ext>
          </c:extLst>
        </c:ser>
        <c:dLbls>
          <c:showLegendKey val="0"/>
          <c:showVal val="0"/>
          <c:showCatName val="0"/>
          <c:showSerName val="0"/>
          <c:showPercent val="0"/>
          <c:showBubbleSize val="0"/>
        </c:dLbls>
        <c:axId val="2057689920"/>
        <c:axId val="2057671616"/>
      </c:areaChart>
      <c:barChart>
        <c:barDir val="col"/>
        <c:grouping val="clustered"/>
        <c:varyColors val="0"/>
        <c:ser>
          <c:idx val="0"/>
          <c:order val="0"/>
          <c:tx>
            <c:strRef>
              <c:f>Sheet2!$L$23</c:f>
              <c:strCache>
                <c:ptCount val="1"/>
                <c:pt idx="0">
                  <c:v>Rainfall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Sheet2!$K$24:$K$38</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Sheet2!$L$24:$L$38</c:f>
              <c:numCache>
                <c:formatCode>General</c:formatCode>
                <c:ptCount val="15"/>
                <c:pt idx="0">
                  <c:v>10</c:v>
                </c:pt>
                <c:pt idx="1">
                  <c:v>14.6</c:v>
                </c:pt>
                <c:pt idx="2">
                  <c:v>44.4</c:v>
                </c:pt>
                <c:pt idx="3">
                  <c:v>17.2</c:v>
                </c:pt>
                <c:pt idx="4">
                  <c:v>108.4</c:v>
                </c:pt>
                <c:pt idx="5">
                  <c:v>194.6</c:v>
                </c:pt>
                <c:pt idx="6">
                  <c:v>179</c:v>
                </c:pt>
                <c:pt idx="7">
                  <c:v>171.4</c:v>
                </c:pt>
                <c:pt idx="8">
                  <c:v>242.8</c:v>
                </c:pt>
                <c:pt idx="9">
                  <c:v>51.2</c:v>
                </c:pt>
                <c:pt idx="10">
                  <c:v>5</c:v>
                </c:pt>
                <c:pt idx="11">
                  <c:v>90</c:v>
                </c:pt>
                <c:pt idx="12">
                  <c:v>0</c:v>
                </c:pt>
                <c:pt idx="13">
                  <c:v>0</c:v>
                </c:pt>
                <c:pt idx="14">
                  <c:v>43.8</c:v>
                </c:pt>
              </c:numCache>
            </c:numRef>
          </c:val>
          <c:extLst>
            <c:ext xmlns:c16="http://schemas.microsoft.com/office/drawing/2014/chart" uri="{C3380CC4-5D6E-409C-BE32-E72D297353CC}">
              <c16:uniqueId val="{00000001-A41F-4ECA-8F8F-2C2663C7B796}"/>
            </c:ext>
          </c:extLst>
        </c:ser>
        <c:dLbls>
          <c:showLegendKey val="0"/>
          <c:showVal val="0"/>
          <c:showCatName val="0"/>
          <c:showSerName val="0"/>
          <c:showPercent val="0"/>
          <c:showBubbleSize val="0"/>
        </c:dLbls>
        <c:gapWidth val="219"/>
        <c:overlap val="-27"/>
        <c:axId val="2057689920"/>
        <c:axId val="2057671616"/>
      </c:barChart>
      <c:lineChart>
        <c:grouping val="standard"/>
        <c:varyColors val="0"/>
        <c:ser>
          <c:idx val="2"/>
          <c:order val="2"/>
          <c:tx>
            <c:strRef>
              <c:f>Sheet2!$N$23</c:f>
              <c:strCache>
                <c:ptCount val="1"/>
                <c:pt idx="0">
                  <c:v>No of Rainy Days</c:v>
                </c:pt>
              </c:strCache>
            </c:strRef>
          </c:tx>
          <c:spPr>
            <a:ln w="31750" cap="rnd">
              <a:solidFill>
                <a:srgbClr val="00B050"/>
              </a:solidFill>
              <a:round/>
            </a:ln>
            <a:effectLst/>
          </c:spPr>
          <c:marker>
            <c:symbol val="circle"/>
            <c:size val="6"/>
            <c:spPr>
              <a:solidFill>
                <a:srgbClr val="00B050"/>
              </a:solidFill>
              <a:ln w="12700">
                <a:solidFill>
                  <a:schemeClr val="lt2"/>
                </a:solidFill>
                <a:round/>
              </a:ln>
              <a:effectLst/>
            </c:spPr>
          </c:marker>
          <c:cat>
            <c:numRef>
              <c:f>Sheet2!$K$24:$K$38</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Sheet2!$N$24:$N$38</c:f>
              <c:numCache>
                <c:formatCode>General</c:formatCode>
                <c:ptCount val="15"/>
                <c:pt idx="0">
                  <c:v>3</c:v>
                </c:pt>
                <c:pt idx="1">
                  <c:v>1</c:v>
                </c:pt>
                <c:pt idx="2">
                  <c:v>2</c:v>
                </c:pt>
                <c:pt idx="3">
                  <c:v>3</c:v>
                </c:pt>
                <c:pt idx="4">
                  <c:v>11</c:v>
                </c:pt>
                <c:pt idx="5">
                  <c:v>12</c:v>
                </c:pt>
                <c:pt idx="6">
                  <c:v>17</c:v>
                </c:pt>
                <c:pt idx="7">
                  <c:v>12</c:v>
                </c:pt>
                <c:pt idx="8">
                  <c:v>13</c:v>
                </c:pt>
                <c:pt idx="9">
                  <c:v>5</c:v>
                </c:pt>
                <c:pt idx="10">
                  <c:v>1</c:v>
                </c:pt>
                <c:pt idx="11">
                  <c:v>6</c:v>
                </c:pt>
                <c:pt idx="12">
                  <c:v>0</c:v>
                </c:pt>
                <c:pt idx="13">
                  <c:v>0</c:v>
                </c:pt>
                <c:pt idx="14">
                  <c:v>1</c:v>
                </c:pt>
              </c:numCache>
            </c:numRef>
          </c:val>
          <c:smooth val="0"/>
          <c:extLst>
            <c:ext xmlns:c16="http://schemas.microsoft.com/office/drawing/2014/chart" uri="{C3380CC4-5D6E-409C-BE32-E72D297353CC}">
              <c16:uniqueId val="{00000002-A41F-4ECA-8F8F-2C2663C7B796}"/>
            </c:ext>
          </c:extLst>
        </c:ser>
        <c:dLbls>
          <c:showLegendKey val="0"/>
          <c:showVal val="0"/>
          <c:showCatName val="0"/>
          <c:showSerName val="0"/>
          <c:showPercent val="0"/>
          <c:showBubbleSize val="0"/>
        </c:dLbls>
        <c:marker val="1"/>
        <c:smooth val="0"/>
        <c:axId val="1950183600"/>
        <c:axId val="1950181936"/>
      </c:lineChart>
      <c:dateAx>
        <c:axId val="2057689920"/>
        <c:scaling>
          <c:orientation val="minMax"/>
        </c:scaling>
        <c:delete val="0"/>
        <c:axPos val="b"/>
        <c:numFmt formatCode="mmm\-yy"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57671616"/>
        <c:crosses val="autoZero"/>
        <c:auto val="1"/>
        <c:lblOffset val="100"/>
        <c:baseTimeUnit val="months"/>
      </c:dateAx>
      <c:valAx>
        <c:axId val="2057671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000" b="0"/>
                  <a:t>Rain fall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057689920"/>
        <c:crosses val="autoZero"/>
        <c:crossBetween val="between"/>
      </c:valAx>
      <c:valAx>
        <c:axId val="19501819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000" b="0"/>
                  <a:t>Rainy 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950183600"/>
        <c:crosses val="max"/>
        <c:crossBetween val="between"/>
      </c:valAx>
      <c:dateAx>
        <c:axId val="1950183600"/>
        <c:scaling>
          <c:orientation val="minMax"/>
        </c:scaling>
        <c:delete val="1"/>
        <c:axPos val="b"/>
        <c:numFmt formatCode="mmm\-yy" sourceLinked="1"/>
        <c:majorTickMark val="out"/>
        <c:minorTickMark val="none"/>
        <c:tickLblPos val="nextTo"/>
        <c:crossAx val="1950181936"/>
        <c:crosses val="autoZero"/>
        <c:auto val="1"/>
        <c:lblOffset val="100"/>
        <c:baseTimeUnit val="months"/>
      </c:dateAx>
      <c:spPr>
        <a:noFill/>
        <a:ln>
          <a:noFill/>
        </a:ln>
        <a:effectLst/>
      </c:spPr>
    </c:plotArea>
    <c:legend>
      <c:legendPos val="t"/>
      <c:layout>
        <c:manualLayout>
          <c:xMode val="edge"/>
          <c:yMode val="edge"/>
          <c:x val="4.6424828475387946E-2"/>
          <c:y val="2.2922320880102754E-2"/>
          <c:w val="0.91739463601532567"/>
          <c:h val="0.1013882839113196"/>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4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4858183049702"/>
          <c:y val="0.21278147923817214"/>
          <c:w val="0.76570916440323011"/>
          <c:h val="0.56386297866612833"/>
        </c:manualLayout>
      </c:layout>
      <c:lineChart>
        <c:grouping val="standard"/>
        <c:varyColors val="0"/>
        <c:ser>
          <c:idx val="0"/>
          <c:order val="0"/>
          <c:tx>
            <c:strRef>
              <c:f>Sheet2!$H$4:$H$5</c:f>
              <c:strCache>
                <c:ptCount val="2"/>
                <c:pt idx="0">
                  <c:v>Temperature deg C</c:v>
                </c:pt>
                <c:pt idx="1">
                  <c:v>Max</c:v>
                </c:pt>
              </c:strCache>
            </c:strRef>
          </c:tx>
          <c:spPr>
            <a:ln w="28575" cap="rnd">
              <a:solidFill>
                <a:schemeClr val="accent1"/>
              </a:solidFill>
              <a:round/>
            </a:ln>
            <a:effectLst/>
          </c:spPr>
          <c:marker>
            <c:symbol val="circle"/>
            <c:size val="5"/>
            <c:spPr>
              <a:solidFill>
                <a:schemeClr val="accent1"/>
              </a:solidFill>
              <a:ln w="9525">
                <a:solidFill>
                  <a:schemeClr val="accent2">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Sheet2!$G$6:$G$20</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Sheet2!$H$6:$H$20</c:f>
              <c:numCache>
                <c:formatCode>General</c:formatCode>
                <c:ptCount val="15"/>
                <c:pt idx="0">
                  <c:v>25.2</c:v>
                </c:pt>
                <c:pt idx="1">
                  <c:v>29.1</c:v>
                </c:pt>
                <c:pt idx="2">
                  <c:v>31.9</c:v>
                </c:pt>
                <c:pt idx="3">
                  <c:v>36.200000000000003</c:v>
                </c:pt>
                <c:pt idx="4">
                  <c:v>35.299999999999997</c:v>
                </c:pt>
                <c:pt idx="5">
                  <c:v>33.9</c:v>
                </c:pt>
                <c:pt idx="6">
                  <c:v>29.1</c:v>
                </c:pt>
                <c:pt idx="7">
                  <c:v>29.4</c:v>
                </c:pt>
                <c:pt idx="8">
                  <c:v>29.5</c:v>
                </c:pt>
                <c:pt idx="9">
                  <c:v>30.1</c:v>
                </c:pt>
                <c:pt idx="10">
                  <c:v>27.4</c:v>
                </c:pt>
                <c:pt idx="11">
                  <c:v>25.6</c:v>
                </c:pt>
                <c:pt idx="12">
                  <c:v>27.2</c:v>
                </c:pt>
                <c:pt idx="13">
                  <c:v>31.4</c:v>
                </c:pt>
                <c:pt idx="14">
                  <c:v>34</c:v>
                </c:pt>
              </c:numCache>
            </c:numRef>
          </c:val>
          <c:smooth val="0"/>
          <c:extLst>
            <c:ext xmlns:c16="http://schemas.microsoft.com/office/drawing/2014/chart" uri="{C3380CC4-5D6E-409C-BE32-E72D297353CC}">
              <c16:uniqueId val="{00000000-EC0A-47EC-8D98-2B2BEDB293A6}"/>
            </c:ext>
          </c:extLst>
        </c:ser>
        <c:ser>
          <c:idx val="1"/>
          <c:order val="1"/>
          <c:tx>
            <c:strRef>
              <c:f>Sheet2!$I$4:$I$5</c:f>
              <c:strCache>
                <c:ptCount val="2"/>
                <c:pt idx="0">
                  <c:v>Temperature deg C</c:v>
                </c:pt>
                <c:pt idx="1">
                  <c:v>Min</c:v>
                </c:pt>
              </c:strCache>
            </c:strRef>
          </c:tx>
          <c:spPr>
            <a:ln w="28575" cap="rnd">
              <a:solidFill>
                <a:schemeClr val="accent2"/>
              </a:solidFill>
              <a:round/>
            </a:ln>
            <a:effectLst/>
          </c:spPr>
          <c:marker>
            <c:symbol val="circle"/>
            <c:size val="5"/>
            <c:spPr>
              <a:solidFill>
                <a:srgbClr val="002060"/>
              </a:solidFill>
              <a:ln w="9525">
                <a:solidFill>
                  <a:schemeClr val="accent2"/>
                </a:solidFill>
              </a:ln>
              <a:effectLst/>
            </c:spPr>
          </c:marker>
          <c:dPt>
            <c:idx val="11"/>
            <c:marker>
              <c:symbol val="circle"/>
              <c:size val="5"/>
              <c:spPr>
                <a:solidFill>
                  <a:srgbClr val="002060"/>
                </a:solidFill>
                <a:ln w="9525">
                  <a:solidFill>
                    <a:schemeClr val="accent2"/>
                  </a:solidFill>
                </a:ln>
                <a:effectLst/>
              </c:spPr>
            </c:marker>
            <c:bubble3D val="0"/>
            <c:extLst>
              <c:ext xmlns:c16="http://schemas.microsoft.com/office/drawing/2014/chart" uri="{C3380CC4-5D6E-409C-BE32-E72D297353CC}">
                <c16:uniqueId val="{00000001-EC0A-47EC-8D98-2B2BEDB293A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Sheet2!$G$6:$G$20</c:f>
              <c:numCache>
                <c:formatCode>mmm\-yy</c:formatCode>
                <c:ptCount val="15"/>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numCache>
            </c:numRef>
          </c:cat>
          <c:val>
            <c:numRef>
              <c:f>Sheet2!$I$6:$I$20</c:f>
              <c:numCache>
                <c:formatCode>General</c:formatCode>
                <c:ptCount val="15"/>
                <c:pt idx="0">
                  <c:v>10.6</c:v>
                </c:pt>
                <c:pt idx="1">
                  <c:v>12.7</c:v>
                </c:pt>
                <c:pt idx="2">
                  <c:v>16.600000000000001</c:v>
                </c:pt>
                <c:pt idx="3">
                  <c:v>18.8</c:v>
                </c:pt>
                <c:pt idx="4">
                  <c:v>21.3</c:v>
                </c:pt>
                <c:pt idx="5">
                  <c:v>22.7</c:v>
                </c:pt>
                <c:pt idx="6">
                  <c:v>22.7</c:v>
                </c:pt>
                <c:pt idx="7">
                  <c:v>22.2</c:v>
                </c:pt>
                <c:pt idx="8">
                  <c:v>21.6</c:v>
                </c:pt>
                <c:pt idx="9">
                  <c:v>19.5</c:v>
                </c:pt>
                <c:pt idx="10">
                  <c:v>11.9</c:v>
                </c:pt>
                <c:pt idx="11">
                  <c:v>12.8</c:v>
                </c:pt>
                <c:pt idx="12">
                  <c:v>7.1</c:v>
                </c:pt>
                <c:pt idx="13">
                  <c:v>11.9</c:v>
                </c:pt>
                <c:pt idx="14">
                  <c:v>13.8</c:v>
                </c:pt>
              </c:numCache>
            </c:numRef>
          </c:val>
          <c:smooth val="0"/>
          <c:extLst>
            <c:ext xmlns:c16="http://schemas.microsoft.com/office/drawing/2014/chart" uri="{C3380CC4-5D6E-409C-BE32-E72D297353CC}">
              <c16:uniqueId val="{00000002-EC0A-47EC-8D98-2B2BEDB293A6}"/>
            </c:ext>
          </c:extLst>
        </c:ser>
        <c:dLbls>
          <c:dLblPos val="t"/>
          <c:showLegendKey val="0"/>
          <c:showVal val="1"/>
          <c:showCatName val="0"/>
          <c:showSerName val="0"/>
          <c:showPercent val="0"/>
          <c:showBubbleSize val="0"/>
        </c:dLbls>
        <c:marker val="1"/>
        <c:smooth val="0"/>
        <c:axId val="1953023792"/>
        <c:axId val="1953021712"/>
      </c:lineChart>
      <c:dateAx>
        <c:axId val="1953023792"/>
        <c:scaling>
          <c:orientation val="minMax"/>
        </c:scaling>
        <c:delete val="0"/>
        <c:axPos val="b"/>
        <c:numFmt formatCode="mmm\-yy"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953021712"/>
        <c:crosses val="autoZero"/>
        <c:auto val="1"/>
        <c:lblOffset val="100"/>
        <c:baseTimeUnit val="months"/>
      </c:dateAx>
      <c:valAx>
        <c:axId val="195302171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sz="900"/>
                  <a:t>Average Temparature</a:t>
                </a:r>
              </a:p>
            </c:rich>
          </c:tx>
          <c:layout>
            <c:manualLayout>
              <c:xMode val="edge"/>
              <c:yMode val="edge"/>
              <c:x val="1.0086516963157384E-2"/>
              <c:y val="0.192795822397200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530237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10788857844382356"/>
          <c:y val="1.8241335217713171E-2"/>
          <c:w val="0.80109961864523027"/>
          <c:h val="0.1208816639855501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1F2A0-AB26-46C2-9AC4-07B7714C8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9</Pages>
  <Words>2973</Words>
  <Characters>16948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dc:creator>
  <cp:keywords/>
  <dc:description/>
  <cp:lastModifiedBy>SDI 1084</cp:lastModifiedBy>
  <cp:revision>47</cp:revision>
  <dcterms:created xsi:type="dcterms:W3CDTF">2025-07-01T06:48:00Z</dcterms:created>
  <dcterms:modified xsi:type="dcterms:W3CDTF">2025-08-08T12:42:00Z</dcterms:modified>
</cp:coreProperties>
</file>