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7BBDC1" w14:textId="77777777" w:rsidR="00DA6998" w:rsidRPr="00BB3F19" w:rsidRDefault="00381E69" w:rsidP="00BB3F19">
      <w:pPr>
        <w:jc w:val="right"/>
        <w:rPr>
          <w:rFonts w:ascii="Arial" w:hAnsi="Arial" w:cs="Arial"/>
          <w:b/>
          <w:sz w:val="36"/>
          <w:szCs w:val="36"/>
        </w:rPr>
      </w:pPr>
      <w:r w:rsidRPr="00BB3F19">
        <w:rPr>
          <w:rFonts w:ascii="Arial" w:hAnsi="Arial" w:cs="Arial"/>
          <w:b/>
          <w:sz w:val="36"/>
          <w:szCs w:val="36"/>
        </w:rPr>
        <w:t>Distribution and Occurrences of Parasitic Nematodes Associated with Beans (</w:t>
      </w:r>
      <w:r w:rsidRPr="00BB3F19">
        <w:rPr>
          <w:rFonts w:ascii="Arial" w:hAnsi="Arial" w:cs="Arial"/>
          <w:i/>
          <w:sz w:val="36"/>
          <w:szCs w:val="36"/>
        </w:rPr>
        <w:t>Phaseolus vulgaris</w:t>
      </w:r>
      <w:r w:rsidRPr="00BB3F19">
        <w:rPr>
          <w:rFonts w:ascii="Arial" w:hAnsi="Arial" w:cs="Arial"/>
          <w:b/>
          <w:sz w:val="36"/>
          <w:szCs w:val="36"/>
        </w:rPr>
        <w:t xml:space="preserve"> </w:t>
      </w:r>
      <w:r w:rsidRPr="00765569">
        <w:rPr>
          <w:rFonts w:ascii="Arial" w:hAnsi="Arial" w:cs="Arial"/>
          <w:sz w:val="36"/>
          <w:szCs w:val="36"/>
        </w:rPr>
        <w:t>L.</w:t>
      </w:r>
      <w:r w:rsidRPr="00BB3F19">
        <w:rPr>
          <w:rFonts w:ascii="Arial" w:hAnsi="Arial" w:cs="Arial"/>
          <w:b/>
          <w:sz w:val="36"/>
          <w:szCs w:val="36"/>
        </w:rPr>
        <w:t>) in the Sotuba Market Gardening Area in Mali</w:t>
      </w:r>
    </w:p>
    <w:p w14:paraId="47F04E27" w14:textId="77777777" w:rsidR="00E26588" w:rsidRDefault="00E26588" w:rsidP="00381E69"/>
    <w:bookmarkStart w:id="0" w:name="_GoBack"/>
    <w:bookmarkEnd w:id="0"/>
    <w:p w14:paraId="159135D5" w14:textId="68F31C16" w:rsidR="00336254" w:rsidRDefault="00336254" w:rsidP="00381E69">
      <w:r>
        <w:rPr>
          <w:rFonts w:ascii="Arial" w:hAnsi="Arial" w:cs="Arial"/>
          <w:noProof/>
          <w:lang w:eastAsia="fr-FR"/>
        </w:rPr>
        <mc:AlternateContent>
          <mc:Choice Requires="wps">
            <w:drawing>
              <wp:inline distT="0" distB="0" distL="0" distR="0" wp14:anchorId="2B6D0AF9" wp14:editId="114AAE2E">
                <wp:extent cx="5715000" cy="45719"/>
                <wp:effectExtent l="0" t="0" r="19050" b="3111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457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B072F11" id="_x0000_t32" coordsize="21600,21600" o:spt="32" o:oned="t" path="m,l21600,21600e" filled="f">
                <v:path arrowok="t" fillok="f" o:connecttype="none"/>
                <o:lock v:ext="edit" shapetype="t"/>
              </v:shapetype>
              <v:shape id="AutoShape 2" o:spid="_x0000_s1026" type="#_x0000_t32" style="width:450pt;height:3.6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" strokeweight="1.5pt">
                <w10:anchorlock/>
              </v:shape>
            </w:pict>
          </mc:Fallback>
        </mc:AlternateContent>
      </w:r>
    </w:p>
    <w:p w14:paraId="7ECAFA27" w14:textId="77777777" w:rsidR="00951BF1" w:rsidRPr="00951BF1" w:rsidRDefault="00951BF1" w:rsidP="00951BF1">
      <w:pPr>
        <w:jc w:val="both"/>
        <w:rPr>
          <w:rFonts w:ascii="Arial" w:hAnsi="Arial" w:cs="Arial"/>
          <w:b/>
        </w:rPr>
      </w:pPr>
      <w:r w:rsidRPr="00951BF1">
        <w:rPr>
          <w:rFonts w:ascii="Arial" w:hAnsi="Arial" w:cs="Arial"/>
          <w:b/>
        </w:rPr>
        <w:t xml:space="preserve">ABSTRACT </w:t>
      </w:r>
    </w:p>
    <w:p w14:paraId="4BEB98D6" w14:textId="77777777" w:rsidR="00951BF1" w:rsidRPr="00096ACB" w:rsidRDefault="00951BF1" w:rsidP="00286EFF">
      <w:pPr>
        <w:pBdr>
          <w:top w:val="single" w:sz="12" w:space="1" w:color="auto"/>
          <w:left w:val="single" w:sz="12" w:space="4" w:color="auto"/>
          <w:bottom w:val="single" w:sz="12" w:space="1" w:color="auto"/>
          <w:right w:val="single" w:sz="12" w:space="4" w:color="auto"/>
        </w:pBdr>
        <w:spacing w:after="0"/>
        <w:jc w:val="both"/>
        <w:rPr>
          <w:rFonts w:ascii="Arial" w:hAnsi="Arial" w:cs="Arial"/>
          <w:sz w:val="20"/>
          <w:szCs w:val="20"/>
        </w:rPr>
      </w:pPr>
      <w:r w:rsidRPr="00096ACB">
        <w:rPr>
          <w:rFonts w:ascii="Arial" w:hAnsi="Arial" w:cs="Arial"/>
          <w:sz w:val="20"/>
          <w:szCs w:val="20"/>
        </w:rPr>
        <w:t>A nematological faunistic study was carried out on common bean plots in Bamako between June and September 2023. It took place on the experimental plots of the fruit and v</w:t>
      </w:r>
      <w:r w:rsidR="00E13D43">
        <w:rPr>
          <w:rFonts w:ascii="Arial" w:hAnsi="Arial" w:cs="Arial"/>
          <w:sz w:val="20"/>
          <w:szCs w:val="20"/>
        </w:rPr>
        <w:t>egetable program of the Sotuba Agricultural Research C</w:t>
      </w:r>
      <w:r w:rsidRPr="00096ACB">
        <w:rPr>
          <w:rFonts w:ascii="Arial" w:hAnsi="Arial" w:cs="Arial"/>
          <w:sz w:val="20"/>
          <w:szCs w:val="20"/>
        </w:rPr>
        <w:t xml:space="preserve">enter. The objective of the study was to identify the occurrence of nematode genera associated with beans. Two varieties of beans were </w:t>
      </w:r>
      <w:proofErr w:type="gramStart"/>
      <w:r w:rsidRPr="00096ACB">
        <w:rPr>
          <w:rFonts w:ascii="Arial" w:hAnsi="Arial" w:cs="Arial"/>
          <w:sz w:val="20"/>
          <w:szCs w:val="20"/>
        </w:rPr>
        <w:t>concerned:</w:t>
      </w:r>
      <w:proofErr w:type="gramEnd"/>
      <w:r w:rsidRPr="00096ACB">
        <w:rPr>
          <w:rFonts w:ascii="Arial" w:hAnsi="Arial" w:cs="Arial"/>
          <w:sz w:val="20"/>
          <w:szCs w:val="20"/>
        </w:rPr>
        <w:t xml:space="preserve"> Blanc de Kati and GLP. The trials were set up on two 400m</w:t>
      </w:r>
      <w:r w:rsidRPr="00E13D43">
        <w:rPr>
          <w:rFonts w:ascii="Arial" w:hAnsi="Arial" w:cs="Arial"/>
          <w:sz w:val="20"/>
          <w:szCs w:val="20"/>
          <w:vertAlign w:val="superscript"/>
        </w:rPr>
        <w:t>2</w:t>
      </w:r>
      <w:r w:rsidRPr="00096ACB">
        <w:rPr>
          <w:rFonts w:ascii="Arial" w:hAnsi="Arial" w:cs="Arial"/>
          <w:sz w:val="20"/>
          <w:szCs w:val="20"/>
        </w:rPr>
        <w:t xml:space="preserve"> plots and ten samples were taken using a systematic method using an auger. In the laboratory, two extraction techniques were </w:t>
      </w:r>
      <w:proofErr w:type="gramStart"/>
      <w:r w:rsidRPr="00096ACB">
        <w:rPr>
          <w:rFonts w:ascii="Arial" w:hAnsi="Arial" w:cs="Arial"/>
          <w:sz w:val="20"/>
          <w:szCs w:val="20"/>
        </w:rPr>
        <w:t>used:</w:t>
      </w:r>
      <w:proofErr w:type="gramEnd"/>
      <w:r w:rsidRPr="00096ACB">
        <w:rPr>
          <w:rFonts w:ascii="Arial" w:hAnsi="Arial" w:cs="Arial"/>
          <w:sz w:val="20"/>
          <w:szCs w:val="20"/>
        </w:rPr>
        <w:t xml:space="preserve"> sieving and the modified Baermann technique. Plant-parasitic nematodes were observed and identified under an optical microscope at 400x magnification. The observations revealed the presence of 8 genera of nematodes in the soil and 6 in the roots. The genera found in the soil </w:t>
      </w:r>
      <w:proofErr w:type="gramStart"/>
      <w:r w:rsidRPr="00096ACB">
        <w:rPr>
          <w:rFonts w:ascii="Arial" w:hAnsi="Arial" w:cs="Arial"/>
          <w:sz w:val="20"/>
          <w:szCs w:val="20"/>
        </w:rPr>
        <w:t>are:</w:t>
      </w:r>
      <w:proofErr w:type="gramEnd"/>
      <w:r w:rsidRPr="00096ACB">
        <w:rPr>
          <w:rFonts w:ascii="Arial" w:hAnsi="Arial" w:cs="Arial"/>
          <w:sz w:val="20"/>
          <w:szCs w:val="20"/>
        </w:rPr>
        <w:t xml:space="preserve"> </w:t>
      </w:r>
      <w:r w:rsidRPr="00E13D43">
        <w:rPr>
          <w:rFonts w:ascii="Arial" w:hAnsi="Arial" w:cs="Arial"/>
          <w:i/>
          <w:sz w:val="20"/>
          <w:szCs w:val="20"/>
        </w:rPr>
        <w:t xml:space="preserve">Scutellonema, Tylenchorhynchus, Paratylenchus, Helicotylenchus, Meloidogyne, Pratylenchus Criconemella </w:t>
      </w:r>
      <w:r w:rsidRPr="00E13D43">
        <w:rPr>
          <w:rFonts w:ascii="Arial" w:hAnsi="Arial" w:cs="Arial"/>
          <w:sz w:val="20"/>
          <w:szCs w:val="20"/>
        </w:rPr>
        <w:t>and</w:t>
      </w:r>
      <w:r w:rsidRPr="00E13D43">
        <w:rPr>
          <w:rFonts w:ascii="Arial" w:hAnsi="Arial" w:cs="Arial"/>
          <w:i/>
          <w:sz w:val="20"/>
          <w:szCs w:val="20"/>
        </w:rPr>
        <w:t xml:space="preserve"> Hoplolaimus)</w:t>
      </w:r>
      <w:r w:rsidRPr="00096ACB">
        <w:rPr>
          <w:rFonts w:ascii="Arial" w:hAnsi="Arial" w:cs="Arial"/>
          <w:sz w:val="20"/>
          <w:szCs w:val="20"/>
        </w:rPr>
        <w:t xml:space="preserve">. Those found in the roots were </w:t>
      </w:r>
      <w:r w:rsidRPr="00E13D43">
        <w:rPr>
          <w:rFonts w:ascii="Arial" w:hAnsi="Arial" w:cs="Arial"/>
          <w:i/>
          <w:sz w:val="20"/>
          <w:szCs w:val="20"/>
        </w:rPr>
        <w:t xml:space="preserve">Scutellonema, Paratylenchus, Helicotylenchus, Meloidogyne, Heterodera </w:t>
      </w:r>
      <w:r w:rsidRPr="00E13D43">
        <w:rPr>
          <w:rFonts w:ascii="Arial" w:hAnsi="Arial" w:cs="Arial"/>
          <w:sz w:val="20"/>
          <w:szCs w:val="20"/>
        </w:rPr>
        <w:t>and</w:t>
      </w:r>
      <w:r w:rsidRPr="00E13D43">
        <w:rPr>
          <w:rFonts w:ascii="Arial" w:hAnsi="Arial" w:cs="Arial"/>
          <w:i/>
          <w:sz w:val="20"/>
          <w:szCs w:val="20"/>
        </w:rPr>
        <w:t xml:space="preserve"> Pratylenchus</w:t>
      </w:r>
      <w:r w:rsidRPr="00096ACB">
        <w:rPr>
          <w:rFonts w:ascii="Arial" w:hAnsi="Arial" w:cs="Arial"/>
          <w:sz w:val="20"/>
          <w:szCs w:val="20"/>
        </w:rPr>
        <w:t xml:space="preserve">). The analysis of the results shows that the genera </w:t>
      </w:r>
      <w:r w:rsidRPr="00E13D43">
        <w:rPr>
          <w:rFonts w:ascii="Arial" w:hAnsi="Arial" w:cs="Arial"/>
          <w:i/>
          <w:sz w:val="20"/>
          <w:szCs w:val="20"/>
        </w:rPr>
        <w:t xml:space="preserve">Pratylenchus Tylenchorhynchus </w:t>
      </w:r>
      <w:r w:rsidRPr="00E13D43">
        <w:rPr>
          <w:rFonts w:ascii="Arial" w:hAnsi="Arial" w:cs="Arial"/>
          <w:sz w:val="20"/>
          <w:szCs w:val="20"/>
        </w:rPr>
        <w:t>and</w:t>
      </w:r>
      <w:r w:rsidRPr="00E13D43">
        <w:rPr>
          <w:rFonts w:ascii="Arial" w:hAnsi="Arial" w:cs="Arial"/>
          <w:i/>
          <w:sz w:val="20"/>
          <w:szCs w:val="20"/>
        </w:rPr>
        <w:t xml:space="preserve"> Helicotylenchus</w:t>
      </w:r>
      <w:r w:rsidRPr="00096ACB">
        <w:rPr>
          <w:rFonts w:ascii="Arial" w:hAnsi="Arial" w:cs="Arial"/>
          <w:sz w:val="20"/>
          <w:szCs w:val="20"/>
        </w:rPr>
        <w:t xml:space="preserve"> are the most important with 69% of the nematodes identified. Among the nematodes identified were species dangerous for crops in general, including </w:t>
      </w:r>
      <w:r w:rsidRPr="00E13D43">
        <w:rPr>
          <w:rFonts w:ascii="Arial" w:hAnsi="Arial" w:cs="Arial"/>
          <w:i/>
          <w:sz w:val="20"/>
          <w:szCs w:val="20"/>
        </w:rPr>
        <w:t>Meloidogyne</w:t>
      </w:r>
      <w:r w:rsidRPr="00096ACB">
        <w:rPr>
          <w:rFonts w:ascii="Arial" w:hAnsi="Arial" w:cs="Arial"/>
          <w:sz w:val="20"/>
          <w:szCs w:val="20"/>
        </w:rPr>
        <w:t>. This study demonstrates the need to monitor pest thresholds to prevent extreme outbreaks that can cause significant yield declines.</w:t>
      </w:r>
    </w:p>
    <w:p w14:paraId="28532E86" w14:textId="77777777" w:rsidR="00951BF1" w:rsidRPr="00951BF1" w:rsidRDefault="00951BF1" w:rsidP="00E13D43">
      <w:pPr>
        <w:spacing w:after="0"/>
        <w:rPr>
          <w:rFonts w:ascii="Arial" w:hAnsi="Arial" w:cs="Arial"/>
        </w:rPr>
      </w:pPr>
      <w:proofErr w:type="gramStart"/>
      <w:r w:rsidRPr="00E13D43">
        <w:rPr>
          <w:rFonts w:ascii="Arial" w:hAnsi="Arial" w:cs="Arial"/>
          <w:b/>
          <w:i/>
          <w:sz w:val="20"/>
          <w:szCs w:val="20"/>
        </w:rPr>
        <w:t>Keywords:</w:t>
      </w:r>
      <w:proofErr w:type="gramEnd"/>
      <w:r w:rsidRPr="00951BF1">
        <w:rPr>
          <w:rFonts w:ascii="Arial" w:hAnsi="Arial" w:cs="Arial"/>
        </w:rPr>
        <w:t xml:space="preserve"> </w:t>
      </w:r>
      <w:r w:rsidRPr="00096ACB">
        <w:rPr>
          <w:rFonts w:ascii="Arial" w:hAnsi="Arial" w:cs="Arial"/>
          <w:i/>
          <w:sz w:val="20"/>
          <w:szCs w:val="20"/>
        </w:rPr>
        <w:t>Occurrence, parasitic nematodes, Phaseolus vulgaris, densities, Sotuba</w:t>
      </w:r>
    </w:p>
    <w:p w14:paraId="1A2C89EC" w14:textId="77777777" w:rsidR="00951BF1" w:rsidRDefault="00951BF1" w:rsidP="009D19A6">
      <w:pPr>
        <w:rPr>
          <w:rFonts w:ascii="Arial" w:hAnsi="Arial" w:cs="Arial"/>
          <w:b/>
        </w:rPr>
      </w:pPr>
    </w:p>
    <w:p w14:paraId="39B3E1E6" w14:textId="77777777" w:rsidR="00381E69" w:rsidRPr="009D19A6" w:rsidRDefault="009D19A6" w:rsidP="009D19A6">
      <w:pPr>
        <w:rPr>
          <w:rFonts w:ascii="Arial" w:hAnsi="Arial" w:cs="Arial"/>
          <w:b/>
        </w:rPr>
      </w:pPr>
      <w:r>
        <w:rPr>
          <w:rFonts w:ascii="Arial" w:hAnsi="Arial" w:cs="Arial"/>
          <w:b/>
        </w:rPr>
        <w:t>1.</w:t>
      </w:r>
      <w:r w:rsidRPr="009D19A6">
        <w:rPr>
          <w:rFonts w:ascii="Arial" w:hAnsi="Arial" w:cs="Arial"/>
          <w:b/>
        </w:rPr>
        <w:t xml:space="preserve"> INTRODUCTION</w:t>
      </w:r>
    </w:p>
    <w:p w14:paraId="44EE131D" w14:textId="77777777" w:rsidR="00381E69" w:rsidRPr="009D19A6" w:rsidRDefault="00381E69" w:rsidP="00286EFF">
      <w:pPr>
        <w:spacing w:after="0"/>
        <w:jc w:val="both"/>
        <w:rPr>
          <w:rFonts w:ascii="Arial" w:hAnsi="Arial" w:cs="Arial"/>
          <w:sz w:val="20"/>
          <w:szCs w:val="20"/>
        </w:rPr>
      </w:pPr>
      <w:r w:rsidRPr="009D19A6">
        <w:rPr>
          <w:rFonts w:ascii="Arial" w:hAnsi="Arial" w:cs="Arial"/>
          <w:sz w:val="20"/>
          <w:szCs w:val="20"/>
        </w:rPr>
        <w:t>The common bean (</w:t>
      </w:r>
      <w:r w:rsidRPr="009D19A6">
        <w:rPr>
          <w:rFonts w:ascii="Arial" w:hAnsi="Arial" w:cs="Arial"/>
          <w:i/>
          <w:sz w:val="20"/>
          <w:szCs w:val="20"/>
        </w:rPr>
        <w:t>Phaseolus vulgaris</w:t>
      </w:r>
      <w:r w:rsidRPr="009D19A6">
        <w:rPr>
          <w:rFonts w:ascii="Arial" w:hAnsi="Arial" w:cs="Arial"/>
          <w:sz w:val="20"/>
          <w:szCs w:val="20"/>
        </w:rPr>
        <w:t xml:space="preserve"> L.) is a legume of the Fabaceae family. It is native to Latin America. The genus </w:t>
      </w:r>
      <w:r w:rsidRPr="00765569">
        <w:rPr>
          <w:rFonts w:ascii="Arial" w:hAnsi="Arial" w:cs="Arial"/>
          <w:i/>
          <w:sz w:val="20"/>
          <w:szCs w:val="20"/>
        </w:rPr>
        <w:t>Phaseolus</w:t>
      </w:r>
      <w:r w:rsidRPr="009D19A6">
        <w:rPr>
          <w:rFonts w:ascii="Arial" w:hAnsi="Arial" w:cs="Arial"/>
          <w:sz w:val="20"/>
          <w:szCs w:val="20"/>
        </w:rPr>
        <w:t xml:space="preserve"> includes approximately 80 cultivated and wild species, but </w:t>
      </w:r>
      <w:r w:rsidRPr="009D19A6">
        <w:rPr>
          <w:rFonts w:ascii="Arial" w:hAnsi="Arial" w:cs="Arial"/>
          <w:i/>
          <w:sz w:val="20"/>
          <w:szCs w:val="20"/>
        </w:rPr>
        <w:t>P. vulgaris</w:t>
      </w:r>
      <w:r w:rsidRPr="009D19A6">
        <w:rPr>
          <w:rFonts w:ascii="Arial" w:hAnsi="Arial" w:cs="Arial"/>
          <w:sz w:val="20"/>
          <w:szCs w:val="20"/>
        </w:rPr>
        <w:t xml:space="preserve"> is the most widely cultivated species (Romero-Astudillo, 2024).</w:t>
      </w:r>
    </w:p>
    <w:p w14:paraId="7C602236" w14:textId="77777777" w:rsidR="00381E69" w:rsidRPr="009D19A6" w:rsidRDefault="00381E69" w:rsidP="00286EFF">
      <w:pPr>
        <w:spacing w:after="0"/>
        <w:jc w:val="both"/>
        <w:rPr>
          <w:rFonts w:ascii="Arial" w:hAnsi="Arial" w:cs="Arial"/>
          <w:sz w:val="20"/>
          <w:szCs w:val="20"/>
        </w:rPr>
      </w:pPr>
      <w:r w:rsidRPr="009D19A6">
        <w:rPr>
          <w:rFonts w:ascii="Arial" w:hAnsi="Arial" w:cs="Arial"/>
          <w:sz w:val="20"/>
          <w:szCs w:val="20"/>
        </w:rPr>
        <w:t>In Africa, common beans are cultivated on an area estimated at approximately four million hectares, primarily by women. Its legume status makes it a fertilizer, a source of food, and income for producer households. Beans represent an important source of income for rural farmers. Annual sales in Africa amounted to more than $580 million in 2005. Beans, with a protein content of 22%, represent a source of protein for nearly one hundred million people. In addition to protein, they also contain iron, zinc, fiber, and complex carbohydrates. East Africa holds the world record for bean consumption per capita, at approximately 60 kg per year (Coulibaly, 2024).</w:t>
      </w:r>
    </w:p>
    <w:p w14:paraId="0F0D7A4A" w14:textId="77777777" w:rsidR="00381E69" w:rsidRPr="009D19A6" w:rsidRDefault="00381E69" w:rsidP="00286EFF">
      <w:pPr>
        <w:spacing w:after="0"/>
        <w:jc w:val="both"/>
        <w:rPr>
          <w:rFonts w:ascii="Arial" w:hAnsi="Arial" w:cs="Arial"/>
          <w:sz w:val="20"/>
          <w:szCs w:val="20"/>
        </w:rPr>
      </w:pPr>
      <w:r w:rsidRPr="009D19A6">
        <w:rPr>
          <w:rFonts w:ascii="Arial" w:hAnsi="Arial" w:cs="Arial"/>
          <w:sz w:val="20"/>
          <w:szCs w:val="20"/>
        </w:rPr>
        <w:t>In Mali, bean production is estimated at 4,252 tonnes (Delhove, 2023). The Bamako district and the Koulikoro region are the two main green bean production regions in 2019, with local consumption of around 3,300 tonnes, or around 97% of national production (Delhove</w:t>
      </w:r>
      <w:r w:rsidR="00E02092">
        <w:rPr>
          <w:rFonts w:ascii="Arial" w:hAnsi="Arial" w:cs="Arial"/>
          <w:sz w:val="20"/>
          <w:szCs w:val="20"/>
        </w:rPr>
        <w:t xml:space="preserve"> et </w:t>
      </w:r>
      <w:r w:rsidR="00E02092" w:rsidRPr="00E02092">
        <w:rPr>
          <w:rFonts w:ascii="Arial" w:hAnsi="Arial" w:cs="Arial"/>
          <w:i/>
          <w:sz w:val="20"/>
          <w:szCs w:val="20"/>
        </w:rPr>
        <w:t>al</w:t>
      </w:r>
      <w:r w:rsidRPr="009D19A6">
        <w:rPr>
          <w:rFonts w:ascii="Arial" w:hAnsi="Arial" w:cs="Arial"/>
          <w:sz w:val="20"/>
          <w:szCs w:val="20"/>
        </w:rPr>
        <w:t>, 2023).</w:t>
      </w:r>
    </w:p>
    <w:p w14:paraId="1319285A" w14:textId="77777777" w:rsidR="00381E69" w:rsidRPr="009D19A6" w:rsidRDefault="00381E69" w:rsidP="009D19A6">
      <w:pPr>
        <w:jc w:val="both"/>
        <w:rPr>
          <w:rFonts w:ascii="Arial" w:hAnsi="Arial" w:cs="Arial"/>
          <w:sz w:val="20"/>
          <w:szCs w:val="20"/>
        </w:rPr>
      </w:pPr>
      <w:r w:rsidRPr="009D19A6">
        <w:rPr>
          <w:rFonts w:ascii="Arial" w:hAnsi="Arial" w:cs="Arial"/>
          <w:sz w:val="20"/>
          <w:szCs w:val="20"/>
        </w:rPr>
        <w:t xml:space="preserve">Despite this good production and all the nutritional importance linked to the consumption of beans, its production remains subject to numerous constraints such as climate change, low soil fertility, etc. In addition to these abiotic constraints, there are parasites such as fungi, insects and especially nematodes. The latter occupy an important place among the biotic constraints. Nematodes of the genus </w:t>
      </w:r>
      <w:r w:rsidRPr="00286EFF">
        <w:rPr>
          <w:rFonts w:ascii="Arial" w:hAnsi="Arial" w:cs="Arial"/>
          <w:i/>
          <w:sz w:val="20"/>
          <w:szCs w:val="20"/>
        </w:rPr>
        <w:t>Meloidogyne</w:t>
      </w:r>
      <w:r w:rsidRPr="009D19A6">
        <w:rPr>
          <w:rFonts w:ascii="Arial" w:hAnsi="Arial" w:cs="Arial"/>
          <w:sz w:val="20"/>
          <w:szCs w:val="20"/>
        </w:rPr>
        <w:t xml:space="preserve"> and </w:t>
      </w:r>
      <w:r w:rsidRPr="00286EFF">
        <w:rPr>
          <w:rFonts w:ascii="Arial" w:hAnsi="Arial" w:cs="Arial"/>
          <w:i/>
          <w:sz w:val="20"/>
          <w:szCs w:val="20"/>
        </w:rPr>
        <w:t>Pratylenchus</w:t>
      </w:r>
      <w:r w:rsidRPr="009D19A6">
        <w:rPr>
          <w:rFonts w:ascii="Arial" w:hAnsi="Arial" w:cs="Arial"/>
          <w:sz w:val="20"/>
          <w:szCs w:val="20"/>
        </w:rPr>
        <w:t xml:space="preserve"> are important pests of beans. Their attacks induce the formation of root galls (Figure 1) and necrosis respectively (Delhove et </w:t>
      </w:r>
      <w:r w:rsidRPr="00E02092">
        <w:rPr>
          <w:rFonts w:ascii="Arial" w:hAnsi="Arial" w:cs="Arial"/>
          <w:i/>
          <w:sz w:val="20"/>
          <w:szCs w:val="20"/>
        </w:rPr>
        <w:t>al</w:t>
      </w:r>
      <w:r w:rsidRPr="009D19A6">
        <w:rPr>
          <w:rFonts w:ascii="Arial" w:hAnsi="Arial" w:cs="Arial"/>
          <w:sz w:val="20"/>
          <w:szCs w:val="20"/>
        </w:rPr>
        <w:t xml:space="preserve">., 2023). The yield losses they cause in tropical and subtropical countries are estimated at 14.6% in developed countries (Nicol et </w:t>
      </w:r>
      <w:r w:rsidRPr="00286EFF">
        <w:rPr>
          <w:rFonts w:ascii="Arial" w:hAnsi="Arial" w:cs="Arial"/>
          <w:i/>
          <w:sz w:val="20"/>
          <w:szCs w:val="20"/>
        </w:rPr>
        <w:t>al</w:t>
      </w:r>
      <w:r w:rsidRPr="009D19A6">
        <w:rPr>
          <w:rFonts w:ascii="Arial" w:hAnsi="Arial" w:cs="Arial"/>
          <w:sz w:val="20"/>
          <w:szCs w:val="20"/>
        </w:rPr>
        <w:t xml:space="preserve">., 2013). In terms of money, these crop losses were estimated at nearly 150 billion US dollars per year (Coyne et </w:t>
      </w:r>
      <w:r w:rsidRPr="00286EFF">
        <w:rPr>
          <w:rFonts w:ascii="Arial" w:hAnsi="Arial" w:cs="Arial"/>
          <w:i/>
          <w:sz w:val="20"/>
          <w:szCs w:val="20"/>
        </w:rPr>
        <w:t>al</w:t>
      </w:r>
      <w:r w:rsidRPr="009D19A6">
        <w:rPr>
          <w:rFonts w:ascii="Arial" w:hAnsi="Arial" w:cs="Arial"/>
          <w:sz w:val="20"/>
          <w:szCs w:val="20"/>
        </w:rPr>
        <w:t>., 2018).</w:t>
      </w:r>
    </w:p>
    <w:p w14:paraId="472DB267" w14:textId="77777777" w:rsidR="00381E69" w:rsidRDefault="00381E69" w:rsidP="00381E69">
      <w:pPr>
        <w:jc w:val="center"/>
      </w:pPr>
      <w:r w:rsidRPr="008700E0">
        <w:rPr>
          <w:rFonts w:cstheme="minorHAnsi"/>
          <w:noProof/>
          <w:lang w:eastAsia="fr-FR"/>
        </w:rPr>
        <w:lastRenderedPageBreak/>
        <w:drawing>
          <wp:inline distT="0" distB="0" distL="0" distR="0" wp14:anchorId="7908C544" wp14:editId="6084C87F">
            <wp:extent cx="3708807" cy="2286251"/>
            <wp:effectExtent l="0" t="0" r="6350" b="0"/>
            <wp:docPr id="4382266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226601" name=""/>
                    <pic:cNvPicPr/>
                  </pic:nvPicPr>
                  <pic:blipFill>
                    <a:blip r:embed="rId7"/>
                    <a:stretch>
                      <a:fillRect/>
                    </a:stretch>
                  </pic:blipFill>
                  <pic:spPr>
                    <a:xfrm>
                      <a:off x="0" y="0"/>
                      <a:ext cx="3723301" cy="2295185"/>
                    </a:xfrm>
                    <a:prstGeom prst="rect">
                      <a:avLst/>
                    </a:prstGeom>
                  </pic:spPr>
                </pic:pic>
              </a:graphicData>
            </a:graphic>
          </wp:inline>
        </w:drawing>
      </w:r>
    </w:p>
    <w:p w14:paraId="3F21EB9D" w14:textId="77777777" w:rsidR="00381E69" w:rsidRDefault="00381E69" w:rsidP="00381E69">
      <w:pPr>
        <w:jc w:val="center"/>
      </w:pPr>
      <w:r>
        <w:t xml:space="preserve">Figure 1. </w:t>
      </w:r>
      <w:r w:rsidRPr="00765569">
        <w:rPr>
          <w:i/>
        </w:rPr>
        <w:t>Meloidogyne</w:t>
      </w:r>
      <w:r>
        <w:t xml:space="preserve"> spp. </w:t>
      </w:r>
      <w:proofErr w:type="gramStart"/>
      <w:r>
        <w:t>galls</w:t>
      </w:r>
      <w:proofErr w:type="gramEnd"/>
      <w:r>
        <w:t xml:space="preserve"> on beans (Chabrier, 2014)</w:t>
      </w:r>
    </w:p>
    <w:p w14:paraId="1358C9D8" w14:textId="77777777" w:rsidR="00381E69" w:rsidRPr="009D19A6" w:rsidRDefault="009D19A6" w:rsidP="00381E69">
      <w:pPr>
        <w:rPr>
          <w:rFonts w:ascii="Arial" w:hAnsi="Arial" w:cs="Arial"/>
          <w:b/>
        </w:rPr>
      </w:pPr>
      <w:r>
        <w:rPr>
          <w:rFonts w:ascii="Arial" w:hAnsi="Arial" w:cs="Arial"/>
          <w:b/>
        </w:rPr>
        <w:t xml:space="preserve">2. </w:t>
      </w:r>
      <w:r w:rsidRPr="009D19A6">
        <w:rPr>
          <w:rFonts w:ascii="Arial" w:hAnsi="Arial" w:cs="Arial"/>
          <w:b/>
        </w:rPr>
        <w:t>MATERIALS AND METHODS</w:t>
      </w:r>
    </w:p>
    <w:p w14:paraId="504414D9" w14:textId="77777777" w:rsidR="00381E69" w:rsidRPr="00765569" w:rsidRDefault="00765569" w:rsidP="00D4539F">
      <w:pPr>
        <w:jc w:val="both"/>
        <w:rPr>
          <w:rFonts w:ascii="Arial" w:hAnsi="Arial" w:cs="Arial"/>
          <w:b/>
        </w:rPr>
      </w:pPr>
      <w:r>
        <w:rPr>
          <w:rFonts w:ascii="Arial" w:hAnsi="Arial" w:cs="Arial"/>
          <w:b/>
        </w:rPr>
        <w:t xml:space="preserve">2.1. </w:t>
      </w:r>
      <w:r w:rsidR="00553C57" w:rsidRPr="00553C57">
        <w:rPr>
          <w:rFonts w:ascii="Arial" w:hAnsi="Arial" w:cs="Arial"/>
          <w:b/>
        </w:rPr>
        <w:t>Location and description of the study site</w:t>
      </w:r>
    </w:p>
    <w:p w14:paraId="5EE09735" w14:textId="77777777" w:rsidR="00381E69" w:rsidRPr="00D4539F" w:rsidRDefault="00381E69" w:rsidP="00D4539F">
      <w:pPr>
        <w:jc w:val="both"/>
        <w:rPr>
          <w:rFonts w:ascii="Arial" w:hAnsi="Arial" w:cs="Arial"/>
          <w:sz w:val="20"/>
          <w:szCs w:val="20"/>
        </w:rPr>
      </w:pPr>
      <w:r w:rsidRPr="00D4539F">
        <w:rPr>
          <w:rFonts w:ascii="Arial" w:hAnsi="Arial" w:cs="Arial"/>
          <w:sz w:val="20"/>
          <w:szCs w:val="20"/>
        </w:rPr>
        <w:t xml:space="preserve">From June to September 2023, during the rainy season, this faunal study was carried out on two common bean plots, each measuring 500 m². It took place on two experimental plots at the Sotuba Agronomic Research Center in Bamako, Mali (Table 1). Two bean varieties related to the two plots were </w:t>
      </w:r>
      <w:proofErr w:type="gramStart"/>
      <w:r w:rsidRPr="00D4539F">
        <w:rPr>
          <w:rFonts w:ascii="Arial" w:hAnsi="Arial" w:cs="Arial"/>
          <w:sz w:val="20"/>
          <w:szCs w:val="20"/>
        </w:rPr>
        <w:t>involved:</w:t>
      </w:r>
      <w:proofErr w:type="gramEnd"/>
      <w:r w:rsidRPr="00D4539F">
        <w:rPr>
          <w:rFonts w:ascii="Arial" w:hAnsi="Arial" w:cs="Arial"/>
          <w:sz w:val="20"/>
          <w:szCs w:val="20"/>
        </w:rPr>
        <w:t xml:space="preserve"> Blanc de Kati (12°39’45’’N; 7°55’27’’W) and GLP (12°39’34’’N; 7°55’13’’W).</w:t>
      </w:r>
    </w:p>
    <w:p w14:paraId="6915A5F1" w14:textId="77777777" w:rsidR="00381E69" w:rsidRPr="00765569" w:rsidRDefault="00381E69" w:rsidP="00D4539F">
      <w:pPr>
        <w:jc w:val="both"/>
        <w:rPr>
          <w:rFonts w:ascii="Arial" w:hAnsi="Arial" w:cs="Arial"/>
          <w:b/>
          <w:sz w:val="20"/>
          <w:szCs w:val="20"/>
        </w:rPr>
      </w:pPr>
      <w:r w:rsidRPr="00765569">
        <w:rPr>
          <w:rFonts w:ascii="Arial" w:hAnsi="Arial" w:cs="Arial"/>
          <w:b/>
          <w:sz w:val="20"/>
          <w:szCs w:val="20"/>
        </w:rPr>
        <w:t xml:space="preserve">Table </w:t>
      </w:r>
      <w:proofErr w:type="gramStart"/>
      <w:r w:rsidRPr="00765569">
        <w:rPr>
          <w:rFonts w:ascii="Arial" w:hAnsi="Arial" w:cs="Arial"/>
          <w:b/>
          <w:sz w:val="20"/>
          <w:szCs w:val="20"/>
        </w:rPr>
        <w:t>1:</w:t>
      </w:r>
      <w:proofErr w:type="gramEnd"/>
      <w:r w:rsidRPr="00765569">
        <w:rPr>
          <w:rFonts w:ascii="Arial" w:hAnsi="Arial" w:cs="Arial"/>
          <w:b/>
          <w:sz w:val="20"/>
          <w:szCs w:val="20"/>
        </w:rPr>
        <w:t xml:space="preserve"> Geographic coordinates of the experimental plots</w:t>
      </w:r>
    </w:p>
    <w:tbl>
      <w:tblPr>
        <w:tblStyle w:val="TableGrid"/>
        <w:tblW w:w="0" w:type="auto"/>
        <w:tblInd w:w="2122" w:type="dxa"/>
        <w:tblLook w:val="04A0" w:firstRow="1" w:lastRow="0" w:firstColumn="1" w:lastColumn="0" w:noHBand="0" w:noVBand="1"/>
      </w:tblPr>
      <w:tblGrid>
        <w:gridCol w:w="898"/>
        <w:gridCol w:w="1937"/>
        <w:gridCol w:w="283"/>
        <w:gridCol w:w="2268"/>
      </w:tblGrid>
      <w:tr w:rsidR="00381E69" w14:paraId="2295C16D" w14:textId="77777777" w:rsidTr="00765569">
        <w:tc>
          <w:tcPr>
            <w:tcW w:w="898" w:type="dxa"/>
          </w:tcPr>
          <w:p w14:paraId="7E8BF8A5" w14:textId="77777777" w:rsidR="00381E69" w:rsidRPr="00765569" w:rsidRDefault="00381E69" w:rsidP="00381E69">
            <w:pPr>
              <w:rPr>
                <w:rFonts w:ascii="Arial" w:hAnsi="Arial" w:cs="Arial"/>
                <w:b/>
              </w:rPr>
            </w:pPr>
            <w:r w:rsidRPr="00765569">
              <w:rPr>
                <w:rFonts w:ascii="Arial" w:hAnsi="Arial" w:cs="Arial"/>
                <w:b/>
              </w:rPr>
              <w:t>Plots</w:t>
            </w:r>
          </w:p>
        </w:tc>
        <w:tc>
          <w:tcPr>
            <w:tcW w:w="2220" w:type="dxa"/>
            <w:gridSpan w:val="2"/>
          </w:tcPr>
          <w:p w14:paraId="5ACED9EF" w14:textId="77777777" w:rsidR="00381E69" w:rsidRPr="00765569" w:rsidRDefault="00381E69" w:rsidP="00381E69">
            <w:pPr>
              <w:rPr>
                <w:rFonts w:ascii="Arial" w:hAnsi="Arial" w:cs="Arial"/>
                <w:b/>
              </w:rPr>
            </w:pPr>
            <w:r w:rsidRPr="00765569">
              <w:rPr>
                <w:rFonts w:ascii="Arial" w:hAnsi="Arial" w:cs="Arial"/>
                <w:b/>
                <w:i/>
              </w:rPr>
              <w:t>Phaseolus</w:t>
            </w:r>
            <w:r w:rsidRPr="00765569">
              <w:rPr>
                <w:rFonts w:ascii="Arial" w:hAnsi="Arial" w:cs="Arial"/>
                <w:b/>
              </w:rPr>
              <w:t xml:space="preserve"> Variety</w:t>
            </w:r>
          </w:p>
        </w:tc>
        <w:tc>
          <w:tcPr>
            <w:tcW w:w="2268" w:type="dxa"/>
          </w:tcPr>
          <w:p w14:paraId="4C8B99BD" w14:textId="77777777" w:rsidR="00381E69" w:rsidRPr="00765569" w:rsidRDefault="00CF42A9" w:rsidP="00381E69">
            <w:pPr>
              <w:rPr>
                <w:rFonts w:ascii="Arial" w:hAnsi="Arial" w:cs="Arial"/>
                <w:b/>
              </w:rPr>
            </w:pPr>
            <w:r w:rsidRPr="00765569">
              <w:rPr>
                <w:rFonts w:ascii="Arial" w:hAnsi="Arial" w:cs="Arial"/>
                <w:b/>
              </w:rPr>
              <w:t>Plot Coordinates</w:t>
            </w:r>
          </w:p>
        </w:tc>
      </w:tr>
      <w:tr w:rsidR="00381E69" w14:paraId="06D0F0E8" w14:textId="77777777" w:rsidTr="00CF42A9">
        <w:tc>
          <w:tcPr>
            <w:tcW w:w="898" w:type="dxa"/>
          </w:tcPr>
          <w:p w14:paraId="662A3D4D" w14:textId="77777777" w:rsidR="00381E69" w:rsidRPr="00765569" w:rsidRDefault="00381E69" w:rsidP="00381E69">
            <w:pPr>
              <w:rPr>
                <w:b/>
                <w:sz w:val="20"/>
                <w:szCs w:val="20"/>
              </w:rPr>
            </w:pPr>
            <w:r w:rsidRPr="00765569">
              <w:rPr>
                <w:b/>
                <w:sz w:val="20"/>
                <w:szCs w:val="20"/>
              </w:rPr>
              <w:t>Plot 1</w:t>
            </w:r>
          </w:p>
        </w:tc>
        <w:tc>
          <w:tcPr>
            <w:tcW w:w="1937" w:type="dxa"/>
          </w:tcPr>
          <w:p w14:paraId="7D7E907B" w14:textId="77777777" w:rsidR="00381E69" w:rsidRPr="00765569" w:rsidRDefault="00381E69" w:rsidP="00381E69">
            <w:pPr>
              <w:pStyle w:val="BodyText"/>
              <w:rPr>
                <w:rFonts w:ascii="Arial" w:hAnsi="Arial" w:cs="Arial"/>
                <w:sz w:val="20"/>
                <w:szCs w:val="20"/>
              </w:rPr>
            </w:pPr>
            <w:r w:rsidRPr="00765569">
              <w:rPr>
                <w:rFonts w:ascii="Arial" w:hAnsi="Arial" w:cs="Arial"/>
                <w:sz w:val="20"/>
                <w:szCs w:val="20"/>
              </w:rPr>
              <w:t>Blanc de Kati</w:t>
            </w:r>
          </w:p>
        </w:tc>
        <w:tc>
          <w:tcPr>
            <w:tcW w:w="2551" w:type="dxa"/>
            <w:gridSpan w:val="2"/>
          </w:tcPr>
          <w:p w14:paraId="7B79B2E5" w14:textId="77777777" w:rsidR="00381E69" w:rsidRPr="00765569" w:rsidRDefault="00381E69" w:rsidP="00381E69">
            <w:pPr>
              <w:pStyle w:val="BodyText"/>
              <w:rPr>
                <w:rFonts w:ascii="Arial" w:hAnsi="Arial" w:cs="Arial"/>
                <w:sz w:val="20"/>
                <w:szCs w:val="20"/>
              </w:rPr>
            </w:pPr>
            <w:r w:rsidRPr="00765569">
              <w:rPr>
                <w:rFonts w:ascii="Arial" w:hAnsi="Arial" w:cs="Arial"/>
                <w:bCs/>
                <w:color w:val="000000" w:themeColor="text1"/>
                <w:sz w:val="20"/>
                <w:szCs w:val="20"/>
              </w:rPr>
              <w:t>12°39’45’’N ; 7°55’27’’W</w:t>
            </w:r>
          </w:p>
        </w:tc>
      </w:tr>
      <w:tr w:rsidR="00381E69" w14:paraId="408DB7B3" w14:textId="77777777" w:rsidTr="00CF42A9">
        <w:tc>
          <w:tcPr>
            <w:tcW w:w="898" w:type="dxa"/>
          </w:tcPr>
          <w:p w14:paraId="18B6B58C" w14:textId="77777777" w:rsidR="00381E69" w:rsidRPr="00765569" w:rsidRDefault="00381E69" w:rsidP="00381E69">
            <w:pPr>
              <w:rPr>
                <w:b/>
                <w:sz w:val="20"/>
                <w:szCs w:val="20"/>
              </w:rPr>
            </w:pPr>
            <w:r w:rsidRPr="00765569">
              <w:rPr>
                <w:b/>
                <w:sz w:val="20"/>
                <w:szCs w:val="20"/>
              </w:rPr>
              <w:t>Plot 1</w:t>
            </w:r>
          </w:p>
        </w:tc>
        <w:tc>
          <w:tcPr>
            <w:tcW w:w="1937" w:type="dxa"/>
          </w:tcPr>
          <w:p w14:paraId="345F775A" w14:textId="77777777" w:rsidR="00381E69" w:rsidRPr="00765569" w:rsidRDefault="00381E69" w:rsidP="00381E69">
            <w:pPr>
              <w:pStyle w:val="BodyText"/>
              <w:rPr>
                <w:rFonts w:ascii="Arial" w:hAnsi="Arial" w:cs="Arial"/>
                <w:sz w:val="20"/>
                <w:szCs w:val="20"/>
              </w:rPr>
            </w:pPr>
            <w:r w:rsidRPr="00765569">
              <w:rPr>
                <w:rFonts w:ascii="Arial" w:hAnsi="Arial" w:cs="Arial"/>
                <w:sz w:val="20"/>
                <w:szCs w:val="20"/>
              </w:rPr>
              <w:t>GLP</w:t>
            </w:r>
          </w:p>
        </w:tc>
        <w:tc>
          <w:tcPr>
            <w:tcW w:w="2551" w:type="dxa"/>
            <w:gridSpan w:val="2"/>
          </w:tcPr>
          <w:p w14:paraId="4D729A13" w14:textId="77777777" w:rsidR="00381E69" w:rsidRPr="00765569" w:rsidRDefault="00381E69" w:rsidP="00381E69">
            <w:pPr>
              <w:pStyle w:val="BodyText"/>
              <w:rPr>
                <w:rFonts w:ascii="Arial" w:hAnsi="Arial" w:cs="Arial"/>
                <w:sz w:val="20"/>
                <w:szCs w:val="20"/>
              </w:rPr>
            </w:pPr>
            <w:r w:rsidRPr="00765569">
              <w:rPr>
                <w:rFonts w:ascii="Arial" w:hAnsi="Arial" w:cs="Arial"/>
                <w:bCs/>
                <w:color w:val="000000" w:themeColor="text1"/>
                <w:sz w:val="20"/>
                <w:szCs w:val="20"/>
              </w:rPr>
              <w:t>12°39’34’’N ; 7°55’13’’W</w:t>
            </w:r>
          </w:p>
        </w:tc>
      </w:tr>
    </w:tbl>
    <w:p w14:paraId="17CD1DFB" w14:textId="77777777" w:rsidR="00CF42A9" w:rsidRPr="00765569" w:rsidRDefault="00CF42A9" w:rsidP="00CF42A9">
      <w:pPr>
        <w:rPr>
          <w:i/>
        </w:rPr>
      </w:pPr>
      <w:r w:rsidRPr="00765569">
        <w:rPr>
          <w:i/>
        </w:rPr>
        <w:t>Plant Material</w:t>
      </w:r>
    </w:p>
    <w:p w14:paraId="3303D264" w14:textId="77777777" w:rsidR="00381E69" w:rsidRPr="00D4539F" w:rsidRDefault="00CF42A9" w:rsidP="00D4539F">
      <w:pPr>
        <w:jc w:val="both"/>
        <w:rPr>
          <w:rFonts w:ascii="Arial" w:hAnsi="Arial" w:cs="Arial"/>
          <w:sz w:val="20"/>
          <w:szCs w:val="20"/>
        </w:rPr>
      </w:pPr>
      <w:r w:rsidRPr="00D4539F">
        <w:rPr>
          <w:rFonts w:ascii="Arial" w:hAnsi="Arial" w:cs="Arial"/>
          <w:sz w:val="20"/>
          <w:szCs w:val="20"/>
        </w:rPr>
        <w:t>The plant material covered in this study consists of two varieties of common bean (Phaseolus vulgaris</w:t>
      </w:r>
      <w:proofErr w:type="gramStart"/>
      <w:r w:rsidRPr="00D4539F">
        <w:rPr>
          <w:rFonts w:ascii="Arial" w:hAnsi="Arial" w:cs="Arial"/>
          <w:sz w:val="20"/>
          <w:szCs w:val="20"/>
        </w:rPr>
        <w:t>):</w:t>
      </w:r>
      <w:proofErr w:type="gramEnd"/>
      <w:r w:rsidRPr="00D4539F">
        <w:rPr>
          <w:rFonts w:ascii="Arial" w:hAnsi="Arial" w:cs="Arial"/>
          <w:sz w:val="20"/>
          <w:szCs w:val="20"/>
        </w:rPr>
        <w:t xml:space="preserve"> the first is called Blanc de Kati, a variety known to be adapted to poor soils, and the second is called GLP, a variety resistant to several diseases (Figure 2). These are both large-grained varieties with a yield of two tons per hectare (MA, 2024). For all these reasons, these two varieties are highly valued by producers and have been the subject of numerous studies aimed at improving food security, income, and the health of producers on the African continent.</w:t>
      </w:r>
    </w:p>
    <w:p w14:paraId="34AB269D" w14:textId="77777777" w:rsidR="00CF42A9" w:rsidRDefault="00CF42A9" w:rsidP="00CF42A9">
      <w:pPr>
        <w:jc w:val="center"/>
      </w:pPr>
      <w:r w:rsidRPr="008227F5">
        <w:rPr>
          <w:rFonts w:cstheme="minorHAnsi"/>
          <w:noProof/>
          <w:lang w:eastAsia="fr-FR"/>
        </w:rPr>
        <w:drawing>
          <wp:inline distT="0" distB="0" distL="0" distR="0" wp14:anchorId="610CA7A5" wp14:editId="3D885A48">
            <wp:extent cx="4023360" cy="2117558"/>
            <wp:effectExtent l="0" t="0" r="0" b="0"/>
            <wp:docPr id="101623935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52834" cy="2133070"/>
                    </a:xfrm>
                    <a:prstGeom prst="rect">
                      <a:avLst/>
                    </a:prstGeom>
                    <a:noFill/>
                    <a:ln>
                      <a:noFill/>
                    </a:ln>
                  </pic:spPr>
                </pic:pic>
              </a:graphicData>
            </a:graphic>
          </wp:inline>
        </w:drawing>
      </w:r>
    </w:p>
    <w:p w14:paraId="24F5182C" w14:textId="77777777" w:rsidR="00CF42A9" w:rsidRPr="00765569" w:rsidRDefault="00CF42A9" w:rsidP="00553C57">
      <w:pPr>
        <w:spacing w:before="240" w:after="0"/>
        <w:jc w:val="center"/>
        <w:rPr>
          <w:rFonts w:ascii="Arial" w:hAnsi="Arial" w:cs="Arial"/>
          <w:b/>
          <w:sz w:val="20"/>
          <w:szCs w:val="20"/>
        </w:rPr>
      </w:pPr>
      <w:r w:rsidRPr="00765569">
        <w:rPr>
          <w:rFonts w:ascii="Arial" w:hAnsi="Arial" w:cs="Arial"/>
          <w:b/>
          <w:sz w:val="20"/>
          <w:szCs w:val="20"/>
        </w:rPr>
        <w:t xml:space="preserve">Figure </w:t>
      </w:r>
      <w:proofErr w:type="gramStart"/>
      <w:r w:rsidRPr="00765569">
        <w:rPr>
          <w:rFonts w:ascii="Arial" w:hAnsi="Arial" w:cs="Arial"/>
          <w:b/>
          <w:sz w:val="20"/>
          <w:szCs w:val="20"/>
        </w:rPr>
        <w:t>2:</w:t>
      </w:r>
      <w:proofErr w:type="gramEnd"/>
      <w:r w:rsidRPr="00765569">
        <w:rPr>
          <w:rFonts w:ascii="Arial" w:hAnsi="Arial" w:cs="Arial"/>
          <w:b/>
          <w:sz w:val="20"/>
          <w:szCs w:val="20"/>
        </w:rPr>
        <w:t xml:space="preserve"> Grains of the two varieties of P. vulgaris: Blanc de Kati on the left and GLP on the right</w:t>
      </w:r>
      <w:r w:rsidR="00553C57">
        <w:rPr>
          <w:rFonts w:ascii="Arial" w:hAnsi="Arial" w:cs="Arial"/>
          <w:b/>
          <w:sz w:val="20"/>
          <w:szCs w:val="20"/>
        </w:rPr>
        <w:t xml:space="preserve"> </w:t>
      </w:r>
      <w:r w:rsidRPr="00765569">
        <w:rPr>
          <w:rFonts w:ascii="Arial" w:hAnsi="Arial" w:cs="Arial"/>
          <w:b/>
          <w:sz w:val="20"/>
          <w:szCs w:val="20"/>
        </w:rPr>
        <w:t>Soil sample collection:</w:t>
      </w:r>
    </w:p>
    <w:p w14:paraId="69AD203B" w14:textId="77777777" w:rsidR="00292896" w:rsidRDefault="00292896" w:rsidP="00553C57"/>
    <w:p w14:paraId="31BA65E1" w14:textId="77777777" w:rsidR="00292896" w:rsidRPr="00292896" w:rsidRDefault="00292896" w:rsidP="00292896">
      <w:pPr>
        <w:rPr>
          <w:rFonts w:ascii="Arial" w:hAnsi="Arial" w:cs="Arial"/>
          <w:b/>
        </w:rPr>
      </w:pPr>
      <w:r w:rsidRPr="00292896">
        <w:rPr>
          <w:rFonts w:ascii="Arial" w:hAnsi="Arial" w:cs="Arial"/>
          <w:b/>
        </w:rPr>
        <w:t>2.2. Samples collection</w:t>
      </w:r>
    </w:p>
    <w:p w14:paraId="56E33889" w14:textId="77777777" w:rsidR="00553C57" w:rsidRPr="00292896" w:rsidRDefault="00553C57" w:rsidP="00553C57">
      <w:pPr>
        <w:rPr>
          <w:rFonts w:ascii="Arial" w:hAnsi="Arial" w:cs="Arial"/>
          <w:i/>
        </w:rPr>
      </w:pPr>
      <w:r w:rsidRPr="00292896">
        <w:rPr>
          <w:rFonts w:ascii="Arial" w:hAnsi="Arial" w:cs="Arial"/>
          <w:i/>
        </w:rPr>
        <w:t xml:space="preserve">Soil </w:t>
      </w:r>
      <w:r w:rsidR="00292896" w:rsidRPr="00292896">
        <w:rPr>
          <w:rFonts w:ascii="Arial" w:hAnsi="Arial" w:cs="Arial"/>
          <w:i/>
        </w:rPr>
        <w:t xml:space="preserve">Samples </w:t>
      </w:r>
    </w:p>
    <w:p w14:paraId="65FCCAC4" w14:textId="77777777" w:rsidR="00CF42A9" w:rsidRPr="00D4539F" w:rsidRDefault="00CF42A9" w:rsidP="00553C57">
      <w:pPr>
        <w:spacing w:before="240"/>
        <w:jc w:val="both"/>
        <w:rPr>
          <w:rFonts w:ascii="Arial" w:hAnsi="Arial" w:cs="Arial"/>
          <w:sz w:val="20"/>
          <w:szCs w:val="20"/>
        </w:rPr>
      </w:pPr>
      <w:r w:rsidRPr="00D4539F">
        <w:rPr>
          <w:rFonts w:ascii="Arial" w:hAnsi="Arial" w:cs="Arial"/>
          <w:sz w:val="20"/>
          <w:szCs w:val="20"/>
        </w:rPr>
        <w:t>Soil samples were collected using a systematic method, i.e., one that took into account the plot as a whole and the aggregate distribution of nematodes. Soil samples were taken at a depth of 30 cm using a soil auger. For each of the 400 m</w:t>
      </w:r>
      <w:r w:rsidRPr="00553C57">
        <w:rPr>
          <w:rFonts w:ascii="Arial" w:hAnsi="Arial" w:cs="Arial"/>
          <w:sz w:val="20"/>
          <w:szCs w:val="20"/>
          <w:vertAlign w:val="superscript"/>
        </w:rPr>
        <w:t>2</w:t>
      </w:r>
      <w:r w:rsidRPr="00D4539F">
        <w:rPr>
          <w:rFonts w:ascii="Arial" w:hAnsi="Arial" w:cs="Arial"/>
          <w:sz w:val="20"/>
          <w:szCs w:val="20"/>
        </w:rPr>
        <w:t xml:space="preserve"> plots, 10 samples were taken on the diagonals and mixed to form a composite sample. 250 g of this sample was placed in </w:t>
      </w:r>
      <w:proofErr w:type="gramStart"/>
      <w:r w:rsidRPr="00D4539F">
        <w:rPr>
          <w:rFonts w:ascii="Arial" w:hAnsi="Arial" w:cs="Arial"/>
          <w:sz w:val="20"/>
          <w:szCs w:val="20"/>
        </w:rPr>
        <w:t>a</w:t>
      </w:r>
      <w:proofErr w:type="gramEnd"/>
      <w:r w:rsidRPr="00D4539F">
        <w:rPr>
          <w:rFonts w:ascii="Arial" w:hAnsi="Arial" w:cs="Arial"/>
          <w:sz w:val="20"/>
          <w:szCs w:val="20"/>
        </w:rPr>
        <w:t xml:space="preserve"> plastic bag, labeled with the date, crop, site and plot number, then placed in a cooler for transport to the laboratory.</w:t>
      </w:r>
    </w:p>
    <w:p w14:paraId="2DFBA9BB" w14:textId="77777777" w:rsidR="00542B2D" w:rsidRPr="00553C57" w:rsidRDefault="00542B2D" w:rsidP="00D4539F">
      <w:pPr>
        <w:jc w:val="both"/>
        <w:rPr>
          <w:rFonts w:ascii="Arial" w:hAnsi="Arial" w:cs="Arial"/>
          <w:i/>
        </w:rPr>
      </w:pPr>
      <w:r w:rsidRPr="00553C57">
        <w:rPr>
          <w:rFonts w:ascii="Arial" w:hAnsi="Arial" w:cs="Arial"/>
          <w:i/>
        </w:rPr>
        <w:t>Root Collection</w:t>
      </w:r>
    </w:p>
    <w:p w14:paraId="2AAB2D52" w14:textId="77777777" w:rsidR="00CF42A9" w:rsidRPr="00D4539F" w:rsidRDefault="00542B2D" w:rsidP="00D4539F">
      <w:pPr>
        <w:jc w:val="both"/>
        <w:rPr>
          <w:rFonts w:ascii="Arial" w:hAnsi="Arial" w:cs="Arial"/>
          <w:sz w:val="20"/>
          <w:szCs w:val="20"/>
        </w:rPr>
      </w:pPr>
      <w:r w:rsidRPr="00D4539F">
        <w:rPr>
          <w:rFonts w:ascii="Arial" w:hAnsi="Arial" w:cs="Arial"/>
          <w:sz w:val="20"/>
          <w:szCs w:val="20"/>
        </w:rPr>
        <w:t>To collect the roots, randomly uprooted bean plants using a trowel. After gently shaking off most of the adhering soil, the roots were cut with scissors. Ten bean plants were collected from each plot. These roots, along with the soil, were placed in plastic bags, labeled, and then placed in a cooler for transport to the laboratory.</w:t>
      </w:r>
    </w:p>
    <w:p w14:paraId="03F67A16" w14:textId="77777777" w:rsidR="00542B2D" w:rsidRPr="00553C57" w:rsidRDefault="00292896" w:rsidP="00D4539F">
      <w:pPr>
        <w:jc w:val="both"/>
        <w:rPr>
          <w:rFonts w:ascii="Arial" w:hAnsi="Arial" w:cs="Arial"/>
          <w:i/>
        </w:rPr>
      </w:pPr>
      <w:r>
        <w:rPr>
          <w:rFonts w:ascii="Arial" w:hAnsi="Arial" w:cs="Arial"/>
          <w:i/>
        </w:rPr>
        <w:t>2.3.</w:t>
      </w:r>
      <w:r w:rsidRPr="00553C57">
        <w:rPr>
          <w:rFonts w:ascii="Arial" w:hAnsi="Arial" w:cs="Arial"/>
          <w:i/>
        </w:rPr>
        <w:t xml:space="preserve"> Nematological</w:t>
      </w:r>
      <w:r w:rsidR="00542B2D" w:rsidRPr="00553C57">
        <w:rPr>
          <w:rFonts w:ascii="Arial" w:hAnsi="Arial" w:cs="Arial"/>
          <w:i/>
        </w:rPr>
        <w:t xml:space="preserve"> Analyses</w:t>
      </w:r>
    </w:p>
    <w:p w14:paraId="21B6428F" w14:textId="77777777" w:rsidR="00542B2D" w:rsidRPr="00D4539F" w:rsidRDefault="00292896" w:rsidP="00D4539F">
      <w:pPr>
        <w:jc w:val="both"/>
        <w:rPr>
          <w:rFonts w:ascii="Arial" w:hAnsi="Arial" w:cs="Arial"/>
          <w:sz w:val="20"/>
          <w:szCs w:val="20"/>
        </w:rPr>
      </w:pPr>
      <w:r>
        <w:rPr>
          <w:rFonts w:ascii="Arial" w:hAnsi="Arial" w:cs="Arial"/>
          <w:sz w:val="20"/>
          <w:szCs w:val="20"/>
        </w:rPr>
        <w:t xml:space="preserve">2.3.1. </w:t>
      </w:r>
      <w:r w:rsidR="00542B2D" w:rsidRPr="00D4539F">
        <w:rPr>
          <w:rFonts w:ascii="Arial" w:hAnsi="Arial" w:cs="Arial"/>
          <w:sz w:val="20"/>
          <w:szCs w:val="20"/>
        </w:rPr>
        <w:t>Extraction of nematodes from the soil using the modified Baermann technique.</w:t>
      </w:r>
    </w:p>
    <w:p w14:paraId="68243400" w14:textId="77777777" w:rsidR="00542B2D" w:rsidRPr="00D4539F" w:rsidRDefault="00542B2D" w:rsidP="00D4539F">
      <w:pPr>
        <w:jc w:val="both"/>
        <w:rPr>
          <w:rFonts w:ascii="Arial" w:hAnsi="Arial" w:cs="Arial"/>
          <w:sz w:val="20"/>
          <w:szCs w:val="20"/>
        </w:rPr>
      </w:pPr>
      <w:r w:rsidRPr="00D4539F">
        <w:rPr>
          <w:rFonts w:ascii="Arial" w:hAnsi="Arial" w:cs="Arial"/>
          <w:sz w:val="20"/>
          <w:szCs w:val="20"/>
        </w:rPr>
        <w:t xml:space="preserve">Using a beaker, 100 ml of soil from the plots were collected, the clods of soil were broken up, and large debris such as stones, twigs, roots, etc. were removed. The soil was placed on a Kleenex-type filter, then on a 1 mm mesh sieve, and the entire sample was placed in a plate. Water was then added to the sample so that it was completely moistened but not completely submerged (Figure 3). This device was covered with another labeled plate and left for 48 hours. After these two days, all the water in the plate was filtered through a 38 µm sieve. The resulting filtrate was placed in </w:t>
      </w:r>
      <w:proofErr w:type="gramStart"/>
      <w:r w:rsidRPr="00D4539F">
        <w:rPr>
          <w:rFonts w:ascii="Arial" w:hAnsi="Arial" w:cs="Arial"/>
          <w:sz w:val="20"/>
          <w:szCs w:val="20"/>
        </w:rPr>
        <w:t>a</w:t>
      </w:r>
      <w:proofErr w:type="gramEnd"/>
      <w:r w:rsidRPr="00D4539F">
        <w:rPr>
          <w:rFonts w:ascii="Arial" w:hAnsi="Arial" w:cs="Arial"/>
          <w:sz w:val="20"/>
          <w:szCs w:val="20"/>
        </w:rPr>
        <w:t xml:space="preserve"> 100 ml beaker for decantation and pipetting. This decantation lasts at least two hours. Following this decantation, the nematode suspension is reduced to the pellet by carefully reducing the amount of water in the surface part using a Pasteur pipette with a bulb. This pipetting is done in such a way as to maintain a suspension of approximately 25 ml (V). From this suspension, an aliquot of 5 ml (v) was taken and then placed in a counting box for observation under a microscope.</w:t>
      </w:r>
    </w:p>
    <w:p w14:paraId="4FEBCBDA" w14:textId="77777777" w:rsidR="00542B2D" w:rsidRDefault="00542B2D" w:rsidP="00542B2D">
      <w:pPr>
        <w:jc w:val="center"/>
      </w:pPr>
      <w:r w:rsidRPr="0006134E">
        <w:rPr>
          <w:rFonts w:cstheme="minorHAnsi"/>
          <w:noProof/>
          <w:lang w:eastAsia="fr-FR"/>
        </w:rPr>
        <w:drawing>
          <wp:inline distT="0" distB="0" distL="0" distR="0" wp14:anchorId="32FC40DE" wp14:editId="12514DC8">
            <wp:extent cx="3635654" cy="2238451"/>
            <wp:effectExtent l="0" t="0" r="3175" b="0"/>
            <wp:docPr id="15" name="Image 14"/>
            <wp:cNvGraphicFramePr/>
            <a:graphic xmlns:a="http://schemas.openxmlformats.org/drawingml/2006/main">
              <a:graphicData uri="http://schemas.openxmlformats.org/drawingml/2006/picture">
                <pic:pic xmlns:pic="http://schemas.openxmlformats.org/drawingml/2006/picture">
                  <pic:nvPicPr>
                    <pic:cNvPr id="15" name="Image 14"/>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7041" cy="2251619"/>
                    </a:xfrm>
                    <a:prstGeom prst="rect">
                      <a:avLst/>
                    </a:prstGeom>
                    <a:noFill/>
                  </pic:spPr>
                </pic:pic>
              </a:graphicData>
            </a:graphic>
          </wp:inline>
        </w:drawing>
      </w:r>
    </w:p>
    <w:p w14:paraId="23F83A98" w14:textId="77777777" w:rsidR="00542B2D" w:rsidRPr="00292896" w:rsidRDefault="00542B2D" w:rsidP="00292896">
      <w:pPr>
        <w:jc w:val="center"/>
        <w:rPr>
          <w:rFonts w:ascii="Arial" w:hAnsi="Arial" w:cs="Arial"/>
          <w:b/>
          <w:sz w:val="20"/>
          <w:szCs w:val="20"/>
        </w:rPr>
      </w:pPr>
      <w:r w:rsidRPr="00292896">
        <w:rPr>
          <w:rFonts w:ascii="Arial" w:hAnsi="Arial" w:cs="Arial"/>
          <w:b/>
          <w:sz w:val="20"/>
          <w:szCs w:val="20"/>
        </w:rPr>
        <w:t xml:space="preserve">Figure </w:t>
      </w:r>
      <w:proofErr w:type="gramStart"/>
      <w:r w:rsidRPr="00292896">
        <w:rPr>
          <w:rFonts w:ascii="Arial" w:hAnsi="Arial" w:cs="Arial"/>
          <w:b/>
          <w:sz w:val="20"/>
          <w:szCs w:val="20"/>
        </w:rPr>
        <w:t>3:</w:t>
      </w:r>
      <w:proofErr w:type="gramEnd"/>
      <w:r w:rsidRPr="00292896">
        <w:rPr>
          <w:rFonts w:ascii="Arial" w:hAnsi="Arial" w:cs="Arial"/>
          <w:b/>
          <w:sz w:val="20"/>
          <w:szCs w:val="20"/>
        </w:rPr>
        <w:t xml:space="preserve"> Illustration of the modified Baermann technique. </w:t>
      </w:r>
      <w:proofErr w:type="gramStart"/>
      <w:r w:rsidRPr="00292896">
        <w:rPr>
          <w:rFonts w:ascii="Arial" w:hAnsi="Arial" w:cs="Arial"/>
          <w:b/>
          <w:sz w:val="20"/>
          <w:szCs w:val="20"/>
        </w:rPr>
        <w:t>Key:</w:t>
      </w:r>
      <w:proofErr w:type="gramEnd"/>
      <w:r w:rsidRPr="00292896">
        <w:rPr>
          <w:rFonts w:ascii="Arial" w:hAnsi="Arial" w:cs="Arial"/>
          <w:b/>
          <w:sz w:val="20"/>
          <w:szCs w:val="20"/>
        </w:rPr>
        <w:t xml:space="preserve"> A: Soil sieving; B: 100 ml of soil; C= Kleenex containing the soil; D and E: active passage and F: Filtration</w:t>
      </w:r>
    </w:p>
    <w:p w14:paraId="04ECAF3E" w14:textId="77777777" w:rsidR="00542B2D" w:rsidRPr="00292896" w:rsidRDefault="00292896" w:rsidP="00D4539F">
      <w:pPr>
        <w:jc w:val="both"/>
        <w:rPr>
          <w:rFonts w:ascii="Arial" w:hAnsi="Arial" w:cs="Arial"/>
          <w:b/>
        </w:rPr>
      </w:pPr>
      <w:r w:rsidRPr="00292896">
        <w:rPr>
          <w:rFonts w:ascii="Arial" w:hAnsi="Arial" w:cs="Arial"/>
          <w:b/>
        </w:rPr>
        <w:t xml:space="preserve">2.3.2. </w:t>
      </w:r>
      <w:r w:rsidR="00542B2D" w:rsidRPr="00292896">
        <w:rPr>
          <w:rFonts w:ascii="Arial" w:hAnsi="Arial" w:cs="Arial"/>
          <w:b/>
        </w:rPr>
        <w:t>Extraction of nematodes from the roots</w:t>
      </w:r>
    </w:p>
    <w:p w14:paraId="070B7EB8" w14:textId="77777777" w:rsidR="00542B2D" w:rsidRPr="00D4539F" w:rsidRDefault="00542B2D" w:rsidP="00D4539F">
      <w:pPr>
        <w:jc w:val="both"/>
        <w:rPr>
          <w:rFonts w:ascii="Arial" w:hAnsi="Arial" w:cs="Arial"/>
          <w:sz w:val="20"/>
          <w:szCs w:val="20"/>
        </w:rPr>
      </w:pPr>
      <w:r w:rsidRPr="00D4539F">
        <w:rPr>
          <w:rFonts w:ascii="Arial" w:hAnsi="Arial" w:cs="Arial"/>
          <w:sz w:val="20"/>
          <w:szCs w:val="20"/>
        </w:rPr>
        <w:t xml:space="preserve">The roots were gently cleaned under a running tap to remove soil and several saprophytic nematodes. The roots were cut into small pieces and disinfected by soaking in a bleach solution (1% active chlorine) for 4 minutes to brighten them, then rinsed with tap water for 15 minutes. A 20g subsample was taken from the composite sample and ground with water using a kitchen blender. The roots were ground for </w:t>
      </w:r>
      <w:r w:rsidRPr="00D4539F">
        <w:rPr>
          <w:rFonts w:ascii="Arial" w:hAnsi="Arial" w:cs="Arial"/>
          <w:sz w:val="20"/>
          <w:szCs w:val="20"/>
        </w:rPr>
        <w:lastRenderedPageBreak/>
        <w:t>three 30-second periods, separated by a brief settling period. The analysis process was conducted according to the Baermann technique described above.</w:t>
      </w:r>
    </w:p>
    <w:p w14:paraId="5F091E3A" w14:textId="77777777" w:rsidR="00542B2D" w:rsidRPr="00292896" w:rsidRDefault="00292896" w:rsidP="00D4539F">
      <w:pPr>
        <w:jc w:val="both"/>
        <w:rPr>
          <w:rFonts w:ascii="Arial" w:hAnsi="Arial" w:cs="Arial"/>
          <w:b/>
        </w:rPr>
      </w:pPr>
      <w:r w:rsidRPr="00292896">
        <w:rPr>
          <w:rFonts w:ascii="Arial" w:hAnsi="Arial" w:cs="Arial"/>
          <w:b/>
        </w:rPr>
        <w:t xml:space="preserve">2.3.3. </w:t>
      </w:r>
      <w:r w:rsidR="00542B2D" w:rsidRPr="00292896">
        <w:rPr>
          <w:rFonts w:ascii="Arial" w:hAnsi="Arial" w:cs="Arial"/>
          <w:b/>
        </w:rPr>
        <w:t xml:space="preserve">Counting and estimating the nematode </w:t>
      </w:r>
      <w:proofErr w:type="gramStart"/>
      <w:r w:rsidR="00542B2D" w:rsidRPr="00292896">
        <w:rPr>
          <w:rFonts w:ascii="Arial" w:hAnsi="Arial" w:cs="Arial"/>
          <w:b/>
        </w:rPr>
        <w:t>population:</w:t>
      </w:r>
      <w:proofErr w:type="gramEnd"/>
    </w:p>
    <w:p w14:paraId="7BD9788C" w14:textId="77777777" w:rsidR="00542B2D" w:rsidRPr="00292896" w:rsidRDefault="00542B2D" w:rsidP="00D4539F">
      <w:pPr>
        <w:jc w:val="both"/>
        <w:rPr>
          <w:rFonts w:ascii="Arial" w:hAnsi="Arial" w:cs="Arial"/>
          <w:i/>
          <w:sz w:val="20"/>
          <w:szCs w:val="20"/>
        </w:rPr>
      </w:pPr>
      <w:r w:rsidRPr="00292896">
        <w:rPr>
          <w:rFonts w:ascii="Arial" w:hAnsi="Arial" w:cs="Arial"/>
          <w:i/>
          <w:sz w:val="20"/>
          <w:szCs w:val="20"/>
        </w:rPr>
        <w:t xml:space="preserve">Nematode Fixation for </w:t>
      </w:r>
      <w:proofErr w:type="gramStart"/>
      <w:r w:rsidRPr="00292896">
        <w:rPr>
          <w:rFonts w:ascii="Arial" w:hAnsi="Arial" w:cs="Arial"/>
          <w:i/>
          <w:sz w:val="20"/>
          <w:szCs w:val="20"/>
        </w:rPr>
        <w:t>Counting:</w:t>
      </w:r>
      <w:proofErr w:type="gramEnd"/>
    </w:p>
    <w:p w14:paraId="60F29F20" w14:textId="77777777" w:rsidR="00542B2D" w:rsidRPr="00D4539F" w:rsidRDefault="00542B2D" w:rsidP="00D4539F">
      <w:pPr>
        <w:jc w:val="both"/>
        <w:rPr>
          <w:rFonts w:ascii="Arial" w:hAnsi="Arial" w:cs="Arial"/>
          <w:sz w:val="20"/>
          <w:szCs w:val="20"/>
        </w:rPr>
      </w:pPr>
      <w:r w:rsidRPr="00D4539F">
        <w:rPr>
          <w:rFonts w:ascii="Arial" w:hAnsi="Arial" w:cs="Arial"/>
          <w:sz w:val="20"/>
          <w:szCs w:val="20"/>
        </w:rPr>
        <w:t xml:space="preserve">The nematodes were fixed by immersion in a boiling FA solution (10 ml </w:t>
      </w:r>
      <w:proofErr w:type="gramStart"/>
      <w:r w:rsidRPr="00D4539F">
        <w:rPr>
          <w:rFonts w:ascii="Arial" w:hAnsi="Arial" w:cs="Arial"/>
          <w:sz w:val="20"/>
          <w:szCs w:val="20"/>
        </w:rPr>
        <w:t>formalin;</w:t>
      </w:r>
      <w:proofErr w:type="gramEnd"/>
      <w:r w:rsidRPr="00D4539F">
        <w:rPr>
          <w:rFonts w:ascii="Arial" w:hAnsi="Arial" w:cs="Arial"/>
          <w:sz w:val="20"/>
          <w:szCs w:val="20"/>
        </w:rPr>
        <w:t xml:space="preserve"> 1 ml glacial acetic acid; 89 ml distilled water) (Coyne et </w:t>
      </w:r>
      <w:r w:rsidRPr="00654C6F">
        <w:rPr>
          <w:rFonts w:ascii="Arial" w:hAnsi="Arial" w:cs="Arial"/>
          <w:i/>
          <w:sz w:val="20"/>
          <w:szCs w:val="20"/>
        </w:rPr>
        <w:t>al.,</w:t>
      </w:r>
      <w:r w:rsidR="00654C6F">
        <w:rPr>
          <w:rFonts w:ascii="Arial" w:hAnsi="Arial" w:cs="Arial"/>
          <w:sz w:val="20"/>
          <w:szCs w:val="20"/>
        </w:rPr>
        <w:t xml:space="preserve"> 2018</w:t>
      </w:r>
      <w:r w:rsidRPr="00D4539F">
        <w:rPr>
          <w:rFonts w:ascii="Arial" w:hAnsi="Arial" w:cs="Arial"/>
          <w:sz w:val="20"/>
          <w:szCs w:val="20"/>
        </w:rPr>
        <w:t>). The technique consisted of adding the heated FA solution to the nematode suspension in equal volumes (v/v) in a small, stoppered bottle. This fixation allows the nematodes to be preserved for at least one month.</w:t>
      </w:r>
    </w:p>
    <w:p w14:paraId="56CF69A9" w14:textId="77777777" w:rsidR="00542B2D" w:rsidRPr="00441744" w:rsidRDefault="00542B2D" w:rsidP="00D4539F">
      <w:pPr>
        <w:jc w:val="both"/>
        <w:rPr>
          <w:rFonts w:ascii="Arial" w:hAnsi="Arial" w:cs="Arial"/>
          <w:i/>
          <w:sz w:val="20"/>
          <w:szCs w:val="20"/>
        </w:rPr>
      </w:pPr>
      <w:r w:rsidRPr="00441744">
        <w:rPr>
          <w:rFonts w:ascii="Arial" w:hAnsi="Arial" w:cs="Arial"/>
          <w:i/>
          <w:sz w:val="20"/>
          <w:szCs w:val="20"/>
        </w:rPr>
        <w:t>Observation</w:t>
      </w:r>
    </w:p>
    <w:p w14:paraId="6E156CD5" w14:textId="77777777" w:rsidR="00542B2D" w:rsidRPr="00D4539F" w:rsidRDefault="00542B2D" w:rsidP="00542B2D">
      <w:pPr>
        <w:rPr>
          <w:rFonts w:ascii="Arial" w:hAnsi="Arial" w:cs="Arial"/>
          <w:sz w:val="20"/>
          <w:szCs w:val="20"/>
        </w:rPr>
      </w:pPr>
      <w:r w:rsidRPr="00D4539F">
        <w:rPr>
          <w:rFonts w:ascii="Arial" w:hAnsi="Arial" w:cs="Arial"/>
          <w:sz w:val="20"/>
          <w:szCs w:val="20"/>
        </w:rPr>
        <w:t xml:space="preserve">The nematode suspension obtained after decanting and pipetting was adjusted to 25 ml (V) by adding distilled water. From this volume (V), a 5 ml aliquot (v) was taken and placed in a counting dish for microscopic observation at 400X magnification. Nematode </w:t>
      </w:r>
      <w:proofErr w:type="gramStart"/>
      <w:r w:rsidRPr="00D4539F">
        <w:rPr>
          <w:rFonts w:ascii="Arial" w:hAnsi="Arial" w:cs="Arial"/>
          <w:sz w:val="20"/>
          <w:szCs w:val="20"/>
        </w:rPr>
        <w:t>Identification:</w:t>
      </w:r>
      <w:proofErr w:type="gramEnd"/>
    </w:p>
    <w:p w14:paraId="46FD0B8F" w14:textId="77777777" w:rsidR="00542B2D" w:rsidRPr="00D4539F" w:rsidRDefault="00542B2D" w:rsidP="00D4539F">
      <w:pPr>
        <w:jc w:val="both"/>
        <w:rPr>
          <w:rFonts w:ascii="Arial" w:hAnsi="Arial" w:cs="Arial"/>
          <w:sz w:val="20"/>
          <w:szCs w:val="20"/>
        </w:rPr>
      </w:pPr>
      <w:r w:rsidRPr="00D4539F">
        <w:rPr>
          <w:sz w:val="20"/>
          <w:szCs w:val="20"/>
        </w:rPr>
        <w:t xml:space="preserve">The nematodes were identified using the key from (Mai and Mullin, 1996) and the discriminating morphological characteristics reported </w:t>
      </w:r>
      <w:r w:rsidR="00854139">
        <w:rPr>
          <w:sz w:val="20"/>
          <w:szCs w:val="20"/>
        </w:rPr>
        <w:t>by (Mateille and Tavoillot, 2016</w:t>
      </w:r>
      <w:proofErr w:type="gramStart"/>
      <w:r w:rsidRPr="00D4539F">
        <w:rPr>
          <w:sz w:val="20"/>
          <w:szCs w:val="20"/>
        </w:rPr>
        <w:t>):</w:t>
      </w:r>
      <w:proofErr w:type="gramEnd"/>
      <w:r w:rsidRPr="00D4539F">
        <w:rPr>
          <w:sz w:val="20"/>
          <w:szCs w:val="20"/>
        </w:rPr>
        <w:t xml:space="preserve"> the length and shape of the stylet,</w:t>
      </w:r>
      <w:r>
        <w:t xml:space="preserve"> the </w:t>
      </w:r>
      <w:r w:rsidRPr="00D4539F">
        <w:rPr>
          <w:rFonts w:ascii="Arial" w:hAnsi="Arial" w:cs="Arial"/>
          <w:sz w:val="20"/>
          <w:szCs w:val="20"/>
        </w:rPr>
        <w:t>shape of the head and tail, the covering (i.e., the arrangement of the esophageal gland relative to the intestine), and the position of the vulva.</w:t>
      </w:r>
    </w:p>
    <w:p w14:paraId="74B1413E" w14:textId="77777777" w:rsidR="00542B2D" w:rsidRPr="00292896" w:rsidRDefault="00542B2D" w:rsidP="00D4539F">
      <w:pPr>
        <w:jc w:val="both"/>
        <w:rPr>
          <w:rFonts w:ascii="Arial" w:hAnsi="Arial" w:cs="Arial"/>
          <w:i/>
          <w:sz w:val="20"/>
          <w:szCs w:val="20"/>
        </w:rPr>
      </w:pPr>
      <w:r w:rsidRPr="00292896">
        <w:rPr>
          <w:rFonts w:ascii="Arial" w:hAnsi="Arial" w:cs="Arial"/>
          <w:i/>
          <w:sz w:val="20"/>
          <w:szCs w:val="20"/>
        </w:rPr>
        <w:t>Nematode Counting</w:t>
      </w:r>
    </w:p>
    <w:p w14:paraId="4F20CEA0" w14:textId="77777777" w:rsidR="00542B2D" w:rsidRPr="00D4539F" w:rsidRDefault="00542B2D" w:rsidP="00D4539F">
      <w:pPr>
        <w:jc w:val="both"/>
        <w:rPr>
          <w:rFonts w:ascii="Arial" w:hAnsi="Arial" w:cs="Arial"/>
          <w:sz w:val="20"/>
          <w:szCs w:val="20"/>
        </w:rPr>
      </w:pPr>
      <w:r w:rsidRPr="00D4539F">
        <w:rPr>
          <w:rFonts w:ascii="Arial" w:hAnsi="Arial" w:cs="Arial"/>
          <w:sz w:val="20"/>
          <w:szCs w:val="20"/>
        </w:rPr>
        <w:t>This is done under a microscope by placing the solution in a transparent dish with a gridded bottom.</w:t>
      </w:r>
    </w:p>
    <w:p w14:paraId="38A3A791" w14:textId="77777777" w:rsidR="00542B2D" w:rsidRPr="00292896" w:rsidRDefault="00292896" w:rsidP="00D4539F">
      <w:pPr>
        <w:jc w:val="both"/>
        <w:rPr>
          <w:rFonts w:ascii="Arial" w:hAnsi="Arial" w:cs="Arial"/>
          <w:b/>
        </w:rPr>
      </w:pPr>
      <w:r w:rsidRPr="00292896">
        <w:rPr>
          <w:rFonts w:ascii="Arial" w:hAnsi="Arial" w:cs="Arial"/>
          <w:b/>
        </w:rPr>
        <w:t xml:space="preserve">2.4. </w:t>
      </w:r>
      <w:r w:rsidR="00542B2D" w:rsidRPr="00292896">
        <w:rPr>
          <w:rFonts w:ascii="Arial" w:hAnsi="Arial" w:cs="Arial"/>
          <w:b/>
        </w:rPr>
        <w:t>Soil Data</w:t>
      </w:r>
    </w:p>
    <w:p w14:paraId="79603E8A" w14:textId="77777777" w:rsidR="00542B2D" w:rsidRPr="00D4539F" w:rsidRDefault="00542B2D" w:rsidP="00D4539F">
      <w:pPr>
        <w:jc w:val="both"/>
        <w:rPr>
          <w:rFonts w:ascii="Arial" w:hAnsi="Arial" w:cs="Arial"/>
          <w:sz w:val="20"/>
          <w:szCs w:val="20"/>
        </w:rPr>
      </w:pPr>
      <w:r w:rsidRPr="00D4539F">
        <w:rPr>
          <w:rFonts w:ascii="Arial" w:hAnsi="Arial" w:cs="Arial"/>
          <w:sz w:val="20"/>
          <w:szCs w:val="20"/>
        </w:rPr>
        <w:t>Soil samples from both plots were sent to the Soil Water Plant Laboratory (LABOSEP) in Sotuba, where a physicochemical analysis was performed to determine the pH, the different particle size fractions (sand, clay, and fine silt), and the carbon, nitrogen, potassium, and phosphorus contents. The texture triangle was used to determine the soil texture of the different sites.</w:t>
      </w:r>
    </w:p>
    <w:p w14:paraId="7C4C1E4E" w14:textId="77777777" w:rsidR="00441744" w:rsidRDefault="00441744" w:rsidP="00D4539F">
      <w:pPr>
        <w:jc w:val="both"/>
        <w:rPr>
          <w:rFonts w:ascii="Arial" w:hAnsi="Arial" w:cs="Arial"/>
          <w:b/>
        </w:rPr>
      </w:pPr>
    </w:p>
    <w:p w14:paraId="0F337F04" w14:textId="77777777" w:rsidR="00542B2D" w:rsidRPr="00441744" w:rsidRDefault="00441744" w:rsidP="00D4539F">
      <w:pPr>
        <w:jc w:val="both"/>
        <w:rPr>
          <w:rFonts w:ascii="Arial" w:hAnsi="Arial" w:cs="Arial"/>
          <w:b/>
        </w:rPr>
      </w:pPr>
      <w:r w:rsidRPr="00441744">
        <w:rPr>
          <w:rFonts w:ascii="Arial" w:hAnsi="Arial" w:cs="Arial"/>
          <w:b/>
        </w:rPr>
        <w:t xml:space="preserve">2.5. </w:t>
      </w:r>
      <w:r w:rsidR="00542B2D" w:rsidRPr="00441744">
        <w:rPr>
          <w:rFonts w:ascii="Arial" w:hAnsi="Arial" w:cs="Arial"/>
          <w:b/>
        </w:rPr>
        <w:t>Nematological Data</w:t>
      </w:r>
    </w:p>
    <w:p w14:paraId="459C667D" w14:textId="77777777" w:rsidR="00542B2D" w:rsidRPr="00D4539F" w:rsidRDefault="00542B2D" w:rsidP="00D4539F">
      <w:pPr>
        <w:jc w:val="both"/>
        <w:rPr>
          <w:rFonts w:ascii="Arial" w:hAnsi="Arial" w:cs="Arial"/>
          <w:sz w:val="20"/>
          <w:szCs w:val="20"/>
        </w:rPr>
      </w:pPr>
      <w:r w:rsidRPr="00D4539F">
        <w:rPr>
          <w:rFonts w:ascii="Arial" w:hAnsi="Arial" w:cs="Arial"/>
          <w:sz w:val="20"/>
          <w:szCs w:val="20"/>
        </w:rPr>
        <w:t>The data were entered into an Excel spreadsheet and analyzed. The importance of each nematode genus was determined by calculating the density and frequency of occurrence by genus and plot. An analysis of variance was performed to compare the average densities of nematodes living in the rhizosphere of the two bean varieties.</w:t>
      </w:r>
    </w:p>
    <w:p w14:paraId="1C149F6E" w14:textId="77777777" w:rsidR="00542B2D" w:rsidRPr="00441744" w:rsidRDefault="00542B2D" w:rsidP="00D4539F">
      <w:pPr>
        <w:jc w:val="both"/>
        <w:rPr>
          <w:rFonts w:ascii="Arial" w:hAnsi="Arial" w:cs="Arial"/>
          <w:i/>
          <w:sz w:val="20"/>
          <w:szCs w:val="20"/>
        </w:rPr>
      </w:pPr>
      <w:r w:rsidRPr="00441744">
        <w:rPr>
          <w:rFonts w:ascii="Arial" w:hAnsi="Arial" w:cs="Arial"/>
          <w:i/>
          <w:sz w:val="20"/>
          <w:szCs w:val="20"/>
        </w:rPr>
        <w:t>Nematode Frequency</w:t>
      </w:r>
    </w:p>
    <w:p w14:paraId="5E350684" w14:textId="77777777" w:rsidR="00542B2D" w:rsidRPr="00D4539F" w:rsidRDefault="00542B2D" w:rsidP="00D4539F">
      <w:pPr>
        <w:jc w:val="both"/>
        <w:rPr>
          <w:rFonts w:ascii="Arial" w:hAnsi="Arial" w:cs="Arial"/>
          <w:sz w:val="20"/>
          <w:szCs w:val="20"/>
        </w:rPr>
      </w:pPr>
      <w:r w:rsidRPr="00D4539F">
        <w:rPr>
          <w:rFonts w:ascii="Arial" w:hAnsi="Arial" w:cs="Arial"/>
          <w:sz w:val="20"/>
          <w:szCs w:val="20"/>
        </w:rPr>
        <w:t xml:space="preserve">Occurrence provides information on the environmental preference of a given species. It consists of counting the number of times species x appears in the samples. This number is expressed as a percentage of the total number of records and provides information on the species frequently encountered in the environment. According to (Dajoz 1985) we </w:t>
      </w:r>
      <w:proofErr w:type="gramStart"/>
      <w:r w:rsidRPr="00D4539F">
        <w:rPr>
          <w:rFonts w:ascii="Arial" w:hAnsi="Arial" w:cs="Arial"/>
          <w:sz w:val="20"/>
          <w:szCs w:val="20"/>
        </w:rPr>
        <w:t>distinguish:</w:t>
      </w:r>
      <w:proofErr w:type="gramEnd"/>
      <w:r w:rsidRPr="00D4539F">
        <w:rPr>
          <w:rFonts w:ascii="Arial" w:hAnsi="Arial" w:cs="Arial"/>
          <w:sz w:val="20"/>
          <w:szCs w:val="20"/>
        </w:rPr>
        <w:t xml:space="preserve"> constant species (F ≥ 50%), accessory species (25% &lt; F&lt; 50%), accidental species (F ≤ 25%).</w:t>
      </w:r>
    </w:p>
    <w:p w14:paraId="3347E1B3" w14:textId="77777777" w:rsidR="00542B2D" w:rsidRPr="00D4539F" w:rsidRDefault="00D4539F" w:rsidP="00542B2D">
      <w:pPr>
        <w:rPr>
          <w:rFonts w:ascii="Arial" w:hAnsi="Arial" w:cs="Arial"/>
          <w:b/>
        </w:rPr>
      </w:pPr>
      <w:r>
        <w:rPr>
          <w:rFonts w:ascii="Arial" w:hAnsi="Arial" w:cs="Arial"/>
          <w:b/>
        </w:rPr>
        <w:t xml:space="preserve">3. </w:t>
      </w:r>
      <w:r w:rsidRPr="00D4539F">
        <w:rPr>
          <w:rFonts w:ascii="Arial" w:hAnsi="Arial" w:cs="Arial"/>
          <w:b/>
        </w:rPr>
        <w:t>RESULTS</w:t>
      </w:r>
    </w:p>
    <w:p w14:paraId="67AA7182" w14:textId="77777777" w:rsidR="00542B2D" w:rsidRPr="00441744" w:rsidRDefault="00441744" w:rsidP="00D4539F">
      <w:pPr>
        <w:jc w:val="both"/>
        <w:rPr>
          <w:rFonts w:ascii="Arial" w:hAnsi="Arial" w:cs="Arial"/>
          <w:b/>
        </w:rPr>
      </w:pPr>
      <w:r w:rsidRPr="00441744">
        <w:rPr>
          <w:rFonts w:ascii="Arial" w:hAnsi="Arial" w:cs="Arial"/>
          <w:b/>
        </w:rPr>
        <w:t xml:space="preserve">3.1. </w:t>
      </w:r>
      <w:r w:rsidR="00542B2D" w:rsidRPr="00441744">
        <w:rPr>
          <w:rFonts w:ascii="Arial" w:hAnsi="Arial" w:cs="Arial"/>
          <w:b/>
        </w:rPr>
        <w:t>Nematological Analysis</w:t>
      </w:r>
    </w:p>
    <w:p w14:paraId="10D16E22" w14:textId="77777777" w:rsidR="00542B2D" w:rsidRPr="00441744" w:rsidRDefault="00441744" w:rsidP="00D4539F">
      <w:pPr>
        <w:jc w:val="both"/>
        <w:rPr>
          <w:rFonts w:ascii="Arial" w:hAnsi="Arial" w:cs="Arial"/>
          <w:i/>
          <w:sz w:val="20"/>
          <w:szCs w:val="20"/>
        </w:rPr>
      </w:pPr>
      <w:r w:rsidRPr="00441744">
        <w:rPr>
          <w:rFonts w:ascii="Arial" w:hAnsi="Arial" w:cs="Arial"/>
          <w:i/>
          <w:sz w:val="20"/>
          <w:szCs w:val="20"/>
        </w:rPr>
        <w:t xml:space="preserve">3.1.1. </w:t>
      </w:r>
      <w:r w:rsidR="00542B2D" w:rsidRPr="00441744">
        <w:rPr>
          <w:rFonts w:ascii="Arial" w:hAnsi="Arial" w:cs="Arial"/>
          <w:i/>
          <w:sz w:val="20"/>
          <w:szCs w:val="20"/>
        </w:rPr>
        <w:t>Importance of Soil Nematodes</w:t>
      </w:r>
    </w:p>
    <w:p w14:paraId="4D7AC307" w14:textId="77777777" w:rsidR="00542B2D" w:rsidRPr="00D4539F" w:rsidRDefault="00542B2D" w:rsidP="00D4539F">
      <w:pPr>
        <w:jc w:val="both"/>
        <w:rPr>
          <w:rFonts w:ascii="Arial" w:hAnsi="Arial" w:cs="Arial"/>
          <w:sz w:val="20"/>
          <w:szCs w:val="20"/>
        </w:rPr>
      </w:pPr>
      <w:r w:rsidRPr="00D4539F">
        <w:rPr>
          <w:rFonts w:ascii="Arial" w:hAnsi="Arial" w:cs="Arial"/>
          <w:sz w:val="20"/>
          <w:szCs w:val="20"/>
        </w:rPr>
        <w:t>Analysis of soil samples from the two plots revealed the presence of eight genera of phytonematodes belonging to six families (Table 2</w:t>
      </w:r>
      <w:proofErr w:type="gramStart"/>
      <w:r w:rsidRPr="00D4539F">
        <w:rPr>
          <w:rFonts w:ascii="Arial" w:hAnsi="Arial" w:cs="Arial"/>
          <w:sz w:val="20"/>
          <w:szCs w:val="20"/>
        </w:rPr>
        <w:t>):</w:t>
      </w:r>
      <w:proofErr w:type="gramEnd"/>
      <w:r w:rsidRPr="00D4539F">
        <w:rPr>
          <w:rFonts w:ascii="Arial" w:hAnsi="Arial" w:cs="Arial"/>
          <w:sz w:val="20"/>
          <w:szCs w:val="20"/>
        </w:rPr>
        <w:t xml:space="preserve"> </w:t>
      </w:r>
      <w:r w:rsidRPr="00441744">
        <w:rPr>
          <w:rFonts w:ascii="Arial" w:hAnsi="Arial" w:cs="Arial"/>
          <w:i/>
          <w:sz w:val="20"/>
          <w:szCs w:val="20"/>
        </w:rPr>
        <w:t xml:space="preserve">Scutellonema, Tylenchorhynchus, Paratylenchus, Helicotylenchus, Meloidogyne, Pratylenchus, Criconemella, </w:t>
      </w:r>
      <w:r w:rsidRPr="00441744">
        <w:rPr>
          <w:rFonts w:ascii="Arial" w:hAnsi="Arial" w:cs="Arial"/>
          <w:sz w:val="20"/>
          <w:szCs w:val="20"/>
        </w:rPr>
        <w:t>and</w:t>
      </w:r>
      <w:r w:rsidRPr="00441744">
        <w:rPr>
          <w:rFonts w:ascii="Arial" w:hAnsi="Arial" w:cs="Arial"/>
          <w:i/>
          <w:sz w:val="20"/>
          <w:szCs w:val="20"/>
        </w:rPr>
        <w:t xml:space="preserve"> Hoplolaimus</w:t>
      </w:r>
      <w:r w:rsidRPr="00D4539F">
        <w:rPr>
          <w:rFonts w:ascii="Arial" w:hAnsi="Arial" w:cs="Arial"/>
          <w:sz w:val="20"/>
          <w:szCs w:val="20"/>
        </w:rPr>
        <w:t xml:space="preserve">. Among these nematodes, three genera accounted for 69% of the nematodes </w:t>
      </w:r>
      <w:proofErr w:type="gramStart"/>
      <w:r w:rsidRPr="00D4539F">
        <w:rPr>
          <w:rFonts w:ascii="Arial" w:hAnsi="Arial" w:cs="Arial"/>
          <w:sz w:val="20"/>
          <w:szCs w:val="20"/>
        </w:rPr>
        <w:t>recorded:</w:t>
      </w:r>
      <w:proofErr w:type="gramEnd"/>
      <w:r w:rsidRPr="00D4539F">
        <w:rPr>
          <w:rFonts w:ascii="Arial" w:hAnsi="Arial" w:cs="Arial"/>
          <w:sz w:val="20"/>
          <w:szCs w:val="20"/>
        </w:rPr>
        <w:t xml:space="preserve"> </w:t>
      </w:r>
      <w:r w:rsidRPr="00441744">
        <w:rPr>
          <w:rFonts w:ascii="Arial" w:hAnsi="Arial" w:cs="Arial"/>
          <w:i/>
          <w:sz w:val="20"/>
          <w:szCs w:val="20"/>
        </w:rPr>
        <w:t>Pratylenchus, Tylenchorhynchus,</w:t>
      </w:r>
      <w:r w:rsidRPr="00441744">
        <w:rPr>
          <w:rFonts w:ascii="Arial" w:hAnsi="Arial" w:cs="Arial"/>
          <w:sz w:val="20"/>
          <w:szCs w:val="20"/>
        </w:rPr>
        <w:t xml:space="preserve"> and</w:t>
      </w:r>
      <w:r w:rsidRPr="00441744">
        <w:rPr>
          <w:rFonts w:ascii="Arial" w:hAnsi="Arial" w:cs="Arial"/>
          <w:i/>
          <w:sz w:val="20"/>
          <w:szCs w:val="20"/>
        </w:rPr>
        <w:t xml:space="preserve"> Helicotylenchus</w:t>
      </w:r>
      <w:r w:rsidRPr="00D4539F">
        <w:rPr>
          <w:rFonts w:ascii="Arial" w:hAnsi="Arial" w:cs="Arial"/>
          <w:sz w:val="20"/>
          <w:szCs w:val="20"/>
        </w:rPr>
        <w:t xml:space="preserve">. The eight genera were found in the rhizosphere of the Blanc de Kati, compared to five around the GLP </w:t>
      </w:r>
      <w:r w:rsidRPr="00D4539F">
        <w:rPr>
          <w:rFonts w:ascii="Arial" w:hAnsi="Arial" w:cs="Arial"/>
          <w:sz w:val="20"/>
          <w:szCs w:val="20"/>
        </w:rPr>
        <w:lastRenderedPageBreak/>
        <w:t xml:space="preserve">variety (Figure). Average densities varied from one plot to another. The highest proliferation was observed for the genus </w:t>
      </w:r>
      <w:r w:rsidRPr="00441744">
        <w:rPr>
          <w:rFonts w:ascii="Arial" w:hAnsi="Arial" w:cs="Arial"/>
          <w:i/>
          <w:sz w:val="20"/>
          <w:szCs w:val="20"/>
        </w:rPr>
        <w:t>Pratylenchus</w:t>
      </w:r>
      <w:r w:rsidRPr="00D4539F">
        <w:rPr>
          <w:rFonts w:ascii="Arial" w:hAnsi="Arial" w:cs="Arial"/>
          <w:sz w:val="20"/>
          <w:szCs w:val="20"/>
        </w:rPr>
        <w:t xml:space="preserve"> in the rhizosphere of the GLP variety, with a density of 233 individuals per 100g of soil. On the other hand, the lowest density was that of the genus </w:t>
      </w:r>
      <w:r w:rsidRPr="00441744">
        <w:rPr>
          <w:rFonts w:ascii="Arial" w:hAnsi="Arial" w:cs="Arial"/>
          <w:i/>
          <w:sz w:val="20"/>
          <w:szCs w:val="20"/>
        </w:rPr>
        <w:t xml:space="preserve">Scutellonema </w:t>
      </w:r>
      <w:r w:rsidRPr="00D4539F">
        <w:rPr>
          <w:rFonts w:ascii="Arial" w:hAnsi="Arial" w:cs="Arial"/>
          <w:sz w:val="20"/>
          <w:szCs w:val="20"/>
        </w:rPr>
        <w:t>around the GLP variety with 10 individuals/100g of soil. Statistical analysis of the average densities per variety showed a significant difference between the means (Anova, p&lt;5%).</w:t>
      </w:r>
    </w:p>
    <w:p w14:paraId="7998B19D" w14:textId="77777777" w:rsidR="00542B2D" w:rsidRDefault="00542B2D" w:rsidP="00542B2D">
      <w:pPr>
        <w:jc w:val="center"/>
      </w:pPr>
      <w:r w:rsidRPr="003202FD">
        <w:rPr>
          <w:rFonts w:cstheme="minorHAnsi"/>
          <w:noProof/>
          <w:sz w:val="24"/>
          <w:szCs w:val="24"/>
          <w:lang w:eastAsia="fr-FR"/>
        </w:rPr>
        <w:drawing>
          <wp:inline distT="0" distB="0" distL="0" distR="0" wp14:anchorId="5421AFEC" wp14:editId="2B66C867">
            <wp:extent cx="3664915" cy="1781020"/>
            <wp:effectExtent l="0" t="0" r="0" b="0"/>
            <wp:docPr id="14134355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35547" name=""/>
                    <pic:cNvPicPr/>
                  </pic:nvPicPr>
                  <pic:blipFill>
                    <a:blip r:embed="rId10"/>
                    <a:stretch>
                      <a:fillRect/>
                    </a:stretch>
                  </pic:blipFill>
                  <pic:spPr>
                    <a:xfrm>
                      <a:off x="0" y="0"/>
                      <a:ext cx="3690481" cy="1793444"/>
                    </a:xfrm>
                    <a:prstGeom prst="rect">
                      <a:avLst/>
                    </a:prstGeom>
                  </pic:spPr>
                </pic:pic>
              </a:graphicData>
            </a:graphic>
          </wp:inline>
        </w:drawing>
      </w:r>
    </w:p>
    <w:p w14:paraId="71E2DE93" w14:textId="77777777" w:rsidR="00542B2D" w:rsidRPr="00441744" w:rsidRDefault="00542B2D" w:rsidP="00D4539F">
      <w:pPr>
        <w:jc w:val="both"/>
        <w:rPr>
          <w:rFonts w:ascii="Arial" w:hAnsi="Arial" w:cs="Arial"/>
          <w:b/>
          <w:sz w:val="20"/>
          <w:szCs w:val="20"/>
        </w:rPr>
      </w:pPr>
      <w:r w:rsidRPr="00441744">
        <w:rPr>
          <w:rFonts w:ascii="Arial" w:hAnsi="Arial" w:cs="Arial"/>
          <w:b/>
          <w:sz w:val="20"/>
          <w:szCs w:val="20"/>
        </w:rPr>
        <w:t xml:space="preserve">Figure </w:t>
      </w:r>
      <w:proofErr w:type="gramStart"/>
      <w:r w:rsidRPr="00441744">
        <w:rPr>
          <w:rFonts w:ascii="Arial" w:hAnsi="Arial" w:cs="Arial"/>
          <w:b/>
          <w:sz w:val="20"/>
          <w:szCs w:val="20"/>
        </w:rPr>
        <w:t>4:</w:t>
      </w:r>
      <w:proofErr w:type="gramEnd"/>
      <w:r w:rsidRPr="00441744">
        <w:rPr>
          <w:rFonts w:ascii="Arial" w:hAnsi="Arial" w:cs="Arial"/>
          <w:b/>
          <w:sz w:val="20"/>
          <w:szCs w:val="20"/>
        </w:rPr>
        <w:t xml:space="preserve"> Average nematode densities in the rhizosphere of the two bean varieties</w:t>
      </w:r>
    </w:p>
    <w:p w14:paraId="2781A810" w14:textId="77777777" w:rsidR="00542B2D" w:rsidRPr="00441744" w:rsidRDefault="00441744" w:rsidP="00D4539F">
      <w:pPr>
        <w:jc w:val="both"/>
        <w:rPr>
          <w:rFonts w:ascii="Arial" w:hAnsi="Arial" w:cs="Arial"/>
          <w:b/>
        </w:rPr>
      </w:pPr>
      <w:r w:rsidRPr="00441744">
        <w:rPr>
          <w:rFonts w:ascii="Arial" w:hAnsi="Arial" w:cs="Arial"/>
          <w:b/>
        </w:rPr>
        <w:t>3.1.2.</w:t>
      </w:r>
      <w:r w:rsidR="00542B2D" w:rsidRPr="00441744">
        <w:rPr>
          <w:rFonts w:ascii="Arial" w:hAnsi="Arial" w:cs="Arial"/>
          <w:b/>
        </w:rPr>
        <w:t xml:space="preserve"> Root nematodes</w:t>
      </w:r>
    </w:p>
    <w:p w14:paraId="34192EA0" w14:textId="77777777" w:rsidR="00542B2D" w:rsidRPr="00D4539F" w:rsidRDefault="00542B2D" w:rsidP="00D4539F">
      <w:pPr>
        <w:jc w:val="both"/>
        <w:rPr>
          <w:rFonts w:ascii="Arial" w:hAnsi="Arial" w:cs="Arial"/>
          <w:sz w:val="20"/>
          <w:szCs w:val="20"/>
        </w:rPr>
      </w:pPr>
      <w:r w:rsidRPr="00D4539F">
        <w:rPr>
          <w:rFonts w:ascii="Arial" w:hAnsi="Arial" w:cs="Arial"/>
          <w:sz w:val="20"/>
          <w:szCs w:val="20"/>
        </w:rPr>
        <w:t xml:space="preserve">From the analysis of the roots of the two varieties, six genera of nematodes were observed. These </w:t>
      </w:r>
      <w:proofErr w:type="gramStart"/>
      <w:r w:rsidRPr="00D4539F">
        <w:rPr>
          <w:rFonts w:ascii="Arial" w:hAnsi="Arial" w:cs="Arial"/>
          <w:sz w:val="20"/>
          <w:szCs w:val="20"/>
        </w:rPr>
        <w:t>were:</w:t>
      </w:r>
      <w:proofErr w:type="gramEnd"/>
      <w:r w:rsidRPr="00D4539F">
        <w:rPr>
          <w:rFonts w:ascii="Arial" w:hAnsi="Arial" w:cs="Arial"/>
          <w:sz w:val="20"/>
          <w:szCs w:val="20"/>
        </w:rPr>
        <w:t xml:space="preserve"> </w:t>
      </w:r>
      <w:r w:rsidRPr="00441744">
        <w:rPr>
          <w:rFonts w:ascii="Arial" w:hAnsi="Arial" w:cs="Arial"/>
          <w:i/>
          <w:sz w:val="20"/>
          <w:szCs w:val="20"/>
        </w:rPr>
        <w:t xml:space="preserve">Scutellonema, Tylenchorhynchus, Paratylenchus, Helicotylenchus, Meloidogyne, </w:t>
      </w:r>
      <w:r w:rsidRPr="00441744">
        <w:rPr>
          <w:rFonts w:ascii="Arial" w:hAnsi="Arial" w:cs="Arial"/>
          <w:sz w:val="20"/>
          <w:szCs w:val="20"/>
        </w:rPr>
        <w:t>and</w:t>
      </w:r>
      <w:r w:rsidRPr="00441744">
        <w:rPr>
          <w:rFonts w:ascii="Arial" w:hAnsi="Arial" w:cs="Arial"/>
          <w:i/>
          <w:sz w:val="20"/>
          <w:szCs w:val="20"/>
        </w:rPr>
        <w:t xml:space="preserve"> Pratylenchus</w:t>
      </w:r>
      <w:r w:rsidRPr="00D4539F">
        <w:rPr>
          <w:rFonts w:ascii="Arial" w:hAnsi="Arial" w:cs="Arial"/>
          <w:sz w:val="20"/>
          <w:szCs w:val="20"/>
        </w:rPr>
        <w:t xml:space="preserve">. Nematode densities varied by genera and by plot. Overall, the GLP variety showed a higher proliferation. The </w:t>
      </w:r>
      <w:r w:rsidRPr="00441744">
        <w:rPr>
          <w:rFonts w:ascii="Arial" w:hAnsi="Arial" w:cs="Arial"/>
          <w:i/>
          <w:sz w:val="20"/>
          <w:szCs w:val="20"/>
        </w:rPr>
        <w:t>Helicotylenchus</w:t>
      </w:r>
      <w:r w:rsidRPr="00D4539F">
        <w:rPr>
          <w:rFonts w:ascii="Arial" w:hAnsi="Arial" w:cs="Arial"/>
          <w:sz w:val="20"/>
          <w:szCs w:val="20"/>
        </w:rPr>
        <w:t xml:space="preserve"> genus was the highest, with a density of 684 nematodes/20g of fresh roots. The lowest density was noted for the </w:t>
      </w:r>
      <w:r w:rsidRPr="00441744">
        <w:rPr>
          <w:rFonts w:ascii="Arial" w:hAnsi="Arial" w:cs="Arial"/>
          <w:i/>
          <w:sz w:val="20"/>
          <w:szCs w:val="20"/>
        </w:rPr>
        <w:t>Paratylenchus</w:t>
      </w:r>
      <w:r w:rsidRPr="00D4539F">
        <w:rPr>
          <w:rFonts w:ascii="Arial" w:hAnsi="Arial" w:cs="Arial"/>
          <w:sz w:val="20"/>
          <w:szCs w:val="20"/>
        </w:rPr>
        <w:t xml:space="preserve"> genus, with 37 nematodes/20g of roots. For Kati white, the genus </w:t>
      </w:r>
      <w:r w:rsidRPr="00441744">
        <w:rPr>
          <w:rFonts w:ascii="Arial" w:hAnsi="Arial" w:cs="Arial"/>
          <w:i/>
          <w:sz w:val="20"/>
          <w:szCs w:val="20"/>
        </w:rPr>
        <w:t>Scutellonema</w:t>
      </w:r>
      <w:r w:rsidRPr="00D4539F">
        <w:rPr>
          <w:rFonts w:ascii="Arial" w:hAnsi="Arial" w:cs="Arial"/>
          <w:sz w:val="20"/>
          <w:szCs w:val="20"/>
        </w:rPr>
        <w:t xml:space="preserve"> is the densest genus with 330 individuals/20g of roots and the lowest density is that of </w:t>
      </w:r>
      <w:r w:rsidRPr="00441744">
        <w:rPr>
          <w:rFonts w:ascii="Arial" w:hAnsi="Arial" w:cs="Arial"/>
          <w:i/>
          <w:sz w:val="20"/>
          <w:szCs w:val="20"/>
        </w:rPr>
        <w:t>Paratylenchus</w:t>
      </w:r>
      <w:r w:rsidRPr="00D4539F">
        <w:rPr>
          <w:rFonts w:ascii="Arial" w:hAnsi="Arial" w:cs="Arial"/>
          <w:sz w:val="20"/>
          <w:szCs w:val="20"/>
        </w:rPr>
        <w:t xml:space="preserve"> with 20 individuals/20g (figure 5).</w:t>
      </w:r>
    </w:p>
    <w:p w14:paraId="451E8E89" w14:textId="77777777" w:rsidR="004952D3" w:rsidRDefault="004952D3" w:rsidP="004952D3">
      <w:pPr>
        <w:jc w:val="center"/>
      </w:pPr>
      <w:r w:rsidRPr="003202FD">
        <w:rPr>
          <w:rFonts w:cstheme="minorHAnsi"/>
          <w:b/>
          <w:noProof/>
          <w:sz w:val="24"/>
          <w:szCs w:val="24"/>
          <w:lang w:eastAsia="fr-FR"/>
        </w:rPr>
        <w:drawing>
          <wp:inline distT="0" distB="0" distL="0" distR="0" wp14:anchorId="2122DED4" wp14:editId="51CB2276">
            <wp:extent cx="3268980" cy="2099052"/>
            <wp:effectExtent l="0" t="0" r="7620" b="0"/>
            <wp:docPr id="16663743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374350" name=""/>
                    <pic:cNvPicPr/>
                  </pic:nvPicPr>
                  <pic:blipFill>
                    <a:blip r:embed="rId11"/>
                    <a:stretch>
                      <a:fillRect/>
                    </a:stretch>
                  </pic:blipFill>
                  <pic:spPr>
                    <a:xfrm>
                      <a:off x="0" y="0"/>
                      <a:ext cx="3316564" cy="2129606"/>
                    </a:xfrm>
                    <a:prstGeom prst="rect">
                      <a:avLst/>
                    </a:prstGeom>
                  </pic:spPr>
                </pic:pic>
              </a:graphicData>
            </a:graphic>
          </wp:inline>
        </w:drawing>
      </w:r>
    </w:p>
    <w:p w14:paraId="404EF284" w14:textId="77777777" w:rsidR="004952D3" w:rsidRPr="00441744" w:rsidRDefault="004952D3" w:rsidP="00441744">
      <w:pPr>
        <w:jc w:val="center"/>
        <w:rPr>
          <w:rFonts w:ascii="Arial" w:hAnsi="Arial" w:cs="Arial"/>
          <w:b/>
          <w:sz w:val="20"/>
          <w:szCs w:val="20"/>
        </w:rPr>
      </w:pPr>
      <w:r w:rsidRPr="00441744">
        <w:rPr>
          <w:rFonts w:ascii="Arial" w:hAnsi="Arial" w:cs="Arial"/>
          <w:b/>
          <w:sz w:val="20"/>
          <w:szCs w:val="20"/>
        </w:rPr>
        <w:t xml:space="preserve">Figure </w:t>
      </w:r>
      <w:proofErr w:type="gramStart"/>
      <w:r w:rsidRPr="00441744">
        <w:rPr>
          <w:rFonts w:ascii="Arial" w:hAnsi="Arial" w:cs="Arial"/>
          <w:b/>
          <w:sz w:val="20"/>
          <w:szCs w:val="20"/>
        </w:rPr>
        <w:t>5:</w:t>
      </w:r>
      <w:proofErr w:type="gramEnd"/>
      <w:r w:rsidRPr="00441744">
        <w:rPr>
          <w:rFonts w:ascii="Arial" w:hAnsi="Arial" w:cs="Arial"/>
          <w:b/>
          <w:sz w:val="20"/>
          <w:szCs w:val="20"/>
        </w:rPr>
        <w:t xml:space="preserve"> Average nematode density in the roots of the two bean varieties</w:t>
      </w:r>
    </w:p>
    <w:p w14:paraId="2FBA7624" w14:textId="77777777" w:rsidR="004952D3" w:rsidRPr="00441744" w:rsidRDefault="00441744" w:rsidP="00D4539F">
      <w:pPr>
        <w:jc w:val="both"/>
        <w:rPr>
          <w:rFonts w:ascii="Arial" w:hAnsi="Arial" w:cs="Arial"/>
          <w:b/>
          <w:sz w:val="20"/>
          <w:szCs w:val="20"/>
        </w:rPr>
      </w:pPr>
      <w:r w:rsidRPr="00441744">
        <w:rPr>
          <w:rFonts w:ascii="Arial" w:hAnsi="Arial" w:cs="Arial"/>
          <w:b/>
          <w:sz w:val="20"/>
          <w:szCs w:val="20"/>
        </w:rPr>
        <w:t xml:space="preserve">3.1.3. </w:t>
      </w:r>
      <w:r w:rsidR="004952D3" w:rsidRPr="00441744">
        <w:rPr>
          <w:rFonts w:ascii="Arial" w:hAnsi="Arial" w:cs="Arial"/>
          <w:b/>
          <w:sz w:val="20"/>
          <w:szCs w:val="20"/>
        </w:rPr>
        <w:t>Nematode Occurrence Frequency</w:t>
      </w:r>
    </w:p>
    <w:p w14:paraId="1F5301CC" w14:textId="77777777" w:rsidR="004952D3" w:rsidRPr="00D4539F" w:rsidRDefault="004952D3" w:rsidP="00D4539F">
      <w:pPr>
        <w:jc w:val="both"/>
        <w:rPr>
          <w:rFonts w:ascii="Arial" w:hAnsi="Arial" w:cs="Arial"/>
          <w:sz w:val="20"/>
          <w:szCs w:val="20"/>
        </w:rPr>
      </w:pPr>
      <w:r w:rsidRPr="00D4539F">
        <w:rPr>
          <w:rFonts w:ascii="Arial" w:hAnsi="Arial" w:cs="Arial"/>
          <w:sz w:val="20"/>
          <w:szCs w:val="20"/>
        </w:rPr>
        <w:t>The frequency of occurrence allowed us to analyze the structure of the stands. The results showed that eight and five genera were found around the Blanc de Kati and GLP varieties, respectively (Table 2). All these genera were consistent, with an occurrence frequency ≥ 50%.</w:t>
      </w:r>
    </w:p>
    <w:p w14:paraId="4E78A3DC" w14:textId="77777777" w:rsidR="004952D3" w:rsidRPr="00441744" w:rsidRDefault="004952D3" w:rsidP="00441744">
      <w:pPr>
        <w:jc w:val="center"/>
        <w:rPr>
          <w:rFonts w:ascii="Arial" w:hAnsi="Arial" w:cs="Arial"/>
          <w:b/>
          <w:sz w:val="20"/>
          <w:szCs w:val="20"/>
        </w:rPr>
      </w:pPr>
      <w:r w:rsidRPr="00441744">
        <w:rPr>
          <w:rFonts w:ascii="Arial" w:hAnsi="Arial" w:cs="Arial"/>
          <w:b/>
          <w:sz w:val="20"/>
          <w:szCs w:val="20"/>
        </w:rPr>
        <w:t xml:space="preserve">Table </w:t>
      </w:r>
      <w:proofErr w:type="gramStart"/>
      <w:r w:rsidRPr="00441744">
        <w:rPr>
          <w:rFonts w:ascii="Arial" w:hAnsi="Arial" w:cs="Arial"/>
          <w:b/>
          <w:sz w:val="20"/>
          <w:szCs w:val="20"/>
        </w:rPr>
        <w:t>2:</w:t>
      </w:r>
      <w:proofErr w:type="gramEnd"/>
      <w:r w:rsidRPr="00441744">
        <w:rPr>
          <w:rFonts w:ascii="Arial" w:hAnsi="Arial" w:cs="Arial"/>
          <w:b/>
          <w:sz w:val="20"/>
          <w:szCs w:val="20"/>
        </w:rPr>
        <w:t xml:space="preserve"> Nematode occurrence frequencies in the two plots combined</w:t>
      </w:r>
    </w:p>
    <w:tbl>
      <w:tblPr>
        <w:tblW w:w="8926" w:type="dxa"/>
        <w:jc w:val="center"/>
        <w:tblCellMar>
          <w:left w:w="70" w:type="dxa"/>
          <w:right w:w="70" w:type="dxa"/>
        </w:tblCellMar>
        <w:tblLook w:val="04A0" w:firstRow="1" w:lastRow="0" w:firstColumn="1" w:lastColumn="0" w:noHBand="0" w:noVBand="1"/>
      </w:tblPr>
      <w:tblGrid>
        <w:gridCol w:w="1980"/>
        <w:gridCol w:w="1559"/>
        <w:gridCol w:w="284"/>
        <w:gridCol w:w="2835"/>
        <w:gridCol w:w="2268"/>
      </w:tblGrid>
      <w:tr w:rsidR="004952D3" w:rsidRPr="00D4539F" w14:paraId="012F1349" w14:textId="77777777" w:rsidTr="00441744">
        <w:trPr>
          <w:trHeight w:val="315"/>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3303F8" w14:textId="77777777" w:rsidR="004952D3" w:rsidRPr="00441744" w:rsidRDefault="004952D3" w:rsidP="00D4539F">
            <w:pPr>
              <w:spacing w:after="0" w:line="240" w:lineRule="auto"/>
              <w:jc w:val="both"/>
              <w:rPr>
                <w:rFonts w:ascii="Arial" w:eastAsia="Times New Roman" w:hAnsi="Arial" w:cs="Arial"/>
                <w:b/>
                <w:color w:val="000000"/>
                <w:sz w:val="20"/>
                <w:szCs w:val="20"/>
                <w:lang w:eastAsia="fr-FR"/>
              </w:rPr>
            </w:pPr>
            <w:r w:rsidRPr="00441744">
              <w:rPr>
                <w:rFonts w:ascii="Arial" w:eastAsia="Times New Roman" w:hAnsi="Arial" w:cs="Arial"/>
                <w:b/>
                <w:color w:val="000000"/>
                <w:sz w:val="20"/>
                <w:szCs w:val="20"/>
                <w:lang w:eastAsia="fr-FR"/>
              </w:rPr>
              <w:t>Genres</w:t>
            </w:r>
          </w:p>
        </w:tc>
        <w:tc>
          <w:tcPr>
            <w:tcW w:w="1559" w:type="dxa"/>
            <w:tcBorders>
              <w:top w:val="single" w:sz="4" w:space="0" w:color="auto"/>
              <w:left w:val="nil"/>
              <w:bottom w:val="single" w:sz="4" w:space="0" w:color="auto"/>
              <w:right w:val="single" w:sz="4" w:space="0" w:color="auto"/>
            </w:tcBorders>
          </w:tcPr>
          <w:p w14:paraId="112BFACB" w14:textId="77777777" w:rsidR="004952D3" w:rsidRPr="00441744" w:rsidRDefault="004952D3" w:rsidP="00D4539F">
            <w:pPr>
              <w:spacing w:after="0" w:line="240" w:lineRule="auto"/>
              <w:jc w:val="both"/>
              <w:rPr>
                <w:rFonts w:ascii="Arial" w:eastAsia="Times New Roman" w:hAnsi="Arial" w:cs="Arial"/>
                <w:b/>
                <w:color w:val="000000"/>
                <w:sz w:val="20"/>
                <w:szCs w:val="20"/>
                <w:lang w:eastAsia="fr-FR"/>
              </w:rPr>
            </w:pPr>
            <w:r w:rsidRPr="00441744">
              <w:rPr>
                <w:rFonts w:ascii="Arial" w:eastAsia="Times New Roman" w:hAnsi="Arial" w:cs="Arial"/>
                <w:b/>
                <w:color w:val="000000"/>
                <w:sz w:val="20"/>
                <w:szCs w:val="20"/>
                <w:lang w:eastAsia="fr-FR"/>
              </w:rPr>
              <w:t>Famillies</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40EBFA" w14:textId="77777777" w:rsidR="004952D3" w:rsidRPr="00441744" w:rsidRDefault="004952D3" w:rsidP="00441744">
            <w:pPr>
              <w:jc w:val="both"/>
              <w:rPr>
                <w:rFonts w:ascii="Arial" w:eastAsia="Times New Roman" w:hAnsi="Arial" w:cs="Arial"/>
                <w:b/>
                <w:color w:val="000000"/>
                <w:sz w:val="20"/>
                <w:szCs w:val="20"/>
                <w:lang w:eastAsia="fr-FR"/>
              </w:rPr>
            </w:pPr>
            <w:r w:rsidRPr="00441744">
              <w:rPr>
                <w:rFonts w:ascii="Arial" w:hAnsi="Arial" w:cs="Arial"/>
                <w:b/>
                <w:sz w:val="20"/>
                <w:szCs w:val="20"/>
              </w:rPr>
              <w:t>Frequencies</w:t>
            </w:r>
            <w:r w:rsidR="00441744">
              <w:rPr>
                <w:rFonts w:ascii="Arial" w:hAnsi="Arial" w:cs="Arial"/>
                <w:b/>
                <w:sz w:val="20"/>
                <w:szCs w:val="20"/>
              </w:rPr>
              <w:t xml:space="preserve"> </w:t>
            </w:r>
            <w:r w:rsidRPr="00441744">
              <w:rPr>
                <w:rFonts w:ascii="Arial" w:hAnsi="Arial" w:cs="Arial"/>
                <w:b/>
                <w:sz w:val="20"/>
                <w:szCs w:val="20"/>
              </w:rPr>
              <w:t xml:space="preserve">Of occurrence %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58A9B26E" w14:textId="77777777" w:rsidR="004952D3" w:rsidRPr="00441744" w:rsidRDefault="004952D3" w:rsidP="00441744">
            <w:pPr>
              <w:jc w:val="both"/>
              <w:rPr>
                <w:rFonts w:ascii="Arial" w:eastAsia="Times New Roman" w:hAnsi="Arial" w:cs="Arial"/>
                <w:b/>
                <w:color w:val="000000"/>
                <w:sz w:val="20"/>
                <w:szCs w:val="20"/>
                <w:lang w:eastAsia="fr-FR"/>
              </w:rPr>
            </w:pPr>
            <w:r w:rsidRPr="00441744">
              <w:rPr>
                <w:rFonts w:ascii="Arial" w:hAnsi="Arial" w:cs="Arial"/>
                <w:b/>
                <w:sz w:val="20"/>
                <w:szCs w:val="20"/>
              </w:rPr>
              <w:t>Types</w:t>
            </w:r>
            <w:r w:rsidR="00441744">
              <w:rPr>
                <w:rFonts w:ascii="Arial" w:hAnsi="Arial" w:cs="Arial"/>
                <w:b/>
                <w:sz w:val="20"/>
                <w:szCs w:val="20"/>
              </w:rPr>
              <w:t xml:space="preserve"> </w:t>
            </w:r>
            <w:r w:rsidRPr="00441744">
              <w:rPr>
                <w:rFonts w:ascii="Arial" w:hAnsi="Arial" w:cs="Arial"/>
                <w:b/>
                <w:sz w:val="20"/>
                <w:szCs w:val="20"/>
              </w:rPr>
              <w:t>Of occurrence</w:t>
            </w:r>
          </w:p>
        </w:tc>
      </w:tr>
      <w:tr w:rsidR="004952D3" w:rsidRPr="00D4539F" w14:paraId="04404307" w14:textId="77777777" w:rsidTr="00441744">
        <w:trPr>
          <w:trHeight w:val="315"/>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06038B86" w14:textId="77777777" w:rsidR="004952D3" w:rsidRPr="00D4539F" w:rsidRDefault="004952D3" w:rsidP="00441744">
            <w:pPr>
              <w:spacing w:after="0" w:line="240" w:lineRule="auto"/>
              <w:jc w:val="center"/>
              <w:rPr>
                <w:rFonts w:ascii="Arial" w:eastAsia="Times New Roman" w:hAnsi="Arial" w:cs="Arial"/>
                <w:i/>
                <w:iCs/>
                <w:color w:val="000000"/>
                <w:sz w:val="20"/>
                <w:szCs w:val="20"/>
                <w:lang w:eastAsia="fr-FR"/>
              </w:rPr>
            </w:pPr>
            <w:r w:rsidRPr="00D4539F">
              <w:rPr>
                <w:rFonts w:ascii="Arial" w:eastAsia="Times New Roman" w:hAnsi="Arial" w:cs="Arial"/>
                <w:i/>
                <w:iCs/>
                <w:color w:val="000000"/>
                <w:sz w:val="20"/>
                <w:szCs w:val="20"/>
                <w:lang w:eastAsia="fr-FR"/>
              </w:rPr>
              <w:t>Scutellonema</w:t>
            </w:r>
          </w:p>
        </w:tc>
        <w:tc>
          <w:tcPr>
            <w:tcW w:w="1843" w:type="dxa"/>
            <w:gridSpan w:val="2"/>
            <w:tcBorders>
              <w:top w:val="single" w:sz="4" w:space="0" w:color="auto"/>
              <w:left w:val="nil"/>
              <w:bottom w:val="single" w:sz="4" w:space="0" w:color="auto"/>
              <w:right w:val="single" w:sz="4" w:space="0" w:color="auto"/>
            </w:tcBorders>
          </w:tcPr>
          <w:p w14:paraId="510C4967" w14:textId="77777777" w:rsidR="004952D3" w:rsidRPr="00D4539F" w:rsidRDefault="004952D3" w:rsidP="00441744">
            <w:pPr>
              <w:spacing w:after="0" w:line="240" w:lineRule="auto"/>
              <w:jc w:val="center"/>
              <w:rPr>
                <w:rFonts w:ascii="Arial" w:eastAsia="Times New Roman" w:hAnsi="Arial" w:cs="Arial"/>
                <w:color w:val="000000"/>
                <w:sz w:val="20"/>
                <w:szCs w:val="20"/>
                <w:lang w:eastAsia="fr-FR"/>
              </w:rPr>
            </w:pPr>
            <w:r w:rsidRPr="00D4539F">
              <w:rPr>
                <w:rFonts w:ascii="Arial" w:eastAsia="Times New Roman" w:hAnsi="Arial" w:cs="Arial"/>
                <w:color w:val="000000"/>
                <w:sz w:val="20"/>
                <w:szCs w:val="20"/>
                <w:lang w:eastAsia="fr-FR"/>
              </w:rPr>
              <w:t>Hoplolaimidae</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14:paraId="5F68E2D2" w14:textId="77777777" w:rsidR="004952D3" w:rsidRPr="00D4539F" w:rsidRDefault="004952D3" w:rsidP="00441744">
            <w:pPr>
              <w:spacing w:after="0" w:line="240" w:lineRule="auto"/>
              <w:jc w:val="center"/>
              <w:rPr>
                <w:rFonts w:ascii="Arial" w:eastAsia="Times New Roman" w:hAnsi="Arial" w:cs="Arial"/>
                <w:color w:val="000000"/>
                <w:sz w:val="20"/>
                <w:szCs w:val="20"/>
                <w:lang w:eastAsia="fr-FR"/>
              </w:rPr>
            </w:pPr>
            <w:r w:rsidRPr="00D4539F">
              <w:rPr>
                <w:rFonts w:ascii="Arial" w:eastAsia="Times New Roman" w:hAnsi="Arial" w:cs="Arial"/>
                <w:color w:val="000000"/>
                <w:sz w:val="20"/>
                <w:szCs w:val="20"/>
                <w:lang w:eastAsia="fr-FR"/>
              </w:rPr>
              <w:t>100</w:t>
            </w:r>
          </w:p>
        </w:tc>
        <w:tc>
          <w:tcPr>
            <w:tcW w:w="2268" w:type="dxa"/>
            <w:tcBorders>
              <w:top w:val="nil"/>
              <w:left w:val="nil"/>
              <w:bottom w:val="single" w:sz="4" w:space="0" w:color="auto"/>
              <w:right w:val="single" w:sz="4" w:space="0" w:color="auto"/>
            </w:tcBorders>
            <w:shd w:val="clear" w:color="auto" w:fill="auto"/>
            <w:vAlign w:val="center"/>
            <w:hideMark/>
          </w:tcPr>
          <w:p w14:paraId="55D26A2E" w14:textId="77777777" w:rsidR="004952D3" w:rsidRPr="00D4539F" w:rsidRDefault="004952D3" w:rsidP="00441744">
            <w:pPr>
              <w:spacing w:after="0" w:line="240" w:lineRule="auto"/>
              <w:jc w:val="center"/>
              <w:rPr>
                <w:rFonts w:ascii="Arial" w:eastAsia="Times New Roman" w:hAnsi="Arial" w:cs="Arial"/>
                <w:color w:val="000000"/>
                <w:sz w:val="20"/>
                <w:szCs w:val="20"/>
                <w:lang w:eastAsia="fr-FR"/>
              </w:rPr>
            </w:pPr>
            <w:r w:rsidRPr="00D4539F">
              <w:rPr>
                <w:rFonts w:ascii="Arial" w:eastAsia="Times New Roman" w:hAnsi="Arial" w:cs="Arial"/>
                <w:color w:val="000000"/>
                <w:sz w:val="20"/>
                <w:szCs w:val="20"/>
                <w:lang w:eastAsia="fr-FR"/>
              </w:rPr>
              <w:t>Constant</w:t>
            </w:r>
          </w:p>
        </w:tc>
      </w:tr>
      <w:tr w:rsidR="004952D3" w:rsidRPr="00D4539F" w14:paraId="7E43E373" w14:textId="77777777" w:rsidTr="00441744">
        <w:trPr>
          <w:trHeight w:val="315"/>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30580EA1" w14:textId="77777777" w:rsidR="004952D3" w:rsidRPr="00D4539F" w:rsidRDefault="004952D3" w:rsidP="00441744">
            <w:pPr>
              <w:spacing w:after="0" w:line="240" w:lineRule="auto"/>
              <w:jc w:val="center"/>
              <w:rPr>
                <w:rFonts w:ascii="Arial" w:eastAsia="Times New Roman" w:hAnsi="Arial" w:cs="Arial"/>
                <w:i/>
                <w:iCs/>
                <w:color w:val="000000"/>
                <w:sz w:val="20"/>
                <w:szCs w:val="20"/>
                <w:lang w:eastAsia="fr-FR"/>
              </w:rPr>
            </w:pPr>
            <w:r w:rsidRPr="00D4539F">
              <w:rPr>
                <w:rFonts w:ascii="Arial" w:eastAsia="Times New Roman" w:hAnsi="Arial" w:cs="Arial"/>
                <w:i/>
                <w:iCs/>
                <w:color w:val="000000"/>
                <w:sz w:val="20"/>
                <w:szCs w:val="20"/>
                <w:lang w:eastAsia="fr-FR"/>
              </w:rPr>
              <w:t>Tylenchorhynchus</w:t>
            </w:r>
          </w:p>
        </w:tc>
        <w:tc>
          <w:tcPr>
            <w:tcW w:w="1843" w:type="dxa"/>
            <w:gridSpan w:val="2"/>
            <w:tcBorders>
              <w:top w:val="single" w:sz="4" w:space="0" w:color="auto"/>
              <w:left w:val="nil"/>
              <w:bottom w:val="single" w:sz="4" w:space="0" w:color="auto"/>
              <w:right w:val="single" w:sz="4" w:space="0" w:color="auto"/>
            </w:tcBorders>
          </w:tcPr>
          <w:p w14:paraId="3D35FAF9" w14:textId="77777777" w:rsidR="004952D3" w:rsidRPr="00D4539F" w:rsidRDefault="004952D3" w:rsidP="00441744">
            <w:pPr>
              <w:spacing w:after="0" w:line="240" w:lineRule="auto"/>
              <w:jc w:val="center"/>
              <w:rPr>
                <w:rFonts w:ascii="Arial" w:eastAsia="Times New Roman" w:hAnsi="Arial" w:cs="Arial"/>
                <w:color w:val="000000"/>
                <w:sz w:val="20"/>
                <w:szCs w:val="20"/>
                <w:lang w:eastAsia="fr-FR"/>
              </w:rPr>
            </w:pPr>
            <w:r w:rsidRPr="00D4539F">
              <w:rPr>
                <w:rFonts w:ascii="Arial" w:eastAsia="Times New Roman" w:hAnsi="Arial" w:cs="Arial"/>
                <w:color w:val="000000"/>
                <w:sz w:val="20"/>
                <w:szCs w:val="20"/>
                <w:lang w:eastAsia="fr-FR"/>
              </w:rPr>
              <w:t>Belonolaimidae</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14:paraId="5AE9FD0B" w14:textId="77777777" w:rsidR="004952D3" w:rsidRPr="00D4539F" w:rsidRDefault="004952D3" w:rsidP="00441744">
            <w:pPr>
              <w:spacing w:after="0" w:line="240" w:lineRule="auto"/>
              <w:jc w:val="center"/>
              <w:rPr>
                <w:rFonts w:ascii="Arial" w:eastAsia="Times New Roman" w:hAnsi="Arial" w:cs="Arial"/>
                <w:color w:val="000000"/>
                <w:sz w:val="20"/>
                <w:szCs w:val="20"/>
                <w:lang w:eastAsia="fr-FR"/>
              </w:rPr>
            </w:pPr>
            <w:r w:rsidRPr="00D4539F">
              <w:rPr>
                <w:rFonts w:ascii="Arial" w:eastAsia="Times New Roman" w:hAnsi="Arial" w:cs="Arial"/>
                <w:color w:val="000000"/>
                <w:sz w:val="20"/>
                <w:szCs w:val="20"/>
                <w:lang w:eastAsia="fr-FR"/>
              </w:rPr>
              <w:t>100</w:t>
            </w:r>
          </w:p>
        </w:tc>
        <w:tc>
          <w:tcPr>
            <w:tcW w:w="2268" w:type="dxa"/>
            <w:tcBorders>
              <w:top w:val="nil"/>
              <w:left w:val="nil"/>
              <w:bottom w:val="single" w:sz="4" w:space="0" w:color="auto"/>
              <w:right w:val="single" w:sz="4" w:space="0" w:color="auto"/>
            </w:tcBorders>
            <w:shd w:val="clear" w:color="auto" w:fill="auto"/>
            <w:vAlign w:val="center"/>
            <w:hideMark/>
          </w:tcPr>
          <w:p w14:paraId="5D9D7FFD" w14:textId="77777777" w:rsidR="004952D3" w:rsidRPr="00D4539F" w:rsidRDefault="004952D3" w:rsidP="00441744">
            <w:pPr>
              <w:spacing w:after="0" w:line="240" w:lineRule="auto"/>
              <w:jc w:val="center"/>
              <w:rPr>
                <w:rFonts w:ascii="Arial" w:eastAsia="Times New Roman" w:hAnsi="Arial" w:cs="Arial"/>
                <w:color w:val="000000"/>
                <w:sz w:val="20"/>
                <w:szCs w:val="20"/>
                <w:lang w:eastAsia="fr-FR"/>
              </w:rPr>
            </w:pPr>
            <w:r w:rsidRPr="00D4539F">
              <w:rPr>
                <w:rFonts w:ascii="Arial" w:eastAsia="Times New Roman" w:hAnsi="Arial" w:cs="Arial"/>
                <w:color w:val="000000"/>
                <w:sz w:val="20"/>
                <w:szCs w:val="20"/>
                <w:lang w:eastAsia="fr-FR"/>
              </w:rPr>
              <w:t>Constant</w:t>
            </w:r>
          </w:p>
        </w:tc>
      </w:tr>
      <w:tr w:rsidR="004952D3" w:rsidRPr="00D4539F" w14:paraId="4B32B55A" w14:textId="77777777" w:rsidTr="00441744">
        <w:trPr>
          <w:trHeight w:val="315"/>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0D79AB1E" w14:textId="77777777" w:rsidR="004952D3" w:rsidRPr="00D4539F" w:rsidRDefault="004952D3" w:rsidP="00441744">
            <w:pPr>
              <w:spacing w:after="0" w:line="240" w:lineRule="auto"/>
              <w:jc w:val="center"/>
              <w:rPr>
                <w:rFonts w:ascii="Arial" w:eastAsia="Times New Roman" w:hAnsi="Arial" w:cs="Arial"/>
                <w:i/>
                <w:iCs/>
                <w:color w:val="000000"/>
                <w:sz w:val="20"/>
                <w:szCs w:val="20"/>
                <w:lang w:eastAsia="fr-FR"/>
              </w:rPr>
            </w:pPr>
            <w:r w:rsidRPr="00D4539F">
              <w:rPr>
                <w:rFonts w:ascii="Arial" w:eastAsia="Times New Roman" w:hAnsi="Arial" w:cs="Arial"/>
                <w:i/>
                <w:iCs/>
                <w:color w:val="000000"/>
                <w:sz w:val="20"/>
                <w:szCs w:val="20"/>
                <w:lang w:eastAsia="fr-FR"/>
              </w:rPr>
              <w:lastRenderedPageBreak/>
              <w:t>Paratylenchus</w:t>
            </w:r>
          </w:p>
        </w:tc>
        <w:tc>
          <w:tcPr>
            <w:tcW w:w="1843" w:type="dxa"/>
            <w:gridSpan w:val="2"/>
            <w:tcBorders>
              <w:top w:val="single" w:sz="4" w:space="0" w:color="auto"/>
              <w:left w:val="nil"/>
              <w:bottom w:val="single" w:sz="4" w:space="0" w:color="auto"/>
              <w:right w:val="single" w:sz="4" w:space="0" w:color="auto"/>
            </w:tcBorders>
          </w:tcPr>
          <w:p w14:paraId="0FA64696" w14:textId="77777777" w:rsidR="004952D3" w:rsidRPr="00D4539F" w:rsidRDefault="004952D3" w:rsidP="00441744">
            <w:pPr>
              <w:spacing w:after="0" w:line="240" w:lineRule="auto"/>
              <w:jc w:val="center"/>
              <w:rPr>
                <w:rFonts w:ascii="Arial" w:eastAsia="Times New Roman" w:hAnsi="Arial" w:cs="Arial"/>
                <w:color w:val="000000"/>
                <w:sz w:val="20"/>
                <w:szCs w:val="20"/>
                <w:lang w:eastAsia="fr-FR"/>
              </w:rPr>
            </w:pPr>
            <w:r w:rsidRPr="00D4539F">
              <w:rPr>
                <w:rFonts w:ascii="Arial" w:eastAsia="Times New Roman" w:hAnsi="Arial" w:cs="Arial"/>
                <w:color w:val="000000"/>
                <w:sz w:val="20"/>
                <w:szCs w:val="20"/>
                <w:lang w:eastAsia="fr-FR"/>
              </w:rPr>
              <w:t>Paratylenchidae</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14:paraId="78EEB42B" w14:textId="77777777" w:rsidR="004952D3" w:rsidRPr="00D4539F" w:rsidRDefault="004952D3" w:rsidP="00441744">
            <w:pPr>
              <w:spacing w:after="0" w:line="240" w:lineRule="auto"/>
              <w:jc w:val="center"/>
              <w:rPr>
                <w:rFonts w:ascii="Arial" w:eastAsia="Times New Roman" w:hAnsi="Arial" w:cs="Arial"/>
                <w:color w:val="000000"/>
                <w:sz w:val="20"/>
                <w:szCs w:val="20"/>
                <w:lang w:eastAsia="fr-FR"/>
              </w:rPr>
            </w:pPr>
            <w:r w:rsidRPr="00D4539F">
              <w:rPr>
                <w:rFonts w:ascii="Arial" w:eastAsia="Times New Roman" w:hAnsi="Arial" w:cs="Arial"/>
                <w:color w:val="000000"/>
                <w:sz w:val="20"/>
                <w:szCs w:val="20"/>
                <w:lang w:eastAsia="fr-FR"/>
              </w:rPr>
              <w:t>100</w:t>
            </w:r>
          </w:p>
        </w:tc>
        <w:tc>
          <w:tcPr>
            <w:tcW w:w="2268" w:type="dxa"/>
            <w:tcBorders>
              <w:top w:val="nil"/>
              <w:left w:val="nil"/>
              <w:bottom w:val="single" w:sz="4" w:space="0" w:color="auto"/>
              <w:right w:val="single" w:sz="4" w:space="0" w:color="auto"/>
            </w:tcBorders>
            <w:shd w:val="clear" w:color="auto" w:fill="auto"/>
            <w:vAlign w:val="center"/>
            <w:hideMark/>
          </w:tcPr>
          <w:p w14:paraId="7882C0FD" w14:textId="77777777" w:rsidR="004952D3" w:rsidRPr="00D4539F" w:rsidRDefault="004952D3" w:rsidP="00441744">
            <w:pPr>
              <w:spacing w:after="0" w:line="240" w:lineRule="auto"/>
              <w:jc w:val="center"/>
              <w:rPr>
                <w:rFonts w:ascii="Arial" w:eastAsia="Times New Roman" w:hAnsi="Arial" w:cs="Arial"/>
                <w:color w:val="000000"/>
                <w:sz w:val="20"/>
                <w:szCs w:val="20"/>
                <w:lang w:eastAsia="fr-FR"/>
              </w:rPr>
            </w:pPr>
            <w:r w:rsidRPr="00D4539F">
              <w:rPr>
                <w:rFonts w:ascii="Arial" w:eastAsia="Times New Roman" w:hAnsi="Arial" w:cs="Arial"/>
                <w:color w:val="000000"/>
                <w:sz w:val="20"/>
                <w:szCs w:val="20"/>
                <w:lang w:eastAsia="fr-FR"/>
              </w:rPr>
              <w:t>Constant</w:t>
            </w:r>
          </w:p>
        </w:tc>
      </w:tr>
      <w:tr w:rsidR="004952D3" w:rsidRPr="00D4539F" w14:paraId="1F72C931" w14:textId="77777777" w:rsidTr="00441744">
        <w:trPr>
          <w:trHeight w:val="315"/>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736418E1" w14:textId="77777777" w:rsidR="004952D3" w:rsidRPr="00D4539F" w:rsidRDefault="004952D3" w:rsidP="00441744">
            <w:pPr>
              <w:spacing w:after="0" w:line="240" w:lineRule="auto"/>
              <w:jc w:val="center"/>
              <w:rPr>
                <w:rFonts w:ascii="Arial" w:eastAsia="Times New Roman" w:hAnsi="Arial" w:cs="Arial"/>
                <w:i/>
                <w:iCs/>
                <w:color w:val="000000"/>
                <w:sz w:val="20"/>
                <w:szCs w:val="20"/>
                <w:lang w:eastAsia="fr-FR"/>
              </w:rPr>
            </w:pPr>
            <w:r w:rsidRPr="00D4539F">
              <w:rPr>
                <w:rFonts w:ascii="Arial" w:eastAsia="Times New Roman" w:hAnsi="Arial" w:cs="Arial"/>
                <w:i/>
                <w:iCs/>
                <w:color w:val="000000"/>
                <w:sz w:val="20"/>
                <w:szCs w:val="20"/>
                <w:lang w:eastAsia="fr-FR"/>
              </w:rPr>
              <w:t>Helichotylenchus</w:t>
            </w:r>
          </w:p>
        </w:tc>
        <w:tc>
          <w:tcPr>
            <w:tcW w:w="1843" w:type="dxa"/>
            <w:gridSpan w:val="2"/>
            <w:tcBorders>
              <w:top w:val="single" w:sz="4" w:space="0" w:color="auto"/>
              <w:left w:val="nil"/>
              <w:bottom w:val="single" w:sz="4" w:space="0" w:color="auto"/>
              <w:right w:val="single" w:sz="4" w:space="0" w:color="auto"/>
            </w:tcBorders>
          </w:tcPr>
          <w:p w14:paraId="621B721D" w14:textId="77777777" w:rsidR="004952D3" w:rsidRPr="00D4539F" w:rsidRDefault="004952D3" w:rsidP="00441744">
            <w:pPr>
              <w:spacing w:after="0" w:line="240" w:lineRule="auto"/>
              <w:jc w:val="center"/>
              <w:rPr>
                <w:rFonts w:ascii="Arial" w:eastAsia="Times New Roman" w:hAnsi="Arial" w:cs="Arial"/>
                <w:color w:val="000000"/>
                <w:sz w:val="20"/>
                <w:szCs w:val="20"/>
                <w:lang w:eastAsia="fr-FR"/>
              </w:rPr>
            </w:pPr>
            <w:r w:rsidRPr="00D4539F">
              <w:rPr>
                <w:rFonts w:ascii="Arial" w:eastAsia="Times New Roman" w:hAnsi="Arial" w:cs="Arial"/>
                <w:color w:val="000000"/>
                <w:sz w:val="20"/>
                <w:szCs w:val="20"/>
                <w:lang w:eastAsia="fr-FR"/>
              </w:rPr>
              <w:t>Hoplolaimidae</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14:paraId="51F59E79" w14:textId="77777777" w:rsidR="004952D3" w:rsidRPr="00D4539F" w:rsidRDefault="004952D3" w:rsidP="00441744">
            <w:pPr>
              <w:spacing w:after="0" w:line="240" w:lineRule="auto"/>
              <w:jc w:val="center"/>
              <w:rPr>
                <w:rFonts w:ascii="Arial" w:eastAsia="Times New Roman" w:hAnsi="Arial" w:cs="Arial"/>
                <w:color w:val="000000"/>
                <w:sz w:val="20"/>
                <w:szCs w:val="20"/>
                <w:lang w:eastAsia="fr-FR"/>
              </w:rPr>
            </w:pPr>
            <w:r w:rsidRPr="00D4539F">
              <w:rPr>
                <w:rFonts w:ascii="Arial" w:eastAsia="Times New Roman" w:hAnsi="Arial" w:cs="Arial"/>
                <w:color w:val="000000"/>
                <w:sz w:val="20"/>
                <w:szCs w:val="20"/>
                <w:lang w:eastAsia="fr-FR"/>
              </w:rPr>
              <w:t>100</w:t>
            </w:r>
          </w:p>
        </w:tc>
        <w:tc>
          <w:tcPr>
            <w:tcW w:w="2268" w:type="dxa"/>
            <w:tcBorders>
              <w:top w:val="nil"/>
              <w:left w:val="nil"/>
              <w:bottom w:val="single" w:sz="4" w:space="0" w:color="auto"/>
              <w:right w:val="single" w:sz="4" w:space="0" w:color="auto"/>
            </w:tcBorders>
            <w:shd w:val="clear" w:color="auto" w:fill="auto"/>
            <w:vAlign w:val="center"/>
            <w:hideMark/>
          </w:tcPr>
          <w:p w14:paraId="56CD5CED" w14:textId="77777777" w:rsidR="004952D3" w:rsidRPr="00D4539F" w:rsidRDefault="004952D3" w:rsidP="00441744">
            <w:pPr>
              <w:spacing w:after="0" w:line="240" w:lineRule="auto"/>
              <w:jc w:val="center"/>
              <w:rPr>
                <w:rFonts w:ascii="Arial" w:eastAsia="Times New Roman" w:hAnsi="Arial" w:cs="Arial"/>
                <w:color w:val="000000"/>
                <w:sz w:val="20"/>
                <w:szCs w:val="20"/>
                <w:lang w:eastAsia="fr-FR"/>
              </w:rPr>
            </w:pPr>
            <w:r w:rsidRPr="00D4539F">
              <w:rPr>
                <w:rFonts w:ascii="Arial" w:eastAsia="Times New Roman" w:hAnsi="Arial" w:cs="Arial"/>
                <w:color w:val="000000"/>
                <w:sz w:val="20"/>
                <w:szCs w:val="20"/>
                <w:lang w:eastAsia="fr-FR"/>
              </w:rPr>
              <w:t>Constant</w:t>
            </w:r>
          </w:p>
        </w:tc>
      </w:tr>
      <w:tr w:rsidR="004952D3" w:rsidRPr="00D4539F" w14:paraId="240E8B21" w14:textId="77777777" w:rsidTr="00441744">
        <w:trPr>
          <w:trHeight w:val="315"/>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119D0F28" w14:textId="77777777" w:rsidR="004952D3" w:rsidRPr="00D4539F" w:rsidRDefault="004952D3" w:rsidP="00441744">
            <w:pPr>
              <w:spacing w:after="0" w:line="240" w:lineRule="auto"/>
              <w:jc w:val="center"/>
              <w:rPr>
                <w:rFonts w:ascii="Arial" w:eastAsia="Times New Roman" w:hAnsi="Arial" w:cs="Arial"/>
                <w:i/>
                <w:iCs/>
                <w:color w:val="000000"/>
                <w:sz w:val="20"/>
                <w:szCs w:val="20"/>
                <w:lang w:eastAsia="fr-FR"/>
              </w:rPr>
            </w:pPr>
            <w:r w:rsidRPr="00D4539F">
              <w:rPr>
                <w:rFonts w:ascii="Arial" w:eastAsia="Times New Roman" w:hAnsi="Arial" w:cs="Arial"/>
                <w:i/>
                <w:iCs/>
                <w:color w:val="000000"/>
                <w:sz w:val="20"/>
                <w:szCs w:val="20"/>
                <w:lang w:eastAsia="fr-FR"/>
              </w:rPr>
              <w:t>Meloidogyne</w:t>
            </w:r>
          </w:p>
        </w:tc>
        <w:tc>
          <w:tcPr>
            <w:tcW w:w="1843" w:type="dxa"/>
            <w:gridSpan w:val="2"/>
            <w:tcBorders>
              <w:top w:val="single" w:sz="4" w:space="0" w:color="auto"/>
              <w:left w:val="nil"/>
              <w:bottom w:val="single" w:sz="4" w:space="0" w:color="auto"/>
              <w:right w:val="single" w:sz="4" w:space="0" w:color="auto"/>
            </w:tcBorders>
          </w:tcPr>
          <w:p w14:paraId="515B2767" w14:textId="77777777" w:rsidR="004952D3" w:rsidRPr="00D4539F" w:rsidRDefault="004952D3" w:rsidP="00441744">
            <w:pPr>
              <w:spacing w:after="0" w:line="240" w:lineRule="auto"/>
              <w:jc w:val="center"/>
              <w:rPr>
                <w:rFonts w:ascii="Arial" w:eastAsia="Times New Roman" w:hAnsi="Arial" w:cs="Arial"/>
                <w:color w:val="000000"/>
                <w:sz w:val="20"/>
                <w:szCs w:val="20"/>
                <w:lang w:eastAsia="fr-FR"/>
              </w:rPr>
            </w:pPr>
            <w:r w:rsidRPr="00D4539F">
              <w:rPr>
                <w:rFonts w:ascii="Arial" w:eastAsia="Times New Roman" w:hAnsi="Arial" w:cs="Arial"/>
                <w:color w:val="000000"/>
                <w:sz w:val="20"/>
                <w:szCs w:val="20"/>
                <w:lang w:eastAsia="fr-FR"/>
              </w:rPr>
              <w:t>Heteroderidae</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14:paraId="31038B43" w14:textId="77777777" w:rsidR="004952D3" w:rsidRPr="00D4539F" w:rsidRDefault="004952D3" w:rsidP="00441744">
            <w:pPr>
              <w:spacing w:after="0" w:line="240" w:lineRule="auto"/>
              <w:jc w:val="center"/>
              <w:rPr>
                <w:rFonts w:ascii="Arial" w:eastAsia="Times New Roman" w:hAnsi="Arial" w:cs="Arial"/>
                <w:color w:val="000000"/>
                <w:sz w:val="20"/>
                <w:szCs w:val="20"/>
                <w:lang w:eastAsia="fr-FR"/>
              </w:rPr>
            </w:pPr>
            <w:r w:rsidRPr="00D4539F">
              <w:rPr>
                <w:rFonts w:ascii="Arial" w:eastAsia="Times New Roman" w:hAnsi="Arial" w:cs="Arial"/>
                <w:color w:val="000000"/>
                <w:sz w:val="20"/>
                <w:szCs w:val="20"/>
                <w:lang w:eastAsia="fr-FR"/>
              </w:rPr>
              <w:t>100</w:t>
            </w:r>
          </w:p>
        </w:tc>
        <w:tc>
          <w:tcPr>
            <w:tcW w:w="2268" w:type="dxa"/>
            <w:tcBorders>
              <w:top w:val="nil"/>
              <w:left w:val="nil"/>
              <w:bottom w:val="single" w:sz="4" w:space="0" w:color="auto"/>
              <w:right w:val="single" w:sz="4" w:space="0" w:color="auto"/>
            </w:tcBorders>
            <w:shd w:val="clear" w:color="auto" w:fill="auto"/>
            <w:vAlign w:val="center"/>
            <w:hideMark/>
          </w:tcPr>
          <w:p w14:paraId="700251F1" w14:textId="77777777" w:rsidR="004952D3" w:rsidRPr="00D4539F" w:rsidRDefault="004952D3" w:rsidP="00441744">
            <w:pPr>
              <w:spacing w:after="0" w:line="240" w:lineRule="auto"/>
              <w:jc w:val="center"/>
              <w:rPr>
                <w:rFonts w:ascii="Arial" w:eastAsia="Times New Roman" w:hAnsi="Arial" w:cs="Arial"/>
                <w:color w:val="000000"/>
                <w:sz w:val="20"/>
                <w:szCs w:val="20"/>
                <w:lang w:eastAsia="fr-FR"/>
              </w:rPr>
            </w:pPr>
            <w:r w:rsidRPr="00D4539F">
              <w:rPr>
                <w:rFonts w:ascii="Arial" w:eastAsia="Times New Roman" w:hAnsi="Arial" w:cs="Arial"/>
                <w:color w:val="000000"/>
                <w:sz w:val="20"/>
                <w:szCs w:val="20"/>
                <w:lang w:eastAsia="fr-FR"/>
              </w:rPr>
              <w:t>Constant</w:t>
            </w:r>
          </w:p>
        </w:tc>
      </w:tr>
      <w:tr w:rsidR="004952D3" w:rsidRPr="00D4539F" w14:paraId="26E57437" w14:textId="77777777" w:rsidTr="00441744">
        <w:trPr>
          <w:trHeight w:val="315"/>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5CFC3F23" w14:textId="77777777" w:rsidR="004952D3" w:rsidRPr="00D4539F" w:rsidRDefault="004952D3" w:rsidP="00441744">
            <w:pPr>
              <w:spacing w:after="0" w:line="240" w:lineRule="auto"/>
              <w:jc w:val="center"/>
              <w:rPr>
                <w:rFonts w:ascii="Arial" w:eastAsia="Times New Roman" w:hAnsi="Arial" w:cs="Arial"/>
                <w:i/>
                <w:iCs/>
                <w:color w:val="000000"/>
                <w:sz w:val="20"/>
                <w:szCs w:val="20"/>
                <w:lang w:eastAsia="fr-FR"/>
              </w:rPr>
            </w:pPr>
            <w:r w:rsidRPr="00D4539F">
              <w:rPr>
                <w:rFonts w:ascii="Arial" w:eastAsia="Times New Roman" w:hAnsi="Arial" w:cs="Arial"/>
                <w:i/>
                <w:iCs/>
                <w:color w:val="000000"/>
                <w:sz w:val="20"/>
                <w:szCs w:val="20"/>
                <w:lang w:eastAsia="fr-FR"/>
              </w:rPr>
              <w:t>Pratylenchus</w:t>
            </w:r>
          </w:p>
        </w:tc>
        <w:tc>
          <w:tcPr>
            <w:tcW w:w="1843" w:type="dxa"/>
            <w:gridSpan w:val="2"/>
            <w:tcBorders>
              <w:top w:val="single" w:sz="4" w:space="0" w:color="auto"/>
              <w:left w:val="nil"/>
              <w:bottom w:val="single" w:sz="4" w:space="0" w:color="auto"/>
              <w:right w:val="single" w:sz="4" w:space="0" w:color="auto"/>
            </w:tcBorders>
          </w:tcPr>
          <w:p w14:paraId="540F0CDD" w14:textId="77777777" w:rsidR="004952D3" w:rsidRPr="00D4539F" w:rsidRDefault="004952D3" w:rsidP="00441744">
            <w:pPr>
              <w:spacing w:after="0" w:line="240" w:lineRule="auto"/>
              <w:jc w:val="center"/>
              <w:rPr>
                <w:rFonts w:ascii="Arial" w:eastAsia="Times New Roman" w:hAnsi="Arial" w:cs="Arial"/>
                <w:color w:val="000000"/>
                <w:sz w:val="20"/>
                <w:szCs w:val="20"/>
                <w:lang w:eastAsia="fr-FR"/>
              </w:rPr>
            </w:pPr>
            <w:r w:rsidRPr="00D4539F">
              <w:rPr>
                <w:rFonts w:ascii="Arial" w:eastAsia="Times New Roman" w:hAnsi="Arial" w:cs="Arial"/>
                <w:color w:val="000000"/>
                <w:sz w:val="20"/>
                <w:szCs w:val="20"/>
                <w:lang w:eastAsia="fr-FR"/>
              </w:rPr>
              <w:t>Pratylenchidae</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14:paraId="606D4A62" w14:textId="77777777" w:rsidR="004952D3" w:rsidRPr="00D4539F" w:rsidRDefault="004952D3" w:rsidP="00441744">
            <w:pPr>
              <w:spacing w:after="0" w:line="240" w:lineRule="auto"/>
              <w:jc w:val="center"/>
              <w:rPr>
                <w:rFonts w:ascii="Arial" w:eastAsia="Times New Roman" w:hAnsi="Arial" w:cs="Arial"/>
                <w:color w:val="000000"/>
                <w:sz w:val="20"/>
                <w:szCs w:val="20"/>
                <w:lang w:eastAsia="fr-FR"/>
              </w:rPr>
            </w:pPr>
            <w:r w:rsidRPr="00D4539F">
              <w:rPr>
                <w:rFonts w:ascii="Arial" w:eastAsia="Times New Roman" w:hAnsi="Arial" w:cs="Arial"/>
                <w:color w:val="000000"/>
                <w:sz w:val="20"/>
                <w:szCs w:val="20"/>
                <w:lang w:eastAsia="fr-FR"/>
              </w:rPr>
              <w:t>100</w:t>
            </w:r>
          </w:p>
        </w:tc>
        <w:tc>
          <w:tcPr>
            <w:tcW w:w="2268" w:type="dxa"/>
            <w:tcBorders>
              <w:top w:val="nil"/>
              <w:left w:val="nil"/>
              <w:bottom w:val="single" w:sz="4" w:space="0" w:color="auto"/>
              <w:right w:val="single" w:sz="4" w:space="0" w:color="auto"/>
            </w:tcBorders>
            <w:shd w:val="clear" w:color="auto" w:fill="auto"/>
            <w:vAlign w:val="center"/>
            <w:hideMark/>
          </w:tcPr>
          <w:p w14:paraId="5BCB721C" w14:textId="77777777" w:rsidR="004952D3" w:rsidRPr="00D4539F" w:rsidRDefault="004952D3" w:rsidP="00441744">
            <w:pPr>
              <w:spacing w:after="0" w:line="240" w:lineRule="auto"/>
              <w:jc w:val="center"/>
              <w:rPr>
                <w:rFonts w:ascii="Arial" w:eastAsia="Times New Roman" w:hAnsi="Arial" w:cs="Arial"/>
                <w:color w:val="000000"/>
                <w:sz w:val="20"/>
                <w:szCs w:val="20"/>
                <w:lang w:eastAsia="fr-FR"/>
              </w:rPr>
            </w:pPr>
            <w:r w:rsidRPr="00D4539F">
              <w:rPr>
                <w:rFonts w:ascii="Arial" w:eastAsia="Times New Roman" w:hAnsi="Arial" w:cs="Arial"/>
                <w:color w:val="000000"/>
                <w:sz w:val="20"/>
                <w:szCs w:val="20"/>
                <w:lang w:eastAsia="fr-FR"/>
              </w:rPr>
              <w:t>Constant</w:t>
            </w:r>
          </w:p>
        </w:tc>
      </w:tr>
      <w:tr w:rsidR="004952D3" w:rsidRPr="00D4539F" w14:paraId="11E8241B" w14:textId="77777777" w:rsidTr="00441744">
        <w:trPr>
          <w:trHeight w:val="315"/>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4BA825DD" w14:textId="77777777" w:rsidR="004952D3" w:rsidRPr="00D4539F" w:rsidRDefault="004952D3" w:rsidP="00441744">
            <w:pPr>
              <w:spacing w:after="0" w:line="240" w:lineRule="auto"/>
              <w:jc w:val="center"/>
              <w:rPr>
                <w:rFonts w:ascii="Arial" w:eastAsia="Times New Roman" w:hAnsi="Arial" w:cs="Arial"/>
                <w:i/>
                <w:iCs/>
                <w:color w:val="000000"/>
                <w:sz w:val="20"/>
                <w:szCs w:val="20"/>
                <w:lang w:eastAsia="fr-FR"/>
              </w:rPr>
            </w:pPr>
            <w:r w:rsidRPr="00D4539F">
              <w:rPr>
                <w:rFonts w:ascii="Arial" w:eastAsia="Times New Roman" w:hAnsi="Arial" w:cs="Arial"/>
                <w:i/>
                <w:iCs/>
                <w:color w:val="000000"/>
                <w:sz w:val="20"/>
                <w:szCs w:val="20"/>
                <w:lang w:eastAsia="fr-FR"/>
              </w:rPr>
              <w:t>Criconemella</w:t>
            </w:r>
          </w:p>
        </w:tc>
        <w:tc>
          <w:tcPr>
            <w:tcW w:w="1843" w:type="dxa"/>
            <w:gridSpan w:val="2"/>
            <w:tcBorders>
              <w:top w:val="single" w:sz="4" w:space="0" w:color="auto"/>
              <w:left w:val="nil"/>
              <w:bottom w:val="single" w:sz="4" w:space="0" w:color="auto"/>
              <w:right w:val="single" w:sz="4" w:space="0" w:color="auto"/>
            </w:tcBorders>
          </w:tcPr>
          <w:p w14:paraId="0CC17EDB" w14:textId="77777777" w:rsidR="004952D3" w:rsidRPr="00D4539F" w:rsidRDefault="004952D3" w:rsidP="00441744">
            <w:pPr>
              <w:spacing w:after="0" w:line="240" w:lineRule="auto"/>
              <w:jc w:val="center"/>
              <w:rPr>
                <w:rFonts w:ascii="Arial" w:eastAsia="Times New Roman" w:hAnsi="Arial" w:cs="Arial"/>
                <w:color w:val="000000"/>
                <w:sz w:val="20"/>
                <w:szCs w:val="20"/>
                <w:lang w:eastAsia="fr-FR"/>
              </w:rPr>
            </w:pPr>
            <w:r w:rsidRPr="00D4539F">
              <w:rPr>
                <w:rFonts w:ascii="Arial" w:eastAsia="Times New Roman" w:hAnsi="Arial" w:cs="Arial"/>
                <w:color w:val="000000"/>
                <w:sz w:val="20"/>
                <w:szCs w:val="20"/>
                <w:lang w:eastAsia="fr-FR"/>
              </w:rPr>
              <w:t>Criconematidae</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14:paraId="762C5CCA" w14:textId="77777777" w:rsidR="004952D3" w:rsidRPr="00D4539F" w:rsidRDefault="004952D3" w:rsidP="00441744">
            <w:pPr>
              <w:spacing w:after="0" w:line="240" w:lineRule="auto"/>
              <w:jc w:val="center"/>
              <w:rPr>
                <w:rFonts w:ascii="Arial" w:eastAsia="Times New Roman" w:hAnsi="Arial" w:cs="Arial"/>
                <w:color w:val="000000"/>
                <w:sz w:val="20"/>
                <w:szCs w:val="20"/>
                <w:lang w:eastAsia="fr-FR"/>
              </w:rPr>
            </w:pPr>
            <w:r w:rsidRPr="00D4539F">
              <w:rPr>
                <w:rFonts w:ascii="Arial" w:eastAsia="Times New Roman" w:hAnsi="Arial" w:cs="Arial"/>
                <w:color w:val="000000"/>
                <w:sz w:val="20"/>
                <w:szCs w:val="20"/>
                <w:lang w:eastAsia="fr-FR"/>
              </w:rPr>
              <w:t>100</w:t>
            </w:r>
          </w:p>
        </w:tc>
        <w:tc>
          <w:tcPr>
            <w:tcW w:w="2268" w:type="dxa"/>
            <w:tcBorders>
              <w:top w:val="nil"/>
              <w:left w:val="nil"/>
              <w:bottom w:val="single" w:sz="4" w:space="0" w:color="auto"/>
              <w:right w:val="single" w:sz="4" w:space="0" w:color="auto"/>
            </w:tcBorders>
            <w:shd w:val="clear" w:color="auto" w:fill="auto"/>
            <w:vAlign w:val="center"/>
            <w:hideMark/>
          </w:tcPr>
          <w:p w14:paraId="1EF0AB4B" w14:textId="77777777" w:rsidR="004952D3" w:rsidRPr="00D4539F" w:rsidRDefault="004952D3" w:rsidP="00441744">
            <w:pPr>
              <w:spacing w:after="0" w:line="240" w:lineRule="auto"/>
              <w:jc w:val="center"/>
              <w:rPr>
                <w:rFonts w:ascii="Arial" w:eastAsia="Times New Roman" w:hAnsi="Arial" w:cs="Arial"/>
                <w:color w:val="000000"/>
                <w:sz w:val="20"/>
                <w:szCs w:val="20"/>
                <w:lang w:eastAsia="fr-FR"/>
              </w:rPr>
            </w:pPr>
            <w:r w:rsidRPr="00D4539F">
              <w:rPr>
                <w:rFonts w:ascii="Arial" w:eastAsia="Times New Roman" w:hAnsi="Arial" w:cs="Arial"/>
                <w:color w:val="000000"/>
                <w:sz w:val="20"/>
                <w:szCs w:val="20"/>
                <w:lang w:eastAsia="fr-FR"/>
              </w:rPr>
              <w:t>Constant</w:t>
            </w:r>
          </w:p>
        </w:tc>
      </w:tr>
      <w:tr w:rsidR="004952D3" w:rsidRPr="00D4539F" w14:paraId="722375D3" w14:textId="77777777" w:rsidTr="00441744">
        <w:trPr>
          <w:trHeight w:val="315"/>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11BDDAB5" w14:textId="77777777" w:rsidR="004952D3" w:rsidRPr="00D4539F" w:rsidRDefault="004952D3" w:rsidP="00441744">
            <w:pPr>
              <w:spacing w:after="0" w:line="240" w:lineRule="auto"/>
              <w:jc w:val="center"/>
              <w:rPr>
                <w:rFonts w:ascii="Arial" w:eastAsia="Times New Roman" w:hAnsi="Arial" w:cs="Arial"/>
                <w:i/>
                <w:iCs/>
                <w:color w:val="000000"/>
                <w:sz w:val="20"/>
                <w:szCs w:val="20"/>
                <w:lang w:eastAsia="fr-FR"/>
              </w:rPr>
            </w:pPr>
            <w:r w:rsidRPr="00D4539F">
              <w:rPr>
                <w:rFonts w:ascii="Arial" w:eastAsia="Times New Roman" w:hAnsi="Arial" w:cs="Arial"/>
                <w:i/>
                <w:iCs/>
                <w:color w:val="000000"/>
                <w:sz w:val="20"/>
                <w:szCs w:val="20"/>
                <w:lang w:eastAsia="fr-FR"/>
              </w:rPr>
              <w:t>Hoplolaimus</w:t>
            </w:r>
          </w:p>
        </w:tc>
        <w:tc>
          <w:tcPr>
            <w:tcW w:w="1843" w:type="dxa"/>
            <w:gridSpan w:val="2"/>
            <w:tcBorders>
              <w:top w:val="single" w:sz="4" w:space="0" w:color="auto"/>
              <w:left w:val="nil"/>
              <w:bottom w:val="single" w:sz="4" w:space="0" w:color="auto"/>
              <w:right w:val="single" w:sz="4" w:space="0" w:color="auto"/>
            </w:tcBorders>
          </w:tcPr>
          <w:p w14:paraId="3B7BFC64" w14:textId="77777777" w:rsidR="004952D3" w:rsidRPr="00D4539F" w:rsidRDefault="004952D3" w:rsidP="00441744">
            <w:pPr>
              <w:spacing w:after="0" w:line="240" w:lineRule="auto"/>
              <w:jc w:val="center"/>
              <w:rPr>
                <w:rFonts w:ascii="Arial" w:eastAsia="Times New Roman" w:hAnsi="Arial" w:cs="Arial"/>
                <w:color w:val="000000"/>
                <w:sz w:val="20"/>
                <w:szCs w:val="20"/>
                <w:lang w:eastAsia="fr-FR"/>
              </w:rPr>
            </w:pPr>
            <w:r w:rsidRPr="00D4539F">
              <w:rPr>
                <w:rFonts w:ascii="Arial" w:eastAsia="Times New Roman" w:hAnsi="Arial" w:cs="Arial"/>
                <w:color w:val="000000"/>
                <w:sz w:val="20"/>
                <w:szCs w:val="20"/>
                <w:lang w:eastAsia="fr-FR"/>
              </w:rPr>
              <w:t>Hoplolaimidae</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14:paraId="1E8E495E" w14:textId="77777777" w:rsidR="004952D3" w:rsidRPr="00D4539F" w:rsidRDefault="004952D3" w:rsidP="00441744">
            <w:pPr>
              <w:spacing w:after="0" w:line="240" w:lineRule="auto"/>
              <w:jc w:val="center"/>
              <w:rPr>
                <w:rFonts w:ascii="Arial" w:eastAsia="Times New Roman" w:hAnsi="Arial" w:cs="Arial"/>
                <w:color w:val="000000"/>
                <w:sz w:val="20"/>
                <w:szCs w:val="20"/>
                <w:lang w:eastAsia="fr-FR"/>
              </w:rPr>
            </w:pPr>
            <w:r w:rsidRPr="00D4539F">
              <w:rPr>
                <w:rFonts w:ascii="Arial" w:eastAsia="Times New Roman" w:hAnsi="Arial" w:cs="Arial"/>
                <w:color w:val="000000"/>
                <w:sz w:val="20"/>
                <w:szCs w:val="20"/>
                <w:lang w:eastAsia="fr-FR"/>
              </w:rPr>
              <w:t>50</w:t>
            </w:r>
          </w:p>
        </w:tc>
        <w:tc>
          <w:tcPr>
            <w:tcW w:w="2268" w:type="dxa"/>
            <w:tcBorders>
              <w:top w:val="nil"/>
              <w:left w:val="nil"/>
              <w:bottom w:val="single" w:sz="4" w:space="0" w:color="auto"/>
              <w:right w:val="single" w:sz="4" w:space="0" w:color="auto"/>
            </w:tcBorders>
            <w:shd w:val="clear" w:color="auto" w:fill="auto"/>
            <w:vAlign w:val="center"/>
            <w:hideMark/>
          </w:tcPr>
          <w:p w14:paraId="53A16819" w14:textId="77777777" w:rsidR="004952D3" w:rsidRPr="00D4539F" w:rsidRDefault="004952D3" w:rsidP="00441744">
            <w:pPr>
              <w:spacing w:after="0" w:line="240" w:lineRule="auto"/>
              <w:jc w:val="center"/>
              <w:rPr>
                <w:rFonts w:ascii="Arial" w:eastAsia="Times New Roman" w:hAnsi="Arial" w:cs="Arial"/>
                <w:color w:val="000000"/>
                <w:sz w:val="20"/>
                <w:szCs w:val="20"/>
                <w:lang w:eastAsia="fr-FR"/>
              </w:rPr>
            </w:pPr>
            <w:r w:rsidRPr="00D4539F">
              <w:rPr>
                <w:rFonts w:ascii="Arial" w:eastAsia="Times New Roman" w:hAnsi="Arial" w:cs="Arial"/>
                <w:color w:val="000000"/>
                <w:sz w:val="20"/>
                <w:szCs w:val="20"/>
                <w:lang w:eastAsia="fr-FR"/>
              </w:rPr>
              <w:t>Constant</w:t>
            </w:r>
          </w:p>
        </w:tc>
      </w:tr>
    </w:tbl>
    <w:p w14:paraId="556C0B53" w14:textId="77777777" w:rsidR="004952D3" w:rsidRPr="00441744" w:rsidRDefault="004952D3" w:rsidP="00441744">
      <w:pPr>
        <w:jc w:val="center"/>
        <w:rPr>
          <w:rFonts w:ascii="Arial" w:hAnsi="Arial" w:cs="Arial"/>
          <w:b/>
          <w:sz w:val="20"/>
          <w:szCs w:val="20"/>
        </w:rPr>
      </w:pPr>
    </w:p>
    <w:p w14:paraId="2CFB49BE" w14:textId="77777777" w:rsidR="004952D3" w:rsidRPr="000256CA" w:rsidRDefault="000256CA" w:rsidP="00D4539F">
      <w:pPr>
        <w:jc w:val="both"/>
        <w:rPr>
          <w:rFonts w:ascii="Arial" w:hAnsi="Arial" w:cs="Arial"/>
          <w:b/>
        </w:rPr>
      </w:pPr>
      <w:r w:rsidRPr="000256CA">
        <w:rPr>
          <w:rFonts w:ascii="Arial" w:hAnsi="Arial" w:cs="Arial"/>
          <w:b/>
        </w:rPr>
        <w:t xml:space="preserve">3.2. </w:t>
      </w:r>
      <w:r w:rsidR="004952D3" w:rsidRPr="000256CA">
        <w:rPr>
          <w:rFonts w:ascii="Arial" w:hAnsi="Arial" w:cs="Arial"/>
          <w:b/>
        </w:rPr>
        <w:t>Soil Data</w:t>
      </w:r>
    </w:p>
    <w:p w14:paraId="3F48C8A7" w14:textId="77777777" w:rsidR="004952D3" w:rsidRPr="00D4539F" w:rsidRDefault="004952D3" w:rsidP="00D4539F">
      <w:pPr>
        <w:jc w:val="both"/>
        <w:rPr>
          <w:rFonts w:ascii="Arial" w:hAnsi="Arial" w:cs="Arial"/>
          <w:sz w:val="20"/>
          <w:szCs w:val="20"/>
        </w:rPr>
      </w:pPr>
      <w:r w:rsidRPr="00D4539F">
        <w:rPr>
          <w:rFonts w:ascii="Arial" w:hAnsi="Arial" w:cs="Arial"/>
          <w:sz w:val="20"/>
          <w:szCs w:val="20"/>
        </w:rPr>
        <w:t>The soil data included physicochemical and particle size parameters. The results for the physicochemical parameters are shown below in the figure.</w:t>
      </w:r>
    </w:p>
    <w:p w14:paraId="66468535" w14:textId="77777777" w:rsidR="004952D3" w:rsidRPr="000256CA" w:rsidRDefault="000256CA" w:rsidP="00D4539F">
      <w:pPr>
        <w:jc w:val="both"/>
        <w:rPr>
          <w:rFonts w:ascii="Arial" w:hAnsi="Arial" w:cs="Arial"/>
          <w:b/>
          <w:sz w:val="20"/>
          <w:szCs w:val="20"/>
        </w:rPr>
      </w:pPr>
      <w:r w:rsidRPr="000256CA">
        <w:rPr>
          <w:rFonts w:ascii="Arial" w:hAnsi="Arial" w:cs="Arial"/>
          <w:b/>
          <w:sz w:val="20"/>
          <w:szCs w:val="20"/>
        </w:rPr>
        <w:t xml:space="preserve">3.2.1. </w:t>
      </w:r>
      <w:r w:rsidR="004952D3" w:rsidRPr="000256CA">
        <w:rPr>
          <w:rFonts w:ascii="Arial" w:hAnsi="Arial" w:cs="Arial"/>
          <w:b/>
          <w:sz w:val="20"/>
          <w:szCs w:val="20"/>
        </w:rPr>
        <w:t>Physicochemical Parameters</w:t>
      </w:r>
    </w:p>
    <w:p w14:paraId="3A713A97" w14:textId="77777777" w:rsidR="004952D3" w:rsidRPr="00D4539F" w:rsidRDefault="004952D3" w:rsidP="00D4539F">
      <w:pPr>
        <w:jc w:val="both"/>
        <w:rPr>
          <w:rFonts w:ascii="Arial" w:hAnsi="Arial" w:cs="Arial"/>
          <w:sz w:val="20"/>
          <w:szCs w:val="20"/>
        </w:rPr>
      </w:pPr>
      <w:r w:rsidRPr="00D4539F">
        <w:rPr>
          <w:rFonts w:ascii="Arial" w:hAnsi="Arial" w:cs="Arial"/>
          <w:sz w:val="20"/>
          <w:szCs w:val="20"/>
        </w:rPr>
        <w:t xml:space="preserve">Regarding Hydrogen Potential (pH), almost similar values were found in the different plots. These values were below the neutral threshold (pH &gt; 7). A comparison of these values shows that they ranged from 5.7 in the GLP plot to 6.5 in the Kati White plot (Figure 6). This acidic soil trend, highlighted by the low values in all plots, could be due to oxidation of organic matter. Regarding organic carbon, the levels did not vary greatly between </w:t>
      </w:r>
      <w:proofErr w:type="gramStart"/>
      <w:r w:rsidRPr="00D4539F">
        <w:rPr>
          <w:rFonts w:ascii="Arial" w:hAnsi="Arial" w:cs="Arial"/>
          <w:sz w:val="20"/>
          <w:szCs w:val="20"/>
        </w:rPr>
        <w:t>plots;</w:t>
      </w:r>
      <w:proofErr w:type="gramEnd"/>
      <w:r w:rsidRPr="00D4539F">
        <w:rPr>
          <w:rFonts w:ascii="Arial" w:hAnsi="Arial" w:cs="Arial"/>
          <w:sz w:val="20"/>
          <w:szCs w:val="20"/>
        </w:rPr>
        <w:t xml:space="preserve"> the percentages fluctuated slightly between 0.88 and 0.91 (Figure 6). These lower levels are explained by the intensification of cropping at the experimental site. Indeed, intensive soil exploitation can reduce the organic matter content, leading to a drop in fertility. For organic nitrogen, the levels are low and perfectly similar. A rate of 0.02 was in both plots (Figure). As for available phosphorus, it is expressed in </w:t>
      </w:r>
      <w:proofErr w:type="gramStart"/>
      <w:r w:rsidRPr="00D4539F">
        <w:rPr>
          <w:rFonts w:ascii="Arial" w:hAnsi="Arial" w:cs="Arial"/>
          <w:sz w:val="20"/>
          <w:szCs w:val="20"/>
        </w:rPr>
        <w:t>ppm;</w:t>
      </w:r>
      <w:proofErr w:type="gramEnd"/>
      <w:r w:rsidRPr="00D4539F">
        <w:rPr>
          <w:rFonts w:ascii="Arial" w:hAnsi="Arial" w:cs="Arial"/>
          <w:sz w:val="20"/>
          <w:szCs w:val="20"/>
        </w:rPr>
        <w:t xml:space="preserve"> the highest values were recorded in the Kati white plot at 12.99 ppm compared to 12.52 ppm in the GLP plot (Figure 6).</w:t>
      </w:r>
    </w:p>
    <w:p w14:paraId="24E181C2" w14:textId="77777777" w:rsidR="004952D3" w:rsidRDefault="004952D3" w:rsidP="004952D3">
      <w:pPr>
        <w:jc w:val="center"/>
      </w:pPr>
      <w:r>
        <w:rPr>
          <w:noProof/>
          <w:lang w:eastAsia="fr-FR"/>
        </w:rPr>
        <w:drawing>
          <wp:inline distT="0" distB="0" distL="0" distR="0" wp14:anchorId="78F5F296" wp14:editId="0E687003">
            <wp:extent cx="3877056" cy="2143353"/>
            <wp:effectExtent l="0" t="0" r="0" b="0"/>
            <wp:docPr id="1471195888" name="Graphique 1">
              <a:extLst xmlns:a="http://schemas.openxmlformats.org/drawingml/2006/main">
                <a:ext uri="{FF2B5EF4-FFF2-40B4-BE49-F238E27FC236}">
                  <a16:creationId xmlns:a16="http://schemas.microsoft.com/office/drawing/2014/main" id="{19EAA196-DBFE-6971-F1E0-D9AC207E7D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A3BAD37" w14:textId="77777777" w:rsidR="004952D3" w:rsidRPr="000256CA" w:rsidRDefault="004952D3" w:rsidP="000256CA">
      <w:pPr>
        <w:jc w:val="center"/>
        <w:rPr>
          <w:rFonts w:ascii="Arial" w:hAnsi="Arial" w:cs="Arial"/>
          <w:b/>
          <w:sz w:val="20"/>
          <w:szCs w:val="20"/>
        </w:rPr>
      </w:pPr>
      <w:r w:rsidRPr="000256CA">
        <w:rPr>
          <w:rFonts w:ascii="Arial" w:hAnsi="Arial" w:cs="Arial"/>
          <w:b/>
          <w:sz w:val="20"/>
          <w:szCs w:val="20"/>
        </w:rPr>
        <w:t xml:space="preserve">Figure </w:t>
      </w:r>
      <w:proofErr w:type="gramStart"/>
      <w:r w:rsidRPr="000256CA">
        <w:rPr>
          <w:rFonts w:ascii="Arial" w:hAnsi="Arial" w:cs="Arial"/>
          <w:b/>
          <w:sz w:val="20"/>
          <w:szCs w:val="20"/>
        </w:rPr>
        <w:t>6:</w:t>
      </w:r>
      <w:proofErr w:type="gramEnd"/>
      <w:r w:rsidRPr="000256CA">
        <w:rPr>
          <w:rFonts w:ascii="Arial" w:hAnsi="Arial" w:cs="Arial"/>
          <w:b/>
          <w:sz w:val="20"/>
          <w:szCs w:val="20"/>
        </w:rPr>
        <w:t xml:space="preserve"> Chemical parameters of the plots</w:t>
      </w:r>
    </w:p>
    <w:p w14:paraId="5E710A98" w14:textId="77777777" w:rsidR="004952D3" w:rsidRPr="000256CA" w:rsidRDefault="000256CA" w:rsidP="00D4539F">
      <w:pPr>
        <w:jc w:val="both"/>
        <w:rPr>
          <w:rFonts w:ascii="Arial" w:hAnsi="Arial" w:cs="Arial"/>
          <w:b/>
          <w:sz w:val="20"/>
          <w:szCs w:val="20"/>
        </w:rPr>
      </w:pPr>
      <w:r w:rsidRPr="000256CA">
        <w:rPr>
          <w:rFonts w:ascii="Arial" w:hAnsi="Arial" w:cs="Arial"/>
          <w:b/>
          <w:sz w:val="20"/>
          <w:szCs w:val="20"/>
        </w:rPr>
        <w:t xml:space="preserve">3.2.2. </w:t>
      </w:r>
      <w:r w:rsidR="004952D3" w:rsidRPr="000256CA">
        <w:rPr>
          <w:rFonts w:ascii="Arial" w:hAnsi="Arial" w:cs="Arial"/>
          <w:b/>
          <w:sz w:val="20"/>
          <w:szCs w:val="20"/>
        </w:rPr>
        <w:t>Grain Size Parameters</w:t>
      </w:r>
    </w:p>
    <w:p w14:paraId="31B04D8D" w14:textId="77777777" w:rsidR="004952D3" w:rsidRPr="00D4539F" w:rsidRDefault="004952D3" w:rsidP="00D4539F">
      <w:pPr>
        <w:jc w:val="both"/>
        <w:rPr>
          <w:rFonts w:ascii="Arial" w:hAnsi="Arial" w:cs="Arial"/>
          <w:sz w:val="20"/>
          <w:szCs w:val="20"/>
        </w:rPr>
      </w:pPr>
      <w:r w:rsidRPr="00D4539F">
        <w:rPr>
          <w:rFonts w:ascii="Arial" w:hAnsi="Arial" w:cs="Arial"/>
          <w:sz w:val="20"/>
          <w:szCs w:val="20"/>
        </w:rPr>
        <w:t xml:space="preserve">Grain size encompasses three measured </w:t>
      </w:r>
      <w:proofErr w:type="gramStart"/>
      <w:r w:rsidRPr="00D4539F">
        <w:rPr>
          <w:rFonts w:ascii="Arial" w:hAnsi="Arial" w:cs="Arial"/>
          <w:sz w:val="20"/>
          <w:szCs w:val="20"/>
        </w:rPr>
        <w:t>parameters:</w:t>
      </w:r>
      <w:proofErr w:type="gramEnd"/>
      <w:r w:rsidRPr="00D4539F">
        <w:rPr>
          <w:rFonts w:ascii="Arial" w:hAnsi="Arial" w:cs="Arial"/>
          <w:sz w:val="20"/>
          <w:szCs w:val="20"/>
        </w:rPr>
        <w:t xml:space="preserve"> sand (Sb) refers to particles larger than 0.05 mm, fine silt (Lf) is formed by particles between 0.05 and 0.002 mm, and clay (Ag) by those smaller than 0.002 mm. Overall, the sand content was higher than that of the other grain size parameters, followed by silt (Figure), with a sand content of 65.5%, fine silt 27.5%, and clay 7%. The soil texture determined using the triangle shows a sandy loam soil type.</w:t>
      </w:r>
    </w:p>
    <w:p w14:paraId="539BD604" w14:textId="77777777" w:rsidR="004952D3" w:rsidRPr="00D4539F" w:rsidRDefault="00D4539F" w:rsidP="004952D3">
      <w:pPr>
        <w:rPr>
          <w:rFonts w:ascii="Arial" w:hAnsi="Arial" w:cs="Arial"/>
          <w:b/>
        </w:rPr>
      </w:pPr>
      <w:r>
        <w:rPr>
          <w:rFonts w:ascii="Arial" w:hAnsi="Arial" w:cs="Arial"/>
          <w:b/>
        </w:rPr>
        <w:t xml:space="preserve">4. </w:t>
      </w:r>
      <w:r w:rsidRPr="00D4539F">
        <w:rPr>
          <w:rFonts w:ascii="Arial" w:hAnsi="Arial" w:cs="Arial"/>
          <w:b/>
        </w:rPr>
        <w:t>DISCUSSIONS</w:t>
      </w:r>
    </w:p>
    <w:p w14:paraId="1C6E2F59" w14:textId="77777777" w:rsidR="00BB3F19" w:rsidRPr="00D4539F" w:rsidRDefault="00BB3F19" w:rsidP="00D4539F">
      <w:pPr>
        <w:jc w:val="both"/>
        <w:rPr>
          <w:rFonts w:ascii="Arial" w:hAnsi="Arial" w:cs="Arial"/>
          <w:sz w:val="20"/>
          <w:szCs w:val="20"/>
        </w:rPr>
      </w:pPr>
      <w:r w:rsidRPr="00D4539F">
        <w:rPr>
          <w:rFonts w:ascii="Arial" w:hAnsi="Arial" w:cs="Arial"/>
          <w:sz w:val="20"/>
          <w:szCs w:val="20"/>
        </w:rPr>
        <w:t xml:space="preserve">This study provides information on the diversity and structure of nematodes associated with beans in the experimental plots of the Sotuba Agronomic Research Center in Mali. Eight genera belonging to 6 families were encountered, </w:t>
      </w:r>
      <w:proofErr w:type="gramStart"/>
      <w:r w:rsidRPr="00D4539F">
        <w:rPr>
          <w:rFonts w:ascii="Arial" w:hAnsi="Arial" w:cs="Arial"/>
          <w:sz w:val="20"/>
          <w:szCs w:val="20"/>
        </w:rPr>
        <w:t>namely:</w:t>
      </w:r>
      <w:proofErr w:type="gramEnd"/>
      <w:r w:rsidRPr="00D4539F">
        <w:rPr>
          <w:rFonts w:ascii="Arial" w:hAnsi="Arial" w:cs="Arial"/>
          <w:sz w:val="20"/>
          <w:szCs w:val="20"/>
        </w:rPr>
        <w:t xml:space="preserve"> </w:t>
      </w:r>
      <w:r w:rsidRPr="000256CA">
        <w:rPr>
          <w:rFonts w:ascii="Arial" w:hAnsi="Arial" w:cs="Arial"/>
          <w:i/>
          <w:sz w:val="20"/>
          <w:szCs w:val="20"/>
        </w:rPr>
        <w:t xml:space="preserve">Scutellonema, Tylenchorhynchus, Paratylenchus, Helicotylenchus, Meloidogyne, Pratylenchus Criconemella </w:t>
      </w:r>
      <w:r w:rsidRPr="000256CA">
        <w:rPr>
          <w:rFonts w:ascii="Arial" w:hAnsi="Arial" w:cs="Arial"/>
          <w:sz w:val="20"/>
          <w:szCs w:val="20"/>
        </w:rPr>
        <w:t>and</w:t>
      </w:r>
      <w:r w:rsidRPr="000256CA">
        <w:rPr>
          <w:rFonts w:ascii="Arial" w:hAnsi="Arial" w:cs="Arial"/>
          <w:i/>
          <w:sz w:val="20"/>
          <w:szCs w:val="20"/>
        </w:rPr>
        <w:t xml:space="preserve"> Hoplolaimus</w:t>
      </w:r>
      <w:r w:rsidRPr="00D4539F">
        <w:rPr>
          <w:rFonts w:ascii="Arial" w:hAnsi="Arial" w:cs="Arial"/>
          <w:sz w:val="20"/>
          <w:szCs w:val="20"/>
        </w:rPr>
        <w:t xml:space="preserve">. Previous studies in other countries have revealed the presence of several genera of plant-parasitic nematodes associated with beans that reduce </w:t>
      </w:r>
      <w:r w:rsidRPr="00D4539F">
        <w:rPr>
          <w:rFonts w:ascii="Arial" w:hAnsi="Arial" w:cs="Arial"/>
          <w:sz w:val="20"/>
          <w:szCs w:val="20"/>
        </w:rPr>
        <w:lastRenderedPageBreak/>
        <w:t xml:space="preserve">yields and cause significant economic losses. For example, in Ghana, a study on nematodes associated with common beans reported the presence of 5 genera such as </w:t>
      </w:r>
      <w:r w:rsidRPr="000256CA">
        <w:rPr>
          <w:rFonts w:ascii="Arial" w:hAnsi="Arial" w:cs="Arial"/>
          <w:i/>
          <w:sz w:val="20"/>
          <w:szCs w:val="20"/>
        </w:rPr>
        <w:t xml:space="preserve">Meloidogyne, Pratylenchus, Rotylenchus, Helicotylenchus </w:t>
      </w:r>
      <w:r w:rsidRPr="000256CA">
        <w:rPr>
          <w:rFonts w:ascii="Arial" w:hAnsi="Arial" w:cs="Arial"/>
          <w:sz w:val="20"/>
          <w:szCs w:val="20"/>
        </w:rPr>
        <w:t>and</w:t>
      </w:r>
      <w:r w:rsidRPr="000256CA">
        <w:rPr>
          <w:rFonts w:ascii="Arial" w:hAnsi="Arial" w:cs="Arial"/>
          <w:i/>
          <w:sz w:val="20"/>
          <w:szCs w:val="20"/>
        </w:rPr>
        <w:t xml:space="preserve"> Trychodorus</w:t>
      </w:r>
      <w:r w:rsidRPr="00D4539F">
        <w:rPr>
          <w:rFonts w:ascii="Arial" w:hAnsi="Arial" w:cs="Arial"/>
          <w:sz w:val="20"/>
          <w:szCs w:val="20"/>
        </w:rPr>
        <w:t xml:space="preserve"> (Adomako et </w:t>
      </w:r>
      <w:r w:rsidRPr="000256CA">
        <w:rPr>
          <w:rFonts w:ascii="Arial" w:hAnsi="Arial" w:cs="Arial"/>
          <w:i/>
          <w:sz w:val="20"/>
          <w:szCs w:val="20"/>
        </w:rPr>
        <w:t>al</w:t>
      </w:r>
      <w:r w:rsidRPr="00D4539F">
        <w:rPr>
          <w:rFonts w:ascii="Arial" w:hAnsi="Arial" w:cs="Arial"/>
          <w:sz w:val="20"/>
          <w:szCs w:val="20"/>
        </w:rPr>
        <w:t xml:space="preserve">., 2022). In Burkina Faso, a greater diversity of phytoparasitic nematodes was reported by (Traoré et </w:t>
      </w:r>
      <w:r w:rsidRPr="000256CA">
        <w:rPr>
          <w:rFonts w:ascii="Arial" w:hAnsi="Arial" w:cs="Arial"/>
          <w:i/>
          <w:sz w:val="20"/>
          <w:szCs w:val="20"/>
        </w:rPr>
        <w:t>al</w:t>
      </w:r>
      <w:r w:rsidRPr="00D4539F">
        <w:rPr>
          <w:rFonts w:ascii="Arial" w:hAnsi="Arial" w:cs="Arial"/>
          <w:sz w:val="20"/>
          <w:szCs w:val="20"/>
        </w:rPr>
        <w:t xml:space="preserve">., 2014) on another Fabaceae (Vigna </w:t>
      </w:r>
      <w:proofErr w:type="gramStart"/>
      <w:r w:rsidRPr="00D4539F">
        <w:rPr>
          <w:rFonts w:ascii="Arial" w:hAnsi="Arial" w:cs="Arial"/>
          <w:sz w:val="20"/>
          <w:szCs w:val="20"/>
        </w:rPr>
        <w:t>unguiculata</w:t>
      </w:r>
      <w:proofErr w:type="gramEnd"/>
      <w:r w:rsidRPr="00D4539F">
        <w:rPr>
          <w:rFonts w:ascii="Arial" w:hAnsi="Arial" w:cs="Arial"/>
          <w:sz w:val="20"/>
          <w:szCs w:val="20"/>
        </w:rPr>
        <w:t>). There, seven genera were found with a higher rate of</w:t>
      </w:r>
      <w:r w:rsidRPr="00654C6F">
        <w:rPr>
          <w:rFonts w:ascii="Arial" w:hAnsi="Arial" w:cs="Arial"/>
          <w:i/>
          <w:sz w:val="20"/>
          <w:szCs w:val="20"/>
        </w:rPr>
        <w:t xml:space="preserve"> Meloidogyne</w:t>
      </w:r>
      <w:r w:rsidRPr="00D4539F">
        <w:rPr>
          <w:rFonts w:ascii="Arial" w:hAnsi="Arial" w:cs="Arial"/>
          <w:sz w:val="20"/>
          <w:szCs w:val="20"/>
        </w:rPr>
        <w:t>.</w:t>
      </w:r>
    </w:p>
    <w:p w14:paraId="4A1B1F48" w14:textId="77777777" w:rsidR="00BB3F19" w:rsidRPr="00D4539F" w:rsidRDefault="00BB3F19" w:rsidP="00D4539F">
      <w:pPr>
        <w:jc w:val="both"/>
        <w:rPr>
          <w:rFonts w:ascii="Arial" w:hAnsi="Arial" w:cs="Arial"/>
          <w:sz w:val="20"/>
          <w:szCs w:val="20"/>
        </w:rPr>
      </w:pPr>
      <w:r w:rsidRPr="00D4539F">
        <w:rPr>
          <w:rFonts w:ascii="Arial" w:hAnsi="Arial" w:cs="Arial"/>
          <w:sz w:val="20"/>
          <w:szCs w:val="20"/>
        </w:rPr>
        <w:t xml:space="preserve">Greater diversity was found in Ivory Coast on vegetable crops where nine genera were </w:t>
      </w:r>
      <w:proofErr w:type="gramStart"/>
      <w:r w:rsidRPr="00D4539F">
        <w:rPr>
          <w:rFonts w:ascii="Arial" w:hAnsi="Arial" w:cs="Arial"/>
          <w:sz w:val="20"/>
          <w:szCs w:val="20"/>
        </w:rPr>
        <w:t>found:</w:t>
      </w:r>
      <w:proofErr w:type="gramEnd"/>
      <w:r w:rsidRPr="00D4539F">
        <w:rPr>
          <w:rFonts w:ascii="Arial" w:hAnsi="Arial" w:cs="Arial"/>
          <w:sz w:val="20"/>
          <w:szCs w:val="20"/>
        </w:rPr>
        <w:t xml:space="preserve"> </w:t>
      </w:r>
      <w:r w:rsidRPr="00654C6F">
        <w:rPr>
          <w:rFonts w:ascii="Arial" w:hAnsi="Arial" w:cs="Arial"/>
          <w:i/>
          <w:sz w:val="20"/>
          <w:szCs w:val="20"/>
        </w:rPr>
        <w:t xml:space="preserve">Meloidogyne, Helicotylenchus, Radopholus, Pratylenchus, Hemicycliophora, Rotylenchulus, Hoplolaimus, Xiphinema </w:t>
      </w:r>
      <w:r w:rsidRPr="00654C6F">
        <w:rPr>
          <w:rFonts w:ascii="Arial" w:hAnsi="Arial" w:cs="Arial"/>
          <w:sz w:val="20"/>
          <w:szCs w:val="20"/>
        </w:rPr>
        <w:t xml:space="preserve">and </w:t>
      </w:r>
      <w:r w:rsidRPr="00654C6F">
        <w:rPr>
          <w:rFonts w:ascii="Arial" w:hAnsi="Arial" w:cs="Arial"/>
          <w:i/>
          <w:sz w:val="20"/>
          <w:szCs w:val="20"/>
        </w:rPr>
        <w:t>Heterodera</w:t>
      </w:r>
      <w:r w:rsidRPr="00D4539F">
        <w:rPr>
          <w:rFonts w:ascii="Arial" w:hAnsi="Arial" w:cs="Arial"/>
          <w:sz w:val="20"/>
          <w:szCs w:val="20"/>
        </w:rPr>
        <w:t xml:space="preserve"> (Sandrine et al, 2024). All these studies report the frequency of the genus </w:t>
      </w:r>
      <w:r w:rsidRPr="00654C6F">
        <w:rPr>
          <w:rFonts w:ascii="Arial" w:hAnsi="Arial" w:cs="Arial"/>
          <w:i/>
          <w:sz w:val="20"/>
          <w:szCs w:val="20"/>
        </w:rPr>
        <w:t>Meloidogyne</w:t>
      </w:r>
      <w:r w:rsidRPr="00D4539F">
        <w:rPr>
          <w:rFonts w:ascii="Arial" w:hAnsi="Arial" w:cs="Arial"/>
          <w:sz w:val="20"/>
          <w:szCs w:val="20"/>
        </w:rPr>
        <w:t xml:space="preserve"> spp on vegetable crops such as Solanaceae, Cucurbitaceae and Compositae (Bui et </w:t>
      </w:r>
      <w:r w:rsidRPr="000256CA">
        <w:rPr>
          <w:rFonts w:ascii="Arial" w:hAnsi="Arial" w:cs="Arial"/>
          <w:i/>
          <w:sz w:val="20"/>
          <w:szCs w:val="20"/>
        </w:rPr>
        <w:t>al</w:t>
      </w:r>
      <w:r w:rsidRPr="00D4539F">
        <w:rPr>
          <w:rFonts w:ascii="Arial" w:hAnsi="Arial" w:cs="Arial"/>
          <w:sz w:val="20"/>
          <w:szCs w:val="20"/>
        </w:rPr>
        <w:t xml:space="preserve">., 2022). Thus in Egypt El-Nuby et </w:t>
      </w:r>
      <w:r w:rsidRPr="000256CA">
        <w:rPr>
          <w:rFonts w:ascii="Arial" w:hAnsi="Arial" w:cs="Arial"/>
          <w:i/>
          <w:sz w:val="20"/>
          <w:szCs w:val="20"/>
        </w:rPr>
        <w:t>al</w:t>
      </w:r>
      <w:r w:rsidRPr="00D4539F">
        <w:rPr>
          <w:rFonts w:ascii="Arial" w:hAnsi="Arial" w:cs="Arial"/>
          <w:sz w:val="20"/>
          <w:szCs w:val="20"/>
        </w:rPr>
        <w:t xml:space="preserve">., 2019 </w:t>
      </w:r>
      <w:proofErr w:type="gramStart"/>
      <w:r w:rsidRPr="00D4539F">
        <w:rPr>
          <w:rFonts w:ascii="Arial" w:hAnsi="Arial" w:cs="Arial"/>
          <w:sz w:val="20"/>
          <w:szCs w:val="20"/>
        </w:rPr>
        <w:t>report</w:t>
      </w:r>
      <w:proofErr w:type="gramEnd"/>
      <w:r w:rsidRPr="00D4539F">
        <w:rPr>
          <w:rFonts w:ascii="Arial" w:hAnsi="Arial" w:cs="Arial"/>
          <w:sz w:val="20"/>
          <w:szCs w:val="20"/>
        </w:rPr>
        <w:t xml:space="preserve"> that the genus </w:t>
      </w:r>
      <w:r w:rsidRPr="00654C6F">
        <w:rPr>
          <w:rFonts w:ascii="Arial" w:hAnsi="Arial" w:cs="Arial"/>
          <w:i/>
          <w:sz w:val="20"/>
          <w:szCs w:val="20"/>
        </w:rPr>
        <w:t>Meloidogyne</w:t>
      </w:r>
      <w:r w:rsidRPr="00D4539F">
        <w:rPr>
          <w:rFonts w:ascii="Arial" w:hAnsi="Arial" w:cs="Arial"/>
          <w:sz w:val="20"/>
          <w:szCs w:val="20"/>
        </w:rPr>
        <w:t xml:space="preserve"> was common on eggplants (55.8%) and watermelons (61.9%). It was also common in rice fields (49%) in India (Nisa et </w:t>
      </w:r>
      <w:r w:rsidRPr="000256CA">
        <w:rPr>
          <w:rFonts w:ascii="Arial" w:hAnsi="Arial" w:cs="Arial"/>
          <w:i/>
          <w:sz w:val="20"/>
          <w:szCs w:val="20"/>
        </w:rPr>
        <w:t>al</w:t>
      </w:r>
      <w:r w:rsidRPr="00D4539F">
        <w:rPr>
          <w:rFonts w:ascii="Arial" w:hAnsi="Arial" w:cs="Arial"/>
          <w:sz w:val="20"/>
          <w:szCs w:val="20"/>
        </w:rPr>
        <w:t xml:space="preserve">., 2022). Delhove et </w:t>
      </w:r>
      <w:r w:rsidRPr="000256CA">
        <w:rPr>
          <w:rFonts w:ascii="Arial" w:hAnsi="Arial" w:cs="Arial"/>
          <w:i/>
          <w:sz w:val="20"/>
          <w:szCs w:val="20"/>
        </w:rPr>
        <w:t>al.,</w:t>
      </w:r>
      <w:r w:rsidRPr="00D4539F">
        <w:rPr>
          <w:rFonts w:ascii="Arial" w:hAnsi="Arial" w:cs="Arial"/>
          <w:sz w:val="20"/>
          <w:szCs w:val="20"/>
        </w:rPr>
        <w:t xml:space="preserve"> 2023 </w:t>
      </w:r>
      <w:proofErr w:type="gramStart"/>
      <w:r w:rsidRPr="00D4539F">
        <w:rPr>
          <w:rFonts w:ascii="Arial" w:hAnsi="Arial" w:cs="Arial"/>
          <w:sz w:val="20"/>
          <w:szCs w:val="20"/>
        </w:rPr>
        <w:t>report</w:t>
      </w:r>
      <w:proofErr w:type="gramEnd"/>
      <w:r w:rsidRPr="00D4539F">
        <w:rPr>
          <w:rFonts w:ascii="Arial" w:hAnsi="Arial" w:cs="Arial"/>
          <w:sz w:val="20"/>
          <w:szCs w:val="20"/>
        </w:rPr>
        <w:t xml:space="preserve"> that </w:t>
      </w:r>
      <w:r w:rsidRPr="000256CA">
        <w:rPr>
          <w:rFonts w:ascii="Arial" w:hAnsi="Arial" w:cs="Arial"/>
          <w:i/>
          <w:sz w:val="20"/>
          <w:szCs w:val="20"/>
        </w:rPr>
        <w:t>Meloidogyne, Pratylenchus</w:t>
      </w:r>
      <w:r w:rsidRPr="00D4539F">
        <w:rPr>
          <w:rFonts w:ascii="Arial" w:hAnsi="Arial" w:cs="Arial"/>
          <w:sz w:val="20"/>
          <w:szCs w:val="20"/>
        </w:rPr>
        <w:t xml:space="preserve"> are very polyphagous with preferences for Poaceae, Solanaceae (tomato, potato), Cucurbitaceae, </w:t>
      </w:r>
      <w:r w:rsidRPr="000256CA">
        <w:rPr>
          <w:rFonts w:ascii="Arial" w:hAnsi="Arial" w:cs="Arial"/>
          <w:i/>
          <w:sz w:val="20"/>
          <w:szCs w:val="20"/>
        </w:rPr>
        <w:t>Arachis hypogeae</w:t>
      </w:r>
      <w:r w:rsidRPr="00D4539F">
        <w:rPr>
          <w:rFonts w:ascii="Arial" w:hAnsi="Arial" w:cs="Arial"/>
          <w:sz w:val="20"/>
          <w:szCs w:val="20"/>
        </w:rPr>
        <w:t xml:space="preserve">, </w:t>
      </w:r>
      <w:r w:rsidRPr="000256CA">
        <w:rPr>
          <w:rFonts w:ascii="Arial" w:hAnsi="Arial" w:cs="Arial"/>
          <w:i/>
          <w:sz w:val="20"/>
          <w:szCs w:val="20"/>
        </w:rPr>
        <w:t>Zea mays</w:t>
      </w:r>
      <w:r w:rsidRPr="00D4539F">
        <w:rPr>
          <w:rFonts w:ascii="Arial" w:hAnsi="Arial" w:cs="Arial"/>
          <w:sz w:val="20"/>
          <w:szCs w:val="20"/>
        </w:rPr>
        <w:t>, t</w:t>
      </w:r>
      <w:r w:rsidR="000256CA">
        <w:rPr>
          <w:rFonts w:ascii="Arial" w:hAnsi="Arial" w:cs="Arial"/>
          <w:sz w:val="20"/>
          <w:szCs w:val="20"/>
        </w:rPr>
        <w:t>obacco, pineapple, sweet potato etc.</w:t>
      </w:r>
    </w:p>
    <w:p w14:paraId="0D8BDE9B" w14:textId="77777777" w:rsidR="00BB3F19" w:rsidRDefault="00BB3F19" w:rsidP="00D4539F">
      <w:pPr>
        <w:jc w:val="both"/>
        <w:rPr>
          <w:rFonts w:ascii="Arial" w:hAnsi="Arial" w:cs="Arial"/>
          <w:sz w:val="20"/>
          <w:szCs w:val="20"/>
        </w:rPr>
      </w:pPr>
      <w:r w:rsidRPr="00D4539F">
        <w:rPr>
          <w:rFonts w:ascii="Arial" w:hAnsi="Arial" w:cs="Arial"/>
          <w:sz w:val="20"/>
          <w:szCs w:val="20"/>
        </w:rPr>
        <w:t xml:space="preserve">This sedentary endoparasite is recognized as the most economically damaging in many countries on several crops, because it has a wide host range (Isgouhi and Teixeir, </w:t>
      </w:r>
      <w:proofErr w:type="gramStart"/>
      <w:r w:rsidRPr="00D4539F">
        <w:rPr>
          <w:rFonts w:ascii="Arial" w:hAnsi="Arial" w:cs="Arial"/>
          <w:sz w:val="20"/>
          <w:szCs w:val="20"/>
        </w:rPr>
        <w:t>2019;</w:t>
      </w:r>
      <w:proofErr w:type="gramEnd"/>
      <w:r w:rsidRPr="00D4539F">
        <w:rPr>
          <w:rFonts w:ascii="Arial" w:hAnsi="Arial" w:cs="Arial"/>
          <w:sz w:val="20"/>
          <w:szCs w:val="20"/>
        </w:rPr>
        <w:t xml:space="preserve"> Sandrine et al, 2024). Its development leads, among other things, to poor plant growth, a drop in crop yield, etc.</w:t>
      </w:r>
    </w:p>
    <w:p w14:paraId="49E7A4CB" w14:textId="77777777" w:rsidR="000256CA" w:rsidRPr="001741CE" w:rsidRDefault="001741CE" w:rsidP="00D4539F">
      <w:pPr>
        <w:jc w:val="both"/>
        <w:rPr>
          <w:rFonts w:ascii="Arial" w:hAnsi="Arial" w:cs="Arial"/>
          <w:b/>
        </w:rPr>
      </w:pPr>
      <w:r>
        <w:rPr>
          <w:rFonts w:ascii="Arial" w:hAnsi="Arial" w:cs="Arial"/>
          <w:b/>
        </w:rPr>
        <w:t>C</w:t>
      </w:r>
      <w:r w:rsidRPr="001741CE">
        <w:rPr>
          <w:rFonts w:ascii="Arial" w:hAnsi="Arial" w:cs="Arial"/>
          <w:b/>
        </w:rPr>
        <w:t xml:space="preserve">onflicts </w:t>
      </w:r>
      <w:r w:rsidR="000256CA" w:rsidRPr="001741CE">
        <w:rPr>
          <w:rFonts w:ascii="Arial" w:hAnsi="Arial" w:cs="Arial"/>
          <w:b/>
        </w:rPr>
        <w:t>interest</w:t>
      </w:r>
    </w:p>
    <w:p w14:paraId="56A9DA55" w14:textId="77777777" w:rsidR="000256CA" w:rsidRPr="00D4539F" w:rsidRDefault="000256CA" w:rsidP="00D4539F">
      <w:pPr>
        <w:jc w:val="both"/>
        <w:rPr>
          <w:rFonts w:ascii="Arial" w:hAnsi="Arial" w:cs="Arial"/>
          <w:sz w:val="20"/>
          <w:szCs w:val="20"/>
        </w:rPr>
      </w:pPr>
      <w:r w:rsidRPr="000256CA">
        <w:rPr>
          <w:rFonts w:ascii="Arial" w:hAnsi="Arial" w:cs="Arial"/>
          <w:sz w:val="20"/>
          <w:szCs w:val="20"/>
        </w:rPr>
        <w:t>The authors declare that there is no conflict of interest between them.</w:t>
      </w:r>
    </w:p>
    <w:p w14:paraId="4D29DFDF" w14:textId="77777777" w:rsidR="001741CE" w:rsidRDefault="001741CE" w:rsidP="00BB3F19">
      <w:pPr>
        <w:spacing w:before="240" w:after="0" w:line="240" w:lineRule="auto"/>
        <w:jc w:val="both"/>
        <w:rPr>
          <w:sz w:val="24"/>
          <w:szCs w:val="24"/>
        </w:rPr>
      </w:pPr>
    </w:p>
    <w:p w14:paraId="5A7E448D" w14:textId="77777777" w:rsidR="001741CE" w:rsidRDefault="001741CE" w:rsidP="00BB3F19">
      <w:pPr>
        <w:spacing w:before="240" w:after="0" w:line="240" w:lineRule="auto"/>
        <w:jc w:val="both"/>
        <w:rPr>
          <w:sz w:val="24"/>
          <w:szCs w:val="24"/>
        </w:rPr>
      </w:pPr>
    </w:p>
    <w:p w14:paraId="3918CD8F" w14:textId="77777777" w:rsidR="000D3A6C" w:rsidRDefault="000D3A6C" w:rsidP="000D3A6C">
      <w:pPr>
        <w:jc w:val="both"/>
      </w:pPr>
      <w:r>
        <w:t>References</w:t>
      </w:r>
    </w:p>
    <w:p w14:paraId="14505863" w14:textId="77777777" w:rsidR="002C409C" w:rsidRPr="002C409C" w:rsidRDefault="002C409C" w:rsidP="002C409C">
      <w:pPr>
        <w:jc w:val="both"/>
        <w:rPr>
          <w:rFonts w:ascii="Arial" w:hAnsi="Arial" w:cs="Arial"/>
          <w:sz w:val="20"/>
          <w:szCs w:val="20"/>
        </w:rPr>
      </w:pPr>
      <w:r w:rsidRPr="002C409C">
        <w:rPr>
          <w:rFonts w:ascii="Arial" w:hAnsi="Arial" w:cs="Arial"/>
          <w:sz w:val="20"/>
          <w:szCs w:val="20"/>
        </w:rPr>
        <w:t xml:space="preserve">Adomako, J., Yeboah, S., Asamoah, JF., Amankwaa-Yeboah, P., Adjei, E.A., Obeng, EA. </w:t>
      </w:r>
      <w:proofErr w:type="gramStart"/>
      <w:r w:rsidRPr="002C409C">
        <w:rPr>
          <w:rFonts w:ascii="Arial" w:hAnsi="Arial" w:cs="Arial"/>
          <w:sz w:val="20"/>
          <w:szCs w:val="20"/>
        </w:rPr>
        <w:t>and</w:t>
      </w:r>
      <w:proofErr w:type="gramEnd"/>
      <w:r w:rsidRPr="002C409C">
        <w:rPr>
          <w:rFonts w:ascii="Arial" w:hAnsi="Arial" w:cs="Arial"/>
          <w:sz w:val="20"/>
          <w:szCs w:val="20"/>
        </w:rPr>
        <w:t xml:space="preserve"> al. (2022). Survey of plant parasitic nematodes and disease severity of common bean lines evaluated for reaction to root knot nematodes infestation. African Crop Science Journal. Flight. 30, No. 2, pp. 147 – </w:t>
      </w:r>
      <w:proofErr w:type="gramStart"/>
      <w:r w:rsidRPr="002C409C">
        <w:rPr>
          <w:rFonts w:ascii="Arial" w:hAnsi="Arial" w:cs="Arial"/>
          <w:sz w:val="20"/>
          <w:szCs w:val="20"/>
        </w:rPr>
        <w:t>154;</w:t>
      </w:r>
      <w:proofErr w:type="gramEnd"/>
      <w:r w:rsidRPr="002C409C">
        <w:rPr>
          <w:rFonts w:ascii="Arial" w:hAnsi="Arial" w:cs="Arial"/>
          <w:sz w:val="20"/>
          <w:szCs w:val="20"/>
        </w:rPr>
        <w:t xml:space="preserve"> ISSN 1021-9730/2022. </w:t>
      </w:r>
      <w:proofErr w:type="gramStart"/>
      <w:r w:rsidRPr="002C409C">
        <w:rPr>
          <w:rFonts w:ascii="Arial" w:hAnsi="Arial" w:cs="Arial"/>
          <w:sz w:val="20"/>
          <w:szCs w:val="20"/>
        </w:rPr>
        <w:t>DOI:</w:t>
      </w:r>
      <w:proofErr w:type="gramEnd"/>
      <w:r w:rsidRPr="002C409C">
        <w:rPr>
          <w:rFonts w:ascii="Arial" w:hAnsi="Arial" w:cs="Arial"/>
          <w:sz w:val="20"/>
          <w:szCs w:val="20"/>
        </w:rPr>
        <w:t xml:space="preserve"> https://dx.doi.org/10.4314/acsj.v30i2.3.</w:t>
      </w:r>
    </w:p>
    <w:p w14:paraId="695B7C45" w14:textId="77777777" w:rsidR="002C409C" w:rsidRPr="002C409C" w:rsidRDefault="002C409C" w:rsidP="002C409C">
      <w:pPr>
        <w:jc w:val="both"/>
        <w:rPr>
          <w:rFonts w:ascii="Arial" w:hAnsi="Arial" w:cs="Arial"/>
          <w:sz w:val="20"/>
          <w:szCs w:val="20"/>
        </w:rPr>
      </w:pPr>
      <w:r w:rsidRPr="002C409C">
        <w:rPr>
          <w:rFonts w:ascii="Arial" w:hAnsi="Arial" w:cs="Arial"/>
          <w:sz w:val="20"/>
          <w:szCs w:val="20"/>
        </w:rPr>
        <w:t xml:space="preserve">Bui H.X, Gu M, Riva G and Desaeger J.A. (2022). Research/Investigation Meloidogyne Spp. Infecting Asian Vegetables in Central Florida, USA. Nematropica. </w:t>
      </w:r>
      <w:proofErr w:type="gramStart"/>
      <w:r w:rsidRPr="002C409C">
        <w:rPr>
          <w:rFonts w:ascii="Arial" w:hAnsi="Arial" w:cs="Arial"/>
          <w:sz w:val="20"/>
          <w:szCs w:val="20"/>
        </w:rPr>
        <w:t>52:</w:t>
      </w:r>
      <w:proofErr w:type="gramEnd"/>
      <w:r w:rsidRPr="002C409C">
        <w:rPr>
          <w:rFonts w:ascii="Arial" w:hAnsi="Arial" w:cs="Arial"/>
          <w:sz w:val="20"/>
          <w:szCs w:val="20"/>
        </w:rPr>
        <w:t xml:space="preserve"> 56–63.</w:t>
      </w:r>
    </w:p>
    <w:p w14:paraId="75BB46A5" w14:textId="77777777" w:rsidR="002C409C" w:rsidRPr="002C409C" w:rsidRDefault="002C409C" w:rsidP="002C409C">
      <w:pPr>
        <w:jc w:val="both"/>
        <w:rPr>
          <w:rFonts w:ascii="Arial" w:hAnsi="Arial" w:cs="Arial"/>
          <w:sz w:val="20"/>
          <w:szCs w:val="20"/>
        </w:rPr>
      </w:pPr>
      <w:r w:rsidRPr="002C409C">
        <w:rPr>
          <w:rFonts w:ascii="Arial" w:hAnsi="Arial" w:cs="Arial"/>
          <w:sz w:val="20"/>
          <w:szCs w:val="20"/>
        </w:rPr>
        <w:t xml:space="preserve">Chabrier, C. (2014). Nematode Control Solutions in Senegal. Mission Report to Senegal from January 26 to February 6, </w:t>
      </w:r>
      <w:proofErr w:type="gramStart"/>
      <w:r w:rsidRPr="002C409C">
        <w:rPr>
          <w:rFonts w:ascii="Arial" w:hAnsi="Arial" w:cs="Arial"/>
          <w:sz w:val="20"/>
          <w:szCs w:val="20"/>
        </w:rPr>
        <w:t>2014;</w:t>
      </w:r>
      <w:proofErr w:type="gramEnd"/>
      <w:r w:rsidRPr="002C409C">
        <w:rPr>
          <w:rFonts w:ascii="Arial" w:hAnsi="Arial" w:cs="Arial"/>
          <w:sz w:val="20"/>
          <w:szCs w:val="20"/>
        </w:rPr>
        <w:t xml:space="preserve"> COLEAD/PIP. 50p.</w:t>
      </w:r>
    </w:p>
    <w:p w14:paraId="2C921124" w14:textId="77777777" w:rsidR="002C409C" w:rsidRPr="002C409C" w:rsidRDefault="002C409C" w:rsidP="002C409C">
      <w:pPr>
        <w:jc w:val="both"/>
        <w:rPr>
          <w:rFonts w:ascii="Arial" w:hAnsi="Arial" w:cs="Arial"/>
          <w:sz w:val="20"/>
          <w:szCs w:val="20"/>
        </w:rPr>
      </w:pPr>
      <w:r w:rsidRPr="002C409C">
        <w:rPr>
          <w:rFonts w:ascii="Arial" w:hAnsi="Arial" w:cs="Arial"/>
          <w:sz w:val="20"/>
          <w:szCs w:val="20"/>
        </w:rPr>
        <w:t xml:space="preserve">Coulibaly F.S. 2024. Inventory of Nematodes Associated with Beans (Phaseolus vulgaris L) in the Sotuba Market Gardening Area in Bamako (Mali). Master's </w:t>
      </w:r>
      <w:proofErr w:type="gramStart"/>
      <w:r w:rsidRPr="002C409C">
        <w:rPr>
          <w:rFonts w:ascii="Arial" w:hAnsi="Arial" w:cs="Arial"/>
          <w:sz w:val="20"/>
          <w:szCs w:val="20"/>
        </w:rPr>
        <w:t>Thesis;</w:t>
      </w:r>
      <w:proofErr w:type="gramEnd"/>
      <w:r w:rsidRPr="002C409C">
        <w:rPr>
          <w:rFonts w:ascii="Arial" w:hAnsi="Arial" w:cs="Arial"/>
          <w:sz w:val="20"/>
          <w:szCs w:val="20"/>
        </w:rPr>
        <w:t xml:space="preserve"> in Biological Sciences, Specialization: Applied Biological Sciences, Option: Plant Improvement and Protection. Faculty of Science and Technology, USTTB. 59p.</w:t>
      </w:r>
    </w:p>
    <w:p w14:paraId="7AA86CD0" w14:textId="77777777" w:rsidR="002C409C" w:rsidRPr="002C409C" w:rsidRDefault="002C409C" w:rsidP="002C409C">
      <w:pPr>
        <w:jc w:val="both"/>
        <w:rPr>
          <w:rFonts w:ascii="Arial" w:hAnsi="Arial" w:cs="Arial"/>
          <w:sz w:val="20"/>
          <w:szCs w:val="20"/>
        </w:rPr>
      </w:pPr>
      <w:r w:rsidRPr="002C409C">
        <w:rPr>
          <w:rFonts w:ascii="Arial" w:hAnsi="Arial" w:cs="Arial"/>
          <w:sz w:val="20"/>
          <w:szCs w:val="20"/>
        </w:rPr>
        <w:t xml:space="preserve">Coyne, D.L., Cortada, L., Johnathan, J., Dalzell, Abiodun O. Claudius-Cole, et al. (2018). Plant-Parasitic Nematodes and Food Security in Sub-Saharan Africa. Annual Review of </w:t>
      </w:r>
      <w:proofErr w:type="gramStart"/>
      <w:r w:rsidRPr="002C409C">
        <w:rPr>
          <w:rFonts w:ascii="Arial" w:hAnsi="Arial" w:cs="Arial"/>
          <w:sz w:val="20"/>
          <w:szCs w:val="20"/>
        </w:rPr>
        <w:t>Phytopathology;</w:t>
      </w:r>
      <w:proofErr w:type="gramEnd"/>
      <w:r w:rsidRPr="002C409C">
        <w:rPr>
          <w:rFonts w:ascii="Arial" w:hAnsi="Arial" w:cs="Arial"/>
          <w:sz w:val="20"/>
          <w:szCs w:val="20"/>
        </w:rPr>
        <w:t xml:space="preserve"> 2018. </w:t>
      </w:r>
      <w:proofErr w:type="gramStart"/>
      <w:r w:rsidRPr="002C409C">
        <w:rPr>
          <w:rFonts w:ascii="Arial" w:hAnsi="Arial" w:cs="Arial"/>
          <w:sz w:val="20"/>
          <w:szCs w:val="20"/>
        </w:rPr>
        <w:t>56:</w:t>
      </w:r>
      <w:proofErr w:type="gramEnd"/>
      <w:r w:rsidRPr="002C409C">
        <w:rPr>
          <w:rFonts w:ascii="Arial" w:hAnsi="Arial" w:cs="Arial"/>
          <w:sz w:val="20"/>
          <w:szCs w:val="20"/>
        </w:rPr>
        <w:t xml:space="preserve">381–403. </w:t>
      </w:r>
      <w:proofErr w:type="gramStart"/>
      <w:r w:rsidRPr="002C409C">
        <w:rPr>
          <w:rFonts w:ascii="Arial" w:hAnsi="Arial" w:cs="Arial"/>
          <w:sz w:val="20"/>
          <w:szCs w:val="20"/>
        </w:rPr>
        <w:t>https://www.annualreviews.org;</w:t>
      </w:r>
      <w:proofErr w:type="gramEnd"/>
      <w:r w:rsidRPr="002C409C">
        <w:rPr>
          <w:rFonts w:ascii="Arial" w:hAnsi="Arial" w:cs="Arial"/>
          <w:sz w:val="20"/>
          <w:szCs w:val="20"/>
        </w:rPr>
        <w:t xml:space="preserve"> https://doi.org/10.1146/annurev-phyto-080417-045833. 23p.</w:t>
      </w:r>
    </w:p>
    <w:p w14:paraId="2A63667E" w14:textId="77777777" w:rsidR="002C409C" w:rsidRPr="002C409C" w:rsidRDefault="002C409C" w:rsidP="002C409C">
      <w:pPr>
        <w:jc w:val="both"/>
        <w:rPr>
          <w:rFonts w:ascii="Arial" w:hAnsi="Arial" w:cs="Arial"/>
          <w:sz w:val="20"/>
          <w:szCs w:val="20"/>
        </w:rPr>
      </w:pPr>
      <w:r w:rsidRPr="002C409C">
        <w:rPr>
          <w:rFonts w:ascii="Arial" w:hAnsi="Arial" w:cs="Arial"/>
          <w:sz w:val="20"/>
          <w:szCs w:val="20"/>
        </w:rPr>
        <w:t xml:space="preserve">Delhove, G., Dioh, S., Jacques, A., Lehmann, E., De Bauw, P. (2023). Sustainable Green Bean Production Guide, </w:t>
      </w:r>
      <w:proofErr w:type="gramStart"/>
      <w:r w:rsidRPr="002C409C">
        <w:rPr>
          <w:rFonts w:ascii="Arial" w:hAnsi="Arial" w:cs="Arial"/>
          <w:sz w:val="20"/>
          <w:szCs w:val="20"/>
        </w:rPr>
        <w:t>COLEAD:</w:t>
      </w:r>
      <w:proofErr w:type="gramEnd"/>
      <w:r w:rsidRPr="002C409C">
        <w:rPr>
          <w:rFonts w:ascii="Arial" w:hAnsi="Arial" w:cs="Arial"/>
          <w:sz w:val="20"/>
          <w:szCs w:val="20"/>
        </w:rPr>
        <w:t xml:space="preserve"> https://resources.colead.link/fr/e-bibliotheque/guide production-durable-lharicot-ver. Brussels, Belgium, 376p.</w:t>
      </w:r>
    </w:p>
    <w:p w14:paraId="425FBE39" w14:textId="77777777" w:rsidR="002C409C" w:rsidRPr="002C409C" w:rsidRDefault="002C409C" w:rsidP="002C409C">
      <w:pPr>
        <w:jc w:val="both"/>
        <w:rPr>
          <w:rFonts w:ascii="Arial" w:hAnsi="Arial" w:cs="Arial"/>
          <w:sz w:val="20"/>
          <w:szCs w:val="20"/>
        </w:rPr>
      </w:pPr>
      <w:r w:rsidRPr="002C409C">
        <w:rPr>
          <w:rFonts w:ascii="Arial" w:hAnsi="Arial" w:cs="Arial"/>
          <w:sz w:val="20"/>
          <w:szCs w:val="20"/>
        </w:rPr>
        <w:t xml:space="preserve">El-Nuby, E.I., Ahmed S.M., Sayed A.M and Ismail A.E.K. (2019). Diversity of plant parasitic nematodes associated with some vegetables in Sinai peninsula, Egypt. Egypt. J. Desert Res. </w:t>
      </w:r>
      <w:proofErr w:type="gramStart"/>
      <w:r w:rsidRPr="002C409C">
        <w:rPr>
          <w:rFonts w:ascii="Arial" w:hAnsi="Arial" w:cs="Arial"/>
          <w:sz w:val="20"/>
          <w:szCs w:val="20"/>
        </w:rPr>
        <w:t>DOI:</w:t>
      </w:r>
      <w:proofErr w:type="gramEnd"/>
      <w:r w:rsidRPr="002C409C">
        <w:rPr>
          <w:rFonts w:ascii="Arial" w:hAnsi="Arial" w:cs="Arial"/>
          <w:sz w:val="20"/>
          <w:szCs w:val="20"/>
        </w:rPr>
        <w:t xml:space="preserve"> 10.21608/EJDR.2021.16271.1032 69:77–100.</w:t>
      </w:r>
    </w:p>
    <w:p w14:paraId="6E11715D" w14:textId="77777777" w:rsidR="002C409C" w:rsidRPr="002C409C" w:rsidRDefault="002C409C" w:rsidP="002C409C">
      <w:pPr>
        <w:jc w:val="both"/>
        <w:rPr>
          <w:rFonts w:ascii="Arial" w:hAnsi="Arial" w:cs="Arial"/>
          <w:sz w:val="20"/>
          <w:szCs w:val="20"/>
        </w:rPr>
      </w:pPr>
      <w:r w:rsidRPr="002C409C">
        <w:rPr>
          <w:rFonts w:ascii="Arial" w:hAnsi="Arial" w:cs="Arial"/>
          <w:sz w:val="20"/>
          <w:szCs w:val="20"/>
        </w:rPr>
        <w:t xml:space="preserve">Isgouhi K and Teixeir M. (2019). Advances in plant_ematode interactions with emphasis on the notorious nematode genus Meloidogyne. Phytopathol. Rev. 109 No. </w:t>
      </w:r>
      <w:proofErr w:type="gramStart"/>
      <w:r w:rsidRPr="002C409C">
        <w:rPr>
          <w:rFonts w:ascii="Arial" w:hAnsi="Arial" w:cs="Arial"/>
          <w:sz w:val="20"/>
          <w:szCs w:val="20"/>
        </w:rPr>
        <w:t>12:</w:t>
      </w:r>
      <w:proofErr w:type="gramEnd"/>
      <w:r w:rsidRPr="002C409C">
        <w:rPr>
          <w:rFonts w:ascii="Arial" w:hAnsi="Arial" w:cs="Arial"/>
          <w:sz w:val="20"/>
          <w:szCs w:val="20"/>
        </w:rPr>
        <w:t xml:space="preserve"> 1988–1996. https://doi.org/10.1094/PHYTO-05-19-0163-IA.</w:t>
      </w:r>
    </w:p>
    <w:p w14:paraId="2E36E2C4" w14:textId="77777777" w:rsidR="002C409C" w:rsidRPr="002C409C" w:rsidRDefault="002C409C" w:rsidP="002C409C">
      <w:pPr>
        <w:jc w:val="both"/>
        <w:rPr>
          <w:rFonts w:ascii="Arial" w:hAnsi="Arial" w:cs="Arial"/>
          <w:sz w:val="20"/>
          <w:szCs w:val="20"/>
        </w:rPr>
      </w:pPr>
      <w:r w:rsidRPr="002C409C">
        <w:rPr>
          <w:rFonts w:ascii="Arial" w:hAnsi="Arial" w:cs="Arial"/>
          <w:sz w:val="20"/>
          <w:szCs w:val="20"/>
        </w:rPr>
        <w:lastRenderedPageBreak/>
        <w:t xml:space="preserve">May, W.F., and Peter G. Mullin. (1996). Plant-Parasitic </w:t>
      </w:r>
      <w:proofErr w:type="gramStart"/>
      <w:r w:rsidRPr="002C409C">
        <w:rPr>
          <w:rFonts w:ascii="Arial" w:hAnsi="Arial" w:cs="Arial"/>
          <w:sz w:val="20"/>
          <w:szCs w:val="20"/>
        </w:rPr>
        <w:t>Nematodes:</w:t>
      </w:r>
      <w:proofErr w:type="gramEnd"/>
      <w:r w:rsidRPr="002C409C">
        <w:rPr>
          <w:rFonts w:ascii="Arial" w:hAnsi="Arial" w:cs="Arial"/>
          <w:sz w:val="20"/>
          <w:szCs w:val="20"/>
        </w:rPr>
        <w:t xml:space="preserve"> A Pictorial Key to Genera. 5th ed. </w:t>
      </w:r>
      <w:proofErr w:type="gramStart"/>
      <w:r w:rsidRPr="002C409C">
        <w:rPr>
          <w:rFonts w:ascii="Arial" w:hAnsi="Arial" w:cs="Arial"/>
          <w:sz w:val="20"/>
          <w:szCs w:val="20"/>
        </w:rPr>
        <w:t>Ithaca:</w:t>
      </w:r>
      <w:proofErr w:type="gramEnd"/>
      <w:r w:rsidRPr="002C409C">
        <w:rPr>
          <w:rFonts w:ascii="Arial" w:hAnsi="Arial" w:cs="Arial"/>
          <w:sz w:val="20"/>
          <w:szCs w:val="20"/>
        </w:rPr>
        <w:t xml:space="preserve"> Comstock Pub. Associates, Cornell University Press, New York, USA. 277p.</w:t>
      </w:r>
    </w:p>
    <w:p w14:paraId="0AA634ED" w14:textId="77777777" w:rsidR="002C409C" w:rsidRPr="002C409C" w:rsidRDefault="002C409C" w:rsidP="002C409C">
      <w:pPr>
        <w:jc w:val="both"/>
        <w:rPr>
          <w:rFonts w:ascii="Arial" w:hAnsi="Arial" w:cs="Arial"/>
          <w:sz w:val="20"/>
          <w:szCs w:val="20"/>
        </w:rPr>
      </w:pPr>
      <w:r w:rsidRPr="002C409C">
        <w:rPr>
          <w:rFonts w:ascii="Arial" w:hAnsi="Arial" w:cs="Arial"/>
          <w:sz w:val="20"/>
          <w:szCs w:val="20"/>
        </w:rPr>
        <w:t>Mateille, Thierry, and Johannes Tavoillot. 2016. Identification of plant-parasitic nematodes. http://ephytia.inra.fr/.Info-Bioaggressors - Nematodes. Accessed August 2, 2025.</w:t>
      </w:r>
    </w:p>
    <w:p w14:paraId="254912A9" w14:textId="77777777" w:rsidR="002C409C" w:rsidRPr="002C409C" w:rsidRDefault="002C409C" w:rsidP="002C409C">
      <w:pPr>
        <w:jc w:val="both"/>
        <w:rPr>
          <w:rFonts w:ascii="Arial" w:hAnsi="Arial" w:cs="Arial"/>
          <w:sz w:val="20"/>
          <w:szCs w:val="20"/>
        </w:rPr>
      </w:pPr>
      <w:r w:rsidRPr="002C409C">
        <w:rPr>
          <w:rFonts w:ascii="Arial" w:hAnsi="Arial" w:cs="Arial"/>
          <w:sz w:val="20"/>
          <w:szCs w:val="20"/>
        </w:rPr>
        <w:t>Nicol, J.M., Turner, SJ., Coyne, DL., Nijs, L., Hockland, Den S and Thana, MZ. (2011). In Current nematode threats to world agriculture In Genomics and Molecular Genetics of Plant-Nematode Interactions.Chapter: pp 21–43. Jones J, Gheysen G, Fenoll C. Springer.</w:t>
      </w:r>
    </w:p>
    <w:p w14:paraId="7F5D9776" w14:textId="77777777" w:rsidR="002C409C" w:rsidRPr="002C409C" w:rsidRDefault="002C409C" w:rsidP="002C409C">
      <w:pPr>
        <w:jc w:val="both"/>
        <w:rPr>
          <w:rFonts w:ascii="Arial" w:hAnsi="Arial" w:cs="Arial"/>
          <w:sz w:val="20"/>
          <w:szCs w:val="20"/>
        </w:rPr>
      </w:pPr>
      <w:r w:rsidRPr="002C409C">
        <w:rPr>
          <w:rFonts w:ascii="Arial" w:hAnsi="Arial" w:cs="Arial"/>
          <w:sz w:val="20"/>
          <w:szCs w:val="20"/>
        </w:rPr>
        <w:t xml:space="preserve">Nisa, </w:t>
      </w:r>
      <w:proofErr w:type="gramStart"/>
      <w:r w:rsidRPr="002C409C">
        <w:rPr>
          <w:rFonts w:ascii="Arial" w:hAnsi="Arial" w:cs="Arial"/>
          <w:sz w:val="20"/>
          <w:szCs w:val="20"/>
        </w:rPr>
        <w:t>UK;</w:t>
      </w:r>
      <w:proofErr w:type="gramEnd"/>
      <w:r w:rsidRPr="002C409C">
        <w:rPr>
          <w:rFonts w:ascii="Arial" w:hAnsi="Arial" w:cs="Arial"/>
          <w:sz w:val="20"/>
          <w:szCs w:val="20"/>
        </w:rPr>
        <w:t xml:space="preserve"> Nisa, A.U.; Hroobi, A.A.; Shah, A.A.; Tantray, A.Y. Year-Long Assessment of Soil Nematode Diversity and Root Inhibition-Indicator Nematode Genera in Rice Fields. Biology 2022, 11, 1572. https://doi.org/10.3390/biology11111572.</w:t>
      </w:r>
    </w:p>
    <w:p w14:paraId="4488814E" w14:textId="77777777" w:rsidR="002C409C" w:rsidRPr="002C409C" w:rsidRDefault="002C409C" w:rsidP="002C409C">
      <w:pPr>
        <w:jc w:val="both"/>
        <w:rPr>
          <w:rFonts w:ascii="Arial" w:hAnsi="Arial" w:cs="Arial"/>
          <w:sz w:val="20"/>
          <w:szCs w:val="20"/>
        </w:rPr>
      </w:pPr>
      <w:r w:rsidRPr="002C409C">
        <w:rPr>
          <w:rFonts w:ascii="Arial" w:hAnsi="Arial" w:cs="Arial"/>
          <w:sz w:val="20"/>
          <w:szCs w:val="20"/>
        </w:rPr>
        <w:t xml:space="preserve">Romero-Astudillo, </w:t>
      </w:r>
      <w:proofErr w:type="gramStart"/>
      <w:r w:rsidRPr="002C409C">
        <w:rPr>
          <w:rFonts w:ascii="Arial" w:hAnsi="Arial" w:cs="Arial"/>
          <w:sz w:val="20"/>
          <w:szCs w:val="20"/>
        </w:rPr>
        <w:t>M.J.;</w:t>
      </w:r>
      <w:proofErr w:type="gramEnd"/>
      <w:r w:rsidRPr="002C409C">
        <w:rPr>
          <w:rFonts w:ascii="Arial" w:hAnsi="Arial" w:cs="Arial"/>
          <w:sz w:val="20"/>
          <w:szCs w:val="20"/>
        </w:rPr>
        <w:t xml:space="preserve"> Tapia, C.; Giménez de Azcárate, J.; Montalvo, D. Diversity of Common Bean (Phaseolus vulgaris L.) and Runner Bean (Phaseolus coccineus L.) Landraces in Rural Communities in the Andes Highlands of Cotacachi—Ecuador. Agronomy 2024, 14, 1666. https://doi.org/10.3390/agronomy1408166.</w:t>
      </w:r>
    </w:p>
    <w:p w14:paraId="43D5557E" w14:textId="77777777" w:rsidR="002C409C" w:rsidRPr="002C409C" w:rsidRDefault="002C409C" w:rsidP="002C409C">
      <w:pPr>
        <w:jc w:val="both"/>
        <w:rPr>
          <w:rFonts w:ascii="Arial" w:hAnsi="Arial" w:cs="Arial"/>
          <w:sz w:val="20"/>
          <w:szCs w:val="20"/>
        </w:rPr>
      </w:pPr>
      <w:r w:rsidRPr="002C409C">
        <w:rPr>
          <w:rFonts w:ascii="Arial" w:hAnsi="Arial" w:cs="Arial"/>
          <w:sz w:val="20"/>
          <w:szCs w:val="20"/>
        </w:rPr>
        <w:t>Sandrine Y.A., Gnenakan Y., Jacob N., Eric-Olivier T., Martial K.K.F.J., Gilchrist K.E.Y., and al (2024). Plant parasitic nematodes associated with vegetable crops in the main agroecological zones of Côte d’Ivoire. Asian J. Agric. Biol. 2024(2</w:t>
      </w:r>
      <w:proofErr w:type="gramStart"/>
      <w:r w:rsidRPr="002C409C">
        <w:rPr>
          <w:rFonts w:ascii="Arial" w:hAnsi="Arial" w:cs="Arial"/>
          <w:sz w:val="20"/>
          <w:szCs w:val="20"/>
        </w:rPr>
        <w:t>):</w:t>
      </w:r>
      <w:proofErr w:type="gramEnd"/>
      <w:r w:rsidRPr="002C409C">
        <w:rPr>
          <w:rFonts w:ascii="Arial" w:hAnsi="Arial" w:cs="Arial"/>
          <w:sz w:val="20"/>
          <w:szCs w:val="20"/>
        </w:rPr>
        <w:t xml:space="preserve"> 2023128. </w:t>
      </w:r>
      <w:proofErr w:type="gramStart"/>
      <w:r w:rsidRPr="002C409C">
        <w:rPr>
          <w:rFonts w:ascii="Arial" w:hAnsi="Arial" w:cs="Arial"/>
          <w:sz w:val="20"/>
          <w:szCs w:val="20"/>
        </w:rPr>
        <w:t>DOI:</w:t>
      </w:r>
      <w:proofErr w:type="gramEnd"/>
      <w:r w:rsidRPr="002C409C">
        <w:rPr>
          <w:rFonts w:ascii="Arial" w:hAnsi="Arial" w:cs="Arial"/>
          <w:sz w:val="20"/>
          <w:szCs w:val="20"/>
        </w:rPr>
        <w:t xml:space="preserve"> https://doi.org/10.35495/ajab.2023.128</w:t>
      </w:r>
    </w:p>
    <w:p w14:paraId="2C5A9E06" w14:textId="6A3D998A" w:rsidR="00BB3F19" w:rsidRDefault="002C409C" w:rsidP="002C409C">
      <w:pPr>
        <w:jc w:val="both"/>
      </w:pPr>
      <w:r w:rsidRPr="002C409C">
        <w:rPr>
          <w:rFonts w:ascii="Arial" w:hAnsi="Arial" w:cs="Arial"/>
          <w:sz w:val="20"/>
          <w:szCs w:val="20"/>
        </w:rPr>
        <w:t>Traoré, M., Ouattara, B., Lompo, F., Ouattara, K. (2014). Study of plant-parasitic nematodes of soil and roots under four levels of mineral fertilization in cowpea crops. Int. J. Biol. Chem. Sci. 8 (3</w:t>
      </w:r>
      <w:proofErr w:type="gramStart"/>
      <w:r w:rsidRPr="002C409C">
        <w:rPr>
          <w:rFonts w:ascii="Arial" w:hAnsi="Arial" w:cs="Arial"/>
          <w:sz w:val="20"/>
          <w:szCs w:val="20"/>
        </w:rPr>
        <w:t>):</w:t>
      </w:r>
      <w:proofErr w:type="gramEnd"/>
      <w:r w:rsidRPr="002C409C">
        <w:rPr>
          <w:rFonts w:ascii="Arial" w:hAnsi="Arial" w:cs="Arial"/>
          <w:sz w:val="20"/>
          <w:szCs w:val="20"/>
        </w:rPr>
        <w:t xml:space="preserve"> 891–902, DOI: 10.4314/ijbcs. </w:t>
      </w:r>
      <w:proofErr w:type="gramStart"/>
      <w:r w:rsidRPr="002C409C">
        <w:rPr>
          <w:rFonts w:ascii="Arial" w:hAnsi="Arial" w:cs="Arial"/>
          <w:sz w:val="20"/>
          <w:szCs w:val="20"/>
        </w:rPr>
        <w:t>v</w:t>
      </w:r>
      <w:proofErr w:type="gramEnd"/>
      <w:r w:rsidRPr="002C409C">
        <w:rPr>
          <w:rFonts w:ascii="Arial" w:hAnsi="Arial" w:cs="Arial"/>
          <w:sz w:val="20"/>
          <w:szCs w:val="20"/>
        </w:rPr>
        <w:t>8i3.6. June 2014. 13 p.</w:t>
      </w:r>
    </w:p>
    <w:sectPr w:rsidR="00BB3F19">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577206" w14:textId="77777777" w:rsidR="00E40602" w:rsidRDefault="00E40602" w:rsidP="00E26588">
      <w:pPr>
        <w:spacing w:after="0" w:line="240" w:lineRule="auto"/>
      </w:pPr>
      <w:r>
        <w:separator/>
      </w:r>
    </w:p>
  </w:endnote>
  <w:endnote w:type="continuationSeparator" w:id="0">
    <w:p w14:paraId="2CA70747" w14:textId="77777777" w:rsidR="00E40602" w:rsidRDefault="00E40602" w:rsidP="00E26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1C329" w14:textId="77777777" w:rsidR="00E26588" w:rsidRDefault="00E265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797FD" w14:textId="77777777" w:rsidR="00E26588" w:rsidRDefault="00E265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33D30" w14:textId="77777777" w:rsidR="00E26588" w:rsidRDefault="00E265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9072C4" w14:textId="77777777" w:rsidR="00E40602" w:rsidRDefault="00E40602" w:rsidP="00E26588">
      <w:pPr>
        <w:spacing w:after="0" w:line="240" w:lineRule="auto"/>
      </w:pPr>
      <w:r>
        <w:separator/>
      </w:r>
    </w:p>
  </w:footnote>
  <w:footnote w:type="continuationSeparator" w:id="0">
    <w:p w14:paraId="7F85821F" w14:textId="77777777" w:rsidR="00E40602" w:rsidRDefault="00E40602" w:rsidP="00E265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A2E96" w14:textId="6A884D69" w:rsidR="00E26588" w:rsidRDefault="00E26588">
    <w:pPr>
      <w:pStyle w:val="Header"/>
    </w:pPr>
    <w:r>
      <w:rPr>
        <w:noProof/>
      </w:rPr>
      <w:pict w14:anchorId="17E5EB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8204938"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A7208" w14:textId="1AF742D5" w:rsidR="00E26588" w:rsidRDefault="00E26588">
    <w:pPr>
      <w:pStyle w:val="Header"/>
    </w:pPr>
    <w:r>
      <w:rPr>
        <w:noProof/>
      </w:rPr>
      <w:pict w14:anchorId="5CED69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8204939"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13339" w14:textId="19472EBC" w:rsidR="00E26588" w:rsidRDefault="00E26588">
    <w:pPr>
      <w:pStyle w:val="Header"/>
    </w:pPr>
    <w:r>
      <w:rPr>
        <w:noProof/>
      </w:rPr>
      <w:pict w14:anchorId="327DA5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8204937"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C93F37"/>
    <w:multiLevelType w:val="hybridMultilevel"/>
    <w:tmpl w:val="251291B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50213676"/>
    <w:multiLevelType w:val="multilevel"/>
    <w:tmpl w:val="89866DFA"/>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1E69"/>
    <w:rsid w:val="000256CA"/>
    <w:rsid w:val="00096ACB"/>
    <w:rsid w:val="000D3A6C"/>
    <w:rsid w:val="001741CE"/>
    <w:rsid w:val="00202908"/>
    <w:rsid w:val="00286EFF"/>
    <w:rsid w:val="00287C19"/>
    <w:rsid w:val="00292896"/>
    <w:rsid w:val="002B1820"/>
    <w:rsid w:val="002C409C"/>
    <w:rsid w:val="00336254"/>
    <w:rsid w:val="003665C3"/>
    <w:rsid w:val="00381E69"/>
    <w:rsid w:val="00382590"/>
    <w:rsid w:val="003E7BA7"/>
    <w:rsid w:val="004005DB"/>
    <w:rsid w:val="00440690"/>
    <w:rsid w:val="00441744"/>
    <w:rsid w:val="0047017D"/>
    <w:rsid w:val="004952D3"/>
    <w:rsid w:val="004A7D2D"/>
    <w:rsid w:val="00542B2D"/>
    <w:rsid w:val="00553C57"/>
    <w:rsid w:val="00654C6F"/>
    <w:rsid w:val="00675C2E"/>
    <w:rsid w:val="00765569"/>
    <w:rsid w:val="00854139"/>
    <w:rsid w:val="008B492E"/>
    <w:rsid w:val="008D21D8"/>
    <w:rsid w:val="008D4149"/>
    <w:rsid w:val="008D58B8"/>
    <w:rsid w:val="00951BF1"/>
    <w:rsid w:val="009677EA"/>
    <w:rsid w:val="009D19A6"/>
    <w:rsid w:val="00AC4917"/>
    <w:rsid w:val="00AF0460"/>
    <w:rsid w:val="00B40BAB"/>
    <w:rsid w:val="00B47BAC"/>
    <w:rsid w:val="00BB3F19"/>
    <w:rsid w:val="00CF42A9"/>
    <w:rsid w:val="00D4539F"/>
    <w:rsid w:val="00DA6998"/>
    <w:rsid w:val="00E02092"/>
    <w:rsid w:val="00E0560A"/>
    <w:rsid w:val="00E13D43"/>
    <w:rsid w:val="00E26588"/>
    <w:rsid w:val="00E406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6FEBD93"/>
  <w15:chartTrackingRefBased/>
  <w15:docId w15:val="{2DA494F3-6DAE-42FC-ACC6-F3B073678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81E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381E69"/>
    <w:pPr>
      <w:suppressAutoHyphens/>
      <w:spacing w:after="0" w:line="360" w:lineRule="auto"/>
      <w:jc w:val="both"/>
    </w:pPr>
    <w:rPr>
      <w:rFonts w:ascii="Times New Roman" w:eastAsia="Calibri" w:hAnsi="Times New Roman" w:cs="Times New Roman"/>
      <w:sz w:val="24"/>
    </w:rPr>
  </w:style>
  <w:style w:type="character" w:customStyle="1" w:styleId="BodyTextChar">
    <w:name w:val="Body Text Char"/>
    <w:basedOn w:val="DefaultParagraphFont"/>
    <w:link w:val="BodyText"/>
    <w:rsid w:val="00381E69"/>
    <w:rPr>
      <w:rFonts w:ascii="Times New Roman" w:eastAsia="Calibri" w:hAnsi="Times New Roman" w:cs="Times New Roman"/>
      <w:sz w:val="24"/>
    </w:rPr>
  </w:style>
  <w:style w:type="paragraph" w:styleId="Bibliography">
    <w:name w:val="Bibliography"/>
    <w:basedOn w:val="Normal"/>
    <w:next w:val="Normal"/>
    <w:uiPriority w:val="37"/>
    <w:semiHidden/>
    <w:unhideWhenUsed/>
    <w:rsid w:val="00BB3F19"/>
  </w:style>
  <w:style w:type="character" w:styleId="Hyperlink">
    <w:name w:val="Hyperlink"/>
    <w:basedOn w:val="DefaultParagraphFont"/>
    <w:uiPriority w:val="99"/>
    <w:unhideWhenUsed/>
    <w:rsid w:val="00BB3F19"/>
    <w:rPr>
      <w:color w:val="0563C1" w:themeColor="hyperlink"/>
      <w:u w:val="single"/>
    </w:rPr>
  </w:style>
  <w:style w:type="paragraph" w:styleId="ListParagraph">
    <w:name w:val="List Paragraph"/>
    <w:basedOn w:val="Normal"/>
    <w:uiPriority w:val="34"/>
    <w:qFormat/>
    <w:rsid w:val="009D19A6"/>
    <w:pPr>
      <w:ind w:left="720"/>
      <w:contextualSpacing/>
    </w:pPr>
  </w:style>
  <w:style w:type="character" w:styleId="UnresolvedMention">
    <w:name w:val="Unresolved Mention"/>
    <w:basedOn w:val="DefaultParagraphFont"/>
    <w:uiPriority w:val="99"/>
    <w:semiHidden/>
    <w:unhideWhenUsed/>
    <w:rsid w:val="00E0560A"/>
    <w:rPr>
      <w:color w:val="605E5C"/>
      <w:shd w:val="clear" w:color="auto" w:fill="E1DFDD"/>
    </w:rPr>
  </w:style>
  <w:style w:type="paragraph" w:styleId="Header">
    <w:name w:val="header"/>
    <w:basedOn w:val="Normal"/>
    <w:link w:val="HeaderChar"/>
    <w:uiPriority w:val="99"/>
    <w:unhideWhenUsed/>
    <w:rsid w:val="00E265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6588"/>
  </w:style>
  <w:style w:type="paragraph" w:styleId="Footer">
    <w:name w:val="footer"/>
    <w:basedOn w:val="Normal"/>
    <w:link w:val="FooterChar"/>
    <w:uiPriority w:val="99"/>
    <w:unhideWhenUsed/>
    <w:rsid w:val="00E265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65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1660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hart" Target="charts/chart1.xm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file:///D:\PUBLICATIONS\IJPSS\Donnees%20excel%20parametres%20PH%20ch.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0" normalizeH="0" baseline="0">
                <a:solidFill>
                  <a:schemeClr val="dk1">
                    <a:lumMod val="50000"/>
                    <a:lumOff val="50000"/>
                  </a:schemeClr>
                </a:solidFill>
                <a:latin typeface="+mn-lt"/>
                <a:ea typeface="+mj-ea"/>
                <a:cs typeface="+mj-cs"/>
              </a:defRPr>
            </a:pPr>
            <a:r>
              <a:rPr lang="en-US" sz="1000">
                <a:latin typeface="+mn-lt"/>
              </a:rPr>
              <a:t>Rates of physicochemical parameters</a:t>
            </a:r>
          </a:p>
          <a:p>
            <a:pPr>
              <a:defRPr sz="1200">
                <a:latin typeface="+mn-lt"/>
              </a:defRPr>
            </a:pPr>
            <a:endParaRPr lang="en-US" sz="1000">
              <a:latin typeface="+mn-lt"/>
            </a:endParaRPr>
          </a:p>
        </c:rich>
      </c:tx>
      <c:overlay val="0"/>
      <c:spPr>
        <a:noFill/>
        <a:ln>
          <a:noFill/>
        </a:ln>
        <a:effectLst/>
      </c:spPr>
      <c:txPr>
        <a:bodyPr rot="0" spcFirstLastPara="1" vertOverflow="ellipsis" vert="horz" wrap="square" anchor="ctr" anchorCtr="1"/>
        <a:lstStyle/>
        <a:p>
          <a:pPr>
            <a:defRPr sz="1200" b="1" i="0" u="none" strike="noStrike" kern="1200" cap="none" spc="0" normalizeH="0" baseline="0">
              <a:solidFill>
                <a:schemeClr val="dk1">
                  <a:lumMod val="50000"/>
                  <a:lumOff val="50000"/>
                </a:schemeClr>
              </a:solidFill>
              <a:latin typeface="+mn-lt"/>
              <a:ea typeface="+mj-ea"/>
              <a:cs typeface="+mj-cs"/>
            </a:defRPr>
          </a:pPr>
          <a:endParaRPr lang="en-US"/>
        </a:p>
      </c:txPr>
    </c:title>
    <c:autoTitleDeleted val="0"/>
    <c:plotArea>
      <c:layout/>
      <c:barChart>
        <c:barDir val="bar"/>
        <c:grouping val="clustered"/>
        <c:varyColors val="0"/>
        <c:ser>
          <c:idx val="0"/>
          <c:order val="0"/>
          <c:tx>
            <c:strRef>
              <c:f>'Parametres chimiques'!$D$16</c:f>
              <c:strCache>
                <c:ptCount val="1"/>
                <c:pt idx="0">
                  <c:v>Blanc de Kati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'Parametres chimiques'!$C$17:$C$21</c:f>
              <c:strCache>
                <c:ptCount val="5"/>
                <c:pt idx="0">
                  <c:v>pH</c:v>
                </c:pt>
                <c:pt idx="1">
                  <c:v>CO</c:v>
                </c:pt>
                <c:pt idx="2">
                  <c:v>N</c:v>
                </c:pt>
                <c:pt idx="3">
                  <c:v>P ppm </c:v>
                </c:pt>
                <c:pt idx="4">
                  <c:v>K</c:v>
                </c:pt>
              </c:strCache>
            </c:strRef>
          </c:cat>
          <c:val>
            <c:numRef>
              <c:f>'Parametres chimiques'!$D$17:$D$21</c:f>
              <c:numCache>
                <c:formatCode>General</c:formatCode>
                <c:ptCount val="5"/>
                <c:pt idx="0">
                  <c:v>6.5</c:v>
                </c:pt>
                <c:pt idx="1">
                  <c:v>0.91</c:v>
                </c:pt>
                <c:pt idx="2">
                  <c:v>0.02</c:v>
                </c:pt>
                <c:pt idx="3">
                  <c:v>12.99</c:v>
                </c:pt>
                <c:pt idx="4">
                  <c:v>1.62</c:v>
                </c:pt>
              </c:numCache>
            </c:numRef>
          </c:val>
          <c:extLst>
            <c:ext xmlns:c16="http://schemas.microsoft.com/office/drawing/2014/chart" uri="{C3380CC4-5D6E-409C-BE32-E72D297353CC}">
              <c16:uniqueId val="{00000000-211A-4AA3-8DF4-9CF114FEFC6E}"/>
            </c:ext>
          </c:extLst>
        </c:ser>
        <c:ser>
          <c:idx val="1"/>
          <c:order val="1"/>
          <c:tx>
            <c:strRef>
              <c:f>'Parametres chimiques'!$E$16</c:f>
              <c:strCache>
                <c:ptCount val="1"/>
                <c:pt idx="0">
                  <c:v>GLP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'Parametres chimiques'!$C$17:$C$21</c:f>
              <c:strCache>
                <c:ptCount val="5"/>
                <c:pt idx="0">
                  <c:v>pH</c:v>
                </c:pt>
                <c:pt idx="1">
                  <c:v>CO</c:v>
                </c:pt>
                <c:pt idx="2">
                  <c:v>N</c:v>
                </c:pt>
                <c:pt idx="3">
                  <c:v>P ppm </c:v>
                </c:pt>
                <c:pt idx="4">
                  <c:v>K</c:v>
                </c:pt>
              </c:strCache>
            </c:strRef>
          </c:cat>
          <c:val>
            <c:numRef>
              <c:f>'Parametres chimiques'!$E$17:$E$21</c:f>
              <c:numCache>
                <c:formatCode>General</c:formatCode>
                <c:ptCount val="5"/>
                <c:pt idx="0">
                  <c:v>5.7</c:v>
                </c:pt>
                <c:pt idx="1">
                  <c:v>0.88</c:v>
                </c:pt>
                <c:pt idx="2">
                  <c:v>0.02</c:v>
                </c:pt>
                <c:pt idx="3">
                  <c:v>12.52</c:v>
                </c:pt>
                <c:pt idx="4">
                  <c:v>1.53</c:v>
                </c:pt>
              </c:numCache>
            </c:numRef>
          </c:val>
          <c:extLst>
            <c:ext xmlns:c16="http://schemas.microsoft.com/office/drawing/2014/chart" uri="{C3380CC4-5D6E-409C-BE32-E72D297353CC}">
              <c16:uniqueId val="{00000001-211A-4AA3-8DF4-9CF114FEFC6E}"/>
            </c:ext>
          </c:extLst>
        </c:ser>
        <c:dLbls>
          <c:showLegendKey val="0"/>
          <c:showVal val="1"/>
          <c:showCatName val="0"/>
          <c:showSerName val="0"/>
          <c:showPercent val="0"/>
          <c:showBubbleSize val="0"/>
        </c:dLbls>
        <c:gapWidth val="150"/>
        <c:overlap val="-25"/>
        <c:axId val="540596368"/>
        <c:axId val="540602352"/>
      </c:barChart>
      <c:catAx>
        <c:axId val="540596368"/>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dk1">
                    <a:lumMod val="65000"/>
                    <a:lumOff val="35000"/>
                  </a:schemeClr>
                </a:solidFill>
                <a:latin typeface="+mn-lt"/>
                <a:ea typeface="+mn-ea"/>
                <a:cs typeface="+mn-cs"/>
              </a:defRPr>
            </a:pPr>
            <a:endParaRPr lang="en-US"/>
          </a:p>
        </c:txPr>
        <c:crossAx val="540602352"/>
        <c:crosses val="autoZero"/>
        <c:auto val="1"/>
        <c:lblAlgn val="ctr"/>
        <c:lblOffset val="100"/>
        <c:noMultiLvlLbl val="0"/>
      </c:catAx>
      <c:valAx>
        <c:axId val="540602352"/>
        <c:scaling>
          <c:orientation val="minMax"/>
        </c:scaling>
        <c:delete val="1"/>
        <c:axPos val="b"/>
        <c:numFmt formatCode="General" sourceLinked="1"/>
        <c:majorTickMark val="none"/>
        <c:minorTickMark val="none"/>
        <c:tickLblPos val="nextTo"/>
        <c:crossAx val="540596368"/>
        <c:crosses val="autoZero"/>
        <c:crossBetween val="between"/>
      </c:valAx>
      <c:spPr>
        <a:pattFill prst="ltDnDiag">
          <a:fgClr>
            <a:schemeClr val="dk1">
              <a:lumMod val="15000"/>
              <a:lumOff val="85000"/>
            </a:schemeClr>
          </a:fgClr>
          <a:bgClr>
            <a:schemeClr val="lt1"/>
          </a:bgClr>
        </a:patt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297</TotalTime>
  <Pages>8</Pages>
  <Words>3089</Words>
  <Characters>17611</Characters>
  <Application>Microsoft Office Word</Application>
  <DocSecurity>0</DocSecurity>
  <Lines>146</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Touré</dc:creator>
  <cp:keywords/>
  <dc:description/>
  <cp:lastModifiedBy>SDI 1084</cp:lastModifiedBy>
  <cp:revision>61</cp:revision>
  <dcterms:created xsi:type="dcterms:W3CDTF">2025-07-24T11:27:00Z</dcterms:created>
  <dcterms:modified xsi:type="dcterms:W3CDTF">2025-08-04T11:45:00Z</dcterms:modified>
</cp:coreProperties>
</file>