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793A1" w14:textId="77777777" w:rsidR="00E01E13" w:rsidRPr="00E01E13" w:rsidRDefault="00E01E13" w:rsidP="00E01E13">
      <w:pPr>
        <w:ind w:firstLineChars="600" w:firstLine="2168"/>
        <w:jc w:val="right"/>
        <w:rPr>
          <w:rFonts w:ascii="Arial" w:eastAsia="SimSun" w:hAnsi="Arial" w:cs="Arial"/>
          <w:b/>
          <w:bCs/>
          <w:i/>
          <w:iCs/>
          <w:kern w:val="0"/>
          <w:sz w:val="36"/>
          <w:szCs w:val="36"/>
          <w:u w:val="single"/>
          <w:lang w:eastAsia="zh-CN" w:bidi="ar"/>
        </w:rPr>
      </w:pPr>
      <w:r w:rsidRPr="00E01E13">
        <w:rPr>
          <w:rFonts w:ascii="Arial" w:eastAsia="SimSun" w:hAnsi="Arial" w:cs="Arial"/>
          <w:b/>
          <w:bCs/>
          <w:i/>
          <w:iCs/>
          <w:kern w:val="0"/>
          <w:sz w:val="36"/>
          <w:szCs w:val="36"/>
          <w:u w:val="single"/>
          <w:lang w:eastAsia="zh-CN" w:bidi="ar"/>
        </w:rPr>
        <w:t xml:space="preserve">Case report </w:t>
      </w:r>
    </w:p>
    <w:p w14:paraId="0753B039" w14:textId="1543E41E" w:rsidR="00347C5D" w:rsidRDefault="008B0FD3" w:rsidP="00E62EA6">
      <w:pPr>
        <w:ind w:firstLineChars="600" w:firstLine="2168"/>
        <w:jc w:val="right"/>
        <w:rPr>
          <w:rFonts w:ascii="Arial" w:eastAsia="SimSun" w:hAnsi="Arial" w:cs="Arial"/>
          <w:b/>
          <w:bCs/>
          <w:kern w:val="0"/>
          <w:sz w:val="36"/>
          <w:szCs w:val="36"/>
          <w:lang w:eastAsia="zh-CN" w:bidi="ar"/>
        </w:rPr>
      </w:pPr>
      <w:r w:rsidRPr="00E62EA6">
        <w:rPr>
          <w:rFonts w:ascii="Arial" w:eastAsia="SimSun" w:hAnsi="Arial" w:cs="Arial"/>
          <w:b/>
          <w:bCs/>
          <w:kern w:val="0"/>
          <w:sz w:val="36"/>
          <w:szCs w:val="36"/>
          <w:lang w:eastAsia="zh-CN" w:bidi="ar"/>
        </w:rPr>
        <w:t xml:space="preserve">Lateral Medullary Syndrome </w:t>
      </w:r>
      <w:proofErr w:type="gramStart"/>
      <w:r w:rsidR="00E62EA6" w:rsidRPr="00E62EA6">
        <w:rPr>
          <w:rFonts w:ascii="Arial" w:eastAsia="SimSun" w:hAnsi="Arial" w:cs="Arial"/>
          <w:b/>
          <w:bCs/>
          <w:kern w:val="0"/>
          <w:sz w:val="36"/>
          <w:szCs w:val="36"/>
          <w:lang w:eastAsia="zh-CN" w:bidi="ar"/>
        </w:rPr>
        <w:t>W</w:t>
      </w:r>
      <w:r w:rsidRPr="00E62EA6">
        <w:rPr>
          <w:rFonts w:ascii="Arial" w:eastAsia="SimSun" w:hAnsi="Arial" w:cs="Arial"/>
          <w:b/>
          <w:bCs/>
          <w:kern w:val="0"/>
          <w:sz w:val="36"/>
          <w:szCs w:val="36"/>
          <w:lang w:eastAsia="zh-CN" w:bidi="ar"/>
        </w:rPr>
        <w:t>ith</w:t>
      </w:r>
      <w:proofErr w:type="gramEnd"/>
      <w:r w:rsidRPr="00E62EA6">
        <w:rPr>
          <w:rFonts w:ascii="Arial" w:eastAsia="SimSun" w:hAnsi="Arial" w:cs="Arial"/>
          <w:b/>
          <w:bCs/>
          <w:kern w:val="0"/>
          <w:sz w:val="36"/>
          <w:szCs w:val="36"/>
          <w:lang w:eastAsia="zh-CN" w:bidi="ar"/>
        </w:rPr>
        <w:t xml:space="preserve"> Cerebellar Infarct </w:t>
      </w:r>
      <w:r w:rsidR="00E62EA6" w:rsidRPr="00E62EA6">
        <w:rPr>
          <w:rFonts w:ascii="Arial" w:eastAsia="SimSun" w:hAnsi="Arial" w:cs="Arial"/>
          <w:b/>
          <w:bCs/>
          <w:kern w:val="0"/>
          <w:sz w:val="36"/>
          <w:szCs w:val="36"/>
          <w:lang w:eastAsia="zh-CN" w:bidi="ar"/>
        </w:rPr>
        <w:t>I</w:t>
      </w:r>
      <w:r w:rsidRPr="00E62EA6">
        <w:rPr>
          <w:rFonts w:ascii="Arial" w:eastAsia="SimSun" w:hAnsi="Arial" w:cs="Arial"/>
          <w:b/>
          <w:bCs/>
          <w:kern w:val="0"/>
          <w:sz w:val="36"/>
          <w:szCs w:val="36"/>
          <w:lang w:eastAsia="zh-CN" w:bidi="ar"/>
        </w:rPr>
        <w:t xml:space="preserve">n </w:t>
      </w:r>
      <w:r w:rsidR="00E62EA6" w:rsidRPr="00E62EA6">
        <w:rPr>
          <w:rFonts w:ascii="Arial" w:eastAsia="SimSun" w:hAnsi="Arial" w:cs="Arial"/>
          <w:b/>
          <w:bCs/>
          <w:kern w:val="0"/>
          <w:sz w:val="36"/>
          <w:szCs w:val="36"/>
          <w:lang w:eastAsia="zh-CN" w:bidi="ar"/>
        </w:rPr>
        <w:t xml:space="preserve">A </w:t>
      </w:r>
      <w:r w:rsidRPr="00E62EA6">
        <w:rPr>
          <w:rFonts w:ascii="Arial" w:eastAsia="SimSun" w:hAnsi="Arial" w:cs="Arial"/>
          <w:b/>
          <w:bCs/>
          <w:kern w:val="0"/>
          <w:sz w:val="36"/>
          <w:szCs w:val="36"/>
          <w:lang w:eastAsia="zh-CN" w:bidi="ar"/>
        </w:rPr>
        <w:t xml:space="preserve">Young Hypertensive Diabetic Patient </w:t>
      </w:r>
      <w:r w:rsidR="00E62EA6" w:rsidRPr="00E62EA6">
        <w:rPr>
          <w:rFonts w:ascii="Arial" w:eastAsia="SimSun" w:hAnsi="Arial" w:cs="Arial"/>
          <w:b/>
          <w:bCs/>
          <w:kern w:val="0"/>
          <w:sz w:val="36"/>
          <w:szCs w:val="36"/>
          <w:lang w:eastAsia="zh-CN" w:bidi="ar"/>
        </w:rPr>
        <w:t>W</w:t>
      </w:r>
      <w:r w:rsidRPr="00E62EA6">
        <w:rPr>
          <w:rFonts w:ascii="Arial" w:eastAsia="SimSun" w:hAnsi="Arial" w:cs="Arial"/>
          <w:b/>
          <w:bCs/>
          <w:kern w:val="0"/>
          <w:sz w:val="36"/>
          <w:szCs w:val="36"/>
          <w:lang w:eastAsia="zh-CN" w:bidi="ar"/>
        </w:rPr>
        <w:t>ith Bilateral Otomastoiditis: A Rare Case Report</w:t>
      </w:r>
    </w:p>
    <w:p w14:paraId="23700935" w14:textId="61DB585B" w:rsidR="00E07E60" w:rsidRDefault="00E07E60" w:rsidP="00530E36">
      <w:pPr>
        <w:jc w:val="right"/>
        <w:rPr>
          <w:rFonts w:ascii="Arial" w:hAnsi="Arial" w:cs="Arial"/>
          <w:i/>
          <w:iCs/>
          <w:sz w:val="20"/>
          <w:szCs w:val="20"/>
        </w:rPr>
      </w:pPr>
    </w:p>
    <w:p w14:paraId="36D9799E" w14:textId="77777777" w:rsidR="005C49EB" w:rsidRDefault="005C49EB" w:rsidP="00530E36">
      <w:pPr>
        <w:jc w:val="right"/>
        <w:rPr>
          <w:rFonts w:ascii="Arial" w:hAnsi="Arial" w:cs="Arial"/>
          <w:i/>
          <w:iCs/>
          <w:sz w:val="20"/>
          <w:szCs w:val="20"/>
        </w:rPr>
      </w:pPr>
    </w:p>
    <w:p w14:paraId="5FBF42C3" w14:textId="77777777" w:rsidR="00347C5D" w:rsidRDefault="00347C5D" w:rsidP="00530E36">
      <w:pPr>
        <w:jc w:val="right"/>
        <w:rPr>
          <w:rFonts w:ascii="Arial" w:hAnsi="Arial" w:cs="Arial"/>
          <w:b/>
          <w:bCs/>
          <w:sz w:val="20"/>
          <w:szCs w:val="20"/>
        </w:rPr>
      </w:pPr>
    </w:p>
    <w:p w14:paraId="477115AC" w14:textId="77777777" w:rsidR="00347C5D" w:rsidRDefault="008B0FD3">
      <w:pPr>
        <w:rPr>
          <w:rFonts w:ascii="Arial" w:hAnsi="Arial" w:cs="Arial"/>
          <w:b/>
          <w:bCs/>
          <w:sz w:val="22"/>
          <w:szCs w:val="22"/>
        </w:rPr>
      </w:pPr>
      <w:r>
        <w:rPr>
          <w:rFonts w:ascii="Arial" w:hAnsi="Arial" w:cs="Arial"/>
          <w:b/>
          <w:bCs/>
          <w:sz w:val="22"/>
          <w:szCs w:val="22"/>
        </w:rPr>
        <w:t>ABSTRACT</w:t>
      </w:r>
    </w:p>
    <w:p w14:paraId="5859315D" w14:textId="77777777" w:rsidR="00347C5D" w:rsidRPr="00530E36" w:rsidRDefault="008B0FD3">
      <w:pPr>
        <w:rPr>
          <w:rFonts w:ascii="Arial" w:hAnsi="Arial" w:cs="Arial"/>
          <w:b/>
          <w:bCs/>
          <w:sz w:val="20"/>
          <w:szCs w:val="20"/>
        </w:rPr>
      </w:pPr>
      <w:r w:rsidRPr="00530E36">
        <w:rPr>
          <w:rFonts w:ascii="Arial" w:eastAsia="SimSun" w:hAnsi="Arial" w:cs="Arial"/>
          <w:b/>
          <w:bCs/>
          <w:kern w:val="0"/>
          <w:sz w:val="20"/>
          <w:szCs w:val="20"/>
          <w:lang w:eastAsia="zh-CN" w:bidi="ar"/>
        </w:rPr>
        <w:t>Background:</w:t>
      </w:r>
      <w:r w:rsidRPr="00530E36">
        <w:rPr>
          <w:rFonts w:ascii="Arial" w:eastAsia="SimSun" w:hAnsi="Arial" w:cs="Arial"/>
          <w:kern w:val="0"/>
          <w:sz w:val="20"/>
          <w:szCs w:val="20"/>
          <w:lang w:eastAsia="zh-CN" w:bidi="ar"/>
        </w:rPr>
        <w:br/>
        <w:t>Lateral medullary syndrome (LMS) is a rare posterior circulation stroke that can present with diverse neurological symptoms, making diagnosis challenging. Its occurrence in young adults with combined metabolic and infectious comorbidities is uncommon.</w:t>
      </w:r>
      <w:r w:rsidRPr="00530E36">
        <w:rPr>
          <w:rFonts w:ascii="Arial" w:eastAsia="SimSun" w:hAnsi="Arial" w:cs="Arial"/>
          <w:kern w:val="0"/>
          <w:sz w:val="20"/>
          <w:szCs w:val="20"/>
          <w:lang w:eastAsia="zh-CN" w:bidi="ar"/>
        </w:rPr>
        <w:br/>
      </w:r>
      <w:r w:rsidRPr="00530E36">
        <w:rPr>
          <w:rFonts w:ascii="Arial" w:eastAsia="SimSun" w:hAnsi="Arial" w:cs="Arial"/>
          <w:b/>
          <w:bCs/>
          <w:kern w:val="0"/>
          <w:sz w:val="20"/>
          <w:szCs w:val="20"/>
          <w:lang w:eastAsia="zh-CN" w:bidi="ar"/>
        </w:rPr>
        <w:t>Case Presentation:</w:t>
      </w:r>
      <w:r w:rsidRPr="00530E36">
        <w:rPr>
          <w:rFonts w:ascii="Arial" w:eastAsia="SimSun" w:hAnsi="Arial" w:cs="Arial"/>
          <w:b/>
          <w:bCs/>
          <w:kern w:val="0"/>
          <w:sz w:val="20"/>
          <w:szCs w:val="20"/>
          <w:lang w:eastAsia="zh-CN" w:bidi="ar"/>
        </w:rPr>
        <w:br/>
      </w:r>
      <w:r w:rsidRPr="00530E36">
        <w:rPr>
          <w:rFonts w:ascii="Arial" w:eastAsia="SimSun" w:hAnsi="Arial" w:cs="Arial"/>
          <w:kern w:val="0"/>
          <w:sz w:val="20"/>
          <w:szCs w:val="20"/>
          <w:lang w:eastAsia="zh-CN" w:bidi="ar"/>
        </w:rPr>
        <w:t>A 35-year-old female with uncontrolled type 2 diabetes mellitus and hypertension presented with acute-onset giddiness, vomiting, palpitations, and cough for two days. She denied fever, trauma, seizure, loss of consciousness, or neck stiffness. On examination, she was alert, oriented, hypertensive (BP 172/106 mmHg), and had a pulse rate of 88/min. Neurological assessment revealed left upper eyelid ptosis, horizontal nystagmus, and left-sided gait ataxia without limb weakness or sensory deficits. ENT evaluation showed bilateral mastoid tenderness, and otoscopic examination confirmed bilateral otomastoiditis. CT brain revealed subtle hypodensity in the left cerebellar hemisphere and bilateral otomastoiditis. MRI with MR angiography demonstrated acute infarcts in the left cerebellar hemisphere and left lateral medulla, with poor visualization of the left vertebral artery, confirming LMS due to posterior circulation ischemic stroke. She was treated with dual antiplatelet therapy, antihypertensives, insulin, empirical antibiotics, and physiotherapy, with significant improvement at discharge.</w:t>
      </w:r>
      <w:r w:rsidRPr="00530E36">
        <w:rPr>
          <w:rFonts w:ascii="Arial" w:eastAsia="SimSun" w:hAnsi="Arial" w:cs="Arial"/>
          <w:kern w:val="0"/>
          <w:sz w:val="20"/>
          <w:szCs w:val="20"/>
          <w:lang w:eastAsia="zh-CN" w:bidi="ar"/>
        </w:rPr>
        <w:br/>
      </w:r>
      <w:r w:rsidRPr="00530E36">
        <w:rPr>
          <w:rFonts w:ascii="Arial" w:eastAsia="SimSun" w:hAnsi="Arial" w:cs="Arial"/>
          <w:b/>
          <w:bCs/>
          <w:kern w:val="0"/>
          <w:sz w:val="20"/>
          <w:szCs w:val="20"/>
          <w:lang w:eastAsia="zh-CN" w:bidi="ar"/>
        </w:rPr>
        <w:t>Conclusion:</w:t>
      </w:r>
      <w:r w:rsidRPr="00530E36">
        <w:rPr>
          <w:rFonts w:ascii="Arial" w:eastAsia="SimSun" w:hAnsi="Arial" w:cs="Arial"/>
          <w:kern w:val="0"/>
          <w:sz w:val="20"/>
          <w:szCs w:val="20"/>
          <w:lang w:eastAsia="zh-CN" w:bidi="ar"/>
        </w:rPr>
        <w:br/>
        <w:t>This case highlights the importance of considering posterior circulation stroke in young adults presenting with atypical vestibular or cerebellar symptoms, particularly in the presence of metabolic and infectious risk factors. Early imaging and multidisciplinary care can lead to favorable outcomes.</w:t>
      </w:r>
      <w:r w:rsidRPr="00530E36">
        <w:rPr>
          <w:rFonts w:ascii="Arial" w:eastAsia="SimSun" w:hAnsi="Arial" w:cs="Arial"/>
          <w:kern w:val="0"/>
          <w:sz w:val="20"/>
          <w:szCs w:val="20"/>
          <w:lang w:eastAsia="zh-CN" w:bidi="ar"/>
        </w:rPr>
        <w:br/>
      </w:r>
      <w:r w:rsidRPr="00530E36">
        <w:rPr>
          <w:rFonts w:ascii="Arial" w:eastAsia="SimSun" w:hAnsi="Arial" w:cs="Arial"/>
          <w:b/>
          <w:bCs/>
          <w:kern w:val="0"/>
          <w:sz w:val="20"/>
          <w:szCs w:val="20"/>
          <w:lang w:eastAsia="zh-CN" w:bidi="ar"/>
        </w:rPr>
        <w:t>Keywords:</w:t>
      </w:r>
      <w:r w:rsidRPr="00530E36">
        <w:rPr>
          <w:rFonts w:ascii="Arial" w:eastAsia="SimSun" w:hAnsi="Arial" w:cs="Arial"/>
          <w:kern w:val="0"/>
          <w:sz w:val="20"/>
          <w:szCs w:val="20"/>
          <w:lang w:eastAsia="zh-CN" w:bidi="ar"/>
        </w:rPr>
        <w:br/>
        <w:t>Lateral medullary syndrome, Posterior circulation stroke, Cerebellar infarct, Otomastoiditis, Hypertension, Diabetes mellitus</w:t>
      </w:r>
    </w:p>
    <w:p w14:paraId="70C79A5E" w14:textId="77777777" w:rsidR="00347C5D" w:rsidRDefault="008B0FD3">
      <w:pPr>
        <w:numPr>
          <w:ilvl w:val="0"/>
          <w:numId w:val="1"/>
        </w:numPr>
        <w:rPr>
          <w:rFonts w:ascii="Arial" w:hAnsi="Arial" w:cs="Arial"/>
          <w:b/>
          <w:bCs/>
          <w:sz w:val="22"/>
          <w:szCs w:val="22"/>
        </w:rPr>
      </w:pPr>
      <w:r>
        <w:rPr>
          <w:rFonts w:ascii="Arial" w:hAnsi="Arial" w:cs="Arial"/>
          <w:b/>
          <w:bCs/>
          <w:sz w:val="22"/>
          <w:szCs w:val="22"/>
        </w:rPr>
        <w:t>INTRODUCTION</w:t>
      </w:r>
    </w:p>
    <w:p w14:paraId="347A0355" w14:textId="77777777" w:rsidR="00347C5D" w:rsidRDefault="008B0FD3">
      <w:pPr>
        <w:rPr>
          <w:rFonts w:ascii="Arial" w:eastAsia="SimSun" w:hAnsi="Arial" w:cs="Arial"/>
          <w:kern w:val="0"/>
          <w:sz w:val="20"/>
          <w:szCs w:val="20"/>
          <w:lang w:eastAsia="zh-CN" w:bidi="ar"/>
        </w:rPr>
      </w:pPr>
      <w:r>
        <w:rPr>
          <w:rFonts w:ascii="Arial" w:hAnsi="Arial" w:cs="Arial"/>
          <w:sz w:val="20"/>
          <w:szCs w:val="20"/>
        </w:rPr>
        <w:t xml:space="preserve"> </w:t>
      </w:r>
      <w:r>
        <w:rPr>
          <w:rFonts w:ascii="Arial" w:eastAsia="SimSun" w:hAnsi="Arial" w:cs="Arial"/>
          <w:kern w:val="0"/>
          <w:sz w:val="20"/>
          <w:szCs w:val="20"/>
          <w:lang w:eastAsia="zh-CN" w:bidi="ar"/>
        </w:rPr>
        <w:t>Stroke in young adults—defined as occurring before the age of 45—accounts for approximately 10–15% of all ischemic strokes, and the incidence is increasing globally </w:t>
      </w:r>
      <w:r w:rsidRPr="00530E36">
        <w:rPr>
          <w:rFonts w:ascii="Arial" w:eastAsia="SimSun" w:hAnsi="Arial" w:cs="Arial"/>
          <w:kern w:val="0"/>
          <w:sz w:val="20"/>
          <w:szCs w:val="20"/>
          <w:vertAlign w:val="superscript"/>
          <w:lang w:eastAsia="zh-CN" w:bidi="ar"/>
        </w:rPr>
        <w:t>(1)</w:t>
      </w:r>
      <w:r>
        <w:rPr>
          <w:rFonts w:ascii="Arial" w:eastAsia="SimSun" w:hAnsi="Arial" w:cs="Arial"/>
          <w:kern w:val="0"/>
          <w:sz w:val="20"/>
          <w:szCs w:val="20"/>
          <w:lang w:eastAsia="zh-CN" w:bidi="ar"/>
        </w:rPr>
        <w:t>. Posterior circulation ischemic strokes (PCS), involving the vertebrobasilar arterial system, make up about 20–25% of ischemic strokes. PCS often presents with nonspecific symptoms such as vertigo, nausea, vomiting, and gait instability, which frequently leads to misdiagnosis or delayed management </w:t>
      </w:r>
      <w:r w:rsidRPr="00530E36">
        <w:rPr>
          <w:rFonts w:ascii="Arial" w:eastAsia="SimSun" w:hAnsi="Arial" w:cs="Arial"/>
          <w:kern w:val="0"/>
          <w:sz w:val="20"/>
          <w:szCs w:val="20"/>
          <w:vertAlign w:val="superscript"/>
          <w:lang w:eastAsia="zh-CN" w:bidi="ar"/>
        </w:rPr>
        <w:t>(2)</w:t>
      </w:r>
      <w:r>
        <w:rPr>
          <w:rFonts w:ascii="Arial" w:eastAsia="SimSun" w:hAnsi="Arial" w:cs="Arial"/>
          <w:kern w:val="0"/>
          <w:sz w:val="20"/>
          <w:szCs w:val="20"/>
          <w:lang w:eastAsia="zh-CN" w:bidi="ar"/>
        </w:rPr>
        <w:t>.</w:t>
      </w:r>
    </w:p>
    <w:p w14:paraId="47DE9F08" w14:textId="77777777" w:rsidR="00347C5D" w:rsidRDefault="008B0FD3">
      <w:pPr>
        <w:rPr>
          <w:rFonts w:ascii="Arial" w:eastAsia="SimSun" w:hAnsi="Arial" w:cs="Arial"/>
          <w:kern w:val="0"/>
          <w:sz w:val="20"/>
          <w:szCs w:val="20"/>
          <w:lang w:eastAsia="zh-CN" w:bidi="ar"/>
        </w:rPr>
      </w:pPr>
      <w:r>
        <w:rPr>
          <w:rFonts w:ascii="Arial" w:eastAsia="SimSun" w:hAnsi="Arial" w:cs="Arial"/>
          <w:kern w:val="0"/>
          <w:sz w:val="20"/>
          <w:szCs w:val="20"/>
          <w:lang w:eastAsia="zh-CN" w:bidi="ar"/>
        </w:rPr>
        <w:lastRenderedPageBreak/>
        <w:t xml:space="preserve">Lateral medullary syndrome (LMS), or Wallenberg syndrome, is an uncommon but important clinical entity most frequently caused by infarction of the lateral portion of the medulla oblongata, typically due to thrombotic or embolic occlusion of the vertebral artery or the posterior inferior cerebellar artery (PICA). </w:t>
      </w:r>
      <w:r w:rsidRPr="00530E36">
        <w:rPr>
          <w:rFonts w:ascii="Arial" w:eastAsia="SimSun" w:hAnsi="Arial" w:cs="Arial"/>
          <w:kern w:val="0"/>
          <w:sz w:val="20"/>
          <w:szCs w:val="20"/>
          <w:vertAlign w:val="superscript"/>
          <w:lang w:eastAsia="zh-CN" w:bidi="ar"/>
        </w:rPr>
        <w:t>(3)</w:t>
      </w:r>
      <w:r>
        <w:rPr>
          <w:rFonts w:ascii="Arial" w:eastAsia="SimSun" w:hAnsi="Arial" w:cs="Arial"/>
          <w:kern w:val="0"/>
          <w:sz w:val="20"/>
          <w:szCs w:val="20"/>
          <w:lang w:eastAsia="zh-CN" w:bidi="ar"/>
        </w:rPr>
        <w:br/>
        <w:t>It is characterized by a distinctive neurological syndrome including ipsilateral facial sensory loss, dysphagia, contralateral pain–temperature deficit, limb ataxia, and Horner’s syndrome; concurrent cerebellar infarction may exacerbate gait ataxia and vomiting </w:t>
      </w:r>
      <w:r w:rsidRPr="00530E36">
        <w:rPr>
          <w:rFonts w:ascii="Arial" w:eastAsia="SimSun" w:hAnsi="Arial" w:cs="Arial"/>
          <w:kern w:val="0"/>
          <w:sz w:val="20"/>
          <w:szCs w:val="20"/>
          <w:vertAlign w:val="superscript"/>
          <w:lang w:eastAsia="zh-CN" w:bidi="ar"/>
        </w:rPr>
        <w:t>(4)</w:t>
      </w:r>
    </w:p>
    <w:p w14:paraId="4287D6DD" w14:textId="77777777" w:rsidR="00347C5D" w:rsidRDefault="008B0FD3">
      <w:pPr>
        <w:rPr>
          <w:rFonts w:ascii="Arial" w:eastAsia="SimSun" w:hAnsi="Arial" w:cs="Arial"/>
          <w:kern w:val="0"/>
          <w:sz w:val="20"/>
          <w:szCs w:val="20"/>
          <w:lang w:eastAsia="zh-CN" w:bidi="ar"/>
        </w:rPr>
      </w:pPr>
      <w:r>
        <w:rPr>
          <w:rFonts w:ascii="Arial" w:eastAsia="SimSun" w:hAnsi="Arial" w:cs="Arial"/>
          <w:kern w:val="0"/>
          <w:sz w:val="20"/>
          <w:szCs w:val="20"/>
          <w:lang w:eastAsia="zh-CN" w:bidi="ar"/>
        </w:rPr>
        <w:t xml:space="preserve">While hypertension and type 2 diabetes mellitus (T2DM) are well-recognized risk factors for stroke, their presence in younger adults is relatively uncommon and significantly raises the risk of early cerebrovascular </w:t>
      </w:r>
      <w:proofErr w:type="gramStart"/>
      <w:r>
        <w:rPr>
          <w:rFonts w:ascii="Arial" w:eastAsia="SimSun" w:hAnsi="Arial" w:cs="Arial"/>
          <w:kern w:val="0"/>
          <w:sz w:val="20"/>
          <w:szCs w:val="20"/>
          <w:lang w:eastAsia="zh-CN" w:bidi="ar"/>
        </w:rPr>
        <w:t>events</w:t>
      </w:r>
      <w:r w:rsidRPr="00530E36">
        <w:rPr>
          <w:rFonts w:ascii="Arial" w:eastAsia="SimSun" w:hAnsi="Arial" w:cs="Arial"/>
          <w:kern w:val="0"/>
          <w:sz w:val="20"/>
          <w:szCs w:val="20"/>
          <w:vertAlign w:val="superscript"/>
          <w:lang w:eastAsia="zh-CN" w:bidi="ar"/>
        </w:rPr>
        <w:t>(</w:t>
      </w:r>
      <w:proofErr w:type="gramEnd"/>
      <w:r w:rsidRPr="00530E36">
        <w:rPr>
          <w:rFonts w:ascii="Arial" w:eastAsia="SimSun" w:hAnsi="Arial" w:cs="Arial"/>
          <w:kern w:val="0"/>
          <w:sz w:val="20"/>
          <w:szCs w:val="20"/>
          <w:vertAlign w:val="superscript"/>
          <w:lang w:eastAsia="zh-CN" w:bidi="ar"/>
        </w:rPr>
        <w:t>5)</w:t>
      </w:r>
    </w:p>
    <w:p w14:paraId="704AB7C5" w14:textId="77777777" w:rsidR="00347C5D" w:rsidRDefault="008B0FD3">
      <w:pPr>
        <w:rPr>
          <w:rFonts w:ascii="Arial" w:eastAsia="SimSun" w:hAnsi="Arial" w:cs="Arial"/>
          <w:kern w:val="0"/>
          <w:sz w:val="20"/>
          <w:szCs w:val="20"/>
          <w:lang w:eastAsia="zh-CN" w:bidi="ar"/>
        </w:rPr>
      </w:pPr>
      <w:r>
        <w:rPr>
          <w:rFonts w:ascii="Arial" w:eastAsia="SimSun" w:hAnsi="Arial" w:cs="Arial"/>
          <w:kern w:val="0"/>
          <w:sz w:val="20"/>
          <w:szCs w:val="20"/>
          <w:lang w:eastAsia="zh-CN" w:bidi="ar"/>
        </w:rPr>
        <w:t xml:space="preserve">Otomastoiditis, a chronic or recurrent infection of the middle ear and mastoid air cells, is a rare but important potential source of intracranial infectious complications, including stroke. The spread of infection to adjacent intracranial vessels can provoke local arterial inflammation, thrombosis, or embolic phenomena, especially in patients with additional vascular risk factors such as hypertension and </w:t>
      </w:r>
      <w:proofErr w:type="gramStart"/>
      <w:r>
        <w:rPr>
          <w:rFonts w:ascii="Arial" w:eastAsia="SimSun" w:hAnsi="Arial" w:cs="Arial"/>
          <w:kern w:val="0"/>
          <w:sz w:val="20"/>
          <w:szCs w:val="20"/>
          <w:lang w:eastAsia="zh-CN" w:bidi="ar"/>
        </w:rPr>
        <w:t>diabetes</w:t>
      </w:r>
      <w:r w:rsidRPr="00530E36">
        <w:rPr>
          <w:rFonts w:ascii="Arial" w:eastAsia="SimSun" w:hAnsi="Arial" w:cs="Arial"/>
          <w:kern w:val="0"/>
          <w:sz w:val="20"/>
          <w:szCs w:val="20"/>
          <w:vertAlign w:val="superscript"/>
          <w:lang w:eastAsia="zh-CN" w:bidi="ar"/>
        </w:rPr>
        <w:t>(</w:t>
      </w:r>
      <w:proofErr w:type="gramEnd"/>
      <w:r w:rsidRPr="00530E36">
        <w:rPr>
          <w:rFonts w:ascii="Arial" w:eastAsia="SimSun" w:hAnsi="Arial" w:cs="Arial"/>
          <w:kern w:val="0"/>
          <w:sz w:val="20"/>
          <w:szCs w:val="20"/>
          <w:vertAlign w:val="superscript"/>
          <w:lang w:eastAsia="zh-CN" w:bidi="ar"/>
        </w:rPr>
        <w:t>6)(7)</w:t>
      </w:r>
    </w:p>
    <w:p w14:paraId="7D78F873" w14:textId="77777777" w:rsidR="00347C5D" w:rsidRDefault="008B0FD3">
      <w:pPr>
        <w:rPr>
          <w:rFonts w:ascii="Arial" w:hAnsi="Arial" w:cs="Arial"/>
          <w:sz w:val="20"/>
          <w:szCs w:val="20"/>
        </w:rPr>
      </w:pPr>
      <w:r>
        <w:rPr>
          <w:rFonts w:ascii="Arial" w:eastAsia="SimSun" w:hAnsi="Arial" w:cs="Arial"/>
          <w:kern w:val="0"/>
          <w:sz w:val="20"/>
          <w:szCs w:val="20"/>
          <w:lang w:eastAsia="zh-CN" w:bidi="ar"/>
        </w:rPr>
        <w:t>This report describes a rare and complex case of posterior circulation stroke in a young adult female with pre-existing hypertension, diabetes, and bilateral otomastoiditis, presenting with both lateral medullary syndrome and cerebellar infarction. The case highlights the importance of early neuroimaging, thorough etiological evaluation, and multidisciplinary management in young adults with atypical presentations of stroke.</w:t>
      </w:r>
    </w:p>
    <w:p w14:paraId="4ADAAEC3" w14:textId="77777777" w:rsidR="00347C5D" w:rsidRDefault="00347C5D">
      <w:pPr>
        <w:rPr>
          <w:rFonts w:ascii="Arial" w:hAnsi="Arial" w:cs="Arial"/>
          <w:sz w:val="22"/>
          <w:szCs w:val="22"/>
        </w:rPr>
      </w:pPr>
    </w:p>
    <w:p w14:paraId="426F40D0" w14:textId="77777777" w:rsidR="00347C5D" w:rsidRDefault="008B0FD3">
      <w:pPr>
        <w:numPr>
          <w:ilvl w:val="0"/>
          <w:numId w:val="1"/>
        </w:numPr>
        <w:rPr>
          <w:rFonts w:ascii="Arial" w:hAnsi="Arial" w:cs="Arial"/>
          <w:b/>
          <w:bCs/>
          <w:sz w:val="22"/>
          <w:szCs w:val="22"/>
        </w:rPr>
      </w:pPr>
      <w:r>
        <w:rPr>
          <w:rFonts w:ascii="Arial" w:hAnsi="Arial" w:cs="Arial"/>
          <w:b/>
          <w:bCs/>
          <w:sz w:val="22"/>
          <w:szCs w:val="22"/>
        </w:rPr>
        <w:t>PRESENTATION OF CASE</w:t>
      </w:r>
    </w:p>
    <w:p w14:paraId="41163A76" w14:textId="4F54B955" w:rsidR="00347C5D" w:rsidRDefault="008B0FD3">
      <w:pPr>
        <w:rPr>
          <w:rFonts w:ascii="Arial" w:hAnsi="Arial" w:cs="Arial"/>
          <w:sz w:val="20"/>
          <w:szCs w:val="20"/>
        </w:rPr>
      </w:pPr>
      <w:r>
        <w:rPr>
          <w:rFonts w:ascii="Arial" w:hAnsi="Arial" w:cs="Arial"/>
          <w:sz w:val="20"/>
          <w:szCs w:val="20"/>
        </w:rPr>
        <w:t xml:space="preserve">A 35year of female </w:t>
      </w:r>
      <w:proofErr w:type="gramStart"/>
      <w:r>
        <w:rPr>
          <w:rFonts w:ascii="Arial" w:hAnsi="Arial" w:cs="Arial"/>
          <w:sz w:val="20"/>
          <w:szCs w:val="20"/>
        </w:rPr>
        <w:t>patient  with</w:t>
      </w:r>
      <w:proofErr w:type="gramEnd"/>
      <w:r>
        <w:rPr>
          <w:rFonts w:ascii="Arial" w:hAnsi="Arial" w:cs="Arial"/>
          <w:sz w:val="20"/>
          <w:szCs w:val="20"/>
        </w:rPr>
        <w:t xml:space="preserve"> known history of type 2 diabetics mellitus and hypertension was brought to the emergency department with complaints of giddiness,4 episodes of vomiting ,</w:t>
      </w:r>
      <w:r w:rsidR="0059318B">
        <w:rPr>
          <w:rFonts w:ascii="Arial" w:hAnsi="Arial" w:cs="Arial"/>
          <w:sz w:val="20"/>
          <w:szCs w:val="20"/>
        </w:rPr>
        <w:t>palpitation, cough</w:t>
      </w:r>
      <w:r>
        <w:rPr>
          <w:rFonts w:ascii="Arial" w:hAnsi="Arial" w:cs="Arial"/>
          <w:sz w:val="20"/>
          <w:szCs w:val="20"/>
        </w:rPr>
        <w:t xml:space="preserve"> for 2 </w:t>
      </w:r>
      <w:r w:rsidR="00AB6B76">
        <w:rPr>
          <w:rFonts w:ascii="Arial" w:hAnsi="Arial" w:cs="Arial"/>
          <w:sz w:val="20"/>
          <w:szCs w:val="20"/>
        </w:rPr>
        <w:t>days. There</w:t>
      </w:r>
      <w:r>
        <w:rPr>
          <w:rFonts w:ascii="Arial" w:hAnsi="Arial" w:cs="Arial"/>
          <w:sz w:val="20"/>
          <w:szCs w:val="20"/>
        </w:rPr>
        <w:t xml:space="preserve"> was no history of </w:t>
      </w:r>
      <w:r w:rsidR="00AB6B76">
        <w:rPr>
          <w:rFonts w:ascii="Arial" w:hAnsi="Arial" w:cs="Arial"/>
          <w:sz w:val="20"/>
          <w:szCs w:val="20"/>
        </w:rPr>
        <w:t>fever, trauma, seizure, loss</w:t>
      </w:r>
      <w:r>
        <w:rPr>
          <w:rFonts w:ascii="Arial" w:hAnsi="Arial" w:cs="Arial"/>
          <w:sz w:val="20"/>
          <w:szCs w:val="20"/>
        </w:rPr>
        <w:t xml:space="preserve"> of </w:t>
      </w:r>
      <w:r w:rsidR="009D281B">
        <w:rPr>
          <w:rFonts w:ascii="Arial" w:hAnsi="Arial" w:cs="Arial"/>
          <w:sz w:val="20"/>
          <w:szCs w:val="20"/>
        </w:rPr>
        <w:t>consciousness</w:t>
      </w:r>
      <w:r>
        <w:rPr>
          <w:rFonts w:ascii="Arial" w:hAnsi="Arial" w:cs="Arial"/>
          <w:sz w:val="20"/>
          <w:szCs w:val="20"/>
        </w:rPr>
        <w:t xml:space="preserve"> or neck stiffness</w:t>
      </w:r>
    </w:p>
    <w:p w14:paraId="0CCDA4FA" w14:textId="5DCDF63D" w:rsidR="00347C5D" w:rsidRDefault="008B0FD3">
      <w:pPr>
        <w:jc w:val="both"/>
        <w:rPr>
          <w:rFonts w:ascii="Arial" w:hAnsi="Arial" w:cs="Arial"/>
          <w:sz w:val="20"/>
          <w:szCs w:val="20"/>
        </w:rPr>
      </w:pPr>
      <w:r>
        <w:rPr>
          <w:rFonts w:ascii="Arial" w:hAnsi="Arial" w:cs="Arial"/>
          <w:sz w:val="20"/>
          <w:szCs w:val="20"/>
        </w:rPr>
        <w:t xml:space="preserve">  On examination the patient was </w:t>
      </w:r>
      <w:r w:rsidR="00107CC0">
        <w:rPr>
          <w:rFonts w:ascii="Arial" w:hAnsi="Arial" w:cs="Arial"/>
          <w:sz w:val="20"/>
          <w:szCs w:val="20"/>
        </w:rPr>
        <w:t>conscious</w:t>
      </w:r>
      <w:r>
        <w:rPr>
          <w:rFonts w:ascii="Arial" w:hAnsi="Arial" w:cs="Arial"/>
          <w:sz w:val="20"/>
          <w:szCs w:val="20"/>
        </w:rPr>
        <w:t>,</w:t>
      </w:r>
      <w:r w:rsidR="009D281B">
        <w:rPr>
          <w:rFonts w:ascii="Arial" w:hAnsi="Arial" w:cs="Arial"/>
          <w:sz w:val="20"/>
          <w:szCs w:val="20"/>
        </w:rPr>
        <w:t xml:space="preserve"> </w:t>
      </w:r>
      <w:r>
        <w:rPr>
          <w:rFonts w:ascii="Arial" w:hAnsi="Arial" w:cs="Arial"/>
          <w:sz w:val="20"/>
          <w:szCs w:val="20"/>
        </w:rPr>
        <w:t xml:space="preserve">alert and oriented. Her vital signs </w:t>
      </w:r>
      <w:r w:rsidR="00AB6B76">
        <w:rPr>
          <w:rFonts w:ascii="Arial" w:hAnsi="Arial" w:cs="Arial"/>
          <w:sz w:val="20"/>
          <w:szCs w:val="20"/>
        </w:rPr>
        <w:t>were notable</w:t>
      </w:r>
      <w:r>
        <w:rPr>
          <w:rFonts w:ascii="Arial" w:hAnsi="Arial" w:cs="Arial"/>
          <w:sz w:val="20"/>
          <w:szCs w:val="20"/>
        </w:rPr>
        <w:t xml:space="preserve"> for blood </w:t>
      </w:r>
      <w:r w:rsidR="00AB6B76">
        <w:rPr>
          <w:rFonts w:ascii="Arial" w:hAnsi="Arial" w:cs="Arial"/>
          <w:sz w:val="20"/>
          <w:szCs w:val="20"/>
        </w:rPr>
        <w:t>pressure</w:t>
      </w:r>
      <w:r>
        <w:rPr>
          <w:rFonts w:ascii="Arial" w:hAnsi="Arial" w:cs="Arial"/>
          <w:sz w:val="20"/>
          <w:szCs w:val="20"/>
        </w:rPr>
        <w:t xml:space="preserve"> 172/106 mm/hg and </w:t>
      </w:r>
      <w:r w:rsidR="00107CC0">
        <w:rPr>
          <w:rFonts w:ascii="Arial" w:hAnsi="Arial" w:cs="Arial"/>
          <w:sz w:val="20"/>
          <w:szCs w:val="20"/>
        </w:rPr>
        <w:t>pulse</w:t>
      </w:r>
      <w:r>
        <w:rPr>
          <w:rFonts w:ascii="Arial" w:hAnsi="Arial" w:cs="Arial"/>
          <w:sz w:val="20"/>
          <w:szCs w:val="20"/>
        </w:rPr>
        <w:t xml:space="preserve"> rate 88 beats per minute. Neurological examination revealed left upper eyelid ptosis, horizontal </w:t>
      </w:r>
      <w:r w:rsidR="00107CC0">
        <w:rPr>
          <w:rFonts w:ascii="Arial" w:hAnsi="Arial" w:cs="Arial"/>
          <w:sz w:val="20"/>
          <w:szCs w:val="20"/>
        </w:rPr>
        <w:t>nystagmus, left</w:t>
      </w:r>
      <w:r>
        <w:rPr>
          <w:rFonts w:ascii="Arial" w:hAnsi="Arial" w:cs="Arial"/>
          <w:sz w:val="20"/>
          <w:szCs w:val="20"/>
        </w:rPr>
        <w:t xml:space="preserve"> sided gait </w:t>
      </w:r>
      <w:r w:rsidR="00AB6B76">
        <w:rPr>
          <w:rFonts w:ascii="Arial" w:hAnsi="Arial" w:cs="Arial"/>
          <w:sz w:val="20"/>
          <w:szCs w:val="20"/>
        </w:rPr>
        <w:t>ataxia, no</w:t>
      </w:r>
      <w:r>
        <w:rPr>
          <w:rFonts w:ascii="Arial" w:hAnsi="Arial" w:cs="Arial"/>
          <w:sz w:val="20"/>
          <w:szCs w:val="20"/>
        </w:rPr>
        <w:t xml:space="preserve"> limb weakness </w:t>
      </w:r>
      <w:r w:rsidR="00107CC0">
        <w:rPr>
          <w:rFonts w:ascii="Arial" w:hAnsi="Arial" w:cs="Arial"/>
          <w:sz w:val="20"/>
          <w:szCs w:val="20"/>
        </w:rPr>
        <w:t>and</w:t>
      </w:r>
      <w:r>
        <w:rPr>
          <w:rFonts w:ascii="Arial" w:hAnsi="Arial" w:cs="Arial"/>
          <w:sz w:val="20"/>
          <w:szCs w:val="20"/>
        </w:rPr>
        <w:t xml:space="preserve"> no sensory </w:t>
      </w:r>
      <w:r w:rsidR="00AB6B76">
        <w:rPr>
          <w:rFonts w:ascii="Arial" w:hAnsi="Arial" w:cs="Arial"/>
          <w:sz w:val="20"/>
          <w:szCs w:val="20"/>
        </w:rPr>
        <w:t>deficits. ENT</w:t>
      </w:r>
      <w:r>
        <w:rPr>
          <w:rFonts w:ascii="Arial" w:hAnsi="Arial" w:cs="Arial"/>
          <w:sz w:val="20"/>
          <w:szCs w:val="20"/>
        </w:rPr>
        <w:t xml:space="preserve"> examination </w:t>
      </w:r>
      <w:proofErr w:type="gramStart"/>
      <w:r>
        <w:rPr>
          <w:rFonts w:ascii="Arial" w:hAnsi="Arial" w:cs="Arial"/>
          <w:sz w:val="20"/>
          <w:szCs w:val="20"/>
        </w:rPr>
        <w:t>reveal</w:t>
      </w:r>
      <w:proofErr w:type="gramEnd"/>
      <w:r>
        <w:rPr>
          <w:rFonts w:ascii="Arial" w:hAnsi="Arial" w:cs="Arial"/>
          <w:sz w:val="20"/>
          <w:szCs w:val="20"/>
        </w:rPr>
        <w:t xml:space="preserve"> bilateral mastoid tenderness and otoscopic examination imaging confirm bilateral otomastoiditis</w:t>
      </w:r>
    </w:p>
    <w:p w14:paraId="19A2F153" w14:textId="262A828A" w:rsidR="00530E36" w:rsidRPr="00530E36" w:rsidRDefault="00530E36" w:rsidP="00530E36">
      <w:pPr>
        <w:pStyle w:val="Caption"/>
        <w:keepNext/>
        <w:jc w:val="center"/>
        <w:rPr>
          <w:sz w:val="24"/>
          <w:szCs w:val="24"/>
        </w:rPr>
      </w:pPr>
      <w:r w:rsidRPr="00530E36">
        <w:rPr>
          <w:sz w:val="24"/>
          <w:szCs w:val="24"/>
        </w:rPr>
        <w:t xml:space="preserve">Table </w:t>
      </w:r>
      <w:r w:rsidRPr="00530E36">
        <w:rPr>
          <w:sz w:val="24"/>
          <w:szCs w:val="24"/>
        </w:rPr>
        <w:fldChar w:fldCharType="begin"/>
      </w:r>
      <w:r w:rsidRPr="00530E36">
        <w:rPr>
          <w:sz w:val="24"/>
          <w:szCs w:val="24"/>
        </w:rPr>
        <w:instrText xml:space="preserve"> SEQ Table \* ARABIC </w:instrText>
      </w:r>
      <w:r w:rsidRPr="00530E36">
        <w:rPr>
          <w:sz w:val="24"/>
          <w:szCs w:val="24"/>
        </w:rPr>
        <w:fldChar w:fldCharType="separate"/>
      </w:r>
      <w:r w:rsidRPr="00530E36">
        <w:rPr>
          <w:noProof/>
          <w:sz w:val="24"/>
          <w:szCs w:val="24"/>
        </w:rPr>
        <w:t>1</w:t>
      </w:r>
      <w:r w:rsidRPr="00530E36">
        <w:rPr>
          <w:sz w:val="24"/>
          <w:szCs w:val="24"/>
        </w:rPr>
        <w:fldChar w:fldCharType="end"/>
      </w:r>
      <w:r w:rsidRPr="00530E36">
        <w:rPr>
          <w:sz w:val="24"/>
          <w:szCs w:val="24"/>
        </w:rPr>
        <w:t>: Laboratory Parameters</w:t>
      </w:r>
    </w:p>
    <w:tbl>
      <w:tblPr>
        <w:tblStyle w:val="TableGrid"/>
        <w:tblW w:w="0" w:type="auto"/>
        <w:tblLook w:val="04A0" w:firstRow="1" w:lastRow="0" w:firstColumn="1" w:lastColumn="0" w:noHBand="0" w:noVBand="1"/>
      </w:tblPr>
      <w:tblGrid>
        <w:gridCol w:w="2840"/>
        <w:gridCol w:w="2841"/>
        <w:gridCol w:w="2841"/>
      </w:tblGrid>
      <w:tr w:rsidR="00347C5D" w14:paraId="1010E8C2" w14:textId="77777777">
        <w:tc>
          <w:tcPr>
            <w:tcW w:w="2840" w:type="dxa"/>
          </w:tcPr>
          <w:p w14:paraId="28345102" w14:textId="77777777" w:rsidR="00347C5D" w:rsidRDefault="008B0FD3">
            <w:pPr>
              <w:widowControl w:val="0"/>
              <w:jc w:val="both"/>
              <w:rPr>
                <w:rFonts w:ascii="Arial" w:hAnsi="Arial" w:cs="Arial"/>
                <w:sz w:val="20"/>
                <w:szCs w:val="20"/>
              </w:rPr>
            </w:pPr>
            <w:r>
              <w:rPr>
                <w:rFonts w:ascii="Arial" w:hAnsi="Arial" w:cs="Arial"/>
                <w:sz w:val="20"/>
                <w:szCs w:val="20"/>
              </w:rPr>
              <w:t>Parameter</w:t>
            </w:r>
          </w:p>
        </w:tc>
        <w:tc>
          <w:tcPr>
            <w:tcW w:w="2841" w:type="dxa"/>
          </w:tcPr>
          <w:p w14:paraId="7A1494E9" w14:textId="77777777" w:rsidR="00347C5D" w:rsidRDefault="008B0FD3">
            <w:pPr>
              <w:widowControl w:val="0"/>
              <w:jc w:val="both"/>
              <w:rPr>
                <w:rFonts w:ascii="Arial" w:hAnsi="Arial" w:cs="Arial"/>
                <w:sz w:val="20"/>
                <w:szCs w:val="20"/>
              </w:rPr>
            </w:pPr>
            <w:r>
              <w:rPr>
                <w:rFonts w:ascii="Arial" w:hAnsi="Arial" w:cs="Arial"/>
                <w:sz w:val="20"/>
                <w:szCs w:val="20"/>
              </w:rPr>
              <w:t>Value</w:t>
            </w:r>
          </w:p>
        </w:tc>
        <w:tc>
          <w:tcPr>
            <w:tcW w:w="2841" w:type="dxa"/>
          </w:tcPr>
          <w:p w14:paraId="02A1B106" w14:textId="77777777" w:rsidR="00347C5D" w:rsidRDefault="008B0FD3">
            <w:pPr>
              <w:widowControl w:val="0"/>
              <w:jc w:val="both"/>
              <w:rPr>
                <w:rFonts w:ascii="Arial" w:hAnsi="Arial" w:cs="Arial"/>
                <w:sz w:val="20"/>
                <w:szCs w:val="20"/>
              </w:rPr>
            </w:pPr>
            <w:r>
              <w:rPr>
                <w:rFonts w:ascii="Arial" w:hAnsi="Arial" w:cs="Arial"/>
                <w:sz w:val="20"/>
                <w:szCs w:val="20"/>
              </w:rPr>
              <w:t>Normal Range</w:t>
            </w:r>
          </w:p>
        </w:tc>
      </w:tr>
      <w:tr w:rsidR="00347C5D" w14:paraId="6BF6C09E" w14:textId="77777777">
        <w:tc>
          <w:tcPr>
            <w:tcW w:w="2840" w:type="dxa"/>
          </w:tcPr>
          <w:p w14:paraId="73BE0915" w14:textId="77777777" w:rsidR="00347C5D" w:rsidRDefault="008B0FD3">
            <w:pPr>
              <w:widowControl w:val="0"/>
              <w:jc w:val="both"/>
              <w:rPr>
                <w:rFonts w:ascii="Arial" w:hAnsi="Arial" w:cs="Arial"/>
                <w:sz w:val="20"/>
                <w:szCs w:val="20"/>
              </w:rPr>
            </w:pPr>
            <w:r>
              <w:rPr>
                <w:rFonts w:ascii="Arial" w:hAnsi="Arial" w:cs="Arial"/>
                <w:sz w:val="20"/>
                <w:szCs w:val="20"/>
              </w:rPr>
              <w:t>WBC</w:t>
            </w:r>
          </w:p>
        </w:tc>
        <w:tc>
          <w:tcPr>
            <w:tcW w:w="2841" w:type="dxa"/>
          </w:tcPr>
          <w:p w14:paraId="5C6F5AB8" w14:textId="77777777" w:rsidR="00347C5D" w:rsidRDefault="008B0FD3">
            <w:pPr>
              <w:widowControl w:val="0"/>
              <w:jc w:val="both"/>
              <w:rPr>
                <w:rFonts w:ascii="Arial" w:hAnsi="Arial" w:cs="Arial"/>
                <w:sz w:val="20"/>
                <w:szCs w:val="20"/>
              </w:rPr>
            </w:pPr>
            <w:r>
              <w:rPr>
                <w:rFonts w:ascii="Arial" w:hAnsi="Arial" w:cs="Arial"/>
                <w:sz w:val="20"/>
                <w:szCs w:val="20"/>
              </w:rPr>
              <w:t>13800</w:t>
            </w:r>
          </w:p>
        </w:tc>
        <w:tc>
          <w:tcPr>
            <w:tcW w:w="2841" w:type="dxa"/>
          </w:tcPr>
          <w:p w14:paraId="36F83ADB" w14:textId="77777777" w:rsidR="00347C5D" w:rsidRDefault="008B0FD3">
            <w:pPr>
              <w:widowControl w:val="0"/>
              <w:jc w:val="both"/>
              <w:rPr>
                <w:rFonts w:ascii="Arial" w:hAnsi="Arial" w:cs="Arial"/>
                <w:sz w:val="20"/>
                <w:szCs w:val="20"/>
              </w:rPr>
            </w:pPr>
            <w:r>
              <w:rPr>
                <w:rFonts w:ascii="Arial" w:hAnsi="Arial" w:cs="Arial"/>
                <w:sz w:val="20"/>
                <w:szCs w:val="20"/>
              </w:rPr>
              <w:t>4000-11000</w:t>
            </w:r>
          </w:p>
        </w:tc>
      </w:tr>
      <w:tr w:rsidR="00347C5D" w14:paraId="06066F9A" w14:textId="77777777">
        <w:tc>
          <w:tcPr>
            <w:tcW w:w="2840" w:type="dxa"/>
          </w:tcPr>
          <w:p w14:paraId="74485E2A" w14:textId="77777777" w:rsidR="00347C5D" w:rsidRDefault="008B0FD3">
            <w:pPr>
              <w:widowControl w:val="0"/>
              <w:jc w:val="both"/>
              <w:rPr>
                <w:rFonts w:ascii="Arial" w:hAnsi="Arial" w:cs="Arial"/>
                <w:sz w:val="20"/>
                <w:szCs w:val="20"/>
              </w:rPr>
            </w:pPr>
            <w:r>
              <w:rPr>
                <w:rFonts w:ascii="Arial" w:hAnsi="Arial" w:cs="Arial"/>
                <w:sz w:val="20"/>
                <w:szCs w:val="20"/>
              </w:rPr>
              <w:t>Hb</w:t>
            </w:r>
          </w:p>
        </w:tc>
        <w:tc>
          <w:tcPr>
            <w:tcW w:w="2841" w:type="dxa"/>
          </w:tcPr>
          <w:p w14:paraId="17515956" w14:textId="77777777" w:rsidR="00347C5D" w:rsidRDefault="008B0FD3">
            <w:pPr>
              <w:widowControl w:val="0"/>
              <w:jc w:val="both"/>
              <w:rPr>
                <w:rFonts w:ascii="Arial" w:hAnsi="Arial" w:cs="Arial"/>
                <w:sz w:val="20"/>
                <w:szCs w:val="20"/>
              </w:rPr>
            </w:pPr>
            <w:r>
              <w:rPr>
                <w:rFonts w:ascii="Arial" w:hAnsi="Arial" w:cs="Arial"/>
                <w:sz w:val="20"/>
                <w:szCs w:val="20"/>
              </w:rPr>
              <w:t>13.3 g/dL</w:t>
            </w:r>
          </w:p>
        </w:tc>
        <w:tc>
          <w:tcPr>
            <w:tcW w:w="2841" w:type="dxa"/>
          </w:tcPr>
          <w:p w14:paraId="26DCF742" w14:textId="77777777" w:rsidR="00347C5D" w:rsidRDefault="008B0FD3">
            <w:pPr>
              <w:widowControl w:val="0"/>
              <w:jc w:val="both"/>
              <w:rPr>
                <w:rFonts w:ascii="Arial" w:hAnsi="Arial" w:cs="Arial"/>
                <w:sz w:val="20"/>
                <w:szCs w:val="20"/>
              </w:rPr>
            </w:pPr>
            <w:r>
              <w:rPr>
                <w:rFonts w:ascii="Arial" w:hAnsi="Arial" w:cs="Arial"/>
                <w:sz w:val="20"/>
                <w:szCs w:val="20"/>
              </w:rPr>
              <w:t>12-16g/dL</w:t>
            </w:r>
          </w:p>
        </w:tc>
      </w:tr>
      <w:tr w:rsidR="00347C5D" w14:paraId="11918DF2" w14:textId="77777777">
        <w:tc>
          <w:tcPr>
            <w:tcW w:w="2840" w:type="dxa"/>
          </w:tcPr>
          <w:p w14:paraId="3FF42B81" w14:textId="77777777" w:rsidR="00347C5D" w:rsidRDefault="008B0FD3">
            <w:pPr>
              <w:widowControl w:val="0"/>
              <w:jc w:val="both"/>
              <w:rPr>
                <w:rFonts w:ascii="Arial" w:hAnsi="Arial" w:cs="Arial"/>
                <w:sz w:val="20"/>
                <w:szCs w:val="20"/>
              </w:rPr>
            </w:pPr>
            <w:r>
              <w:rPr>
                <w:rFonts w:ascii="Arial" w:hAnsi="Arial" w:cs="Arial"/>
                <w:sz w:val="20"/>
                <w:szCs w:val="20"/>
              </w:rPr>
              <w:t>Platelet count</w:t>
            </w:r>
          </w:p>
        </w:tc>
        <w:tc>
          <w:tcPr>
            <w:tcW w:w="2841" w:type="dxa"/>
          </w:tcPr>
          <w:p w14:paraId="1535D56C" w14:textId="77777777" w:rsidR="00347C5D" w:rsidRDefault="008B0FD3">
            <w:pPr>
              <w:widowControl w:val="0"/>
              <w:jc w:val="both"/>
              <w:rPr>
                <w:rFonts w:ascii="Arial" w:hAnsi="Arial" w:cs="Arial"/>
                <w:sz w:val="20"/>
                <w:szCs w:val="20"/>
              </w:rPr>
            </w:pPr>
            <w:r>
              <w:rPr>
                <w:rFonts w:ascii="Arial" w:hAnsi="Arial" w:cs="Arial"/>
                <w:sz w:val="20"/>
                <w:szCs w:val="20"/>
              </w:rPr>
              <w:t>149000</w:t>
            </w:r>
          </w:p>
        </w:tc>
        <w:tc>
          <w:tcPr>
            <w:tcW w:w="2841" w:type="dxa"/>
          </w:tcPr>
          <w:p w14:paraId="4D4956BE" w14:textId="77777777" w:rsidR="00347C5D" w:rsidRDefault="008B0FD3">
            <w:pPr>
              <w:widowControl w:val="0"/>
              <w:jc w:val="both"/>
              <w:rPr>
                <w:rFonts w:ascii="Arial" w:hAnsi="Arial" w:cs="Arial"/>
                <w:sz w:val="20"/>
                <w:szCs w:val="20"/>
              </w:rPr>
            </w:pPr>
            <w:r>
              <w:rPr>
                <w:rFonts w:ascii="Arial" w:hAnsi="Arial" w:cs="Arial"/>
                <w:sz w:val="20"/>
                <w:szCs w:val="20"/>
              </w:rPr>
              <w:t>150000-400000</w:t>
            </w:r>
          </w:p>
        </w:tc>
      </w:tr>
      <w:tr w:rsidR="00347C5D" w14:paraId="4913AEBC" w14:textId="77777777">
        <w:tc>
          <w:tcPr>
            <w:tcW w:w="2840" w:type="dxa"/>
          </w:tcPr>
          <w:p w14:paraId="17FF2501" w14:textId="77777777" w:rsidR="00347C5D" w:rsidRDefault="008B0FD3">
            <w:pPr>
              <w:widowControl w:val="0"/>
              <w:jc w:val="both"/>
              <w:rPr>
                <w:rFonts w:ascii="Arial" w:hAnsi="Arial" w:cs="Arial"/>
                <w:sz w:val="20"/>
                <w:szCs w:val="20"/>
              </w:rPr>
            </w:pPr>
            <w:r>
              <w:rPr>
                <w:rFonts w:ascii="Arial" w:hAnsi="Arial" w:cs="Arial"/>
                <w:sz w:val="20"/>
                <w:szCs w:val="20"/>
              </w:rPr>
              <w:t>MCV</w:t>
            </w:r>
          </w:p>
        </w:tc>
        <w:tc>
          <w:tcPr>
            <w:tcW w:w="2841" w:type="dxa"/>
          </w:tcPr>
          <w:p w14:paraId="323B51A9" w14:textId="77777777" w:rsidR="00347C5D" w:rsidRDefault="008B0FD3">
            <w:pPr>
              <w:widowControl w:val="0"/>
              <w:jc w:val="both"/>
              <w:rPr>
                <w:rFonts w:ascii="Arial" w:hAnsi="Arial" w:cs="Arial"/>
                <w:sz w:val="20"/>
                <w:szCs w:val="20"/>
              </w:rPr>
            </w:pPr>
            <w:r>
              <w:rPr>
                <w:rFonts w:ascii="Arial" w:hAnsi="Arial" w:cs="Arial"/>
                <w:sz w:val="20"/>
                <w:szCs w:val="20"/>
              </w:rPr>
              <w:t>77fL</w:t>
            </w:r>
          </w:p>
        </w:tc>
        <w:tc>
          <w:tcPr>
            <w:tcW w:w="2841" w:type="dxa"/>
          </w:tcPr>
          <w:p w14:paraId="28B88003" w14:textId="77777777" w:rsidR="00347C5D" w:rsidRDefault="008B0FD3">
            <w:pPr>
              <w:widowControl w:val="0"/>
              <w:jc w:val="both"/>
              <w:rPr>
                <w:rFonts w:ascii="Arial" w:hAnsi="Arial" w:cs="Arial"/>
                <w:sz w:val="20"/>
                <w:szCs w:val="20"/>
              </w:rPr>
            </w:pPr>
            <w:r>
              <w:rPr>
                <w:rFonts w:ascii="Arial" w:hAnsi="Arial" w:cs="Arial"/>
                <w:sz w:val="20"/>
                <w:szCs w:val="20"/>
              </w:rPr>
              <w:t>80-100fL</w:t>
            </w:r>
          </w:p>
        </w:tc>
      </w:tr>
      <w:tr w:rsidR="00347C5D" w14:paraId="367F554C" w14:textId="77777777">
        <w:tc>
          <w:tcPr>
            <w:tcW w:w="2840" w:type="dxa"/>
          </w:tcPr>
          <w:p w14:paraId="13232C41" w14:textId="77777777" w:rsidR="00347C5D" w:rsidRDefault="008B0FD3">
            <w:pPr>
              <w:widowControl w:val="0"/>
              <w:jc w:val="both"/>
              <w:rPr>
                <w:rFonts w:ascii="Arial" w:hAnsi="Arial" w:cs="Arial"/>
                <w:sz w:val="20"/>
                <w:szCs w:val="20"/>
              </w:rPr>
            </w:pPr>
            <w:r>
              <w:rPr>
                <w:rFonts w:ascii="Arial" w:hAnsi="Arial" w:cs="Arial"/>
                <w:sz w:val="20"/>
                <w:szCs w:val="20"/>
              </w:rPr>
              <w:t>Random blood sugar</w:t>
            </w:r>
          </w:p>
        </w:tc>
        <w:tc>
          <w:tcPr>
            <w:tcW w:w="2841" w:type="dxa"/>
          </w:tcPr>
          <w:p w14:paraId="476577CE" w14:textId="77777777" w:rsidR="00347C5D" w:rsidRDefault="008B0FD3">
            <w:pPr>
              <w:widowControl w:val="0"/>
              <w:jc w:val="both"/>
              <w:rPr>
                <w:rFonts w:ascii="Arial" w:hAnsi="Arial" w:cs="Arial"/>
                <w:sz w:val="20"/>
                <w:szCs w:val="20"/>
              </w:rPr>
            </w:pPr>
            <w:r>
              <w:rPr>
                <w:rFonts w:ascii="Arial" w:hAnsi="Arial" w:cs="Arial"/>
                <w:sz w:val="20"/>
                <w:szCs w:val="20"/>
              </w:rPr>
              <w:t>215 mg/dL</w:t>
            </w:r>
          </w:p>
        </w:tc>
        <w:tc>
          <w:tcPr>
            <w:tcW w:w="2841" w:type="dxa"/>
          </w:tcPr>
          <w:p w14:paraId="1AB1EA89" w14:textId="77777777" w:rsidR="00347C5D" w:rsidRDefault="008B0FD3">
            <w:pPr>
              <w:widowControl w:val="0"/>
              <w:jc w:val="both"/>
              <w:rPr>
                <w:rFonts w:ascii="Arial" w:hAnsi="Arial" w:cs="Arial"/>
                <w:sz w:val="20"/>
                <w:szCs w:val="20"/>
              </w:rPr>
            </w:pPr>
            <w:r>
              <w:rPr>
                <w:rFonts w:ascii="Arial" w:hAnsi="Arial" w:cs="Arial"/>
                <w:sz w:val="20"/>
                <w:szCs w:val="20"/>
              </w:rPr>
              <w:t>&lt;200mg/dL</w:t>
            </w:r>
          </w:p>
        </w:tc>
      </w:tr>
      <w:tr w:rsidR="00347C5D" w14:paraId="4EE7B594" w14:textId="77777777">
        <w:tc>
          <w:tcPr>
            <w:tcW w:w="2840" w:type="dxa"/>
          </w:tcPr>
          <w:p w14:paraId="4DF8220B" w14:textId="77777777" w:rsidR="00347C5D" w:rsidRDefault="008B0FD3">
            <w:pPr>
              <w:widowControl w:val="0"/>
              <w:jc w:val="both"/>
              <w:rPr>
                <w:rFonts w:ascii="Arial" w:hAnsi="Arial" w:cs="Arial"/>
                <w:sz w:val="20"/>
                <w:szCs w:val="20"/>
              </w:rPr>
            </w:pPr>
            <w:r>
              <w:rPr>
                <w:rFonts w:ascii="Arial" w:hAnsi="Arial" w:cs="Arial"/>
                <w:sz w:val="20"/>
                <w:szCs w:val="20"/>
              </w:rPr>
              <w:t>Blood urea</w:t>
            </w:r>
          </w:p>
        </w:tc>
        <w:tc>
          <w:tcPr>
            <w:tcW w:w="2841" w:type="dxa"/>
          </w:tcPr>
          <w:p w14:paraId="433EED3E" w14:textId="77777777" w:rsidR="00347C5D" w:rsidRDefault="008B0FD3">
            <w:pPr>
              <w:widowControl w:val="0"/>
              <w:jc w:val="both"/>
              <w:rPr>
                <w:rFonts w:ascii="Arial" w:hAnsi="Arial" w:cs="Arial"/>
                <w:sz w:val="20"/>
                <w:szCs w:val="20"/>
              </w:rPr>
            </w:pPr>
            <w:r>
              <w:rPr>
                <w:rFonts w:ascii="Arial" w:hAnsi="Arial" w:cs="Arial"/>
                <w:sz w:val="20"/>
                <w:szCs w:val="20"/>
              </w:rPr>
              <w:t>30mg/dL</w:t>
            </w:r>
          </w:p>
        </w:tc>
        <w:tc>
          <w:tcPr>
            <w:tcW w:w="2841" w:type="dxa"/>
          </w:tcPr>
          <w:p w14:paraId="602036EB" w14:textId="77777777" w:rsidR="00347C5D" w:rsidRDefault="008B0FD3">
            <w:pPr>
              <w:widowControl w:val="0"/>
              <w:jc w:val="both"/>
              <w:rPr>
                <w:rFonts w:ascii="Arial" w:hAnsi="Arial" w:cs="Arial"/>
                <w:sz w:val="20"/>
                <w:szCs w:val="20"/>
              </w:rPr>
            </w:pPr>
            <w:r>
              <w:rPr>
                <w:rFonts w:ascii="Arial" w:hAnsi="Arial" w:cs="Arial"/>
                <w:sz w:val="20"/>
                <w:szCs w:val="20"/>
              </w:rPr>
              <w:t>10-50mg/dL</w:t>
            </w:r>
          </w:p>
        </w:tc>
      </w:tr>
      <w:tr w:rsidR="00347C5D" w14:paraId="08209627" w14:textId="77777777">
        <w:tc>
          <w:tcPr>
            <w:tcW w:w="2840" w:type="dxa"/>
          </w:tcPr>
          <w:p w14:paraId="2A2DD14C" w14:textId="77777777" w:rsidR="00347C5D" w:rsidRDefault="008B0FD3">
            <w:pPr>
              <w:widowControl w:val="0"/>
              <w:jc w:val="both"/>
              <w:rPr>
                <w:rFonts w:ascii="Arial" w:hAnsi="Arial" w:cs="Arial"/>
                <w:sz w:val="20"/>
                <w:szCs w:val="20"/>
              </w:rPr>
            </w:pPr>
            <w:r>
              <w:rPr>
                <w:rFonts w:ascii="Arial" w:hAnsi="Arial" w:cs="Arial"/>
                <w:sz w:val="20"/>
                <w:szCs w:val="20"/>
              </w:rPr>
              <w:lastRenderedPageBreak/>
              <w:t>Serum creatinine</w:t>
            </w:r>
          </w:p>
        </w:tc>
        <w:tc>
          <w:tcPr>
            <w:tcW w:w="2841" w:type="dxa"/>
          </w:tcPr>
          <w:p w14:paraId="3AC324FB" w14:textId="77777777" w:rsidR="00347C5D" w:rsidRDefault="008B0FD3">
            <w:pPr>
              <w:widowControl w:val="0"/>
              <w:jc w:val="both"/>
              <w:rPr>
                <w:rFonts w:ascii="Arial" w:hAnsi="Arial" w:cs="Arial"/>
                <w:sz w:val="20"/>
                <w:szCs w:val="20"/>
              </w:rPr>
            </w:pPr>
            <w:r>
              <w:rPr>
                <w:rFonts w:ascii="Arial" w:hAnsi="Arial" w:cs="Arial"/>
                <w:sz w:val="20"/>
                <w:szCs w:val="20"/>
              </w:rPr>
              <w:t>1.0mg/dL</w:t>
            </w:r>
          </w:p>
        </w:tc>
        <w:tc>
          <w:tcPr>
            <w:tcW w:w="2841" w:type="dxa"/>
          </w:tcPr>
          <w:p w14:paraId="6B6E78E3" w14:textId="77777777" w:rsidR="00347C5D" w:rsidRDefault="008B0FD3">
            <w:pPr>
              <w:widowControl w:val="0"/>
              <w:jc w:val="both"/>
              <w:rPr>
                <w:rFonts w:ascii="Arial" w:hAnsi="Arial" w:cs="Arial"/>
                <w:sz w:val="20"/>
                <w:szCs w:val="20"/>
              </w:rPr>
            </w:pPr>
            <w:r>
              <w:rPr>
                <w:rFonts w:ascii="Arial" w:hAnsi="Arial" w:cs="Arial"/>
                <w:sz w:val="20"/>
                <w:szCs w:val="20"/>
              </w:rPr>
              <w:t>0.6-1.3mg/dL</w:t>
            </w:r>
          </w:p>
        </w:tc>
      </w:tr>
      <w:tr w:rsidR="00347C5D" w14:paraId="1433D234" w14:textId="77777777">
        <w:tc>
          <w:tcPr>
            <w:tcW w:w="2840" w:type="dxa"/>
          </w:tcPr>
          <w:p w14:paraId="652D090B" w14:textId="77777777" w:rsidR="00347C5D" w:rsidRDefault="008B0FD3">
            <w:pPr>
              <w:widowControl w:val="0"/>
              <w:jc w:val="both"/>
              <w:rPr>
                <w:rFonts w:ascii="Arial" w:hAnsi="Arial" w:cs="Arial"/>
                <w:sz w:val="20"/>
                <w:szCs w:val="20"/>
              </w:rPr>
            </w:pPr>
            <w:r>
              <w:rPr>
                <w:rFonts w:ascii="Arial" w:hAnsi="Arial" w:cs="Arial"/>
                <w:sz w:val="20"/>
                <w:szCs w:val="20"/>
              </w:rPr>
              <w:t>SGOT</w:t>
            </w:r>
          </w:p>
        </w:tc>
        <w:tc>
          <w:tcPr>
            <w:tcW w:w="2841" w:type="dxa"/>
          </w:tcPr>
          <w:p w14:paraId="0BC0D1A7" w14:textId="77777777" w:rsidR="00347C5D" w:rsidRDefault="008B0FD3">
            <w:pPr>
              <w:widowControl w:val="0"/>
              <w:jc w:val="both"/>
              <w:rPr>
                <w:rFonts w:ascii="Arial" w:hAnsi="Arial" w:cs="Arial"/>
                <w:sz w:val="20"/>
                <w:szCs w:val="20"/>
              </w:rPr>
            </w:pPr>
            <w:r>
              <w:rPr>
                <w:rFonts w:ascii="Arial" w:hAnsi="Arial" w:cs="Arial"/>
                <w:sz w:val="20"/>
                <w:szCs w:val="20"/>
              </w:rPr>
              <w:t>20U/L</w:t>
            </w:r>
          </w:p>
        </w:tc>
        <w:tc>
          <w:tcPr>
            <w:tcW w:w="2841" w:type="dxa"/>
          </w:tcPr>
          <w:p w14:paraId="7F37A14C" w14:textId="77777777" w:rsidR="00347C5D" w:rsidRDefault="008B0FD3">
            <w:pPr>
              <w:widowControl w:val="0"/>
              <w:jc w:val="both"/>
              <w:rPr>
                <w:rFonts w:ascii="Arial" w:hAnsi="Arial" w:cs="Arial"/>
                <w:sz w:val="20"/>
                <w:szCs w:val="20"/>
              </w:rPr>
            </w:pPr>
            <w:r>
              <w:rPr>
                <w:rFonts w:ascii="Arial" w:hAnsi="Arial" w:cs="Arial"/>
                <w:sz w:val="20"/>
                <w:szCs w:val="20"/>
              </w:rPr>
              <w:t>0-35U/L</w:t>
            </w:r>
          </w:p>
        </w:tc>
      </w:tr>
      <w:tr w:rsidR="00347C5D" w14:paraId="739E7B8E" w14:textId="77777777">
        <w:tc>
          <w:tcPr>
            <w:tcW w:w="2840" w:type="dxa"/>
          </w:tcPr>
          <w:p w14:paraId="2313D674" w14:textId="77777777" w:rsidR="00347C5D" w:rsidRDefault="008B0FD3">
            <w:pPr>
              <w:widowControl w:val="0"/>
              <w:jc w:val="both"/>
              <w:rPr>
                <w:rFonts w:ascii="Arial" w:hAnsi="Arial" w:cs="Arial"/>
                <w:sz w:val="20"/>
                <w:szCs w:val="20"/>
              </w:rPr>
            </w:pPr>
            <w:r>
              <w:rPr>
                <w:rFonts w:ascii="Arial" w:hAnsi="Arial" w:cs="Arial"/>
                <w:sz w:val="20"/>
                <w:szCs w:val="20"/>
              </w:rPr>
              <w:t>SGPT</w:t>
            </w:r>
          </w:p>
        </w:tc>
        <w:tc>
          <w:tcPr>
            <w:tcW w:w="2841" w:type="dxa"/>
          </w:tcPr>
          <w:p w14:paraId="4B16F782" w14:textId="77777777" w:rsidR="00347C5D" w:rsidRDefault="008B0FD3">
            <w:pPr>
              <w:widowControl w:val="0"/>
              <w:jc w:val="both"/>
              <w:rPr>
                <w:rFonts w:ascii="Arial" w:hAnsi="Arial" w:cs="Arial"/>
                <w:sz w:val="20"/>
                <w:szCs w:val="20"/>
              </w:rPr>
            </w:pPr>
            <w:r>
              <w:rPr>
                <w:rFonts w:ascii="Arial" w:hAnsi="Arial" w:cs="Arial"/>
                <w:sz w:val="20"/>
                <w:szCs w:val="20"/>
              </w:rPr>
              <w:t>22U/L</w:t>
            </w:r>
          </w:p>
        </w:tc>
        <w:tc>
          <w:tcPr>
            <w:tcW w:w="2841" w:type="dxa"/>
          </w:tcPr>
          <w:p w14:paraId="4B22081F" w14:textId="77777777" w:rsidR="00347C5D" w:rsidRDefault="008B0FD3">
            <w:pPr>
              <w:widowControl w:val="0"/>
              <w:jc w:val="both"/>
              <w:rPr>
                <w:rFonts w:ascii="Arial" w:hAnsi="Arial" w:cs="Arial"/>
                <w:sz w:val="20"/>
                <w:szCs w:val="20"/>
              </w:rPr>
            </w:pPr>
            <w:r>
              <w:rPr>
                <w:rFonts w:ascii="Arial" w:hAnsi="Arial" w:cs="Arial"/>
                <w:sz w:val="20"/>
                <w:szCs w:val="20"/>
              </w:rPr>
              <w:t>0-35U/L</w:t>
            </w:r>
          </w:p>
        </w:tc>
      </w:tr>
      <w:tr w:rsidR="00347C5D" w14:paraId="202E068E" w14:textId="77777777">
        <w:tc>
          <w:tcPr>
            <w:tcW w:w="2840" w:type="dxa"/>
          </w:tcPr>
          <w:p w14:paraId="21F6DED0" w14:textId="77777777" w:rsidR="00347C5D" w:rsidRDefault="008B0FD3">
            <w:pPr>
              <w:widowControl w:val="0"/>
              <w:jc w:val="both"/>
              <w:rPr>
                <w:rFonts w:ascii="Arial" w:hAnsi="Arial" w:cs="Arial"/>
                <w:sz w:val="20"/>
                <w:szCs w:val="20"/>
              </w:rPr>
            </w:pPr>
            <w:r>
              <w:rPr>
                <w:rFonts w:ascii="Arial" w:hAnsi="Arial" w:cs="Arial"/>
                <w:sz w:val="20"/>
                <w:szCs w:val="20"/>
              </w:rPr>
              <w:t>Serum sodium</w:t>
            </w:r>
          </w:p>
        </w:tc>
        <w:tc>
          <w:tcPr>
            <w:tcW w:w="2841" w:type="dxa"/>
          </w:tcPr>
          <w:p w14:paraId="16CE9E84" w14:textId="77777777" w:rsidR="00347C5D" w:rsidRDefault="008B0FD3">
            <w:pPr>
              <w:widowControl w:val="0"/>
              <w:jc w:val="both"/>
              <w:rPr>
                <w:rFonts w:ascii="Arial" w:hAnsi="Arial" w:cs="Arial"/>
                <w:sz w:val="20"/>
                <w:szCs w:val="20"/>
              </w:rPr>
            </w:pPr>
            <w:r>
              <w:rPr>
                <w:rFonts w:ascii="Arial" w:hAnsi="Arial" w:cs="Arial"/>
                <w:sz w:val="20"/>
                <w:szCs w:val="20"/>
              </w:rPr>
              <w:t>140mmol/L</w:t>
            </w:r>
          </w:p>
        </w:tc>
        <w:tc>
          <w:tcPr>
            <w:tcW w:w="2841" w:type="dxa"/>
          </w:tcPr>
          <w:p w14:paraId="0FA3F656" w14:textId="77777777" w:rsidR="00347C5D" w:rsidRDefault="008B0FD3">
            <w:pPr>
              <w:widowControl w:val="0"/>
              <w:jc w:val="both"/>
              <w:rPr>
                <w:rFonts w:ascii="Arial" w:hAnsi="Arial" w:cs="Arial"/>
                <w:sz w:val="20"/>
                <w:szCs w:val="20"/>
              </w:rPr>
            </w:pPr>
            <w:r>
              <w:rPr>
                <w:rFonts w:ascii="Arial" w:hAnsi="Arial" w:cs="Arial"/>
                <w:sz w:val="20"/>
                <w:szCs w:val="20"/>
              </w:rPr>
              <w:t>135-145mmol/L</w:t>
            </w:r>
          </w:p>
        </w:tc>
      </w:tr>
      <w:tr w:rsidR="00347C5D" w14:paraId="3FD75ABD" w14:textId="77777777">
        <w:tc>
          <w:tcPr>
            <w:tcW w:w="2840" w:type="dxa"/>
          </w:tcPr>
          <w:p w14:paraId="20BE29BD" w14:textId="77777777" w:rsidR="00347C5D" w:rsidRDefault="008B0FD3">
            <w:pPr>
              <w:widowControl w:val="0"/>
              <w:jc w:val="both"/>
              <w:rPr>
                <w:rFonts w:ascii="Arial" w:hAnsi="Arial" w:cs="Arial"/>
                <w:sz w:val="20"/>
                <w:szCs w:val="20"/>
              </w:rPr>
            </w:pPr>
            <w:r>
              <w:rPr>
                <w:rFonts w:ascii="Arial" w:hAnsi="Arial" w:cs="Arial"/>
                <w:sz w:val="20"/>
                <w:szCs w:val="20"/>
              </w:rPr>
              <w:t>Serum potassium</w:t>
            </w:r>
          </w:p>
        </w:tc>
        <w:tc>
          <w:tcPr>
            <w:tcW w:w="2841" w:type="dxa"/>
          </w:tcPr>
          <w:p w14:paraId="3A53FB52" w14:textId="77777777" w:rsidR="00347C5D" w:rsidRDefault="008B0FD3">
            <w:pPr>
              <w:widowControl w:val="0"/>
              <w:jc w:val="both"/>
              <w:rPr>
                <w:rFonts w:ascii="Arial" w:hAnsi="Arial" w:cs="Arial"/>
                <w:sz w:val="20"/>
                <w:szCs w:val="20"/>
              </w:rPr>
            </w:pPr>
            <w:r>
              <w:rPr>
                <w:rFonts w:ascii="Arial" w:hAnsi="Arial" w:cs="Arial"/>
                <w:sz w:val="20"/>
                <w:szCs w:val="20"/>
              </w:rPr>
              <w:t>3.9mmol/L</w:t>
            </w:r>
          </w:p>
        </w:tc>
        <w:tc>
          <w:tcPr>
            <w:tcW w:w="2841" w:type="dxa"/>
          </w:tcPr>
          <w:p w14:paraId="42DD5374" w14:textId="77777777" w:rsidR="00347C5D" w:rsidRDefault="008B0FD3">
            <w:pPr>
              <w:widowControl w:val="0"/>
              <w:jc w:val="both"/>
              <w:rPr>
                <w:rFonts w:ascii="Arial" w:hAnsi="Arial" w:cs="Arial"/>
                <w:sz w:val="20"/>
                <w:szCs w:val="20"/>
              </w:rPr>
            </w:pPr>
            <w:r>
              <w:rPr>
                <w:rFonts w:ascii="Arial" w:hAnsi="Arial" w:cs="Arial"/>
                <w:sz w:val="20"/>
                <w:szCs w:val="20"/>
              </w:rPr>
              <w:t>3.5-5mmol/L</w:t>
            </w:r>
          </w:p>
        </w:tc>
      </w:tr>
    </w:tbl>
    <w:p w14:paraId="43C0D715" w14:textId="77777777" w:rsidR="00347C5D" w:rsidRDefault="00347C5D">
      <w:pPr>
        <w:jc w:val="both"/>
        <w:rPr>
          <w:rFonts w:ascii="Arial" w:hAnsi="Arial" w:cs="Arial"/>
          <w:sz w:val="22"/>
          <w:szCs w:val="22"/>
        </w:rPr>
      </w:pPr>
    </w:p>
    <w:p w14:paraId="580812F9" w14:textId="6B7FB1E2" w:rsidR="00347C5D" w:rsidRDefault="008B0FD3">
      <w:pPr>
        <w:jc w:val="both"/>
        <w:rPr>
          <w:rFonts w:ascii="Arial" w:hAnsi="Arial" w:cs="Arial"/>
          <w:b/>
          <w:bCs/>
          <w:sz w:val="22"/>
          <w:szCs w:val="22"/>
        </w:rPr>
      </w:pPr>
      <w:r>
        <w:rPr>
          <w:rFonts w:ascii="Arial" w:hAnsi="Arial" w:cs="Arial"/>
          <w:b/>
          <w:bCs/>
          <w:sz w:val="22"/>
          <w:szCs w:val="22"/>
        </w:rPr>
        <w:t>Neuro</w:t>
      </w:r>
      <w:r w:rsidR="00845696">
        <w:rPr>
          <w:rFonts w:ascii="Arial" w:hAnsi="Arial" w:cs="Arial"/>
          <w:b/>
          <w:bCs/>
          <w:sz w:val="22"/>
          <w:szCs w:val="22"/>
        </w:rPr>
        <w:t xml:space="preserve"> Imaging</w:t>
      </w:r>
      <w:r>
        <w:rPr>
          <w:rFonts w:ascii="Arial" w:hAnsi="Arial" w:cs="Arial"/>
          <w:b/>
          <w:bCs/>
          <w:sz w:val="22"/>
          <w:szCs w:val="22"/>
        </w:rPr>
        <w:t>;</w:t>
      </w:r>
    </w:p>
    <w:p w14:paraId="48CCCC33" w14:textId="5C21EA15" w:rsidR="00347C5D" w:rsidRDefault="008B0FD3" w:rsidP="00530E36">
      <w:pPr>
        <w:jc w:val="both"/>
        <w:rPr>
          <w:rFonts w:ascii="Arial" w:hAnsi="Arial" w:cs="Arial"/>
          <w:sz w:val="20"/>
          <w:szCs w:val="20"/>
        </w:rPr>
      </w:pPr>
      <w:r>
        <w:rPr>
          <w:rFonts w:ascii="Arial" w:hAnsi="Arial" w:cs="Arial"/>
          <w:b/>
          <w:bCs/>
          <w:sz w:val="22"/>
          <w:szCs w:val="22"/>
        </w:rPr>
        <w:t xml:space="preserve">  </w:t>
      </w:r>
      <w:r>
        <w:rPr>
          <w:rFonts w:ascii="Arial" w:hAnsi="Arial" w:cs="Arial"/>
          <w:b/>
          <w:bCs/>
          <w:sz w:val="20"/>
          <w:szCs w:val="20"/>
        </w:rPr>
        <w:t xml:space="preserve">Ct brain; </w:t>
      </w:r>
      <w:r>
        <w:rPr>
          <w:rFonts w:ascii="Arial" w:hAnsi="Arial" w:cs="Arial"/>
          <w:sz w:val="20"/>
          <w:szCs w:val="20"/>
        </w:rPr>
        <w:t xml:space="preserve">No acute hemorrhage or space-occupying </w:t>
      </w:r>
      <w:r w:rsidR="00107CC0">
        <w:rPr>
          <w:rFonts w:ascii="Arial" w:hAnsi="Arial" w:cs="Arial"/>
          <w:sz w:val="20"/>
          <w:szCs w:val="20"/>
        </w:rPr>
        <w:t>lesion. Settle</w:t>
      </w:r>
      <w:r>
        <w:rPr>
          <w:rFonts w:ascii="Arial" w:hAnsi="Arial" w:cs="Arial"/>
          <w:sz w:val="20"/>
          <w:szCs w:val="20"/>
        </w:rPr>
        <w:t xml:space="preserve"> hypodensity was noted in the left </w:t>
      </w:r>
      <w:r w:rsidR="00107CC0">
        <w:rPr>
          <w:rFonts w:ascii="Arial" w:hAnsi="Arial" w:cs="Arial"/>
          <w:sz w:val="20"/>
          <w:szCs w:val="20"/>
        </w:rPr>
        <w:t>cerebellar</w:t>
      </w:r>
      <w:r>
        <w:rPr>
          <w:rFonts w:ascii="Arial" w:hAnsi="Arial" w:cs="Arial"/>
          <w:sz w:val="20"/>
          <w:szCs w:val="20"/>
        </w:rPr>
        <w:t xml:space="preserve"> hemisphere. Bilateral otomastoiditis noted.</w:t>
      </w:r>
    </w:p>
    <w:p w14:paraId="73C29006" w14:textId="56AC603A" w:rsidR="00347C5D" w:rsidRDefault="008B0FD3" w:rsidP="00530E36">
      <w:pPr>
        <w:jc w:val="both"/>
        <w:rPr>
          <w:rFonts w:ascii="Arial" w:hAnsi="Arial" w:cs="Arial"/>
          <w:sz w:val="22"/>
          <w:szCs w:val="22"/>
        </w:rPr>
      </w:pPr>
      <w:r>
        <w:rPr>
          <w:rFonts w:ascii="Arial" w:hAnsi="Arial" w:cs="Arial"/>
          <w:b/>
          <w:bCs/>
          <w:sz w:val="20"/>
          <w:szCs w:val="20"/>
        </w:rPr>
        <w:t xml:space="preserve">MRI brain with MR Angiography and </w:t>
      </w:r>
      <w:proofErr w:type="gramStart"/>
      <w:r>
        <w:rPr>
          <w:rFonts w:ascii="Arial" w:hAnsi="Arial" w:cs="Arial"/>
          <w:b/>
          <w:bCs/>
          <w:sz w:val="20"/>
          <w:szCs w:val="20"/>
        </w:rPr>
        <w:t xml:space="preserve">venography;  </w:t>
      </w:r>
      <w:r>
        <w:rPr>
          <w:rFonts w:ascii="Arial" w:hAnsi="Arial" w:cs="Arial"/>
          <w:sz w:val="20"/>
          <w:szCs w:val="20"/>
        </w:rPr>
        <w:t>Multiple</w:t>
      </w:r>
      <w:proofErr w:type="gramEnd"/>
      <w:r>
        <w:rPr>
          <w:rFonts w:ascii="Arial" w:hAnsi="Arial" w:cs="Arial"/>
          <w:sz w:val="20"/>
          <w:szCs w:val="20"/>
        </w:rPr>
        <w:t xml:space="preserve"> punctate foci of T2 flair hyperintensity and diffusion restriction noted in the left cerebellar hemisphere and left lateral </w:t>
      </w:r>
      <w:r w:rsidR="000A2386">
        <w:rPr>
          <w:rFonts w:ascii="Arial" w:hAnsi="Arial" w:cs="Arial"/>
          <w:sz w:val="20"/>
          <w:szCs w:val="20"/>
        </w:rPr>
        <w:t>medulla. Suggestive</w:t>
      </w:r>
      <w:r>
        <w:rPr>
          <w:rFonts w:ascii="Arial" w:hAnsi="Arial" w:cs="Arial"/>
          <w:sz w:val="20"/>
          <w:szCs w:val="20"/>
        </w:rPr>
        <w:t xml:space="preserve"> of acute infracts in the posterior circulation </w:t>
      </w:r>
      <w:proofErr w:type="gramStart"/>
      <w:r>
        <w:rPr>
          <w:rFonts w:ascii="Arial" w:hAnsi="Arial" w:cs="Arial"/>
          <w:sz w:val="20"/>
          <w:szCs w:val="20"/>
        </w:rPr>
        <w:t>territory</w:t>
      </w:r>
      <w:r w:rsidR="000A2386">
        <w:rPr>
          <w:rFonts w:ascii="Arial" w:hAnsi="Arial" w:cs="Arial"/>
          <w:sz w:val="20"/>
          <w:szCs w:val="20"/>
        </w:rPr>
        <w:t xml:space="preserve"> </w:t>
      </w:r>
      <w:r>
        <w:rPr>
          <w:rFonts w:ascii="Arial" w:hAnsi="Arial" w:cs="Arial"/>
          <w:sz w:val="20"/>
          <w:szCs w:val="20"/>
        </w:rPr>
        <w:t>.</w:t>
      </w:r>
      <w:r w:rsidR="000A2386">
        <w:rPr>
          <w:rFonts w:ascii="Arial" w:hAnsi="Arial" w:cs="Arial"/>
          <w:sz w:val="20"/>
          <w:szCs w:val="20"/>
        </w:rPr>
        <w:t>Asymmetrical</w:t>
      </w:r>
      <w:proofErr w:type="gramEnd"/>
      <w:r>
        <w:rPr>
          <w:rFonts w:ascii="Arial" w:hAnsi="Arial" w:cs="Arial"/>
          <w:sz w:val="20"/>
          <w:szCs w:val="20"/>
        </w:rPr>
        <w:t xml:space="preserve"> and diffusion restriction also noted in the left posterior </w:t>
      </w:r>
      <w:r w:rsidR="00AB6B76">
        <w:rPr>
          <w:rFonts w:ascii="Arial" w:hAnsi="Arial" w:cs="Arial"/>
          <w:sz w:val="20"/>
          <w:szCs w:val="20"/>
        </w:rPr>
        <w:t>parietal</w:t>
      </w:r>
      <w:r>
        <w:rPr>
          <w:rFonts w:ascii="Arial" w:hAnsi="Arial" w:cs="Arial"/>
          <w:sz w:val="20"/>
          <w:szCs w:val="20"/>
        </w:rPr>
        <w:t xml:space="preserve"> </w:t>
      </w:r>
      <w:r w:rsidR="000A2386">
        <w:rPr>
          <w:rFonts w:ascii="Arial" w:hAnsi="Arial" w:cs="Arial"/>
          <w:sz w:val="20"/>
          <w:szCs w:val="20"/>
        </w:rPr>
        <w:t>lobe, likely</w:t>
      </w:r>
      <w:r>
        <w:rPr>
          <w:rFonts w:ascii="Arial" w:hAnsi="Arial" w:cs="Arial"/>
          <w:sz w:val="20"/>
          <w:szCs w:val="20"/>
        </w:rPr>
        <w:t xml:space="preserve"> </w:t>
      </w:r>
      <w:r w:rsidR="000A2386">
        <w:rPr>
          <w:rFonts w:ascii="Arial" w:hAnsi="Arial" w:cs="Arial"/>
          <w:sz w:val="20"/>
          <w:szCs w:val="20"/>
        </w:rPr>
        <w:t>representing</w:t>
      </w:r>
      <w:r>
        <w:rPr>
          <w:rFonts w:ascii="Arial" w:hAnsi="Arial" w:cs="Arial"/>
          <w:sz w:val="20"/>
          <w:szCs w:val="20"/>
        </w:rPr>
        <w:t xml:space="preserve"> additional ischemic changes.</w:t>
      </w:r>
    </w:p>
    <w:p w14:paraId="0A1C2BAC" w14:textId="0E88E45A" w:rsidR="00347C5D" w:rsidRDefault="008B0FD3">
      <w:pPr>
        <w:jc w:val="both"/>
        <w:rPr>
          <w:rFonts w:ascii="Arial" w:hAnsi="Arial" w:cs="Arial"/>
          <w:b/>
          <w:bCs/>
          <w:sz w:val="22"/>
          <w:szCs w:val="22"/>
        </w:rPr>
      </w:pPr>
      <w:r>
        <w:rPr>
          <w:rFonts w:ascii="Arial" w:hAnsi="Arial" w:cs="Arial"/>
          <w:b/>
          <w:bCs/>
          <w:sz w:val="22"/>
          <w:szCs w:val="22"/>
        </w:rPr>
        <w:t xml:space="preserve">Final </w:t>
      </w:r>
      <w:r w:rsidR="00530E36">
        <w:rPr>
          <w:rFonts w:ascii="Arial" w:hAnsi="Arial" w:cs="Arial"/>
          <w:b/>
          <w:bCs/>
          <w:sz w:val="22"/>
          <w:szCs w:val="22"/>
        </w:rPr>
        <w:t>diagnosis</w:t>
      </w:r>
      <w:r>
        <w:rPr>
          <w:rFonts w:ascii="Arial" w:hAnsi="Arial" w:cs="Arial"/>
          <w:b/>
          <w:bCs/>
          <w:sz w:val="22"/>
          <w:szCs w:val="22"/>
        </w:rPr>
        <w:t>;</w:t>
      </w:r>
    </w:p>
    <w:p w14:paraId="75C411C4" w14:textId="5CD4915D" w:rsidR="00347C5D" w:rsidRDefault="008B0FD3">
      <w:pPr>
        <w:jc w:val="both"/>
        <w:rPr>
          <w:rFonts w:ascii="Arial" w:hAnsi="Arial" w:cs="Arial"/>
          <w:sz w:val="22"/>
          <w:szCs w:val="22"/>
        </w:rPr>
      </w:pPr>
      <w:r>
        <w:rPr>
          <w:rFonts w:ascii="Arial" w:hAnsi="Arial" w:cs="Arial"/>
          <w:b/>
          <w:bCs/>
          <w:sz w:val="22"/>
          <w:szCs w:val="22"/>
        </w:rPr>
        <w:t xml:space="preserve"> </w:t>
      </w:r>
      <w:r>
        <w:rPr>
          <w:rFonts w:ascii="Arial" w:hAnsi="Arial" w:cs="Arial"/>
          <w:sz w:val="20"/>
          <w:szCs w:val="20"/>
        </w:rPr>
        <w:t xml:space="preserve">The final diagnosis was posterior circulation stroke left cerebellar infract with bilateral otomastioditis with lateral medullary syndrome </w:t>
      </w:r>
    </w:p>
    <w:p w14:paraId="7DEA7373" w14:textId="77777777" w:rsidR="00347C5D" w:rsidRDefault="008B0FD3">
      <w:pPr>
        <w:jc w:val="both"/>
        <w:rPr>
          <w:rFonts w:ascii="Arial" w:hAnsi="Arial" w:cs="Arial"/>
          <w:b/>
          <w:bCs/>
          <w:sz w:val="22"/>
          <w:szCs w:val="22"/>
        </w:rPr>
      </w:pPr>
      <w:r>
        <w:rPr>
          <w:rFonts w:ascii="Arial" w:hAnsi="Arial" w:cs="Arial"/>
          <w:b/>
          <w:bCs/>
          <w:sz w:val="22"/>
          <w:szCs w:val="22"/>
        </w:rPr>
        <w:t>Management:</w:t>
      </w:r>
    </w:p>
    <w:p w14:paraId="265C0EAC" w14:textId="77777777" w:rsidR="00347C5D" w:rsidRDefault="008B0FD3">
      <w:pPr>
        <w:rPr>
          <w:rFonts w:ascii="Arial" w:hAnsi="Arial" w:cs="Arial"/>
          <w:sz w:val="20"/>
          <w:szCs w:val="20"/>
        </w:rPr>
      </w:pPr>
      <w:r>
        <w:rPr>
          <w:rFonts w:ascii="Arial" w:hAnsi="Arial" w:cs="Arial"/>
          <w:b/>
          <w:bCs/>
          <w:sz w:val="22"/>
          <w:szCs w:val="22"/>
        </w:rPr>
        <w:t xml:space="preserve"> </w:t>
      </w:r>
      <w:r>
        <w:rPr>
          <w:rFonts w:ascii="Arial" w:eastAsia="SimSun" w:hAnsi="Arial" w:cs="Arial"/>
          <w:kern w:val="0"/>
          <w:sz w:val="20"/>
          <w:szCs w:val="20"/>
          <w:lang w:eastAsia="zh-CN" w:bidi="ar"/>
        </w:rPr>
        <w:t>The patient was managed for a hypertensive emergency with posterior circulation stroke involving the cerebellum and lateral medulla. High Blood pressure at admission was managed with telmisartan 40 mg, amlodipine 5 mg, and propranolol 40 mg once daily. Dual antiplatelet therapy with aspirin 150 mg and clopidogrel 75 mg was initiated to prevent further ischemic events. Glycemic control was achieved with human Mixtard insulin (30/70) administered subcutaneously twice daily. Pantoprazole 40 mg once daily was prescribed for gastric protection, and paracetamol 500 mg as needed for pain. Pregabalin 75 mg and amitriptyline 10 mg once daily were included to manage neuropathic pain and possible cerebellar-related symptoms. ENT consultation advised conservative management for bilateral otomastoiditis with amoxicillin-clavulanate empirically.</w:t>
      </w:r>
      <w:r>
        <w:rPr>
          <w:rFonts w:ascii="Arial" w:eastAsia="SimSun" w:hAnsi="Arial" w:cs="Arial"/>
          <w:kern w:val="0"/>
          <w:sz w:val="20"/>
          <w:szCs w:val="20"/>
          <w:lang w:eastAsia="zh-CN" w:bidi="ar"/>
        </w:rPr>
        <w:br/>
      </w:r>
      <w:r>
        <w:rPr>
          <w:rFonts w:ascii="Arial" w:eastAsia="SimSun" w:hAnsi="Arial" w:cs="Arial"/>
          <w:kern w:val="0"/>
          <w:sz w:val="20"/>
          <w:szCs w:val="20"/>
          <w:lang w:eastAsia="zh-CN" w:bidi="ar"/>
        </w:rPr>
        <w:br/>
        <w:t>At discharge, the patient remained hemodynamically stable with BP of 140/100 mmHg, SpO₂ of 99%, and pulse rate of 84 bpm. Though clinical improvement was noted, the patient continued to experience upper and lower limb pain. She was discharged with advice for home blood pressure monitoring, continued insulin use with dietary control, and scheduled follow-up with neurology, ENT, and diabetology departments. Supportive physiotherapy and fall precautions were recommended. Regular medication adherence and symptom monitoring were emphasized to prevent recurrence.</w:t>
      </w:r>
    </w:p>
    <w:p w14:paraId="34AB94C2" w14:textId="77777777" w:rsidR="00347C5D" w:rsidRDefault="00347C5D">
      <w:pPr>
        <w:rPr>
          <w:rFonts w:ascii="Arial" w:hAnsi="Arial" w:cs="Arial"/>
          <w:b/>
          <w:bCs/>
          <w:sz w:val="22"/>
          <w:szCs w:val="22"/>
        </w:rPr>
      </w:pPr>
    </w:p>
    <w:p w14:paraId="357699C3" w14:textId="77777777" w:rsidR="00347C5D" w:rsidRDefault="008B0FD3">
      <w:pPr>
        <w:rPr>
          <w:rFonts w:ascii="Arial" w:hAnsi="Arial" w:cs="Arial"/>
          <w:sz w:val="22"/>
          <w:szCs w:val="22"/>
        </w:rPr>
      </w:pPr>
      <w:r>
        <w:rPr>
          <w:rFonts w:ascii="Arial" w:hAnsi="Arial" w:cs="Arial"/>
          <w:b/>
          <w:bCs/>
          <w:sz w:val="22"/>
          <w:szCs w:val="22"/>
        </w:rPr>
        <w:t>3. DISCUSSION</w:t>
      </w:r>
    </w:p>
    <w:p w14:paraId="21F5AC07" w14:textId="3BD9310A" w:rsidR="00347C5D" w:rsidRDefault="008B0FD3" w:rsidP="00530E36">
      <w:pPr>
        <w:jc w:val="both"/>
        <w:rPr>
          <w:rFonts w:ascii="Arial" w:eastAsia="SimSun" w:hAnsi="Arial" w:cs="Arial"/>
          <w:kern w:val="0"/>
          <w:sz w:val="20"/>
          <w:szCs w:val="20"/>
          <w:lang w:eastAsia="zh-CN" w:bidi="ar"/>
        </w:rPr>
      </w:pPr>
      <w:r>
        <w:rPr>
          <w:rFonts w:ascii="Arial" w:eastAsia="SimSun" w:hAnsi="Arial" w:cs="Arial"/>
          <w:kern w:val="0"/>
          <w:sz w:val="20"/>
          <w:szCs w:val="20"/>
          <w:lang w:eastAsia="zh-CN" w:bidi="ar"/>
        </w:rPr>
        <w:t>This case describes a 35-year-old woman with poorly controlled hypertension and type 2 diabetes mellitus (T2DM) who developed lateral medullary syndrome (LMS) and left cerebellar infarction, with concurrent</w:t>
      </w:r>
      <w:r w:rsidR="002302DA">
        <w:rPr>
          <w:rFonts w:ascii="Arial" w:eastAsia="SimSun" w:hAnsi="Arial" w:cs="Arial"/>
          <w:kern w:val="0"/>
          <w:sz w:val="20"/>
          <w:szCs w:val="20"/>
          <w:lang w:eastAsia="zh-CN" w:bidi="ar"/>
        </w:rPr>
        <w:t xml:space="preserve"> </w:t>
      </w:r>
      <w:r>
        <w:rPr>
          <w:rFonts w:ascii="Arial" w:eastAsia="SimSun" w:hAnsi="Arial" w:cs="Arial"/>
          <w:kern w:val="0"/>
          <w:sz w:val="20"/>
          <w:szCs w:val="20"/>
          <w:lang w:eastAsia="zh-CN" w:bidi="ar"/>
        </w:rPr>
        <w:t>bilateral otomastoiditis.</w:t>
      </w:r>
      <w:r>
        <w:rPr>
          <w:rFonts w:ascii="Arial" w:eastAsia="SimSun" w:hAnsi="Arial" w:cs="Arial"/>
          <w:kern w:val="0"/>
          <w:sz w:val="20"/>
          <w:szCs w:val="20"/>
          <w:lang w:eastAsia="zh-CN" w:bidi="ar"/>
        </w:rPr>
        <w:br/>
      </w:r>
      <w:r>
        <w:rPr>
          <w:rFonts w:ascii="Arial" w:eastAsia="SimSun" w:hAnsi="Arial" w:cs="Arial"/>
          <w:kern w:val="0"/>
          <w:sz w:val="20"/>
          <w:szCs w:val="20"/>
          <w:lang w:eastAsia="zh-CN" w:bidi="ar"/>
        </w:rPr>
        <w:lastRenderedPageBreak/>
        <w:t xml:space="preserve">Lateral medullary syndrome (LMS) and cerebellar infarction are uncommon but clinically important posterior circulation strokes, particularly when they occur together in young adults. This case underscores the multifactorial nature of stroke in younger patients, with both conventional risk factors and rare etiologies playing significant </w:t>
      </w:r>
      <w:r w:rsidR="006F2884">
        <w:rPr>
          <w:rFonts w:ascii="Arial" w:eastAsia="SimSun" w:hAnsi="Arial" w:cs="Arial"/>
          <w:kern w:val="0"/>
          <w:sz w:val="20"/>
          <w:szCs w:val="20"/>
          <w:lang w:eastAsia="zh-CN" w:bidi="ar"/>
        </w:rPr>
        <w:t>roles. Lateral</w:t>
      </w:r>
      <w:r>
        <w:rPr>
          <w:rFonts w:ascii="Arial" w:eastAsia="SimSun" w:hAnsi="Arial" w:cs="Arial"/>
          <w:kern w:val="0"/>
          <w:sz w:val="20"/>
          <w:szCs w:val="20"/>
          <w:lang w:eastAsia="zh-CN" w:bidi="ar"/>
        </w:rPr>
        <w:t xml:space="preserve"> medullary syndrome (Wallenberg syndrome) results from infarction in the dorsolateral medulla, typically due to occlusion of the vertebral artery or posterior inferior cerebellar artery (PICA). Clinical features may include ipsilateral facial sensory loss, contralateral pain–temperature deficit, ataxia, dysphagia, and ocular findings like nystagmus or </w:t>
      </w:r>
      <w:proofErr w:type="gramStart"/>
      <w:r>
        <w:rPr>
          <w:rFonts w:ascii="Arial" w:eastAsia="SimSun" w:hAnsi="Arial" w:cs="Arial"/>
          <w:kern w:val="0"/>
          <w:sz w:val="20"/>
          <w:szCs w:val="20"/>
          <w:lang w:eastAsia="zh-CN" w:bidi="ar"/>
        </w:rPr>
        <w:t>ptosis</w:t>
      </w:r>
      <w:r w:rsidRPr="00032B15">
        <w:rPr>
          <w:rFonts w:ascii="Arial" w:eastAsia="SimSun" w:hAnsi="Arial" w:cs="Arial"/>
          <w:kern w:val="0"/>
          <w:sz w:val="20"/>
          <w:szCs w:val="20"/>
          <w:vertAlign w:val="superscript"/>
          <w:lang w:eastAsia="zh-CN" w:bidi="ar"/>
        </w:rPr>
        <w:t>.(</w:t>
      </w:r>
      <w:proofErr w:type="gramEnd"/>
      <w:r w:rsidRPr="00032B15">
        <w:rPr>
          <w:rFonts w:ascii="Arial" w:eastAsia="SimSun" w:hAnsi="Arial" w:cs="Arial"/>
          <w:kern w:val="0"/>
          <w:sz w:val="20"/>
          <w:szCs w:val="20"/>
          <w:vertAlign w:val="superscript"/>
          <w:lang w:eastAsia="zh-CN" w:bidi="ar"/>
        </w:rPr>
        <w:t>5)</w:t>
      </w:r>
      <w:r>
        <w:rPr>
          <w:rFonts w:ascii="Arial" w:eastAsia="SimSun" w:hAnsi="Arial" w:cs="Arial"/>
          <w:kern w:val="0"/>
          <w:sz w:val="20"/>
          <w:szCs w:val="20"/>
          <w:lang w:eastAsia="zh-CN" w:bidi="ar"/>
        </w:rPr>
        <w:t xml:space="preserve"> Pathogenesis primarily involves large-vessel atherosclerosis or dissection, and risk factors include hypertension and small-vessel disease, as in our patient</w:t>
      </w:r>
      <w:r w:rsidRPr="003B1174">
        <w:rPr>
          <w:rFonts w:ascii="Arial" w:eastAsia="SimSun" w:hAnsi="Arial" w:cs="Arial"/>
          <w:kern w:val="0"/>
          <w:sz w:val="20"/>
          <w:szCs w:val="20"/>
          <w:vertAlign w:val="superscript"/>
          <w:lang w:eastAsia="zh-CN" w:bidi="ar"/>
        </w:rPr>
        <w:t>(8)</w:t>
      </w:r>
    </w:p>
    <w:p w14:paraId="68D54861" w14:textId="77777777" w:rsidR="00347C5D" w:rsidRDefault="008B0FD3" w:rsidP="00530E36">
      <w:pPr>
        <w:jc w:val="both"/>
        <w:rPr>
          <w:rFonts w:ascii="Arial" w:hAnsi="Arial" w:cs="Arial"/>
          <w:sz w:val="20"/>
          <w:szCs w:val="20"/>
        </w:rPr>
      </w:pPr>
      <w:r>
        <w:rPr>
          <w:rFonts w:ascii="Arial" w:eastAsia="SimSun" w:hAnsi="Arial" w:cs="Arial"/>
          <w:kern w:val="0"/>
          <w:sz w:val="20"/>
          <w:szCs w:val="20"/>
          <w:lang w:eastAsia="zh-CN" w:bidi="ar"/>
        </w:rPr>
        <w:t xml:space="preserve">In young adults, posterior circulation strokes are more likely to result from arterial dissection or less common causes such as infection, rather than atherosclerosis. Studies demonstrate that, despite sometimes dramatic presentation, posterior circulation strokes in young adults generally have favorable prognoses when promptly recognized and </w:t>
      </w:r>
      <w:proofErr w:type="gramStart"/>
      <w:r>
        <w:rPr>
          <w:rFonts w:ascii="Arial" w:eastAsia="SimSun" w:hAnsi="Arial" w:cs="Arial"/>
          <w:kern w:val="0"/>
          <w:sz w:val="20"/>
          <w:szCs w:val="20"/>
          <w:lang w:eastAsia="zh-CN" w:bidi="ar"/>
        </w:rPr>
        <w:t>managed</w:t>
      </w:r>
      <w:r w:rsidRPr="003B1174">
        <w:rPr>
          <w:rFonts w:ascii="Arial" w:eastAsia="SimSun" w:hAnsi="Arial" w:cs="Arial"/>
          <w:kern w:val="0"/>
          <w:sz w:val="20"/>
          <w:szCs w:val="20"/>
          <w:vertAlign w:val="superscript"/>
          <w:lang w:eastAsia="zh-CN" w:bidi="ar"/>
        </w:rPr>
        <w:t>(</w:t>
      </w:r>
      <w:proofErr w:type="gramEnd"/>
      <w:r w:rsidRPr="003B1174">
        <w:rPr>
          <w:rFonts w:ascii="Arial" w:eastAsia="SimSun" w:hAnsi="Arial" w:cs="Arial"/>
          <w:kern w:val="0"/>
          <w:sz w:val="20"/>
          <w:szCs w:val="20"/>
          <w:vertAlign w:val="superscript"/>
          <w:lang w:eastAsia="zh-CN" w:bidi="ar"/>
        </w:rPr>
        <w:t>9)</w:t>
      </w:r>
    </w:p>
    <w:p w14:paraId="5946A826" w14:textId="77777777" w:rsidR="00347C5D" w:rsidRDefault="008B0FD3" w:rsidP="00530E36">
      <w:pPr>
        <w:jc w:val="both"/>
        <w:rPr>
          <w:rFonts w:ascii="Arial" w:hAnsi="Arial" w:cs="Arial"/>
          <w:sz w:val="20"/>
          <w:szCs w:val="20"/>
        </w:rPr>
      </w:pPr>
      <w:r>
        <w:rPr>
          <w:rFonts w:ascii="Arial" w:eastAsia="SimSun" w:hAnsi="Arial" w:cs="Arial"/>
          <w:kern w:val="0"/>
          <w:sz w:val="20"/>
          <w:szCs w:val="20"/>
          <w:lang w:eastAsia="zh-CN" w:bidi="ar"/>
        </w:rPr>
        <w:t xml:space="preserve">Hypertension and diabetes, traditionally associated with older adults, are increasingly observed among young stroke patients, reflecting changing epidemiology and rising prevalence of these risk factors in younger populations. Their combination exponentially increases stroke risk, worsens outcomes, and mandates strict long-term </w:t>
      </w:r>
      <w:proofErr w:type="gramStart"/>
      <w:r>
        <w:rPr>
          <w:rFonts w:ascii="Arial" w:eastAsia="SimSun" w:hAnsi="Arial" w:cs="Arial"/>
          <w:kern w:val="0"/>
          <w:sz w:val="20"/>
          <w:szCs w:val="20"/>
          <w:lang w:eastAsia="zh-CN" w:bidi="ar"/>
        </w:rPr>
        <w:t>management</w:t>
      </w:r>
      <w:r w:rsidRPr="003B1174">
        <w:rPr>
          <w:rFonts w:ascii="Arial" w:eastAsia="SimSun" w:hAnsi="Arial" w:cs="Arial"/>
          <w:kern w:val="0"/>
          <w:sz w:val="20"/>
          <w:szCs w:val="20"/>
          <w:vertAlign w:val="superscript"/>
          <w:lang w:eastAsia="zh-CN" w:bidi="ar"/>
        </w:rPr>
        <w:t>(</w:t>
      </w:r>
      <w:proofErr w:type="gramEnd"/>
      <w:r w:rsidRPr="003B1174">
        <w:rPr>
          <w:rFonts w:ascii="Arial" w:eastAsia="SimSun" w:hAnsi="Arial" w:cs="Arial"/>
          <w:kern w:val="0"/>
          <w:sz w:val="20"/>
          <w:szCs w:val="20"/>
          <w:vertAlign w:val="superscript"/>
          <w:lang w:eastAsia="zh-CN" w:bidi="ar"/>
        </w:rPr>
        <w:t>10)</w:t>
      </w:r>
      <w:r>
        <w:rPr>
          <w:rFonts w:ascii="Arial" w:eastAsia="SimSun" w:hAnsi="Arial" w:cs="Arial"/>
          <w:kern w:val="0"/>
          <w:sz w:val="20"/>
          <w:szCs w:val="20"/>
          <w:lang w:eastAsia="zh-CN" w:bidi="ar"/>
        </w:rPr>
        <w:t>.Studies consistently confirm that early detection and optimal control of hypertension, glycemic status, and associated comorbidities are as essential as treating the acute stroke event itself</w:t>
      </w:r>
      <w:r w:rsidRPr="003B1174">
        <w:rPr>
          <w:rFonts w:ascii="Arial" w:eastAsia="SimSun" w:hAnsi="Arial" w:cs="Arial"/>
          <w:kern w:val="0"/>
          <w:sz w:val="20"/>
          <w:szCs w:val="20"/>
          <w:vertAlign w:val="superscript"/>
          <w:lang w:eastAsia="zh-CN" w:bidi="ar"/>
        </w:rPr>
        <w:t>(1)</w:t>
      </w:r>
      <w:r>
        <w:rPr>
          <w:rFonts w:ascii="Arial" w:eastAsia="SimSun" w:hAnsi="Arial" w:cs="Arial"/>
          <w:kern w:val="0"/>
          <w:sz w:val="20"/>
          <w:szCs w:val="20"/>
          <w:lang w:eastAsia="zh-CN" w:bidi="ar"/>
        </w:rPr>
        <w:t>.</w:t>
      </w:r>
    </w:p>
    <w:p w14:paraId="06AD9DC3" w14:textId="77777777" w:rsidR="00347C5D" w:rsidRDefault="008B0FD3" w:rsidP="00530E36">
      <w:pPr>
        <w:jc w:val="both"/>
        <w:rPr>
          <w:rFonts w:ascii="Arial" w:hAnsi="Arial" w:cs="Arial"/>
          <w:sz w:val="20"/>
          <w:szCs w:val="20"/>
        </w:rPr>
      </w:pPr>
      <w:r>
        <w:rPr>
          <w:rFonts w:ascii="Arial" w:eastAsia="SimSun" w:hAnsi="Arial" w:cs="Arial"/>
          <w:kern w:val="0"/>
          <w:sz w:val="20"/>
          <w:szCs w:val="20"/>
          <w:lang w:eastAsia="zh-CN" w:bidi="ar"/>
        </w:rPr>
        <w:t xml:space="preserve">A rare but notable aspect in this case is the incidental finding of bilateral otomastoiditis, which may have played a contributory role. Although otogenic intracranial complications predominantly involve venous thrombosis or abscess, arterial ischemic stroke related to otomastoiditis—due to inflammatory involvement of regional vascular structures—has also been </w:t>
      </w:r>
      <w:proofErr w:type="gramStart"/>
      <w:r>
        <w:rPr>
          <w:rFonts w:ascii="Arial" w:eastAsia="SimSun" w:hAnsi="Arial" w:cs="Arial"/>
          <w:kern w:val="0"/>
          <w:sz w:val="20"/>
          <w:szCs w:val="20"/>
          <w:lang w:eastAsia="zh-CN" w:bidi="ar"/>
        </w:rPr>
        <w:t>documented</w:t>
      </w:r>
      <w:r w:rsidRPr="003B1174">
        <w:rPr>
          <w:rFonts w:ascii="Arial" w:eastAsia="SimSun" w:hAnsi="Arial" w:cs="Arial"/>
          <w:kern w:val="0"/>
          <w:sz w:val="20"/>
          <w:szCs w:val="20"/>
          <w:vertAlign w:val="superscript"/>
          <w:lang w:eastAsia="zh-CN" w:bidi="ar"/>
        </w:rPr>
        <w:t>(</w:t>
      </w:r>
      <w:proofErr w:type="gramEnd"/>
      <w:r w:rsidRPr="003B1174">
        <w:rPr>
          <w:rFonts w:ascii="Arial" w:eastAsia="SimSun" w:hAnsi="Arial" w:cs="Arial"/>
          <w:kern w:val="0"/>
          <w:sz w:val="20"/>
          <w:szCs w:val="20"/>
          <w:vertAlign w:val="superscript"/>
          <w:lang w:eastAsia="zh-CN" w:bidi="ar"/>
        </w:rPr>
        <w:t>6)</w:t>
      </w:r>
      <w:r>
        <w:rPr>
          <w:rFonts w:ascii="Arial" w:eastAsia="SimSun" w:hAnsi="Arial" w:cs="Arial"/>
          <w:kern w:val="0"/>
          <w:sz w:val="20"/>
          <w:szCs w:val="20"/>
          <w:lang w:eastAsia="zh-CN" w:bidi="ar"/>
        </w:rPr>
        <w:t xml:space="preserve">.One case report described ischemic stroke due to chronic otomastoiditis leading to arterial thrombosis through adjacent bony canals. In our patient, no abscess or sinus thrombosis was seen; however, localized mastoid inflammation may plausibly have played a vascular role. The spread of infection to adjacent intracranial vessels can provoke local arterial inflammation, thrombosis, or embolic phenomena, especially in patients with additional vascular risk factors such as hypertension and </w:t>
      </w:r>
      <w:proofErr w:type="gramStart"/>
      <w:r>
        <w:rPr>
          <w:rFonts w:ascii="Arial" w:eastAsia="SimSun" w:hAnsi="Arial" w:cs="Arial"/>
          <w:kern w:val="0"/>
          <w:sz w:val="20"/>
          <w:szCs w:val="20"/>
          <w:lang w:eastAsia="zh-CN" w:bidi="ar"/>
        </w:rPr>
        <w:t>diabetes</w:t>
      </w:r>
      <w:r w:rsidRPr="003B1174">
        <w:rPr>
          <w:rFonts w:ascii="Arial" w:eastAsia="SimSun" w:hAnsi="Arial" w:cs="Arial"/>
          <w:kern w:val="0"/>
          <w:sz w:val="20"/>
          <w:szCs w:val="20"/>
          <w:vertAlign w:val="superscript"/>
          <w:lang w:eastAsia="zh-CN" w:bidi="ar"/>
        </w:rPr>
        <w:t>(</w:t>
      </w:r>
      <w:proofErr w:type="gramEnd"/>
      <w:r w:rsidRPr="003B1174">
        <w:rPr>
          <w:rFonts w:ascii="Arial" w:eastAsia="SimSun" w:hAnsi="Arial" w:cs="Arial"/>
          <w:kern w:val="0"/>
          <w:sz w:val="20"/>
          <w:szCs w:val="20"/>
          <w:vertAlign w:val="superscript"/>
          <w:lang w:eastAsia="zh-CN" w:bidi="ar"/>
        </w:rPr>
        <w:t>7)</w:t>
      </w:r>
      <w:r>
        <w:rPr>
          <w:rFonts w:ascii="Arial" w:eastAsia="SimSun" w:hAnsi="Arial" w:cs="Arial"/>
          <w:kern w:val="0"/>
          <w:sz w:val="20"/>
          <w:szCs w:val="20"/>
          <w:lang w:eastAsia="zh-CN" w:bidi="ar"/>
        </w:rPr>
        <w:t>.</w:t>
      </w:r>
    </w:p>
    <w:p w14:paraId="4D8A0127" w14:textId="77777777" w:rsidR="00347C5D" w:rsidRDefault="008B0FD3" w:rsidP="00530E36">
      <w:pPr>
        <w:jc w:val="both"/>
        <w:rPr>
          <w:rFonts w:ascii="Arial" w:hAnsi="Arial" w:cs="Arial"/>
          <w:sz w:val="20"/>
          <w:szCs w:val="20"/>
        </w:rPr>
      </w:pPr>
      <w:r>
        <w:rPr>
          <w:rFonts w:ascii="Arial" w:eastAsia="SimSun" w:hAnsi="Arial" w:cs="Arial"/>
          <w:kern w:val="0"/>
          <w:sz w:val="20"/>
          <w:szCs w:val="20"/>
          <w:lang w:eastAsia="zh-CN" w:bidi="ar"/>
        </w:rPr>
        <w:t>In terms of management, the multidisciplinary approach—including antihypertensive titration, glycemic control, dual antiplatelet therapy, statin, and short-term anticoagulation—aligns with current stroke guidelines. Conservative antibiotic therapy and ENT follow-up were provided for otomastoiditis, as there were no indications for invasive intervention given the absence of abscess formation</w:t>
      </w:r>
    </w:p>
    <w:p w14:paraId="425B21AA" w14:textId="77777777" w:rsidR="00347C5D" w:rsidRDefault="008B0FD3" w:rsidP="00530E36">
      <w:pPr>
        <w:jc w:val="both"/>
        <w:rPr>
          <w:rFonts w:ascii="Arial" w:hAnsi="Arial" w:cs="Arial"/>
          <w:b/>
          <w:bCs/>
          <w:sz w:val="22"/>
          <w:szCs w:val="22"/>
        </w:rPr>
      </w:pPr>
      <w:r>
        <w:rPr>
          <w:rFonts w:ascii="Arial" w:hAnsi="Arial" w:cs="Arial"/>
          <w:b/>
          <w:bCs/>
          <w:sz w:val="22"/>
          <w:szCs w:val="22"/>
        </w:rPr>
        <w:t>4. CONCLUSION</w:t>
      </w:r>
    </w:p>
    <w:p w14:paraId="3D275132" w14:textId="77777777" w:rsidR="00347C5D" w:rsidRDefault="008B0FD3">
      <w:pPr>
        <w:rPr>
          <w:rFonts w:ascii="Arial" w:hAnsi="Arial" w:cs="Arial"/>
          <w:sz w:val="20"/>
          <w:szCs w:val="20"/>
        </w:rPr>
      </w:pPr>
      <w:r>
        <w:rPr>
          <w:rFonts w:ascii="Arial" w:eastAsia="SimSun" w:hAnsi="Arial" w:cs="Arial"/>
          <w:kern w:val="0"/>
          <w:sz w:val="20"/>
          <w:szCs w:val="20"/>
          <w:lang w:eastAsia="zh-CN" w:bidi="ar"/>
        </w:rPr>
        <w:t xml:space="preserve">This case illustrates a rare manifestation of posterior circulation stroke presenting as lateral medullary syndrome with cerebellar infarct in a young adult with hypertension and type 2 diabetes mellitus, further complicated by bilateral otomastoiditis. The atypical constellation of neurological and otologic findings underscores the importance of early clinical suspicion and the use of advanced neurovascular imaging for timely diagnosis. Prompt multidisciplinary management, including antiplatelet therapy, blood pressure and glycemic control, and supportive ENT care, contributed to a favorable outcome. Clinicians should remain vigilant for such uncommon presentations of stroke in young individuals with coexisting metabolic and </w:t>
      </w:r>
      <w:r w:rsidRPr="00A56EEC">
        <w:rPr>
          <w:rFonts w:ascii="Arial" w:eastAsia="SimSun" w:hAnsi="Arial" w:cs="Arial"/>
          <w:kern w:val="0"/>
          <w:sz w:val="20"/>
          <w:szCs w:val="20"/>
          <w:lang w:eastAsia="zh-CN" w:bidi="ar"/>
        </w:rPr>
        <w:t>infectious risk factors.</w:t>
      </w:r>
    </w:p>
    <w:p w14:paraId="2AA67F7B" w14:textId="77777777" w:rsidR="000C173D" w:rsidRPr="002E25CB" w:rsidRDefault="000C173D">
      <w:pPr>
        <w:rPr>
          <w:rFonts w:ascii="Segoe UI" w:eastAsia="Segoe UI" w:hAnsi="Segoe UI" w:cs="Segoe UI"/>
          <w:color w:val="000000"/>
          <w:sz w:val="20"/>
          <w:szCs w:val="20"/>
          <w:shd w:val="clear" w:color="auto" w:fill="EEFFDE"/>
        </w:rPr>
      </w:pPr>
      <w:bookmarkStart w:id="0" w:name="_GoBack"/>
      <w:bookmarkEnd w:id="0"/>
    </w:p>
    <w:p w14:paraId="622A0B3B" w14:textId="77777777" w:rsidR="00347C5D" w:rsidRDefault="008B0FD3">
      <w:pPr>
        <w:rPr>
          <w:rFonts w:ascii="Arial" w:hAnsi="Arial" w:cs="Arial"/>
          <w:b/>
          <w:bCs/>
          <w:sz w:val="22"/>
          <w:szCs w:val="22"/>
        </w:rPr>
      </w:pPr>
      <w:r>
        <w:rPr>
          <w:rFonts w:ascii="Arial" w:hAnsi="Arial" w:cs="Arial"/>
          <w:b/>
          <w:bCs/>
          <w:sz w:val="22"/>
          <w:szCs w:val="22"/>
        </w:rPr>
        <w:t>8. CONSENT</w:t>
      </w:r>
    </w:p>
    <w:p w14:paraId="01FDC28F" w14:textId="2EC346D0" w:rsidR="00347C5D" w:rsidRDefault="00C41A99">
      <w:pPr>
        <w:rPr>
          <w:rFonts w:ascii="Arial" w:hAnsi="Arial" w:cs="Arial"/>
          <w:sz w:val="20"/>
          <w:szCs w:val="20"/>
        </w:rPr>
      </w:pPr>
      <w:r w:rsidRPr="00C41A99">
        <w:rPr>
          <w:rFonts w:ascii="Arial" w:hAnsi="Arial" w:cs="Arial"/>
          <w:sz w:val="20"/>
          <w:szCs w:val="20"/>
        </w:rPr>
        <w:lastRenderedPageBreak/>
        <w:t>Written informed consent was obtained from the patient for publication of this case report and any accompanying clinical details. The patient was assured of anonymity, and no identifying information is included in this report</w:t>
      </w:r>
      <w:r>
        <w:rPr>
          <w:rFonts w:ascii="Arial" w:hAnsi="Arial" w:cs="Arial"/>
          <w:sz w:val="20"/>
          <w:szCs w:val="20"/>
        </w:rPr>
        <w:t>.</w:t>
      </w:r>
    </w:p>
    <w:p w14:paraId="7F1D9F8B" w14:textId="77777777" w:rsidR="00347C5D" w:rsidRDefault="00347C5D">
      <w:pPr>
        <w:rPr>
          <w:rFonts w:ascii="Arial" w:hAnsi="Arial" w:cs="Arial"/>
          <w:sz w:val="20"/>
          <w:szCs w:val="20"/>
        </w:rPr>
      </w:pPr>
    </w:p>
    <w:p w14:paraId="2E7E8F29" w14:textId="77777777" w:rsidR="00347C5D" w:rsidRDefault="008B0FD3">
      <w:pPr>
        <w:numPr>
          <w:ilvl w:val="0"/>
          <w:numId w:val="3"/>
        </w:numPr>
        <w:rPr>
          <w:rFonts w:ascii="Arial" w:hAnsi="Arial" w:cs="Arial"/>
          <w:b/>
          <w:bCs/>
          <w:sz w:val="22"/>
          <w:szCs w:val="22"/>
        </w:rPr>
      </w:pPr>
      <w:r>
        <w:rPr>
          <w:rFonts w:ascii="Arial" w:hAnsi="Arial" w:cs="Arial"/>
          <w:b/>
          <w:bCs/>
          <w:sz w:val="22"/>
          <w:szCs w:val="22"/>
        </w:rPr>
        <w:t>ETHICAL APPROVAL</w:t>
      </w:r>
    </w:p>
    <w:p w14:paraId="4846E572" w14:textId="1A30F4F5" w:rsidR="00347C5D" w:rsidRDefault="008B0FD3">
      <w:pPr>
        <w:rPr>
          <w:rFonts w:ascii="Arial" w:hAnsi="Arial" w:cs="Arial"/>
          <w:sz w:val="22"/>
          <w:szCs w:val="22"/>
        </w:rPr>
      </w:pPr>
      <w:r>
        <w:rPr>
          <w:rFonts w:ascii="Arial" w:hAnsi="Arial" w:cs="Arial"/>
          <w:b/>
          <w:bCs/>
          <w:sz w:val="22"/>
          <w:szCs w:val="22"/>
        </w:rPr>
        <w:t xml:space="preserve">   </w:t>
      </w:r>
      <w:r w:rsidR="00C57B48" w:rsidRPr="00C57B48">
        <w:rPr>
          <w:rFonts w:ascii="Arial" w:hAnsi="Arial" w:cs="Arial"/>
          <w:sz w:val="22"/>
          <w:szCs w:val="22"/>
        </w:rPr>
        <w:t>This case report did not require Institutional Ethics Committee approval as it describes a single clinical case without experimental intervention</w:t>
      </w:r>
    </w:p>
    <w:p w14:paraId="12767574" w14:textId="77777777" w:rsidR="00C57B48" w:rsidRPr="00C57B48" w:rsidRDefault="00C57B48">
      <w:pPr>
        <w:rPr>
          <w:rFonts w:ascii="Arial" w:hAnsi="Arial" w:cs="Arial"/>
          <w:sz w:val="20"/>
          <w:szCs w:val="20"/>
        </w:rPr>
      </w:pPr>
    </w:p>
    <w:p w14:paraId="62DD202D" w14:textId="77777777" w:rsidR="00347C5D" w:rsidRDefault="008B0FD3">
      <w:pPr>
        <w:numPr>
          <w:ilvl w:val="0"/>
          <w:numId w:val="4"/>
        </w:numPr>
        <w:rPr>
          <w:rFonts w:ascii="Arial" w:hAnsi="Arial" w:cs="Arial"/>
          <w:b/>
          <w:bCs/>
          <w:sz w:val="22"/>
          <w:szCs w:val="22"/>
        </w:rPr>
      </w:pPr>
      <w:r>
        <w:rPr>
          <w:rFonts w:ascii="Arial" w:hAnsi="Arial" w:cs="Arial"/>
          <w:b/>
          <w:bCs/>
          <w:sz w:val="22"/>
          <w:szCs w:val="22"/>
        </w:rPr>
        <w:t>REFERENCES</w:t>
      </w:r>
    </w:p>
    <w:p w14:paraId="1D7B7305" w14:textId="1ADCDDAB" w:rsidR="00347C5D" w:rsidRPr="00F95DDC" w:rsidRDefault="008B0FD3" w:rsidP="00F95DDC">
      <w:pPr>
        <w:numPr>
          <w:ilvl w:val="0"/>
          <w:numId w:val="5"/>
        </w:numPr>
        <w:rPr>
          <w:rFonts w:ascii="Arial" w:eastAsia="SimSun" w:hAnsi="Arial" w:cs="Arial"/>
          <w:kern w:val="0"/>
          <w:sz w:val="20"/>
          <w:szCs w:val="20"/>
          <w:lang w:eastAsia="zh-CN" w:bidi="ar"/>
        </w:rPr>
      </w:pPr>
      <w:r>
        <w:rPr>
          <w:rFonts w:ascii="Arial" w:eastAsia="SimSun" w:hAnsi="Arial" w:cs="Arial"/>
          <w:kern w:val="0"/>
          <w:sz w:val="20"/>
          <w:szCs w:val="20"/>
          <w:lang w:eastAsia="zh-CN" w:bidi="ar"/>
        </w:rPr>
        <w:t>Bukhari S, Yaghi S, Bashir Z. Stroke in Young Adults. J Clin Med. 2023 Jul 29;12(15):4999. doi: 10.3390/jcm12154999. PMID: 37568401; PMCID: PMC10420127.</w:t>
      </w:r>
      <w:r w:rsidRPr="00F95DDC">
        <w:rPr>
          <w:rFonts w:ascii="Arial" w:eastAsia="SimSun" w:hAnsi="Arial" w:cs="Arial"/>
          <w:kern w:val="0"/>
          <w:sz w:val="20"/>
          <w:szCs w:val="20"/>
          <w:lang w:eastAsia="zh-CN" w:bidi="ar"/>
        </w:rPr>
        <w:br/>
        <w:t>2. Sič A, Andrejić N, Ivanović J, Karadžić Ristanović V, Gajić S, Bjelić D, Baralić M, Stojanovic N. Stroke in Young Adults: An Overview and Non-Pharmacological Preventive Strategies. Brain Sci. 2025 Apr 3;15(4):375. doi: 10.3390/brainsci15040375. PMID: 40309847; PMCID: PMC12026300.</w:t>
      </w:r>
    </w:p>
    <w:p w14:paraId="23F854AB" w14:textId="77777777" w:rsidR="00347C5D" w:rsidRDefault="00347C5D">
      <w:pPr>
        <w:rPr>
          <w:rFonts w:ascii="Arial" w:eastAsia="SimSun" w:hAnsi="Arial" w:cs="Arial"/>
          <w:kern w:val="0"/>
          <w:sz w:val="20"/>
          <w:szCs w:val="20"/>
          <w:lang w:eastAsia="zh-CN" w:bidi="ar"/>
        </w:rPr>
      </w:pPr>
    </w:p>
    <w:p w14:paraId="6C8A4A46" w14:textId="1B93E17D" w:rsidR="00347C5D" w:rsidRDefault="008B0FD3" w:rsidP="00F95DDC">
      <w:pPr>
        <w:rPr>
          <w:rFonts w:ascii="Arial" w:eastAsia="SimSun" w:hAnsi="Arial" w:cs="Arial"/>
          <w:kern w:val="0"/>
          <w:sz w:val="20"/>
          <w:szCs w:val="20"/>
          <w:lang w:eastAsia="zh-CN" w:bidi="ar"/>
        </w:rPr>
      </w:pPr>
      <w:r>
        <w:rPr>
          <w:rFonts w:ascii="Arial" w:eastAsia="SimSun" w:hAnsi="Arial" w:cs="Arial"/>
          <w:kern w:val="0"/>
          <w:sz w:val="20"/>
          <w:szCs w:val="20"/>
          <w:lang w:eastAsia="zh-CN" w:bidi="ar"/>
        </w:rPr>
        <w:t xml:space="preserve">3.Saleem F, Das JM. Lateral Medullary Syndrome. [Updated 2023 Aug 7]. In: StatPearls [Internet]. Treasure Island (FL): StatPearls Publishing; 2025 Jan-. Available from: </w:t>
      </w:r>
      <w:hyperlink r:id="rId7" w:history="1">
        <w:r>
          <w:rPr>
            <w:rStyle w:val="Hyperlink"/>
            <w:rFonts w:ascii="Arial" w:eastAsia="SimSun" w:hAnsi="Arial" w:cs="Arial"/>
            <w:sz w:val="20"/>
            <w:szCs w:val="20"/>
          </w:rPr>
          <w:t>https://www.ncbi.nlm.nih.gov/books/NBK551670/</w:t>
        </w:r>
      </w:hyperlink>
    </w:p>
    <w:p w14:paraId="717834D0" w14:textId="49C91977" w:rsidR="00347C5D" w:rsidRPr="00F95DDC" w:rsidRDefault="008B0FD3" w:rsidP="00F95DDC">
      <w:pPr>
        <w:rPr>
          <w:rFonts w:ascii="Arial" w:hAnsi="Arial" w:cs="Arial"/>
          <w:sz w:val="20"/>
          <w:szCs w:val="20"/>
        </w:rPr>
      </w:pPr>
      <w:r>
        <w:rPr>
          <w:rFonts w:ascii="Arial" w:eastAsia="SimSun" w:hAnsi="Arial" w:cs="Arial"/>
          <w:kern w:val="0"/>
          <w:sz w:val="20"/>
          <w:szCs w:val="20"/>
          <w:lang w:eastAsia="zh-CN" w:bidi="ar"/>
        </w:rPr>
        <w:t>4.Thapliyal K, Garg A, Singh VP. Lateral medullary syndrome: Case report and review of literature. PMC10041230. 2022 Open Access</w:t>
      </w:r>
    </w:p>
    <w:p w14:paraId="27ECE017" w14:textId="6B13C150" w:rsidR="00347C5D" w:rsidRPr="00F95DDC" w:rsidRDefault="008B0FD3" w:rsidP="00F95DDC">
      <w:pPr>
        <w:numPr>
          <w:ilvl w:val="0"/>
          <w:numId w:val="6"/>
        </w:numPr>
        <w:rPr>
          <w:rFonts w:ascii="Arial" w:eastAsia="SimSun" w:hAnsi="Arial" w:cs="Arial"/>
          <w:kern w:val="0"/>
          <w:sz w:val="20"/>
          <w:szCs w:val="20"/>
          <w:lang w:eastAsia="zh-CN" w:bidi="ar"/>
        </w:rPr>
      </w:pPr>
      <w:r>
        <w:rPr>
          <w:rFonts w:ascii="Arial" w:eastAsia="SimSun" w:hAnsi="Arial" w:cs="Arial"/>
          <w:kern w:val="0"/>
          <w:sz w:val="20"/>
          <w:szCs w:val="20"/>
          <w:lang w:eastAsia="zh-CN" w:bidi="ar"/>
        </w:rPr>
        <w:t>Aigner A, Kiechl S, Willeit J, et al. Contribution of established stroke risk factors to the burden of stroke in young adults. Stroke. 2017;48(7):1744–1751. doi: 10.1161/STROKEAHA.117.016599.</w:t>
      </w:r>
    </w:p>
    <w:p w14:paraId="33B28236" w14:textId="508441F3" w:rsidR="00347C5D" w:rsidRPr="00F95DDC" w:rsidRDefault="008B0FD3" w:rsidP="00F95DDC">
      <w:pPr>
        <w:numPr>
          <w:ilvl w:val="0"/>
          <w:numId w:val="6"/>
        </w:numPr>
        <w:rPr>
          <w:rFonts w:ascii="Arial" w:eastAsia="SimSun" w:hAnsi="Arial" w:cs="Arial"/>
          <w:kern w:val="0"/>
          <w:sz w:val="20"/>
          <w:szCs w:val="20"/>
          <w:lang w:eastAsia="zh-CN" w:bidi="ar"/>
        </w:rPr>
      </w:pPr>
      <w:r>
        <w:rPr>
          <w:rFonts w:ascii="Arial" w:eastAsia="SimSun" w:hAnsi="Arial" w:cs="Arial"/>
          <w:kern w:val="0"/>
          <w:sz w:val="20"/>
          <w:szCs w:val="20"/>
          <w:lang w:eastAsia="zh-CN" w:bidi="ar"/>
        </w:rPr>
        <w:t>Mukherjee RC, et al. Recurrent Ischemic Strokes due to Chronic Otomastoiditis. J Family Med Prim Care. 2019;8(9):3040-3042 Open Access</w:t>
      </w:r>
      <w:r w:rsidRPr="00F95DDC">
        <w:rPr>
          <w:rFonts w:ascii="Arial" w:eastAsia="SimSun" w:hAnsi="Arial" w:cs="Arial"/>
          <w:kern w:val="0"/>
          <w:sz w:val="20"/>
          <w:szCs w:val="20"/>
          <w:lang w:eastAsia="zh-CN" w:bidi="ar"/>
        </w:rPr>
        <w:br/>
        <w:t>7. Malinovic M, et al. Pneumococcal meningitis complicated by otomastoiditis and pneumocephalus confounding an acute ischemic stroke. J Neurocrit Care. 2021 Open Access</w:t>
      </w:r>
    </w:p>
    <w:p w14:paraId="093D3126" w14:textId="5A778FEC" w:rsidR="00F95DDC" w:rsidRPr="00F95DDC" w:rsidRDefault="00F95DDC" w:rsidP="00F95DDC">
      <w:pPr>
        <w:rPr>
          <w:rFonts w:ascii="Arial" w:eastAsia="SimSun" w:hAnsi="Arial" w:cs="Arial"/>
          <w:kern w:val="0"/>
          <w:sz w:val="20"/>
          <w:szCs w:val="20"/>
          <w:lang w:eastAsia="zh-CN" w:bidi="ar"/>
        </w:rPr>
      </w:pPr>
      <w:r w:rsidRPr="00F95DDC">
        <w:rPr>
          <w:rFonts w:ascii="Arial" w:eastAsia="SimSun" w:hAnsi="Arial" w:cs="Arial"/>
          <w:kern w:val="0"/>
          <w:sz w:val="20"/>
          <w:szCs w:val="20"/>
          <w:lang w:eastAsia="zh-CN" w:bidi="ar"/>
        </w:rPr>
        <w:t>8.Alwood BT, Dossani RH. Vertebrobasilar Stroke. [Updated 2023 Jan 2]. In: StatPearls [Internet]. Treasure Island (FL): StatPearls Publishing; 2025 Jan-. Available from: https://www.ncbi.nlm.nih.gov/books/NBK556084/</w:t>
      </w:r>
    </w:p>
    <w:p w14:paraId="28338EE2" w14:textId="22667EF4" w:rsidR="00F95DDC" w:rsidRPr="00F95DDC" w:rsidRDefault="00F95DDC" w:rsidP="00F95DDC">
      <w:pPr>
        <w:rPr>
          <w:rFonts w:ascii="Arial" w:eastAsia="SimSun" w:hAnsi="Arial" w:cs="Arial"/>
          <w:kern w:val="0"/>
          <w:sz w:val="20"/>
          <w:szCs w:val="20"/>
          <w:lang w:eastAsia="zh-CN" w:bidi="ar"/>
        </w:rPr>
      </w:pPr>
      <w:r w:rsidRPr="00F95DDC">
        <w:rPr>
          <w:rFonts w:ascii="Arial" w:eastAsia="SimSun" w:hAnsi="Arial" w:cs="Arial"/>
          <w:kern w:val="0"/>
          <w:sz w:val="20"/>
          <w:szCs w:val="20"/>
          <w:lang w:eastAsia="zh-CN" w:bidi="ar"/>
        </w:rPr>
        <w:t xml:space="preserve">9. Nouh A, Remke J, Ruland S. Ischemic posterior circulation stroke: a review of anatomy, clinical presentations, diagnosis, and current management. Front Neurol. 2014 Apr </w:t>
      </w:r>
      <w:proofErr w:type="gramStart"/>
      <w:r w:rsidRPr="00F95DDC">
        <w:rPr>
          <w:rFonts w:ascii="Arial" w:eastAsia="SimSun" w:hAnsi="Arial" w:cs="Arial"/>
          <w:kern w:val="0"/>
          <w:sz w:val="20"/>
          <w:szCs w:val="20"/>
          <w:lang w:eastAsia="zh-CN" w:bidi="ar"/>
        </w:rPr>
        <w:t>7;5:30</w:t>
      </w:r>
      <w:proofErr w:type="gramEnd"/>
      <w:r w:rsidRPr="00F95DDC">
        <w:rPr>
          <w:rFonts w:ascii="Arial" w:eastAsia="SimSun" w:hAnsi="Arial" w:cs="Arial"/>
          <w:kern w:val="0"/>
          <w:sz w:val="20"/>
          <w:szCs w:val="20"/>
          <w:lang w:eastAsia="zh-CN" w:bidi="ar"/>
        </w:rPr>
        <w:t>. doi: 10.3389/fneur.2014.00030. PMID: 24778625; PMCID: PMC3985033.</w:t>
      </w:r>
    </w:p>
    <w:p w14:paraId="46A476AF" w14:textId="5CFD3B0F" w:rsidR="00347C5D" w:rsidRDefault="00F95DDC" w:rsidP="00F95DDC">
      <w:pPr>
        <w:rPr>
          <w:rFonts w:ascii="Arial" w:eastAsia="SimSun" w:hAnsi="Arial" w:cs="Arial"/>
          <w:kern w:val="0"/>
          <w:sz w:val="20"/>
          <w:szCs w:val="20"/>
          <w:lang w:eastAsia="zh-CN" w:bidi="ar"/>
        </w:rPr>
      </w:pPr>
      <w:r w:rsidRPr="00F95DDC">
        <w:rPr>
          <w:rFonts w:ascii="Arial" w:eastAsia="SimSun" w:hAnsi="Arial" w:cs="Arial"/>
          <w:kern w:val="0"/>
          <w:sz w:val="20"/>
          <w:szCs w:val="20"/>
          <w:lang w:eastAsia="zh-CN" w:bidi="ar"/>
        </w:rPr>
        <w:t>10. Deuri A, Kausar N, Das A, Talukdar P. A study on stroke in young adults with reference to risk factors and hospital outcome: a single centre prospective observational study. Int J Pharm Clin Res. 2024;16(8):1090-1100</w:t>
      </w:r>
    </w:p>
    <w:p w14:paraId="2E69E07B" w14:textId="77777777" w:rsidR="00347C5D" w:rsidRDefault="00347C5D">
      <w:pPr>
        <w:rPr>
          <w:rFonts w:ascii="Arial" w:eastAsia="SimSun" w:hAnsi="Arial" w:cs="Arial"/>
          <w:kern w:val="0"/>
          <w:sz w:val="20"/>
          <w:szCs w:val="20"/>
          <w:lang w:eastAsia="zh-CN" w:bidi="ar"/>
        </w:rPr>
      </w:pPr>
    </w:p>
    <w:p w14:paraId="2ED59E69" w14:textId="77777777" w:rsidR="00347C5D" w:rsidRDefault="00347C5D">
      <w:pPr>
        <w:rPr>
          <w:rFonts w:ascii="Arial" w:hAnsi="Arial" w:cs="Arial"/>
          <w:sz w:val="20"/>
          <w:szCs w:val="20"/>
        </w:rPr>
      </w:pPr>
    </w:p>
    <w:p w14:paraId="542ADFCF" w14:textId="77777777" w:rsidR="00347C5D" w:rsidRDefault="00347C5D">
      <w:pPr>
        <w:rPr>
          <w:rFonts w:ascii="Arial" w:hAnsi="Arial" w:cs="Arial"/>
          <w:sz w:val="22"/>
          <w:szCs w:val="22"/>
        </w:rPr>
      </w:pPr>
    </w:p>
    <w:p w14:paraId="0BD8F4D9" w14:textId="77777777" w:rsidR="00347C5D" w:rsidRDefault="00347C5D">
      <w:pPr>
        <w:rPr>
          <w:rFonts w:ascii="Arial" w:hAnsi="Arial" w:cs="Arial"/>
          <w:sz w:val="22"/>
          <w:szCs w:val="22"/>
        </w:rPr>
      </w:pPr>
    </w:p>
    <w:p w14:paraId="1D35EAD9" w14:textId="77777777" w:rsidR="00347C5D" w:rsidRDefault="00347C5D">
      <w:pPr>
        <w:rPr>
          <w:rFonts w:ascii="Arial" w:hAnsi="Arial" w:cs="Arial"/>
          <w:sz w:val="22"/>
          <w:szCs w:val="22"/>
        </w:rPr>
      </w:pPr>
    </w:p>
    <w:p w14:paraId="387F3B48" w14:textId="77777777" w:rsidR="00347C5D" w:rsidRDefault="00347C5D">
      <w:pPr>
        <w:rPr>
          <w:rFonts w:ascii="Arial" w:hAnsi="Arial" w:cs="Arial"/>
          <w:sz w:val="22"/>
          <w:szCs w:val="22"/>
        </w:rPr>
      </w:pPr>
    </w:p>
    <w:p w14:paraId="041218B2" w14:textId="77777777" w:rsidR="00347C5D" w:rsidRDefault="00347C5D">
      <w:pPr>
        <w:rPr>
          <w:rFonts w:ascii="Arial" w:hAnsi="Arial" w:cs="Arial"/>
          <w:sz w:val="22"/>
          <w:szCs w:val="22"/>
        </w:rPr>
      </w:pPr>
    </w:p>
    <w:sectPr w:rsidR="00347C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64379" w14:textId="77777777" w:rsidR="00452EDE" w:rsidRDefault="00452EDE">
      <w:pPr>
        <w:spacing w:line="240" w:lineRule="auto"/>
      </w:pPr>
      <w:r>
        <w:separator/>
      </w:r>
    </w:p>
  </w:endnote>
  <w:endnote w:type="continuationSeparator" w:id="0">
    <w:p w14:paraId="304E5739" w14:textId="77777777" w:rsidR="00452EDE" w:rsidRDefault="00452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DE15F" w14:textId="77777777" w:rsidR="005C49EB" w:rsidRDefault="005C4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0330" w14:textId="77777777" w:rsidR="005C49EB" w:rsidRDefault="005C4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8456" w14:textId="77777777" w:rsidR="005C49EB" w:rsidRDefault="005C4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D39A9" w14:textId="77777777" w:rsidR="00452EDE" w:rsidRDefault="00452EDE">
      <w:pPr>
        <w:spacing w:after="0"/>
      </w:pPr>
      <w:r>
        <w:separator/>
      </w:r>
    </w:p>
  </w:footnote>
  <w:footnote w:type="continuationSeparator" w:id="0">
    <w:p w14:paraId="5451AA30" w14:textId="77777777" w:rsidR="00452EDE" w:rsidRDefault="00452E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0C2D9" w14:textId="651A0DBE" w:rsidR="005C49EB" w:rsidRDefault="005C49EB">
    <w:pPr>
      <w:pStyle w:val="Header"/>
    </w:pPr>
    <w:r>
      <w:rPr>
        <w:noProof/>
      </w:rPr>
      <w:pict w14:anchorId="0AB88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13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F0F4" w14:textId="0CCAE08D" w:rsidR="005C49EB" w:rsidRDefault="005C49EB">
    <w:pPr>
      <w:pStyle w:val="Header"/>
    </w:pPr>
    <w:r>
      <w:rPr>
        <w:noProof/>
      </w:rPr>
      <w:pict w14:anchorId="69BCD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132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E33C" w14:textId="212B4004" w:rsidR="005C49EB" w:rsidRDefault="005C49EB">
    <w:pPr>
      <w:pStyle w:val="Header"/>
    </w:pPr>
    <w:r>
      <w:rPr>
        <w:noProof/>
      </w:rPr>
      <w:pict w14:anchorId="0F1E8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13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F4AE92"/>
    <w:multiLevelType w:val="singleLevel"/>
    <w:tmpl w:val="90F4AE92"/>
    <w:lvl w:ilvl="0">
      <w:start w:val="9"/>
      <w:numFmt w:val="decimal"/>
      <w:suff w:val="space"/>
      <w:lvlText w:val="%1."/>
      <w:lvlJc w:val="left"/>
    </w:lvl>
  </w:abstractNum>
  <w:abstractNum w:abstractNumId="1" w15:restartNumberingAfterBreak="0">
    <w:nsid w:val="966CC3D7"/>
    <w:multiLevelType w:val="singleLevel"/>
    <w:tmpl w:val="966CC3D7"/>
    <w:lvl w:ilvl="0">
      <w:start w:val="1"/>
      <w:numFmt w:val="decimal"/>
      <w:lvlText w:val="%1."/>
      <w:lvlJc w:val="left"/>
      <w:pPr>
        <w:tabs>
          <w:tab w:val="left" w:pos="312"/>
        </w:tabs>
      </w:pPr>
    </w:lvl>
  </w:abstractNum>
  <w:abstractNum w:abstractNumId="2" w15:restartNumberingAfterBreak="0">
    <w:nsid w:val="ACA1597A"/>
    <w:multiLevelType w:val="singleLevel"/>
    <w:tmpl w:val="ACA1597A"/>
    <w:lvl w:ilvl="0">
      <w:start w:val="5"/>
      <w:numFmt w:val="decimal"/>
      <w:lvlText w:val="%1."/>
      <w:lvlJc w:val="left"/>
      <w:pPr>
        <w:tabs>
          <w:tab w:val="left" w:pos="312"/>
        </w:tabs>
      </w:pPr>
    </w:lvl>
  </w:abstractNum>
  <w:abstractNum w:abstractNumId="3" w15:restartNumberingAfterBreak="0">
    <w:nsid w:val="EE721EDE"/>
    <w:multiLevelType w:val="singleLevel"/>
    <w:tmpl w:val="EE721EDE"/>
    <w:lvl w:ilvl="0">
      <w:start w:val="10"/>
      <w:numFmt w:val="decimal"/>
      <w:lvlText w:val="%1."/>
      <w:lvlJc w:val="left"/>
      <w:pPr>
        <w:tabs>
          <w:tab w:val="left" w:pos="312"/>
        </w:tabs>
      </w:pPr>
    </w:lvl>
  </w:abstractNum>
  <w:abstractNum w:abstractNumId="4" w15:restartNumberingAfterBreak="0">
    <w:nsid w:val="F442A094"/>
    <w:multiLevelType w:val="singleLevel"/>
    <w:tmpl w:val="F442A094"/>
    <w:lvl w:ilvl="0">
      <w:start w:val="1"/>
      <w:numFmt w:val="decimal"/>
      <w:suff w:val="space"/>
      <w:lvlText w:val="%1."/>
      <w:lvlJc w:val="left"/>
    </w:lvl>
  </w:abstractNum>
  <w:abstractNum w:abstractNumId="5" w15:restartNumberingAfterBreak="0">
    <w:nsid w:val="F6B67424"/>
    <w:multiLevelType w:val="singleLevel"/>
    <w:tmpl w:val="F6B67424"/>
    <w:lvl w:ilvl="0">
      <w:start w:val="1"/>
      <w:numFmt w:val="decimal"/>
      <w:lvlText w:val="%1."/>
      <w:lvlJc w:val="left"/>
      <w:pPr>
        <w:tabs>
          <w:tab w:val="left" w:pos="312"/>
        </w:tabs>
        <w:ind w:left="198" w:firstLine="0"/>
      </w:pPr>
    </w:lvl>
  </w:abstractNum>
  <w:abstractNum w:abstractNumId="6" w15:restartNumberingAfterBreak="0">
    <w:nsid w:val="53970BBF"/>
    <w:multiLevelType w:val="singleLevel"/>
    <w:tmpl w:val="53970BBF"/>
    <w:lvl w:ilvl="0">
      <w:start w:val="5"/>
      <w:numFmt w:val="decimal"/>
      <w:suff w:val="space"/>
      <w:lvlText w:val="%1."/>
      <w:lvlJc w:val="left"/>
    </w:lvl>
  </w:abstractNum>
  <w:num w:numId="1">
    <w:abstractNumId w:val="1"/>
  </w:num>
  <w:num w:numId="2">
    <w:abstractNumId w:val="6"/>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A88"/>
    <w:rsid w:val="00002AC3"/>
    <w:rsid w:val="00025D1C"/>
    <w:rsid w:val="00032B15"/>
    <w:rsid w:val="00041705"/>
    <w:rsid w:val="00081033"/>
    <w:rsid w:val="00096B1D"/>
    <w:rsid w:val="000A2386"/>
    <w:rsid w:val="000C173D"/>
    <w:rsid w:val="00106189"/>
    <w:rsid w:val="00107CC0"/>
    <w:rsid w:val="001621BF"/>
    <w:rsid w:val="0017089E"/>
    <w:rsid w:val="00171247"/>
    <w:rsid w:val="001750C8"/>
    <w:rsid w:val="001913DE"/>
    <w:rsid w:val="00196D2E"/>
    <w:rsid w:val="001F555F"/>
    <w:rsid w:val="00213DD8"/>
    <w:rsid w:val="002266B9"/>
    <w:rsid w:val="002302DA"/>
    <w:rsid w:val="002353C1"/>
    <w:rsid w:val="00236EBC"/>
    <w:rsid w:val="00244970"/>
    <w:rsid w:val="002570A3"/>
    <w:rsid w:val="002A6188"/>
    <w:rsid w:val="002E25CB"/>
    <w:rsid w:val="002E71A6"/>
    <w:rsid w:val="002F0900"/>
    <w:rsid w:val="00322360"/>
    <w:rsid w:val="00333A4B"/>
    <w:rsid w:val="00346A18"/>
    <w:rsid w:val="00347C5D"/>
    <w:rsid w:val="00352F29"/>
    <w:rsid w:val="00375399"/>
    <w:rsid w:val="00396A29"/>
    <w:rsid w:val="003B1174"/>
    <w:rsid w:val="003C46BC"/>
    <w:rsid w:val="003E36B8"/>
    <w:rsid w:val="00452EDE"/>
    <w:rsid w:val="004D1CBC"/>
    <w:rsid w:val="00530E36"/>
    <w:rsid w:val="00535E5B"/>
    <w:rsid w:val="0059318B"/>
    <w:rsid w:val="005C49EB"/>
    <w:rsid w:val="006162F7"/>
    <w:rsid w:val="006174AA"/>
    <w:rsid w:val="00646D5A"/>
    <w:rsid w:val="006766B3"/>
    <w:rsid w:val="00686431"/>
    <w:rsid w:val="006A5CF1"/>
    <w:rsid w:val="006D4493"/>
    <w:rsid w:val="006F2884"/>
    <w:rsid w:val="00760492"/>
    <w:rsid w:val="00783A6B"/>
    <w:rsid w:val="007953B5"/>
    <w:rsid w:val="007B24AC"/>
    <w:rsid w:val="007C2F02"/>
    <w:rsid w:val="0083306A"/>
    <w:rsid w:val="0083407B"/>
    <w:rsid w:val="00845696"/>
    <w:rsid w:val="00860CF3"/>
    <w:rsid w:val="008B0FD3"/>
    <w:rsid w:val="008C31A0"/>
    <w:rsid w:val="008D2B9C"/>
    <w:rsid w:val="008E2A88"/>
    <w:rsid w:val="008F46E7"/>
    <w:rsid w:val="008F532D"/>
    <w:rsid w:val="00905D00"/>
    <w:rsid w:val="00953F8B"/>
    <w:rsid w:val="009B0E44"/>
    <w:rsid w:val="009B42BE"/>
    <w:rsid w:val="009D281B"/>
    <w:rsid w:val="00A328FA"/>
    <w:rsid w:val="00A342B2"/>
    <w:rsid w:val="00A409E5"/>
    <w:rsid w:val="00A51F9C"/>
    <w:rsid w:val="00A56EEC"/>
    <w:rsid w:val="00A87687"/>
    <w:rsid w:val="00AA02D9"/>
    <w:rsid w:val="00AB6B76"/>
    <w:rsid w:val="00AE1E03"/>
    <w:rsid w:val="00AE260F"/>
    <w:rsid w:val="00B14980"/>
    <w:rsid w:val="00B63019"/>
    <w:rsid w:val="00B913A3"/>
    <w:rsid w:val="00BC1218"/>
    <w:rsid w:val="00BC6ECA"/>
    <w:rsid w:val="00BE7056"/>
    <w:rsid w:val="00BE7361"/>
    <w:rsid w:val="00C41A99"/>
    <w:rsid w:val="00C50EAA"/>
    <w:rsid w:val="00C51044"/>
    <w:rsid w:val="00C57B48"/>
    <w:rsid w:val="00C724C0"/>
    <w:rsid w:val="00C833AF"/>
    <w:rsid w:val="00C9678D"/>
    <w:rsid w:val="00D266E0"/>
    <w:rsid w:val="00D45323"/>
    <w:rsid w:val="00D729EA"/>
    <w:rsid w:val="00D86E38"/>
    <w:rsid w:val="00DE3023"/>
    <w:rsid w:val="00E01E13"/>
    <w:rsid w:val="00E04511"/>
    <w:rsid w:val="00E07E60"/>
    <w:rsid w:val="00E5747B"/>
    <w:rsid w:val="00E62EA6"/>
    <w:rsid w:val="00F11AA6"/>
    <w:rsid w:val="00F35F3B"/>
    <w:rsid w:val="00F73452"/>
    <w:rsid w:val="00F95DDC"/>
    <w:rsid w:val="0A085617"/>
    <w:rsid w:val="17367AA9"/>
    <w:rsid w:val="196D36A0"/>
    <w:rsid w:val="2FDD559B"/>
    <w:rsid w:val="3F063D5C"/>
    <w:rsid w:val="5673569D"/>
    <w:rsid w:val="7C166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01648"/>
  <w15:docId w15:val="{71F286B0-010F-40AA-9990-27FEC00C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TableGrid1">
    <w:name w:val="Table Grid1"/>
    <w:basedOn w:val="TableNormal"/>
    <w:uiPriority w:val="59"/>
    <w:qFormat/>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cbi.nlm.nih.gov/books/NBK55167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halibali007@gmail.com</dc:creator>
  <cp:lastModifiedBy>SDI 1084</cp:lastModifiedBy>
  <cp:revision>6</cp:revision>
  <dcterms:created xsi:type="dcterms:W3CDTF">2025-08-14T15:37:00Z</dcterms:created>
  <dcterms:modified xsi:type="dcterms:W3CDTF">2025-08-16T09:46:00Z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EFDC27C24EF1480A8993A26B0620F2AB_12</vt:lpwstr>
  </property>
</Properties>
</file>