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C050F" w14:textId="77777777" w:rsidR="002C2900" w:rsidRPr="002C2900" w:rsidRDefault="002C2900" w:rsidP="002C2900">
      <w:pPr>
        <w:shd w:val="clear" w:color="auto" w:fill="FFFFFF"/>
        <w:spacing w:line="240" w:lineRule="auto"/>
        <w:jc w:val="right"/>
        <w:rPr>
          <w:b/>
          <w:bCs/>
          <w:i/>
          <w:iCs/>
          <w:color w:val="1B1B1B"/>
          <w:sz w:val="28"/>
          <w:szCs w:val="28"/>
          <w:u w:val="single"/>
          <w:lang w:val="en-US"/>
        </w:rPr>
      </w:pPr>
      <w:r w:rsidRPr="002C2900">
        <w:rPr>
          <w:b/>
          <w:bCs/>
          <w:i/>
          <w:iCs/>
          <w:color w:val="1B1B1B"/>
          <w:sz w:val="28"/>
          <w:szCs w:val="28"/>
          <w:u w:val="single"/>
          <w:lang w:val="en-US"/>
        </w:rPr>
        <w:t xml:space="preserve">Case report </w:t>
      </w:r>
    </w:p>
    <w:p w14:paraId="61268AAB" w14:textId="77777777" w:rsidR="00187FAA" w:rsidRDefault="00F84B48">
      <w:pPr>
        <w:shd w:val="clear" w:color="auto" w:fill="FFFFFF"/>
        <w:spacing w:line="240" w:lineRule="auto"/>
        <w:jc w:val="right"/>
        <w:rPr>
          <w:b/>
          <w:color w:val="1B1B1B"/>
          <w:sz w:val="28"/>
          <w:szCs w:val="28"/>
        </w:rPr>
      </w:pPr>
      <w:r>
        <w:rPr>
          <w:b/>
          <w:color w:val="1B1B1B"/>
          <w:sz w:val="28"/>
          <w:szCs w:val="28"/>
        </w:rPr>
        <w:t>A unique case of Lead-Paint Pica in a 14-year-old girl</w:t>
      </w:r>
    </w:p>
    <w:p w14:paraId="02EB378F" w14:textId="409A11E3" w:rsidR="00187FAA" w:rsidRDefault="00187FAA">
      <w:pPr>
        <w:shd w:val="clear" w:color="auto" w:fill="FFFFFF"/>
        <w:spacing w:line="240" w:lineRule="auto"/>
        <w:rPr>
          <w:color w:val="1B1B1B"/>
          <w:sz w:val="24"/>
          <w:szCs w:val="24"/>
        </w:rPr>
      </w:pPr>
    </w:p>
    <w:p w14:paraId="71AD1471" w14:textId="77777777" w:rsidR="00C7301B" w:rsidRDefault="00C7301B">
      <w:pPr>
        <w:shd w:val="clear" w:color="auto" w:fill="FFFFFF"/>
        <w:spacing w:line="240" w:lineRule="auto"/>
        <w:rPr>
          <w:color w:val="1B1B1B"/>
          <w:sz w:val="24"/>
          <w:szCs w:val="24"/>
        </w:rPr>
      </w:pPr>
    </w:p>
    <w:p w14:paraId="6A05A809" w14:textId="77777777" w:rsidR="00187FAA" w:rsidRDefault="00187FAA">
      <w:pPr>
        <w:shd w:val="clear" w:color="auto" w:fill="FFFFFF"/>
        <w:spacing w:line="240" w:lineRule="auto"/>
        <w:rPr>
          <w:b/>
          <w:color w:val="1B1B1B"/>
          <w:sz w:val="24"/>
          <w:szCs w:val="24"/>
        </w:rPr>
      </w:pPr>
    </w:p>
    <w:p w14:paraId="056CBDF8" w14:textId="77777777" w:rsidR="00187FAA" w:rsidRDefault="00F84B48">
      <w:pPr>
        <w:shd w:val="clear" w:color="auto" w:fill="FFFFFF"/>
        <w:spacing w:line="240" w:lineRule="auto"/>
        <w:rPr>
          <w:b/>
          <w:color w:val="1B1B1B"/>
        </w:rPr>
      </w:pPr>
      <w:r>
        <w:rPr>
          <w:b/>
          <w:color w:val="1B1B1B"/>
        </w:rPr>
        <w:t>ABSTRACT</w:t>
      </w:r>
    </w:p>
    <w:p w14:paraId="5A39BBE3" w14:textId="77777777" w:rsidR="00187FAA" w:rsidRDefault="00187FAA">
      <w:pPr>
        <w:shd w:val="clear" w:color="auto" w:fill="FFFFFF"/>
        <w:spacing w:line="240" w:lineRule="auto"/>
        <w:rPr>
          <w:b/>
          <w:color w:val="1B1B1B"/>
        </w:rPr>
      </w:pPr>
    </w:p>
    <w:p w14:paraId="7FCC67E1" w14:textId="77777777" w:rsidR="00187FAA" w:rsidRDefault="00F84B48" w:rsidP="03FC3A10">
      <w:pPr>
        <w:shd w:val="clear" w:color="auto" w:fill="FFFFFF" w:themeFill="background1"/>
        <w:spacing w:line="240" w:lineRule="auto"/>
        <w:jc w:val="both"/>
        <w:rPr>
          <w:color w:val="1B1B1B"/>
          <w:sz w:val="20"/>
          <w:szCs w:val="20"/>
          <w:lang w:val="en-US"/>
        </w:rPr>
      </w:pPr>
      <w:r w:rsidRPr="03FC3A10">
        <w:rPr>
          <w:b/>
          <w:bCs/>
          <w:color w:val="1B1B1B"/>
          <w:sz w:val="20"/>
          <w:szCs w:val="20"/>
          <w:lang w:val="en-US"/>
        </w:rPr>
        <w:t>Aims:</w:t>
      </w:r>
      <w:r w:rsidRPr="03FC3A10">
        <w:rPr>
          <w:color w:val="1B1B1B"/>
          <w:sz w:val="20"/>
          <w:szCs w:val="20"/>
          <w:lang w:val="en-US"/>
        </w:rPr>
        <w:t xml:space="preserve"> To describe a unique case of pica and elucidate the importance of early recognition and management in order to avoid long-term complications.</w:t>
      </w:r>
    </w:p>
    <w:p w14:paraId="43E2B045" w14:textId="77777777" w:rsidR="00187FAA" w:rsidRDefault="00F84B48">
      <w:pPr>
        <w:shd w:val="clear" w:color="auto" w:fill="FFFFFF"/>
        <w:spacing w:line="240" w:lineRule="auto"/>
        <w:jc w:val="both"/>
        <w:rPr>
          <w:color w:val="1B1B1B"/>
          <w:sz w:val="20"/>
          <w:szCs w:val="20"/>
        </w:rPr>
      </w:pPr>
      <w:r>
        <w:rPr>
          <w:b/>
          <w:color w:val="1B1B1B"/>
          <w:sz w:val="20"/>
          <w:szCs w:val="20"/>
        </w:rPr>
        <w:t>Background:</w:t>
      </w:r>
      <w:r>
        <w:rPr>
          <w:color w:val="1B1B1B"/>
          <w:sz w:val="20"/>
          <w:szCs w:val="20"/>
        </w:rPr>
        <w:t xml:space="preserve"> Pica, as defined by the DSM-V, is the persistent consumption of non-nutritive, non-food substances for at least one month, which cannot be explained by developmental stage or cultural norms. While commonly associated with developmental disorders, pregnancy, and iron deficiency, pica can result in serious medical complications, particularly when toxic substances are ingested. </w:t>
      </w:r>
    </w:p>
    <w:p w14:paraId="1075325C" w14:textId="77777777" w:rsidR="00187FAA" w:rsidRDefault="00F84B48" w:rsidP="03FC3A10">
      <w:pPr>
        <w:shd w:val="clear" w:color="auto" w:fill="FFFFFF" w:themeFill="background1"/>
        <w:spacing w:line="240" w:lineRule="auto"/>
        <w:jc w:val="both"/>
        <w:rPr>
          <w:color w:val="1B1B1B"/>
          <w:sz w:val="20"/>
          <w:szCs w:val="20"/>
          <w:lang w:val="en-US"/>
        </w:rPr>
      </w:pPr>
      <w:r w:rsidRPr="03FC3A10">
        <w:rPr>
          <w:b/>
          <w:bCs/>
          <w:color w:val="1B1B1B"/>
          <w:sz w:val="20"/>
          <w:szCs w:val="20"/>
          <w:lang w:val="en-US"/>
        </w:rPr>
        <w:t>Case Description:</w:t>
      </w:r>
      <w:r w:rsidRPr="03FC3A10">
        <w:rPr>
          <w:color w:val="1B1B1B"/>
          <w:sz w:val="20"/>
          <w:szCs w:val="20"/>
          <w:lang w:val="en-US"/>
        </w:rPr>
        <w:t xml:space="preserve"> Here we present a rare case of a 14-year-old female with no significant past medical or psychiatric history who developed lead poisoning secondary to chronic ingestion of lead-based paint, consistent with a diagnosis of pica. The patient was hospitalized with elevated blood lead levels, microcytic anemia, and gastrointestinal symptoms. Imaging revealed radio-dense material in the colon, consistent with ingested paint chips. She required chelation therapy, bowel decontamination, and psychiatric evaluation. Her psychiatric assessment revealed compulsive urges to ingest paint, without evidence of underlying psychosis, intellectual disability, or obsessive-compulsive disorder. </w:t>
      </w:r>
    </w:p>
    <w:p w14:paraId="7BB94A91" w14:textId="77777777" w:rsidR="00187FAA" w:rsidRDefault="00F84B48">
      <w:pPr>
        <w:shd w:val="clear" w:color="auto" w:fill="FFFFFF"/>
        <w:spacing w:line="240" w:lineRule="auto"/>
        <w:jc w:val="both"/>
        <w:rPr>
          <w:color w:val="1B1B1B"/>
          <w:sz w:val="20"/>
          <w:szCs w:val="20"/>
        </w:rPr>
      </w:pPr>
      <w:r>
        <w:rPr>
          <w:b/>
          <w:color w:val="1B1B1B"/>
          <w:sz w:val="20"/>
          <w:szCs w:val="20"/>
        </w:rPr>
        <w:t>Conclusion:</w:t>
      </w:r>
      <w:r>
        <w:rPr>
          <w:color w:val="1B1B1B"/>
          <w:sz w:val="20"/>
          <w:szCs w:val="20"/>
        </w:rPr>
        <w:t xml:space="preserve"> This case underscores the importance of considering pica in the differential diagnosis for unexplained lead toxicity, especially in the context of iron deficiency. Early recognition and multidisciplinary management are essential to prevent long-term complications.</w:t>
      </w:r>
    </w:p>
    <w:p w14:paraId="41C8F396" w14:textId="77777777" w:rsidR="00187FAA" w:rsidRDefault="00187FAA">
      <w:pPr>
        <w:shd w:val="clear" w:color="auto" w:fill="FFFFFF"/>
        <w:spacing w:line="240" w:lineRule="auto"/>
        <w:rPr>
          <w:color w:val="1B1B1B"/>
          <w:sz w:val="24"/>
          <w:szCs w:val="24"/>
        </w:rPr>
      </w:pPr>
    </w:p>
    <w:p w14:paraId="72A3D3EC" w14:textId="77777777" w:rsidR="00187FAA" w:rsidRDefault="00187FAA">
      <w:pPr>
        <w:shd w:val="clear" w:color="auto" w:fill="FFFFFF"/>
        <w:spacing w:line="240" w:lineRule="auto"/>
        <w:rPr>
          <w:color w:val="1B1B1B"/>
          <w:sz w:val="24"/>
          <w:szCs w:val="24"/>
        </w:rPr>
      </w:pPr>
    </w:p>
    <w:p w14:paraId="0D0B940D" w14:textId="77777777" w:rsidR="00187FAA" w:rsidRDefault="00187FAA">
      <w:pPr>
        <w:shd w:val="clear" w:color="auto" w:fill="FFFFFF"/>
        <w:spacing w:line="240" w:lineRule="auto"/>
        <w:rPr>
          <w:color w:val="1B1B1B"/>
          <w:sz w:val="24"/>
          <w:szCs w:val="24"/>
        </w:rPr>
      </w:pPr>
    </w:p>
    <w:p w14:paraId="0E27B00A" w14:textId="77777777" w:rsidR="00187FAA" w:rsidRDefault="00187FAA">
      <w:pPr>
        <w:shd w:val="clear" w:color="auto" w:fill="FFFFFF"/>
        <w:spacing w:line="240" w:lineRule="auto"/>
        <w:rPr>
          <w:color w:val="1B1B1B"/>
          <w:sz w:val="24"/>
          <w:szCs w:val="24"/>
        </w:rPr>
      </w:pPr>
    </w:p>
    <w:p w14:paraId="60061E4C" w14:textId="77777777" w:rsidR="00187FAA" w:rsidRDefault="00187FAA">
      <w:pPr>
        <w:shd w:val="clear" w:color="auto" w:fill="FFFFFF"/>
        <w:spacing w:line="240" w:lineRule="auto"/>
        <w:rPr>
          <w:color w:val="1B1B1B"/>
          <w:sz w:val="24"/>
          <w:szCs w:val="24"/>
        </w:rPr>
      </w:pPr>
    </w:p>
    <w:p w14:paraId="44EAFD9C" w14:textId="77777777" w:rsidR="00187FAA" w:rsidRDefault="00187FAA">
      <w:pPr>
        <w:shd w:val="clear" w:color="auto" w:fill="FFFFFF"/>
        <w:spacing w:line="240" w:lineRule="auto"/>
        <w:rPr>
          <w:color w:val="1B1B1B"/>
          <w:sz w:val="24"/>
          <w:szCs w:val="24"/>
        </w:rPr>
      </w:pPr>
    </w:p>
    <w:p w14:paraId="4B94D5A5" w14:textId="77777777" w:rsidR="00187FAA" w:rsidRDefault="00187FAA">
      <w:pPr>
        <w:shd w:val="clear" w:color="auto" w:fill="FFFFFF"/>
        <w:spacing w:line="240" w:lineRule="auto"/>
        <w:rPr>
          <w:color w:val="1B1B1B"/>
          <w:sz w:val="24"/>
          <w:szCs w:val="24"/>
        </w:rPr>
      </w:pPr>
    </w:p>
    <w:p w14:paraId="3DEEC669" w14:textId="77777777" w:rsidR="00187FAA" w:rsidRDefault="00187FAA">
      <w:pPr>
        <w:shd w:val="clear" w:color="auto" w:fill="FFFFFF"/>
        <w:spacing w:line="240" w:lineRule="auto"/>
        <w:rPr>
          <w:color w:val="1B1B1B"/>
          <w:sz w:val="24"/>
          <w:szCs w:val="24"/>
        </w:rPr>
      </w:pPr>
    </w:p>
    <w:p w14:paraId="3656B9AB" w14:textId="77777777" w:rsidR="00187FAA" w:rsidRDefault="00187FAA">
      <w:pPr>
        <w:shd w:val="clear" w:color="auto" w:fill="FFFFFF"/>
        <w:spacing w:line="240" w:lineRule="auto"/>
        <w:rPr>
          <w:color w:val="1B1B1B"/>
          <w:sz w:val="24"/>
          <w:szCs w:val="24"/>
        </w:rPr>
      </w:pPr>
    </w:p>
    <w:p w14:paraId="45FB0818" w14:textId="77777777" w:rsidR="00187FAA" w:rsidRDefault="00187FAA">
      <w:pPr>
        <w:shd w:val="clear" w:color="auto" w:fill="FFFFFF"/>
        <w:spacing w:line="240" w:lineRule="auto"/>
        <w:rPr>
          <w:color w:val="1B1B1B"/>
          <w:sz w:val="24"/>
          <w:szCs w:val="24"/>
        </w:rPr>
      </w:pPr>
    </w:p>
    <w:p w14:paraId="049F31CB" w14:textId="77777777" w:rsidR="00187FAA" w:rsidRDefault="00187FAA">
      <w:pPr>
        <w:shd w:val="clear" w:color="auto" w:fill="FFFFFF"/>
        <w:spacing w:line="240" w:lineRule="auto"/>
        <w:rPr>
          <w:color w:val="1B1B1B"/>
          <w:sz w:val="24"/>
          <w:szCs w:val="24"/>
        </w:rPr>
      </w:pPr>
    </w:p>
    <w:p w14:paraId="53128261" w14:textId="77777777" w:rsidR="00187FAA" w:rsidRDefault="00187FAA">
      <w:pPr>
        <w:shd w:val="clear" w:color="auto" w:fill="FFFFFF"/>
        <w:spacing w:line="240" w:lineRule="auto"/>
        <w:rPr>
          <w:color w:val="1B1B1B"/>
          <w:sz w:val="24"/>
          <w:szCs w:val="24"/>
        </w:rPr>
      </w:pPr>
    </w:p>
    <w:p w14:paraId="62486C05" w14:textId="77777777" w:rsidR="00187FAA" w:rsidRDefault="00187FAA">
      <w:pPr>
        <w:shd w:val="clear" w:color="auto" w:fill="FFFFFF"/>
        <w:spacing w:line="240" w:lineRule="auto"/>
        <w:rPr>
          <w:color w:val="1B1B1B"/>
          <w:sz w:val="24"/>
          <w:szCs w:val="24"/>
        </w:rPr>
      </w:pPr>
    </w:p>
    <w:p w14:paraId="4101652C" w14:textId="77777777" w:rsidR="00187FAA" w:rsidRDefault="00187FAA">
      <w:pPr>
        <w:shd w:val="clear" w:color="auto" w:fill="FFFFFF"/>
        <w:spacing w:line="240" w:lineRule="auto"/>
        <w:rPr>
          <w:color w:val="1B1B1B"/>
          <w:sz w:val="24"/>
          <w:szCs w:val="24"/>
        </w:rPr>
      </w:pPr>
    </w:p>
    <w:p w14:paraId="4B99056E" w14:textId="77777777" w:rsidR="00187FAA" w:rsidRDefault="00187FAA">
      <w:pPr>
        <w:shd w:val="clear" w:color="auto" w:fill="FFFFFF"/>
        <w:spacing w:line="240" w:lineRule="auto"/>
        <w:rPr>
          <w:color w:val="1B1B1B"/>
          <w:sz w:val="24"/>
          <w:szCs w:val="24"/>
        </w:rPr>
      </w:pPr>
    </w:p>
    <w:p w14:paraId="1299C43A" w14:textId="77777777" w:rsidR="00187FAA" w:rsidRDefault="00187FAA">
      <w:pPr>
        <w:shd w:val="clear" w:color="auto" w:fill="FFFFFF"/>
        <w:spacing w:line="240" w:lineRule="auto"/>
        <w:rPr>
          <w:color w:val="1B1B1B"/>
          <w:sz w:val="24"/>
          <w:szCs w:val="24"/>
        </w:rPr>
      </w:pPr>
    </w:p>
    <w:p w14:paraId="4DDBEF00" w14:textId="77777777" w:rsidR="00187FAA" w:rsidRDefault="00187FAA">
      <w:pPr>
        <w:shd w:val="clear" w:color="auto" w:fill="FFFFFF"/>
        <w:spacing w:line="240" w:lineRule="auto"/>
        <w:rPr>
          <w:color w:val="1B1B1B"/>
          <w:sz w:val="24"/>
          <w:szCs w:val="24"/>
        </w:rPr>
      </w:pPr>
    </w:p>
    <w:p w14:paraId="3461D779" w14:textId="77777777" w:rsidR="00187FAA" w:rsidRDefault="00187FAA">
      <w:pPr>
        <w:shd w:val="clear" w:color="auto" w:fill="FFFFFF"/>
        <w:spacing w:line="240" w:lineRule="auto"/>
        <w:rPr>
          <w:color w:val="1B1B1B"/>
          <w:sz w:val="24"/>
          <w:szCs w:val="24"/>
        </w:rPr>
      </w:pPr>
    </w:p>
    <w:p w14:paraId="3CF2D8B6" w14:textId="77777777" w:rsidR="00187FAA" w:rsidRDefault="00187FAA">
      <w:pPr>
        <w:shd w:val="clear" w:color="auto" w:fill="FFFFFF"/>
        <w:spacing w:line="240" w:lineRule="auto"/>
        <w:rPr>
          <w:color w:val="1B1B1B"/>
          <w:sz w:val="24"/>
          <w:szCs w:val="24"/>
        </w:rPr>
      </w:pPr>
    </w:p>
    <w:p w14:paraId="0FB78278" w14:textId="1E30BB81" w:rsidR="00187FAA" w:rsidRDefault="00187FAA">
      <w:pPr>
        <w:shd w:val="clear" w:color="auto" w:fill="FFFFFF"/>
        <w:spacing w:line="240" w:lineRule="auto"/>
        <w:rPr>
          <w:color w:val="1B1B1B"/>
          <w:sz w:val="24"/>
          <w:szCs w:val="24"/>
        </w:rPr>
      </w:pPr>
    </w:p>
    <w:p w14:paraId="4E9605BA" w14:textId="6C667D72" w:rsidR="00C7301B" w:rsidRDefault="00C7301B">
      <w:pPr>
        <w:shd w:val="clear" w:color="auto" w:fill="FFFFFF"/>
        <w:spacing w:line="240" w:lineRule="auto"/>
        <w:rPr>
          <w:color w:val="1B1B1B"/>
          <w:sz w:val="24"/>
          <w:szCs w:val="24"/>
        </w:rPr>
      </w:pPr>
    </w:p>
    <w:p w14:paraId="32E76631" w14:textId="72482F4D" w:rsidR="00C7301B" w:rsidRDefault="00C7301B">
      <w:pPr>
        <w:shd w:val="clear" w:color="auto" w:fill="FFFFFF"/>
        <w:spacing w:line="240" w:lineRule="auto"/>
        <w:rPr>
          <w:color w:val="1B1B1B"/>
          <w:sz w:val="24"/>
          <w:szCs w:val="24"/>
        </w:rPr>
      </w:pPr>
    </w:p>
    <w:p w14:paraId="564BA471" w14:textId="77777777" w:rsidR="00C7301B" w:rsidRDefault="00C7301B">
      <w:pPr>
        <w:shd w:val="clear" w:color="auto" w:fill="FFFFFF"/>
        <w:spacing w:line="240" w:lineRule="auto"/>
        <w:rPr>
          <w:color w:val="1B1B1B"/>
          <w:sz w:val="24"/>
          <w:szCs w:val="24"/>
        </w:rPr>
      </w:pPr>
    </w:p>
    <w:p w14:paraId="1FC39945" w14:textId="77777777" w:rsidR="00187FAA" w:rsidRDefault="00187FAA">
      <w:pPr>
        <w:shd w:val="clear" w:color="auto" w:fill="FFFFFF"/>
        <w:spacing w:line="240" w:lineRule="auto"/>
        <w:rPr>
          <w:color w:val="1B1B1B"/>
          <w:sz w:val="24"/>
          <w:szCs w:val="24"/>
        </w:rPr>
      </w:pPr>
    </w:p>
    <w:p w14:paraId="0562CB0E" w14:textId="77777777" w:rsidR="00187FAA" w:rsidRDefault="00187FAA">
      <w:pPr>
        <w:shd w:val="clear" w:color="auto" w:fill="FFFFFF"/>
        <w:spacing w:line="240" w:lineRule="auto"/>
        <w:rPr>
          <w:color w:val="1B1B1B"/>
          <w:sz w:val="24"/>
          <w:szCs w:val="24"/>
        </w:rPr>
      </w:pPr>
    </w:p>
    <w:p w14:paraId="34CE0A41" w14:textId="77777777" w:rsidR="00187FAA" w:rsidRDefault="00187FAA">
      <w:pPr>
        <w:shd w:val="clear" w:color="auto" w:fill="FFFFFF"/>
        <w:spacing w:line="240" w:lineRule="auto"/>
        <w:rPr>
          <w:color w:val="1B1B1B"/>
          <w:sz w:val="24"/>
          <w:szCs w:val="24"/>
        </w:rPr>
      </w:pPr>
    </w:p>
    <w:p w14:paraId="79F8B422" w14:textId="77777777" w:rsidR="00187FAA" w:rsidRDefault="00F84B48">
      <w:pPr>
        <w:shd w:val="clear" w:color="auto" w:fill="FFFFFF"/>
        <w:spacing w:line="240" w:lineRule="auto"/>
        <w:rPr>
          <w:i/>
          <w:color w:val="1B1B1B"/>
          <w:sz w:val="20"/>
          <w:szCs w:val="20"/>
        </w:rPr>
      </w:pPr>
      <w:r>
        <w:rPr>
          <w:b/>
          <w:i/>
          <w:color w:val="1B1B1B"/>
          <w:sz w:val="20"/>
          <w:szCs w:val="20"/>
        </w:rPr>
        <w:lastRenderedPageBreak/>
        <w:t>Key words</w:t>
      </w:r>
      <w:r>
        <w:rPr>
          <w:i/>
          <w:color w:val="1B1B1B"/>
          <w:sz w:val="20"/>
          <w:szCs w:val="20"/>
        </w:rPr>
        <w:t>: Pica; paint; non-food substance; lead; anemia</w:t>
      </w:r>
    </w:p>
    <w:p w14:paraId="62EBF3C5" w14:textId="77777777" w:rsidR="00187FAA" w:rsidRDefault="00187FAA">
      <w:pPr>
        <w:shd w:val="clear" w:color="auto" w:fill="FFFFFF"/>
        <w:spacing w:line="240" w:lineRule="auto"/>
        <w:rPr>
          <w:color w:val="1B1B1B"/>
          <w:sz w:val="24"/>
          <w:szCs w:val="24"/>
        </w:rPr>
      </w:pPr>
    </w:p>
    <w:p w14:paraId="2C8B4F07" w14:textId="77777777" w:rsidR="00187FAA" w:rsidRDefault="00F84B48">
      <w:pPr>
        <w:shd w:val="clear" w:color="auto" w:fill="FFFFFF"/>
        <w:spacing w:line="240" w:lineRule="auto"/>
        <w:rPr>
          <w:b/>
          <w:color w:val="1B1B1B"/>
        </w:rPr>
      </w:pPr>
      <w:r>
        <w:rPr>
          <w:b/>
          <w:color w:val="1B1B1B"/>
        </w:rPr>
        <w:t>INTRODUCTION</w:t>
      </w:r>
    </w:p>
    <w:p w14:paraId="6D98A12B" w14:textId="77777777" w:rsidR="00187FAA" w:rsidRDefault="00187FAA">
      <w:pPr>
        <w:shd w:val="clear" w:color="auto" w:fill="FFFFFF"/>
        <w:spacing w:line="240" w:lineRule="auto"/>
        <w:rPr>
          <w:b/>
          <w:color w:val="1B1B1B"/>
        </w:rPr>
      </w:pPr>
    </w:p>
    <w:p w14:paraId="2C69CF07"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 xml:space="preserve">The DSM-V defines pica as eating non-nutritive, non-food substances over a period of at least one month that is not explained by someone’s developmental age or explained by someone’s cultural or social background (Al Nasser, 2023). Commonly, infants will start mouthing at about 3-5 months of age, and it will begin to peak until 6-9 months of age. After about 9 months the behavior will slowly begin to fade (Koterba, 2014). As children grow older, they begin to explore more with their hands, ending this oral stage of exploration. </w:t>
      </w:r>
    </w:p>
    <w:p w14:paraId="2946DB82" w14:textId="77777777" w:rsidR="00187FAA" w:rsidRDefault="00187FAA">
      <w:pPr>
        <w:shd w:val="clear" w:color="auto" w:fill="FFFFFF"/>
        <w:spacing w:line="240" w:lineRule="auto"/>
        <w:jc w:val="both"/>
        <w:rPr>
          <w:color w:val="1B1B1B"/>
          <w:sz w:val="20"/>
          <w:szCs w:val="20"/>
        </w:rPr>
      </w:pPr>
    </w:p>
    <w:p w14:paraId="2453A17B"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Pica itself can be at any age and is likewise common in individuals among the intellectually impaired, and in women it is most often seen during pregnancy. Pica can be associated with intellectual disability (McNaughten, 2017), schizophrenia (Khosravi 2021), autism spectrum disorder, pregnancy, trichotillomania (hair pulling disorder), and excoriation (skin picking) disorder, obsessive compulsive disorder, and sickle cell disease (Clark et al., 2020). The nature of ingested items is variable, including but not limited to earth (geophagy), raw starches (</w:t>
      </w:r>
      <w:proofErr w:type="spellStart"/>
      <w:r w:rsidRPr="03FC3A10">
        <w:rPr>
          <w:color w:val="1B1B1B"/>
          <w:sz w:val="20"/>
          <w:szCs w:val="20"/>
          <w:lang w:val="en-US"/>
        </w:rPr>
        <w:t>amylophagy</w:t>
      </w:r>
      <w:proofErr w:type="spellEnd"/>
      <w:r w:rsidRPr="03FC3A10">
        <w:rPr>
          <w:color w:val="1B1B1B"/>
          <w:sz w:val="20"/>
          <w:szCs w:val="20"/>
          <w:lang w:val="en-US"/>
        </w:rPr>
        <w:t xml:space="preserve">), ice (pagophagia), charcoal, ash, paper, chalk, cloth, baby powder, coffee grounds, and eggshells (Al Nasser, 2023). </w:t>
      </w:r>
    </w:p>
    <w:p w14:paraId="5997CC1D" w14:textId="77777777" w:rsidR="00187FAA" w:rsidRDefault="00187FAA">
      <w:pPr>
        <w:shd w:val="clear" w:color="auto" w:fill="FFFFFF"/>
        <w:spacing w:line="240" w:lineRule="auto"/>
        <w:ind w:firstLine="720"/>
        <w:jc w:val="both"/>
        <w:rPr>
          <w:color w:val="1B1B1B"/>
          <w:sz w:val="20"/>
          <w:szCs w:val="20"/>
        </w:rPr>
      </w:pPr>
    </w:p>
    <w:p w14:paraId="5730DCA5"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 xml:space="preserve">While the exact pathophysiology of pica is currently unknown, the strong association of pica with iron deficiency anemia (IDA) lends credence to the hypothesis that dopamine transmission may be disrupted in this disorder, as iron is a crucial cofactor in dopamine synthesis. Current treatments for nutritive picas are focused on treating the underlying deficiency. Picas associated with ASD are resistant to medications but can be treated with applied behavioral analysis therapy (ABA) (Schnitzler, 2022). </w:t>
      </w:r>
    </w:p>
    <w:p w14:paraId="110FFD37" w14:textId="77777777" w:rsidR="00187FAA" w:rsidRDefault="00187FAA">
      <w:pPr>
        <w:shd w:val="clear" w:color="auto" w:fill="FFFFFF"/>
        <w:spacing w:line="240" w:lineRule="auto"/>
        <w:rPr>
          <w:color w:val="1B1B1B"/>
          <w:sz w:val="24"/>
          <w:szCs w:val="24"/>
        </w:rPr>
      </w:pPr>
    </w:p>
    <w:p w14:paraId="3BD8F48B" w14:textId="77777777" w:rsidR="00187FAA" w:rsidRDefault="00F84B48">
      <w:pPr>
        <w:shd w:val="clear" w:color="auto" w:fill="FFFFFF"/>
        <w:spacing w:line="240" w:lineRule="auto"/>
        <w:rPr>
          <w:b/>
          <w:color w:val="1B1B1B"/>
        </w:rPr>
      </w:pPr>
      <w:r>
        <w:rPr>
          <w:b/>
          <w:color w:val="1B1B1B"/>
        </w:rPr>
        <w:t>CASE DESCRIPTION</w:t>
      </w:r>
    </w:p>
    <w:p w14:paraId="6B699379" w14:textId="77777777" w:rsidR="00187FAA" w:rsidRDefault="00187FAA">
      <w:pPr>
        <w:shd w:val="clear" w:color="auto" w:fill="FFFFFF"/>
        <w:spacing w:line="240" w:lineRule="auto"/>
        <w:rPr>
          <w:b/>
          <w:color w:val="1B1B1B"/>
        </w:rPr>
      </w:pPr>
    </w:p>
    <w:p w14:paraId="70F9A57E"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A 14-year-old girl with no significant past medical history presented to the hospital with complaints of daily headaches, diffuse abdominal pain, generalized body aches, and intermittent constipation. She was admitted for evaluation and management of markedly elevated blood lead levels identified on recent outpatient testing.</w:t>
      </w:r>
    </w:p>
    <w:p w14:paraId="3FE9F23F" w14:textId="77777777" w:rsidR="00187FAA" w:rsidRDefault="00187FAA">
      <w:pPr>
        <w:shd w:val="clear" w:color="auto" w:fill="FFFFFF"/>
        <w:spacing w:line="240" w:lineRule="auto"/>
        <w:jc w:val="both"/>
        <w:rPr>
          <w:color w:val="1B1B1B"/>
          <w:sz w:val="20"/>
          <w:szCs w:val="20"/>
        </w:rPr>
      </w:pPr>
    </w:p>
    <w:p w14:paraId="4A629619"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Initial venous lead level obtained on September 11, 2024, was 79 mcg/dL. Despite the severity of elevation, chelation therapy had not yet been initiated. The patient denied drug use and reported regular but heavy menses, 8–10 pads daily at the peak, currently on her period at the time of admission. She was taking over-the-counter oral ferrous sulfate (</w:t>
      </w:r>
      <w:proofErr w:type="spellStart"/>
      <w:r w:rsidRPr="03FC3A10">
        <w:rPr>
          <w:color w:val="1B1B1B"/>
          <w:sz w:val="20"/>
          <w:szCs w:val="20"/>
          <w:lang w:val="en-US"/>
        </w:rPr>
        <w:t>Ferosul</w:t>
      </w:r>
      <w:proofErr w:type="spellEnd"/>
      <w:r w:rsidRPr="03FC3A10">
        <w:rPr>
          <w:color w:val="1B1B1B"/>
          <w:sz w:val="20"/>
          <w:szCs w:val="20"/>
          <w:lang w:val="en-US"/>
        </w:rPr>
        <w:t>) 325 mg daily for iron supplementation at home. A urine pregnancy test was negative on admission.</w:t>
      </w:r>
    </w:p>
    <w:p w14:paraId="1F72F646" w14:textId="77777777" w:rsidR="00187FAA" w:rsidRDefault="00187FAA">
      <w:pPr>
        <w:shd w:val="clear" w:color="auto" w:fill="FFFFFF"/>
        <w:spacing w:line="240" w:lineRule="auto"/>
        <w:jc w:val="both"/>
        <w:rPr>
          <w:color w:val="1B1B1B"/>
          <w:sz w:val="20"/>
          <w:szCs w:val="20"/>
        </w:rPr>
      </w:pPr>
    </w:p>
    <w:p w14:paraId="0EC25D1B"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On arrival, the patient was alert and oriented, in no acute distress. Initial vital signs included blood pressure 117/77 mmHg, pulse 104 bpm, temperature 36.7°C, respiratory rate 16 breaths per minute, and oxygen saturation 99% on room air. Neurologic examination was unremarkable with no focal deficits, tremor, or signs of encephalopathy. Cranial nerves were intact. She displayed a thin bluish-black line along the gingival margins, consistent with Burton lines associated with chronic lead exposure. Mild diffuse abdominal tenderness was noted on examination without rebound or guarding.</w:t>
      </w:r>
    </w:p>
    <w:p w14:paraId="08CE6F91" w14:textId="77777777" w:rsidR="00187FAA" w:rsidRDefault="00187FAA">
      <w:pPr>
        <w:shd w:val="clear" w:color="auto" w:fill="FFFFFF"/>
        <w:spacing w:line="240" w:lineRule="auto"/>
        <w:jc w:val="both"/>
        <w:rPr>
          <w:color w:val="1B1B1B"/>
          <w:sz w:val="20"/>
          <w:szCs w:val="20"/>
        </w:rPr>
      </w:pPr>
    </w:p>
    <w:p w14:paraId="4612D043"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 xml:space="preserve">Laboratory testing was notable for hemoglobin 10.3 g/dL, hematocrit 33.3%, and mean corpuscular volume (MCV) 74.0 </w:t>
      </w:r>
      <w:proofErr w:type="spellStart"/>
      <w:r w:rsidRPr="03FC3A10">
        <w:rPr>
          <w:color w:val="1B1B1B"/>
          <w:sz w:val="20"/>
          <w:szCs w:val="20"/>
          <w:lang w:val="en-US"/>
        </w:rPr>
        <w:t>fL</w:t>
      </w:r>
      <w:proofErr w:type="spellEnd"/>
      <w:r w:rsidRPr="03FC3A10">
        <w:rPr>
          <w:color w:val="1B1B1B"/>
          <w:sz w:val="20"/>
          <w:szCs w:val="20"/>
          <w:lang w:val="en-US"/>
        </w:rPr>
        <w:t>, consistent with microcytic anemia. Red cell distribution width (RDW) was elevated at 20.3%. Peripheral smear demonstrated target cells. Sodium was 137 mmol/L, and AST was mildly elevated at 37 U/L. Urinalysis revealed minimal bacteria but was contaminated with epithelial cells.</w:t>
      </w:r>
    </w:p>
    <w:p w14:paraId="61CDCEAD" w14:textId="77777777" w:rsidR="00187FAA" w:rsidRDefault="00187FAA">
      <w:pPr>
        <w:shd w:val="clear" w:color="auto" w:fill="FFFFFF"/>
        <w:spacing w:line="240" w:lineRule="auto"/>
        <w:jc w:val="both"/>
        <w:rPr>
          <w:color w:val="1B1B1B"/>
          <w:sz w:val="20"/>
          <w:szCs w:val="20"/>
        </w:rPr>
      </w:pPr>
    </w:p>
    <w:p w14:paraId="6BB9E253" w14:textId="77777777" w:rsidR="00187FAA" w:rsidRDefault="00187FAA">
      <w:pPr>
        <w:shd w:val="clear" w:color="auto" w:fill="FFFFFF"/>
        <w:spacing w:line="240" w:lineRule="auto"/>
        <w:jc w:val="both"/>
        <w:rPr>
          <w:color w:val="1B1B1B"/>
          <w:sz w:val="20"/>
          <w:szCs w:val="20"/>
        </w:rPr>
      </w:pPr>
    </w:p>
    <w:p w14:paraId="23DE523C" w14:textId="77777777" w:rsidR="00187FAA" w:rsidRDefault="00187FAA">
      <w:pPr>
        <w:shd w:val="clear" w:color="auto" w:fill="FFFFFF"/>
        <w:spacing w:line="240" w:lineRule="auto"/>
        <w:jc w:val="both"/>
        <w:rPr>
          <w:color w:val="1B1B1B"/>
          <w:sz w:val="20"/>
          <w:szCs w:val="20"/>
        </w:rPr>
      </w:pPr>
    </w:p>
    <w:p w14:paraId="52E56223" w14:textId="77777777" w:rsidR="00187FAA" w:rsidRDefault="00187FAA">
      <w:pPr>
        <w:shd w:val="clear" w:color="auto" w:fill="FFFFFF"/>
        <w:spacing w:line="240" w:lineRule="auto"/>
        <w:jc w:val="both"/>
        <w:rPr>
          <w:color w:val="1B1B1B"/>
          <w:sz w:val="20"/>
          <w:szCs w:val="20"/>
        </w:rPr>
      </w:pPr>
    </w:p>
    <w:p w14:paraId="07547A01" w14:textId="77777777" w:rsidR="00187FAA" w:rsidRDefault="00187FAA">
      <w:pPr>
        <w:shd w:val="clear" w:color="auto" w:fill="FFFFFF"/>
        <w:spacing w:line="240" w:lineRule="auto"/>
        <w:jc w:val="both"/>
        <w:rPr>
          <w:color w:val="1B1B1B"/>
          <w:sz w:val="20"/>
          <w:szCs w:val="20"/>
        </w:rPr>
      </w:pPr>
    </w:p>
    <w:p w14:paraId="5043CB0F" w14:textId="77777777" w:rsidR="00187FAA" w:rsidRDefault="00187FAA">
      <w:pPr>
        <w:shd w:val="clear" w:color="auto" w:fill="FFFFFF"/>
        <w:spacing w:line="240" w:lineRule="auto"/>
        <w:jc w:val="both"/>
        <w:rPr>
          <w:color w:val="1B1B1B"/>
          <w:sz w:val="20"/>
          <w:szCs w:val="20"/>
        </w:rPr>
      </w:pPr>
    </w:p>
    <w:p w14:paraId="2496D9D0" w14:textId="77777777" w:rsidR="00BF19EC" w:rsidRDefault="00F84B48" w:rsidP="00BF19EC">
      <w:pPr>
        <w:spacing w:line="240" w:lineRule="auto"/>
        <w:rPr>
          <w:color w:val="1B1B1B"/>
          <w:sz w:val="20"/>
          <w:szCs w:val="20"/>
          <w:lang w:val="en-US"/>
        </w:rPr>
      </w:pPr>
      <w:r>
        <w:rPr>
          <w:color w:val="1B1B1B"/>
          <w:sz w:val="20"/>
          <w:szCs w:val="20"/>
        </w:rPr>
        <w:lastRenderedPageBreak/>
        <w:t>Table 1</w:t>
      </w:r>
      <w:r w:rsidR="00BF19EC">
        <w:rPr>
          <w:color w:val="1B1B1B"/>
          <w:sz w:val="20"/>
          <w:szCs w:val="20"/>
        </w:rPr>
        <w:t xml:space="preserve">: </w:t>
      </w:r>
      <w:r w:rsidR="00BF19EC" w:rsidRPr="03FC3A10">
        <w:rPr>
          <w:color w:val="1B1B1B"/>
          <w:sz w:val="20"/>
          <w:szCs w:val="20"/>
          <w:lang w:val="en-US"/>
        </w:rPr>
        <w:t>Initial lab values upon presentation and two weeks later.</w:t>
      </w:r>
    </w:p>
    <w:p w14:paraId="2AF88901" w14:textId="4A2ECDBD" w:rsidR="00187FAA" w:rsidRDefault="00187FAA">
      <w:pPr>
        <w:shd w:val="clear" w:color="auto" w:fill="FFFFFF"/>
        <w:spacing w:line="240" w:lineRule="auto"/>
        <w:jc w:val="both"/>
        <w:rPr>
          <w:sz w:val="20"/>
          <w:szCs w:val="20"/>
        </w:rPr>
      </w:pPr>
    </w:p>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7FAA" w14:paraId="25474CCF" w14:textId="77777777">
        <w:tc>
          <w:tcPr>
            <w:tcW w:w="3120" w:type="dxa"/>
            <w:shd w:val="clear" w:color="auto" w:fill="B7B7B7"/>
            <w:tcMar>
              <w:top w:w="100" w:type="dxa"/>
              <w:left w:w="100" w:type="dxa"/>
              <w:bottom w:w="100" w:type="dxa"/>
              <w:right w:w="100" w:type="dxa"/>
            </w:tcMar>
          </w:tcPr>
          <w:p w14:paraId="4DDFB18F" w14:textId="77777777" w:rsidR="00187FAA" w:rsidRDefault="00F84B48">
            <w:pPr>
              <w:widowControl w:val="0"/>
              <w:spacing w:line="240" w:lineRule="auto"/>
              <w:rPr>
                <w:b/>
                <w:sz w:val="20"/>
                <w:szCs w:val="20"/>
              </w:rPr>
            </w:pPr>
            <w:r>
              <w:rPr>
                <w:b/>
                <w:sz w:val="20"/>
                <w:szCs w:val="20"/>
              </w:rPr>
              <w:t>Lab value</w:t>
            </w:r>
          </w:p>
        </w:tc>
        <w:tc>
          <w:tcPr>
            <w:tcW w:w="3120" w:type="dxa"/>
            <w:shd w:val="clear" w:color="auto" w:fill="B7B7B7"/>
            <w:tcMar>
              <w:top w:w="100" w:type="dxa"/>
              <w:left w:w="100" w:type="dxa"/>
              <w:bottom w:w="100" w:type="dxa"/>
              <w:right w:w="100" w:type="dxa"/>
            </w:tcMar>
          </w:tcPr>
          <w:p w14:paraId="04212B61" w14:textId="77777777" w:rsidR="00187FAA" w:rsidRDefault="00F84B48">
            <w:pPr>
              <w:widowControl w:val="0"/>
              <w:spacing w:line="240" w:lineRule="auto"/>
              <w:rPr>
                <w:b/>
                <w:sz w:val="20"/>
                <w:szCs w:val="20"/>
              </w:rPr>
            </w:pPr>
            <w:r>
              <w:rPr>
                <w:b/>
                <w:sz w:val="20"/>
                <w:szCs w:val="20"/>
              </w:rPr>
              <w:t>9/11/24 (admission)</w:t>
            </w:r>
          </w:p>
        </w:tc>
        <w:tc>
          <w:tcPr>
            <w:tcW w:w="3120" w:type="dxa"/>
            <w:shd w:val="clear" w:color="auto" w:fill="B7B7B7"/>
            <w:tcMar>
              <w:top w:w="100" w:type="dxa"/>
              <w:left w:w="100" w:type="dxa"/>
              <w:bottom w:w="100" w:type="dxa"/>
              <w:right w:w="100" w:type="dxa"/>
            </w:tcMar>
          </w:tcPr>
          <w:p w14:paraId="6277ABB4" w14:textId="77777777" w:rsidR="00187FAA" w:rsidRDefault="00F84B48">
            <w:pPr>
              <w:widowControl w:val="0"/>
              <w:spacing w:line="240" w:lineRule="auto"/>
              <w:rPr>
                <w:b/>
                <w:sz w:val="20"/>
                <w:szCs w:val="20"/>
              </w:rPr>
            </w:pPr>
            <w:r>
              <w:rPr>
                <w:b/>
                <w:sz w:val="20"/>
                <w:szCs w:val="20"/>
              </w:rPr>
              <w:t>9/27/24</w:t>
            </w:r>
          </w:p>
        </w:tc>
      </w:tr>
      <w:tr w:rsidR="00187FAA" w14:paraId="2287B606" w14:textId="77777777">
        <w:tc>
          <w:tcPr>
            <w:tcW w:w="3120" w:type="dxa"/>
            <w:shd w:val="clear" w:color="auto" w:fill="CCCCCC"/>
            <w:tcMar>
              <w:top w:w="100" w:type="dxa"/>
              <w:left w:w="100" w:type="dxa"/>
              <w:bottom w:w="100" w:type="dxa"/>
              <w:right w:w="100" w:type="dxa"/>
            </w:tcMar>
          </w:tcPr>
          <w:p w14:paraId="413DB12D" w14:textId="77777777" w:rsidR="00187FAA" w:rsidRDefault="00F84B48">
            <w:pPr>
              <w:widowControl w:val="0"/>
              <w:spacing w:line="240" w:lineRule="auto"/>
              <w:rPr>
                <w:b/>
                <w:sz w:val="20"/>
                <w:szCs w:val="20"/>
              </w:rPr>
            </w:pPr>
            <w:r>
              <w:rPr>
                <w:b/>
                <w:sz w:val="20"/>
                <w:szCs w:val="20"/>
              </w:rPr>
              <w:t>Sodium</w:t>
            </w:r>
          </w:p>
        </w:tc>
        <w:tc>
          <w:tcPr>
            <w:tcW w:w="3120" w:type="dxa"/>
            <w:shd w:val="clear" w:color="auto" w:fill="auto"/>
            <w:tcMar>
              <w:top w:w="100" w:type="dxa"/>
              <w:left w:w="100" w:type="dxa"/>
              <w:bottom w:w="100" w:type="dxa"/>
              <w:right w:w="100" w:type="dxa"/>
            </w:tcMar>
          </w:tcPr>
          <w:p w14:paraId="11FB1526" w14:textId="77777777" w:rsidR="00187FAA" w:rsidRDefault="00F84B48">
            <w:pPr>
              <w:widowControl w:val="0"/>
              <w:spacing w:line="240" w:lineRule="auto"/>
              <w:rPr>
                <w:sz w:val="20"/>
                <w:szCs w:val="20"/>
              </w:rPr>
            </w:pPr>
            <w:r>
              <w:rPr>
                <w:sz w:val="20"/>
                <w:szCs w:val="20"/>
              </w:rPr>
              <w:t>142 mmol/L</w:t>
            </w:r>
          </w:p>
        </w:tc>
        <w:tc>
          <w:tcPr>
            <w:tcW w:w="3120" w:type="dxa"/>
            <w:shd w:val="clear" w:color="auto" w:fill="auto"/>
            <w:tcMar>
              <w:top w:w="100" w:type="dxa"/>
              <w:left w:w="100" w:type="dxa"/>
              <w:bottom w:w="100" w:type="dxa"/>
              <w:right w:w="100" w:type="dxa"/>
            </w:tcMar>
          </w:tcPr>
          <w:p w14:paraId="71BA609F" w14:textId="77777777" w:rsidR="00187FAA" w:rsidRDefault="00F84B48">
            <w:pPr>
              <w:widowControl w:val="0"/>
              <w:spacing w:line="240" w:lineRule="auto"/>
              <w:rPr>
                <w:sz w:val="20"/>
                <w:szCs w:val="20"/>
              </w:rPr>
            </w:pPr>
            <w:r>
              <w:rPr>
                <w:sz w:val="20"/>
                <w:szCs w:val="20"/>
              </w:rPr>
              <w:t>137 mmol/L</w:t>
            </w:r>
          </w:p>
        </w:tc>
      </w:tr>
      <w:tr w:rsidR="00187FAA" w14:paraId="1708CFA6" w14:textId="77777777">
        <w:tc>
          <w:tcPr>
            <w:tcW w:w="3120" w:type="dxa"/>
            <w:shd w:val="clear" w:color="auto" w:fill="CCCCCC"/>
            <w:tcMar>
              <w:top w:w="100" w:type="dxa"/>
              <w:left w:w="100" w:type="dxa"/>
              <w:bottom w:w="100" w:type="dxa"/>
              <w:right w:w="100" w:type="dxa"/>
            </w:tcMar>
          </w:tcPr>
          <w:p w14:paraId="7B8F8BE4" w14:textId="77777777" w:rsidR="00187FAA" w:rsidRDefault="00F84B48">
            <w:pPr>
              <w:widowControl w:val="0"/>
              <w:spacing w:line="240" w:lineRule="auto"/>
              <w:rPr>
                <w:b/>
                <w:sz w:val="20"/>
                <w:szCs w:val="20"/>
              </w:rPr>
            </w:pPr>
            <w:r>
              <w:rPr>
                <w:b/>
                <w:sz w:val="20"/>
                <w:szCs w:val="20"/>
              </w:rPr>
              <w:t>potassium</w:t>
            </w:r>
          </w:p>
        </w:tc>
        <w:tc>
          <w:tcPr>
            <w:tcW w:w="3120" w:type="dxa"/>
            <w:shd w:val="clear" w:color="auto" w:fill="auto"/>
            <w:tcMar>
              <w:top w:w="100" w:type="dxa"/>
              <w:left w:w="100" w:type="dxa"/>
              <w:bottom w:w="100" w:type="dxa"/>
              <w:right w:w="100" w:type="dxa"/>
            </w:tcMar>
          </w:tcPr>
          <w:p w14:paraId="55940746" w14:textId="77777777" w:rsidR="00187FAA" w:rsidRDefault="00F84B48">
            <w:pPr>
              <w:widowControl w:val="0"/>
              <w:spacing w:line="240" w:lineRule="auto"/>
              <w:rPr>
                <w:sz w:val="20"/>
                <w:szCs w:val="20"/>
              </w:rPr>
            </w:pPr>
            <w:r>
              <w:rPr>
                <w:sz w:val="20"/>
                <w:szCs w:val="20"/>
              </w:rPr>
              <w:t>4.2 mmol/L</w:t>
            </w:r>
          </w:p>
        </w:tc>
        <w:tc>
          <w:tcPr>
            <w:tcW w:w="3120" w:type="dxa"/>
            <w:shd w:val="clear" w:color="auto" w:fill="auto"/>
            <w:tcMar>
              <w:top w:w="100" w:type="dxa"/>
              <w:left w:w="100" w:type="dxa"/>
              <w:bottom w:w="100" w:type="dxa"/>
              <w:right w:w="100" w:type="dxa"/>
            </w:tcMar>
          </w:tcPr>
          <w:p w14:paraId="196B4800" w14:textId="77777777" w:rsidR="00187FAA" w:rsidRDefault="00F84B48">
            <w:pPr>
              <w:widowControl w:val="0"/>
              <w:spacing w:line="240" w:lineRule="auto"/>
              <w:rPr>
                <w:sz w:val="20"/>
                <w:szCs w:val="20"/>
              </w:rPr>
            </w:pPr>
            <w:r>
              <w:rPr>
                <w:sz w:val="20"/>
                <w:szCs w:val="20"/>
              </w:rPr>
              <w:t>3.8 mmol/L</w:t>
            </w:r>
          </w:p>
        </w:tc>
      </w:tr>
      <w:tr w:rsidR="00187FAA" w14:paraId="7352077D" w14:textId="77777777">
        <w:tc>
          <w:tcPr>
            <w:tcW w:w="3120" w:type="dxa"/>
            <w:shd w:val="clear" w:color="auto" w:fill="CCCCCC"/>
            <w:tcMar>
              <w:top w:w="100" w:type="dxa"/>
              <w:left w:w="100" w:type="dxa"/>
              <w:bottom w:w="100" w:type="dxa"/>
              <w:right w:w="100" w:type="dxa"/>
            </w:tcMar>
          </w:tcPr>
          <w:p w14:paraId="14CB8D34" w14:textId="77777777" w:rsidR="00187FAA" w:rsidRDefault="00F84B48">
            <w:pPr>
              <w:widowControl w:val="0"/>
              <w:spacing w:line="240" w:lineRule="auto"/>
              <w:rPr>
                <w:b/>
                <w:sz w:val="20"/>
                <w:szCs w:val="20"/>
              </w:rPr>
            </w:pPr>
            <w:r>
              <w:rPr>
                <w:b/>
                <w:sz w:val="20"/>
                <w:szCs w:val="20"/>
              </w:rPr>
              <w:t>chloride</w:t>
            </w:r>
          </w:p>
        </w:tc>
        <w:tc>
          <w:tcPr>
            <w:tcW w:w="3120" w:type="dxa"/>
            <w:shd w:val="clear" w:color="auto" w:fill="auto"/>
            <w:tcMar>
              <w:top w:w="100" w:type="dxa"/>
              <w:left w:w="100" w:type="dxa"/>
              <w:bottom w:w="100" w:type="dxa"/>
              <w:right w:w="100" w:type="dxa"/>
            </w:tcMar>
          </w:tcPr>
          <w:p w14:paraId="76E22B9B" w14:textId="77777777" w:rsidR="00187FAA" w:rsidRDefault="00F84B48">
            <w:pPr>
              <w:widowControl w:val="0"/>
              <w:spacing w:line="240" w:lineRule="auto"/>
              <w:rPr>
                <w:sz w:val="20"/>
                <w:szCs w:val="20"/>
              </w:rPr>
            </w:pPr>
            <w:r>
              <w:rPr>
                <w:sz w:val="20"/>
                <w:szCs w:val="20"/>
              </w:rPr>
              <w:t>109 mmol/L</w:t>
            </w:r>
          </w:p>
        </w:tc>
        <w:tc>
          <w:tcPr>
            <w:tcW w:w="3120" w:type="dxa"/>
            <w:shd w:val="clear" w:color="auto" w:fill="auto"/>
            <w:tcMar>
              <w:top w:w="100" w:type="dxa"/>
              <w:left w:w="100" w:type="dxa"/>
              <w:bottom w:w="100" w:type="dxa"/>
              <w:right w:w="100" w:type="dxa"/>
            </w:tcMar>
          </w:tcPr>
          <w:p w14:paraId="5F171EAE" w14:textId="77777777" w:rsidR="00187FAA" w:rsidRDefault="00F84B48">
            <w:pPr>
              <w:widowControl w:val="0"/>
              <w:spacing w:line="240" w:lineRule="auto"/>
              <w:rPr>
                <w:sz w:val="20"/>
                <w:szCs w:val="20"/>
              </w:rPr>
            </w:pPr>
            <w:r>
              <w:rPr>
                <w:sz w:val="20"/>
                <w:szCs w:val="20"/>
              </w:rPr>
              <w:t>106 mmol/L</w:t>
            </w:r>
          </w:p>
        </w:tc>
      </w:tr>
      <w:tr w:rsidR="00187FAA" w14:paraId="16983B7C" w14:textId="77777777">
        <w:tc>
          <w:tcPr>
            <w:tcW w:w="3120" w:type="dxa"/>
            <w:shd w:val="clear" w:color="auto" w:fill="CCCCCC"/>
            <w:tcMar>
              <w:top w:w="100" w:type="dxa"/>
              <w:left w:w="100" w:type="dxa"/>
              <w:bottom w:w="100" w:type="dxa"/>
              <w:right w:w="100" w:type="dxa"/>
            </w:tcMar>
          </w:tcPr>
          <w:p w14:paraId="1BF6AC76" w14:textId="77777777" w:rsidR="00187FAA" w:rsidRDefault="00F84B48">
            <w:pPr>
              <w:widowControl w:val="0"/>
              <w:spacing w:line="240" w:lineRule="auto"/>
              <w:rPr>
                <w:b/>
                <w:sz w:val="20"/>
                <w:szCs w:val="20"/>
              </w:rPr>
            </w:pPr>
            <w:r>
              <w:rPr>
                <w:b/>
                <w:sz w:val="20"/>
                <w:szCs w:val="20"/>
              </w:rPr>
              <w:t>BUN</w:t>
            </w:r>
          </w:p>
        </w:tc>
        <w:tc>
          <w:tcPr>
            <w:tcW w:w="3120" w:type="dxa"/>
            <w:shd w:val="clear" w:color="auto" w:fill="auto"/>
            <w:tcMar>
              <w:top w:w="100" w:type="dxa"/>
              <w:left w:w="100" w:type="dxa"/>
              <w:bottom w:w="100" w:type="dxa"/>
              <w:right w:w="100" w:type="dxa"/>
            </w:tcMar>
          </w:tcPr>
          <w:p w14:paraId="69416481" w14:textId="77777777" w:rsidR="00187FAA" w:rsidRDefault="00F84B48">
            <w:pPr>
              <w:widowControl w:val="0"/>
              <w:spacing w:line="240" w:lineRule="auto"/>
              <w:rPr>
                <w:sz w:val="20"/>
                <w:szCs w:val="20"/>
              </w:rPr>
            </w:pPr>
            <w:r>
              <w:rPr>
                <w:sz w:val="20"/>
                <w:szCs w:val="20"/>
              </w:rPr>
              <w:t>10 mg/dL</w:t>
            </w:r>
          </w:p>
        </w:tc>
        <w:tc>
          <w:tcPr>
            <w:tcW w:w="3120" w:type="dxa"/>
            <w:shd w:val="clear" w:color="auto" w:fill="auto"/>
            <w:tcMar>
              <w:top w:w="100" w:type="dxa"/>
              <w:left w:w="100" w:type="dxa"/>
              <w:bottom w:w="100" w:type="dxa"/>
              <w:right w:w="100" w:type="dxa"/>
            </w:tcMar>
          </w:tcPr>
          <w:p w14:paraId="325EEC7F" w14:textId="77777777" w:rsidR="00187FAA" w:rsidRDefault="00F84B48">
            <w:pPr>
              <w:widowControl w:val="0"/>
              <w:spacing w:line="240" w:lineRule="auto"/>
              <w:rPr>
                <w:sz w:val="20"/>
                <w:szCs w:val="20"/>
              </w:rPr>
            </w:pPr>
            <w:r>
              <w:rPr>
                <w:sz w:val="20"/>
                <w:szCs w:val="20"/>
              </w:rPr>
              <w:t>11 mg/dL</w:t>
            </w:r>
          </w:p>
        </w:tc>
      </w:tr>
      <w:tr w:rsidR="00187FAA" w14:paraId="257E441C" w14:textId="77777777">
        <w:tc>
          <w:tcPr>
            <w:tcW w:w="3120" w:type="dxa"/>
            <w:shd w:val="clear" w:color="auto" w:fill="CCCCCC"/>
            <w:tcMar>
              <w:top w:w="100" w:type="dxa"/>
              <w:left w:w="100" w:type="dxa"/>
              <w:bottom w:w="100" w:type="dxa"/>
              <w:right w:w="100" w:type="dxa"/>
            </w:tcMar>
          </w:tcPr>
          <w:p w14:paraId="1AD2AB1D" w14:textId="77777777" w:rsidR="00187FAA" w:rsidRDefault="00F84B48">
            <w:pPr>
              <w:widowControl w:val="0"/>
              <w:spacing w:line="240" w:lineRule="auto"/>
              <w:rPr>
                <w:b/>
                <w:sz w:val="20"/>
                <w:szCs w:val="20"/>
              </w:rPr>
            </w:pPr>
            <w:r>
              <w:rPr>
                <w:b/>
                <w:sz w:val="20"/>
                <w:szCs w:val="20"/>
              </w:rPr>
              <w:t>Cr</w:t>
            </w:r>
          </w:p>
        </w:tc>
        <w:tc>
          <w:tcPr>
            <w:tcW w:w="3120" w:type="dxa"/>
            <w:shd w:val="clear" w:color="auto" w:fill="auto"/>
            <w:tcMar>
              <w:top w:w="100" w:type="dxa"/>
              <w:left w:w="100" w:type="dxa"/>
              <w:bottom w:w="100" w:type="dxa"/>
              <w:right w:w="100" w:type="dxa"/>
            </w:tcMar>
          </w:tcPr>
          <w:p w14:paraId="68554C27" w14:textId="77777777" w:rsidR="00187FAA" w:rsidRDefault="00F84B48">
            <w:pPr>
              <w:widowControl w:val="0"/>
              <w:spacing w:line="240" w:lineRule="auto"/>
              <w:rPr>
                <w:sz w:val="20"/>
                <w:szCs w:val="20"/>
              </w:rPr>
            </w:pPr>
            <w:r>
              <w:rPr>
                <w:sz w:val="20"/>
                <w:szCs w:val="20"/>
              </w:rPr>
              <w:t>0.52 mg/dL</w:t>
            </w:r>
          </w:p>
        </w:tc>
        <w:tc>
          <w:tcPr>
            <w:tcW w:w="3120" w:type="dxa"/>
            <w:shd w:val="clear" w:color="auto" w:fill="auto"/>
            <w:tcMar>
              <w:top w:w="100" w:type="dxa"/>
              <w:left w:w="100" w:type="dxa"/>
              <w:bottom w:w="100" w:type="dxa"/>
              <w:right w:w="100" w:type="dxa"/>
            </w:tcMar>
          </w:tcPr>
          <w:p w14:paraId="384F3114" w14:textId="77777777" w:rsidR="00187FAA" w:rsidRDefault="00F84B48">
            <w:pPr>
              <w:widowControl w:val="0"/>
              <w:spacing w:line="240" w:lineRule="auto"/>
              <w:rPr>
                <w:sz w:val="20"/>
                <w:szCs w:val="20"/>
              </w:rPr>
            </w:pPr>
            <w:r>
              <w:rPr>
                <w:sz w:val="20"/>
                <w:szCs w:val="20"/>
              </w:rPr>
              <w:t>0.53 mg/dL</w:t>
            </w:r>
          </w:p>
        </w:tc>
      </w:tr>
      <w:tr w:rsidR="00187FAA" w14:paraId="7BE2C39D" w14:textId="77777777">
        <w:tc>
          <w:tcPr>
            <w:tcW w:w="3120" w:type="dxa"/>
            <w:shd w:val="clear" w:color="auto" w:fill="CCCCCC"/>
            <w:tcMar>
              <w:top w:w="100" w:type="dxa"/>
              <w:left w:w="100" w:type="dxa"/>
              <w:bottom w:w="100" w:type="dxa"/>
              <w:right w:w="100" w:type="dxa"/>
            </w:tcMar>
          </w:tcPr>
          <w:p w14:paraId="464ECAFC" w14:textId="77777777" w:rsidR="00187FAA" w:rsidRDefault="00F84B48">
            <w:pPr>
              <w:widowControl w:val="0"/>
              <w:spacing w:line="240" w:lineRule="auto"/>
              <w:rPr>
                <w:b/>
                <w:sz w:val="20"/>
                <w:szCs w:val="20"/>
              </w:rPr>
            </w:pPr>
            <w:r>
              <w:rPr>
                <w:b/>
                <w:sz w:val="20"/>
                <w:szCs w:val="20"/>
              </w:rPr>
              <w:t>Glucose</w:t>
            </w:r>
          </w:p>
        </w:tc>
        <w:tc>
          <w:tcPr>
            <w:tcW w:w="3120" w:type="dxa"/>
            <w:shd w:val="clear" w:color="auto" w:fill="auto"/>
            <w:tcMar>
              <w:top w:w="100" w:type="dxa"/>
              <w:left w:w="100" w:type="dxa"/>
              <w:bottom w:w="100" w:type="dxa"/>
              <w:right w:w="100" w:type="dxa"/>
            </w:tcMar>
          </w:tcPr>
          <w:p w14:paraId="64B5772C" w14:textId="77777777" w:rsidR="00187FAA" w:rsidRDefault="00F84B48">
            <w:pPr>
              <w:widowControl w:val="0"/>
              <w:spacing w:line="240" w:lineRule="auto"/>
              <w:rPr>
                <w:sz w:val="20"/>
                <w:szCs w:val="20"/>
              </w:rPr>
            </w:pPr>
            <w:r>
              <w:rPr>
                <w:sz w:val="20"/>
                <w:szCs w:val="20"/>
              </w:rPr>
              <w:t>77 mg/dL</w:t>
            </w:r>
          </w:p>
        </w:tc>
        <w:tc>
          <w:tcPr>
            <w:tcW w:w="3120" w:type="dxa"/>
            <w:shd w:val="clear" w:color="auto" w:fill="auto"/>
            <w:tcMar>
              <w:top w:w="100" w:type="dxa"/>
              <w:left w:w="100" w:type="dxa"/>
              <w:bottom w:w="100" w:type="dxa"/>
              <w:right w:w="100" w:type="dxa"/>
            </w:tcMar>
          </w:tcPr>
          <w:p w14:paraId="504BC686" w14:textId="77777777" w:rsidR="00187FAA" w:rsidRDefault="00F84B48">
            <w:pPr>
              <w:widowControl w:val="0"/>
              <w:spacing w:line="240" w:lineRule="auto"/>
              <w:rPr>
                <w:sz w:val="20"/>
                <w:szCs w:val="20"/>
              </w:rPr>
            </w:pPr>
            <w:r>
              <w:rPr>
                <w:sz w:val="20"/>
                <w:szCs w:val="20"/>
              </w:rPr>
              <w:t>81 mg/dL</w:t>
            </w:r>
          </w:p>
        </w:tc>
      </w:tr>
      <w:tr w:rsidR="00187FAA" w14:paraId="7D30B8DB" w14:textId="77777777">
        <w:tc>
          <w:tcPr>
            <w:tcW w:w="3120" w:type="dxa"/>
            <w:shd w:val="clear" w:color="auto" w:fill="CCCCCC"/>
            <w:tcMar>
              <w:top w:w="100" w:type="dxa"/>
              <w:left w:w="100" w:type="dxa"/>
              <w:bottom w:w="100" w:type="dxa"/>
              <w:right w:w="100" w:type="dxa"/>
            </w:tcMar>
          </w:tcPr>
          <w:p w14:paraId="5DFC7523" w14:textId="77777777" w:rsidR="00187FAA" w:rsidRDefault="00F84B48">
            <w:pPr>
              <w:widowControl w:val="0"/>
              <w:spacing w:line="240" w:lineRule="auto"/>
              <w:rPr>
                <w:b/>
                <w:sz w:val="20"/>
                <w:szCs w:val="20"/>
              </w:rPr>
            </w:pPr>
            <w:r>
              <w:rPr>
                <w:b/>
                <w:sz w:val="20"/>
                <w:szCs w:val="20"/>
              </w:rPr>
              <w:t>Albumin</w:t>
            </w:r>
          </w:p>
        </w:tc>
        <w:tc>
          <w:tcPr>
            <w:tcW w:w="3120" w:type="dxa"/>
            <w:shd w:val="clear" w:color="auto" w:fill="auto"/>
            <w:tcMar>
              <w:top w:w="100" w:type="dxa"/>
              <w:left w:w="100" w:type="dxa"/>
              <w:bottom w:w="100" w:type="dxa"/>
              <w:right w:w="100" w:type="dxa"/>
            </w:tcMar>
          </w:tcPr>
          <w:p w14:paraId="76BFFB19" w14:textId="77777777" w:rsidR="00187FAA" w:rsidRDefault="00F84B48">
            <w:pPr>
              <w:widowControl w:val="0"/>
              <w:spacing w:line="240" w:lineRule="auto"/>
              <w:rPr>
                <w:sz w:val="20"/>
                <w:szCs w:val="20"/>
              </w:rPr>
            </w:pPr>
            <w:r>
              <w:rPr>
                <w:sz w:val="20"/>
                <w:szCs w:val="20"/>
              </w:rPr>
              <w:t>4.1 g/dL</w:t>
            </w:r>
          </w:p>
        </w:tc>
        <w:tc>
          <w:tcPr>
            <w:tcW w:w="3120" w:type="dxa"/>
            <w:shd w:val="clear" w:color="auto" w:fill="auto"/>
            <w:tcMar>
              <w:top w:w="100" w:type="dxa"/>
              <w:left w:w="100" w:type="dxa"/>
              <w:bottom w:w="100" w:type="dxa"/>
              <w:right w:w="100" w:type="dxa"/>
            </w:tcMar>
          </w:tcPr>
          <w:p w14:paraId="45F1CE89" w14:textId="77777777" w:rsidR="00187FAA" w:rsidRDefault="00F84B48">
            <w:pPr>
              <w:widowControl w:val="0"/>
              <w:spacing w:line="240" w:lineRule="auto"/>
              <w:rPr>
                <w:sz w:val="20"/>
                <w:szCs w:val="20"/>
              </w:rPr>
            </w:pPr>
            <w:r>
              <w:rPr>
                <w:sz w:val="20"/>
                <w:szCs w:val="20"/>
              </w:rPr>
              <w:t>4.4 mg/dL</w:t>
            </w:r>
          </w:p>
        </w:tc>
      </w:tr>
      <w:tr w:rsidR="00187FAA" w14:paraId="7E396EB2" w14:textId="77777777">
        <w:tc>
          <w:tcPr>
            <w:tcW w:w="3120" w:type="dxa"/>
            <w:shd w:val="clear" w:color="auto" w:fill="CCCCCC"/>
            <w:tcMar>
              <w:top w:w="100" w:type="dxa"/>
              <w:left w:w="100" w:type="dxa"/>
              <w:bottom w:w="100" w:type="dxa"/>
              <w:right w:w="100" w:type="dxa"/>
            </w:tcMar>
          </w:tcPr>
          <w:p w14:paraId="0BD75D72" w14:textId="77777777" w:rsidR="00187FAA" w:rsidRDefault="00F84B48">
            <w:pPr>
              <w:widowControl w:val="0"/>
              <w:spacing w:line="240" w:lineRule="auto"/>
              <w:rPr>
                <w:b/>
                <w:sz w:val="20"/>
                <w:szCs w:val="20"/>
              </w:rPr>
            </w:pPr>
            <w:r>
              <w:rPr>
                <w:b/>
                <w:sz w:val="20"/>
                <w:szCs w:val="20"/>
              </w:rPr>
              <w:t>Magnesium</w:t>
            </w:r>
          </w:p>
        </w:tc>
        <w:tc>
          <w:tcPr>
            <w:tcW w:w="3120" w:type="dxa"/>
            <w:shd w:val="clear" w:color="auto" w:fill="auto"/>
            <w:tcMar>
              <w:top w:w="100" w:type="dxa"/>
              <w:left w:w="100" w:type="dxa"/>
              <w:bottom w:w="100" w:type="dxa"/>
              <w:right w:w="100" w:type="dxa"/>
            </w:tcMar>
          </w:tcPr>
          <w:p w14:paraId="07459315"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1DF592D3" w14:textId="77777777" w:rsidR="00187FAA" w:rsidRDefault="00F84B48">
            <w:pPr>
              <w:widowControl w:val="0"/>
              <w:spacing w:line="240" w:lineRule="auto"/>
              <w:rPr>
                <w:sz w:val="20"/>
                <w:szCs w:val="20"/>
              </w:rPr>
            </w:pPr>
            <w:r>
              <w:rPr>
                <w:sz w:val="20"/>
                <w:szCs w:val="20"/>
              </w:rPr>
              <w:t>2.0 mg/dL</w:t>
            </w:r>
          </w:p>
        </w:tc>
      </w:tr>
      <w:tr w:rsidR="00187FAA" w14:paraId="60F23501" w14:textId="77777777">
        <w:tc>
          <w:tcPr>
            <w:tcW w:w="3120" w:type="dxa"/>
            <w:shd w:val="clear" w:color="auto" w:fill="CCCCCC"/>
            <w:tcMar>
              <w:top w:w="100" w:type="dxa"/>
              <w:left w:w="100" w:type="dxa"/>
              <w:bottom w:w="100" w:type="dxa"/>
              <w:right w:w="100" w:type="dxa"/>
            </w:tcMar>
          </w:tcPr>
          <w:p w14:paraId="1AE22543" w14:textId="77777777" w:rsidR="00187FAA" w:rsidRDefault="00F84B48">
            <w:pPr>
              <w:widowControl w:val="0"/>
              <w:spacing w:line="240" w:lineRule="auto"/>
              <w:rPr>
                <w:b/>
                <w:sz w:val="20"/>
                <w:szCs w:val="20"/>
              </w:rPr>
            </w:pPr>
            <w:r>
              <w:rPr>
                <w:b/>
                <w:sz w:val="20"/>
                <w:szCs w:val="20"/>
              </w:rPr>
              <w:t>calcium</w:t>
            </w:r>
          </w:p>
        </w:tc>
        <w:tc>
          <w:tcPr>
            <w:tcW w:w="3120" w:type="dxa"/>
            <w:shd w:val="clear" w:color="auto" w:fill="auto"/>
            <w:tcMar>
              <w:top w:w="100" w:type="dxa"/>
              <w:left w:w="100" w:type="dxa"/>
              <w:bottom w:w="100" w:type="dxa"/>
              <w:right w:w="100" w:type="dxa"/>
            </w:tcMar>
          </w:tcPr>
          <w:p w14:paraId="6537F28F"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34D18A6C" w14:textId="77777777" w:rsidR="00187FAA" w:rsidRDefault="00F84B48">
            <w:pPr>
              <w:widowControl w:val="0"/>
              <w:spacing w:line="240" w:lineRule="auto"/>
              <w:rPr>
                <w:sz w:val="20"/>
                <w:szCs w:val="20"/>
              </w:rPr>
            </w:pPr>
            <w:r>
              <w:rPr>
                <w:sz w:val="20"/>
                <w:szCs w:val="20"/>
              </w:rPr>
              <w:t>10.3 mg/dL</w:t>
            </w:r>
          </w:p>
        </w:tc>
      </w:tr>
      <w:tr w:rsidR="00187FAA" w14:paraId="61717DBC" w14:textId="77777777">
        <w:tc>
          <w:tcPr>
            <w:tcW w:w="3120" w:type="dxa"/>
            <w:shd w:val="clear" w:color="auto" w:fill="CCCCCC"/>
            <w:tcMar>
              <w:top w:w="100" w:type="dxa"/>
              <w:left w:w="100" w:type="dxa"/>
              <w:bottom w:w="100" w:type="dxa"/>
              <w:right w:w="100" w:type="dxa"/>
            </w:tcMar>
          </w:tcPr>
          <w:p w14:paraId="1B10248A" w14:textId="77777777" w:rsidR="00187FAA" w:rsidRDefault="00F84B48">
            <w:pPr>
              <w:widowControl w:val="0"/>
              <w:spacing w:line="240" w:lineRule="auto"/>
              <w:rPr>
                <w:b/>
                <w:sz w:val="20"/>
                <w:szCs w:val="20"/>
              </w:rPr>
            </w:pPr>
            <w:r>
              <w:rPr>
                <w:b/>
                <w:sz w:val="20"/>
                <w:szCs w:val="20"/>
              </w:rPr>
              <w:t>AST</w:t>
            </w:r>
          </w:p>
        </w:tc>
        <w:tc>
          <w:tcPr>
            <w:tcW w:w="3120" w:type="dxa"/>
            <w:shd w:val="clear" w:color="auto" w:fill="auto"/>
            <w:tcMar>
              <w:top w:w="100" w:type="dxa"/>
              <w:left w:w="100" w:type="dxa"/>
              <w:bottom w:w="100" w:type="dxa"/>
              <w:right w:w="100" w:type="dxa"/>
            </w:tcMar>
          </w:tcPr>
          <w:p w14:paraId="6E4E2C23" w14:textId="77777777" w:rsidR="00187FAA" w:rsidRDefault="00F84B48">
            <w:pPr>
              <w:widowControl w:val="0"/>
              <w:spacing w:line="240" w:lineRule="auto"/>
              <w:rPr>
                <w:sz w:val="20"/>
                <w:szCs w:val="20"/>
              </w:rPr>
            </w:pPr>
            <w:r>
              <w:rPr>
                <w:sz w:val="20"/>
                <w:szCs w:val="20"/>
              </w:rPr>
              <w:t>22 IU/L</w:t>
            </w:r>
          </w:p>
        </w:tc>
        <w:tc>
          <w:tcPr>
            <w:tcW w:w="3120" w:type="dxa"/>
            <w:shd w:val="clear" w:color="auto" w:fill="auto"/>
            <w:tcMar>
              <w:top w:w="100" w:type="dxa"/>
              <w:left w:w="100" w:type="dxa"/>
              <w:bottom w:w="100" w:type="dxa"/>
              <w:right w:w="100" w:type="dxa"/>
            </w:tcMar>
          </w:tcPr>
          <w:p w14:paraId="5A51E9CB" w14:textId="77777777" w:rsidR="00187FAA" w:rsidRDefault="00F84B48">
            <w:pPr>
              <w:widowControl w:val="0"/>
              <w:spacing w:line="240" w:lineRule="auto"/>
              <w:rPr>
                <w:sz w:val="20"/>
                <w:szCs w:val="20"/>
              </w:rPr>
            </w:pPr>
            <w:r>
              <w:rPr>
                <w:sz w:val="20"/>
                <w:szCs w:val="20"/>
              </w:rPr>
              <w:t>37 IU/L</w:t>
            </w:r>
          </w:p>
        </w:tc>
      </w:tr>
      <w:tr w:rsidR="00187FAA" w14:paraId="641D1E39" w14:textId="77777777">
        <w:tc>
          <w:tcPr>
            <w:tcW w:w="3120" w:type="dxa"/>
            <w:shd w:val="clear" w:color="auto" w:fill="CCCCCC"/>
            <w:tcMar>
              <w:top w:w="100" w:type="dxa"/>
              <w:left w:w="100" w:type="dxa"/>
              <w:bottom w:w="100" w:type="dxa"/>
              <w:right w:w="100" w:type="dxa"/>
            </w:tcMar>
          </w:tcPr>
          <w:p w14:paraId="64A2864D" w14:textId="77777777" w:rsidR="00187FAA" w:rsidRDefault="00F84B48">
            <w:pPr>
              <w:widowControl w:val="0"/>
              <w:spacing w:line="240" w:lineRule="auto"/>
              <w:rPr>
                <w:b/>
                <w:sz w:val="20"/>
                <w:szCs w:val="20"/>
              </w:rPr>
            </w:pPr>
            <w:r>
              <w:rPr>
                <w:b/>
                <w:sz w:val="20"/>
                <w:szCs w:val="20"/>
              </w:rPr>
              <w:t>ALT</w:t>
            </w:r>
          </w:p>
        </w:tc>
        <w:tc>
          <w:tcPr>
            <w:tcW w:w="3120" w:type="dxa"/>
            <w:shd w:val="clear" w:color="auto" w:fill="auto"/>
            <w:tcMar>
              <w:top w:w="100" w:type="dxa"/>
              <w:left w:w="100" w:type="dxa"/>
              <w:bottom w:w="100" w:type="dxa"/>
              <w:right w:w="100" w:type="dxa"/>
            </w:tcMar>
          </w:tcPr>
          <w:p w14:paraId="7A426FDE" w14:textId="77777777" w:rsidR="00187FAA" w:rsidRDefault="00F84B48">
            <w:pPr>
              <w:widowControl w:val="0"/>
              <w:spacing w:line="240" w:lineRule="auto"/>
              <w:rPr>
                <w:sz w:val="20"/>
                <w:szCs w:val="20"/>
              </w:rPr>
            </w:pPr>
            <w:r>
              <w:rPr>
                <w:sz w:val="20"/>
                <w:szCs w:val="20"/>
              </w:rPr>
              <w:t>13 IU/L</w:t>
            </w:r>
          </w:p>
        </w:tc>
        <w:tc>
          <w:tcPr>
            <w:tcW w:w="3120" w:type="dxa"/>
            <w:shd w:val="clear" w:color="auto" w:fill="auto"/>
            <w:tcMar>
              <w:top w:w="100" w:type="dxa"/>
              <w:left w:w="100" w:type="dxa"/>
              <w:bottom w:w="100" w:type="dxa"/>
              <w:right w:w="100" w:type="dxa"/>
            </w:tcMar>
          </w:tcPr>
          <w:p w14:paraId="62F4547B" w14:textId="77777777" w:rsidR="00187FAA" w:rsidRDefault="00F84B48">
            <w:pPr>
              <w:widowControl w:val="0"/>
              <w:spacing w:line="240" w:lineRule="auto"/>
              <w:rPr>
                <w:sz w:val="20"/>
                <w:szCs w:val="20"/>
              </w:rPr>
            </w:pPr>
            <w:r>
              <w:rPr>
                <w:sz w:val="20"/>
                <w:szCs w:val="20"/>
              </w:rPr>
              <w:t>20 IU/L</w:t>
            </w:r>
          </w:p>
        </w:tc>
      </w:tr>
      <w:tr w:rsidR="00187FAA" w14:paraId="57ECBA7E" w14:textId="77777777">
        <w:tc>
          <w:tcPr>
            <w:tcW w:w="3120" w:type="dxa"/>
            <w:shd w:val="clear" w:color="auto" w:fill="CCCCCC"/>
            <w:tcMar>
              <w:top w:w="100" w:type="dxa"/>
              <w:left w:w="100" w:type="dxa"/>
              <w:bottom w:w="100" w:type="dxa"/>
              <w:right w:w="100" w:type="dxa"/>
            </w:tcMar>
          </w:tcPr>
          <w:p w14:paraId="51144A3D" w14:textId="77777777" w:rsidR="00187FAA" w:rsidRDefault="00F84B48">
            <w:pPr>
              <w:widowControl w:val="0"/>
              <w:spacing w:line="240" w:lineRule="auto"/>
              <w:rPr>
                <w:b/>
                <w:sz w:val="20"/>
                <w:szCs w:val="20"/>
              </w:rPr>
            </w:pPr>
            <w:r>
              <w:rPr>
                <w:b/>
                <w:sz w:val="20"/>
                <w:szCs w:val="20"/>
              </w:rPr>
              <w:t>WBC</w:t>
            </w:r>
          </w:p>
        </w:tc>
        <w:tc>
          <w:tcPr>
            <w:tcW w:w="3120" w:type="dxa"/>
            <w:shd w:val="clear" w:color="auto" w:fill="auto"/>
            <w:tcMar>
              <w:top w:w="100" w:type="dxa"/>
              <w:left w:w="100" w:type="dxa"/>
              <w:bottom w:w="100" w:type="dxa"/>
              <w:right w:w="100" w:type="dxa"/>
            </w:tcMar>
          </w:tcPr>
          <w:p w14:paraId="6DFB9E20"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6B1F9191" w14:textId="77777777" w:rsidR="00187FAA" w:rsidRDefault="00F84B48">
            <w:pPr>
              <w:widowControl w:val="0"/>
              <w:spacing w:line="240" w:lineRule="auto"/>
              <w:rPr>
                <w:sz w:val="20"/>
                <w:szCs w:val="20"/>
              </w:rPr>
            </w:pPr>
            <w:r>
              <w:rPr>
                <w:sz w:val="20"/>
                <w:szCs w:val="20"/>
              </w:rPr>
              <w:t xml:space="preserve">10.1 </w:t>
            </w:r>
            <w:r>
              <w:rPr>
                <w:sz w:val="20"/>
                <w:szCs w:val="20"/>
                <w:highlight w:val="white"/>
              </w:rPr>
              <w:t>x 10E3/</w:t>
            </w:r>
            <w:proofErr w:type="spellStart"/>
            <w:r>
              <w:rPr>
                <w:sz w:val="20"/>
                <w:szCs w:val="20"/>
                <w:highlight w:val="white"/>
              </w:rPr>
              <w:t>uL</w:t>
            </w:r>
            <w:proofErr w:type="spellEnd"/>
          </w:p>
        </w:tc>
      </w:tr>
      <w:tr w:rsidR="00187FAA" w14:paraId="02A72B48" w14:textId="77777777">
        <w:tc>
          <w:tcPr>
            <w:tcW w:w="3120" w:type="dxa"/>
            <w:shd w:val="clear" w:color="auto" w:fill="CCCCCC"/>
            <w:tcMar>
              <w:top w:w="100" w:type="dxa"/>
              <w:left w:w="100" w:type="dxa"/>
              <w:bottom w:w="100" w:type="dxa"/>
              <w:right w:w="100" w:type="dxa"/>
            </w:tcMar>
          </w:tcPr>
          <w:p w14:paraId="6667E912" w14:textId="77777777" w:rsidR="00187FAA" w:rsidRDefault="00F84B48">
            <w:pPr>
              <w:widowControl w:val="0"/>
              <w:spacing w:line="240" w:lineRule="auto"/>
              <w:rPr>
                <w:b/>
                <w:sz w:val="20"/>
                <w:szCs w:val="20"/>
              </w:rPr>
            </w:pPr>
            <w:r>
              <w:rPr>
                <w:b/>
                <w:sz w:val="20"/>
                <w:szCs w:val="20"/>
              </w:rPr>
              <w:t>Hgb</w:t>
            </w:r>
          </w:p>
        </w:tc>
        <w:tc>
          <w:tcPr>
            <w:tcW w:w="3120" w:type="dxa"/>
            <w:shd w:val="clear" w:color="auto" w:fill="auto"/>
            <w:tcMar>
              <w:top w:w="100" w:type="dxa"/>
              <w:left w:w="100" w:type="dxa"/>
              <w:bottom w:w="100" w:type="dxa"/>
              <w:right w:w="100" w:type="dxa"/>
            </w:tcMar>
          </w:tcPr>
          <w:p w14:paraId="70DF9E56"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681C4F56" w14:textId="77777777" w:rsidR="00187FAA" w:rsidRDefault="00F84B48">
            <w:pPr>
              <w:widowControl w:val="0"/>
              <w:spacing w:line="240" w:lineRule="auto"/>
              <w:rPr>
                <w:sz w:val="20"/>
                <w:szCs w:val="20"/>
              </w:rPr>
            </w:pPr>
            <w:r>
              <w:rPr>
                <w:sz w:val="20"/>
                <w:szCs w:val="20"/>
              </w:rPr>
              <w:t>10.3 g/dL</w:t>
            </w:r>
          </w:p>
        </w:tc>
      </w:tr>
      <w:tr w:rsidR="00187FAA" w14:paraId="52A49CFC" w14:textId="77777777">
        <w:tc>
          <w:tcPr>
            <w:tcW w:w="3120" w:type="dxa"/>
            <w:shd w:val="clear" w:color="auto" w:fill="CCCCCC"/>
            <w:tcMar>
              <w:top w:w="100" w:type="dxa"/>
              <w:left w:w="100" w:type="dxa"/>
              <w:bottom w:w="100" w:type="dxa"/>
              <w:right w:w="100" w:type="dxa"/>
            </w:tcMar>
          </w:tcPr>
          <w:p w14:paraId="6725EEB6" w14:textId="77777777" w:rsidR="00187FAA" w:rsidRDefault="00F84B48">
            <w:pPr>
              <w:widowControl w:val="0"/>
              <w:spacing w:line="240" w:lineRule="auto"/>
              <w:rPr>
                <w:b/>
                <w:sz w:val="20"/>
                <w:szCs w:val="20"/>
              </w:rPr>
            </w:pPr>
            <w:r>
              <w:rPr>
                <w:b/>
                <w:sz w:val="20"/>
                <w:szCs w:val="20"/>
              </w:rPr>
              <w:t>RDW</w:t>
            </w:r>
          </w:p>
        </w:tc>
        <w:tc>
          <w:tcPr>
            <w:tcW w:w="3120" w:type="dxa"/>
            <w:shd w:val="clear" w:color="auto" w:fill="auto"/>
            <w:tcMar>
              <w:top w:w="100" w:type="dxa"/>
              <w:left w:w="100" w:type="dxa"/>
              <w:bottom w:w="100" w:type="dxa"/>
              <w:right w:w="100" w:type="dxa"/>
            </w:tcMar>
          </w:tcPr>
          <w:p w14:paraId="44E871BC"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1DE88729" w14:textId="77777777" w:rsidR="00187FAA" w:rsidRDefault="00F84B48">
            <w:pPr>
              <w:widowControl w:val="0"/>
              <w:spacing w:line="240" w:lineRule="auto"/>
              <w:rPr>
                <w:sz w:val="20"/>
                <w:szCs w:val="20"/>
              </w:rPr>
            </w:pPr>
            <w:r>
              <w:rPr>
                <w:sz w:val="20"/>
                <w:szCs w:val="20"/>
              </w:rPr>
              <w:t>20.3 %</w:t>
            </w:r>
          </w:p>
        </w:tc>
      </w:tr>
      <w:tr w:rsidR="00187FAA" w14:paraId="43F9B771" w14:textId="77777777">
        <w:tc>
          <w:tcPr>
            <w:tcW w:w="3120" w:type="dxa"/>
            <w:shd w:val="clear" w:color="auto" w:fill="CCCCCC"/>
            <w:tcMar>
              <w:top w:w="100" w:type="dxa"/>
              <w:left w:w="100" w:type="dxa"/>
              <w:bottom w:w="100" w:type="dxa"/>
              <w:right w:w="100" w:type="dxa"/>
            </w:tcMar>
          </w:tcPr>
          <w:p w14:paraId="406130C3" w14:textId="77777777" w:rsidR="00187FAA" w:rsidRDefault="00F84B48">
            <w:pPr>
              <w:widowControl w:val="0"/>
              <w:spacing w:line="240" w:lineRule="auto"/>
              <w:rPr>
                <w:i/>
                <w:sz w:val="20"/>
                <w:szCs w:val="20"/>
              </w:rPr>
            </w:pPr>
            <w:r>
              <w:rPr>
                <w:b/>
                <w:sz w:val="20"/>
                <w:szCs w:val="20"/>
              </w:rPr>
              <w:t xml:space="preserve">MCV </w:t>
            </w:r>
            <w:r>
              <w:rPr>
                <w:i/>
                <w:sz w:val="20"/>
                <w:szCs w:val="20"/>
              </w:rPr>
              <w:t xml:space="preserve">(80-99 </w:t>
            </w:r>
            <w:proofErr w:type="spellStart"/>
            <w:r>
              <w:rPr>
                <w:i/>
                <w:sz w:val="20"/>
                <w:szCs w:val="20"/>
              </w:rPr>
              <w:t>fL</w:t>
            </w:r>
            <w:proofErr w:type="spellEnd"/>
            <w:r>
              <w:rPr>
                <w:i/>
                <w:sz w:val="20"/>
                <w:szCs w:val="20"/>
              </w:rPr>
              <w:t>)</w:t>
            </w:r>
          </w:p>
        </w:tc>
        <w:tc>
          <w:tcPr>
            <w:tcW w:w="3120" w:type="dxa"/>
            <w:shd w:val="clear" w:color="auto" w:fill="auto"/>
            <w:tcMar>
              <w:top w:w="100" w:type="dxa"/>
              <w:left w:w="100" w:type="dxa"/>
              <w:bottom w:w="100" w:type="dxa"/>
              <w:right w:w="100" w:type="dxa"/>
            </w:tcMar>
          </w:tcPr>
          <w:p w14:paraId="144A5D23"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564109E3" w14:textId="77777777" w:rsidR="00187FAA" w:rsidRDefault="00F84B48">
            <w:pPr>
              <w:widowControl w:val="0"/>
              <w:spacing w:line="240" w:lineRule="auto"/>
              <w:rPr>
                <w:i/>
                <w:sz w:val="20"/>
                <w:szCs w:val="20"/>
              </w:rPr>
            </w:pPr>
            <w:r>
              <w:rPr>
                <w:sz w:val="20"/>
                <w:szCs w:val="20"/>
              </w:rPr>
              <w:t xml:space="preserve">70.7 </w:t>
            </w:r>
            <w:proofErr w:type="spellStart"/>
            <w:r>
              <w:rPr>
                <w:sz w:val="20"/>
                <w:szCs w:val="20"/>
              </w:rPr>
              <w:t>fL</w:t>
            </w:r>
            <w:proofErr w:type="spellEnd"/>
            <w:r>
              <w:rPr>
                <w:sz w:val="20"/>
                <w:szCs w:val="20"/>
              </w:rPr>
              <w:t xml:space="preserve"> </w:t>
            </w:r>
            <w:r>
              <w:rPr>
                <w:i/>
                <w:sz w:val="20"/>
                <w:szCs w:val="20"/>
              </w:rPr>
              <w:t>(low)</w:t>
            </w:r>
          </w:p>
        </w:tc>
      </w:tr>
      <w:tr w:rsidR="00187FAA" w14:paraId="42D8C66C" w14:textId="77777777">
        <w:tc>
          <w:tcPr>
            <w:tcW w:w="3120" w:type="dxa"/>
            <w:shd w:val="clear" w:color="auto" w:fill="CCCCCC"/>
            <w:tcMar>
              <w:top w:w="100" w:type="dxa"/>
              <w:left w:w="100" w:type="dxa"/>
              <w:bottom w:w="100" w:type="dxa"/>
              <w:right w:w="100" w:type="dxa"/>
            </w:tcMar>
          </w:tcPr>
          <w:p w14:paraId="707D535F" w14:textId="77777777" w:rsidR="00187FAA" w:rsidRDefault="00F84B48">
            <w:pPr>
              <w:widowControl w:val="0"/>
              <w:spacing w:line="240" w:lineRule="auto"/>
              <w:rPr>
                <w:b/>
                <w:sz w:val="20"/>
                <w:szCs w:val="20"/>
              </w:rPr>
            </w:pPr>
            <w:r>
              <w:rPr>
                <w:b/>
                <w:sz w:val="20"/>
                <w:szCs w:val="20"/>
              </w:rPr>
              <w:t>platelets</w:t>
            </w:r>
          </w:p>
        </w:tc>
        <w:tc>
          <w:tcPr>
            <w:tcW w:w="3120" w:type="dxa"/>
            <w:shd w:val="clear" w:color="auto" w:fill="auto"/>
            <w:tcMar>
              <w:top w:w="100" w:type="dxa"/>
              <w:left w:w="100" w:type="dxa"/>
              <w:bottom w:w="100" w:type="dxa"/>
              <w:right w:w="100" w:type="dxa"/>
            </w:tcMar>
          </w:tcPr>
          <w:p w14:paraId="738610EB"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6C7EDFD8" w14:textId="77777777" w:rsidR="00187FAA" w:rsidRDefault="00F84B48">
            <w:pPr>
              <w:widowControl w:val="0"/>
              <w:spacing w:line="240" w:lineRule="auto"/>
              <w:rPr>
                <w:sz w:val="20"/>
                <w:szCs w:val="20"/>
              </w:rPr>
            </w:pPr>
            <w:r>
              <w:rPr>
                <w:sz w:val="20"/>
                <w:szCs w:val="20"/>
              </w:rPr>
              <w:t xml:space="preserve">555 </w:t>
            </w:r>
            <w:r>
              <w:rPr>
                <w:sz w:val="20"/>
                <w:szCs w:val="20"/>
                <w:highlight w:val="white"/>
              </w:rPr>
              <w:t>x 10E3/</w:t>
            </w:r>
            <w:proofErr w:type="spellStart"/>
            <w:r>
              <w:rPr>
                <w:sz w:val="20"/>
                <w:szCs w:val="20"/>
                <w:highlight w:val="white"/>
              </w:rPr>
              <w:t>uL</w:t>
            </w:r>
            <w:proofErr w:type="spellEnd"/>
          </w:p>
        </w:tc>
      </w:tr>
    </w:tbl>
    <w:p w14:paraId="637805D2" w14:textId="77777777" w:rsidR="00187FAA" w:rsidRDefault="00187FAA">
      <w:pPr>
        <w:shd w:val="clear" w:color="auto" w:fill="FFFFFF"/>
        <w:spacing w:line="240" w:lineRule="auto"/>
        <w:jc w:val="both"/>
        <w:rPr>
          <w:color w:val="1B1B1B"/>
          <w:sz w:val="20"/>
          <w:szCs w:val="20"/>
        </w:rPr>
      </w:pPr>
    </w:p>
    <w:p w14:paraId="463F29E8" w14:textId="77777777" w:rsidR="00187FAA" w:rsidRDefault="00187FAA">
      <w:pPr>
        <w:shd w:val="clear" w:color="auto" w:fill="FFFFFF"/>
        <w:spacing w:line="240" w:lineRule="auto"/>
        <w:jc w:val="both"/>
        <w:rPr>
          <w:color w:val="1B1B1B"/>
          <w:sz w:val="20"/>
          <w:szCs w:val="20"/>
        </w:rPr>
      </w:pPr>
    </w:p>
    <w:p w14:paraId="7E07E841" w14:textId="77777777" w:rsidR="00187FAA" w:rsidRDefault="00F84B48">
      <w:pPr>
        <w:shd w:val="clear" w:color="auto" w:fill="FFFFFF"/>
        <w:spacing w:line="240" w:lineRule="auto"/>
        <w:jc w:val="both"/>
        <w:rPr>
          <w:color w:val="1B1B1B"/>
          <w:sz w:val="20"/>
          <w:szCs w:val="20"/>
        </w:rPr>
      </w:pPr>
      <w:r>
        <w:rPr>
          <w:color w:val="1B1B1B"/>
          <w:sz w:val="20"/>
          <w:szCs w:val="20"/>
        </w:rPr>
        <w:t xml:space="preserve">Poison Control was contacted for management recommendations. Oral chelation therapy with </w:t>
      </w:r>
      <w:proofErr w:type="spellStart"/>
      <w:r>
        <w:rPr>
          <w:color w:val="1B1B1B"/>
          <w:sz w:val="20"/>
          <w:szCs w:val="20"/>
        </w:rPr>
        <w:t>succimer</w:t>
      </w:r>
      <w:proofErr w:type="spellEnd"/>
      <w:r>
        <w:rPr>
          <w:color w:val="1B1B1B"/>
          <w:sz w:val="20"/>
          <w:szCs w:val="20"/>
        </w:rPr>
        <w:t xml:space="preserve"> was initiated at 10 mg/kg/dose three times daily for five days, followed by twice daily for 14 days. An alternative dosing regimen of 350 mg/m²/dose was considered but not used.</w:t>
      </w:r>
    </w:p>
    <w:p w14:paraId="3B7B4B86" w14:textId="77777777" w:rsidR="00187FAA" w:rsidRDefault="00187FAA">
      <w:pPr>
        <w:shd w:val="clear" w:color="auto" w:fill="FFFFFF"/>
        <w:spacing w:line="240" w:lineRule="auto"/>
        <w:jc w:val="both"/>
        <w:rPr>
          <w:color w:val="1B1B1B"/>
          <w:sz w:val="20"/>
          <w:szCs w:val="20"/>
        </w:rPr>
      </w:pPr>
    </w:p>
    <w:p w14:paraId="6299DF34"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On hospital day 2, an abdominal radiograph demonstrated numerous small radiodensities scattered throughout the colon, suggestive of retained lead-containing material, likely from ingested paint chips. No radiopaque material was seen in the stomach or small intestine. In response, chelation therapy was temporarily held due to the risk of enhancing absorption of ingested lead. A bowel regimen was initiated, including polyethylene glycol (</w:t>
      </w:r>
      <w:proofErr w:type="spellStart"/>
      <w:r w:rsidRPr="03FC3A10">
        <w:rPr>
          <w:color w:val="1B1B1B"/>
          <w:sz w:val="20"/>
          <w:szCs w:val="20"/>
          <w:lang w:val="en-US"/>
        </w:rPr>
        <w:t>Miralax</w:t>
      </w:r>
      <w:proofErr w:type="spellEnd"/>
      <w:r w:rsidRPr="03FC3A10">
        <w:rPr>
          <w:color w:val="1B1B1B"/>
          <w:sz w:val="20"/>
          <w:szCs w:val="20"/>
          <w:lang w:val="en-US"/>
        </w:rPr>
        <w:t>) and magnesium citrate, to promote gastrointestinal clearance. Repeat abdominal imaging was planned prior to resuming chelation.</w:t>
      </w:r>
    </w:p>
    <w:p w14:paraId="3A0FF5F2" w14:textId="77777777" w:rsidR="00187FAA" w:rsidRDefault="00187FAA">
      <w:pPr>
        <w:shd w:val="clear" w:color="auto" w:fill="FFFFFF"/>
        <w:spacing w:line="240" w:lineRule="auto"/>
        <w:jc w:val="both"/>
        <w:rPr>
          <w:color w:val="1B1B1B"/>
          <w:sz w:val="20"/>
          <w:szCs w:val="20"/>
        </w:rPr>
      </w:pPr>
    </w:p>
    <w:p w14:paraId="56D6D808"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 xml:space="preserve">By September 28, the patient reported episodes of green, watery diarrhea. Follow-up radiography showed no remaining radiodensities within the colon. Chelation therapy was resumed with oral </w:t>
      </w:r>
      <w:proofErr w:type="spellStart"/>
      <w:r w:rsidRPr="03FC3A10">
        <w:rPr>
          <w:color w:val="1B1B1B"/>
          <w:sz w:val="20"/>
          <w:szCs w:val="20"/>
          <w:lang w:val="en-US"/>
        </w:rPr>
        <w:t>succimer</w:t>
      </w:r>
      <w:proofErr w:type="spellEnd"/>
      <w:r w:rsidRPr="03FC3A10">
        <w:rPr>
          <w:color w:val="1B1B1B"/>
          <w:sz w:val="20"/>
          <w:szCs w:val="20"/>
          <w:lang w:val="en-US"/>
        </w:rPr>
        <w:t xml:space="preserve"> 500 mg three times daily for five days, followed by 500 mg twice daily for 14 days. Daily iron supplementation was continued. Repeat venous lead levels declined to 70.3 mcg/dL on October 3 and 37.1 mcg/dL on October 6, indicating appropriate response to treatment.</w:t>
      </w:r>
    </w:p>
    <w:p w14:paraId="5630AD66" w14:textId="77777777" w:rsidR="00187FAA" w:rsidRDefault="00187FAA">
      <w:pPr>
        <w:shd w:val="clear" w:color="auto" w:fill="FFFFFF"/>
        <w:spacing w:line="240" w:lineRule="auto"/>
        <w:jc w:val="both"/>
        <w:rPr>
          <w:color w:val="1B1B1B"/>
          <w:sz w:val="20"/>
          <w:szCs w:val="20"/>
        </w:rPr>
      </w:pPr>
    </w:p>
    <w:p w14:paraId="705D214F" w14:textId="77777777" w:rsidR="00BF19EC" w:rsidRDefault="00F84B48" w:rsidP="00BF19EC">
      <w:pPr>
        <w:spacing w:line="240" w:lineRule="auto"/>
        <w:rPr>
          <w:color w:val="1B1B1B"/>
          <w:sz w:val="20"/>
          <w:szCs w:val="20"/>
        </w:rPr>
      </w:pPr>
      <w:r>
        <w:rPr>
          <w:sz w:val="20"/>
          <w:szCs w:val="20"/>
        </w:rPr>
        <w:t>Table 2</w:t>
      </w:r>
      <w:r w:rsidR="00BF19EC">
        <w:rPr>
          <w:sz w:val="20"/>
          <w:szCs w:val="20"/>
        </w:rPr>
        <w:t xml:space="preserve">: </w:t>
      </w:r>
      <w:r w:rsidR="00BF19EC">
        <w:rPr>
          <w:color w:val="1B1B1B"/>
          <w:sz w:val="20"/>
          <w:szCs w:val="20"/>
        </w:rPr>
        <w:t>Lead levels during treatment.</w:t>
      </w:r>
    </w:p>
    <w:p w14:paraId="47C188B6" w14:textId="3FD3D0AE" w:rsidR="00187FAA" w:rsidRDefault="00187FAA">
      <w:pPr>
        <w:spacing w:line="240" w:lineRule="auto"/>
        <w:rPr>
          <w:sz w:val="24"/>
          <w:szCs w:val="24"/>
        </w:rPr>
      </w:pPr>
    </w:p>
    <w:tbl>
      <w:tblPr>
        <w:tblStyle w:val="a0"/>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187FAA" w14:paraId="090C1E1E" w14:textId="77777777">
        <w:tc>
          <w:tcPr>
            <w:tcW w:w="1560" w:type="dxa"/>
            <w:shd w:val="clear" w:color="auto" w:fill="CCCCCC"/>
            <w:tcMar>
              <w:top w:w="100" w:type="dxa"/>
              <w:left w:w="100" w:type="dxa"/>
              <w:bottom w:w="100" w:type="dxa"/>
              <w:right w:w="100" w:type="dxa"/>
            </w:tcMar>
          </w:tcPr>
          <w:p w14:paraId="491072FA" w14:textId="77777777" w:rsidR="00187FAA" w:rsidRDefault="00F84B48">
            <w:pPr>
              <w:widowControl w:val="0"/>
              <w:spacing w:line="240" w:lineRule="auto"/>
              <w:rPr>
                <w:sz w:val="20"/>
                <w:szCs w:val="20"/>
              </w:rPr>
            </w:pPr>
            <w:r>
              <w:rPr>
                <w:sz w:val="20"/>
                <w:szCs w:val="20"/>
              </w:rPr>
              <w:t>Date</w:t>
            </w:r>
          </w:p>
        </w:tc>
        <w:tc>
          <w:tcPr>
            <w:tcW w:w="1560" w:type="dxa"/>
            <w:shd w:val="clear" w:color="auto" w:fill="auto"/>
            <w:tcMar>
              <w:top w:w="100" w:type="dxa"/>
              <w:left w:w="100" w:type="dxa"/>
              <w:bottom w:w="100" w:type="dxa"/>
              <w:right w:w="100" w:type="dxa"/>
            </w:tcMar>
          </w:tcPr>
          <w:p w14:paraId="3F0BFE57" w14:textId="77777777" w:rsidR="00187FAA" w:rsidRDefault="00F84B48">
            <w:pPr>
              <w:widowControl w:val="0"/>
              <w:spacing w:line="240" w:lineRule="auto"/>
              <w:rPr>
                <w:sz w:val="20"/>
                <w:szCs w:val="20"/>
              </w:rPr>
            </w:pPr>
            <w:r>
              <w:rPr>
                <w:sz w:val="20"/>
                <w:szCs w:val="20"/>
              </w:rPr>
              <w:t>9/11/24</w:t>
            </w:r>
          </w:p>
        </w:tc>
        <w:tc>
          <w:tcPr>
            <w:tcW w:w="1560" w:type="dxa"/>
            <w:shd w:val="clear" w:color="auto" w:fill="auto"/>
            <w:tcMar>
              <w:top w:w="100" w:type="dxa"/>
              <w:left w:w="100" w:type="dxa"/>
              <w:bottom w:w="100" w:type="dxa"/>
              <w:right w:w="100" w:type="dxa"/>
            </w:tcMar>
          </w:tcPr>
          <w:p w14:paraId="741348A3" w14:textId="77777777" w:rsidR="00187FAA" w:rsidRDefault="00F84B48">
            <w:pPr>
              <w:widowControl w:val="0"/>
              <w:spacing w:line="240" w:lineRule="auto"/>
              <w:rPr>
                <w:sz w:val="20"/>
                <w:szCs w:val="20"/>
              </w:rPr>
            </w:pPr>
            <w:r>
              <w:rPr>
                <w:sz w:val="20"/>
                <w:szCs w:val="20"/>
              </w:rPr>
              <w:t>9/28/24</w:t>
            </w:r>
          </w:p>
        </w:tc>
        <w:tc>
          <w:tcPr>
            <w:tcW w:w="1560" w:type="dxa"/>
            <w:shd w:val="clear" w:color="auto" w:fill="auto"/>
            <w:tcMar>
              <w:top w:w="100" w:type="dxa"/>
              <w:left w:w="100" w:type="dxa"/>
              <w:bottom w:w="100" w:type="dxa"/>
              <w:right w:w="100" w:type="dxa"/>
            </w:tcMar>
          </w:tcPr>
          <w:p w14:paraId="7FB6F5E2" w14:textId="77777777" w:rsidR="00187FAA" w:rsidRDefault="00F84B48">
            <w:pPr>
              <w:widowControl w:val="0"/>
              <w:spacing w:line="240" w:lineRule="auto"/>
              <w:rPr>
                <w:sz w:val="20"/>
                <w:szCs w:val="20"/>
              </w:rPr>
            </w:pPr>
            <w:r>
              <w:rPr>
                <w:sz w:val="20"/>
                <w:szCs w:val="20"/>
              </w:rPr>
              <w:t>10/1/24</w:t>
            </w:r>
          </w:p>
        </w:tc>
        <w:tc>
          <w:tcPr>
            <w:tcW w:w="1560" w:type="dxa"/>
            <w:shd w:val="clear" w:color="auto" w:fill="auto"/>
            <w:tcMar>
              <w:top w:w="100" w:type="dxa"/>
              <w:left w:w="100" w:type="dxa"/>
              <w:bottom w:w="100" w:type="dxa"/>
              <w:right w:w="100" w:type="dxa"/>
            </w:tcMar>
          </w:tcPr>
          <w:p w14:paraId="5A5C3143" w14:textId="77777777" w:rsidR="00187FAA" w:rsidRDefault="00F84B48">
            <w:pPr>
              <w:widowControl w:val="0"/>
              <w:spacing w:line="240" w:lineRule="auto"/>
              <w:rPr>
                <w:sz w:val="20"/>
                <w:szCs w:val="20"/>
              </w:rPr>
            </w:pPr>
            <w:r>
              <w:rPr>
                <w:sz w:val="20"/>
                <w:szCs w:val="20"/>
              </w:rPr>
              <w:t>10/6/24</w:t>
            </w:r>
          </w:p>
        </w:tc>
        <w:tc>
          <w:tcPr>
            <w:tcW w:w="1560" w:type="dxa"/>
            <w:shd w:val="clear" w:color="auto" w:fill="auto"/>
            <w:tcMar>
              <w:top w:w="100" w:type="dxa"/>
              <w:left w:w="100" w:type="dxa"/>
              <w:bottom w:w="100" w:type="dxa"/>
              <w:right w:w="100" w:type="dxa"/>
            </w:tcMar>
          </w:tcPr>
          <w:p w14:paraId="4B728888" w14:textId="77777777" w:rsidR="00187FAA" w:rsidRDefault="00F84B48">
            <w:pPr>
              <w:widowControl w:val="0"/>
              <w:spacing w:line="240" w:lineRule="auto"/>
              <w:rPr>
                <w:sz w:val="20"/>
                <w:szCs w:val="20"/>
              </w:rPr>
            </w:pPr>
            <w:r>
              <w:rPr>
                <w:sz w:val="20"/>
                <w:szCs w:val="20"/>
              </w:rPr>
              <w:t>10/13/24</w:t>
            </w:r>
          </w:p>
        </w:tc>
      </w:tr>
      <w:tr w:rsidR="00187FAA" w14:paraId="35E60292" w14:textId="77777777">
        <w:tc>
          <w:tcPr>
            <w:tcW w:w="1560" w:type="dxa"/>
            <w:shd w:val="clear" w:color="auto" w:fill="CCCCCC"/>
            <w:tcMar>
              <w:top w:w="100" w:type="dxa"/>
              <w:left w:w="100" w:type="dxa"/>
              <w:bottom w:w="100" w:type="dxa"/>
              <w:right w:w="100" w:type="dxa"/>
            </w:tcMar>
          </w:tcPr>
          <w:p w14:paraId="2299D016" w14:textId="77777777" w:rsidR="00187FAA" w:rsidRDefault="00F84B48">
            <w:pPr>
              <w:widowControl w:val="0"/>
              <w:spacing w:line="240" w:lineRule="auto"/>
              <w:rPr>
                <w:sz w:val="20"/>
                <w:szCs w:val="20"/>
              </w:rPr>
            </w:pPr>
            <w:r>
              <w:rPr>
                <w:sz w:val="20"/>
                <w:szCs w:val="20"/>
              </w:rPr>
              <w:t>Lead Level</w:t>
            </w:r>
          </w:p>
        </w:tc>
        <w:tc>
          <w:tcPr>
            <w:tcW w:w="1560" w:type="dxa"/>
            <w:shd w:val="clear" w:color="auto" w:fill="auto"/>
            <w:tcMar>
              <w:top w:w="100" w:type="dxa"/>
              <w:left w:w="100" w:type="dxa"/>
              <w:bottom w:w="100" w:type="dxa"/>
              <w:right w:w="100" w:type="dxa"/>
            </w:tcMar>
          </w:tcPr>
          <w:p w14:paraId="5FDE8678" w14:textId="77777777" w:rsidR="00187FAA" w:rsidRDefault="00F84B48">
            <w:pPr>
              <w:shd w:val="clear" w:color="auto" w:fill="FFFFFF"/>
              <w:spacing w:line="240" w:lineRule="auto"/>
              <w:jc w:val="both"/>
              <w:rPr>
                <w:sz w:val="20"/>
                <w:szCs w:val="20"/>
              </w:rPr>
            </w:pPr>
            <w:r>
              <w:rPr>
                <w:color w:val="1B1B1B"/>
                <w:sz w:val="20"/>
                <w:szCs w:val="20"/>
              </w:rPr>
              <w:t>79 mcg/dL</w:t>
            </w:r>
          </w:p>
        </w:tc>
        <w:tc>
          <w:tcPr>
            <w:tcW w:w="1560" w:type="dxa"/>
            <w:shd w:val="clear" w:color="auto" w:fill="auto"/>
            <w:tcMar>
              <w:top w:w="100" w:type="dxa"/>
              <w:left w:w="100" w:type="dxa"/>
              <w:bottom w:w="100" w:type="dxa"/>
              <w:right w:w="100" w:type="dxa"/>
            </w:tcMar>
          </w:tcPr>
          <w:p w14:paraId="42B96C37" w14:textId="77777777" w:rsidR="00187FAA" w:rsidRDefault="00F84B48">
            <w:pPr>
              <w:widowControl w:val="0"/>
              <w:spacing w:line="240" w:lineRule="auto"/>
              <w:rPr>
                <w:sz w:val="20"/>
                <w:szCs w:val="20"/>
              </w:rPr>
            </w:pPr>
            <w:r>
              <w:rPr>
                <w:sz w:val="20"/>
                <w:szCs w:val="20"/>
              </w:rPr>
              <w:t>64.8 mcg/dL</w:t>
            </w:r>
          </w:p>
        </w:tc>
        <w:tc>
          <w:tcPr>
            <w:tcW w:w="1560" w:type="dxa"/>
            <w:shd w:val="clear" w:color="auto" w:fill="auto"/>
            <w:tcMar>
              <w:top w:w="100" w:type="dxa"/>
              <w:left w:w="100" w:type="dxa"/>
              <w:bottom w:w="100" w:type="dxa"/>
              <w:right w:w="100" w:type="dxa"/>
            </w:tcMar>
          </w:tcPr>
          <w:p w14:paraId="70BEFFA8" w14:textId="77777777" w:rsidR="00187FAA" w:rsidRDefault="00F84B48">
            <w:pPr>
              <w:widowControl w:val="0"/>
              <w:spacing w:line="240" w:lineRule="auto"/>
              <w:rPr>
                <w:sz w:val="20"/>
                <w:szCs w:val="20"/>
              </w:rPr>
            </w:pPr>
            <w:r>
              <w:rPr>
                <w:sz w:val="20"/>
                <w:szCs w:val="20"/>
              </w:rPr>
              <w:t>70.3 mcg/dL</w:t>
            </w:r>
          </w:p>
        </w:tc>
        <w:tc>
          <w:tcPr>
            <w:tcW w:w="1560" w:type="dxa"/>
            <w:shd w:val="clear" w:color="auto" w:fill="auto"/>
            <w:tcMar>
              <w:top w:w="100" w:type="dxa"/>
              <w:left w:w="100" w:type="dxa"/>
              <w:bottom w:w="100" w:type="dxa"/>
              <w:right w:w="100" w:type="dxa"/>
            </w:tcMar>
          </w:tcPr>
          <w:p w14:paraId="1831C34E" w14:textId="77777777" w:rsidR="00187FAA" w:rsidRDefault="00F84B48">
            <w:pPr>
              <w:widowControl w:val="0"/>
              <w:spacing w:line="240" w:lineRule="auto"/>
              <w:rPr>
                <w:sz w:val="20"/>
                <w:szCs w:val="20"/>
              </w:rPr>
            </w:pPr>
            <w:r>
              <w:rPr>
                <w:sz w:val="20"/>
                <w:szCs w:val="20"/>
              </w:rPr>
              <w:t>37.1 mcg/dL</w:t>
            </w:r>
          </w:p>
        </w:tc>
        <w:tc>
          <w:tcPr>
            <w:tcW w:w="1560" w:type="dxa"/>
            <w:shd w:val="clear" w:color="auto" w:fill="auto"/>
            <w:tcMar>
              <w:top w:w="100" w:type="dxa"/>
              <w:left w:w="100" w:type="dxa"/>
              <w:bottom w:w="100" w:type="dxa"/>
              <w:right w:w="100" w:type="dxa"/>
            </w:tcMar>
          </w:tcPr>
          <w:p w14:paraId="32B5A523" w14:textId="77777777" w:rsidR="00187FAA" w:rsidRDefault="00F84B48">
            <w:pPr>
              <w:widowControl w:val="0"/>
              <w:spacing w:line="240" w:lineRule="auto"/>
              <w:rPr>
                <w:sz w:val="20"/>
                <w:szCs w:val="20"/>
              </w:rPr>
            </w:pPr>
            <w:r>
              <w:rPr>
                <w:sz w:val="20"/>
                <w:szCs w:val="20"/>
              </w:rPr>
              <w:t>34.1 mcg/dL</w:t>
            </w:r>
          </w:p>
        </w:tc>
      </w:tr>
    </w:tbl>
    <w:p w14:paraId="61829076" w14:textId="77777777" w:rsidR="00187FAA" w:rsidRDefault="00187FAA">
      <w:pPr>
        <w:spacing w:line="240" w:lineRule="auto"/>
        <w:rPr>
          <w:b/>
          <w:sz w:val="24"/>
          <w:szCs w:val="24"/>
        </w:rPr>
      </w:pPr>
    </w:p>
    <w:p w14:paraId="52A5EBE4" w14:textId="77777777" w:rsidR="00BF19EC" w:rsidRDefault="00F84B48" w:rsidP="00BF19EC">
      <w:pPr>
        <w:spacing w:line="240" w:lineRule="auto"/>
        <w:rPr>
          <w:color w:val="1B1B1B"/>
          <w:sz w:val="20"/>
          <w:szCs w:val="20"/>
        </w:rPr>
      </w:pPr>
      <w:r>
        <w:rPr>
          <w:sz w:val="20"/>
          <w:szCs w:val="20"/>
        </w:rPr>
        <w:t>Table 3</w:t>
      </w:r>
      <w:r w:rsidR="00BF19EC">
        <w:rPr>
          <w:sz w:val="20"/>
          <w:szCs w:val="20"/>
        </w:rPr>
        <w:t xml:space="preserve">: </w:t>
      </w:r>
      <w:r w:rsidR="00BF19EC">
        <w:rPr>
          <w:color w:val="1B1B1B"/>
          <w:sz w:val="20"/>
          <w:szCs w:val="20"/>
        </w:rPr>
        <w:t>Peripheral blood smear findings prior to reinitiation of chelation therapy and at its conclusion.</w:t>
      </w:r>
    </w:p>
    <w:p w14:paraId="3F6B4829" w14:textId="42576B63" w:rsidR="00187FAA" w:rsidRDefault="00187FAA">
      <w:pPr>
        <w:spacing w:line="240" w:lineRule="auto"/>
        <w:rPr>
          <w:sz w:val="20"/>
          <w:szCs w:val="20"/>
        </w:rPr>
      </w:pPr>
    </w:p>
    <w:tbl>
      <w:tblPr>
        <w:tblStyle w:val="a1"/>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7FAA" w14:paraId="6AADEE14" w14:textId="77777777">
        <w:tc>
          <w:tcPr>
            <w:tcW w:w="3120" w:type="dxa"/>
            <w:shd w:val="clear" w:color="auto" w:fill="CCCCCC"/>
            <w:tcMar>
              <w:top w:w="100" w:type="dxa"/>
              <w:left w:w="100" w:type="dxa"/>
              <w:bottom w:w="100" w:type="dxa"/>
              <w:right w:w="100" w:type="dxa"/>
            </w:tcMar>
          </w:tcPr>
          <w:p w14:paraId="7AF135E3" w14:textId="77777777" w:rsidR="00187FAA" w:rsidRDefault="00F84B48">
            <w:pPr>
              <w:widowControl w:val="0"/>
              <w:spacing w:line="240" w:lineRule="auto"/>
              <w:rPr>
                <w:b/>
                <w:sz w:val="20"/>
                <w:szCs w:val="20"/>
              </w:rPr>
            </w:pPr>
            <w:r>
              <w:rPr>
                <w:b/>
                <w:sz w:val="20"/>
                <w:szCs w:val="20"/>
              </w:rPr>
              <w:t>Lab value</w:t>
            </w:r>
          </w:p>
        </w:tc>
        <w:tc>
          <w:tcPr>
            <w:tcW w:w="3120" w:type="dxa"/>
            <w:shd w:val="clear" w:color="auto" w:fill="auto"/>
            <w:tcMar>
              <w:top w:w="100" w:type="dxa"/>
              <w:left w:w="100" w:type="dxa"/>
              <w:bottom w:w="100" w:type="dxa"/>
              <w:right w:w="100" w:type="dxa"/>
            </w:tcMar>
          </w:tcPr>
          <w:p w14:paraId="74AC2AD9" w14:textId="77777777" w:rsidR="00187FAA" w:rsidRDefault="00F84B48">
            <w:pPr>
              <w:widowControl w:val="0"/>
              <w:spacing w:line="240" w:lineRule="auto"/>
              <w:rPr>
                <w:sz w:val="20"/>
                <w:szCs w:val="20"/>
              </w:rPr>
            </w:pPr>
            <w:r>
              <w:rPr>
                <w:sz w:val="20"/>
                <w:szCs w:val="20"/>
              </w:rPr>
              <w:t>9/27/24</w:t>
            </w:r>
          </w:p>
        </w:tc>
        <w:tc>
          <w:tcPr>
            <w:tcW w:w="3120" w:type="dxa"/>
            <w:shd w:val="clear" w:color="auto" w:fill="auto"/>
            <w:tcMar>
              <w:top w:w="100" w:type="dxa"/>
              <w:left w:w="100" w:type="dxa"/>
              <w:bottom w:w="100" w:type="dxa"/>
              <w:right w:w="100" w:type="dxa"/>
            </w:tcMar>
          </w:tcPr>
          <w:p w14:paraId="2A45E302" w14:textId="77777777" w:rsidR="00187FAA" w:rsidRDefault="00F84B48">
            <w:pPr>
              <w:widowControl w:val="0"/>
              <w:spacing w:line="240" w:lineRule="auto"/>
              <w:rPr>
                <w:sz w:val="20"/>
                <w:szCs w:val="20"/>
              </w:rPr>
            </w:pPr>
            <w:r>
              <w:rPr>
                <w:sz w:val="20"/>
                <w:szCs w:val="20"/>
              </w:rPr>
              <w:t>10/13/24</w:t>
            </w:r>
          </w:p>
        </w:tc>
      </w:tr>
      <w:tr w:rsidR="00187FAA" w14:paraId="0710CA35" w14:textId="77777777">
        <w:tc>
          <w:tcPr>
            <w:tcW w:w="3120" w:type="dxa"/>
            <w:shd w:val="clear" w:color="auto" w:fill="CCCCCC"/>
            <w:tcMar>
              <w:top w:w="100" w:type="dxa"/>
              <w:left w:w="100" w:type="dxa"/>
              <w:bottom w:w="100" w:type="dxa"/>
              <w:right w:w="100" w:type="dxa"/>
            </w:tcMar>
          </w:tcPr>
          <w:p w14:paraId="5CB786C6" w14:textId="77777777" w:rsidR="00187FAA" w:rsidRDefault="00F84B48">
            <w:pPr>
              <w:widowControl w:val="0"/>
              <w:spacing w:line="240" w:lineRule="auto"/>
              <w:rPr>
                <w:sz w:val="20"/>
                <w:szCs w:val="20"/>
              </w:rPr>
            </w:pPr>
            <w:r>
              <w:rPr>
                <w:sz w:val="20"/>
                <w:szCs w:val="20"/>
              </w:rPr>
              <w:t>RBC morphology</w:t>
            </w:r>
          </w:p>
        </w:tc>
        <w:tc>
          <w:tcPr>
            <w:tcW w:w="3120" w:type="dxa"/>
            <w:shd w:val="clear" w:color="auto" w:fill="auto"/>
            <w:tcMar>
              <w:top w:w="100" w:type="dxa"/>
              <w:left w:w="100" w:type="dxa"/>
              <w:bottom w:w="100" w:type="dxa"/>
              <w:right w:w="100" w:type="dxa"/>
            </w:tcMar>
          </w:tcPr>
          <w:p w14:paraId="3CA19AF5" w14:textId="77777777" w:rsidR="00187FAA" w:rsidRDefault="00F84B48">
            <w:pPr>
              <w:widowControl w:val="0"/>
              <w:spacing w:line="240" w:lineRule="auto"/>
              <w:rPr>
                <w:sz w:val="20"/>
                <w:szCs w:val="20"/>
              </w:rPr>
            </w:pPr>
            <w:r>
              <w:rPr>
                <w:sz w:val="20"/>
                <w:szCs w:val="20"/>
              </w:rPr>
              <w:t>present</w:t>
            </w:r>
          </w:p>
        </w:tc>
        <w:tc>
          <w:tcPr>
            <w:tcW w:w="3120" w:type="dxa"/>
            <w:shd w:val="clear" w:color="auto" w:fill="auto"/>
            <w:tcMar>
              <w:top w:w="100" w:type="dxa"/>
              <w:left w:w="100" w:type="dxa"/>
              <w:bottom w:w="100" w:type="dxa"/>
              <w:right w:w="100" w:type="dxa"/>
            </w:tcMar>
          </w:tcPr>
          <w:p w14:paraId="3ED89977" w14:textId="77777777" w:rsidR="00187FAA" w:rsidRDefault="00F84B48">
            <w:pPr>
              <w:widowControl w:val="0"/>
              <w:spacing w:line="240" w:lineRule="auto"/>
              <w:rPr>
                <w:sz w:val="20"/>
                <w:szCs w:val="20"/>
              </w:rPr>
            </w:pPr>
            <w:r>
              <w:rPr>
                <w:sz w:val="20"/>
                <w:szCs w:val="20"/>
              </w:rPr>
              <w:t>present</w:t>
            </w:r>
          </w:p>
        </w:tc>
      </w:tr>
      <w:tr w:rsidR="00187FAA" w14:paraId="5D6EAECD" w14:textId="77777777">
        <w:tc>
          <w:tcPr>
            <w:tcW w:w="3120" w:type="dxa"/>
            <w:shd w:val="clear" w:color="auto" w:fill="CCCCCC"/>
            <w:tcMar>
              <w:top w:w="100" w:type="dxa"/>
              <w:left w:w="100" w:type="dxa"/>
              <w:bottom w:w="100" w:type="dxa"/>
              <w:right w:w="100" w:type="dxa"/>
            </w:tcMar>
          </w:tcPr>
          <w:p w14:paraId="2862C976" w14:textId="77777777" w:rsidR="00187FAA" w:rsidRDefault="00F84B48">
            <w:pPr>
              <w:widowControl w:val="0"/>
              <w:spacing w:line="240" w:lineRule="auto"/>
              <w:rPr>
                <w:sz w:val="20"/>
                <w:szCs w:val="20"/>
              </w:rPr>
            </w:pPr>
            <w:proofErr w:type="spellStart"/>
            <w:r>
              <w:rPr>
                <w:sz w:val="20"/>
                <w:szCs w:val="20"/>
              </w:rPr>
              <w:t>stomatocytes</w:t>
            </w:r>
            <w:proofErr w:type="spellEnd"/>
          </w:p>
        </w:tc>
        <w:tc>
          <w:tcPr>
            <w:tcW w:w="3120" w:type="dxa"/>
            <w:shd w:val="clear" w:color="auto" w:fill="auto"/>
            <w:tcMar>
              <w:top w:w="100" w:type="dxa"/>
              <w:left w:w="100" w:type="dxa"/>
              <w:bottom w:w="100" w:type="dxa"/>
              <w:right w:w="100" w:type="dxa"/>
            </w:tcMar>
          </w:tcPr>
          <w:p w14:paraId="4C80E02F" w14:textId="77777777" w:rsidR="00187FAA" w:rsidRDefault="00F84B48">
            <w:pPr>
              <w:widowControl w:val="0"/>
              <w:spacing w:line="240" w:lineRule="auto"/>
              <w:rPr>
                <w:sz w:val="20"/>
                <w:szCs w:val="20"/>
              </w:rPr>
            </w:pPr>
            <w:r>
              <w:rPr>
                <w:sz w:val="20"/>
                <w:szCs w:val="20"/>
              </w:rPr>
              <w:t>slight</w:t>
            </w:r>
          </w:p>
        </w:tc>
        <w:tc>
          <w:tcPr>
            <w:tcW w:w="3120" w:type="dxa"/>
            <w:shd w:val="clear" w:color="auto" w:fill="auto"/>
            <w:tcMar>
              <w:top w:w="100" w:type="dxa"/>
              <w:left w:w="100" w:type="dxa"/>
              <w:bottom w:w="100" w:type="dxa"/>
              <w:right w:w="100" w:type="dxa"/>
            </w:tcMar>
          </w:tcPr>
          <w:p w14:paraId="7CBE4B73" w14:textId="77777777" w:rsidR="00187FAA" w:rsidRDefault="00F84B48">
            <w:pPr>
              <w:widowControl w:val="0"/>
              <w:spacing w:line="240" w:lineRule="auto"/>
              <w:rPr>
                <w:sz w:val="20"/>
                <w:szCs w:val="20"/>
              </w:rPr>
            </w:pPr>
            <w:r>
              <w:rPr>
                <w:sz w:val="20"/>
                <w:szCs w:val="20"/>
              </w:rPr>
              <w:t>slight</w:t>
            </w:r>
          </w:p>
        </w:tc>
      </w:tr>
      <w:tr w:rsidR="00187FAA" w14:paraId="40BF7F87" w14:textId="77777777">
        <w:tc>
          <w:tcPr>
            <w:tcW w:w="3120" w:type="dxa"/>
            <w:shd w:val="clear" w:color="auto" w:fill="CCCCCC"/>
            <w:tcMar>
              <w:top w:w="100" w:type="dxa"/>
              <w:left w:w="100" w:type="dxa"/>
              <w:bottom w:w="100" w:type="dxa"/>
              <w:right w:w="100" w:type="dxa"/>
            </w:tcMar>
          </w:tcPr>
          <w:p w14:paraId="3AEF17CF" w14:textId="77777777" w:rsidR="00187FAA" w:rsidRDefault="00F84B48">
            <w:pPr>
              <w:widowControl w:val="0"/>
              <w:spacing w:line="240" w:lineRule="auto"/>
              <w:rPr>
                <w:sz w:val="20"/>
                <w:szCs w:val="20"/>
              </w:rPr>
            </w:pPr>
            <w:r>
              <w:rPr>
                <w:sz w:val="20"/>
                <w:szCs w:val="20"/>
              </w:rPr>
              <w:t>Target Cells</w:t>
            </w:r>
          </w:p>
        </w:tc>
        <w:tc>
          <w:tcPr>
            <w:tcW w:w="3120" w:type="dxa"/>
            <w:shd w:val="clear" w:color="auto" w:fill="auto"/>
            <w:tcMar>
              <w:top w:w="100" w:type="dxa"/>
              <w:left w:w="100" w:type="dxa"/>
              <w:bottom w:w="100" w:type="dxa"/>
              <w:right w:w="100" w:type="dxa"/>
            </w:tcMar>
          </w:tcPr>
          <w:p w14:paraId="2BA226A1" w14:textId="77777777" w:rsidR="00187FAA" w:rsidRDefault="00187FAA">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6EC99899" w14:textId="77777777" w:rsidR="00187FAA" w:rsidRDefault="00F84B48">
            <w:pPr>
              <w:widowControl w:val="0"/>
              <w:spacing w:line="240" w:lineRule="auto"/>
              <w:rPr>
                <w:sz w:val="20"/>
                <w:szCs w:val="20"/>
              </w:rPr>
            </w:pPr>
            <w:r>
              <w:rPr>
                <w:sz w:val="20"/>
                <w:szCs w:val="20"/>
              </w:rPr>
              <w:t>slight</w:t>
            </w:r>
          </w:p>
        </w:tc>
      </w:tr>
      <w:tr w:rsidR="00187FAA" w14:paraId="37E46706" w14:textId="77777777">
        <w:tc>
          <w:tcPr>
            <w:tcW w:w="3120" w:type="dxa"/>
            <w:shd w:val="clear" w:color="auto" w:fill="CCCCCC"/>
            <w:tcMar>
              <w:top w:w="100" w:type="dxa"/>
              <w:left w:w="100" w:type="dxa"/>
              <w:bottom w:w="100" w:type="dxa"/>
              <w:right w:w="100" w:type="dxa"/>
            </w:tcMar>
          </w:tcPr>
          <w:p w14:paraId="4F79DC46" w14:textId="77777777" w:rsidR="00187FAA" w:rsidRDefault="00F84B48">
            <w:pPr>
              <w:widowControl w:val="0"/>
              <w:spacing w:line="240" w:lineRule="auto"/>
              <w:rPr>
                <w:sz w:val="20"/>
                <w:szCs w:val="20"/>
              </w:rPr>
            </w:pPr>
            <w:r>
              <w:rPr>
                <w:sz w:val="20"/>
                <w:szCs w:val="20"/>
              </w:rPr>
              <w:t>anisocytosis</w:t>
            </w:r>
          </w:p>
        </w:tc>
        <w:tc>
          <w:tcPr>
            <w:tcW w:w="3120" w:type="dxa"/>
            <w:shd w:val="clear" w:color="auto" w:fill="auto"/>
            <w:tcMar>
              <w:top w:w="100" w:type="dxa"/>
              <w:left w:w="100" w:type="dxa"/>
              <w:bottom w:w="100" w:type="dxa"/>
              <w:right w:w="100" w:type="dxa"/>
            </w:tcMar>
          </w:tcPr>
          <w:p w14:paraId="2709606B" w14:textId="77777777" w:rsidR="00187FAA" w:rsidRDefault="00F84B48">
            <w:pPr>
              <w:widowControl w:val="0"/>
              <w:spacing w:line="240" w:lineRule="auto"/>
              <w:rPr>
                <w:sz w:val="20"/>
                <w:szCs w:val="20"/>
              </w:rPr>
            </w:pPr>
            <w:r>
              <w:rPr>
                <w:sz w:val="20"/>
                <w:szCs w:val="20"/>
              </w:rPr>
              <w:t>moderate</w:t>
            </w:r>
          </w:p>
        </w:tc>
        <w:tc>
          <w:tcPr>
            <w:tcW w:w="3120" w:type="dxa"/>
            <w:shd w:val="clear" w:color="auto" w:fill="auto"/>
            <w:tcMar>
              <w:top w:w="100" w:type="dxa"/>
              <w:left w:w="100" w:type="dxa"/>
              <w:bottom w:w="100" w:type="dxa"/>
              <w:right w:w="100" w:type="dxa"/>
            </w:tcMar>
          </w:tcPr>
          <w:p w14:paraId="20774F8D" w14:textId="77777777" w:rsidR="00187FAA" w:rsidRDefault="00F84B48">
            <w:pPr>
              <w:widowControl w:val="0"/>
              <w:spacing w:line="240" w:lineRule="auto"/>
              <w:rPr>
                <w:sz w:val="20"/>
                <w:szCs w:val="20"/>
              </w:rPr>
            </w:pPr>
            <w:r>
              <w:rPr>
                <w:sz w:val="20"/>
                <w:szCs w:val="20"/>
              </w:rPr>
              <w:t>slight</w:t>
            </w:r>
          </w:p>
        </w:tc>
      </w:tr>
      <w:tr w:rsidR="00187FAA" w14:paraId="402020C6" w14:textId="77777777">
        <w:tc>
          <w:tcPr>
            <w:tcW w:w="3120" w:type="dxa"/>
            <w:shd w:val="clear" w:color="auto" w:fill="CCCCCC"/>
            <w:tcMar>
              <w:top w:w="100" w:type="dxa"/>
              <w:left w:w="100" w:type="dxa"/>
              <w:bottom w:w="100" w:type="dxa"/>
              <w:right w:w="100" w:type="dxa"/>
            </w:tcMar>
          </w:tcPr>
          <w:p w14:paraId="3120DF61" w14:textId="77777777" w:rsidR="00187FAA" w:rsidRDefault="00F84B48">
            <w:pPr>
              <w:widowControl w:val="0"/>
              <w:spacing w:line="240" w:lineRule="auto"/>
              <w:rPr>
                <w:sz w:val="20"/>
                <w:szCs w:val="20"/>
              </w:rPr>
            </w:pPr>
            <w:r>
              <w:rPr>
                <w:sz w:val="20"/>
                <w:szCs w:val="20"/>
              </w:rPr>
              <w:t>hypochromia</w:t>
            </w:r>
          </w:p>
        </w:tc>
        <w:tc>
          <w:tcPr>
            <w:tcW w:w="3120" w:type="dxa"/>
            <w:shd w:val="clear" w:color="auto" w:fill="auto"/>
            <w:tcMar>
              <w:top w:w="100" w:type="dxa"/>
              <w:left w:w="100" w:type="dxa"/>
              <w:bottom w:w="100" w:type="dxa"/>
              <w:right w:w="100" w:type="dxa"/>
            </w:tcMar>
          </w:tcPr>
          <w:p w14:paraId="75E531A1" w14:textId="77777777" w:rsidR="00187FAA" w:rsidRDefault="00F84B48">
            <w:pPr>
              <w:widowControl w:val="0"/>
              <w:spacing w:line="240" w:lineRule="auto"/>
              <w:rPr>
                <w:sz w:val="20"/>
                <w:szCs w:val="20"/>
              </w:rPr>
            </w:pPr>
            <w:r>
              <w:rPr>
                <w:sz w:val="20"/>
                <w:szCs w:val="20"/>
              </w:rPr>
              <w:t>slight</w:t>
            </w:r>
          </w:p>
        </w:tc>
        <w:tc>
          <w:tcPr>
            <w:tcW w:w="3120" w:type="dxa"/>
            <w:shd w:val="clear" w:color="auto" w:fill="auto"/>
            <w:tcMar>
              <w:top w:w="100" w:type="dxa"/>
              <w:left w:w="100" w:type="dxa"/>
              <w:bottom w:w="100" w:type="dxa"/>
              <w:right w:w="100" w:type="dxa"/>
            </w:tcMar>
          </w:tcPr>
          <w:p w14:paraId="27CF88F3" w14:textId="77777777" w:rsidR="00187FAA" w:rsidRDefault="00F84B48">
            <w:pPr>
              <w:widowControl w:val="0"/>
              <w:spacing w:line="240" w:lineRule="auto"/>
              <w:rPr>
                <w:sz w:val="20"/>
                <w:szCs w:val="20"/>
              </w:rPr>
            </w:pPr>
            <w:r>
              <w:rPr>
                <w:sz w:val="20"/>
                <w:szCs w:val="20"/>
              </w:rPr>
              <w:t>slight</w:t>
            </w:r>
          </w:p>
        </w:tc>
      </w:tr>
      <w:tr w:rsidR="00187FAA" w14:paraId="2A715AFE" w14:textId="77777777">
        <w:tc>
          <w:tcPr>
            <w:tcW w:w="3120" w:type="dxa"/>
            <w:shd w:val="clear" w:color="auto" w:fill="CCCCCC"/>
            <w:tcMar>
              <w:top w:w="100" w:type="dxa"/>
              <w:left w:w="100" w:type="dxa"/>
              <w:bottom w:w="100" w:type="dxa"/>
              <w:right w:w="100" w:type="dxa"/>
            </w:tcMar>
          </w:tcPr>
          <w:p w14:paraId="3126F34D" w14:textId="77777777" w:rsidR="00187FAA" w:rsidRDefault="00F84B48">
            <w:pPr>
              <w:widowControl w:val="0"/>
              <w:spacing w:line="240" w:lineRule="auto"/>
              <w:rPr>
                <w:sz w:val="20"/>
                <w:szCs w:val="20"/>
              </w:rPr>
            </w:pPr>
            <w:r>
              <w:rPr>
                <w:sz w:val="20"/>
                <w:szCs w:val="20"/>
              </w:rPr>
              <w:t>microcytes</w:t>
            </w:r>
          </w:p>
        </w:tc>
        <w:tc>
          <w:tcPr>
            <w:tcW w:w="3120" w:type="dxa"/>
            <w:shd w:val="clear" w:color="auto" w:fill="auto"/>
            <w:tcMar>
              <w:top w:w="100" w:type="dxa"/>
              <w:left w:w="100" w:type="dxa"/>
              <w:bottom w:w="100" w:type="dxa"/>
              <w:right w:w="100" w:type="dxa"/>
            </w:tcMar>
          </w:tcPr>
          <w:p w14:paraId="09484655" w14:textId="77777777" w:rsidR="00187FAA" w:rsidRDefault="00F84B48">
            <w:pPr>
              <w:widowControl w:val="0"/>
              <w:spacing w:line="240" w:lineRule="auto"/>
              <w:rPr>
                <w:sz w:val="20"/>
                <w:szCs w:val="20"/>
              </w:rPr>
            </w:pPr>
            <w:r>
              <w:rPr>
                <w:sz w:val="20"/>
                <w:szCs w:val="20"/>
              </w:rPr>
              <w:t>moderate</w:t>
            </w:r>
          </w:p>
        </w:tc>
        <w:tc>
          <w:tcPr>
            <w:tcW w:w="3120" w:type="dxa"/>
            <w:shd w:val="clear" w:color="auto" w:fill="auto"/>
            <w:tcMar>
              <w:top w:w="100" w:type="dxa"/>
              <w:left w:w="100" w:type="dxa"/>
              <w:bottom w:w="100" w:type="dxa"/>
              <w:right w:w="100" w:type="dxa"/>
            </w:tcMar>
          </w:tcPr>
          <w:p w14:paraId="29896B0C" w14:textId="77777777" w:rsidR="00187FAA" w:rsidRDefault="00F84B48">
            <w:pPr>
              <w:widowControl w:val="0"/>
              <w:spacing w:line="240" w:lineRule="auto"/>
              <w:rPr>
                <w:sz w:val="20"/>
                <w:szCs w:val="20"/>
              </w:rPr>
            </w:pPr>
            <w:r>
              <w:rPr>
                <w:sz w:val="20"/>
                <w:szCs w:val="20"/>
              </w:rPr>
              <w:t>slight</w:t>
            </w:r>
          </w:p>
        </w:tc>
      </w:tr>
    </w:tbl>
    <w:p w14:paraId="17AD93B2" w14:textId="77777777" w:rsidR="00187FAA" w:rsidRDefault="00187FAA">
      <w:pPr>
        <w:spacing w:line="240" w:lineRule="auto"/>
        <w:rPr>
          <w:color w:val="1B1B1B"/>
          <w:sz w:val="20"/>
          <w:szCs w:val="20"/>
        </w:rPr>
      </w:pPr>
    </w:p>
    <w:p w14:paraId="0DE4B5B7" w14:textId="77777777" w:rsidR="00187FAA" w:rsidRDefault="00187FAA">
      <w:pPr>
        <w:spacing w:line="240" w:lineRule="auto"/>
        <w:rPr>
          <w:color w:val="1B1B1B"/>
          <w:sz w:val="20"/>
          <w:szCs w:val="20"/>
        </w:rPr>
      </w:pPr>
    </w:p>
    <w:p w14:paraId="2D0389A9" w14:textId="77777777" w:rsidR="00187FAA" w:rsidRDefault="00F84B48">
      <w:pPr>
        <w:shd w:val="clear" w:color="auto" w:fill="FFFFFF"/>
        <w:spacing w:line="240" w:lineRule="auto"/>
        <w:jc w:val="both"/>
        <w:rPr>
          <w:color w:val="1B1B1B"/>
          <w:sz w:val="20"/>
          <w:szCs w:val="20"/>
        </w:rPr>
      </w:pPr>
      <w:r>
        <w:rPr>
          <w:color w:val="1B1B1B"/>
          <w:sz w:val="20"/>
          <w:szCs w:val="20"/>
        </w:rPr>
        <w:t>Psychiatric consultation was requested to assess the patient’s ongoing ingestion of paint and other non-nutritive substances. The patient reported a two-year history of paint consumption that began while living abroad. She described intrusive urges to eat paint, with mounting internal discomfort if unable to do so. She denied eating paint due to hunger or curiosity and reported no longer consuming other substances such as chalk or plaster. She denied hallucinations, trauma, suicidal ideation, or compulsive rituals.</w:t>
      </w:r>
    </w:p>
    <w:p w14:paraId="66204FF1" w14:textId="77777777" w:rsidR="00187FAA" w:rsidRDefault="00187FAA">
      <w:pPr>
        <w:shd w:val="clear" w:color="auto" w:fill="FFFFFF"/>
        <w:spacing w:line="240" w:lineRule="auto"/>
        <w:jc w:val="both"/>
        <w:rPr>
          <w:color w:val="1B1B1B"/>
          <w:sz w:val="20"/>
          <w:szCs w:val="20"/>
        </w:rPr>
      </w:pPr>
    </w:p>
    <w:p w14:paraId="59A96D99" w14:textId="77777777" w:rsidR="00187FAA" w:rsidRDefault="00F84B48">
      <w:pPr>
        <w:shd w:val="clear" w:color="auto" w:fill="FFFFFF"/>
        <w:spacing w:line="240" w:lineRule="auto"/>
        <w:jc w:val="both"/>
        <w:rPr>
          <w:color w:val="1B1B1B"/>
          <w:sz w:val="20"/>
          <w:szCs w:val="20"/>
        </w:rPr>
      </w:pPr>
      <w:r>
        <w:rPr>
          <w:color w:val="1B1B1B"/>
          <w:sz w:val="20"/>
          <w:szCs w:val="20"/>
        </w:rPr>
        <w:t>Mental status examination revealed a calm, cooperative adolescent who appeared her stated age, maintained appropriate eye contact, and demonstrated linear, goal-directed thought processes. She was fully oriented, with no evidence of mood disturbance, psychosis, or cognitive impairment. The patient was performing well in school as a ninth grader and actively participated in Junior ROTC. Her siblings were asymptomatic and had normal lead levels. The family resided in a townhome built in 1900, raising concern for ongoing environmental lead exposure.</w:t>
      </w:r>
    </w:p>
    <w:p w14:paraId="2DBF0D7D" w14:textId="77777777" w:rsidR="00187FAA" w:rsidRDefault="00187FAA">
      <w:pPr>
        <w:shd w:val="clear" w:color="auto" w:fill="FFFFFF"/>
        <w:spacing w:line="240" w:lineRule="auto"/>
        <w:jc w:val="both"/>
        <w:rPr>
          <w:color w:val="1B1B1B"/>
          <w:sz w:val="20"/>
          <w:szCs w:val="20"/>
        </w:rPr>
      </w:pPr>
    </w:p>
    <w:p w14:paraId="36291FB6" w14:textId="77777777" w:rsidR="00187FAA" w:rsidRDefault="00F84B48">
      <w:pPr>
        <w:shd w:val="clear" w:color="auto" w:fill="FFFFFF"/>
        <w:spacing w:line="240" w:lineRule="auto"/>
        <w:jc w:val="both"/>
        <w:rPr>
          <w:color w:val="1B1B1B"/>
          <w:sz w:val="20"/>
          <w:szCs w:val="20"/>
        </w:rPr>
      </w:pPr>
      <w:r>
        <w:rPr>
          <w:color w:val="1B1B1B"/>
          <w:sz w:val="20"/>
          <w:szCs w:val="20"/>
        </w:rPr>
        <w:t>Given the persistent, non-nutritive ingestion of lead-containing paint without nutritional or cultural explanation, the patient met DSM-5 criteria for pica. Although the intensity of urges raised consideration of a compulsive component, the absence of intrusive thoughts or ritualistic behavior did not support a diagnosis of obsessive-compulsive disorder. Outpatient psychiatric follow-up was recommended.</w:t>
      </w:r>
    </w:p>
    <w:p w14:paraId="6B62F1B3" w14:textId="77777777" w:rsidR="00187FAA" w:rsidRDefault="00187FAA">
      <w:pPr>
        <w:shd w:val="clear" w:color="auto" w:fill="FFFFFF"/>
        <w:spacing w:line="240" w:lineRule="auto"/>
        <w:jc w:val="both"/>
        <w:rPr>
          <w:color w:val="1B1B1B"/>
          <w:sz w:val="20"/>
          <w:szCs w:val="20"/>
        </w:rPr>
      </w:pPr>
    </w:p>
    <w:p w14:paraId="1E68C280" w14:textId="77777777" w:rsidR="00187FAA" w:rsidRDefault="00F84B48">
      <w:pPr>
        <w:shd w:val="clear" w:color="auto" w:fill="FFFFFF"/>
        <w:spacing w:line="240" w:lineRule="auto"/>
        <w:jc w:val="both"/>
        <w:rPr>
          <w:color w:val="1B1B1B"/>
          <w:sz w:val="20"/>
          <w:szCs w:val="20"/>
        </w:rPr>
      </w:pPr>
      <w:r>
        <w:rPr>
          <w:color w:val="1B1B1B"/>
          <w:sz w:val="20"/>
          <w:szCs w:val="20"/>
        </w:rPr>
        <w:t>The patient completed chelation therapy without further complication. With elimination of retained lead material, improvement in lead burden, and clinical stabilization, she was deemed appropriate for discharge. She was advised to avoid returning to the home environment due to ongoing exposure risk and referred for follow-up with pediatric hematology, psychiatry, and public health services.</w:t>
      </w:r>
    </w:p>
    <w:p w14:paraId="02F2C34E" w14:textId="77777777" w:rsidR="00187FAA" w:rsidRDefault="00187FAA">
      <w:pPr>
        <w:widowControl w:val="0"/>
        <w:shd w:val="clear" w:color="auto" w:fill="FFFFFF"/>
        <w:spacing w:line="240" w:lineRule="auto"/>
        <w:rPr>
          <w:color w:val="1B1B1B"/>
          <w:sz w:val="24"/>
          <w:szCs w:val="24"/>
        </w:rPr>
      </w:pPr>
    </w:p>
    <w:p w14:paraId="64223A70" w14:textId="77777777" w:rsidR="00187FAA" w:rsidRDefault="00F84B48">
      <w:pPr>
        <w:shd w:val="clear" w:color="auto" w:fill="FFFFFF"/>
        <w:spacing w:line="240" w:lineRule="auto"/>
        <w:rPr>
          <w:b/>
          <w:color w:val="1B1B1B"/>
        </w:rPr>
      </w:pPr>
      <w:r>
        <w:rPr>
          <w:b/>
          <w:color w:val="1B1B1B"/>
        </w:rPr>
        <w:t>DISCUSSION</w:t>
      </w:r>
    </w:p>
    <w:p w14:paraId="680A4E5D" w14:textId="77777777" w:rsidR="00187FAA" w:rsidRDefault="00187FAA">
      <w:pPr>
        <w:shd w:val="clear" w:color="auto" w:fill="FFFFFF"/>
        <w:spacing w:line="240" w:lineRule="auto"/>
        <w:rPr>
          <w:b/>
          <w:color w:val="1B1B1B"/>
        </w:rPr>
      </w:pPr>
    </w:p>
    <w:p w14:paraId="53355784" w14:textId="77777777" w:rsidR="00187FAA" w:rsidRDefault="00F84B48">
      <w:pPr>
        <w:shd w:val="clear" w:color="auto" w:fill="FFFFFF"/>
        <w:spacing w:line="240" w:lineRule="auto"/>
        <w:jc w:val="both"/>
        <w:rPr>
          <w:color w:val="1B1B1B"/>
          <w:sz w:val="20"/>
          <w:szCs w:val="20"/>
        </w:rPr>
      </w:pPr>
      <w:r>
        <w:rPr>
          <w:color w:val="1B1B1B"/>
          <w:sz w:val="20"/>
          <w:szCs w:val="20"/>
        </w:rPr>
        <w:t>Pica is characterized by the persistent ingestion of non-nutritive substances and commonly includes items such as chalk, paper, dirt, hair, soap, rocks, and ice. This case presents a rare and notable variant of pica involving the ingestion of lead-based paint; one of the few rare cases since the first documented case of childhood lead poisoning due to paint ingestion reported in Queensland, Australia nearly a century ago (Gibson, 1904).</w:t>
      </w:r>
    </w:p>
    <w:p w14:paraId="19219836" w14:textId="77777777" w:rsidR="00187FAA" w:rsidRDefault="00187FAA">
      <w:pPr>
        <w:shd w:val="clear" w:color="auto" w:fill="FFFFFF"/>
        <w:spacing w:line="240" w:lineRule="auto"/>
        <w:ind w:firstLine="720"/>
        <w:jc w:val="both"/>
        <w:rPr>
          <w:color w:val="1B1B1B"/>
          <w:sz w:val="20"/>
          <w:szCs w:val="20"/>
        </w:rPr>
      </w:pPr>
    </w:p>
    <w:p w14:paraId="3FBDCAD6" w14:textId="77777777" w:rsidR="00187FAA" w:rsidRDefault="00F84B48">
      <w:pPr>
        <w:shd w:val="clear" w:color="auto" w:fill="FFFFFF"/>
        <w:spacing w:line="240" w:lineRule="auto"/>
        <w:jc w:val="both"/>
        <w:rPr>
          <w:color w:val="1B1B1B"/>
          <w:sz w:val="20"/>
          <w:szCs w:val="20"/>
        </w:rPr>
      </w:pPr>
      <w:r>
        <w:rPr>
          <w:color w:val="1B1B1B"/>
          <w:sz w:val="20"/>
          <w:szCs w:val="20"/>
        </w:rPr>
        <w:lastRenderedPageBreak/>
        <w:t>The association between pica and lead poisoning extends beyond the direct ingestion of lead-contaminated substances like soil or paint chips. Iron deficiency, often seen in individuals with pica, increases lead absorption by upregulating the divalent cation transporter in the duodenum. This transporter, which normally facilitates Fe²⁺ absorption, also permits uptake of Pb²⁺, thereby increasing lead absorption in iron-deficient individuals (Kwong, 2004). In this patient, it remains unclear whether lead toxicity led to iron deficiency or vice versa, however, her history of heavy menstrual periods suggests a possible chronic iron deficiency.</w:t>
      </w:r>
    </w:p>
    <w:p w14:paraId="296FEF7D" w14:textId="77777777" w:rsidR="00187FAA" w:rsidRDefault="00187FAA">
      <w:pPr>
        <w:shd w:val="clear" w:color="auto" w:fill="FFFFFF"/>
        <w:spacing w:line="240" w:lineRule="auto"/>
        <w:ind w:firstLine="720"/>
        <w:jc w:val="both"/>
        <w:rPr>
          <w:color w:val="1B1B1B"/>
          <w:sz w:val="20"/>
          <w:szCs w:val="20"/>
        </w:rPr>
      </w:pPr>
    </w:p>
    <w:p w14:paraId="25F6BA29" w14:textId="77777777" w:rsidR="00187FAA" w:rsidRDefault="00F84B48">
      <w:pPr>
        <w:shd w:val="clear" w:color="auto" w:fill="FFFFFF"/>
        <w:spacing w:line="240" w:lineRule="auto"/>
        <w:jc w:val="both"/>
        <w:rPr>
          <w:color w:val="1B1B1B"/>
          <w:sz w:val="20"/>
          <w:szCs w:val="20"/>
        </w:rPr>
      </w:pPr>
      <w:r>
        <w:rPr>
          <w:color w:val="1B1B1B"/>
          <w:sz w:val="20"/>
          <w:szCs w:val="20"/>
        </w:rPr>
        <w:t>Nutritional factors may further influence pica-related lead toxicity. In an animal model, calcium deficiency significantly increased lead ingestion, while magnesium and zinc deficiencies showed intermediate effects (Snowdon, 1977). In a study of 43 children aged 1 to 6, lower calcium and zinc intake correlated with higher blood lead levels. Children with higher lead levels consumed less calcium and were more likely to fall below recommended nutrient intakes. A negative correlation between milk consumption and blood lead levels further suggests a protective role for calcium. The incidence of pica was also higher among children with elevated lead levels, supporting a nutritional basis for this behavior (Johnson, 1979).</w:t>
      </w:r>
    </w:p>
    <w:p w14:paraId="7194DBDC" w14:textId="77777777" w:rsidR="00187FAA" w:rsidRDefault="00187FAA">
      <w:pPr>
        <w:shd w:val="clear" w:color="auto" w:fill="FFFFFF"/>
        <w:spacing w:line="240" w:lineRule="auto"/>
        <w:ind w:firstLine="720"/>
        <w:jc w:val="both"/>
        <w:rPr>
          <w:color w:val="1B1B1B"/>
          <w:sz w:val="20"/>
          <w:szCs w:val="20"/>
        </w:rPr>
      </w:pPr>
    </w:p>
    <w:p w14:paraId="6736A49D" w14:textId="77777777" w:rsidR="00187FAA" w:rsidRDefault="00F84B48">
      <w:pPr>
        <w:shd w:val="clear" w:color="auto" w:fill="FFFFFF"/>
        <w:spacing w:line="240" w:lineRule="auto"/>
        <w:jc w:val="both"/>
        <w:rPr>
          <w:color w:val="1B1B1B"/>
          <w:sz w:val="20"/>
          <w:szCs w:val="20"/>
        </w:rPr>
      </w:pPr>
      <w:r>
        <w:rPr>
          <w:color w:val="1B1B1B"/>
          <w:sz w:val="20"/>
          <w:szCs w:val="20"/>
        </w:rPr>
        <w:t>This patient's admission labs showed no deficiencies in calcium or magnesium with a serum calcium of 10.3 mg/dL and a serum magnesium of 2.0 mg/dL. Although serum zinc levels were not assessed, no clinical signs of zinc deficiency such as dermatitis, hair loss, or diarrhea were noted on physical exam. Nonetheless, zinc testing may be worth considering in similar cases despite it not being routinely performed.</w:t>
      </w:r>
    </w:p>
    <w:p w14:paraId="769D0D3C" w14:textId="77777777" w:rsidR="00187FAA" w:rsidRDefault="00187FAA">
      <w:pPr>
        <w:shd w:val="clear" w:color="auto" w:fill="FFFFFF"/>
        <w:spacing w:line="240" w:lineRule="auto"/>
        <w:ind w:firstLine="720"/>
        <w:jc w:val="both"/>
        <w:rPr>
          <w:color w:val="1B1B1B"/>
          <w:sz w:val="20"/>
          <w:szCs w:val="20"/>
        </w:rPr>
      </w:pPr>
    </w:p>
    <w:p w14:paraId="378F5C31" w14:textId="77777777" w:rsidR="00187FAA" w:rsidRDefault="00F84B48">
      <w:pPr>
        <w:shd w:val="clear" w:color="auto" w:fill="FFFFFF"/>
        <w:spacing w:line="240" w:lineRule="auto"/>
        <w:jc w:val="both"/>
        <w:rPr>
          <w:color w:val="1B1B1B"/>
          <w:sz w:val="20"/>
          <w:szCs w:val="20"/>
        </w:rPr>
      </w:pPr>
      <w:r>
        <w:rPr>
          <w:color w:val="1B1B1B"/>
          <w:sz w:val="20"/>
          <w:szCs w:val="20"/>
        </w:rPr>
        <w:t>Emerging research into the gut-brain axis provides additional insight into pica pathogenesis. Alterations in gut microbiota have been linked to behavioral changes, with methane-producing bacteria—particularly in the context of Small Intestinal Bacterial Overgrowth (SIBO)—impairing nutrient absorption and contributing to iron and vitamin B12 deficiencies (Margolis, 2021; Wielgosz-Grochowska, 2024). Although this patient had no formal diagnosis of IBS, her history of constipation raises the possibility of such a mechanism contributing to her behavior.</w:t>
      </w:r>
    </w:p>
    <w:p w14:paraId="54CD245A" w14:textId="77777777" w:rsidR="00187FAA" w:rsidRDefault="00187FAA">
      <w:pPr>
        <w:shd w:val="clear" w:color="auto" w:fill="FFFFFF"/>
        <w:spacing w:line="240" w:lineRule="auto"/>
        <w:ind w:firstLine="720"/>
        <w:jc w:val="both"/>
        <w:rPr>
          <w:color w:val="1B1B1B"/>
          <w:sz w:val="20"/>
          <w:szCs w:val="20"/>
        </w:rPr>
      </w:pPr>
    </w:p>
    <w:p w14:paraId="3965C7AD" w14:textId="77777777" w:rsidR="00187FAA" w:rsidRDefault="00F84B48">
      <w:pPr>
        <w:shd w:val="clear" w:color="auto" w:fill="FFFFFF"/>
        <w:spacing w:line="240" w:lineRule="auto"/>
        <w:jc w:val="both"/>
        <w:rPr>
          <w:color w:val="1B1B1B"/>
          <w:sz w:val="20"/>
          <w:szCs w:val="20"/>
        </w:rPr>
      </w:pPr>
      <w:r>
        <w:rPr>
          <w:color w:val="1B1B1B"/>
          <w:sz w:val="20"/>
          <w:szCs w:val="20"/>
        </w:rPr>
        <w:t>This case illustrates an uncommon form of pica without underlying psychiatric or developmental disorders. Nutritional deficiencies, especially in iron, calcium, and zinc, are known contributors to pica. Given the medical complications associated with this behavior, recognizing and addressing its underlying causes is essential. Environmental lead exposure remains a concern, especially through ingestion of lead-based paint in older housing and in immigrant populations from regions without strict regulations (Brown &amp; Margolis, 2012). The patient’s history of initiating paint ingestion abroad and continuing the behavior post-immigration underscores the persistence of pica and the global scope of lead exposure. Environmental assessments are critical for children with elevated blood lead levels, particularly when behavioral factors like pica are involved.</w:t>
      </w:r>
    </w:p>
    <w:p w14:paraId="1231BE67" w14:textId="77777777" w:rsidR="00187FAA" w:rsidRDefault="00187FAA">
      <w:pPr>
        <w:shd w:val="clear" w:color="auto" w:fill="FFFFFF"/>
        <w:spacing w:line="240" w:lineRule="auto"/>
        <w:ind w:firstLine="720"/>
        <w:jc w:val="both"/>
        <w:rPr>
          <w:color w:val="1B1B1B"/>
          <w:sz w:val="20"/>
          <w:szCs w:val="20"/>
        </w:rPr>
      </w:pPr>
    </w:p>
    <w:p w14:paraId="5B15633E" w14:textId="77777777" w:rsidR="00187FAA" w:rsidRDefault="00F84B48">
      <w:pPr>
        <w:shd w:val="clear" w:color="auto" w:fill="FFFFFF"/>
        <w:spacing w:line="240" w:lineRule="auto"/>
        <w:jc w:val="both"/>
        <w:rPr>
          <w:color w:val="1B1B1B"/>
          <w:sz w:val="20"/>
          <w:szCs w:val="20"/>
        </w:rPr>
      </w:pPr>
      <w:r>
        <w:rPr>
          <w:color w:val="1B1B1B"/>
          <w:sz w:val="20"/>
          <w:szCs w:val="20"/>
        </w:rPr>
        <w:t>Lead exposure has well-documented neurodevelopmental consequences, including cognitive deficits, behavioral dysregulation, and long-term academic underperformance (Lanphear, 2005). Although this patient currently demonstrates normal academic performance and no overt neurological deficits, her history of chronic exposure and high lead levels pose a risk for subtle neurocognitive impairments. Effective management of pica-related lead toxicity requires a multidisciplinary approach involving psychiatry, toxicology, nutrition, and social services. Continued follow-up is essential to monitor for recurrence, reassess lead levels, and ensure a safe, lead-free environment for the patient and family.</w:t>
      </w:r>
    </w:p>
    <w:p w14:paraId="36FEB5B0" w14:textId="77777777" w:rsidR="00187FAA" w:rsidRDefault="00187FAA">
      <w:pPr>
        <w:shd w:val="clear" w:color="auto" w:fill="FFFFFF"/>
        <w:spacing w:line="240" w:lineRule="auto"/>
        <w:rPr>
          <w:color w:val="1B1B1B"/>
          <w:sz w:val="24"/>
          <w:szCs w:val="24"/>
        </w:rPr>
      </w:pPr>
    </w:p>
    <w:p w14:paraId="5982921E" w14:textId="77777777" w:rsidR="00187FAA" w:rsidRDefault="00F84B48">
      <w:pPr>
        <w:shd w:val="clear" w:color="auto" w:fill="FFFFFF"/>
        <w:spacing w:line="240" w:lineRule="auto"/>
        <w:rPr>
          <w:b/>
          <w:color w:val="1B1B1B"/>
        </w:rPr>
      </w:pPr>
      <w:r>
        <w:rPr>
          <w:b/>
          <w:color w:val="1B1B1B"/>
        </w:rPr>
        <w:t>CONCLUSION</w:t>
      </w:r>
    </w:p>
    <w:p w14:paraId="30D7AA69" w14:textId="77777777" w:rsidR="00187FAA" w:rsidRDefault="00187FAA">
      <w:pPr>
        <w:shd w:val="clear" w:color="auto" w:fill="FFFFFF"/>
        <w:spacing w:line="240" w:lineRule="auto"/>
        <w:rPr>
          <w:b/>
          <w:color w:val="1B1B1B"/>
        </w:rPr>
      </w:pPr>
    </w:p>
    <w:p w14:paraId="7D5E4563" w14:textId="77777777" w:rsidR="00187FAA" w:rsidRDefault="00F84B48">
      <w:pPr>
        <w:shd w:val="clear" w:color="auto" w:fill="FFFFFF"/>
        <w:spacing w:line="240" w:lineRule="auto"/>
        <w:jc w:val="both"/>
        <w:rPr>
          <w:color w:val="1B1B1B"/>
          <w:sz w:val="20"/>
          <w:szCs w:val="20"/>
        </w:rPr>
      </w:pPr>
      <w:r>
        <w:rPr>
          <w:color w:val="1B1B1B"/>
          <w:sz w:val="20"/>
          <w:szCs w:val="20"/>
        </w:rPr>
        <w:t xml:space="preserve">This case underscores the clinical importance of recognizing pica as a potential underlying cause of lead toxicity, even in adolescents without developmental delays, psychiatric history, or overt nutritional deprivation. This patient’s presentation - a previously healthy 14-year-old girl with compulsive ingestion of lead-based paint - highlights the potential for serious medical consequences, including lead poisoning and microcytic anemia. Her case illustrates how pica can occur in the absence of traditional risk factors and may present primarily with physical symptoms rather than psychiatric ones. Early identification and a multidisciplinary treatment approach, including medical stabilization, environmental intervention, nutritional supplementation, and psychiatric assessment, were essential in her recovery. Clinicians must maintain a </w:t>
      </w:r>
      <w:r>
        <w:rPr>
          <w:color w:val="1B1B1B"/>
          <w:sz w:val="20"/>
          <w:szCs w:val="20"/>
        </w:rPr>
        <w:lastRenderedPageBreak/>
        <w:t>high index of suspicion for pica in patients - particularly in children and adolescents - with unexplained anemia or heavy metal exposure, as timely diagnosis and intervention can prevent long-term cognitive and physiological complications.</w:t>
      </w:r>
    </w:p>
    <w:p w14:paraId="7196D064" w14:textId="77777777" w:rsidR="00187FAA" w:rsidRDefault="00187FAA">
      <w:pPr>
        <w:shd w:val="clear" w:color="auto" w:fill="FFFFFF"/>
        <w:spacing w:line="240" w:lineRule="auto"/>
        <w:jc w:val="both"/>
        <w:rPr>
          <w:color w:val="1B1B1B"/>
          <w:sz w:val="20"/>
          <w:szCs w:val="20"/>
        </w:rPr>
      </w:pPr>
    </w:p>
    <w:p w14:paraId="0F3CABC7" w14:textId="77777777" w:rsidR="00187FAA" w:rsidRDefault="00187FAA">
      <w:pPr>
        <w:shd w:val="clear" w:color="auto" w:fill="FFFFFF"/>
        <w:spacing w:line="240" w:lineRule="auto"/>
        <w:rPr>
          <w:b/>
          <w:color w:val="1B1B1B"/>
        </w:rPr>
      </w:pPr>
      <w:bookmarkStart w:id="0" w:name="_GoBack"/>
      <w:bookmarkEnd w:id="0"/>
    </w:p>
    <w:p w14:paraId="17AB2979" w14:textId="77777777" w:rsidR="00187FAA" w:rsidRDefault="00F84B48">
      <w:pPr>
        <w:shd w:val="clear" w:color="auto" w:fill="FFFFFF"/>
        <w:spacing w:line="240" w:lineRule="auto"/>
        <w:rPr>
          <w:b/>
          <w:color w:val="1B1B1B"/>
        </w:rPr>
      </w:pPr>
      <w:r>
        <w:rPr>
          <w:b/>
          <w:color w:val="1B1B1B"/>
        </w:rPr>
        <w:t>CONSENT</w:t>
      </w:r>
    </w:p>
    <w:p w14:paraId="5B08B5D1" w14:textId="77777777" w:rsidR="00187FAA" w:rsidRDefault="00187FAA">
      <w:pPr>
        <w:shd w:val="clear" w:color="auto" w:fill="FFFFFF"/>
        <w:spacing w:line="240" w:lineRule="auto"/>
        <w:rPr>
          <w:b/>
          <w:color w:val="1B1B1B"/>
        </w:rPr>
      </w:pPr>
    </w:p>
    <w:p w14:paraId="410F9A3E" w14:textId="77777777" w:rsidR="00187FAA" w:rsidRDefault="00F84B48">
      <w:pPr>
        <w:shd w:val="clear" w:color="auto" w:fill="FFFFFF"/>
        <w:spacing w:line="240" w:lineRule="auto"/>
        <w:rPr>
          <w:color w:val="1B1B1B"/>
          <w:sz w:val="20"/>
          <w:szCs w:val="20"/>
        </w:rPr>
      </w:pPr>
      <w:r>
        <w:rPr>
          <w:color w:val="1B1B1B"/>
          <w:sz w:val="20"/>
          <w:szCs w:val="20"/>
        </w:rPr>
        <w:t>Written informed consent was obtained from the patient’s guardians for publication of this case report.</w:t>
      </w:r>
    </w:p>
    <w:p w14:paraId="16DEB4AB" w14:textId="77777777" w:rsidR="00187FAA" w:rsidRDefault="00187FAA">
      <w:pPr>
        <w:shd w:val="clear" w:color="auto" w:fill="FFFFFF"/>
        <w:spacing w:line="240" w:lineRule="auto"/>
        <w:rPr>
          <w:b/>
          <w:color w:val="1B1B1B"/>
        </w:rPr>
      </w:pPr>
    </w:p>
    <w:p w14:paraId="3F34CEBE" w14:textId="77777777" w:rsidR="00187FAA" w:rsidRDefault="00F84B48">
      <w:pPr>
        <w:shd w:val="clear" w:color="auto" w:fill="FFFFFF"/>
        <w:spacing w:line="240" w:lineRule="auto"/>
        <w:rPr>
          <w:b/>
          <w:color w:val="1B1B1B"/>
        </w:rPr>
      </w:pPr>
      <w:r>
        <w:rPr>
          <w:b/>
          <w:color w:val="1B1B1B"/>
        </w:rPr>
        <w:t>ETHICAL APPROVAL</w:t>
      </w:r>
    </w:p>
    <w:p w14:paraId="0AD9C6F4" w14:textId="77777777" w:rsidR="00187FAA" w:rsidRDefault="00187FAA">
      <w:pPr>
        <w:shd w:val="clear" w:color="auto" w:fill="FFFFFF"/>
        <w:spacing w:line="240" w:lineRule="auto"/>
        <w:rPr>
          <w:b/>
          <w:color w:val="1B1B1B"/>
        </w:rPr>
      </w:pPr>
    </w:p>
    <w:p w14:paraId="7C1947E6" w14:textId="77777777" w:rsidR="00187FAA" w:rsidRDefault="00F84B48" w:rsidP="03FC3A10">
      <w:pPr>
        <w:shd w:val="clear" w:color="auto" w:fill="FFFFFF" w:themeFill="background1"/>
        <w:spacing w:line="240" w:lineRule="auto"/>
        <w:jc w:val="both"/>
        <w:rPr>
          <w:color w:val="1B1B1B"/>
          <w:sz w:val="20"/>
          <w:szCs w:val="20"/>
          <w:lang w:val="en-US"/>
        </w:rPr>
      </w:pPr>
      <w:r w:rsidRPr="03FC3A10">
        <w:rPr>
          <w:color w:val="1B1B1B"/>
          <w:sz w:val="20"/>
          <w:szCs w:val="20"/>
          <w:lang w:val="en-US"/>
        </w:rPr>
        <w:t>All procedures performed in this study are in accordance with the ethical standards of the institutional and/ or national research committee.</w:t>
      </w:r>
    </w:p>
    <w:p w14:paraId="4B1F511A" w14:textId="77777777" w:rsidR="00187FAA" w:rsidRDefault="00187FAA">
      <w:pPr>
        <w:shd w:val="clear" w:color="auto" w:fill="FFFFFF"/>
        <w:spacing w:line="240" w:lineRule="auto"/>
        <w:rPr>
          <w:color w:val="1B1B1B"/>
        </w:rPr>
      </w:pPr>
    </w:p>
    <w:p w14:paraId="65F9C3DC" w14:textId="77777777" w:rsidR="00187FAA" w:rsidRDefault="00187FAA">
      <w:pPr>
        <w:shd w:val="clear" w:color="auto" w:fill="FFFFFF"/>
        <w:spacing w:line="240" w:lineRule="auto"/>
        <w:rPr>
          <w:color w:val="1B1B1B"/>
        </w:rPr>
      </w:pPr>
    </w:p>
    <w:p w14:paraId="0DF43999" w14:textId="77777777" w:rsidR="00187FAA" w:rsidRDefault="00F84B48">
      <w:pPr>
        <w:shd w:val="clear" w:color="auto" w:fill="FFFFFF"/>
        <w:spacing w:line="240" w:lineRule="auto"/>
        <w:rPr>
          <w:b/>
          <w:color w:val="1B1B1B"/>
          <w:sz w:val="24"/>
          <w:szCs w:val="24"/>
        </w:rPr>
      </w:pPr>
      <w:r>
        <w:rPr>
          <w:b/>
          <w:color w:val="1B1B1B"/>
          <w:sz w:val="24"/>
          <w:szCs w:val="24"/>
        </w:rPr>
        <w:t>References:</w:t>
      </w:r>
    </w:p>
    <w:p w14:paraId="690A2B0C" w14:textId="77777777" w:rsidR="00187FAA" w:rsidRDefault="00F84B48" w:rsidP="03FC3A10">
      <w:pPr>
        <w:numPr>
          <w:ilvl w:val="0"/>
          <w:numId w:val="1"/>
        </w:numPr>
        <w:shd w:val="clear" w:color="auto" w:fill="FFFFFF" w:themeFill="background1"/>
        <w:spacing w:line="240" w:lineRule="auto"/>
        <w:rPr>
          <w:color w:val="1B1B1B"/>
          <w:sz w:val="24"/>
          <w:szCs w:val="24"/>
          <w:lang w:val="en-US"/>
        </w:rPr>
      </w:pPr>
      <w:r w:rsidRPr="03FC3A10">
        <w:rPr>
          <w:color w:val="1B1B1B"/>
          <w:sz w:val="24"/>
          <w:szCs w:val="24"/>
          <w:lang w:val="en-US"/>
        </w:rPr>
        <w:t xml:space="preserve">Al Nasser Y, </w:t>
      </w:r>
      <w:proofErr w:type="spellStart"/>
      <w:r w:rsidRPr="03FC3A10">
        <w:rPr>
          <w:color w:val="1B1B1B"/>
          <w:sz w:val="24"/>
          <w:szCs w:val="24"/>
          <w:lang w:val="en-US"/>
        </w:rPr>
        <w:t>Muco</w:t>
      </w:r>
      <w:proofErr w:type="spellEnd"/>
      <w:r w:rsidRPr="03FC3A10">
        <w:rPr>
          <w:color w:val="1B1B1B"/>
          <w:sz w:val="24"/>
          <w:szCs w:val="24"/>
          <w:lang w:val="en-US"/>
        </w:rPr>
        <w:t xml:space="preserve"> E, </w:t>
      </w:r>
      <w:proofErr w:type="spellStart"/>
      <w:r w:rsidRPr="03FC3A10">
        <w:rPr>
          <w:color w:val="1B1B1B"/>
          <w:sz w:val="24"/>
          <w:szCs w:val="24"/>
          <w:lang w:val="en-US"/>
        </w:rPr>
        <w:t>Alsaad</w:t>
      </w:r>
      <w:proofErr w:type="spellEnd"/>
      <w:r w:rsidRPr="03FC3A10">
        <w:rPr>
          <w:color w:val="1B1B1B"/>
          <w:sz w:val="24"/>
          <w:szCs w:val="24"/>
          <w:lang w:val="en-US"/>
        </w:rPr>
        <w:t xml:space="preserve"> AJ. Pica. [Updated 2023 Jun 26]. In: </w:t>
      </w:r>
      <w:proofErr w:type="spellStart"/>
      <w:r w:rsidRPr="03FC3A10">
        <w:rPr>
          <w:color w:val="1B1B1B"/>
          <w:sz w:val="24"/>
          <w:szCs w:val="24"/>
          <w:lang w:val="en-US"/>
        </w:rPr>
        <w:t>StatPearls</w:t>
      </w:r>
      <w:proofErr w:type="spellEnd"/>
      <w:r w:rsidRPr="03FC3A10">
        <w:rPr>
          <w:color w:val="1B1B1B"/>
          <w:sz w:val="24"/>
          <w:szCs w:val="24"/>
          <w:lang w:val="en-US"/>
        </w:rPr>
        <w:t xml:space="preserve"> [Internet]. Treasure Island (FL): </w:t>
      </w:r>
      <w:proofErr w:type="spellStart"/>
      <w:r w:rsidRPr="03FC3A10">
        <w:rPr>
          <w:color w:val="1B1B1B"/>
          <w:sz w:val="24"/>
          <w:szCs w:val="24"/>
          <w:lang w:val="en-US"/>
        </w:rPr>
        <w:t>StatPearls</w:t>
      </w:r>
      <w:proofErr w:type="spellEnd"/>
      <w:r w:rsidRPr="03FC3A10">
        <w:rPr>
          <w:color w:val="1B1B1B"/>
          <w:sz w:val="24"/>
          <w:szCs w:val="24"/>
          <w:lang w:val="en-US"/>
        </w:rPr>
        <w:t xml:space="preserve"> Publishing; 2024 Jan-. Available from: https://www.ncbi.nlm.nih.gov/books/NBK532242/</w:t>
      </w:r>
    </w:p>
    <w:p w14:paraId="3B3EA428"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Brown, M. J., &amp; Margolis, S. (2012). Lead in drinking water and human blood lead levels in the United States. MMWR Supplements, 61(4), 1-9.</w:t>
      </w:r>
    </w:p>
    <w:p w14:paraId="243EA0F1"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Clark, O. M., &amp; Williams, R. (2020). Pica behaviors in pediatric patients with sickle cell disease: a scoping review protocol. JBI evidence synthesis, 18(9), 2018–2024. https://doi.org/10.11124/JBISRIR-D-19-00241</w:t>
      </w:r>
    </w:p>
    <w:p w14:paraId="72A1FBAB" w14:textId="77777777" w:rsidR="00187FAA" w:rsidRDefault="00F84B48" w:rsidP="03FC3A10">
      <w:pPr>
        <w:numPr>
          <w:ilvl w:val="0"/>
          <w:numId w:val="1"/>
        </w:numPr>
        <w:shd w:val="clear" w:color="auto" w:fill="FFFFFF" w:themeFill="background1"/>
        <w:spacing w:line="240" w:lineRule="auto"/>
        <w:rPr>
          <w:color w:val="1B1B1B"/>
          <w:sz w:val="24"/>
          <w:szCs w:val="24"/>
          <w:lang w:val="en-US"/>
        </w:rPr>
      </w:pPr>
      <w:r w:rsidRPr="03FC3A10">
        <w:rPr>
          <w:color w:val="1B1B1B"/>
          <w:sz w:val="24"/>
          <w:szCs w:val="24"/>
          <w:lang w:val="en-US"/>
        </w:rPr>
        <w:t xml:space="preserve">Gibson JL. A plea for painted railings and painted rooms as the source of lead poisoning amongst Queensland children. Australasian Med Gazette </w:t>
      </w:r>
      <w:proofErr w:type="gramStart"/>
      <w:r w:rsidRPr="03FC3A10">
        <w:rPr>
          <w:color w:val="1B1B1B"/>
          <w:sz w:val="24"/>
          <w:szCs w:val="24"/>
          <w:lang w:val="en-US"/>
        </w:rPr>
        <w:t>1904;23:149</w:t>
      </w:r>
      <w:proofErr w:type="gramEnd"/>
      <w:r w:rsidRPr="03FC3A10">
        <w:rPr>
          <w:color w:val="1B1B1B"/>
          <w:sz w:val="24"/>
          <w:szCs w:val="24"/>
          <w:lang w:val="en-US"/>
        </w:rPr>
        <w:t xml:space="preserve">–53. </w:t>
      </w:r>
    </w:p>
    <w:p w14:paraId="5D475D3A"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Johnson, N. E., &amp; Tenuta, K. (1979). Diets and lead blood levels of children who practice pica. Environmental Research, 18(2), 369–376. https://doi.org/10.1016/0013-9351(79)90113-0</w:t>
      </w:r>
    </w:p>
    <w:p w14:paraId="0F9BB24A" w14:textId="77777777" w:rsidR="00187FAA" w:rsidRDefault="00F84B48" w:rsidP="03FC3A10">
      <w:pPr>
        <w:numPr>
          <w:ilvl w:val="0"/>
          <w:numId w:val="1"/>
        </w:numPr>
        <w:shd w:val="clear" w:color="auto" w:fill="FFFFFF" w:themeFill="background1"/>
        <w:spacing w:line="240" w:lineRule="auto"/>
        <w:rPr>
          <w:color w:val="1B1B1B"/>
          <w:sz w:val="24"/>
          <w:szCs w:val="24"/>
          <w:lang w:val="en-US"/>
        </w:rPr>
      </w:pPr>
      <w:r w:rsidRPr="03FC3A10">
        <w:rPr>
          <w:color w:val="1B1B1B"/>
          <w:sz w:val="24"/>
          <w:szCs w:val="24"/>
          <w:lang w:val="en-US"/>
        </w:rPr>
        <w:t>Khosravi M. (2021). Pica behaviors in schizophrenia: a call for further research. Journal of eating disorders, 9(1), 117. https://doi.org/10.1186/s40337-021-00472-y</w:t>
      </w:r>
    </w:p>
    <w:p w14:paraId="53F56F13" w14:textId="77777777" w:rsidR="00187FAA" w:rsidRDefault="00F84B48">
      <w:pPr>
        <w:numPr>
          <w:ilvl w:val="0"/>
          <w:numId w:val="1"/>
        </w:numPr>
        <w:shd w:val="clear" w:color="auto" w:fill="FFFFFF"/>
        <w:spacing w:line="240" w:lineRule="auto"/>
        <w:rPr>
          <w:color w:val="1B1B1B"/>
          <w:sz w:val="24"/>
          <w:szCs w:val="24"/>
        </w:rPr>
      </w:pPr>
      <w:proofErr w:type="spellStart"/>
      <w:r>
        <w:rPr>
          <w:color w:val="1B1B1B"/>
          <w:sz w:val="24"/>
          <w:szCs w:val="24"/>
        </w:rPr>
        <w:t>Koterba</w:t>
      </w:r>
      <w:proofErr w:type="spellEnd"/>
      <w:r>
        <w:rPr>
          <w:color w:val="1B1B1B"/>
          <w:sz w:val="24"/>
          <w:szCs w:val="24"/>
        </w:rPr>
        <w:t xml:space="preserve"> EA, </w:t>
      </w:r>
      <w:proofErr w:type="spellStart"/>
      <w:r>
        <w:rPr>
          <w:color w:val="1B1B1B"/>
          <w:sz w:val="24"/>
          <w:szCs w:val="24"/>
        </w:rPr>
        <w:t>Leezenbaum</w:t>
      </w:r>
      <w:proofErr w:type="spellEnd"/>
      <w:r>
        <w:rPr>
          <w:color w:val="1B1B1B"/>
          <w:sz w:val="24"/>
          <w:szCs w:val="24"/>
        </w:rPr>
        <w:t xml:space="preserve"> NB, Iverson JM. Object exploration at 6 and 9 months in infants with and without risk for autism. Autism. 2014 Feb;18(2):97-105. </w:t>
      </w:r>
      <w:proofErr w:type="spellStart"/>
      <w:r>
        <w:rPr>
          <w:color w:val="1B1B1B"/>
          <w:sz w:val="24"/>
          <w:szCs w:val="24"/>
        </w:rPr>
        <w:t>doi</w:t>
      </w:r>
      <w:proofErr w:type="spellEnd"/>
      <w:r>
        <w:rPr>
          <w:color w:val="1B1B1B"/>
          <w:sz w:val="24"/>
          <w:szCs w:val="24"/>
        </w:rPr>
        <w:t xml:space="preserve">: 10.1177/1362361312464826. </w:t>
      </w:r>
      <w:proofErr w:type="spellStart"/>
      <w:r>
        <w:rPr>
          <w:color w:val="1B1B1B"/>
          <w:sz w:val="24"/>
          <w:szCs w:val="24"/>
        </w:rPr>
        <w:t>Epub</w:t>
      </w:r>
      <w:proofErr w:type="spellEnd"/>
      <w:r>
        <w:rPr>
          <w:color w:val="1B1B1B"/>
          <w:sz w:val="24"/>
          <w:szCs w:val="24"/>
        </w:rPr>
        <w:t xml:space="preserve"> 2012 Nov 22. PMID: 23175749; PMCID: PMC3773524.</w:t>
      </w:r>
    </w:p>
    <w:p w14:paraId="696511CE"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 xml:space="preserve">Kwong WT, Friello P, Semba RD. Interactions between iron deficiency and lead poisoning: epidemiology and pathogenesis. Sci Total Environ </w:t>
      </w:r>
      <w:proofErr w:type="gramStart"/>
      <w:r>
        <w:rPr>
          <w:color w:val="1B1B1B"/>
          <w:sz w:val="24"/>
          <w:szCs w:val="24"/>
        </w:rPr>
        <w:t>2004;330:21</w:t>
      </w:r>
      <w:proofErr w:type="gramEnd"/>
      <w:r>
        <w:rPr>
          <w:color w:val="1B1B1B"/>
          <w:sz w:val="24"/>
          <w:szCs w:val="24"/>
        </w:rPr>
        <w:t>–37. Search PubMed</w:t>
      </w:r>
    </w:p>
    <w:p w14:paraId="4918CE72"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 xml:space="preserve">Lanphear, B. P., Hornung, R., Khoury, J., Yolton, K., </w:t>
      </w:r>
      <w:proofErr w:type="spellStart"/>
      <w:r>
        <w:rPr>
          <w:color w:val="1B1B1B"/>
          <w:sz w:val="24"/>
          <w:szCs w:val="24"/>
        </w:rPr>
        <w:t>Baghurst</w:t>
      </w:r>
      <w:proofErr w:type="spellEnd"/>
      <w:r>
        <w:rPr>
          <w:color w:val="1B1B1B"/>
          <w:sz w:val="24"/>
          <w:szCs w:val="24"/>
        </w:rPr>
        <w:t>, P., Bellinger, D. C., ... &amp; Roberts, R. (2005). Low-level environmental lead exposure and children's intellectual function: an international pooled analysis. Environmental Health Perspectives, 113(7), 894–899.</w:t>
      </w:r>
    </w:p>
    <w:p w14:paraId="5538D03A" w14:textId="77777777" w:rsidR="00187FAA" w:rsidRDefault="00F84B48">
      <w:pPr>
        <w:numPr>
          <w:ilvl w:val="0"/>
          <w:numId w:val="1"/>
        </w:numPr>
        <w:shd w:val="clear" w:color="auto" w:fill="FFFFFF"/>
        <w:spacing w:line="240" w:lineRule="auto"/>
        <w:rPr>
          <w:color w:val="1B1B1B"/>
          <w:sz w:val="24"/>
          <w:szCs w:val="24"/>
        </w:rPr>
      </w:pPr>
      <w:r>
        <w:rPr>
          <w:color w:val="1B1B1B"/>
          <w:sz w:val="24"/>
          <w:szCs w:val="24"/>
          <w:highlight w:val="white"/>
        </w:rPr>
        <w:t xml:space="preserve">Margolis KG, Cryan JF, Mayer EA. The Microbiota-Gut-Brain Axis: From Motility to Mood. Gastroenterology. 2021 Apr;160(5):1486-1501. </w:t>
      </w:r>
      <w:proofErr w:type="spellStart"/>
      <w:r>
        <w:rPr>
          <w:color w:val="1B1B1B"/>
          <w:sz w:val="24"/>
          <w:szCs w:val="24"/>
          <w:highlight w:val="white"/>
        </w:rPr>
        <w:t>doi</w:t>
      </w:r>
      <w:proofErr w:type="spellEnd"/>
      <w:r>
        <w:rPr>
          <w:color w:val="1B1B1B"/>
          <w:sz w:val="24"/>
          <w:szCs w:val="24"/>
          <w:highlight w:val="white"/>
        </w:rPr>
        <w:t xml:space="preserve">: 10.1053/j.gastro.2020.10.066. </w:t>
      </w:r>
      <w:proofErr w:type="spellStart"/>
      <w:r>
        <w:rPr>
          <w:color w:val="1B1B1B"/>
          <w:sz w:val="24"/>
          <w:szCs w:val="24"/>
          <w:highlight w:val="white"/>
        </w:rPr>
        <w:t>Epub</w:t>
      </w:r>
      <w:proofErr w:type="spellEnd"/>
      <w:r>
        <w:rPr>
          <w:color w:val="1B1B1B"/>
          <w:sz w:val="24"/>
          <w:szCs w:val="24"/>
          <w:highlight w:val="white"/>
        </w:rPr>
        <w:t xml:space="preserve"> 2021 Jan 22. PMID: 33493503; PMCID: PMC8634751.</w:t>
      </w:r>
    </w:p>
    <w:p w14:paraId="0822CD3E" w14:textId="77777777" w:rsidR="00187FAA" w:rsidRDefault="00F84B48">
      <w:pPr>
        <w:numPr>
          <w:ilvl w:val="0"/>
          <w:numId w:val="1"/>
        </w:numPr>
        <w:shd w:val="clear" w:color="auto" w:fill="FFFFFF"/>
        <w:spacing w:line="240" w:lineRule="auto"/>
        <w:rPr>
          <w:color w:val="1B1B1B"/>
          <w:sz w:val="24"/>
          <w:szCs w:val="24"/>
        </w:rPr>
      </w:pPr>
      <w:r>
        <w:rPr>
          <w:color w:val="1B1B1B"/>
          <w:sz w:val="24"/>
          <w:szCs w:val="24"/>
          <w:highlight w:val="white"/>
        </w:rPr>
        <w:lastRenderedPageBreak/>
        <w:t xml:space="preserve">McNaughten, B., Bourke, T., &amp; Thompson, A. (2017). Fifteen-minute consultation: the child with pica. Archives of disease in childhood. </w:t>
      </w:r>
      <w:r>
        <w:rPr>
          <w:i/>
          <w:color w:val="1B1B1B"/>
          <w:sz w:val="24"/>
          <w:szCs w:val="24"/>
          <w:highlight w:val="white"/>
        </w:rPr>
        <w:t>Education and practice edition</w:t>
      </w:r>
      <w:r>
        <w:rPr>
          <w:color w:val="1B1B1B"/>
          <w:sz w:val="24"/>
          <w:szCs w:val="24"/>
          <w:highlight w:val="white"/>
        </w:rPr>
        <w:t>, 102(5), 226–229. https://doi.org/10.1136/archdischild-2016-312121</w:t>
      </w:r>
    </w:p>
    <w:p w14:paraId="1C23F4E3"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 xml:space="preserve">Schnitzler E. The Neurology and Psychopathology of Pica. </w:t>
      </w:r>
      <w:proofErr w:type="spellStart"/>
      <w:r>
        <w:rPr>
          <w:color w:val="1B1B1B"/>
          <w:sz w:val="24"/>
          <w:szCs w:val="24"/>
        </w:rPr>
        <w:t>Curr</w:t>
      </w:r>
      <w:proofErr w:type="spellEnd"/>
      <w:r>
        <w:rPr>
          <w:color w:val="1B1B1B"/>
          <w:sz w:val="24"/>
          <w:szCs w:val="24"/>
        </w:rPr>
        <w:t xml:space="preserve"> Neurol </w:t>
      </w:r>
      <w:proofErr w:type="spellStart"/>
      <w:r>
        <w:rPr>
          <w:color w:val="1B1B1B"/>
          <w:sz w:val="24"/>
          <w:szCs w:val="24"/>
        </w:rPr>
        <w:t>Neurosci</w:t>
      </w:r>
      <w:proofErr w:type="spellEnd"/>
      <w:r>
        <w:rPr>
          <w:color w:val="1B1B1B"/>
          <w:sz w:val="24"/>
          <w:szCs w:val="24"/>
        </w:rPr>
        <w:t xml:space="preserve"> Rep. 2022 Aug;22(8):531-536. </w:t>
      </w:r>
      <w:proofErr w:type="spellStart"/>
      <w:r>
        <w:rPr>
          <w:color w:val="1B1B1B"/>
          <w:sz w:val="24"/>
          <w:szCs w:val="24"/>
        </w:rPr>
        <w:t>doi</w:t>
      </w:r>
      <w:proofErr w:type="spellEnd"/>
      <w:r>
        <w:rPr>
          <w:color w:val="1B1B1B"/>
          <w:sz w:val="24"/>
          <w:szCs w:val="24"/>
        </w:rPr>
        <w:t xml:space="preserve">: 10.1007/s11910-022-01218-2. </w:t>
      </w:r>
      <w:proofErr w:type="spellStart"/>
      <w:r>
        <w:rPr>
          <w:color w:val="1B1B1B"/>
          <w:sz w:val="24"/>
          <w:szCs w:val="24"/>
        </w:rPr>
        <w:t>Epub</w:t>
      </w:r>
      <w:proofErr w:type="spellEnd"/>
      <w:r>
        <w:rPr>
          <w:color w:val="1B1B1B"/>
          <w:sz w:val="24"/>
          <w:szCs w:val="24"/>
        </w:rPr>
        <w:t xml:space="preserve"> 2022 Jun 8. PMID: 35674869.</w:t>
      </w:r>
    </w:p>
    <w:p w14:paraId="6690CF34" w14:textId="77777777" w:rsidR="00187FAA" w:rsidRDefault="00F84B48">
      <w:pPr>
        <w:numPr>
          <w:ilvl w:val="0"/>
          <w:numId w:val="1"/>
        </w:numPr>
        <w:shd w:val="clear" w:color="auto" w:fill="FFFFFF"/>
        <w:spacing w:line="240" w:lineRule="auto"/>
        <w:rPr>
          <w:color w:val="1B1B1B"/>
          <w:sz w:val="24"/>
          <w:szCs w:val="24"/>
        </w:rPr>
      </w:pPr>
      <w:r>
        <w:rPr>
          <w:color w:val="1B1B1B"/>
          <w:sz w:val="24"/>
          <w:szCs w:val="24"/>
        </w:rPr>
        <w:t>Snowdon, C. T. (1977). A nutritional basis for lead pica. Physiology &amp; Behavior, 18(5), 885–893. https://doi.org/10.1016/0031-9384(77)90198-6</w:t>
      </w:r>
    </w:p>
    <w:p w14:paraId="5023141B" w14:textId="77777777" w:rsidR="00187FAA" w:rsidRDefault="00187FAA">
      <w:pPr>
        <w:spacing w:line="240" w:lineRule="auto"/>
        <w:rPr>
          <w:sz w:val="24"/>
          <w:szCs w:val="24"/>
        </w:rPr>
      </w:pPr>
    </w:p>
    <w:sectPr w:rsidR="00187F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4D87" w14:textId="77777777" w:rsidR="00BF22DD" w:rsidRDefault="00BF22DD" w:rsidP="00C7301B">
      <w:pPr>
        <w:spacing w:line="240" w:lineRule="auto"/>
      </w:pPr>
      <w:r>
        <w:separator/>
      </w:r>
    </w:p>
  </w:endnote>
  <w:endnote w:type="continuationSeparator" w:id="0">
    <w:p w14:paraId="06E55510" w14:textId="77777777" w:rsidR="00BF22DD" w:rsidRDefault="00BF22DD" w:rsidP="00C7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5AD0" w14:textId="77777777" w:rsidR="00C7301B" w:rsidRDefault="00C7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58E5" w14:textId="77777777" w:rsidR="00C7301B" w:rsidRDefault="00C73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458A" w14:textId="77777777" w:rsidR="00C7301B" w:rsidRDefault="00C7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6FDA" w14:textId="77777777" w:rsidR="00BF22DD" w:rsidRDefault="00BF22DD" w:rsidP="00C7301B">
      <w:pPr>
        <w:spacing w:line="240" w:lineRule="auto"/>
      </w:pPr>
      <w:r>
        <w:separator/>
      </w:r>
    </w:p>
  </w:footnote>
  <w:footnote w:type="continuationSeparator" w:id="0">
    <w:p w14:paraId="52692AA5" w14:textId="77777777" w:rsidR="00BF22DD" w:rsidRDefault="00BF22DD" w:rsidP="00C730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1BBF" w14:textId="5AA25DFB" w:rsidR="00C7301B" w:rsidRDefault="00C7301B">
    <w:pPr>
      <w:pStyle w:val="Header"/>
    </w:pPr>
    <w:r>
      <w:rPr>
        <w:noProof/>
      </w:rPr>
      <w:pict w14:anchorId="51DE5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8049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E6DD" w14:textId="57FAA56F" w:rsidR="00C7301B" w:rsidRDefault="00C7301B">
    <w:pPr>
      <w:pStyle w:val="Header"/>
    </w:pPr>
    <w:r>
      <w:rPr>
        <w:noProof/>
      </w:rPr>
      <w:pict w14:anchorId="5EC21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8049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404A" w14:textId="78B5F42F" w:rsidR="00C7301B" w:rsidRDefault="00C7301B">
    <w:pPr>
      <w:pStyle w:val="Header"/>
    </w:pPr>
    <w:r>
      <w:rPr>
        <w:noProof/>
      </w:rPr>
      <w:pict w14:anchorId="4C050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8049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79C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AA"/>
    <w:rsid w:val="00187FAA"/>
    <w:rsid w:val="002C2900"/>
    <w:rsid w:val="006B78E2"/>
    <w:rsid w:val="00B5753F"/>
    <w:rsid w:val="00BF19EC"/>
    <w:rsid w:val="00BF22DD"/>
    <w:rsid w:val="00C7301B"/>
    <w:rsid w:val="00F84B48"/>
    <w:rsid w:val="03FC3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84B684"/>
  <w15:docId w15:val="{ADCF97E3-B0E0-4443-93EB-41806206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19EC"/>
    <w:rPr>
      <w:color w:val="0000FF" w:themeColor="hyperlink"/>
      <w:u w:val="single"/>
    </w:rPr>
  </w:style>
  <w:style w:type="character" w:styleId="UnresolvedMention">
    <w:name w:val="Unresolved Mention"/>
    <w:basedOn w:val="DefaultParagraphFont"/>
    <w:uiPriority w:val="99"/>
    <w:semiHidden/>
    <w:unhideWhenUsed/>
    <w:rsid w:val="00BF19EC"/>
    <w:rPr>
      <w:color w:val="605E5C"/>
      <w:shd w:val="clear" w:color="auto" w:fill="E1DFDD"/>
    </w:rPr>
  </w:style>
  <w:style w:type="paragraph" w:styleId="Header">
    <w:name w:val="header"/>
    <w:basedOn w:val="Normal"/>
    <w:link w:val="HeaderChar"/>
    <w:uiPriority w:val="99"/>
    <w:unhideWhenUsed/>
    <w:rsid w:val="00C7301B"/>
    <w:pPr>
      <w:tabs>
        <w:tab w:val="center" w:pos="4680"/>
        <w:tab w:val="right" w:pos="9360"/>
      </w:tabs>
      <w:spacing w:line="240" w:lineRule="auto"/>
    </w:pPr>
  </w:style>
  <w:style w:type="character" w:customStyle="1" w:styleId="HeaderChar">
    <w:name w:val="Header Char"/>
    <w:basedOn w:val="DefaultParagraphFont"/>
    <w:link w:val="Header"/>
    <w:uiPriority w:val="99"/>
    <w:rsid w:val="00C7301B"/>
  </w:style>
  <w:style w:type="paragraph" w:styleId="Footer">
    <w:name w:val="footer"/>
    <w:basedOn w:val="Normal"/>
    <w:link w:val="FooterChar"/>
    <w:uiPriority w:val="99"/>
    <w:unhideWhenUsed/>
    <w:rsid w:val="00C7301B"/>
    <w:pPr>
      <w:tabs>
        <w:tab w:val="center" w:pos="4680"/>
        <w:tab w:val="right" w:pos="9360"/>
      </w:tabs>
      <w:spacing w:line="240" w:lineRule="auto"/>
    </w:pPr>
  </w:style>
  <w:style w:type="character" w:customStyle="1" w:styleId="FooterChar">
    <w:name w:val="Footer Char"/>
    <w:basedOn w:val="DefaultParagraphFont"/>
    <w:link w:val="Footer"/>
    <w:uiPriority w:val="99"/>
    <w:rsid w:val="00C7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2636</Words>
  <Characters>15026</Characters>
  <Application>Microsoft Office Word</Application>
  <DocSecurity>0</DocSecurity>
  <Lines>125</Lines>
  <Paragraphs>35</Paragraphs>
  <ScaleCrop>false</ScaleCrop>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2025-07-24T20:03:00Z</dcterms:created>
  <dcterms:modified xsi:type="dcterms:W3CDTF">2025-07-25T10:20:00Z</dcterms:modified>
</cp:coreProperties>
</file>