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38529" w14:textId="77777777" w:rsidR="00B9272B" w:rsidRPr="00B9272B" w:rsidRDefault="00B9272B" w:rsidP="00453481">
      <w:pPr>
        <w:spacing w:line="360" w:lineRule="auto"/>
        <w:rPr>
          <w:rFonts w:cs="Times New Roman"/>
          <w:b/>
          <w:bCs/>
          <w:szCs w:val="24"/>
        </w:rPr>
      </w:pPr>
      <w:r w:rsidRPr="00B9272B">
        <w:rPr>
          <w:rFonts w:cs="Times New Roman"/>
          <w:b/>
          <w:bCs/>
          <w:szCs w:val="24"/>
        </w:rPr>
        <w:t xml:space="preserve">Effects of </w:t>
      </w:r>
      <w:r w:rsidRPr="00B9272B">
        <w:rPr>
          <w:rFonts w:cs="Times New Roman"/>
          <w:b/>
          <w:bCs/>
          <w:i/>
          <w:iCs/>
          <w:szCs w:val="24"/>
        </w:rPr>
        <w:t>Cassia occidentalis</w:t>
      </w:r>
      <w:r w:rsidRPr="00B9272B">
        <w:rPr>
          <w:rFonts w:cs="Times New Roman"/>
          <w:b/>
          <w:bCs/>
          <w:szCs w:val="24"/>
        </w:rPr>
        <w:t xml:space="preserve"> Leaves Extract on Some Haematological Parameters in Acetone-Induced Oxidative Stress Wistar Rats</w:t>
      </w:r>
    </w:p>
    <w:p w14:paraId="6ABE3A78" w14:textId="77777777" w:rsidR="00B9272B" w:rsidRDefault="00B9272B" w:rsidP="00B9272B">
      <w:pPr>
        <w:spacing w:after="0"/>
        <w:rPr>
          <w:rFonts w:cs="Times New Roman"/>
          <w:szCs w:val="24"/>
        </w:rPr>
      </w:pPr>
    </w:p>
    <w:p w14:paraId="584D6406" w14:textId="77777777" w:rsidR="00463F67" w:rsidRPr="00463F67" w:rsidRDefault="00463F67" w:rsidP="00453481">
      <w:pPr>
        <w:spacing w:after="0" w:line="360" w:lineRule="auto"/>
        <w:rPr>
          <w:b/>
          <w:bCs/>
        </w:rPr>
      </w:pPr>
      <w:r w:rsidRPr="00463F67">
        <w:rPr>
          <w:b/>
          <w:bCs/>
        </w:rPr>
        <w:t>ABSTRACT</w:t>
      </w:r>
    </w:p>
    <w:p w14:paraId="0CE77835" w14:textId="1983E5C6" w:rsidR="00463F67" w:rsidRPr="00463F67" w:rsidRDefault="00463F67" w:rsidP="00453481">
      <w:pPr>
        <w:pStyle w:val="BodyText"/>
        <w:spacing w:line="360" w:lineRule="auto"/>
        <w:jc w:val="both"/>
        <w:rPr>
          <w:rFonts w:cs="Times New Roman"/>
        </w:rPr>
      </w:pPr>
      <w:r w:rsidRPr="00463F67">
        <w:rPr>
          <w:rFonts w:cs="Times New Roman"/>
        </w:rPr>
        <w:t xml:space="preserve">Medicinal plants continue to play an important role in traditional and modern medicine. </w:t>
      </w:r>
      <w:r w:rsidR="00510180">
        <w:t>Some of these plants and plant products are often adopted as means of treatment, especially in rural parts of Nigeria, without any prior research study conducted to ascertain if the plant</w:t>
      </w:r>
      <w:r w:rsidR="00455F09">
        <w:t>s</w:t>
      </w:r>
      <w:r w:rsidR="00510180">
        <w:t xml:space="preserve"> actually </w:t>
      </w:r>
      <w:r w:rsidR="001F00F3">
        <w:t>possess</w:t>
      </w:r>
      <w:r w:rsidR="00510180">
        <w:t xml:space="preserve"> the health benefit claimed, or if it’s even safe to use or consume. </w:t>
      </w:r>
      <w:r w:rsidRPr="00463F67">
        <w:rPr>
          <w:rFonts w:cs="Times New Roman"/>
        </w:rPr>
        <w:t xml:space="preserve">In this research, the effect of the aqueous extract of </w:t>
      </w:r>
      <w:r w:rsidRPr="00463F67">
        <w:rPr>
          <w:rFonts w:cs="Times New Roman"/>
          <w:i/>
          <w:iCs/>
        </w:rPr>
        <w:t>Cassia occidentalis</w:t>
      </w:r>
      <w:r w:rsidRPr="00463F67">
        <w:rPr>
          <w:rFonts w:cs="Times New Roman"/>
        </w:rPr>
        <w:t xml:space="preserve">, an annual </w:t>
      </w:r>
      <w:proofErr w:type="spellStart"/>
      <w:r w:rsidRPr="00463F67">
        <w:rPr>
          <w:rFonts w:cs="Times New Roman"/>
        </w:rPr>
        <w:t>Ayurdevic</w:t>
      </w:r>
      <w:proofErr w:type="spellEnd"/>
      <w:r w:rsidRPr="00463F67">
        <w:rPr>
          <w:rFonts w:cs="Times New Roman"/>
        </w:rPr>
        <w:t xml:space="preserve"> plant, on hematological parameters of experimental Wistar rats under oxidative stress was studied. 16 rats were randomly grouped into 4 groups following acclimatization. The rats in group 1, 2, and 3 were treated with 10% acetone for a period of 6 days to induce in them oxidative stress, with group 4 serving as control group. Animals in group 1 and 2 were administered with 300 mg/kg and 500 mg/kg of the aqueous extract respectively, for a period of 7 days. Blood samples were then collected from each of the animals under chloroform </w:t>
      </w:r>
      <w:proofErr w:type="spellStart"/>
      <w:r w:rsidRPr="00463F67">
        <w:rPr>
          <w:rFonts w:cs="Times New Roman"/>
        </w:rPr>
        <w:t>anaesthesia</w:t>
      </w:r>
      <w:proofErr w:type="spellEnd"/>
      <w:r w:rsidRPr="00463F67">
        <w:rPr>
          <w:rFonts w:cs="Times New Roman"/>
        </w:rPr>
        <w:t xml:space="preserve"> through cardiac puncture into EDTA containers for full blood count analysis. The results showed a statistically significant (</w:t>
      </w:r>
      <w:r w:rsidR="00E9410B">
        <w:rPr>
          <w:rFonts w:cs="Times New Roman"/>
          <w:i/>
          <w:iCs/>
        </w:rPr>
        <w:t>p</w:t>
      </w:r>
      <w:r w:rsidRPr="00463F67">
        <w:rPr>
          <w:rFonts w:cs="Times New Roman"/>
        </w:rPr>
        <w:t xml:space="preserve"> &lt; 0.05) increase in mean cell hemoglobin (MCH) between group 2 (500 mg/kg) and group 4 (control) in a dose-dependent manner. This study concludes that the aqueous extract of </w:t>
      </w:r>
      <w:r w:rsidRPr="00463F67">
        <w:rPr>
          <w:rFonts w:cs="Times New Roman"/>
          <w:i/>
          <w:iCs/>
        </w:rPr>
        <w:t>C. occidentalis</w:t>
      </w:r>
      <w:r w:rsidRPr="00463F67">
        <w:rPr>
          <w:rFonts w:cs="Times New Roman"/>
        </w:rPr>
        <w:t xml:space="preserve"> may help improve oxygen-carrying capa</w:t>
      </w:r>
      <w:r w:rsidR="00E9410B">
        <w:rPr>
          <w:rFonts w:cs="Times New Roman"/>
        </w:rPr>
        <w:t>c</w:t>
      </w:r>
      <w:r w:rsidRPr="00463F67">
        <w:rPr>
          <w:rFonts w:cs="Times New Roman"/>
        </w:rPr>
        <w:t>ities of red blood cells, which is often impaired in oxidative stress, by increasing MCH.</w:t>
      </w:r>
    </w:p>
    <w:p w14:paraId="613C80DE" w14:textId="26FB4619" w:rsidR="007E41E4" w:rsidRDefault="00463F67" w:rsidP="002A085D">
      <w:pPr>
        <w:spacing w:after="0" w:line="360" w:lineRule="auto"/>
        <w:rPr>
          <w:rFonts w:cs="Times New Roman"/>
          <w:szCs w:val="24"/>
        </w:rPr>
      </w:pPr>
      <w:r w:rsidRPr="00463F67">
        <w:rPr>
          <w:rFonts w:cs="Times New Roman"/>
          <w:b/>
          <w:bCs/>
          <w:szCs w:val="24"/>
        </w:rPr>
        <w:t>Keywords</w:t>
      </w:r>
      <w:r w:rsidRPr="00463F67">
        <w:rPr>
          <w:rFonts w:cs="Times New Roman"/>
          <w:szCs w:val="24"/>
        </w:rPr>
        <w:t xml:space="preserve">: </w:t>
      </w:r>
      <w:r w:rsidRPr="00463F67">
        <w:rPr>
          <w:rFonts w:cs="Times New Roman"/>
          <w:i/>
          <w:iCs/>
          <w:szCs w:val="24"/>
        </w:rPr>
        <w:t>Cassia occidentalis</w:t>
      </w:r>
      <w:r w:rsidRPr="00463F67">
        <w:rPr>
          <w:rFonts w:cs="Times New Roman"/>
          <w:szCs w:val="24"/>
        </w:rPr>
        <w:t>, acetone, oxidative stress, haematological parameters.</w:t>
      </w:r>
    </w:p>
    <w:p w14:paraId="67C3C614" w14:textId="77777777" w:rsidR="002A085D" w:rsidRDefault="002A085D" w:rsidP="002A085D">
      <w:pPr>
        <w:spacing w:after="0" w:line="360" w:lineRule="auto"/>
        <w:rPr>
          <w:rFonts w:cs="Times New Roman"/>
          <w:szCs w:val="24"/>
        </w:rPr>
      </w:pPr>
    </w:p>
    <w:p w14:paraId="4D42AE60" w14:textId="480F5CAF" w:rsidR="00A217BC" w:rsidRDefault="002A085D" w:rsidP="009C6F68">
      <w:pPr>
        <w:spacing w:after="0" w:line="360" w:lineRule="auto"/>
        <w:rPr>
          <w:rFonts w:cs="Times New Roman"/>
          <w:b/>
          <w:bCs/>
          <w:szCs w:val="24"/>
        </w:rPr>
      </w:pPr>
      <w:r>
        <w:rPr>
          <w:rFonts w:cs="Times New Roman"/>
          <w:b/>
          <w:bCs/>
          <w:szCs w:val="24"/>
        </w:rPr>
        <w:t xml:space="preserve">1.0 </w:t>
      </w:r>
      <w:r w:rsidRPr="00A217BC">
        <w:rPr>
          <w:rFonts w:cs="Times New Roman"/>
          <w:b/>
          <w:bCs/>
          <w:szCs w:val="24"/>
        </w:rPr>
        <w:t>INTRODUCTION</w:t>
      </w:r>
    </w:p>
    <w:p w14:paraId="3D0843C7" w14:textId="46165600" w:rsidR="00781743" w:rsidRDefault="00DA638A" w:rsidP="009C6F68">
      <w:pPr>
        <w:spacing w:after="0" w:line="360" w:lineRule="auto"/>
        <w:jc w:val="both"/>
        <w:rPr>
          <w:szCs w:val="24"/>
        </w:rPr>
      </w:pPr>
      <w:r>
        <w:rPr>
          <w:i/>
          <w:iCs/>
          <w:szCs w:val="24"/>
        </w:rPr>
        <w:t>Cassia occidentalis</w:t>
      </w:r>
      <w:r>
        <w:rPr>
          <w:szCs w:val="24"/>
        </w:rPr>
        <w:t xml:space="preserve">, also known as </w:t>
      </w:r>
      <w:r>
        <w:rPr>
          <w:i/>
          <w:iCs/>
          <w:szCs w:val="24"/>
        </w:rPr>
        <w:t>Senna occidentalis</w:t>
      </w:r>
      <w:r>
        <w:rPr>
          <w:szCs w:val="24"/>
        </w:rPr>
        <w:t>, or coffee senna, is a medicinal plant that many</w:t>
      </w:r>
      <w:r w:rsidR="00A017B8">
        <w:rPr>
          <w:szCs w:val="24"/>
        </w:rPr>
        <w:t xml:space="preserve"> people</w:t>
      </w:r>
      <w:r>
        <w:rPr>
          <w:szCs w:val="24"/>
        </w:rPr>
        <w:t xml:space="preserve"> believe to have various medicinal benefits. It is an annual or perennial Ayurvedic plant </w:t>
      </w:r>
      <w:r w:rsidR="00307D0A">
        <w:rPr>
          <w:szCs w:val="24"/>
        </w:rPr>
        <w:t>[1]</w:t>
      </w:r>
      <w:r>
        <w:rPr>
          <w:szCs w:val="24"/>
        </w:rPr>
        <w:t xml:space="preserve">, which is a native of the </w:t>
      </w:r>
      <w:r w:rsidR="00A017B8">
        <w:rPr>
          <w:szCs w:val="24"/>
        </w:rPr>
        <w:t>S</w:t>
      </w:r>
      <w:r>
        <w:rPr>
          <w:szCs w:val="24"/>
        </w:rPr>
        <w:t>outhern United States of America, Mexico and South America, and many tropical countries including Nigeria.</w:t>
      </w:r>
      <w:r w:rsidR="000E6A61">
        <w:rPr>
          <w:szCs w:val="24"/>
        </w:rPr>
        <w:t xml:space="preserve"> This plant has been the subject of various research</w:t>
      </w:r>
      <w:r w:rsidR="00781743">
        <w:rPr>
          <w:szCs w:val="24"/>
        </w:rPr>
        <w:t xml:space="preserve">, the </w:t>
      </w:r>
      <w:r w:rsidR="00781743">
        <w:t xml:space="preserve">extracts are known to have antibacterial, antifungal, antimalarial, anti-inflammatory, </w:t>
      </w:r>
      <w:r w:rsidR="00781743">
        <w:rPr>
          <w:szCs w:val="24"/>
        </w:rPr>
        <w:t xml:space="preserve">diuretic effects, </w:t>
      </w:r>
      <w:r w:rsidR="00781743">
        <w:t xml:space="preserve">antioxidant, hepatoprotective and Immunosuppression activity </w:t>
      </w:r>
      <w:r w:rsidR="00307D0A">
        <w:t>[2,3,4,5]</w:t>
      </w:r>
      <w:r w:rsidR="00781743">
        <w:rPr>
          <w:szCs w:val="24"/>
        </w:rPr>
        <w:t>.</w:t>
      </w:r>
    </w:p>
    <w:p w14:paraId="2CD3A88B" w14:textId="3B5AA0B9" w:rsidR="00A217BC" w:rsidRDefault="00A017B8" w:rsidP="009C6F68">
      <w:pPr>
        <w:pStyle w:val="BodyText"/>
        <w:spacing w:after="0" w:line="360" w:lineRule="auto"/>
        <w:jc w:val="both"/>
      </w:pPr>
      <w:r>
        <w:t>I</w:t>
      </w:r>
      <w:r w:rsidR="00E96095" w:rsidRPr="00E96095">
        <w:t>t is important to keep blood function as normal as possible</w:t>
      </w:r>
      <w:r>
        <w:t xml:space="preserve"> for the survival of an organism</w:t>
      </w:r>
      <w:r w:rsidR="00E96095" w:rsidRPr="00E96095">
        <w:t xml:space="preserve">, as any deviation can lead to serious defects. These defects often manifest as observable differences in the patient's hematological parameters and can be detected by a variety of </w:t>
      </w:r>
      <w:r w:rsidR="00E96095" w:rsidRPr="00E96095">
        <w:lastRenderedPageBreak/>
        <w:t xml:space="preserve">analytical techniques designed to determine these blood parameters from patient's blood sample. These parameters include hematocrit, </w:t>
      </w:r>
      <w:r w:rsidR="00E96095">
        <w:t>packed cell volume</w:t>
      </w:r>
      <w:r w:rsidR="00E96095" w:rsidRPr="00E96095">
        <w:t xml:space="preserve"> (PCV), red blood cell count (RBC), red blood cell index, total and differential white blood cell count, platelet count, etc. Together they form a very important marker of the overall state</w:t>
      </w:r>
      <w:r w:rsidR="00F37C0B">
        <w:t xml:space="preserve"> of </w:t>
      </w:r>
      <w:r w:rsidR="00E96095" w:rsidRPr="00E96095">
        <w:t xml:space="preserve">an individual's health and well-being </w:t>
      </w:r>
      <w:r w:rsidR="00C000CE">
        <w:t>[6]</w:t>
      </w:r>
      <w:r w:rsidR="00E96095" w:rsidRPr="00E96095">
        <w:t>.</w:t>
      </w:r>
      <w:r w:rsidR="00E96095">
        <w:t xml:space="preserve"> </w:t>
      </w:r>
      <w:r w:rsidR="00E96095" w:rsidRPr="00E96095">
        <w:t xml:space="preserve">Maintaining healthy biological function involves maintaining balance in the body's various systems. The importance of this can be clearly seen in the case of oxidative stress, which is a pathological condition that occurs when there is an imbalance in the production or concentration of free radicals, mainly reactive oxygen species (ROS) and biological system capabilities to easily detoxify these radicals </w:t>
      </w:r>
      <w:r w:rsidR="00C000CE">
        <w:t>[7]</w:t>
      </w:r>
      <w:r w:rsidR="00E96095" w:rsidRPr="00E96095">
        <w:t>. This imbalance leads to a build</w:t>
      </w:r>
      <w:r w:rsidR="00E96095">
        <w:t>-</w:t>
      </w:r>
      <w:r w:rsidR="00E96095" w:rsidRPr="00E96095">
        <w:t>up of free radicals that attack and damage the body's cells and tissues.</w:t>
      </w:r>
      <w:r w:rsidR="00574699">
        <w:t xml:space="preserve"> Acetone is capable of inducing oxidative stress in the body</w:t>
      </w:r>
      <w:r w:rsidR="00474793">
        <w:t>,</w:t>
      </w:r>
      <w:r w:rsidR="00574699">
        <w:t xml:space="preserve"> as it undergoes metabolic processing to produce reactive oxygen species. It can also cause the malfunction of the mitochondria, which could disrupt the electron transport chain, and cause an increase in the production of ROS within the mitochondria </w:t>
      </w:r>
      <w:r w:rsidR="00C000CE">
        <w:t>[8]</w:t>
      </w:r>
      <w:r w:rsidR="00574699">
        <w:t>.</w:t>
      </w:r>
      <w:r w:rsidR="00E96095" w:rsidRPr="00E96095">
        <w:t xml:space="preserve"> Research has shown that oxidative stress has a significant impact on hematological parameters </w:t>
      </w:r>
      <w:r w:rsidR="00C000CE">
        <w:t>[9]</w:t>
      </w:r>
      <w:r w:rsidR="00E96095" w:rsidRPr="00E96095">
        <w:t xml:space="preserve"> and is associated with various pathologies, including atherosclerosis </w:t>
      </w:r>
      <w:r w:rsidR="00C000CE">
        <w:t>[10]</w:t>
      </w:r>
      <w:r w:rsidR="00E96095" w:rsidRPr="00E96095">
        <w:t xml:space="preserve">, Alzheimer's disease </w:t>
      </w:r>
      <w:r w:rsidR="00C000CE">
        <w:t>[11]</w:t>
      </w:r>
      <w:r w:rsidR="00E96095" w:rsidRPr="00E96095">
        <w:t xml:space="preserve">, and Parkinson's </w:t>
      </w:r>
      <w:r w:rsidR="00E96095">
        <w:t>d</w:t>
      </w:r>
      <w:r w:rsidR="00E96095" w:rsidRPr="00E96095">
        <w:t xml:space="preserve">isease </w:t>
      </w:r>
      <w:r w:rsidR="00486E22">
        <w:t>[12]</w:t>
      </w:r>
      <w:r w:rsidR="00E96095" w:rsidRPr="00E96095">
        <w:t>.</w:t>
      </w:r>
    </w:p>
    <w:p w14:paraId="3AEDD12E" w14:textId="4D16CC37" w:rsidR="008B4672" w:rsidRDefault="0022241E" w:rsidP="008B4672">
      <w:pPr>
        <w:pStyle w:val="BodyText"/>
        <w:spacing w:after="0" w:line="360" w:lineRule="auto"/>
        <w:jc w:val="both"/>
      </w:pPr>
      <w:r>
        <w:t>The use of medicinal plants to treat various ailments is a common occurrence in Nigeria and many other countries. Some of these plants and plant products are often adopted as a means of treatment, especially in rural parts of Nigeria, without any prior research study conducted to ascertain if the plant</w:t>
      </w:r>
      <w:r w:rsidR="007162E1">
        <w:t>s</w:t>
      </w:r>
      <w:r>
        <w:t xml:space="preserve"> actually possess the health benefit claimed, or if it’s even safe to use or consume</w:t>
      </w:r>
      <w:r w:rsidR="007162E1">
        <w:t xml:space="preserve"> the plant</w:t>
      </w:r>
      <w:r w:rsidR="005561EA">
        <w:t xml:space="preserve"> </w:t>
      </w:r>
      <w:r w:rsidR="00486E22">
        <w:t>[9]</w:t>
      </w:r>
      <w:r>
        <w:t xml:space="preserve">. In northern Nigeria, many locals believe that </w:t>
      </w:r>
      <w:r w:rsidR="007162E1">
        <w:t xml:space="preserve">the </w:t>
      </w:r>
      <w:r>
        <w:t xml:space="preserve">leaves of </w:t>
      </w:r>
      <w:r>
        <w:rPr>
          <w:i/>
          <w:iCs/>
        </w:rPr>
        <w:t>Cassia occidentalis</w:t>
      </w:r>
      <w:r>
        <w:t xml:space="preserve"> have numerous health benefits, and</w:t>
      </w:r>
      <w:r w:rsidR="007162E1">
        <w:t xml:space="preserve"> it is commonly used in the treatment of typhoid fever, malaria, cold, and many other ailments, and it is also consumed in a form of pap here in Sokoto by many healthy locals as a form of prophylaxis. </w:t>
      </w:r>
    </w:p>
    <w:p w14:paraId="507EAB67" w14:textId="0B885D8B" w:rsidR="008B4672" w:rsidRDefault="008B4672" w:rsidP="008B4672">
      <w:pPr>
        <w:pStyle w:val="BodyText"/>
        <w:spacing w:line="360" w:lineRule="auto"/>
        <w:jc w:val="both"/>
      </w:pPr>
      <w:r>
        <w:t xml:space="preserve">A study which assessed the acute and sub-acute toxicity of hydroalcoholic extracts of </w:t>
      </w:r>
      <w:r w:rsidRPr="008B4672">
        <w:rPr>
          <w:i/>
          <w:iCs/>
        </w:rPr>
        <w:t>C. occidentalis</w:t>
      </w:r>
      <w:r>
        <w:t xml:space="preserve"> stem and leaves in both male and female animal models of Wistar rats revealed that the plant does not produce any hazardous symptoms or death, with a mean lethal dose (LD</w:t>
      </w:r>
      <w:r>
        <w:rPr>
          <w:vertAlign w:val="subscript"/>
        </w:rPr>
        <w:t>50</w:t>
      </w:r>
      <w:r>
        <w:t xml:space="preserve">) of more than 5 g/kg, suggesting it’s safe to consume by humans </w:t>
      </w:r>
      <w:r w:rsidR="00486E22">
        <w:t>[13]</w:t>
      </w:r>
      <w:r>
        <w:t>.</w:t>
      </w:r>
    </w:p>
    <w:p w14:paraId="09E9DBE1" w14:textId="17D91A5A" w:rsidR="007162E1" w:rsidRDefault="007162E1" w:rsidP="009C6F68">
      <w:pPr>
        <w:pStyle w:val="BodyText"/>
        <w:spacing w:line="360" w:lineRule="auto"/>
        <w:jc w:val="both"/>
      </w:pPr>
      <w:r>
        <w:rPr>
          <w:rFonts w:cs="Times New Roman"/>
        </w:rPr>
        <w:t xml:space="preserve">Therefore, the aim of this study </w:t>
      </w:r>
      <w:r w:rsidR="00574699">
        <w:t>wa</w:t>
      </w:r>
      <w:r>
        <w:t xml:space="preserve">s to determine the effects of aqueous </w:t>
      </w:r>
      <w:r>
        <w:rPr>
          <w:i/>
          <w:iCs/>
        </w:rPr>
        <w:t>C. occidentalis</w:t>
      </w:r>
      <w:r>
        <w:t xml:space="preserve"> leaves extract on </w:t>
      </w:r>
      <w:proofErr w:type="spellStart"/>
      <w:r>
        <w:t>haematological</w:t>
      </w:r>
      <w:proofErr w:type="spellEnd"/>
      <w:r>
        <w:t xml:space="preserve"> parameters in acetone-induced oxidative stress Wistar rats.</w:t>
      </w:r>
    </w:p>
    <w:p w14:paraId="681D0203" w14:textId="47AF37F1" w:rsidR="004828A0" w:rsidRPr="004828A0" w:rsidRDefault="004828A0" w:rsidP="009C6F68">
      <w:pPr>
        <w:spacing w:after="0" w:line="360" w:lineRule="auto"/>
        <w:rPr>
          <w:b/>
          <w:bCs/>
        </w:rPr>
      </w:pPr>
      <w:bookmarkStart w:id="0" w:name="__DdeLink__26912_3965141728"/>
      <w:bookmarkStart w:id="1" w:name="__DdeLink__48665_3965141728"/>
      <w:r w:rsidRPr="004828A0">
        <w:rPr>
          <w:b/>
          <w:bCs/>
        </w:rPr>
        <w:t>1.</w:t>
      </w:r>
      <w:r>
        <w:rPr>
          <w:b/>
          <w:bCs/>
        </w:rPr>
        <w:t>1</w:t>
      </w:r>
      <w:r w:rsidRPr="004828A0">
        <w:rPr>
          <w:b/>
          <w:bCs/>
        </w:rPr>
        <w:t xml:space="preserve"> Research Hypotheses</w:t>
      </w:r>
      <w:bookmarkEnd w:id="0"/>
      <w:bookmarkEnd w:id="1"/>
    </w:p>
    <w:p w14:paraId="1162350E" w14:textId="727BC0A5" w:rsidR="004828A0" w:rsidRPr="004828A0" w:rsidRDefault="004828A0" w:rsidP="009C6F68">
      <w:pPr>
        <w:spacing w:after="0" w:line="360" w:lineRule="auto"/>
        <w:rPr>
          <w:b/>
          <w:bCs/>
        </w:rPr>
      </w:pPr>
      <w:bookmarkStart w:id="2" w:name="__RefHeading___Toc2314_318677512"/>
      <w:bookmarkEnd w:id="2"/>
      <w:r w:rsidRPr="004828A0">
        <w:rPr>
          <w:b/>
          <w:bCs/>
        </w:rPr>
        <w:t>1.</w:t>
      </w:r>
      <w:r>
        <w:rPr>
          <w:b/>
          <w:bCs/>
        </w:rPr>
        <w:t>1</w:t>
      </w:r>
      <w:r w:rsidRPr="004828A0">
        <w:rPr>
          <w:b/>
          <w:bCs/>
        </w:rPr>
        <w:t>.1 Null Hypothesis (H</w:t>
      </w:r>
      <w:r w:rsidRPr="004828A0">
        <w:rPr>
          <w:b/>
          <w:bCs/>
          <w:vertAlign w:val="subscript"/>
        </w:rPr>
        <w:t>0</w:t>
      </w:r>
      <w:r w:rsidRPr="004828A0">
        <w:rPr>
          <w:b/>
          <w:bCs/>
        </w:rPr>
        <w:t>)</w:t>
      </w:r>
    </w:p>
    <w:p w14:paraId="7F9A1FEA" w14:textId="1BF48CBC" w:rsidR="004828A0" w:rsidRDefault="004828A0" w:rsidP="00D04B60">
      <w:pPr>
        <w:pStyle w:val="BodyText"/>
        <w:spacing w:line="360" w:lineRule="auto"/>
        <w:jc w:val="both"/>
      </w:pPr>
      <w:r>
        <w:rPr>
          <w:rFonts w:eastAsia="Noto Sans CJK SC"/>
        </w:rPr>
        <w:lastRenderedPageBreak/>
        <w:t xml:space="preserve">Aqueous leaves extracts of </w:t>
      </w:r>
      <w:r>
        <w:rPr>
          <w:rFonts w:eastAsia="Noto Sans CJK SC"/>
          <w:i/>
          <w:iCs/>
        </w:rPr>
        <w:t>C. occidentalis</w:t>
      </w:r>
      <w:r>
        <w:rPr>
          <w:rFonts w:eastAsia="Noto Sans CJK SC"/>
        </w:rPr>
        <w:t xml:space="preserve"> has no statistically significant effect on </w:t>
      </w:r>
      <w:proofErr w:type="spellStart"/>
      <w:r>
        <w:rPr>
          <w:rFonts w:eastAsia="Noto Sans CJK SC"/>
        </w:rPr>
        <w:t>haematological</w:t>
      </w:r>
      <w:proofErr w:type="spellEnd"/>
      <w:r>
        <w:rPr>
          <w:rFonts w:eastAsia="Noto Sans CJK SC"/>
        </w:rPr>
        <w:t xml:space="preserve"> parameters in acetone-induced oxidative stress</w:t>
      </w:r>
      <w:r w:rsidR="00236E69">
        <w:rPr>
          <w:rFonts w:eastAsia="Noto Sans CJK SC"/>
        </w:rPr>
        <w:t>ed</w:t>
      </w:r>
      <w:r>
        <w:rPr>
          <w:rFonts w:eastAsia="Noto Sans CJK SC"/>
        </w:rPr>
        <w:t xml:space="preserve"> Wistar rats.</w:t>
      </w:r>
    </w:p>
    <w:p w14:paraId="56C75F4C" w14:textId="389F064D" w:rsidR="004828A0" w:rsidRPr="00A5681C" w:rsidRDefault="004828A0" w:rsidP="009C6F68">
      <w:pPr>
        <w:spacing w:after="0" w:line="360" w:lineRule="auto"/>
        <w:rPr>
          <w:rFonts w:cs="Times New Roman"/>
          <w:b/>
          <w:bCs/>
          <w:szCs w:val="24"/>
        </w:rPr>
      </w:pPr>
      <w:bookmarkStart w:id="3" w:name="__RefHeading___Toc2316_318677512"/>
      <w:bookmarkEnd w:id="3"/>
      <w:r w:rsidRPr="00A5681C">
        <w:rPr>
          <w:rFonts w:cs="Times New Roman"/>
          <w:b/>
          <w:bCs/>
          <w:szCs w:val="24"/>
        </w:rPr>
        <w:t>1.1.2 Alternative Hypothesis (H</w:t>
      </w:r>
      <w:r w:rsidR="00661D7C" w:rsidRPr="00661D7C">
        <w:rPr>
          <w:rFonts w:cs="Times New Roman"/>
          <w:b/>
          <w:bCs/>
          <w:szCs w:val="24"/>
          <w:vertAlign w:val="subscript"/>
        </w:rPr>
        <w:t>a</w:t>
      </w:r>
      <w:r w:rsidRPr="00A5681C">
        <w:rPr>
          <w:rFonts w:cs="Times New Roman"/>
          <w:b/>
          <w:bCs/>
          <w:szCs w:val="24"/>
        </w:rPr>
        <w:t>)</w:t>
      </w:r>
    </w:p>
    <w:p w14:paraId="399FDA39" w14:textId="38F60CD9" w:rsidR="004828A0" w:rsidRDefault="004828A0" w:rsidP="009C6F68">
      <w:pPr>
        <w:pStyle w:val="BodyText"/>
        <w:spacing w:after="0" w:line="360" w:lineRule="auto"/>
        <w:jc w:val="both"/>
        <w:rPr>
          <w:rFonts w:cs="Times New Roman"/>
        </w:rPr>
      </w:pPr>
      <w:r w:rsidRPr="00A5681C">
        <w:rPr>
          <w:rFonts w:cs="Times New Roman"/>
        </w:rPr>
        <w:t xml:space="preserve">Aqueous leaves extracts of </w:t>
      </w:r>
      <w:r w:rsidRPr="00A5681C">
        <w:rPr>
          <w:rFonts w:cs="Times New Roman"/>
          <w:i/>
          <w:iCs/>
        </w:rPr>
        <w:t>C. occidentalis</w:t>
      </w:r>
      <w:r w:rsidRPr="00A5681C">
        <w:rPr>
          <w:rFonts w:cs="Times New Roman"/>
        </w:rPr>
        <w:t xml:space="preserve"> has a statistically significant effect on </w:t>
      </w:r>
      <w:proofErr w:type="spellStart"/>
      <w:r w:rsidRPr="00A5681C">
        <w:rPr>
          <w:rFonts w:cs="Times New Roman"/>
        </w:rPr>
        <w:t>haematological</w:t>
      </w:r>
      <w:proofErr w:type="spellEnd"/>
      <w:r w:rsidRPr="00A5681C">
        <w:rPr>
          <w:rFonts w:cs="Times New Roman"/>
        </w:rPr>
        <w:t xml:space="preserve"> parameters in acetone-induced oxidative stress</w:t>
      </w:r>
      <w:r w:rsidR="00236E69" w:rsidRPr="00A5681C">
        <w:rPr>
          <w:rFonts w:cs="Times New Roman"/>
        </w:rPr>
        <w:t>ed</w:t>
      </w:r>
      <w:r w:rsidRPr="00A5681C">
        <w:rPr>
          <w:rFonts w:cs="Times New Roman"/>
        </w:rPr>
        <w:t xml:space="preserve"> Wistar rats.</w:t>
      </w:r>
    </w:p>
    <w:p w14:paraId="24B49457" w14:textId="77777777" w:rsidR="009C6F68" w:rsidRDefault="009C6F68" w:rsidP="009C6F68">
      <w:pPr>
        <w:pStyle w:val="BodyText"/>
        <w:spacing w:after="0" w:line="360" w:lineRule="auto"/>
        <w:jc w:val="both"/>
        <w:rPr>
          <w:rFonts w:cs="Times New Roman"/>
        </w:rPr>
      </w:pPr>
    </w:p>
    <w:p w14:paraId="22606C07" w14:textId="70E24EC1" w:rsidR="004828A0" w:rsidRPr="009C6F68" w:rsidRDefault="002A085D" w:rsidP="009C6F68">
      <w:pPr>
        <w:pStyle w:val="BodyText"/>
        <w:spacing w:after="0" w:line="360" w:lineRule="auto"/>
        <w:jc w:val="both"/>
        <w:rPr>
          <w:rFonts w:cs="Times New Roman"/>
          <w:b/>
          <w:bCs/>
        </w:rPr>
      </w:pPr>
      <w:r w:rsidRPr="009C6F68">
        <w:rPr>
          <w:rFonts w:cs="Times New Roman"/>
          <w:b/>
          <w:bCs/>
        </w:rPr>
        <w:t>2.0 MATERIALS AND METHODS</w:t>
      </w:r>
    </w:p>
    <w:p w14:paraId="681DA7A9" w14:textId="7FE09965" w:rsidR="00853CA6" w:rsidRPr="009C6F68" w:rsidRDefault="00853CA6" w:rsidP="009C6F68">
      <w:pPr>
        <w:pStyle w:val="BodyText"/>
        <w:spacing w:after="0" w:line="360" w:lineRule="auto"/>
        <w:jc w:val="both"/>
        <w:rPr>
          <w:rFonts w:cs="Times New Roman"/>
          <w:b/>
          <w:bCs/>
        </w:rPr>
      </w:pPr>
      <w:r w:rsidRPr="009C6F68">
        <w:rPr>
          <w:rFonts w:cs="Times New Roman"/>
          <w:b/>
          <w:bCs/>
        </w:rPr>
        <w:t xml:space="preserve">2.1 </w:t>
      </w:r>
      <w:r w:rsidR="001B4097" w:rsidRPr="009C6F68">
        <w:rPr>
          <w:rFonts w:cs="Times New Roman"/>
          <w:b/>
          <w:bCs/>
        </w:rPr>
        <w:t>Preparation of Aqueous Extract</w:t>
      </w:r>
    </w:p>
    <w:p w14:paraId="4D90F4B7" w14:textId="453D36EE" w:rsidR="001B4097" w:rsidRPr="009C6F68" w:rsidRDefault="001B4097" w:rsidP="009C6F68">
      <w:pPr>
        <w:pStyle w:val="BodyText"/>
        <w:spacing w:line="360" w:lineRule="auto"/>
        <w:jc w:val="both"/>
        <w:rPr>
          <w:rFonts w:cs="Times New Roman"/>
        </w:rPr>
      </w:pPr>
      <w:r w:rsidRPr="009C6F68">
        <w:rPr>
          <w:rFonts w:cs="Times New Roman"/>
        </w:rPr>
        <w:t xml:space="preserve">Leaves of </w:t>
      </w:r>
      <w:r w:rsidRPr="009C6F68">
        <w:rPr>
          <w:rFonts w:cs="Times New Roman"/>
          <w:i/>
          <w:iCs/>
        </w:rPr>
        <w:t xml:space="preserve">C. occidentalis </w:t>
      </w:r>
      <w:r w:rsidRPr="009C6F68">
        <w:rPr>
          <w:rFonts w:cs="Times New Roman"/>
        </w:rPr>
        <w:t xml:space="preserve">obtained around </w:t>
      </w:r>
      <w:proofErr w:type="spellStart"/>
      <w:r w:rsidRPr="009C6F68">
        <w:rPr>
          <w:rFonts w:cs="Times New Roman"/>
        </w:rPr>
        <w:t>Nakasari</w:t>
      </w:r>
      <w:proofErr w:type="spellEnd"/>
      <w:r w:rsidRPr="009C6F68">
        <w:rPr>
          <w:rFonts w:cs="Times New Roman"/>
        </w:rPr>
        <w:t xml:space="preserve"> </w:t>
      </w:r>
      <w:r w:rsidR="00453481" w:rsidRPr="009C6F68">
        <w:rPr>
          <w:rFonts w:cs="Times New Roman"/>
        </w:rPr>
        <w:t>A</w:t>
      </w:r>
      <w:r w:rsidRPr="009C6F68">
        <w:rPr>
          <w:rFonts w:cs="Times New Roman"/>
        </w:rPr>
        <w:t xml:space="preserve">rea, Sokoto South, were shade-dried for </w:t>
      </w:r>
      <w:r w:rsidR="007B770C">
        <w:rPr>
          <w:rFonts w:cs="Times New Roman"/>
        </w:rPr>
        <w:t>a</w:t>
      </w:r>
      <w:r w:rsidRPr="009C6F68">
        <w:rPr>
          <w:rFonts w:cs="Times New Roman"/>
        </w:rPr>
        <w:t xml:space="preserve"> week, gr</w:t>
      </w:r>
      <w:r w:rsidR="007B770C">
        <w:rPr>
          <w:rFonts w:cs="Times New Roman"/>
        </w:rPr>
        <w:t>i</w:t>
      </w:r>
      <w:r w:rsidRPr="009C6F68">
        <w:rPr>
          <w:rFonts w:cs="Times New Roman"/>
        </w:rPr>
        <w:t>nd</w:t>
      </w:r>
      <w:r w:rsidR="007B770C">
        <w:rPr>
          <w:rFonts w:cs="Times New Roman"/>
        </w:rPr>
        <w:t>ed</w:t>
      </w:r>
      <w:r w:rsidRPr="009C6F68">
        <w:rPr>
          <w:rFonts w:cs="Times New Roman"/>
        </w:rPr>
        <w:t xml:space="preserve"> and sieved into fine powder. 150 mg of this powder was soaked over-night in 1.5 L of distilled water. The mixture was filtered, and the filtrate was collected and allowed to settle undisturbed. It was then transferred into a wide container and placed in an evaporator to obtain an oily sediment. This sediment was used to prepare 300 mg/kg and 500 mg/kg of aqueous extract with regards to the individual weight of the animal subjects.</w:t>
      </w:r>
    </w:p>
    <w:p w14:paraId="7F818C37" w14:textId="791FB87C" w:rsidR="001B4097" w:rsidRPr="009C6F68" w:rsidRDefault="001B4097" w:rsidP="009C6F68">
      <w:pPr>
        <w:pStyle w:val="BodyText"/>
        <w:spacing w:after="0" w:line="360" w:lineRule="auto"/>
        <w:jc w:val="both"/>
        <w:rPr>
          <w:rFonts w:cs="Times New Roman"/>
          <w:b/>
          <w:bCs/>
        </w:rPr>
      </w:pPr>
      <w:r w:rsidRPr="009C6F68">
        <w:rPr>
          <w:rFonts w:cs="Times New Roman"/>
          <w:b/>
          <w:bCs/>
        </w:rPr>
        <w:t>2.2 Animal Model</w:t>
      </w:r>
    </w:p>
    <w:p w14:paraId="28A88615" w14:textId="4C2A28B6" w:rsidR="00B009EC" w:rsidRPr="009C6F68" w:rsidRDefault="00B009EC" w:rsidP="009C6F68">
      <w:pPr>
        <w:pStyle w:val="BodyText"/>
        <w:spacing w:line="360" w:lineRule="auto"/>
        <w:jc w:val="both"/>
        <w:rPr>
          <w:rFonts w:cs="Times New Roman"/>
        </w:rPr>
      </w:pPr>
      <w:r w:rsidRPr="009C6F68">
        <w:rPr>
          <w:rFonts w:cs="Times New Roman"/>
        </w:rPr>
        <w:t xml:space="preserve">For this research, 20 albino Wistar rats were obtained from the animal house at </w:t>
      </w:r>
      <w:r w:rsidR="006950E2">
        <w:rPr>
          <w:rFonts w:cs="Times New Roman"/>
        </w:rPr>
        <w:t xml:space="preserve">Faculty of Pharmaceutical Sciences, </w:t>
      </w:r>
      <w:proofErr w:type="spellStart"/>
      <w:r w:rsidRPr="009C6F68">
        <w:rPr>
          <w:rFonts w:cs="Times New Roman"/>
        </w:rPr>
        <w:t>Usmanu</w:t>
      </w:r>
      <w:proofErr w:type="spellEnd"/>
      <w:r w:rsidRPr="009C6F68">
        <w:rPr>
          <w:rFonts w:cs="Times New Roman"/>
        </w:rPr>
        <w:t xml:space="preserve"> </w:t>
      </w:r>
      <w:proofErr w:type="spellStart"/>
      <w:r w:rsidRPr="009C6F68">
        <w:rPr>
          <w:rFonts w:cs="Times New Roman"/>
        </w:rPr>
        <w:t>Danfodiyo</w:t>
      </w:r>
      <w:proofErr w:type="spellEnd"/>
      <w:r w:rsidRPr="009C6F68">
        <w:rPr>
          <w:rFonts w:cs="Times New Roman"/>
        </w:rPr>
        <w:t xml:space="preserve"> University, Sokoto </w:t>
      </w:r>
      <w:r w:rsidR="00A9398D">
        <w:rPr>
          <w:rFonts w:cs="Times New Roman"/>
        </w:rPr>
        <w:t>S</w:t>
      </w:r>
      <w:r w:rsidRPr="009C6F68">
        <w:rPr>
          <w:rFonts w:cs="Times New Roman"/>
        </w:rPr>
        <w:t>tate, Nigeria. The rats were housed in wire mesh cages, and placed on standard rat feed and water for 3 weeks for acclimatization.</w:t>
      </w:r>
    </w:p>
    <w:p w14:paraId="314201FB" w14:textId="365FFEE0" w:rsidR="001B4097" w:rsidRPr="009C6F68" w:rsidRDefault="001B4097" w:rsidP="009C6F68">
      <w:pPr>
        <w:pStyle w:val="BodyText"/>
        <w:spacing w:after="0" w:line="360" w:lineRule="auto"/>
        <w:jc w:val="both"/>
        <w:rPr>
          <w:rFonts w:cs="Times New Roman"/>
          <w:b/>
          <w:bCs/>
        </w:rPr>
      </w:pPr>
      <w:r w:rsidRPr="009C6F68">
        <w:rPr>
          <w:rFonts w:cs="Times New Roman"/>
          <w:b/>
          <w:bCs/>
        </w:rPr>
        <w:t>2.3 Experimental Design</w:t>
      </w:r>
    </w:p>
    <w:p w14:paraId="06F1A4CC" w14:textId="67E6F3F6" w:rsidR="00A217BC" w:rsidRPr="009C6F68" w:rsidRDefault="00B009EC" w:rsidP="00D04B60">
      <w:pPr>
        <w:pStyle w:val="BodyText"/>
        <w:spacing w:line="360" w:lineRule="auto"/>
        <w:jc w:val="both"/>
        <w:rPr>
          <w:rFonts w:cs="Times New Roman"/>
        </w:rPr>
      </w:pPr>
      <w:r w:rsidRPr="009C6F68">
        <w:rPr>
          <w:rFonts w:cs="Times New Roman"/>
        </w:rPr>
        <w:t xml:space="preserve">At the end of the acclimatization period, the rats were weighed and 16 were </w:t>
      </w:r>
      <w:r w:rsidR="00386DF6">
        <w:rPr>
          <w:rFonts w:cs="Times New Roman"/>
        </w:rPr>
        <w:t xml:space="preserve">randomly </w:t>
      </w:r>
      <w:r w:rsidRPr="009C6F68">
        <w:rPr>
          <w:rFonts w:cs="Times New Roman"/>
        </w:rPr>
        <w:t>selected for the research, with the weight range between 122 to 197g. The selected animals were grouped into four (4) groups: Group 1 (10% acetone + 300 mg/kg of extract), Group 2 (10% acetone + 500 mg/kg of extract), Group 3 (10% acetone only), Group 4 (control group).</w:t>
      </w:r>
    </w:p>
    <w:p w14:paraId="344D3AED" w14:textId="6B5E32FC" w:rsidR="00B009EC" w:rsidRPr="009C6F68" w:rsidRDefault="00B009EC" w:rsidP="009C6F68">
      <w:pPr>
        <w:pStyle w:val="BodyText"/>
        <w:spacing w:after="0" w:line="360" w:lineRule="auto"/>
        <w:jc w:val="both"/>
        <w:rPr>
          <w:rFonts w:cs="Times New Roman"/>
        </w:rPr>
      </w:pPr>
      <w:r w:rsidRPr="009C6F68">
        <w:rPr>
          <w:rFonts w:cs="Times New Roman"/>
          <w:b/>
          <w:bCs/>
        </w:rPr>
        <w:t>2.4 Induction of Oxidative Stress</w:t>
      </w:r>
    </w:p>
    <w:p w14:paraId="1DBB155E" w14:textId="77777777" w:rsidR="00B009EC" w:rsidRPr="009C6F68" w:rsidRDefault="00B009EC" w:rsidP="009C6F68">
      <w:pPr>
        <w:pStyle w:val="BodyText"/>
        <w:spacing w:line="360" w:lineRule="auto"/>
        <w:jc w:val="both"/>
        <w:rPr>
          <w:rFonts w:cs="Times New Roman"/>
        </w:rPr>
      </w:pPr>
      <w:r w:rsidRPr="009C6F68">
        <w:rPr>
          <w:rFonts w:cs="Times New Roman"/>
        </w:rPr>
        <w:t>A 10% solution of diluted acetone was prepared by mixing absolute acetone and distilled water in a ratio of 1:9. Using a 5 ml plastic syringe attached to a cannula, animal subjects in group 1, 2, and 3 were administered orally with 2 ml of the 10% acetone solution daily for a period of six (6) days to induce oxidative stress in them.</w:t>
      </w:r>
    </w:p>
    <w:p w14:paraId="437A91FA" w14:textId="38FCE860" w:rsidR="00B009EC" w:rsidRPr="009C6F68" w:rsidRDefault="00B009EC" w:rsidP="009C6F68">
      <w:pPr>
        <w:pStyle w:val="BodyText"/>
        <w:spacing w:after="0" w:line="360" w:lineRule="auto"/>
        <w:jc w:val="both"/>
        <w:rPr>
          <w:rFonts w:cs="Times New Roman"/>
          <w:b/>
          <w:bCs/>
        </w:rPr>
      </w:pPr>
      <w:r w:rsidRPr="009C6F68">
        <w:rPr>
          <w:rFonts w:cs="Times New Roman"/>
          <w:b/>
          <w:bCs/>
        </w:rPr>
        <w:t>2.5 Administration of Aqueous Extract</w:t>
      </w:r>
    </w:p>
    <w:p w14:paraId="763DD6BB" w14:textId="77777777" w:rsidR="00B009EC" w:rsidRPr="009C6F68" w:rsidRDefault="00B009EC" w:rsidP="009C6F68">
      <w:pPr>
        <w:pStyle w:val="BodyText"/>
        <w:spacing w:line="360" w:lineRule="auto"/>
        <w:jc w:val="both"/>
        <w:rPr>
          <w:rFonts w:cs="Times New Roman"/>
        </w:rPr>
      </w:pPr>
      <w:r w:rsidRPr="009C6F68">
        <w:rPr>
          <w:rFonts w:cs="Times New Roman"/>
        </w:rPr>
        <w:t xml:space="preserve">Following the administration of acetone, group 1 and 2 were treated with 300 mg/kg and 500 mg/kg, respectively, of the aqueous extract of </w:t>
      </w:r>
      <w:r w:rsidRPr="009C6F68">
        <w:rPr>
          <w:rFonts w:cs="Times New Roman"/>
          <w:i/>
          <w:iCs/>
        </w:rPr>
        <w:t>C. occidentalis</w:t>
      </w:r>
      <w:r w:rsidRPr="009C6F68">
        <w:rPr>
          <w:rFonts w:cs="Times New Roman"/>
        </w:rPr>
        <w:t xml:space="preserve"> leaves. The administration was </w:t>
      </w:r>
      <w:r w:rsidRPr="009C6F68">
        <w:rPr>
          <w:rFonts w:cs="Times New Roman"/>
        </w:rPr>
        <w:lastRenderedPageBreak/>
        <w:t>performed orally using a 5 ml plastic syringe attached to a cannula, and was done once daily for a period of 7 days.</w:t>
      </w:r>
    </w:p>
    <w:p w14:paraId="655DB37C" w14:textId="2A35D42E" w:rsidR="00B009EC" w:rsidRPr="009C6F68" w:rsidRDefault="00B009EC" w:rsidP="009C6F68">
      <w:pPr>
        <w:pStyle w:val="BodyText"/>
        <w:spacing w:after="0" w:line="360" w:lineRule="auto"/>
        <w:jc w:val="both"/>
        <w:rPr>
          <w:rFonts w:cs="Times New Roman"/>
          <w:b/>
          <w:bCs/>
        </w:rPr>
      </w:pPr>
      <w:r w:rsidRPr="009C6F68">
        <w:rPr>
          <w:rFonts w:cs="Times New Roman"/>
          <w:b/>
          <w:bCs/>
        </w:rPr>
        <w:t>2.6 Blood Sample Collection and Analysis</w:t>
      </w:r>
    </w:p>
    <w:p w14:paraId="445EC357" w14:textId="739340FA" w:rsidR="00B009EC" w:rsidRDefault="00B009EC" w:rsidP="00677557">
      <w:pPr>
        <w:pStyle w:val="BodyText"/>
        <w:spacing w:line="360" w:lineRule="auto"/>
        <w:jc w:val="both"/>
        <w:rPr>
          <w:rFonts w:cs="Times New Roman"/>
        </w:rPr>
      </w:pPr>
      <w:r w:rsidRPr="009C6F68">
        <w:rPr>
          <w:rFonts w:cs="Times New Roman"/>
        </w:rPr>
        <w:t xml:space="preserve">Following the treatment with </w:t>
      </w:r>
      <w:r w:rsidRPr="009C6F68">
        <w:rPr>
          <w:rFonts w:cs="Times New Roman"/>
          <w:i/>
          <w:iCs/>
        </w:rPr>
        <w:t>C. occidentalis</w:t>
      </w:r>
      <w:r w:rsidRPr="009C6F68">
        <w:rPr>
          <w:rFonts w:cs="Times New Roman"/>
        </w:rPr>
        <w:t xml:space="preserve"> leaves extract, 2 ml of blood was collected from </w:t>
      </w:r>
      <w:r w:rsidR="00386DF6">
        <w:rPr>
          <w:rFonts w:cs="Times New Roman"/>
        </w:rPr>
        <w:t xml:space="preserve">each of </w:t>
      </w:r>
      <w:r w:rsidRPr="009C6F68">
        <w:rPr>
          <w:rFonts w:cs="Times New Roman"/>
        </w:rPr>
        <w:t xml:space="preserve">the animal subjects through cardiac puncture under chloroform </w:t>
      </w:r>
      <w:proofErr w:type="spellStart"/>
      <w:r w:rsidRPr="009C6F68">
        <w:rPr>
          <w:rFonts w:cs="Times New Roman"/>
        </w:rPr>
        <w:t>anaesthesia</w:t>
      </w:r>
      <w:proofErr w:type="spellEnd"/>
      <w:r w:rsidRPr="009C6F68">
        <w:rPr>
          <w:rFonts w:cs="Times New Roman"/>
        </w:rPr>
        <w:t xml:space="preserve">, and dispensed into labeled ethylene diamine </w:t>
      </w:r>
      <w:r w:rsidR="00141EB4" w:rsidRPr="009C6F68">
        <w:rPr>
          <w:rFonts w:cs="Times New Roman"/>
        </w:rPr>
        <w:t>tetra acetic</w:t>
      </w:r>
      <w:r w:rsidRPr="009C6F68">
        <w:rPr>
          <w:rFonts w:cs="Times New Roman"/>
        </w:rPr>
        <w:t xml:space="preserve"> acid (EDTA) sample bottles. The samples were </w:t>
      </w:r>
      <w:proofErr w:type="spellStart"/>
      <w:r w:rsidRPr="009C6F68">
        <w:rPr>
          <w:rFonts w:cs="Times New Roman"/>
        </w:rPr>
        <w:t>analysed</w:t>
      </w:r>
      <w:proofErr w:type="spellEnd"/>
      <w:r w:rsidRPr="009C6F68">
        <w:rPr>
          <w:rFonts w:cs="Times New Roman"/>
        </w:rPr>
        <w:t xml:space="preserve"> 3 hours after collection using Sysmex KX-21N, which is an automated 3-part </w:t>
      </w:r>
      <w:proofErr w:type="spellStart"/>
      <w:r w:rsidRPr="009C6F68">
        <w:rPr>
          <w:rFonts w:cs="Times New Roman"/>
        </w:rPr>
        <w:t>haematology</w:t>
      </w:r>
      <w:proofErr w:type="spellEnd"/>
      <w:r w:rsidRPr="009C6F68">
        <w:rPr>
          <w:rFonts w:cs="Times New Roman"/>
        </w:rPr>
        <w:t xml:space="preserve"> analyzer, to determine the </w:t>
      </w:r>
      <w:proofErr w:type="spellStart"/>
      <w:r w:rsidRPr="009C6F68">
        <w:rPr>
          <w:rFonts w:cs="Times New Roman"/>
        </w:rPr>
        <w:t>haematological</w:t>
      </w:r>
      <w:proofErr w:type="spellEnd"/>
      <w:r w:rsidRPr="009C6F68">
        <w:rPr>
          <w:rFonts w:cs="Times New Roman"/>
        </w:rPr>
        <w:t xml:space="preserve"> parameters (</w:t>
      </w:r>
      <w:r w:rsidR="00141EB4">
        <w:rPr>
          <w:rFonts w:cs="Times New Roman"/>
        </w:rPr>
        <w:t>F</w:t>
      </w:r>
      <w:r w:rsidRPr="009C6F68">
        <w:rPr>
          <w:rFonts w:cs="Times New Roman"/>
        </w:rPr>
        <w:t xml:space="preserve">ull </w:t>
      </w:r>
      <w:r w:rsidR="00141EB4">
        <w:rPr>
          <w:rFonts w:cs="Times New Roman"/>
        </w:rPr>
        <w:t>B</w:t>
      </w:r>
      <w:r w:rsidRPr="009C6F68">
        <w:rPr>
          <w:rFonts w:cs="Times New Roman"/>
        </w:rPr>
        <w:t xml:space="preserve">lood </w:t>
      </w:r>
      <w:r w:rsidR="00141EB4">
        <w:rPr>
          <w:rFonts w:cs="Times New Roman"/>
        </w:rPr>
        <w:t>C</w:t>
      </w:r>
      <w:r w:rsidRPr="009C6F68">
        <w:rPr>
          <w:rFonts w:cs="Times New Roman"/>
        </w:rPr>
        <w:t>ount - FBC) of the animal subjects.</w:t>
      </w:r>
    </w:p>
    <w:p w14:paraId="7F670E6F" w14:textId="506605ED" w:rsidR="00677557" w:rsidRDefault="00677557" w:rsidP="00677557">
      <w:pPr>
        <w:autoSpaceDE w:val="0"/>
        <w:autoSpaceDN w:val="0"/>
        <w:adjustRightInd w:val="0"/>
        <w:spacing w:after="0" w:line="360" w:lineRule="auto"/>
        <w:jc w:val="both"/>
        <w:rPr>
          <w:rFonts w:cs="Times New Roman"/>
          <w:b/>
          <w:szCs w:val="24"/>
        </w:rPr>
      </w:pPr>
      <w:bookmarkStart w:id="4" w:name="_Hlk165804505"/>
      <w:r>
        <w:rPr>
          <w:rFonts w:cs="Times New Roman"/>
          <w:b/>
          <w:szCs w:val="24"/>
        </w:rPr>
        <w:t xml:space="preserve">2.7 </w:t>
      </w:r>
      <w:r w:rsidR="00B76FE5">
        <w:rPr>
          <w:rFonts w:cs="Times New Roman"/>
          <w:b/>
          <w:szCs w:val="24"/>
        </w:rPr>
        <w:t>Data</w:t>
      </w:r>
      <w:r w:rsidRPr="00BA1861">
        <w:rPr>
          <w:rFonts w:cs="Times New Roman"/>
          <w:b/>
          <w:szCs w:val="24"/>
        </w:rPr>
        <w:t xml:space="preserve"> Analysis</w:t>
      </w:r>
    </w:p>
    <w:p w14:paraId="2FA1AC04" w14:textId="00F6E55F" w:rsidR="00677557" w:rsidRPr="00CC73B0" w:rsidRDefault="00677557" w:rsidP="00CC73B0">
      <w:pPr>
        <w:autoSpaceDE w:val="0"/>
        <w:autoSpaceDN w:val="0"/>
        <w:adjustRightInd w:val="0"/>
        <w:spacing w:after="0" w:line="360" w:lineRule="auto"/>
        <w:jc w:val="both"/>
        <w:rPr>
          <w:rFonts w:cs="Times New Roman"/>
          <w:szCs w:val="24"/>
          <w:lang w:val="en-US"/>
        </w:rPr>
      </w:pPr>
      <w:r w:rsidRPr="00CC73B0">
        <w:rPr>
          <w:rFonts w:cs="Times New Roman"/>
          <w:szCs w:val="24"/>
        </w:rPr>
        <w:t xml:space="preserve">The </w:t>
      </w:r>
      <w:r w:rsidR="00B76FE5">
        <w:rPr>
          <w:rFonts w:cs="Times New Roman"/>
          <w:szCs w:val="24"/>
        </w:rPr>
        <w:t>data</w:t>
      </w:r>
      <w:r w:rsidRPr="00CC73B0">
        <w:rPr>
          <w:rFonts w:cs="Times New Roman"/>
          <w:szCs w:val="24"/>
        </w:rPr>
        <w:t xml:space="preserve"> for this study was </w:t>
      </w:r>
      <w:r w:rsidR="00B76FE5">
        <w:rPr>
          <w:rFonts w:cs="Times New Roman"/>
          <w:szCs w:val="24"/>
        </w:rPr>
        <w:t>analysed</w:t>
      </w:r>
      <w:r w:rsidRPr="00CC73B0">
        <w:rPr>
          <w:rFonts w:cs="Times New Roman"/>
          <w:szCs w:val="24"/>
        </w:rPr>
        <w:t xml:space="preserve"> using the Statistical Package for Social Sciences (SPSS) software version 23. </w:t>
      </w:r>
      <w:r w:rsidR="00CC73B0" w:rsidRPr="00CC73B0">
        <w:rPr>
          <w:rFonts w:cs="Times New Roman"/>
          <w:szCs w:val="24"/>
          <w:lang w:val="en-US"/>
        </w:rPr>
        <w:t xml:space="preserve">Results of </w:t>
      </w:r>
      <w:proofErr w:type="spellStart"/>
      <w:r w:rsidR="00CC73B0">
        <w:rPr>
          <w:rFonts w:cs="Times New Roman"/>
          <w:szCs w:val="24"/>
          <w:lang w:val="en-US"/>
        </w:rPr>
        <w:t>haematological</w:t>
      </w:r>
      <w:proofErr w:type="spellEnd"/>
      <w:r w:rsidR="00CC73B0">
        <w:rPr>
          <w:rFonts w:cs="Times New Roman"/>
          <w:szCs w:val="24"/>
          <w:lang w:val="en-US"/>
        </w:rPr>
        <w:t xml:space="preserve"> parameters</w:t>
      </w:r>
      <w:r w:rsidR="00CC73B0" w:rsidRPr="00CC73B0">
        <w:rPr>
          <w:rFonts w:cs="Times New Roman"/>
          <w:szCs w:val="24"/>
          <w:lang w:val="en-US"/>
        </w:rPr>
        <w:t xml:space="preserve"> </w:t>
      </w:r>
      <w:r w:rsidR="00CC73B0">
        <w:rPr>
          <w:rFonts w:cs="Times New Roman"/>
          <w:szCs w:val="24"/>
          <w:lang w:val="en-US"/>
        </w:rPr>
        <w:t>we</w:t>
      </w:r>
      <w:r w:rsidR="00CC73B0" w:rsidRPr="00CC73B0">
        <w:rPr>
          <w:rFonts w:cs="Times New Roman"/>
          <w:szCs w:val="24"/>
          <w:lang w:val="en-US"/>
        </w:rPr>
        <w:t>re presented in</w:t>
      </w:r>
      <w:r w:rsidR="00CC73B0">
        <w:rPr>
          <w:rFonts w:cs="Times New Roman"/>
        </w:rPr>
        <w:t xml:space="preserve"> tables </w:t>
      </w:r>
      <w:r w:rsidR="00CC73B0">
        <w:rPr>
          <w:rFonts w:cs="Times New Roman"/>
          <w:szCs w:val="24"/>
          <w:lang w:val="en-US"/>
        </w:rPr>
        <w:t>as</w:t>
      </w:r>
      <w:r w:rsidR="00CC73B0" w:rsidRPr="00CC73B0">
        <w:rPr>
          <w:rFonts w:cs="Times New Roman"/>
          <w:szCs w:val="24"/>
          <w:lang w:val="en-US"/>
        </w:rPr>
        <w:t xml:space="preserve"> </w:t>
      </w:r>
      <w:r w:rsidR="00B76FE5">
        <w:rPr>
          <w:rFonts w:cs="Times New Roman"/>
          <w:szCs w:val="24"/>
          <w:lang w:val="en-US"/>
        </w:rPr>
        <w:t xml:space="preserve">mean </w:t>
      </w:r>
      <w:r w:rsidR="00CC73B0">
        <w:rPr>
          <w:rFonts w:cs="Times New Roman"/>
          <w:szCs w:val="24"/>
          <w:lang w:val="en-US"/>
        </w:rPr>
        <w:t>±</w:t>
      </w:r>
      <w:r w:rsidR="00B76FE5">
        <w:rPr>
          <w:rFonts w:cs="Times New Roman"/>
          <w:szCs w:val="24"/>
          <w:lang w:val="en-US"/>
        </w:rPr>
        <w:t xml:space="preserve"> </w:t>
      </w:r>
      <w:r w:rsidR="00CC73B0" w:rsidRPr="00CC73B0">
        <w:rPr>
          <w:rFonts w:cs="Times New Roman"/>
          <w:szCs w:val="24"/>
          <w:lang w:val="en-US"/>
        </w:rPr>
        <w:t>SD</w:t>
      </w:r>
      <w:r w:rsidR="00CC73B0">
        <w:rPr>
          <w:rFonts w:cs="Times New Roman"/>
          <w:szCs w:val="24"/>
          <w:lang w:val="en-US"/>
        </w:rPr>
        <w:t xml:space="preserve">. </w:t>
      </w:r>
      <w:r w:rsidRPr="00CC73B0">
        <w:rPr>
          <w:rFonts w:cs="Times New Roman"/>
          <w:szCs w:val="24"/>
        </w:rPr>
        <w:t>One-way ANOVA was conducted</w:t>
      </w:r>
      <w:r w:rsidR="001A4307">
        <w:rPr>
          <w:rFonts w:cs="Times New Roman"/>
          <w:szCs w:val="24"/>
        </w:rPr>
        <w:t xml:space="preserve"> for </w:t>
      </w:r>
      <w:r w:rsidR="00390317">
        <w:rPr>
          <w:rFonts w:cs="Times New Roman"/>
          <w:szCs w:val="24"/>
        </w:rPr>
        <w:t xml:space="preserve">statistical </w:t>
      </w:r>
      <w:r w:rsidR="001A4307">
        <w:rPr>
          <w:rFonts w:cs="Times New Roman"/>
          <w:szCs w:val="24"/>
        </w:rPr>
        <w:t>significance</w:t>
      </w:r>
      <w:r w:rsidRPr="00CC73B0">
        <w:rPr>
          <w:rFonts w:cs="Times New Roman"/>
          <w:szCs w:val="24"/>
        </w:rPr>
        <w:t xml:space="preserve">, with Tukey’s Honest Significant Difference (HSD) post-hoc test for the parameters that showed </w:t>
      </w:r>
      <w:r w:rsidR="00B76FE5">
        <w:rPr>
          <w:rFonts w:cs="Times New Roman"/>
          <w:szCs w:val="24"/>
        </w:rPr>
        <w:t xml:space="preserve">statistically </w:t>
      </w:r>
      <w:r w:rsidRPr="00CC73B0">
        <w:rPr>
          <w:rFonts w:cs="Times New Roman"/>
          <w:szCs w:val="24"/>
        </w:rPr>
        <w:t xml:space="preserve">significant difference. The confidence level </w:t>
      </w:r>
      <w:r w:rsidR="00390317">
        <w:rPr>
          <w:rFonts w:cs="Times New Roman"/>
          <w:szCs w:val="24"/>
        </w:rPr>
        <w:t>of</w:t>
      </w:r>
      <w:r w:rsidRPr="00CC73B0">
        <w:rPr>
          <w:rFonts w:cs="Times New Roman"/>
          <w:szCs w:val="24"/>
        </w:rPr>
        <w:t xml:space="preserve"> 95%</w:t>
      </w:r>
      <w:r w:rsidR="00390317">
        <w:rPr>
          <w:rFonts w:cs="Times New Roman"/>
          <w:szCs w:val="24"/>
        </w:rPr>
        <w:t xml:space="preserve"> was used</w:t>
      </w:r>
      <w:r w:rsidRPr="00CC73B0">
        <w:rPr>
          <w:rFonts w:cs="Times New Roman"/>
          <w:szCs w:val="24"/>
        </w:rPr>
        <w:t xml:space="preserve">, and p &lt; 0.05 was considered </w:t>
      </w:r>
      <w:r w:rsidR="00390317">
        <w:rPr>
          <w:rFonts w:cs="Times New Roman"/>
          <w:szCs w:val="24"/>
        </w:rPr>
        <w:t xml:space="preserve">as statistically </w:t>
      </w:r>
      <w:r w:rsidRPr="00CC73B0">
        <w:rPr>
          <w:rFonts w:cs="Times New Roman"/>
          <w:szCs w:val="24"/>
        </w:rPr>
        <w:t>significant.</w:t>
      </w:r>
    </w:p>
    <w:bookmarkEnd w:id="4"/>
    <w:p w14:paraId="6D748AF4" w14:textId="77777777" w:rsidR="00B009EC" w:rsidRPr="009C6F68" w:rsidRDefault="00B009EC" w:rsidP="00390317">
      <w:pPr>
        <w:pStyle w:val="BodyText"/>
        <w:spacing w:after="0" w:line="240" w:lineRule="auto"/>
        <w:jc w:val="both"/>
        <w:rPr>
          <w:rFonts w:cs="Times New Roman"/>
        </w:rPr>
      </w:pPr>
    </w:p>
    <w:p w14:paraId="3420BF63" w14:textId="14CCFF74" w:rsidR="00A22F06" w:rsidRPr="009C6F68" w:rsidRDefault="002A085D" w:rsidP="009C6F68">
      <w:pPr>
        <w:pStyle w:val="BodyText"/>
        <w:spacing w:after="0" w:line="360" w:lineRule="auto"/>
        <w:jc w:val="both"/>
        <w:rPr>
          <w:rFonts w:cs="Times New Roman"/>
          <w:b/>
          <w:bCs/>
        </w:rPr>
      </w:pPr>
      <w:r w:rsidRPr="009C6F68">
        <w:rPr>
          <w:rFonts w:cs="Times New Roman"/>
          <w:b/>
          <w:bCs/>
        </w:rPr>
        <w:t>3.0 RESULTS</w:t>
      </w:r>
    </w:p>
    <w:p w14:paraId="675B070A" w14:textId="70F2FF4F" w:rsidR="00A22F06" w:rsidRPr="009C6F68" w:rsidRDefault="00A22F06" w:rsidP="009C6F68">
      <w:pPr>
        <w:pStyle w:val="BodyText"/>
        <w:spacing w:after="0" w:line="360" w:lineRule="auto"/>
        <w:jc w:val="both"/>
        <w:rPr>
          <w:rFonts w:cs="Times New Roman"/>
          <w:b/>
          <w:bCs/>
        </w:rPr>
      </w:pPr>
      <w:r w:rsidRPr="009C6F68">
        <w:rPr>
          <w:rFonts w:cs="Times New Roman"/>
          <w:b/>
          <w:bCs/>
        </w:rPr>
        <w:t xml:space="preserve">3.1 Aqueous Extract of </w:t>
      </w:r>
      <w:r w:rsidRPr="00D04B60">
        <w:rPr>
          <w:rFonts w:cs="Times New Roman"/>
          <w:b/>
          <w:bCs/>
          <w:i/>
          <w:iCs/>
        </w:rPr>
        <w:t>C. occidentalis</w:t>
      </w:r>
    </w:p>
    <w:p w14:paraId="2A29EED0" w14:textId="79EF3A1C" w:rsidR="00A22F06" w:rsidRPr="009C6F68" w:rsidRDefault="00A22F06" w:rsidP="009C6F68">
      <w:pPr>
        <w:pStyle w:val="BodyText"/>
        <w:spacing w:after="0" w:line="360" w:lineRule="auto"/>
        <w:jc w:val="both"/>
        <w:rPr>
          <w:rFonts w:cs="Times New Roman"/>
          <w:b/>
          <w:bCs/>
        </w:rPr>
      </w:pPr>
      <w:r w:rsidRPr="009C6F68">
        <w:rPr>
          <w:rFonts w:cs="Times New Roman"/>
          <w:b/>
          <w:bCs/>
        </w:rPr>
        <w:t>3.1.1 Percentage Yield of the Extract</w:t>
      </w:r>
    </w:p>
    <w:p w14:paraId="344B661D" w14:textId="4442CE33" w:rsidR="00A22F06" w:rsidRPr="009C6F68" w:rsidRDefault="00D1549B" w:rsidP="00D04B60">
      <w:pPr>
        <w:pStyle w:val="BodyText"/>
        <w:spacing w:line="360" w:lineRule="auto"/>
        <w:jc w:val="both"/>
        <w:rPr>
          <w:rFonts w:cs="Times New Roman"/>
        </w:rPr>
      </w:pPr>
      <w:r>
        <w:rPr>
          <w:rFonts w:cs="Times New Roman"/>
        </w:rPr>
        <w:t xml:space="preserve">Approximately </w:t>
      </w:r>
      <w:r w:rsidR="00A22F06" w:rsidRPr="009C6F68">
        <w:rPr>
          <w:rFonts w:cs="Times New Roman"/>
        </w:rPr>
        <w:t xml:space="preserve">150 g of the powdered leaves of </w:t>
      </w:r>
      <w:r w:rsidR="00A22F06" w:rsidRPr="002323BA">
        <w:rPr>
          <w:rFonts w:cs="Times New Roman"/>
          <w:i/>
          <w:iCs/>
        </w:rPr>
        <w:t>C. occidentalis</w:t>
      </w:r>
      <w:r w:rsidR="00A22F06" w:rsidRPr="009C6F68">
        <w:rPr>
          <w:rFonts w:cs="Times New Roman"/>
        </w:rPr>
        <w:t xml:space="preserve"> was used to prepare the aqueous extract. The final weight of the extract was measured to be 40.5 g, which equals a percentage yield of 27%.</w:t>
      </w:r>
    </w:p>
    <w:p w14:paraId="4B993D60" w14:textId="32AF8998" w:rsidR="00A22F06" w:rsidRPr="009C6F68" w:rsidRDefault="00A22F06" w:rsidP="009C6F68">
      <w:pPr>
        <w:pStyle w:val="BodyText"/>
        <w:spacing w:after="0" w:line="360" w:lineRule="auto"/>
        <w:jc w:val="both"/>
        <w:rPr>
          <w:rFonts w:cs="Times New Roman"/>
          <w:b/>
          <w:bCs/>
        </w:rPr>
      </w:pPr>
      <w:r w:rsidRPr="009C6F68">
        <w:rPr>
          <w:rFonts w:cs="Times New Roman"/>
          <w:b/>
          <w:bCs/>
        </w:rPr>
        <w:t>3.1.2 Physical Characteristics</w:t>
      </w:r>
      <w:r w:rsidR="000F1332">
        <w:rPr>
          <w:rFonts w:cs="Times New Roman"/>
          <w:b/>
          <w:bCs/>
        </w:rPr>
        <w:t xml:space="preserve"> of the Extract</w:t>
      </w:r>
    </w:p>
    <w:p w14:paraId="33A10A16" w14:textId="7F009FB9" w:rsidR="00A22F06" w:rsidRPr="009C6F68" w:rsidRDefault="00A22F06" w:rsidP="00D04B60">
      <w:pPr>
        <w:pStyle w:val="BodyText"/>
        <w:spacing w:line="360" w:lineRule="auto"/>
        <w:jc w:val="both"/>
        <w:rPr>
          <w:rFonts w:cs="Times New Roman"/>
        </w:rPr>
      </w:pPr>
      <w:r w:rsidRPr="009C6F68">
        <w:rPr>
          <w:rFonts w:cs="Times New Roman"/>
        </w:rPr>
        <w:t xml:space="preserve">The aqueous extract obtained from the leaves of </w:t>
      </w:r>
      <w:r w:rsidRPr="002323BA">
        <w:rPr>
          <w:rFonts w:cs="Times New Roman"/>
          <w:i/>
          <w:iCs/>
        </w:rPr>
        <w:t>C. occidentalis</w:t>
      </w:r>
      <w:r w:rsidRPr="009C6F68">
        <w:rPr>
          <w:rFonts w:cs="Times New Roman"/>
        </w:rPr>
        <w:t xml:space="preserve"> has a dark-brown appearanc</w:t>
      </w:r>
      <w:r w:rsidR="00390317">
        <w:rPr>
          <w:rFonts w:cs="Times New Roman"/>
        </w:rPr>
        <w:t xml:space="preserve">e with </w:t>
      </w:r>
      <w:r w:rsidRPr="009C6F68">
        <w:rPr>
          <w:rFonts w:cs="Times New Roman"/>
        </w:rPr>
        <w:t xml:space="preserve">an oily and sticky texture, </w:t>
      </w:r>
      <w:r w:rsidR="00390317">
        <w:rPr>
          <w:rFonts w:cs="Times New Roman"/>
        </w:rPr>
        <w:t>and</w:t>
      </w:r>
      <w:r w:rsidRPr="009C6F68">
        <w:rPr>
          <w:rFonts w:cs="Times New Roman"/>
        </w:rPr>
        <w:t xml:space="preserve"> a strong, mildly irritating smell.</w:t>
      </w:r>
    </w:p>
    <w:p w14:paraId="2324863F" w14:textId="235629B2" w:rsidR="00A22F06" w:rsidRDefault="00A22F06" w:rsidP="009C6F68">
      <w:pPr>
        <w:pStyle w:val="BodyText"/>
        <w:spacing w:after="0" w:line="360" w:lineRule="auto"/>
        <w:jc w:val="both"/>
        <w:rPr>
          <w:rFonts w:cs="Times New Roman"/>
          <w:b/>
          <w:bCs/>
        </w:rPr>
      </w:pPr>
      <w:bookmarkStart w:id="5" w:name="_Hlk165807908"/>
      <w:r w:rsidRPr="009C6F68">
        <w:rPr>
          <w:rFonts w:cs="Times New Roman"/>
          <w:b/>
          <w:bCs/>
        </w:rPr>
        <w:t xml:space="preserve">3.2 </w:t>
      </w:r>
      <w:proofErr w:type="spellStart"/>
      <w:r w:rsidR="00CC73B0">
        <w:rPr>
          <w:rFonts w:cs="Times New Roman"/>
          <w:b/>
          <w:bCs/>
        </w:rPr>
        <w:t>Haematological</w:t>
      </w:r>
      <w:proofErr w:type="spellEnd"/>
      <w:r w:rsidR="00CC73B0">
        <w:rPr>
          <w:rFonts w:cs="Times New Roman"/>
          <w:b/>
          <w:bCs/>
        </w:rPr>
        <w:t xml:space="preserve"> Parameters</w:t>
      </w:r>
    </w:p>
    <w:p w14:paraId="038F8C31" w14:textId="466D9952" w:rsidR="00A91C8E" w:rsidRPr="008A2CA2" w:rsidRDefault="00A91C8E" w:rsidP="00A91C8E">
      <w:pPr>
        <w:pStyle w:val="BodyText"/>
        <w:spacing w:line="360" w:lineRule="auto"/>
        <w:jc w:val="both"/>
        <w:rPr>
          <w:rFonts w:cs="Times New Roman"/>
        </w:rPr>
      </w:pPr>
      <w:r w:rsidRPr="008A2CA2">
        <w:rPr>
          <w:rFonts w:cs="Times New Roman"/>
        </w:rPr>
        <w:t>Tables</w:t>
      </w:r>
      <w:r>
        <w:rPr>
          <w:rFonts w:cs="Times New Roman"/>
        </w:rPr>
        <w:t xml:space="preserve"> 1-5 present</w:t>
      </w:r>
      <w:r w:rsidR="00A900EA">
        <w:rPr>
          <w:rFonts w:cs="Times New Roman"/>
        </w:rPr>
        <w:t>ed</w:t>
      </w:r>
      <w:r>
        <w:rPr>
          <w:rFonts w:cs="Times New Roman"/>
        </w:rPr>
        <w:t xml:space="preserve"> the data </w:t>
      </w:r>
      <w:r w:rsidR="00810B96">
        <w:rPr>
          <w:rFonts w:cs="Times New Roman"/>
        </w:rPr>
        <w:t>generat</w:t>
      </w:r>
      <w:r>
        <w:rPr>
          <w:rFonts w:cs="Times New Roman"/>
        </w:rPr>
        <w:t xml:space="preserve">ed </w:t>
      </w:r>
      <w:r w:rsidR="00810B96">
        <w:rPr>
          <w:rFonts w:cs="Times New Roman"/>
        </w:rPr>
        <w:t xml:space="preserve">in the laboratory </w:t>
      </w:r>
      <w:r>
        <w:rPr>
          <w:rFonts w:cs="Times New Roman"/>
        </w:rPr>
        <w:t xml:space="preserve">from the </w:t>
      </w:r>
      <w:r w:rsidR="00810B96">
        <w:rPr>
          <w:rFonts w:cs="Times New Roman"/>
        </w:rPr>
        <w:t>samples</w:t>
      </w:r>
      <w:r w:rsidR="00A900EA">
        <w:rPr>
          <w:rFonts w:cs="Times New Roman"/>
        </w:rPr>
        <w:t xml:space="preserve"> of</w:t>
      </w:r>
      <w:r>
        <w:rPr>
          <w:rFonts w:cs="Times New Roman"/>
        </w:rPr>
        <w:t xml:space="preserve"> all the </w:t>
      </w:r>
      <w:r w:rsidR="00A900EA">
        <w:rPr>
          <w:rFonts w:cs="Times New Roman"/>
        </w:rPr>
        <w:t>four (4</w:t>
      </w:r>
      <w:r w:rsidR="00810B96">
        <w:rPr>
          <w:rFonts w:cs="Times New Roman"/>
        </w:rPr>
        <w:t xml:space="preserve">) </w:t>
      </w:r>
      <w:r>
        <w:rPr>
          <w:rFonts w:cs="Times New Roman"/>
        </w:rPr>
        <w:t xml:space="preserve">experimental groups. The tables also showed the statistical significance or otherwise of the </w:t>
      </w:r>
      <w:proofErr w:type="spellStart"/>
      <w:r w:rsidR="00810B96">
        <w:rPr>
          <w:rFonts w:cs="Times New Roman"/>
        </w:rPr>
        <w:t>haematological</w:t>
      </w:r>
      <w:proofErr w:type="spellEnd"/>
      <w:r w:rsidR="00810B96">
        <w:rPr>
          <w:rFonts w:cs="Times New Roman"/>
        </w:rPr>
        <w:t xml:space="preserve"> </w:t>
      </w:r>
      <w:r>
        <w:rPr>
          <w:rFonts w:cs="Times New Roman"/>
        </w:rPr>
        <w:t xml:space="preserve">parameters </w:t>
      </w:r>
      <w:r w:rsidR="00810B96">
        <w:rPr>
          <w:rFonts w:cs="Times New Roman"/>
        </w:rPr>
        <w:t xml:space="preserve">investigated, </w:t>
      </w:r>
      <w:r>
        <w:rPr>
          <w:rFonts w:cs="Times New Roman"/>
        </w:rPr>
        <w:t xml:space="preserve">and the post-hoc analysis where applicable. </w:t>
      </w:r>
    </w:p>
    <w:bookmarkEnd w:id="5"/>
    <w:p w14:paraId="6FE0AD08" w14:textId="0B1F296B" w:rsidR="00A22F06" w:rsidRPr="009C6F68" w:rsidRDefault="00A22F06" w:rsidP="00D1549B">
      <w:pPr>
        <w:pStyle w:val="Table"/>
        <w:keepNext/>
        <w:spacing w:before="0" w:after="0" w:line="360" w:lineRule="auto"/>
        <w:jc w:val="both"/>
        <w:rPr>
          <w:rFonts w:cs="Times New Roman"/>
          <w:b/>
          <w:bCs/>
          <w:i w:val="0"/>
          <w:iCs w:val="0"/>
        </w:rPr>
      </w:pPr>
      <w:r w:rsidRPr="009C6F68">
        <w:rPr>
          <w:rFonts w:cs="Times New Roman"/>
          <w:b/>
          <w:bCs/>
          <w:i w:val="0"/>
          <w:iCs w:val="0"/>
        </w:rPr>
        <w:lastRenderedPageBreak/>
        <w:t xml:space="preserve">Table </w:t>
      </w:r>
      <w:r w:rsidRPr="009C6F68">
        <w:rPr>
          <w:rFonts w:cs="Times New Roman"/>
          <w:b/>
          <w:bCs/>
          <w:i w:val="0"/>
          <w:iCs w:val="0"/>
        </w:rPr>
        <w:fldChar w:fldCharType="begin"/>
      </w:r>
      <w:r w:rsidRPr="009C6F68">
        <w:rPr>
          <w:rFonts w:cs="Times New Roman"/>
          <w:b/>
          <w:bCs/>
          <w:i w:val="0"/>
          <w:iCs w:val="0"/>
        </w:rPr>
        <w:instrText>SEQ Table \* ARABIC</w:instrText>
      </w:r>
      <w:r w:rsidRPr="009C6F68">
        <w:rPr>
          <w:rFonts w:cs="Times New Roman"/>
          <w:b/>
          <w:bCs/>
          <w:i w:val="0"/>
          <w:iCs w:val="0"/>
        </w:rPr>
        <w:fldChar w:fldCharType="separate"/>
      </w:r>
      <w:r w:rsidR="00C41126">
        <w:rPr>
          <w:rFonts w:cs="Times New Roman"/>
          <w:b/>
          <w:bCs/>
          <w:i w:val="0"/>
          <w:iCs w:val="0"/>
          <w:noProof/>
        </w:rPr>
        <w:t>1</w:t>
      </w:r>
      <w:r w:rsidRPr="009C6F68">
        <w:rPr>
          <w:rFonts w:cs="Times New Roman"/>
          <w:b/>
          <w:bCs/>
          <w:i w:val="0"/>
          <w:iCs w:val="0"/>
        </w:rPr>
        <w:fldChar w:fldCharType="end"/>
      </w:r>
      <w:r w:rsidRPr="009C6F68">
        <w:rPr>
          <w:rFonts w:cs="Times New Roman"/>
          <w:b/>
          <w:bCs/>
          <w:i w:val="0"/>
          <w:iCs w:val="0"/>
        </w:rPr>
        <w:t xml:space="preserve">: </w:t>
      </w:r>
      <w:r w:rsidRPr="009C6F68">
        <w:rPr>
          <w:rFonts w:cs="Times New Roman"/>
          <w:i w:val="0"/>
          <w:iCs w:val="0"/>
        </w:rPr>
        <w:t>Red blood cells (RBC), hemoglobin, and hematocrit count</w:t>
      </w:r>
      <w:r w:rsidR="00D1549B">
        <w:rPr>
          <w:rFonts w:cs="Times New Roman"/>
          <w:i w:val="0"/>
          <w:iCs w:val="0"/>
        </w:rPr>
        <w:t>s</w:t>
      </w:r>
    </w:p>
    <w:tbl>
      <w:tblPr>
        <w:tblW w:w="9072" w:type="dxa"/>
        <w:tblLayout w:type="fixed"/>
        <w:tblCellMar>
          <w:left w:w="0" w:type="dxa"/>
          <w:right w:w="0" w:type="dxa"/>
        </w:tblCellMar>
        <w:tblLook w:val="04A0" w:firstRow="1" w:lastRow="0" w:firstColumn="1" w:lastColumn="0" w:noHBand="0" w:noVBand="1"/>
      </w:tblPr>
      <w:tblGrid>
        <w:gridCol w:w="1263"/>
        <w:gridCol w:w="895"/>
        <w:gridCol w:w="2606"/>
        <w:gridCol w:w="2609"/>
        <w:gridCol w:w="1699"/>
      </w:tblGrid>
      <w:tr w:rsidR="00A22F06" w:rsidRPr="009C6F68" w14:paraId="215EECCD" w14:textId="77777777" w:rsidTr="002323BA">
        <w:trPr>
          <w:trHeight w:val="632"/>
        </w:trPr>
        <w:tc>
          <w:tcPr>
            <w:tcW w:w="1263" w:type="dxa"/>
            <w:tcBorders>
              <w:top w:val="single" w:sz="6" w:space="0" w:color="000000"/>
              <w:bottom w:val="single" w:sz="6" w:space="0" w:color="000000"/>
            </w:tcBorders>
            <w:vAlign w:val="bottom"/>
          </w:tcPr>
          <w:p w14:paraId="195B03A5"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Group</w:t>
            </w:r>
          </w:p>
        </w:tc>
        <w:tc>
          <w:tcPr>
            <w:tcW w:w="895" w:type="dxa"/>
            <w:tcBorders>
              <w:top w:val="single" w:sz="6" w:space="0" w:color="000000"/>
              <w:bottom w:val="single" w:sz="6" w:space="0" w:color="000000"/>
            </w:tcBorders>
            <w:vAlign w:val="bottom"/>
          </w:tcPr>
          <w:p w14:paraId="53A78E9B"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N</w:t>
            </w:r>
          </w:p>
        </w:tc>
        <w:tc>
          <w:tcPr>
            <w:tcW w:w="2606" w:type="dxa"/>
            <w:tcBorders>
              <w:top w:val="single" w:sz="6" w:space="0" w:color="000000"/>
              <w:bottom w:val="single" w:sz="6" w:space="0" w:color="000000"/>
            </w:tcBorders>
            <w:vAlign w:val="bottom"/>
          </w:tcPr>
          <w:p w14:paraId="5E16BCF4"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RBC (10</w:t>
            </w:r>
            <w:r w:rsidRPr="009C6F68">
              <w:rPr>
                <w:rFonts w:cs="Times New Roman"/>
                <w:b/>
                <w:bCs/>
                <w:color w:val="000000"/>
                <w:vertAlign w:val="superscript"/>
              </w:rPr>
              <w:t>6</w:t>
            </w:r>
            <w:r w:rsidRPr="009C6F68">
              <w:rPr>
                <w:rFonts w:cs="Times New Roman"/>
                <w:b/>
                <w:bCs/>
                <w:color w:val="000000"/>
              </w:rPr>
              <w:t>/</w:t>
            </w:r>
            <w:proofErr w:type="spellStart"/>
            <w:r w:rsidRPr="009C6F68">
              <w:rPr>
                <w:rFonts w:cs="Times New Roman"/>
                <w:b/>
                <w:bCs/>
                <w:color w:val="000000"/>
              </w:rPr>
              <w:t>uL</w:t>
            </w:r>
            <w:proofErr w:type="spellEnd"/>
            <w:r w:rsidRPr="009C6F68">
              <w:rPr>
                <w:rFonts w:cs="Times New Roman"/>
                <w:b/>
                <w:bCs/>
                <w:color w:val="000000"/>
              </w:rPr>
              <w:t>)</w:t>
            </w:r>
          </w:p>
          <w:p w14:paraId="295BC504"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 xml:space="preserve">Mean </w:t>
            </w:r>
            <w:bookmarkStart w:id="6" w:name="__DdeLink__3660_530092034"/>
            <w:r w:rsidRPr="009C6F68">
              <w:rPr>
                <w:rFonts w:cs="Times New Roman"/>
                <w:b/>
                <w:bCs/>
                <w:color w:val="000000"/>
              </w:rPr>
              <w:t>±</w:t>
            </w:r>
            <w:bookmarkEnd w:id="6"/>
            <w:r w:rsidRPr="009C6F68">
              <w:rPr>
                <w:rFonts w:cs="Times New Roman"/>
                <w:b/>
                <w:bCs/>
                <w:color w:val="000000"/>
              </w:rPr>
              <w:t xml:space="preserve"> SD</w:t>
            </w:r>
          </w:p>
        </w:tc>
        <w:tc>
          <w:tcPr>
            <w:tcW w:w="2609" w:type="dxa"/>
            <w:tcBorders>
              <w:top w:val="single" w:sz="6" w:space="0" w:color="000000"/>
              <w:bottom w:val="single" w:sz="6" w:space="0" w:color="000000"/>
            </w:tcBorders>
            <w:vAlign w:val="bottom"/>
          </w:tcPr>
          <w:p w14:paraId="40A20544"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Hemoglobin (g/dL)</w:t>
            </w:r>
          </w:p>
          <w:p w14:paraId="22B0E13D"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c>
          <w:tcPr>
            <w:tcW w:w="1699" w:type="dxa"/>
            <w:tcBorders>
              <w:top w:val="single" w:sz="6" w:space="0" w:color="000000"/>
              <w:bottom w:val="single" w:sz="6" w:space="0" w:color="000000"/>
            </w:tcBorders>
            <w:vAlign w:val="bottom"/>
          </w:tcPr>
          <w:p w14:paraId="76BDAB56"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Hematocrit (%)</w:t>
            </w:r>
          </w:p>
          <w:p w14:paraId="6562FBB3"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r>
      <w:tr w:rsidR="00A22F06" w:rsidRPr="009C6F68" w14:paraId="4B6283D5" w14:textId="77777777" w:rsidTr="002323BA">
        <w:tc>
          <w:tcPr>
            <w:tcW w:w="1263" w:type="dxa"/>
          </w:tcPr>
          <w:p w14:paraId="51AF4818" w14:textId="77777777"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1</w:t>
            </w:r>
          </w:p>
        </w:tc>
        <w:tc>
          <w:tcPr>
            <w:tcW w:w="895" w:type="dxa"/>
          </w:tcPr>
          <w:p w14:paraId="4C6D8F78" w14:textId="77777777"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4</w:t>
            </w:r>
          </w:p>
        </w:tc>
        <w:tc>
          <w:tcPr>
            <w:tcW w:w="2606" w:type="dxa"/>
            <w:vAlign w:val="center"/>
          </w:tcPr>
          <w:p w14:paraId="2225C4C3"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7.63 ± 0.55</w:t>
            </w:r>
          </w:p>
        </w:tc>
        <w:tc>
          <w:tcPr>
            <w:tcW w:w="2609" w:type="dxa"/>
          </w:tcPr>
          <w:p w14:paraId="1DFA4256"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13.25 ± 0.40</w:t>
            </w:r>
          </w:p>
        </w:tc>
        <w:tc>
          <w:tcPr>
            <w:tcW w:w="1699" w:type="dxa"/>
          </w:tcPr>
          <w:p w14:paraId="24CF9A63"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42.63 ± 2.82</w:t>
            </w:r>
          </w:p>
        </w:tc>
      </w:tr>
      <w:tr w:rsidR="00A22F06" w:rsidRPr="009C6F68" w14:paraId="1385F7BC" w14:textId="77777777" w:rsidTr="002323BA">
        <w:tc>
          <w:tcPr>
            <w:tcW w:w="1263" w:type="dxa"/>
          </w:tcPr>
          <w:p w14:paraId="1D68613E" w14:textId="77777777"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2</w:t>
            </w:r>
          </w:p>
        </w:tc>
        <w:tc>
          <w:tcPr>
            <w:tcW w:w="895" w:type="dxa"/>
          </w:tcPr>
          <w:p w14:paraId="4867395A" w14:textId="77777777"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4</w:t>
            </w:r>
          </w:p>
        </w:tc>
        <w:tc>
          <w:tcPr>
            <w:tcW w:w="2606" w:type="dxa"/>
          </w:tcPr>
          <w:p w14:paraId="3B100385"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7.25 ± 0.24</w:t>
            </w:r>
          </w:p>
        </w:tc>
        <w:tc>
          <w:tcPr>
            <w:tcW w:w="2609" w:type="dxa"/>
          </w:tcPr>
          <w:p w14:paraId="7063C647"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13.40 ± 0.62</w:t>
            </w:r>
          </w:p>
        </w:tc>
        <w:tc>
          <w:tcPr>
            <w:tcW w:w="1699" w:type="dxa"/>
          </w:tcPr>
          <w:p w14:paraId="3EBA7E24"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40.33 ± 1.87</w:t>
            </w:r>
          </w:p>
        </w:tc>
      </w:tr>
      <w:tr w:rsidR="00A22F06" w:rsidRPr="009C6F68" w14:paraId="2BBB5803" w14:textId="77777777" w:rsidTr="002323BA">
        <w:tc>
          <w:tcPr>
            <w:tcW w:w="1263" w:type="dxa"/>
          </w:tcPr>
          <w:p w14:paraId="157D93CF" w14:textId="77777777"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3</w:t>
            </w:r>
          </w:p>
        </w:tc>
        <w:tc>
          <w:tcPr>
            <w:tcW w:w="895" w:type="dxa"/>
          </w:tcPr>
          <w:p w14:paraId="0D9C1BA2" w14:textId="77777777"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4</w:t>
            </w:r>
          </w:p>
        </w:tc>
        <w:tc>
          <w:tcPr>
            <w:tcW w:w="2606" w:type="dxa"/>
          </w:tcPr>
          <w:p w14:paraId="38DCC881"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7.34 ± 0.45</w:t>
            </w:r>
          </w:p>
        </w:tc>
        <w:tc>
          <w:tcPr>
            <w:tcW w:w="2609" w:type="dxa"/>
          </w:tcPr>
          <w:p w14:paraId="0904CE9D"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13.10 ± 0.47</w:t>
            </w:r>
          </w:p>
        </w:tc>
        <w:tc>
          <w:tcPr>
            <w:tcW w:w="1699" w:type="dxa"/>
          </w:tcPr>
          <w:p w14:paraId="18771708"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41.42 ± 4.13</w:t>
            </w:r>
          </w:p>
        </w:tc>
      </w:tr>
      <w:tr w:rsidR="00A22F06" w:rsidRPr="009C6F68" w14:paraId="58A0B976" w14:textId="77777777" w:rsidTr="002323BA">
        <w:tc>
          <w:tcPr>
            <w:tcW w:w="1263" w:type="dxa"/>
          </w:tcPr>
          <w:p w14:paraId="4D2C3737" w14:textId="77777777"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4</w:t>
            </w:r>
          </w:p>
        </w:tc>
        <w:tc>
          <w:tcPr>
            <w:tcW w:w="895" w:type="dxa"/>
          </w:tcPr>
          <w:p w14:paraId="344F27CD" w14:textId="77777777"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4</w:t>
            </w:r>
          </w:p>
        </w:tc>
        <w:tc>
          <w:tcPr>
            <w:tcW w:w="2606" w:type="dxa"/>
          </w:tcPr>
          <w:p w14:paraId="5BB6AFC0"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8.09 ± 0.68</w:t>
            </w:r>
          </w:p>
        </w:tc>
        <w:tc>
          <w:tcPr>
            <w:tcW w:w="2609" w:type="dxa"/>
          </w:tcPr>
          <w:p w14:paraId="0A812F25"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12.85 ± 0.67</w:t>
            </w:r>
          </w:p>
        </w:tc>
        <w:tc>
          <w:tcPr>
            <w:tcW w:w="1699" w:type="dxa"/>
          </w:tcPr>
          <w:p w14:paraId="18FA627B"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43.16 ± 3.11</w:t>
            </w:r>
          </w:p>
        </w:tc>
      </w:tr>
      <w:tr w:rsidR="00A22F06" w:rsidRPr="009C6F68" w14:paraId="12D4DA55" w14:textId="77777777" w:rsidTr="002323BA">
        <w:tc>
          <w:tcPr>
            <w:tcW w:w="2158" w:type="dxa"/>
            <w:gridSpan w:val="2"/>
            <w:tcBorders>
              <w:bottom w:val="single" w:sz="6" w:space="0" w:color="000000"/>
            </w:tcBorders>
          </w:tcPr>
          <w:p w14:paraId="28F7C739"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i/>
                <w:iCs/>
                <w:color w:val="000000"/>
              </w:rPr>
              <w:t>P</w:t>
            </w:r>
            <w:r w:rsidRPr="009C6F68">
              <w:rPr>
                <w:rFonts w:cs="Times New Roman"/>
                <w:b/>
                <w:bCs/>
                <w:color w:val="000000"/>
              </w:rPr>
              <w:t>-value</w:t>
            </w:r>
          </w:p>
        </w:tc>
        <w:tc>
          <w:tcPr>
            <w:tcW w:w="2606" w:type="dxa"/>
            <w:tcBorders>
              <w:bottom w:val="single" w:sz="6" w:space="0" w:color="000000"/>
            </w:tcBorders>
          </w:tcPr>
          <w:p w14:paraId="44A2AA00"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0.14</w:t>
            </w:r>
          </w:p>
        </w:tc>
        <w:tc>
          <w:tcPr>
            <w:tcW w:w="2609" w:type="dxa"/>
            <w:tcBorders>
              <w:bottom w:val="single" w:sz="6" w:space="0" w:color="000000"/>
            </w:tcBorders>
          </w:tcPr>
          <w:p w14:paraId="2F60A91A"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0.56</w:t>
            </w:r>
          </w:p>
        </w:tc>
        <w:tc>
          <w:tcPr>
            <w:tcW w:w="1699" w:type="dxa"/>
            <w:tcBorders>
              <w:bottom w:val="single" w:sz="6" w:space="0" w:color="000000"/>
            </w:tcBorders>
          </w:tcPr>
          <w:p w14:paraId="2A4421E3"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0.58</w:t>
            </w:r>
          </w:p>
        </w:tc>
      </w:tr>
    </w:tbl>
    <w:p w14:paraId="6A0F8AB8" w14:textId="607817AB" w:rsidR="00A22F06" w:rsidRPr="009C6F68" w:rsidRDefault="00A22F06" w:rsidP="001D55CD">
      <w:pPr>
        <w:pStyle w:val="BodyText"/>
        <w:spacing w:before="240" w:line="360" w:lineRule="auto"/>
        <w:jc w:val="both"/>
        <w:rPr>
          <w:rFonts w:cs="Times New Roman"/>
        </w:rPr>
      </w:pPr>
      <w:r w:rsidRPr="009C6F68">
        <w:rPr>
          <w:rFonts w:cs="Times New Roman"/>
        </w:rPr>
        <w:t>There is no statistically significant difference (</w:t>
      </w:r>
      <w:r w:rsidR="0030222E">
        <w:rPr>
          <w:rFonts w:cs="Times New Roman"/>
          <w:i/>
          <w:iCs/>
        </w:rPr>
        <w:t>p</w:t>
      </w:r>
      <w:r w:rsidRPr="009C6F68">
        <w:rPr>
          <w:rFonts w:cs="Times New Roman"/>
        </w:rPr>
        <w:t xml:space="preserve"> &gt; 0.05) in RBC, hemoglobin, and hematocrit count between the groups.</w:t>
      </w:r>
    </w:p>
    <w:p w14:paraId="7071550F" w14:textId="7ED5542E" w:rsidR="00A22F06" w:rsidRPr="009C6F68" w:rsidRDefault="00A22F06" w:rsidP="00D1549B">
      <w:pPr>
        <w:pStyle w:val="Table"/>
        <w:keepNext/>
        <w:spacing w:before="0" w:after="0" w:line="360" w:lineRule="auto"/>
        <w:jc w:val="both"/>
        <w:rPr>
          <w:rFonts w:cs="Times New Roman"/>
          <w:b/>
          <w:bCs/>
          <w:i w:val="0"/>
          <w:iCs w:val="0"/>
        </w:rPr>
      </w:pPr>
      <w:r w:rsidRPr="009C6F68">
        <w:rPr>
          <w:rFonts w:cs="Times New Roman"/>
          <w:b/>
          <w:bCs/>
          <w:i w:val="0"/>
          <w:iCs w:val="0"/>
        </w:rPr>
        <w:t xml:space="preserve">Table </w:t>
      </w:r>
      <w:r w:rsidRPr="009C6F68">
        <w:rPr>
          <w:rFonts w:cs="Times New Roman"/>
          <w:b/>
          <w:bCs/>
          <w:i w:val="0"/>
          <w:iCs w:val="0"/>
        </w:rPr>
        <w:fldChar w:fldCharType="begin"/>
      </w:r>
      <w:r w:rsidRPr="009C6F68">
        <w:rPr>
          <w:rFonts w:cs="Times New Roman"/>
          <w:b/>
          <w:bCs/>
          <w:i w:val="0"/>
          <w:iCs w:val="0"/>
        </w:rPr>
        <w:instrText>SEQ Table \* ARABIC</w:instrText>
      </w:r>
      <w:r w:rsidRPr="009C6F68">
        <w:rPr>
          <w:rFonts w:cs="Times New Roman"/>
          <w:b/>
          <w:bCs/>
          <w:i w:val="0"/>
          <w:iCs w:val="0"/>
        </w:rPr>
        <w:fldChar w:fldCharType="separate"/>
      </w:r>
      <w:r w:rsidR="00C41126">
        <w:rPr>
          <w:rFonts w:cs="Times New Roman"/>
          <w:b/>
          <w:bCs/>
          <w:i w:val="0"/>
          <w:iCs w:val="0"/>
          <w:noProof/>
        </w:rPr>
        <w:t>2</w:t>
      </w:r>
      <w:r w:rsidRPr="009C6F68">
        <w:rPr>
          <w:rFonts w:cs="Times New Roman"/>
          <w:b/>
          <w:bCs/>
          <w:i w:val="0"/>
          <w:iCs w:val="0"/>
        </w:rPr>
        <w:fldChar w:fldCharType="end"/>
      </w:r>
      <w:r w:rsidRPr="009C6F68">
        <w:rPr>
          <w:rFonts w:cs="Times New Roman"/>
          <w:b/>
          <w:bCs/>
          <w:i w:val="0"/>
          <w:iCs w:val="0"/>
        </w:rPr>
        <w:t xml:space="preserve">: </w:t>
      </w:r>
      <w:r w:rsidRPr="009C6F68">
        <w:rPr>
          <w:rFonts w:cs="Times New Roman"/>
          <w:i w:val="0"/>
          <w:iCs w:val="0"/>
        </w:rPr>
        <w:t>Red cells indices</w:t>
      </w:r>
    </w:p>
    <w:tbl>
      <w:tblPr>
        <w:tblW w:w="9072" w:type="dxa"/>
        <w:tblLayout w:type="fixed"/>
        <w:tblCellMar>
          <w:left w:w="0" w:type="dxa"/>
          <w:right w:w="0" w:type="dxa"/>
        </w:tblCellMar>
        <w:tblLook w:val="04A0" w:firstRow="1" w:lastRow="0" w:firstColumn="1" w:lastColumn="0" w:noHBand="0" w:noVBand="1"/>
      </w:tblPr>
      <w:tblGrid>
        <w:gridCol w:w="1263"/>
        <w:gridCol w:w="895"/>
        <w:gridCol w:w="2606"/>
        <w:gridCol w:w="2609"/>
        <w:gridCol w:w="1699"/>
      </w:tblGrid>
      <w:tr w:rsidR="00A22F06" w:rsidRPr="009C6F68" w14:paraId="2AB12EBB" w14:textId="77777777" w:rsidTr="002323BA">
        <w:trPr>
          <w:trHeight w:val="632"/>
        </w:trPr>
        <w:tc>
          <w:tcPr>
            <w:tcW w:w="1263" w:type="dxa"/>
            <w:tcBorders>
              <w:top w:val="single" w:sz="6" w:space="0" w:color="000000"/>
              <w:bottom w:val="single" w:sz="6" w:space="0" w:color="000000"/>
            </w:tcBorders>
            <w:vAlign w:val="bottom"/>
          </w:tcPr>
          <w:p w14:paraId="46D9065B"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Group</w:t>
            </w:r>
          </w:p>
        </w:tc>
        <w:tc>
          <w:tcPr>
            <w:tcW w:w="895" w:type="dxa"/>
            <w:tcBorders>
              <w:top w:val="single" w:sz="6" w:space="0" w:color="000000"/>
              <w:bottom w:val="single" w:sz="6" w:space="0" w:color="000000"/>
            </w:tcBorders>
            <w:vAlign w:val="bottom"/>
          </w:tcPr>
          <w:p w14:paraId="0ED59CD0"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N</w:t>
            </w:r>
          </w:p>
        </w:tc>
        <w:tc>
          <w:tcPr>
            <w:tcW w:w="2606" w:type="dxa"/>
            <w:tcBorders>
              <w:top w:val="single" w:sz="6" w:space="0" w:color="000000"/>
              <w:bottom w:val="single" w:sz="6" w:space="0" w:color="000000"/>
            </w:tcBorders>
            <w:vAlign w:val="bottom"/>
          </w:tcPr>
          <w:p w14:paraId="33EDA38A"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MCV (</w:t>
            </w:r>
            <w:proofErr w:type="spellStart"/>
            <w:r w:rsidRPr="009C6F68">
              <w:rPr>
                <w:rFonts w:cs="Times New Roman"/>
                <w:b/>
                <w:bCs/>
                <w:color w:val="000000"/>
              </w:rPr>
              <w:t>fL</w:t>
            </w:r>
            <w:proofErr w:type="spellEnd"/>
            <w:r w:rsidRPr="009C6F68">
              <w:rPr>
                <w:rFonts w:cs="Times New Roman"/>
                <w:b/>
                <w:bCs/>
                <w:color w:val="000000"/>
              </w:rPr>
              <w:t>)</w:t>
            </w:r>
          </w:p>
          <w:p w14:paraId="3EA7C604"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c>
          <w:tcPr>
            <w:tcW w:w="2609" w:type="dxa"/>
            <w:tcBorders>
              <w:top w:val="single" w:sz="6" w:space="0" w:color="000000"/>
              <w:bottom w:val="single" w:sz="6" w:space="0" w:color="000000"/>
            </w:tcBorders>
            <w:vAlign w:val="bottom"/>
          </w:tcPr>
          <w:p w14:paraId="45645BF9"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MCH (</w:t>
            </w:r>
            <w:proofErr w:type="spellStart"/>
            <w:r w:rsidRPr="009C6F68">
              <w:rPr>
                <w:rFonts w:cs="Times New Roman"/>
                <w:b/>
                <w:bCs/>
                <w:color w:val="000000"/>
              </w:rPr>
              <w:t>pg</w:t>
            </w:r>
            <w:proofErr w:type="spellEnd"/>
            <w:r w:rsidRPr="009C6F68">
              <w:rPr>
                <w:rFonts w:cs="Times New Roman"/>
                <w:b/>
                <w:bCs/>
                <w:color w:val="000000"/>
              </w:rPr>
              <w:t>)</w:t>
            </w:r>
          </w:p>
          <w:p w14:paraId="3629351A" w14:textId="77777777" w:rsidR="00A22F06" w:rsidRPr="009C6F68" w:rsidRDefault="00A22F06" w:rsidP="00294057">
            <w:pPr>
              <w:pStyle w:val="TableContents"/>
              <w:spacing w:line="276" w:lineRule="auto"/>
              <w:jc w:val="center"/>
              <w:rPr>
                <w:rFonts w:cs="Times New Roman"/>
                <w:b/>
                <w:bCs/>
                <w:color w:val="000000"/>
              </w:rPr>
            </w:pPr>
            <w:bookmarkStart w:id="7" w:name="__DdeLink__3732_530092034"/>
            <w:r w:rsidRPr="009C6F68">
              <w:rPr>
                <w:rFonts w:cs="Times New Roman"/>
                <w:b/>
                <w:bCs/>
                <w:color w:val="000000"/>
              </w:rPr>
              <w:t>Mean ± SD</w:t>
            </w:r>
            <w:bookmarkEnd w:id="7"/>
          </w:p>
        </w:tc>
        <w:tc>
          <w:tcPr>
            <w:tcW w:w="1699" w:type="dxa"/>
            <w:tcBorders>
              <w:top w:val="single" w:sz="6" w:space="0" w:color="000000"/>
              <w:bottom w:val="single" w:sz="6" w:space="0" w:color="000000"/>
            </w:tcBorders>
            <w:vAlign w:val="bottom"/>
          </w:tcPr>
          <w:p w14:paraId="65E6F185"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MCHC (g/dL)</w:t>
            </w:r>
          </w:p>
          <w:p w14:paraId="67CC7BAB"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r>
      <w:tr w:rsidR="00A22F06" w:rsidRPr="009C6F68" w14:paraId="1D73B42A" w14:textId="77777777" w:rsidTr="002323BA">
        <w:tc>
          <w:tcPr>
            <w:tcW w:w="1263" w:type="dxa"/>
          </w:tcPr>
          <w:p w14:paraId="6A5A8D14"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w:t>
            </w:r>
          </w:p>
        </w:tc>
        <w:tc>
          <w:tcPr>
            <w:tcW w:w="895" w:type="dxa"/>
          </w:tcPr>
          <w:p w14:paraId="2EE32D9B"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2606" w:type="dxa"/>
          </w:tcPr>
          <w:p w14:paraId="5C595804"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55.88 ± 2.00</w:t>
            </w:r>
          </w:p>
        </w:tc>
        <w:tc>
          <w:tcPr>
            <w:tcW w:w="2609" w:type="dxa"/>
          </w:tcPr>
          <w:p w14:paraId="6A9280F2"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17.42 ± 1.15</w:t>
            </w:r>
          </w:p>
        </w:tc>
        <w:tc>
          <w:tcPr>
            <w:tcW w:w="1699" w:type="dxa"/>
          </w:tcPr>
          <w:p w14:paraId="1169A88C"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31.17 ± 1.95</w:t>
            </w:r>
          </w:p>
        </w:tc>
      </w:tr>
      <w:tr w:rsidR="00A22F06" w:rsidRPr="009C6F68" w14:paraId="6199F23D" w14:textId="77777777" w:rsidTr="002323BA">
        <w:tc>
          <w:tcPr>
            <w:tcW w:w="1263" w:type="dxa"/>
          </w:tcPr>
          <w:p w14:paraId="7AD376A9"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w:t>
            </w:r>
          </w:p>
        </w:tc>
        <w:tc>
          <w:tcPr>
            <w:tcW w:w="895" w:type="dxa"/>
          </w:tcPr>
          <w:p w14:paraId="1D7C3592"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2606" w:type="dxa"/>
          </w:tcPr>
          <w:p w14:paraId="411FE566"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55.68 ± 2.79</w:t>
            </w:r>
          </w:p>
        </w:tc>
        <w:tc>
          <w:tcPr>
            <w:tcW w:w="2609" w:type="dxa"/>
          </w:tcPr>
          <w:p w14:paraId="7FB05F34"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 xml:space="preserve">18.50 </w:t>
            </w:r>
            <w:bookmarkStart w:id="8" w:name="__DdeLink__3741_530092034"/>
            <w:r w:rsidRPr="009C6F68">
              <w:rPr>
                <w:rFonts w:cs="Times New Roman"/>
                <w:color w:val="000000"/>
              </w:rPr>
              <w:t>±</w:t>
            </w:r>
            <w:bookmarkEnd w:id="8"/>
            <w:r w:rsidRPr="009C6F68">
              <w:rPr>
                <w:rFonts w:cs="Times New Roman"/>
                <w:color w:val="000000"/>
              </w:rPr>
              <w:t xml:space="preserve"> 0.35</w:t>
            </w:r>
          </w:p>
        </w:tc>
        <w:tc>
          <w:tcPr>
            <w:tcW w:w="1699" w:type="dxa"/>
          </w:tcPr>
          <w:p w14:paraId="2C415656"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33.27 ± 2.12</w:t>
            </w:r>
          </w:p>
        </w:tc>
      </w:tr>
      <w:tr w:rsidR="00A22F06" w:rsidRPr="009C6F68" w14:paraId="4238EAF1" w14:textId="77777777" w:rsidTr="002323BA">
        <w:tc>
          <w:tcPr>
            <w:tcW w:w="1263" w:type="dxa"/>
          </w:tcPr>
          <w:p w14:paraId="69EEF58F"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w:t>
            </w:r>
          </w:p>
        </w:tc>
        <w:tc>
          <w:tcPr>
            <w:tcW w:w="895" w:type="dxa"/>
          </w:tcPr>
          <w:p w14:paraId="0F4F6244"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2606" w:type="dxa"/>
          </w:tcPr>
          <w:p w14:paraId="73799315"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56.45 ± 4.94</w:t>
            </w:r>
          </w:p>
        </w:tc>
        <w:tc>
          <w:tcPr>
            <w:tcW w:w="2609" w:type="dxa"/>
          </w:tcPr>
          <w:p w14:paraId="1A0C784E"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17.90 ± 0.48</w:t>
            </w:r>
          </w:p>
        </w:tc>
        <w:tc>
          <w:tcPr>
            <w:tcW w:w="1699" w:type="dxa"/>
          </w:tcPr>
          <w:p w14:paraId="6B6FFC8F"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31.80 ± 2.77</w:t>
            </w:r>
          </w:p>
        </w:tc>
      </w:tr>
      <w:tr w:rsidR="00A22F06" w:rsidRPr="009C6F68" w14:paraId="5F71C6B3" w14:textId="77777777" w:rsidTr="002323BA">
        <w:tc>
          <w:tcPr>
            <w:tcW w:w="1263" w:type="dxa"/>
          </w:tcPr>
          <w:p w14:paraId="1C99F618"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895" w:type="dxa"/>
          </w:tcPr>
          <w:p w14:paraId="5982C8B0"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2606" w:type="dxa"/>
          </w:tcPr>
          <w:p w14:paraId="0959FD34"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54.80 ± 2.58</w:t>
            </w:r>
          </w:p>
        </w:tc>
        <w:tc>
          <w:tcPr>
            <w:tcW w:w="2609" w:type="dxa"/>
          </w:tcPr>
          <w:p w14:paraId="5C5371A1"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16.33 ± 0.84</w:t>
            </w:r>
          </w:p>
        </w:tc>
        <w:tc>
          <w:tcPr>
            <w:tcW w:w="1699" w:type="dxa"/>
          </w:tcPr>
          <w:p w14:paraId="083B211B"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30.58 ± 1.39</w:t>
            </w:r>
          </w:p>
        </w:tc>
      </w:tr>
      <w:tr w:rsidR="00A22F06" w:rsidRPr="009C6F68" w14:paraId="121134BC" w14:textId="77777777" w:rsidTr="002323BA">
        <w:tc>
          <w:tcPr>
            <w:tcW w:w="2158" w:type="dxa"/>
            <w:gridSpan w:val="2"/>
            <w:tcBorders>
              <w:bottom w:val="single" w:sz="6" w:space="0" w:color="000000"/>
            </w:tcBorders>
          </w:tcPr>
          <w:p w14:paraId="2AE09C37"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i/>
                <w:iCs/>
                <w:color w:val="000000"/>
              </w:rPr>
              <w:t>P</w:t>
            </w:r>
            <w:r w:rsidRPr="009C6F68">
              <w:rPr>
                <w:rFonts w:cs="Times New Roman"/>
                <w:b/>
                <w:bCs/>
                <w:color w:val="000000"/>
              </w:rPr>
              <w:t>-value</w:t>
            </w:r>
          </w:p>
        </w:tc>
        <w:tc>
          <w:tcPr>
            <w:tcW w:w="2606" w:type="dxa"/>
            <w:tcBorders>
              <w:bottom w:val="single" w:sz="6" w:space="0" w:color="000000"/>
            </w:tcBorders>
          </w:tcPr>
          <w:p w14:paraId="05D5C5FF"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0.91</w:t>
            </w:r>
          </w:p>
        </w:tc>
        <w:tc>
          <w:tcPr>
            <w:tcW w:w="2609" w:type="dxa"/>
            <w:tcBorders>
              <w:bottom w:val="single" w:sz="6" w:space="0" w:color="000000"/>
            </w:tcBorders>
          </w:tcPr>
          <w:p w14:paraId="75197D35"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0.01</w:t>
            </w:r>
          </w:p>
        </w:tc>
        <w:tc>
          <w:tcPr>
            <w:tcW w:w="1699" w:type="dxa"/>
            <w:tcBorders>
              <w:bottom w:val="single" w:sz="6" w:space="0" w:color="000000"/>
            </w:tcBorders>
          </w:tcPr>
          <w:p w14:paraId="6DE55595"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0.35</w:t>
            </w:r>
          </w:p>
        </w:tc>
      </w:tr>
    </w:tbl>
    <w:p w14:paraId="3AF1BE5C" w14:textId="1BD8CDE2" w:rsidR="00A22F06" w:rsidRPr="009C6F68" w:rsidRDefault="00A22F06" w:rsidP="00294057">
      <w:pPr>
        <w:pStyle w:val="BodyText"/>
        <w:spacing w:before="240" w:line="360" w:lineRule="auto"/>
        <w:jc w:val="both"/>
        <w:rPr>
          <w:rFonts w:cs="Times New Roman"/>
        </w:rPr>
      </w:pPr>
      <w:r w:rsidRPr="009C6F68">
        <w:rPr>
          <w:rFonts w:cs="Times New Roman"/>
        </w:rPr>
        <w:t>There is no statistically significant difference (</w:t>
      </w:r>
      <w:r w:rsidR="0030222E">
        <w:rPr>
          <w:rFonts w:cs="Times New Roman"/>
          <w:i/>
          <w:iCs/>
        </w:rPr>
        <w:t>p</w:t>
      </w:r>
      <w:r w:rsidRPr="009C6F68">
        <w:rPr>
          <w:rFonts w:cs="Times New Roman"/>
        </w:rPr>
        <w:t xml:space="preserve"> &gt; 0.05) in mean cell volume (MCV) and mean cell hemoglobin concentration (MCHC) between the groups</w:t>
      </w:r>
      <w:r w:rsidR="002323BA">
        <w:rPr>
          <w:rFonts w:cs="Times New Roman"/>
        </w:rPr>
        <w:t>,</w:t>
      </w:r>
      <w:r w:rsidRPr="009C6F68">
        <w:rPr>
          <w:rFonts w:cs="Times New Roman"/>
        </w:rPr>
        <w:t xml:space="preserve"> </w:t>
      </w:r>
      <w:r w:rsidR="002323BA">
        <w:rPr>
          <w:rFonts w:cs="Times New Roman"/>
        </w:rPr>
        <w:t>but t</w:t>
      </w:r>
      <w:r w:rsidRPr="009C6F68">
        <w:rPr>
          <w:rFonts w:cs="Times New Roman"/>
        </w:rPr>
        <w:t>here is a statistically significant difference (</w:t>
      </w:r>
      <w:r w:rsidR="0030222E">
        <w:rPr>
          <w:rFonts w:cs="Times New Roman"/>
          <w:i/>
          <w:iCs/>
        </w:rPr>
        <w:t>p</w:t>
      </w:r>
      <w:r w:rsidRPr="009C6F68">
        <w:rPr>
          <w:rFonts w:cs="Times New Roman"/>
        </w:rPr>
        <w:t xml:space="preserve"> &lt; 0.05) in mean cell hemoglobin (MCH) between the groups.</w:t>
      </w:r>
    </w:p>
    <w:p w14:paraId="67209687" w14:textId="77777777" w:rsidR="00A22F06" w:rsidRPr="009C6F68" w:rsidRDefault="00A22F06" w:rsidP="009C6F68">
      <w:pPr>
        <w:pStyle w:val="BodyText"/>
        <w:spacing w:line="360" w:lineRule="auto"/>
        <w:jc w:val="both"/>
        <w:rPr>
          <w:rFonts w:cs="Times New Roman"/>
        </w:rPr>
      </w:pPr>
      <w:r w:rsidRPr="009C6F68">
        <w:rPr>
          <w:rFonts w:cs="Times New Roman"/>
        </w:rPr>
        <w:t>A Tukey HSD post-hoc analysis was then performed between the groups to determine the source of variation in MCH.</w:t>
      </w:r>
    </w:p>
    <w:p w14:paraId="683BA157" w14:textId="09FE1539" w:rsidR="00A22F06" w:rsidRPr="00D1549B" w:rsidRDefault="00A22F06" w:rsidP="00D1549B">
      <w:pPr>
        <w:pStyle w:val="Table"/>
        <w:keepNext/>
        <w:spacing w:before="0" w:after="0" w:line="360" w:lineRule="auto"/>
        <w:jc w:val="both"/>
        <w:rPr>
          <w:rFonts w:cs="Times New Roman"/>
          <w:b/>
          <w:bCs/>
          <w:i w:val="0"/>
          <w:iCs w:val="0"/>
        </w:rPr>
      </w:pPr>
      <w:r w:rsidRPr="009C6F68">
        <w:rPr>
          <w:rFonts w:cs="Times New Roman"/>
          <w:b/>
          <w:bCs/>
          <w:i w:val="0"/>
          <w:iCs w:val="0"/>
        </w:rPr>
        <w:t xml:space="preserve">Table </w:t>
      </w:r>
      <w:r w:rsidRPr="009C6F68">
        <w:rPr>
          <w:rFonts w:cs="Times New Roman"/>
          <w:b/>
          <w:bCs/>
          <w:i w:val="0"/>
          <w:iCs w:val="0"/>
        </w:rPr>
        <w:fldChar w:fldCharType="begin"/>
      </w:r>
      <w:r w:rsidRPr="009C6F68">
        <w:rPr>
          <w:rFonts w:cs="Times New Roman"/>
          <w:b/>
          <w:bCs/>
          <w:i w:val="0"/>
          <w:iCs w:val="0"/>
        </w:rPr>
        <w:instrText>SEQ Table \* ARABIC</w:instrText>
      </w:r>
      <w:r w:rsidRPr="009C6F68">
        <w:rPr>
          <w:rFonts w:cs="Times New Roman"/>
          <w:b/>
          <w:bCs/>
          <w:i w:val="0"/>
          <w:iCs w:val="0"/>
        </w:rPr>
        <w:fldChar w:fldCharType="separate"/>
      </w:r>
      <w:r w:rsidR="00C41126">
        <w:rPr>
          <w:rFonts w:cs="Times New Roman"/>
          <w:b/>
          <w:bCs/>
          <w:i w:val="0"/>
          <w:iCs w:val="0"/>
          <w:noProof/>
        </w:rPr>
        <w:t>3</w:t>
      </w:r>
      <w:r w:rsidRPr="009C6F68">
        <w:rPr>
          <w:rFonts w:cs="Times New Roman"/>
          <w:b/>
          <w:bCs/>
          <w:i w:val="0"/>
          <w:iCs w:val="0"/>
        </w:rPr>
        <w:fldChar w:fldCharType="end"/>
      </w:r>
      <w:r w:rsidRPr="009C6F68">
        <w:rPr>
          <w:rFonts w:cs="Times New Roman"/>
          <w:b/>
          <w:bCs/>
          <w:i w:val="0"/>
          <w:iCs w:val="0"/>
        </w:rPr>
        <w:t xml:space="preserve">: </w:t>
      </w:r>
      <w:r w:rsidRPr="009C6F68">
        <w:rPr>
          <w:rFonts w:cs="Times New Roman"/>
          <w:i w:val="0"/>
          <w:iCs w:val="0"/>
        </w:rPr>
        <w:t>Tukey HSD post-hoc analysis for MCH between the groups</w:t>
      </w:r>
    </w:p>
    <w:tbl>
      <w:tblPr>
        <w:tblW w:w="9072" w:type="dxa"/>
        <w:tblLayout w:type="fixed"/>
        <w:tblCellMar>
          <w:left w:w="0" w:type="dxa"/>
          <w:right w:w="0" w:type="dxa"/>
        </w:tblCellMar>
        <w:tblLook w:val="04A0" w:firstRow="1" w:lastRow="0" w:firstColumn="1" w:lastColumn="0" w:noHBand="0" w:noVBand="1"/>
      </w:tblPr>
      <w:tblGrid>
        <w:gridCol w:w="2605"/>
        <w:gridCol w:w="3422"/>
        <w:gridCol w:w="3045"/>
      </w:tblGrid>
      <w:tr w:rsidR="00A22F06" w:rsidRPr="009C6F68" w14:paraId="2D92856C" w14:textId="77777777" w:rsidTr="00E539F0">
        <w:tc>
          <w:tcPr>
            <w:tcW w:w="2605" w:type="dxa"/>
            <w:tcBorders>
              <w:top w:val="single" w:sz="6" w:space="0" w:color="000000"/>
              <w:bottom w:val="single" w:sz="6" w:space="0" w:color="000000"/>
            </w:tcBorders>
            <w:vAlign w:val="center"/>
          </w:tcPr>
          <w:p w14:paraId="52A980D0"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Groups</w:t>
            </w:r>
          </w:p>
        </w:tc>
        <w:tc>
          <w:tcPr>
            <w:tcW w:w="3422" w:type="dxa"/>
            <w:tcBorders>
              <w:top w:val="single" w:sz="6" w:space="0" w:color="000000"/>
              <w:bottom w:val="single" w:sz="6" w:space="0" w:color="000000"/>
            </w:tcBorders>
            <w:vAlign w:val="center"/>
          </w:tcPr>
          <w:p w14:paraId="4BBF8F37"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Absolute Mean Difference</w:t>
            </w:r>
          </w:p>
        </w:tc>
        <w:tc>
          <w:tcPr>
            <w:tcW w:w="3045" w:type="dxa"/>
            <w:tcBorders>
              <w:top w:val="single" w:sz="6" w:space="0" w:color="000000"/>
              <w:bottom w:val="single" w:sz="6" w:space="0" w:color="000000"/>
            </w:tcBorders>
            <w:vAlign w:val="center"/>
          </w:tcPr>
          <w:p w14:paraId="0EE62127"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i/>
                <w:iCs/>
                <w:color w:val="000000"/>
              </w:rPr>
              <w:t>P</w:t>
            </w:r>
            <w:r w:rsidRPr="009C6F68">
              <w:rPr>
                <w:rFonts w:cs="Times New Roman"/>
                <w:b/>
                <w:bCs/>
                <w:color w:val="000000"/>
              </w:rPr>
              <w:t>-value</w:t>
            </w:r>
          </w:p>
        </w:tc>
      </w:tr>
      <w:tr w:rsidR="00A22F06" w:rsidRPr="009C6F68" w14:paraId="0C0C139E" w14:textId="77777777" w:rsidTr="00E539F0">
        <w:tc>
          <w:tcPr>
            <w:tcW w:w="2605" w:type="dxa"/>
            <w:vAlign w:val="center"/>
          </w:tcPr>
          <w:p w14:paraId="6915592C"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 vs 2</w:t>
            </w:r>
          </w:p>
        </w:tc>
        <w:tc>
          <w:tcPr>
            <w:tcW w:w="3422" w:type="dxa"/>
            <w:vAlign w:val="center"/>
          </w:tcPr>
          <w:p w14:paraId="730ADE20"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1.08</w:t>
            </w:r>
          </w:p>
        </w:tc>
        <w:tc>
          <w:tcPr>
            <w:tcW w:w="3045" w:type="dxa"/>
            <w:vAlign w:val="center"/>
          </w:tcPr>
          <w:p w14:paraId="02F8561C"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0.25</w:t>
            </w:r>
          </w:p>
        </w:tc>
      </w:tr>
      <w:tr w:rsidR="00A22F06" w:rsidRPr="009C6F68" w14:paraId="56884580" w14:textId="77777777" w:rsidTr="00E539F0">
        <w:tc>
          <w:tcPr>
            <w:tcW w:w="2605" w:type="dxa"/>
            <w:vAlign w:val="center"/>
          </w:tcPr>
          <w:p w14:paraId="465944A8"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 vs 3</w:t>
            </w:r>
          </w:p>
        </w:tc>
        <w:tc>
          <w:tcPr>
            <w:tcW w:w="3422" w:type="dxa"/>
            <w:vAlign w:val="center"/>
          </w:tcPr>
          <w:p w14:paraId="69ABAA99"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0.48</w:t>
            </w:r>
          </w:p>
        </w:tc>
        <w:tc>
          <w:tcPr>
            <w:tcW w:w="3045" w:type="dxa"/>
            <w:vAlign w:val="center"/>
          </w:tcPr>
          <w:p w14:paraId="79BCAEBB"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0.82</w:t>
            </w:r>
          </w:p>
        </w:tc>
      </w:tr>
      <w:tr w:rsidR="00A22F06" w:rsidRPr="009C6F68" w14:paraId="3028A566" w14:textId="77777777" w:rsidTr="00E539F0">
        <w:tc>
          <w:tcPr>
            <w:tcW w:w="2605" w:type="dxa"/>
            <w:vAlign w:val="center"/>
          </w:tcPr>
          <w:p w14:paraId="44DF2C39"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 vs 4</w:t>
            </w:r>
          </w:p>
        </w:tc>
        <w:tc>
          <w:tcPr>
            <w:tcW w:w="3422" w:type="dxa"/>
            <w:vAlign w:val="center"/>
          </w:tcPr>
          <w:p w14:paraId="40B04FB0"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1.1</w:t>
            </w:r>
          </w:p>
        </w:tc>
        <w:tc>
          <w:tcPr>
            <w:tcW w:w="3045" w:type="dxa"/>
            <w:vAlign w:val="center"/>
          </w:tcPr>
          <w:p w14:paraId="46EDE9A1"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0.24</w:t>
            </w:r>
          </w:p>
        </w:tc>
      </w:tr>
      <w:tr w:rsidR="00A22F06" w:rsidRPr="009C6F68" w14:paraId="56FD532A" w14:textId="77777777" w:rsidTr="00E539F0">
        <w:tc>
          <w:tcPr>
            <w:tcW w:w="2605" w:type="dxa"/>
            <w:vAlign w:val="center"/>
          </w:tcPr>
          <w:p w14:paraId="225E00B7"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 vs 3</w:t>
            </w:r>
          </w:p>
        </w:tc>
        <w:tc>
          <w:tcPr>
            <w:tcW w:w="3422" w:type="dxa"/>
            <w:vAlign w:val="center"/>
          </w:tcPr>
          <w:p w14:paraId="0B4E2AF9"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0.6</w:t>
            </w:r>
          </w:p>
        </w:tc>
        <w:tc>
          <w:tcPr>
            <w:tcW w:w="3045" w:type="dxa"/>
            <w:vAlign w:val="center"/>
          </w:tcPr>
          <w:p w14:paraId="50D358AA"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0.8</w:t>
            </w:r>
          </w:p>
        </w:tc>
      </w:tr>
      <w:tr w:rsidR="00A22F06" w:rsidRPr="009C6F68" w14:paraId="439E8DE0" w14:textId="77777777" w:rsidTr="00E539F0">
        <w:tc>
          <w:tcPr>
            <w:tcW w:w="2605" w:type="dxa"/>
            <w:vAlign w:val="center"/>
          </w:tcPr>
          <w:p w14:paraId="4F6C5131"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 vs 4</w:t>
            </w:r>
          </w:p>
        </w:tc>
        <w:tc>
          <w:tcPr>
            <w:tcW w:w="3422" w:type="dxa"/>
            <w:vAlign w:val="center"/>
          </w:tcPr>
          <w:p w14:paraId="0973A3F7"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2.17</w:t>
            </w:r>
          </w:p>
        </w:tc>
        <w:tc>
          <w:tcPr>
            <w:tcW w:w="3045" w:type="dxa"/>
            <w:vAlign w:val="center"/>
          </w:tcPr>
          <w:p w14:paraId="3465E212"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0.01</w:t>
            </w:r>
          </w:p>
        </w:tc>
      </w:tr>
      <w:tr w:rsidR="00A22F06" w:rsidRPr="009C6F68" w14:paraId="46F8113A" w14:textId="77777777" w:rsidTr="00E539F0">
        <w:tc>
          <w:tcPr>
            <w:tcW w:w="2605" w:type="dxa"/>
            <w:tcBorders>
              <w:bottom w:val="single" w:sz="6" w:space="0" w:color="000000"/>
            </w:tcBorders>
            <w:vAlign w:val="center"/>
          </w:tcPr>
          <w:p w14:paraId="34B5B333"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 vs 4</w:t>
            </w:r>
          </w:p>
        </w:tc>
        <w:tc>
          <w:tcPr>
            <w:tcW w:w="3422" w:type="dxa"/>
            <w:tcBorders>
              <w:bottom w:val="single" w:sz="6" w:space="0" w:color="000000"/>
            </w:tcBorders>
            <w:vAlign w:val="center"/>
          </w:tcPr>
          <w:p w14:paraId="39A889CA"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1.57</w:t>
            </w:r>
          </w:p>
        </w:tc>
        <w:tc>
          <w:tcPr>
            <w:tcW w:w="3045" w:type="dxa"/>
            <w:tcBorders>
              <w:bottom w:val="single" w:sz="6" w:space="0" w:color="000000"/>
            </w:tcBorders>
            <w:vAlign w:val="center"/>
          </w:tcPr>
          <w:p w14:paraId="11BAD131"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0.58</w:t>
            </w:r>
          </w:p>
        </w:tc>
      </w:tr>
    </w:tbl>
    <w:p w14:paraId="76EE7524" w14:textId="1B2EF309" w:rsidR="00A22F06" w:rsidRPr="009C6F68" w:rsidRDefault="00A22F06" w:rsidP="004C61D7">
      <w:pPr>
        <w:pStyle w:val="BodyText"/>
        <w:spacing w:line="360" w:lineRule="auto"/>
        <w:jc w:val="both"/>
        <w:rPr>
          <w:rFonts w:cs="Times New Roman"/>
        </w:rPr>
      </w:pPr>
      <w:r w:rsidRPr="009C6F68">
        <w:rPr>
          <w:rFonts w:cs="Times New Roman"/>
        </w:rPr>
        <w:t xml:space="preserve">The </w:t>
      </w:r>
      <w:r w:rsidRPr="009C6F68">
        <w:rPr>
          <w:rFonts w:cs="Times New Roman"/>
          <w:i/>
          <w:iCs/>
        </w:rPr>
        <w:t>P</w:t>
      </w:r>
      <w:r w:rsidRPr="009C6F68">
        <w:rPr>
          <w:rFonts w:cs="Times New Roman"/>
        </w:rPr>
        <w:t xml:space="preserve">-value when comparing group 2 (500 mg/kg) and group 4 (control) </w:t>
      </w:r>
      <w:r w:rsidRPr="00982CF4">
        <w:rPr>
          <w:rFonts w:cs="Times New Roman"/>
        </w:rPr>
        <w:t>is 0.01.</w:t>
      </w:r>
      <w:r w:rsidRPr="009C6F68">
        <w:rPr>
          <w:rFonts w:cs="Times New Roman"/>
        </w:rPr>
        <w:t xml:space="preserve"> This indicates a </w:t>
      </w:r>
      <w:r w:rsidRPr="00982CF4">
        <w:rPr>
          <w:rFonts w:cs="Times New Roman"/>
        </w:rPr>
        <w:t>significant</w:t>
      </w:r>
      <w:r w:rsidRPr="009C6F68">
        <w:rPr>
          <w:rFonts w:cs="Times New Roman"/>
        </w:rPr>
        <w:t xml:space="preserve"> difference (</w:t>
      </w:r>
      <w:r w:rsidR="0030222E">
        <w:rPr>
          <w:rFonts w:cs="Times New Roman"/>
          <w:i/>
          <w:iCs/>
        </w:rPr>
        <w:t>p</w:t>
      </w:r>
      <w:r w:rsidRPr="009C6F68">
        <w:rPr>
          <w:rFonts w:cs="Times New Roman"/>
        </w:rPr>
        <w:t xml:space="preserve"> &lt; 0.05) between the MCH of animal models between these two groups.</w:t>
      </w:r>
    </w:p>
    <w:p w14:paraId="1CD6CB21" w14:textId="6982D242" w:rsidR="00A22F06" w:rsidRPr="009C6F68" w:rsidRDefault="00A22F06" w:rsidP="00D1549B">
      <w:pPr>
        <w:pStyle w:val="Table"/>
        <w:keepNext/>
        <w:spacing w:before="0" w:after="0" w:line="360" w:lineRule="auto"/>
        <w:jc w:val="both"/>
        <w:rPr>
          <w:rFonts w:cs="Times New Roman"/>
          <w:b/>
          <w:bCs/>
          <w:i w:val="0"/>
          <w:iCs w:val="0"/>
        </w:rPr>
      </w:pPr>
      <w:r w:rsidRPr="009C6F68">
        <w:rPr>
          <w:rFonts w:cs="Times New Roman"/>
          <w:b/>
          <w:bCs/>
          <w:i w:val="0"/>
          <w:iCs w:val="0"/>
        </w:rPr>
        <w:lastRenderedPageBreak/>
        <w:t xml:space="preserve">Table </w:t>
      </w:r>
      <w:r w:rsidRPr="009C6F68">
        <w:rPr>
          <w:rFonts w:cs="Times New Roman"/>
          <w:b/>
          <w:bCs/>
          <w:i w:val="0"/>
          <w:iCs w:val="0"/>
        </w:rPr>
        <w:fldChar w:fldCharType="begin"/>
      </w:r>
      <w:r w:rsidRPr="009C6F68">
        <w:rPr>
          <w:rFonts w:cs="Times New Roman"/>
          <w:b/>
          <w:bCs/>
          <w:i w:val="0"/>
          <w:iCs w:val="0"/>
        </w:rPr>
        <w:instrText>SEQ Table \* ARABIC</w:instrText>
      </w:r>
      <w:r w:rsidRPr="009C6F68">
        <w:rPr>
          <w:rFonts w:cs="Times New Roman"/>
          <w:b/>
          <w:bCs/>
          <w:i w:val="0"/>
          <w:iCs w:val="0"/>
        </w:rPr>
        <w:fldChar w:fldCharType="separate"/>
      </w:r>
      <w:r w:rsidR="00C41126">
        <w:rPr>
          <w:rFonts w:cs="Times New Roman"/>
          <w:b/>
          <w:bCs/>
          <w:i w:val="0"/>
          <w:iCs w:val="0"/>
          <w:noProof/>
        </w:rPr>
        <w:t>4</w:t>
      </w:r>
      <w:r w:rsidRPr="009C6F68">
        <w:rPr>
          <w:rFonts w:cs="Times New Roman"/>
          <w:b/>
          <w:bCs/>
          <w:i w:val="0"/>
          <w:iCs w:val="0"/>
        </w:rPr>
        <w:fldChar w:fldCharType="end"/>
      </w:r>
      <w:r w:rsidRPr="009C6F68">
        <w:rPr>
          <w:rFonts w:cs="Times New Roman"/>
          <w:b/>
          <w:bCs/>
          <w:i w:val="0"/>
          <w:iCs w:val="0"/>
        </w:rPr>
        <w:t xml:space="preserve">: </w:t>
      </w:r>
      <w:r w:rsidRPr="009C6F68">
        <w:rPr>
          <w:rFonts w:cs="Times New Roman"/>
          <w:i w:val="0"/>
          <w:iCs w:val="0"/>
        </w:rPr>
        <w:t>White blood cells (WBC) count</w:t>
      </w:r>
    </w:p>
    <w:tbl>
      <w:tblPr>
        <w:tblW w:w="8931" w:type="dxa"/>
        <w:tblLayout w:type="fixed"/>
        <w:tblCellMar>
          <w:left w:w="0" w:type="dxa"/>
          <w:right w:w="0" w:type="dxa"/>
        </w:tblCellMar>
        <w:tblLook w:val="04A0" w:firstRow="1" w:lastRow="0" w:firstColumn="1" w:lastColumn="0" w:noHBand="0" w:noVBand="1"/>
      </w:tblPr>
      <w:tblGrid>
        <w:gridCol w:w="986"/>
        <w:gridCol w:w="715"/>
        <w:gridCol w:w="1701"/>
        <w:gridCol w:w="1843"/>
        <w:gridCol w:w="1843"/>
        <w:gridCol w:w="1843"/>
      </w:tblGrid>
      <w:tr w:rsidR="00A22F06" w:rsidRPr="009C6F68" w14:paraId="41296F08" w14:textId="77777777" w:rsidTr="004C61D7">
        <w:trPr>
          <w:trHeight w:val="718"/>
        </w:trPr>
        <w:tc>
          <w:tcPr>
            <w:tcW w:w="986" w:type="dxa"/>
            <w:tcBorders>
              <w:top w:val="single" w:sz="6" w:space="0" w:color="000000"/>
              <w:bottom w:val="single" w:sz="6" w:space="0" w:color="000000"/>
            </w:tcBorders>
            <w:vAlign w:val="bottom"/>
          </w:tcPr>
          <w:p w14:paraId="773B74CC"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Group</w:t>
            </w:r>
          </w:p>
        </w:tc>
        <w:tc>
          <w:tcPr>
            <w:tcW w:w="715" w:type="dxa"/>
            <w:tcBorders>
              <w:top w:val="single" w:sz="6" w:space="0" w:color="000000"/>
              <w:bottom w:val="single" w:sz="6" w:space="0" w:color="000000"/>
            </w:tcBorders>
            <w:vAlign w:val="bottom"/>
          </w:tcPr>
          <w:p w14:paraId="3EFC9EB6"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N</w:t>
            </w:r>
          </w:p>
        </w:tc>
        <w:tc>
          <w:tcPr>
            <w:tcW w:w="1701" w:type="dxa"/>
            <w:tcBorders>
              <w:top w:val="single" w:sz="6" w:space="0" w:color="000000"/>
              <w:bottom w:val="single" w:sz="6" w:space="0" w:color="000000"/>
            </w:tcBorders>
            <w:vAlign w:val="bottom"/>
          </w:tcPr>
          <w:p w14:paraId="7C617578"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NEUT (10</w:t>
            </w:r>
            <w:r w:rsidRPr="009C6F68">
              <w:rPr>
                <w:rFonts w:cs="Times New Roman"/>
                <w:b/>
                <w:bCs/>
                <w:color w:val="000000"/>
                <w:vertAlign w:val="superscript"/>
              </w:rPr>
              <w:t>3</w:t>
            </w:r>
            <w:r w:rsidRPr="009C6F68">
              <w:rPr>
                <w:rFonts w:cs="Times New Roman"/>
                <w:b/>
                <w:bCs/>
                <w:color w:val="000000"/>
              </w:rPr>
              <w:t>/</w:t>
            </w:r>
            <w:proofErr w:type="spellStart"/>
            <w:r w:rsidRPr="009C6F68">
              <w:rPr>
                <w:rFonts w:cs="Times New Roman"/>
                <w:b/>
                <w:bCs/>
                <w:color w:val="000000"/>
              </w:rPr>
              <w:t>uL</w:t>
            </w:r>
            <w:proofErr w:type="spellEnd"/>
            <w:r w:rsidRPr="009C6F68">
              <w:rPr>
                <w:rFonts w:cs="Times New Roman"/>
                <w:b/>
                <w:bCs/>
                <w:color w:val="000000"/>
              </w:rPr>
              <w:t>)</w:t>
            </w:r>
          </w:p>
          <w:p w14:paraId="41E47621"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c>
          <w:tcPr>
            <w:tcW w:w="1843" w:type="dxa"/>
            <w:tcBorders>
              <w:top w:val="single" w:sz="6" w:space="0" w:color="000000"/>
              <w:bottom w:val="single" w:sz="6" w:space="0" w:color="000000"/>
            </w:tcBorders>
            <w:vAlign w:val="bottom"/>
          </w:tcPr>
          <w:p w14:paraId="74949B70"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LYM (10</w:t>
            </w:r>
            <w:r w:rsidRPr="009C6F68">
              <w:rPr>
                <w:rFonts w:cs="Times New Roman"/>
                <w:b/>
                <w:bCs/>
                <w:color w:val="000000"/>
                <w:vertAlign w:val="superscript"/>
              </w:rPr>
              <w:t>3</w:t>
            </w:r>
            <w:r w:rsidRPr="009C6F68">
              <w:rPr>
                <w:rFonts w:cs="Times New Roman"/>
                <w:b/>
                <w:bCs/>
                <w:color w:val="000000"/>
              </w:rPr>
              <w:t>/</w:t>
            </w:r>
            <w:proofErr w:type="spellStart"/>
            <w:r w:rsidRPr="009C6F68">
              <w:rPr>
                <w:rFonts w:cs="Times New Roman"/>
                <w:b/>
                <w:bCs/>
                <w:color w:val="000000"/>
              </w:rPr>
              <w:t>uL</w:t>
            </w:r>
            <w:proofErr w:type="spellEnd"/>
            <w:r w:rsidRPr="009C6F68">
              <w:rPr>
                <w:rFonts w:cs="Times New Roman"/>
                <w:b/>
                <w:bCs/>
                <w:color w:val="000000"/>
              </w:rPr>
              <w:t>)</w:t>
            </w:r>
          </w:p>
          <w:p w14:paraId="041C1486"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c>
          <w:tcPr>
            <w:tcW w:w="1843" w:type="dxa"/>
            <w:tcBorders>
              <w:top w:val="single" w:sz="6" w:space="0" w:color="000000"/>
              <w:bottom w:val="single" w:sz="6" w:space="0" w:color="000000"/>
            </w:tcBorders>
            <w:vAlign w:val="bottom"/>
          </w:tcPr>
          <w:p w14:paraId="444BFD78"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MXD (10</w:t>
            </w:r>
            <w:r w:rsidRPr="009C6F68">
              <w:rPr>
                <w:rFonts w:cs="Times New Roman"/>
                <w:b/>
                <w:bCs/>
                <w:color w:val="000000"/>
                <w:vertAlign w:val="superscript"/>
              </w:rPr>
              <w:t>3</w:t>
            </w:r>
            <w:r w:rsidRPr="009C6F68">
              <w:rPr>
                <w:rFonts w:cs="Times New Roman"/>
                <w:b/>
                <w:bCs/>
                <w:color w:val="000000"/>
              </w:rPr>
              <w:t>/</w:t>
            </w:r>
            <w:proofErr w:type="spellStart"/>
            <w:r w:rsidRPr="009C6F68">
              <w:rPr>
                <w:rFonts w:cs="Times New Roman"/>
                <w:b/>
                <w:bCs/>
                <w:color w:val="000000"/>
              </w:rPr>
              <w:t>uL</w:t>
            </w:r>
            <w:proofErr w:type="spellEnd"/>
            <w:r w:rsidRPr="009C6F68">
              <w:rPr>
                <w:rFonts w:cs="Times New Roman"/>
                <w:b/>
                <w:bCs/>
                <w:color w:val="000000"/>
              </w:rPr>
              <w:t>)</w:t>
            </w:r>
          </w:p>
          <w:p w14:paraId="3247C58D"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c>
          <w:tcPr>
            <w:tcW w:w="1843" w:type="dxa"/>
            <w:tcBorders>
              <w:top w:val="single" w:sz="6" w:space="0" w:color="000000"/>
              <w:bottom w:val="single" w:sz="6" w:space="0" w:color="000000"/>
            </w:tcBorders>
            <w:vAlign w:val="bottom"/>
          </w:tcPr>
          <w:p w14:paraId="06728DB7"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TWBC (10</w:t>
            </w:r>
            <w:r w:rsidRPr="009C6F68">
              <w:rPr>
                <w:rFonts w:cs="Times New Roman"/>
                <w:b/>
                <w:bCs/>
                <w:color w:val="000000"/>
                <w:vertAlign w:val="superscript"/>
              </w:rPr>
              <w:t>3</w:t>
            </w:r>
            <w:r w:rsidRPr="009C6F68">
              <w:rPr>
                <w:rFonts w:cs="Times New Roman"/>
                <w:b/>
                <w:bCs/>
                <w:color w:val="000000"/>
              </w:rPr>
              <w:t>/</w:t>
            </w:r>
            <w:proofErr w:type="spellStart"/>
            <w:r w:rsidRPr="009C6F68">
              <w:rPr>
                <w:rFonts w:cs="Times New Roman"/>
                <w:b/>
                <w:bCs/>
                <w:color w:val="000000"/>
              </w:rPr>
              <w:t>uL</w:t>
            </w:r>
            <w:proofErr w:type="spellEnd"/>
            <w:r w:rsidRPr="009C6F68">
              <w:rPr>
                <w:rFonts w:cs="Times New Roman"/>
                <w:b/>
                <w:bCs/>
                <w:color w:val="000000"/>
              </w:rPr>
              <w:t>)</w:t>
            </w:r>
          </w:p>
          <w:p w14:paraId="73B350A3"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r>
      <w:tr w:rsidR="00A22F06" w:rsidRPr="009C6F68" w14:paraId="152319B7" w14:textId="77777777" w:rsidTr="004C61D7">
        <w:tc>
          <w:tcPr>
            <w:tcW w:w="986" w:type="dxa"/>
          </w:tcPr>
          <w:p w14:paraId="6D955C72"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w:t>
            </w:r>
          </w:p>
        </w:tc>
        <w:tc>
          <w:tcPr>
            <w:tcW w:w="715" w:type="dxa"/>
          </w:tcPr>
          <w:p w14:paraId="160879C0"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1701" w:type="dxa"/>
          </w:tcPr>
          <w:p w14:paraId="5E3389CC"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2.78 ± 1.74</w:t>
            </w:r>
          </w:p>
        </w:tc>
        <w:tc>
          <w:tcPr>
            <w:tcW w:w="1843" w:type="dxa"/>
          </w:tcPr>
          <w:p w14:paraId="7A3A4926"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13.78 ± 2.09</w:t>
            </w:r>
          </w:p>
        </w:tc>
        <w:tc>
          <w:tcPr>
            <w:tcW w:w="1843" w:type="dxa"/>
          </w:tcPr>
          <w:p w14:paraId="2915222E"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3.00 ± 3.47</w:t>
            </w:r>
          </w:p>
        </w:tc>
        <w:tc>
          <w:tcPr>
            <w:tcW w:w="1843" w:type="dxa"/>
          </w:tcPr>
          <w:p w14:paraId="2ACCFD6D"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17.98 ± 3.40</w:t>
            </w:r>
          </w:p>
        </w:tc>
      </w:tr>
      <w:tr w:rsidR="00A22F06" w:rsidRPr="009C6F68" w14:paraId="1BA7E907" w14:textId="77777777" w:rsidTr="004C61D7">
        <w:tc>
          <w:tcPr>
            <w:tcW w:w="986" w:type="dxa"/>
          </w:tcPr>
          <w:p w14:paraId="7E9E3028"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w:t>
            </w:r>
          </w:p>
        </w:tc>
        <w:tc>
          <w:tcPr>
            <w:tcW w:w="715" w:type="dxa"/>
          </w:tcPr>
          <w:p w14:paraId="15AA74F5"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1701" w:type="dxa"/>
          </w:tcPr>
          <w:p w14:paraId="47558962"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3.90 ± 3.18</w:t>
            </w:r>
          </w:p>
        </w:tc>
        <w:tc>
          <w:tcPr>
            <w:tcW w:w="1843" w:type="dxa"/>
          </w:tcPr>
          <w:p w14:paraId="37845F27"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18.38 ± 9.93</w:t>
            </w:r>
          </w:p>
        </w:tc>
        <w:tc>
          <w:tcPr>
            <w:tcW w:w="1843" w:type="dxa"/>
          </w:tcPr>
          <w:p w14:paraId="6C4319E1"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1.10 ± 0.37</w:t>
            </w:r>
          </w:p>
        </w:tc>
        <w:tc>
          <w:tcPr>
            <w:tcW w:w="1843" w:type="dxa"/>
          </w:tcPr>
          <w:p w14:paraId="6544CE36"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23.37 ± 10.04</w:t>
            </w:r>
          </w:p>
        </w:tc>
      </w:tr>
      <w:tr w:rsidR="00A22F06" w:rsidRPr="009C6F68" w14:paraId="3835024C" w14:textId="77777777" w:rsidTr="004C61D7">
        <w:tc>
          <w:tcPr>
            <w:tcW w:w="986" w:type="dxa"/>
          </w:tcPr>
          <w:p w14:paraId="13A36B3E"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w:t>
            </w:r>
          </w:p>
        </w:tc>
        <w:tc>
          <w:tcPr>
            <w:tcW w:w="715" w:type="dxa"/>
          </w:tcPr>
          <w:p w14:paraId="7F55D7C0"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1701" w:type="dxa"/>
          </w:tcPr>
          <w:p w14:paraId="1B42E3BA"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2.25 ± 0.88</w:t>
            </w:r>
          </w:p>
        </w:tc>
        <w:tc>
          <w:tcPr>
            <w:tcW w:w="1843" w:type="dxa"/>
          </w:tcPr>
          <w:p w14:paraId="70271D86"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20.38 ± 6.28</w:t>
            </w:r>
          </w:p>
        </w:tc>
        <w:tc>
          <w:tcPr>
            <w:tcW w:w="1843" w:type="dxa"/>
          </w:tcPr>
          <w:p w14:paraId="27A49E69"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1.23 ± 0.51</w:t>
            </w:r>
          </w:p>
        </w:tc>
        <w:tc>
          <w:tcPr>
            <w:tcW w:w="1843" w:type="dxa"/>
          </w:tcPr>
          <w:p w14:paraId="715DD804"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23.85 ± 6.99</w:t>
            </w:r>
          </w:p>
        </w:tc>
      </w:tr>
      <w:tr w:rsidR="00A22F06" w:rsidRPr="009C6F68" w14:paraId="6D597F42" w14:textId="77777777" w:rsidTr="004C61D7">
        <w:tc>
          <w:tcPr>
            <w:tcW w:w="986" w:type="dxa"/>
          </w:tcPr>
          <w:p w14:paraId="64A5E65D"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715" w:type="dxa"/>
          </w:tcPr>
          <w:p w14:paraId="4B8365EF"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1701" w:type="dxa"/>
          </w:tcPr>
          <w:p w14:paraId="0AEA6E19"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2.82 ± 1.44</w:t>
            </w:r>
          </w:p>
        </w:tc>
        <w:tc>
          <w:tcPr>
            <w:tcW w:w="1843" w:type="dxa"/>
          </w:tcPr>
          <w:p w14:paraId="5E8E7A9D"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14.10 ± 4.48</w:t>
            </w:r>
          </w:p>
        </w:tc>
        <w:tc>
          <w:tcPr>
            <w:tcW w:w="1843" w:type="dxa"/>
          </w:tcPr>
          <w:p w14:paraId="1B02C875"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1.30 ± 0.29</w:t>
            </w:r>
          </w:p>
        </w:tc>
        <w:tc>
          <w:tcPr>
            <w:tcW w:w="1843" w:type="dxa"/>
          </w:tcPr>
          <w:p w14:paraId="54D0E7CD"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18.48 ± 3.46</w:t>
            </w:r>
          </w:p>
        </w:tc>
      </w:tr>
      <w:tr w:rsidR="00A22F06" w:rsidRPr="009C6F68" w14:paraId="6A0CC912" w14:textId="77777777" w:rsidTr="004C61D7">
        <w:trPr>
          <w:trHeight w:val="384"/>
        </w:trPr>
        <w:tc>
          <w:tcPr>
            <w:tcW w:w="1701" w:type="dxa"/>
            <w:gridSpan w:val="2"/>
            <w:tcBorders>
              <w:bottom w:val="single" w:sz="6" w:space="0" w:color="000000"/>
            </w:tcBorders>
          </w:tcPr>
          <w:p w14:paraId="1D73F460" w14:textId="77777777" w:rsidR="00A22F06" w:rsidRPr="009C6F68" w:rsidRDefault="00A22F06" w:rsidP="00294057">
            <w:pPr>
              <w:pStyle w:val="TableContents"/>
              <w:spacing w:line="276" w:lineRule="auto"/>
              <w:jc w:val="center"/>
              <w:rPr>
                <w:rFonts w:cs="Times New Roman"/>
                <w:b/>
                <w:bCs/>
                <w:i/>
                <w:iCs/>
                <w:color w:val="000000"/>
              </w:rPr>
            </w:pPr>
            <w:r w:rsidRPr="009C6F68">
              <w:rPr>
                <w:rFonts w:cs="Times New Roman"/>
                <w:b/>
                <w:bCs/>
                <w:i/>
                <w:iCs/>
                <w:color w:val="000000"/>
              </w:rPr>
              <w:t>P</w:t>
            </w:r>
            <w:r w:rsidRPr="009C6F68">
              <w:rPr>
                <w:rFonts w:cs="Times New Roman"/>
                <w:b/>
                <w:bCs/>
                <w:color w:val="000000"/>
              </w:rPr>
              <w:t>-value</w:t>
            </w:r>
          </w:p>
        </w:tc>
        <w:tc>
          <w:tcPr>
            <w:tcW w:w="1701" w:type="dxa"/>
            <w:tcBorders>
              <w:bottom w:val="single" w:sz="6" w:space="0" w:color="000000"/>
            </w:tcBorders>
          </w:tcPr>
          <w:p w14:paraId="0472C1D9"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0.7</w:t>
            </w:r>
          </w:p>
        </w:tc>
        <w:tc>
          <w:tcPr>
            <w:tcW w:w="1843" w:type="dxa"/>
            <w:tcBorders>
              <w:bottom w:val="single" w:sz="6" w:space="0" w:color="000000"/>
            </w:tcBorders>
          </w:tcPr>
          <w:p w14:paraId="4183536F"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0.41</w:t>
            </w:r>
          </w:p>
        </w:tc>
        <w:tc>
          <w:tcPr>
            <w:tcW w:w="1843" w:type="dxa"/>
            <w:tcBorders>
              <w:bottom w:val="single" w:sz="6" w:space="0" w:color="000000"/>
            </w:tcBorders>
          </w:tcPr>
          <w:p w14:paraId="6624AC9A"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0.41</w:t>
            </w:r>
          </w:p>
        </w:tc>
        <w:tc>
          <w:tcPr>
            <w:tcW w:w="1843" w:type="dxa"/>
            <w:tcBorders>
              <w:bottom w:val="single" w:sz="6" w:space="0" w:color="000000"/>
            </w:tcBorders>
          </w:tcPr>
          <w:p w14:paraId="27FE83A3"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0.47</w:t>
            </w:r>
          </w:p>
        </w:tc>
      </w:tr>
    </w:tbl>
    <w:p w14:paraId="24DADE8C" w14:textId="502E85DC" w:rsidR="00A22F06" w:rsidRPr="009C6F68" w:rsidRDefault="00A22F06" w:rsidP="004C61D7">
      <w:pPr>
        <w:pStyle w:val="BodyText"/>
        <w:spacing w:before="240" w:line="360" w:lineRule="auto"/>
        <w:jc w:val="both"/>
        <w:rPr>
          <w:rFonts w:cs="Times New Roman"/>
        </w:rPr>
      </w:pPr>
      <w:r w:rsidRPr="009C6F68">
        <w:rPr>
          <w:rFonts w:cs="Times New Roman"/>
        </w:rPr>
        <w:t>There is no statistically significant difference (</w:t>
      </w:r>
      <w:r w:rsidR="0030222E">
        <w:rPr>
          <w:rFonts w:cs="Times New Roman"/>
          <w:i/>
          <w:iCs/>
        </w:rPr>
        <w:t>p</w:t>
      </w:r>
      <w:r w:rsidRPr="009C6F68">
        <w:rPr>
          <w:rFonts w:cs="Times New Roman"/>
        </w:rPr>
        <w:t xml:space="preserve"> &gt; 0.05) in neutrophils, lymphocytes, mixed, and total white blood cells count between the groups.</w:t>
      </w:r>
    </w:p>
    <w:p w14:paraId="0BCE15DE" w14:textId="1AE6A288" w:rsidR="00A22F06" w:rsidRPr="009C6F68" w:rsidRDefault="00A22F06" w:rsidP="00863106">
      <w:pPr>
        <w:pStyle w:val="Table"/>
        <w:keepNext/>
        <w:spacing w:before="0" w:after="0" w:line="360" w:lineRule="auto"/>
        <w:jc w:val="both"/>
        <w:rPr>
          <w:rFonts w:cs="Times New Roman"/>
          <w:b/>
          <w:bCs/>
          <w:i w:val="0"/>
          <w:iCs w:val="0"/>
        </w:rPr>
      </w:pPr>
      <w:r w:rsidRPr="009C6F68">
        <w:rPr>
          <w:rFonts w:cs="Times New Roman"/>
          <w:b/>
          <w:bCs/>
          <w:i w:val="0"/>
          <w:iCs w:val="0"/>
        </w:rPr>
        <w:t xml:space="preserve">Table </w:t>
      </w:r>
      <w:r w:rsidRPr="009C6F68">
        <w:rPr>
          <w:rFonts w:cs="Times New Roman"/>
          <w:b/>
          <w:bCs/>
          <w:i w:val="0"/>
          <w:iCs w:val="0"/>
        </w:rPr>
        <w:fldChar w:fldCharType="begin"/>
      </w:r>
      <w:r w:rsidRPr="009C6F68">
        <w:rPr>
          <w:rFonts w:cs="Times New Roman"/>
          <w:b/>
          <w:bCs/>
          <w:i w:val="0"/>
          <w:iCs w:val="0"/>
        </w:rPr>
        <w:instrText>SEQ Table \* ARABIC</w:instrText>
      </w:r>
      <w:r w:rsidRPr="009C6F68">
        <w:rPr>
          <w:rFonts w:cs="Times New Roman"/>
          <w:b/>
          <w:bCs/>
          <w:i w:val="0"/>
          <w:iCs w:val="0"/>
        </w:rPr>
        <w:fldChar w:fldCharType="separate"/>
      </w:r>
      <w:r w:rsidR="00C41126">
        <w:rPr>
          <w:rFonts w:cs="Times New Roman"/>
          <w:b/>
          <w:bCs/>
          <w:i w:val="0"/>
          <w:iCs w:val="0"/>
          <w:noProof/>
        </w:rPr>
        <w:t>5</w:t>
      </w:r>
      <w:r w:rsidRPr="009C6F68">
        <w:rPr>
          <w:rFonts w:cs="Times New Roman"/>
          <w:b/>
          <w:bCs/>
          <w:i w:val="0"/>
          <w:iCs w:val="0"/>
        </w:rPr>
        <w:fldChar w:fldCharType="end"/>
      </w:r>
      <w:r w:rsidRPr="009C6F68">
        <w:rPr>
          <w:rFonts w:cs="Times New Roman"/>
          <w:b/>
          <w:bCs/>
          <w:i w:val="0"/>
          <w:iCs w:val="0"/>
        </w:rPr>
        <w:t xml:space="preserve">: </w:t>
      </w:r>
      <w:r w:rsidRPr="009C6F68">
        <w:rPr>
          <w:rFonts w:cs="Times New Roman"/>
          <w:i w:val="0"/>
          <w:iCs w:val="0"/>
        </w:rPr>
        <w:t>Platelets count</w:t>
      </w:r>
    </w:p>
    <w:tbl>
      <w:tblPr>
        <w:tblW w:w="8931" w:type="dxa"/>
        <w:tblLayout w:type="fixed"/>
        <w:tblCellMar>
          <w:left w:w="0" w:type="dxa"/>
          <w:right w:w="0" w:type="dxa"/>
        </w:tblCellMar>
        <w:tblLook w:val="04A0" w:firstRow="1" w:lastRow="0" w:firstColumn="1" w:lastColumn="0" w:noHBand="0" w:noVBand="1"/>
      </w:tblPr>
      <w:tblGrid>
        <w:gridCol w:w="1804"/>
        <w:gridCol w:w="2874"/>
        <w:gridCol w:w="4253"/>
      </w:tblGrid>
      <w:tr w:rsidR="00A22F06" w:rsidRPr="009C6F68" w14:paraId="0B9D8850" w14:textId="77777777" w:rsidTr="00637DB3">
        <w:trPr>
          <w:trHeight w:val="632"/>
        </w:trPr>
        <w:tc>
          <w:tcPr>
            <w:tcW w:w="1804" w:type="dxa"/>
            <w:tcBorders>
              <w:top w:val="single" w:sz="6" w:space="0" w:color="000000"/>
              <w:bottom w:val="single" w:sz="6" w:space="0" w:color="000000"/>
            </w:tcBorders>
            <w:vAlign w:val="bottom"/>
          </w:tcPr>
          <w:p w14:paraId="7C29AF26"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Group</w:t>
            </w:r>
          </w:p>
        </w:tc>
        <w:tc>
          <w:tcPr>
            <w:tcW w:w="2874" w:type="dxa"/>
            <w:tcBorders>
              <w:top w:val="single" w:sz="6" w:space="0" w:color="000000"/>
              <w:bottom w:val="single" w:sz="6" w:space="0" w:color="000000"/>
            </w:tcBorders>
            <w:vAlign w:val="bottom"/>
          </w:tcPr>
          <w:p w14:paraId="66314C46"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N</w:t>
            </w:r>
          </w:p>
        </w:tc>
        <w:tc>
          <w:tcPr>
            <w:tcW w:w="4253" w:type="dxa"/>
            <w:tcBorders>
              <w:top w:val="single" w:sz="6" w:space="0" w:color="000000"/>
              <w:bottom w:val="single" w:sz="6" w:space="0" w:color="000000"/>
            </w:tcBorders>
            <w:vAlign w:val="bottom"/>
          </w:tcPr>
          <w:p w14:paraId="0C4802DB"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PLT (10</w:t>
            </w:r>
            <w:r w:rsidRPr="009C6F68">
              <w:rPr>
                <w:rFonts w:cs="Times New Roman"/>
                <w:b/>
                <w:bCs/>
                <w:color w:val="000000"/>
                <w:vertAlign w:val="superscript"/>
              </w:rPr>
              <w:t>3</w:t>
            </w:r>
            <w:r w:rsidRPr="009C6F68">
              <w:rPr>
                <w:rFonts w:cs="Times New Roman"/>
                <w:b/>
                <w:bCs/>
                <w:color w:val="000000"/>
              </w:rPr>
              <w:t>/</w:t>
            </w:r>
            <w:proofErr w:type="spellStart"/>
            <w:r w:rsidRPr="009C6F68">
              <w:rPr>
                <w:rFonts w:cs="Times New Roman"/>
                <w:b/>
                <w:bCs/>
                <w:color w:val="000000"/>
              </w:rPr>
              <w:t>uL</w:t>
            </w:r>
            <w:proofErr w:type="spellEnd"/>
            <w:r w:rsidRPr="009C6F68">
              <w:rPr>
                <w:rFonts w:cs="Times New Roman"/>
                <w:b/>
                <w:bCs/>
                <w:color w:val="000000"/>
              </w:rPr>
              <w:t>)</w:t>
            </w:r>
          </w:p>
          <w:p w14:paraId="41A254D7"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r>
      <w:tr w:rsidR="00A22F06" w:rsidRPr="009C6F68" w14:paraId="3436FA43" w14:textId="77777777" w:rsidTr="00637DB3">
        <w:tc>
          <w:tcPr>
            <w:tcW w:w="1804" w:type="dxa"/>
          </w:tcPr>
          <w:p w14:paraId="35830E20"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w:t>
            </w:r>
          </w:p>
        </w:tc>
        <w:tc>
          <w:tcPr>
            <w:tcW w:w="2874" w:type="dxa"/>
          </w:tcPr>
          <w:p w14:paraId="7FC1A9C7"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4253" w:type="dxa"/>
          </w:tcPr>
          <w:p w14:paraId="439B346C"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956 ± 463.95</w:t>
            </w:r>
          </w:p>
        </w:tc>
      </w:tr>
      <w:tr w:rsidR="00A22F06" w:rsidRPr="009C6F68" w14:paraId="5D029127" w14:textId="77777777" w:rsidTr="00637DB3">
        <w:tc>
          <w:tcPr>
            <w:tcW w:w="1804" w:type="dxa"/>
          </w:tcPr>
          <w:p w14:paraId="3C2BACD0"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w:t>
            </w:r>
          </w:p>
        </w:tc>
        <w:tc>
          <w:tcPr>
            <w:tcW w:w="2874" w:type="dxa"/>
          </w:tcPr>
          <w:p w14:paraId="7291848C"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4253" w:type="dxa"/>
          </w:tcPr>
          <w:p w14:paraId="5396D8A8"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824.25 ± 75.85</w:t>
            </w:r>
          </w:p>
        </w:tc>
      </w:tr>
      <w:tr w:rsidR="00A22F06" w:rsidRPr="009C6F68" w14:paraId="1516E1CB" w14:textId="77777777" w:rsidTr="00637DB3">
        <w:tc>
          <w:tcPr>
            <w:tcW w:w="1804" w:type="dxa"/>
          </w:tcPr>
          <w:p w14:paraId="46876321"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w:t>
            </w:r>
          </w:p>
        </w:tc>
        <w:tc>
          <w:tcPr>
            <w:tcW w:w="2874" w:type="dxa"/>
          </w:tcPr>
          <w:p w14:paraId="52F2BA49"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4253" w:type="dxa"/>
          </w:tcPr>
          <w:p w14:paraId="44E15F6E"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932.5 ± 137.23</w:t>
            </w:r>
          </w:p>
        </w:tc>
      </w:tr>
      <w:tr w:rsidR="00A22F06" w:rsidRPr="009C6F68" w14:paraId="5CBABD57" w14:textId="77777777" w:rsidTr="00E539F0">
        <w:tc>
          <w:tcPr>
            <w:tcW w:w="1804" w:type="dxa"/>
          </w:tcPr>
          <w:p w14:paraId="29E0F2A1"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2874" w:type="dxa"/>
          </w:tcPr>
          <w:p w14:paraId="35C8C1B6"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4253" w:type="dxa"/>
          </w:tcPr>
          <w:p w14:paraId="71BC37EF"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1089.5 ± 130.61</w:t>
            </w:r>
          </w:p>
        </w:tc>
      </w:tr>
      <w:tr w:rsidR="00A22F06" w:rsidRPr="009C6F68" w14:paraId="7AD6B1E2" w14:textId="77777777" w:rsidTr="00E539F0">
        <w:tc>
          <w:tcPr>
            <w:tcW w:w="4678" w:type="dxa"/>
            <w:gridSpan w:val="2"/>
            <w:tcBorders>
              <w:bottom w:val="single" w:sz="4" w:space="0" w:color="auto"/>
            </w:tcBorders>
          </w:tcPr>
          <w:p w14:paraId="02FE93A4" w14:textId="77777777" w:rsidR="00A22F06" w:rsidRPr="009C6F68" w:rsidRDefault="00A22F06" w:rsidP="00294057">
            <w:pPr>
              <w:pStyle w:val="TableContents"/>
              <w:spacing w:line="276" w:lineRule="auto"/>
              <w:jc w:val="center"/>
              <w:rPr>
                <w:rFonts w:cs="Times New Roman"/>
                <w:b/>
                <w:bCs/>
                <w:i/>
                <w:iCs/>
                <w:color w:val="000000"/>
              </w:rPr>
            </w:pPr>
            <w:r w:rsidRPr="009C6F68">
              <w:rPr>
                <w:rFonts w:cs="Times New Roman"/>
                <w:b/>
                <w:bCs/>
                <w:i/>
                <w:iCs/>
                <w:color w:val="000000"/>
              </w:rPr>
              <w:t>P</w:t>
            </w:r>
            <w:r w:rsidRPr="009C6F68">
              <w:rPr>
                <w:rFonts w:cs="Times New Roman"/>
                <w:b/>
                <w:bCs/>
                <w:color w:val="000000"/>
              </w:rPr>
              <w:t>-value</w:t>
            </w:r>
          </w:p>
        </w:tc>
        <w:tc>
          <w:tcPr>
            <w:tcW w:w="4253" w:type="dxa"/>
            <w:tcBorders>
              <w:bottom w:val="single" w:sz="4" w:space="0" w:color="auto"/>
            </w:tcBorders>
          </w:tcPr>
          <w:p w14:paraId="7B72B6AB"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0.55</w:t>
            </w:r>
          </w:p>
        </w:tc>
      </w:tr>
    </w:tbl>
    <w:p w14:paraId="6EBBD837" w14:textId="2DB07E3D" w:rsidR="00A22F06" w:rsidRPr="009C6F68" w:rsidRDefault="00A22F06" w:rsidP="00294057">
      <w:pPr>
        <w:pStyle w:val="BodyText"/>
        <w:spacing w:before="240" w:after="0" w:line="360" w:lineRule="auto"/>
        <w:jc w:val="both"/>
        <w:rPr>
          <w:rFonts w:cs="Times New Roman"/>
        </w:rPr>
      </w:pPr>
      <w:r w:rsidRPr="009C6F68">
        <w:rPr>
          <w:rFonts w:cs="Times New Roman"/>
        </w:rPr>
        <w:t>There is no statistically significant difference (</w:t>
      </w:r>
      <w:r w:rsidR="0030222E">
        <w:rPr>
          <w:rFonts w:cs="Times New Roman"/>
          <w:i/>
          <w:iCs/>
        </w:rPr>
        <w:t>p</w:t>
      </w:r>
      <w:r w:rsidRPr="009C6F68">
        <w:rPr>
          <w:rFonts w:cs="Times New Roman"/>
        </w:rPr>
        <w:t xml:space="preserve"> &gt; 0.05) in platelets count between the groups.</w:t>
      </w:r>
    </w:p>
    <w:p w14:paraId="07251BA7" w14:textId="77777777" w:rsidR="00A22F06" w:rsidRPr="009C6F68" w:rsidRDefault="00A22F06" w:rsidP="009C6F68">
      <w:pPr>
        <w:pStyle w:val="BodyText"/>
        <w:spacing w:after="0" w:line="360" w:lineRule="auto"/>
        <w:jc w:val="both"/>
        <w:rPr>
          <w:rFonts w:cs="Times New Roman"/>
        </w:rPr>
      </w:pPr>
    </w:p>
    <w:p w14:paraId="7892BDEE" w14:textId="070AD067" w:rsidR="00A22F06" w:rsidRPr="009C6F68" w:rsidRDefault="00944B46" w:rsidP="009C6F68">
      <w:pPr>
        <w:pStyle w:val="BodyText"/>
        <w:spacing w:after="0" w:line="360" w:lineRule="auto"/>
        <w:jc w:val="both"/>
        <w:rPr>
          <w:rFonts w:cs="Times New Roman"/>
          <w:b/>
          <w:bCs/>
        </w:rPr>
      </w:pPr>
      <w:r w:rsidRPr="009C6F68">
        <w:rPr>
          <w:rFonts w:cs="Times New Roman"/>
          <w:b/>
          <w:bCs/>
        </w:rPr>
        <w:t>4.0 DISCUSSION</w:t>
      </w:r>
    </w:p>
    <w:p w14:paraId="64683D6C" w14:textId="686E14DE" w:rsidR="009C7BA7" w:rsidRPr="009C6F68" w:rsidRDefault="009C7BA7" w:rsidP="009C6F68">
      <w:pPr>
        <w:pStyle w:val="BodyText"/>
        <w:spacing w:line="360" w:lineRule="auto"/>
        <w:jc w:val="both"/>
        <w:rPr>
          <w:rFonts w:cs="Times New Roman"/>
        </w:rPr>
      </w:pPr>
      <w:r w:rsidRPr="009C6F68">
        <w:rPr>
          <w:rFonts w:cs="Times New Roman"/>
        </w:rPr>
        <w:t xml:space="preserve">Medicinal plants continue to play a major role in both traditional and modern medicine, and remain a very interesting avenue for research. </w:t>
      </w:r>
      <w:r w:rsidRPr="009C6F68">
        <w:rPr>
          <w:rFonts w:cs="Times New Roman"/>
          <w:i/>
          <w:iCs/>
        </w:rPr>
        <w:t>C. occidentalis</w:t>
      </w:r>
      <w:r w:rsidRPr="009C6F68">
        <w:rPr>
          <w:rFonts w:cs="Times New Roman"/>
        </w:rPr>
        <w:t xml:space="preserve">, a plant that has been used traditionally as hepatoprotective, analgesic, and diuretic medicine </w:t>
      </w:r>
      <w:r w:rsidR="001D55CD">
        <w:rPr>
          <w:rFonts w:cs="Times New Roman"/>
        </w:rPr>
        <w:t>[13]</w:t>
      </w:r>
      <w:r w:rsidRPr="009C6F68">
        <w:rPr>
          <w:rFonts w:cs="Times New Roman"/>
        </w:rPr>
        <w:t xml:space="preserve">, and claimed to have therapeutic benefits against numerous other ailments, was used in this study to determine its possible effects on the </w:t>
      </w:r>
      <w:proofErr w:type="spellStart"/>
      <w:r w:rsidRPr="009C6F68">
        <w:rPr>
          <w:rFonts w:cs="Times New Roman"/>
        </w:rPr>
        <w:t>haematological</w:t>
      </w:r>
      <w:proofErr w:type="spellEnd"/>
      <w:r w:rsidRPr="009C6F68">
        <w:rPr>
          <w:rFonts w:cs="Times New Roman"/>
        </w:rPr>
        <w:t xml:space="preserve"> parameters of Wistar rats under oxidative stress. In this study, aqueous extract prepared from the leaves of </w:t>
      </w:r>
      <w:r w:rsidRPr="009C6F68">
        <w:rPr>
          <w:rFonts w:cs="Times New Roman"/>
          <w:i/>
          <w:iCs/>
        </w:rPr>
        <w:t>C. occidentalis</w:t>
      </w:r>
      <w:r w:rsidRPr="009C6F68">
        <w:rPr>
          <w:rFonts w:cs="Times New Roman"/>
        </w:rPr>
        <w:t xml:space="preserve"> was </w:t>
      </w:r>
      <w:r w:rsidR="004C61D7">
        <w:rPr>
          <w:rFonts w:cs="Times New Roman"/>
        </w:rPr>
        <w:t>administered to</w:t>
      </w:r>
      <w:r w:rsidRPr="009C6F68">
        <w:rPr>
          <w:rFonts w:cs="Times New Roman"/>
        </w:rPr>
        <w:t xml:space="preserve"> Wistar rats under acetone-induced oxidative stress. </w:t>
      </w:r>
      <w:bookmarkStart w:id="9" w:name="_Hlk165792789"/>
      <w:r w:rsidRPr="009C6F68">
        <w:rPr>
          <w:rFonts w:cs="Times New Roman"/>
        </w:rPr>
        <w:t xml:space="preserve">The animals were grouped into 4 groups </w:t>
      </w:r>
      <w:r w:rsidR="00937A5D">
        <w:rPr>
          <w:rFonts w:cs="Times New Roman"/>
        </w:rPr>
        <w:t xml:space="preserve">with each group consisting </w:t>
      </w:r>
      <w:r w:rsidRPr="009C6F68">
        <w:rPr>
          <w:rFonts w:cs="Times New Roman"/>
        </w:rPr>
        <w:t xml:space="preserve">of 4 animals </w:t>
      </w:r>
      <w:r w:rsidR="00937A5D">
        <w:rPr>
          <w:rFonts w:cs="Times New Roman"/>
        </w:rPr>
        <w:t>as stated in the methodology.</w:t>
      </w:r>
      <w:bookmarkEnd w:id="9"/>
      <w:r w:rsidR="00937A5D">
        <w:rPr>
          <w:rFonts w:cs="Times New Roman"/>
        </w:rPr>
        <w:t xml:space="preserve"> </w:t>
      </w:r>
      <w:r w:rsidRPr="009C6F68">
        <w:rPr>
          <w:rFonts w:cs="Times New Roman"/>
        </w:rPr>
        <w:t xml:space="preserve">The hematological parameters considered in this study </w:t>
      </w:r>
      <w:r w:rsidR="00937A5D">
        <w:rPr>
          <w:rFonts w:cs="Times New Roman"/>
        </w:rPr>
        <w:t>were the;</w:t>
      </w:r>
      <w:r w:rsidRPr="009C6F68">
        <w:rPr>
          <w:rFonts w:cs="Times New Roman"/>
        </w:rPr>
        <w:t xml:space="preserve"> red blood cells (RBC) count, hemoglobin, hematocrit, red cells indices, total and differential white blood cells count, and platelets.</w:t>
      </w:r>
    </w:p>
    <w:p w14:paraId="0E094243" w14:textId="3430BC97" w:rsidR="009C7BA7" w:rsidRPr="009C6F68" w:rsidRDefault="009C7BA7" w:rsidP="009C6F68">
      <w:pPr>
        <w:pStyle w:val="BodyText"/>
        <w:spacing w:line="360" w:lineRule="auto"/>
        <w:jc w:val="both"/>
        <w:rPr>
          <w:rFonts w:cs="Times New Roman"/>
        </w:rPr>
      </w:pPr>
      <w:r w:rsidRPr="009C6F68">
        <w:rPr>
          <w:rFonts w:cs="Times New Roman"/>
        </w:rPr>
        <w:t>This study found no significant difference (</w:t>
      </w:r>
      <w:r w:rsidR="00C54DB9">
        <w:rPr>
          <w:rFonts w:cs="Times New Roman"/>
          <w:i/>
          <w:iCs/>
        </w:rPr>
        <w:t xml:space="preserve">p </w:t>
      </w:r>
      <w:r w:rsidRPr="009C6F68">
        <w:rPr>
          <w:rFonts w:cs="Times New Roman"/>
        </w:rPr>
        <w:t>&gt; 0.05) between the RBC count, hemoglobin, hematocrit between the test and control groups. This concurs with the findings</w:t>
      </w:r>
      <w:r w:rsidR="00261271">
        <w:rPr>
          <w:rFonts w:cs="Times New Roman"/>
        </w:rPr>
        <w:t xml:space="preserve"> in a similar</w:t>
      </w:r>
      <w:r w:rsidRPr="009C6F68">
        <w:rPr>
          <w:rFonts w:cs="Times New Roman"/>
        </w:rPr>
        <w:t xml:space="preserve"> study that assessed the acute and sub-acute toxicity of </w:t>
      </w:r>
      <w:r w:rsidRPr="009C6F68">
        <w:rPr>
          <w:rFonts w:cs="Times New Roman"/>
          <w:i/>
          <w:iCs/>
        </w:rPr>
        <w:t>C. occidentalis</w:t>
      </w:r>
      <w:r w:rsidRPr="009C6F68">
        <w:rPr>
          <w:rFonts w:cs="Times New Roman"/>
        </w:rPr>
        <w:t xml:space="preserve"> </w:t>
      </w:r>
      <w:r w:rsidR="001D55CD">
        <w:rPr>
          <w:rFonts w:cs="Times New Roman"/>
        </w:rPr>
        <w:t>[13]</w:t>
      </w:r>
      <w:r w:rsidRPr="009C6F68">
        <w:rPr>
          <w:rFonts w:cs="Times New Roman"/>
        </w:rPr>
        <w:t>.</w:t>
      </w:r>
    </w:p>
    <w:p w14:paraId="143FB8A5" w14:textId="68F89CF4" w:rsidR="009C7BA7" w:rsidRPr="009C6F68" w:rsidRDefault="009C7BA7" w:rsidP="009C6F68">
      <w:pPr>
        <w:pStyle w:val="BodyText"/>
        <w:spacing w:line="360" w:lineRule="auto"/>
        <w:jc w:val="both"/>
        <w:rPr>
          <w:rFonts w:cs="Times New Roman"/>
        </w:rPr>
      </w:pPr>
      <w:r w:rsidRPr="009C6F68">
        <w:rPr>
          <w:rFonts w:cs="Times New Roman"/>
        </w:rPr>
        <w:lastRenderedPageBreak/>
        <w:t>In red cells indices, both MCV and MCHC did not show a statistically significant difference (</w:t>
      </w:r>
      <w:r w:rsidR="00C54DB9">
        <w:rPr>
          <w:rFonts w:cs="Times New Roman"/>
          <w:i/>
          <w:iCs/>
        </w:rPr>
        <w:t>p</w:t>
      </w:r>
      <w:r w:rsidRPr="009C6F68">
        <w:rPr>
          <w:rFonts w:cs="Times New Roman"/>
        </w:rPr>
        <w:t xml:space="preserve"> &gt; 0.05). However, a statistically significant difference (</w:t>
      </w:r>
      <w:r w:rsidR="00C54DB9">
        <w:rPr>
          <w:rFonts w:cs="Times New Roman"/>
          <w:i/>
          <w:iCs/>
        </w:rPr>
        <w:t>p</w:t>
      </w:r>
      <w:r w:rsidRPr="009C6F68">
        <w:rPr>
          <w:rFonts w:cs="Times New Roman"/>
        </w:rPr>
        <w:t xml:space="preserve"> &lt; 0.05) in MCH between group 2 (500 mg/kg) and group 4 (control) was observed. This suggest</w:t>
      </w:r>
      <w:r w:rsidR="006140FD">
        <w:rPr>
          <w:rFonts w:cs="Times New Roman"/>
        </w:rPr>
        <w:t>s</w:t>
      </w:r>
      <w:r w:rsidRPr="009C6F68">
        <w:rPr>
          <w:rFonts w:cs="Times New Roman"/>
        </w:rPr>
        <w:t xml:space="preserve"> that the administration of aqueous leaves extract of </w:t>
      </w:r>
      <w:r w:rsidRPr="009C6F68">
        <w:rPr>
          <w:rFonts w:cs="Times New Roman"/>
          <w:i/>
          <w:iCs/>
        </w:rPr>
        <w:t>C. occidentalis</w:t>
      </w:r>
      <w:r w:rsidRPr="009C6F68">
        <w:rPr>
          <w:rFonts w:cs="Times New Roman"/>
        </w:rPr>
        <w:t xml:space="preserve"> has an effect on the MCH of Wistar rats. The lack of significant difference between the MCH of group 1 (300 mg/kg) and the control group also suggest this effect occurs in a dose-dependent manner. This</w:t>
      </w:r>
      <w:r w:rsidR="006140FD">
        <w:rPr>
          <w:rFonts w:cs="Times New Roman"/>
        </w:rPr>
        <w:t xml:space="preserve"> is in agreement with finding in a </w:t>
      </w:r>
      <w:r w:rsidRPr="009C6F68">
        <w:rPr>
          <w:rFonts w:cs="Times New Roman"/>
        </w:rPr>
        <w:t xml:space="preserve">study conducted using the root extract of </w:t>
      </w:r>
      <w:r w:rsidRPr="009C6F68">
        <w:rPr>
          <w:rFonts w:cs="Times New Roman"/>
          <w:i/>
          <w:iCs/>
        </w:rPr>
        <w:t>C. occidentalis</w:t>
      </w:r>
      <w:r w:rsidRPr="009C6F68">
        <w:rPr>
          <w:rFonts w:cs="Times New Roman"/>
        </w:rPr>
        <w:t xml:space="preserve"> </w:t>
      </w:r>
      <w:r w:rsidR="001D55CD">
        <w:rPr>
          <w:rFonts w:cs="Times New Roman"/>
        </w:rPr>
        <w:t>[14]</w:t>
      </w:r>
      <w:r w:rsidRPr="009C6F68">
        <w:rPr>
          <w:rFonts w:cs="Times New Roman"/>
        </w:rPr>
        <w:t>.</w:t>
      </w:r>
    </w:p>
    <w:p w14:paraId="6B9B3D2C" w14:textId="1E0AFFFE" w:rsidR="009C7BA7" w:rsidRPr="009C6F68" w:rsidRDefault="009C7BA7" w:rsidP="009C6F68">
      <w:pPr>
        <w:pStyle w:val="BodyText"/>
        <w:spacing w:line="360" w:lineRule="auto"/>
        <w:jc w:val="both"/>
        <w:rPr>
          <w:rFonts w:cs="Times New Roman"/>
        </w:rPr>
      </w:pPr>
      <w:r w:rsidRPr="009C6F68">
        <w:rPr>
          <w:rFonts w:cs="Times New Roman"/>
        </w:rPr>
        <w:t xml:space="preserve">Mean cell hemoglobin (MCH) is a </w:t>
      </w:r>
      <w:proofErr w:type="spellStart"/>
      <w:r w:rsidRPr="009C6F68">
        <w:rPr>
          <w:rFonts w:cs="Times New Roman"/>
        </w:rPr>
        <w:t>haematological</w:t>
      </w:r>
      <w:proofErr w:type="spellEnd"/>
      <w:r w:rsidRPr="009C6F68">
        <w:rPr>
          <w:rFonts w:cs="Times New Roman"/>
        </w:rPr>
        <w:t xml:space="preserve"> parameter that represents the average amount of hemoglobin per red blood</w:t>
      </w:r>
      <w:bookmarkStart w:id="10" w:name="ZOTERO_BREF_dp8YgbWVvoMz"/>
      <w:r w:rsidRPr="009C6F68">
        <w:rPr>
          <w:rFonts w:cs="Times New Roman"/>
        </w:rPr>
        <w:t xml:space="preserve"> </w:t>
      </w:r>
      <w:bookmarkEnd w:id="10"/>
      <w:r w:rsidRPr="009C6F68">
        <w:rPr>
          <w:rFonts w:cs="Times New Roman"/>
        </w:rPr>
        <w:t>cells. MCH is usually represented in the form of picograms (</w:t>
      </w:r>
      <w:proofErr w:type="spellStart"/>
      <w:r w:rsidRPr="009C6F68">
        <w:rPr>
          <w:rFonts w:cs="Times New Roman"/>
        </w:rPr>
        <w:t>pg</w:t>
      </w:r>
      <w:proofErr w:type="spellEnd"/>
      <w:r w:rsidRPr="009C6F68">
        <w:rPr>
          <w:rFonts w:cs="Times New Roman"/>
        </w:rPr>
        <w:t>) per cell, with a normal range of 29</w:t>
      </w:r>
      <w:r w:rsidR="00937A5D">
        <w:rPr>
          <w:rFonts w:cs="Times New Roman"/>
        </w:rPr>
        <w:t xml:space="preserve"> </w:t>
      </w:r>
      <w:r w:rsidRPr="009C6F68">
        <w:rPr>
          <w:rFonts w:cs="Times New Roman"/>
        </w:rPr>
        <w:t>±</w:t>
      </w:r>
      <w:r w:rsidR="004B17AE">
        <w:rPr>
          <w:rFonts w:cs="Times New Roman"/>
        </w:rPr>
        <w:t xml:space="preserve"> </w:t>
      </w:r>
      <w:r w:rsidRPr="009C6F68">
        <w:rPr>
          <w:rFonts w:cs="Times New Roman"/>
        </w:rPr>
        <w:t xml:space="preserve">2 in adult humans </w:t>
      </w:r>
      <w:r w:rsidR="005F414D">
        <w:rPr>
          <w:rFonts w:cs="Times New Roman"/>
        </w:rPr>
        <w:t>[15]</w:t>
      </w:r>
      <w:r w:rsidRPr="009C6F68">
        <w:rPr>
          <w:rFonts w:cs="Times New Roman"/>
        </w:rPr>
        <w:t xml:space="preserve">. MCH is an important </w:t>
      </w:r>
      <w:proofErr w:type="spellStart"/>
      <w:r w:rsidRPr="009C6F68">
        <w:rPr>
          <w:rFonts w:cs="Times New Roman"/>
        </w:rPr>
        <w:t>haematological</w:t>
      </w:r>
      <w:proofErr w:type="spellEnd"/>
      <w:r w:rsidRPr="009C6F68">
        <w:rPr>
          <w:rFonts w:cs="Times New Roman"/>
        </w:rPr>
        <w:t xml:space="preserve"> parameter in the diagnosis and monitoring of various type of anemia and other health conditions </w:t>
      </w:r>
      <w:r w:rsidR="005F414D">
        <w:rPr>
          <w:rFonts w:cs="Times New Roman"/>
        </w:rPr>
        <w:t>[16]</w:t>
      </w:r>
      <w:r w:rsidRPr="009C6F68">
        <w:rPr>
          <w:rFonts w:cs="Times New Roman"/>
        </w:rPr>
        <w:t xml:space="preserve">.  An MCH value within the normal range indicates normal oxygen-carrying capacity by the red blood cells, a low MCH value indicates a decreased oxygen-carrying capacity of red blood cells due to decrease in hemoglobin concentration per red cells, and a high MCH value is indicative of conditions like macrocytic anemia where red cells contain more hemoglobin than usual due to the increase in size </w:t>
      </w:r>
      <w:r w:rsidR="0033301E">
        <w:rPr>
          <w:rFonts w:cs="Times New Roman"/>
        </w:rPr>
        <w:t>[16]</w:t>
      </w:r>
      <w:r w:rsidRPr="009C6F68">
        <w:rPr>
          <w:rFonts w:cs="Times New Roman"/>
        </w:rPr>
        <w:t>.</w:t>
      </w:r>
    </w:p>
    <w:p w14:paraId="3D86B9C5" w14:textId="22DE8CF1" w:rsidR="009C7BA7" w:rsidRDefault="009C7BA7" w:rsidP="00294057">
      <w:pPr>
        <w:pStyle w:val="BodyText"/>
        <w:spacing w:after="0" w:line="360" w:lineRule="auto"/>
        <w:jc w:val="both"/>
        <w:rPr>
          <w:rFonts w:cs="Times New Roman"/>
        </w:rPr>
      </w:pPr>
      <w:r w:rsidRPr="009C6F68">
        <w:rPr>
          <w:rFonts w:cs="Times New Roman"/>
        </w:rPr>
        <w:t>The results obtained for white blood cells count and platelet count between the control group and the test groups showed no statistically significant difference (</w:t>
      </w:r>
      <w:r w:rsidR="00EC1608">
        <w:rPr>
          <w:rFonts w:cs="Times New Roman"/>
          <w:i/>
          <w:iCs/>
        </w:rPr>
        <w:t>p</w:t>
      </w:r>
      <w:r w:rsidRPr="009C6F68">
        <w:rPr>
          <w:rFonts w:cs="Times New Roman"/>
        </w:rPr>
        <w:t xml:space="preserve"> &gt; 0.05). This result </w:t>
      </w:r>
      <w:r w:rsidR="00304CD9">
        <w:rPr>
          <w:rFonts w:cs="Times New Roman"/>
        </w:rPr>
        <w:t>is contrary</w:t>
      </w:r>
      <w:r w:rsidRPr="009C6F68">
        <w:rPr>
          <w:rFonts w:cs="Times New Roman"/>
        </w:rPr>
        <w:t xml:space="preserve"> with the findings where a significant decrease in WBC count was observed</w:t>
      </w:r>
      <w:r w:rsidR="00304CD9">
        <w:rPr>
          <w:rFonts w:cs="Times New Roman"/>
        </w:rPr>
        <w:t xml:space="preserve"> </w:t>
      </w:r>
      <w:r w:rsidR="0033301E">
        <w:rPr>
          <w:rFonts w:cs="Times New Roman"/>
        </w:rPr>
        <w:t>[17]</w:t>
      </w:r>
      <w:r w:rsidRPr="009C6F68">
        <w:rPr>
          <w:rFonts w:cs="Times New Roman"/>
        </w:rPr>
        <w:t xml:space="preserve">. The reason for this could be because of the much higher dose (1500 mg/kg) used by the researchers compared to the lower dose (300 mg/kg and 500 mg/kg) that was used in this study. They also used a longer period of treatment (2 weeks) compared to </w:t>
      </w:r>
      <w:r w:rsidR="00304CD9">
        <w:rPr>
          <w:rFonts w:cs="Times New Roman"/>
        </w:rPr>
        <w:t xml:space="preserve">the 1 week used in </w:t>
      </w:r>
      <w:r w:rsidRPr="009C6F68">
        <w:rPr>
          <w:rFonts w:cs="Times New Roman"/>
        </w:rPr>
        <w:t xml:space="preserve">this study. The non-significant difference in the WBC and platelets count observed in this study, however, concurs with the findings </w:t>
      </w:r>
      <w:r w:rsidR="00304CD9">
        <w:rPr>
          <w:rFonts w:cs="Times New Roman"/>
        </w:rPr>
        <w:t>in a similar study</w:t>
      </w:r>
      <w:r w:rsidRPr="009C6F68">
        <w:rPr>
          <w:rFonts w:cs="Times New Roman"/>
        </w:rPr>
        <w:t xml:space="preserve"> </w:t>
      </w:r>
      <w:r w:rsidR="0033301E">
        <w:rPr>
          <w:rFonts w:cs="Times New Roman"/>
        </w:rPr>
        <w:t>[13]</w:t>
      </w:r>
      <w:r w:rsidRPr="009C6F68">
        <w:rPr>
          <w:rFonts w:cs="Times New Roman"/>
        </w:rPr>
        <w:t>.</w:t>
      </w:r>
    </w:p>
    <w:p w14:paraId="3FD5C8DF" w14:textId="77777777" w:rsidR="00294057" w:rsidRPr="009C6F68" w:rsidRDefault="00294057" w:rsidP="00944B46">
      <w:pPr>
        <w:pStyle w:val="BodyText"/>
        <w:spacing w:after="0" w:line="240" w:lineRule="auto"/>
        <w:jc w:val="both"/>
        <w:rPr>
          <w:rFonts w:cs="Times New Roman"/>
        </w:rPr>
      </w:pPr>
    </w:p>
    <w:p w14:paraId="12A1CDFE" w14:textId="6DC3FD0D" w:rsidR="009C7BA7" w:rsidRPr="009C6F68" w:rsidRDefault="00944B46" w:rsidP="009C6F68">
      <w:pPr>
        <w:pStyle w:val="BodyText"/>
        <w:spacing w:after="0" w:line="360" w:lineRule="auto"/>
        <w:jc w:val="both"/>
        <w:rPr>
          <w:rFonts w:cs="Times New Roman"/>
        </w:rPr>
      </w:pPr>
      <w:r w:rsidRPr="009C6F68">
        <w:rPr>
          <w:rFonts w:cs="Times New Roman"/>
          <w:b/>
          <w:bCs/>
        </w:rPr>
        <w:t>5.0 CONCLUSION</w:t>
      </w:r>
    </w:p>
    <w:p w14:paraId="20A35960" w14:textId="074AF11C" w:rsidR="009C7BA7" w:rsidRDefault="009C7BA7" w:rsidP="00294057">
      <w:pPr>
        <w:pStyle w:val="BodyText"/>
        <w:spacing w:after="0" w:line="360" w:lineRule="auto"/>
        <w:jc w:val="both"/>
        <w:rPr>
          <w:rFonts w:cs="Times New Roman"/>
        </w:rPr>
      </w:pPr>
      <w:r w:rsidRPr="009C6F68">
        <w:rPr>
          <w:rFonts w:cs="Times New Roman"/>
        </w:rPr>
        <w:t xml:space="preserve">The results of this study indicated that the aqueous leaves extract of </w:t>
      </w:r>
      <w:r w:rsidRPr="009C6F68">
        <w:rPr>
          <w:rFonts w:cs="Times New Roman"/>
          <w:i/>
          <w:iCs/>
        </w:rPr>
        <w:t>C. occidentalis</w:t>
      </w:r>
      <w:r w:rsidRPr="009C6F68">
        <w:rPr>
          <w:rFonts w:cs="Times New Roman"/>
        </w:rPr>
        <w:t xml:space="preserve"> has a statistically significant effect (</w:t>
      </w:r>
      <w:r w:rsidR="00304CD9">
        <w:rPr>
          <w:rFonts w:cs="Times New Roman"/>
          <w:i/>
          <w:iCs/>
        </w:rPr>
        <w:t>p</w:t>
      </w:r>
      <w:r w:rsidRPr="009C6F68">
        <w:rPr>
          <w:rFonts w:cs="Times New Roman"/>
        </w:rPr>
        <w:t xml:space="preserve"> &lt; 0.05) on the mean cell hemoglobin (MCH) </w:t>
      </w:r>
      <w:r w:rsidR="00377A5B">
        <w:rPr>
          <w:rFonts w:cs="Times New Roman"/>
        </w:rPr>
        <w:t>in</w:t>
      </w:r>
      <w:r w:rsidRPr="009C6F68">
        <w:rPr>
          <w:rFonts w:cs="Times New Roman"/>
        </w:rPr>
        <w:t xml:space="preserve"> acetone-induced oxidative stress</w:t>
      </w:r>
      <w:r w:rsidR="00FE3F09">
        <w:rPr>
          <w:rFonts w:cs="Times New Roman"/>
        </w:rPr>
        <w:t>ed</w:t>
      </w:r>
      <w:r w:rsidRPr="009C6F68">
        <w:rPr>
          <w:rFonts w:cs="Times New Roman"/>
        </w:rPr>
        <w:t xml:space="preserve"> Wistar rats in a dose-dependent manner. This effect on MCH could help boost the oxygen-carrying ability of red cells, which is often impaired under oxidative stress.</w:t>
      </w:r>
      <w:r w:rsidR="004B17AE">
        <w:rPr>
          <w:rFonts w:cs="Times New Roman"/>
        </w:rPr>
        <w:t xml:space="preserve"> </w:t>
      </w:r>
      <w:bookmarkStart w:id="11" w:name="_Hlk165793757"/>
      <w:r w:rsidR="004B17AE">
        <w:rPr>
          <w:rFonts w:cs="Times New Roman"/>
        </w:rPr>
        <w:t>Further studies should be carried out to fully explore the health benefits of this important medicinal plant which is readily available in our locality.</w:t>
      </w:r>
      <w:bookmarkEnd w:id="11"/>
    </w:p>
    <w:p w14:paraId="115EEED0" w14:textId="77777777" w:rsidR="00BC044B" w:rsidRDefault="00BC044B" w:rsidP="00982CF4">
      <w:pPr>
        <w:autoSpaceDE w:val="0"/>
        <w:autoSpaceDN w:val="0"/>
        <w:adjustRightInd w:val="0"/>
        <w:spacing w:after="0" w:line="360" w:lineRule="auto"/>
        <w:jc w:val="both"/>
        <w:rPr>
          <w:rFonts w:cs="Times New Roman"/>
          <w:b/>
          <w:bCs/>
          <w:szCs w:val="24"/>
          <w:lang w:val="en-US"/>
        </w:rPr>
      </w:pPr>
    </w:p>
    <w:p w14:paraId="12CD13D9" w14:textId="70128400" w:rsidR="00982CF4" w:rsidRPr="00982CF4" w:rsidRDefault="00982CF4" w:rsidP="00982CF4">
      <w:pPr>
        <w:autoSpaceDE w:val="0"/>
        <w:autoSpaceDN w:val="0"/>
        <w:adjustRightInd w:val="0"/>
        <w:spacing w:after="0" w:line="360" w:lineRule="auto"/>
        <w:jc w:val="both"/>
        <w:rPr>
          <w:rFonts w:cs="Times New Roman"/>
          <w:b/>
          <w:bCs/>
          <w:szCs w:val="24"/>
          <w:lang w:val="en-US"/>
        </w:rPr>
      </w:pPr>
      <w:r w:rsidRPr="00982CF4">
        <w:rPr>
          <w:rFonts w:cs="Times New Roman"/>
          <w:b/>
          <w:bCs/>
          <w:szCs w:val="24"/>
          <w:lang w:val="en-US"/>
        </w:rPr>
        <w:lastRenderedPageBreak/>
        <w:t>Ethical Approval</w:t>
      </w:r>
    </w:p>
    <w:p w14:paraId="4588AEF4" w14:textId="01513E2C" w:rsidR="00982CF4" w:rsidRDefault="00982CF4" w:rsidP="005B5CAC">
      <w:pPr>
        <w:autoSpaceDE w:val="0"/>
        <w:autoSpaceDN w:val="0"/>
        <w:adjustRightInd w:val="0"/>
        <w:jc w:val="both"/>
        <w:rPr>
          <w:rFonts w:cs="Times New Roman"/>
          <w:szCs w:val="24"/>
          <w:lang w:val="en-US"/>
        </w:rPr>
      </w:pPr>
      <w:r w:rsidRPr="00982CF4">
        <w:rPr>
          <w:rFonts w:cs="Times New Roman"/>
          <w:szCs w:val="24"/>
          <w:lang w:val="en-US"/>
        </w:rPr>
        <w:t>All authors hereby declare that all experiments</w:t>
      </w:r>
      <w:r>
        <w:rPr>
          <w:rFonts w:cs="Times New Roman"/>
          <w:szCs w:val="24"/>
          <w:lang w:val="en-US"/>
        </w:rPr>
        <w:t xml:space="preserve"> </w:t>
      </w:r>
      <w:r w:rsidRPr="00982CF4">
        <w:rPr>
          <w:rFonts w:cs="Times New Roman"/>
          <w:szCs w:val="24"/>
          <w:lang w:val="en-US"/>
        </w:rPr>
        <w:t>have been examined and approved by the</w:t>
      </w:r>
      <w:r>
        <w:rPr>
          <w:rFonts w:cs="Times New Roman"/>
          <w:szCs w:val="24"/>
          <w:lang w:val="en-US"/>
        </w:rPr>
        <w:t xml:space="preserve"> </w:t>
      </w:r>
      <w:r w:rsidRPr="00982CF4">
        <w:rPr>
          <w:rFonts w:cs="Times New Roman"/>
          <w:szCs w:val="24"/>
          <w:lang w:val="en-US"/>
        </w:rPr>
        <w:t>appropriate ethics committee and have therefore</w:t>
      </w:r>
      <w:r>
        <w:rPr>
          <w:rFonts w:cs="Times New Roman"/>
          <w:szCs w:val="24"/>
          <w:lang w:val="en-US"/>
        </w:rPr>
        <w:t xml:space="preserve"> </w:t>
      </w:r>
      <w:r w:rsidRPr="00982CF4">
        <w:rPr>
          <w:rFonts w:cs="Times New Roman"/>
          <w:szCs w:val="24"/>
          <w:lang w:val="en-US"/>
        </w:rPr>
        <w:t>been performed following the ethical</w:t>
      </w:r>
      <w:r>
        <w:rPr>
          <w:rFonts w:cs="Times New Roman"/>
          <w:szCs w:val="24"/>
          <w:lang w:val="en-US"/>
        </w:rPr>
        <w:t xml:space="preserve"> </w:t>
      </w:r>
      <w:r w:rsidRPr="00982CF4">
        <w:rPr>
          <w:rFonts w:cs="Times New Roman"/>
          <w:szCs w:val="24"/>
          <w:lang w:val="en-US"/>
        </w:rPr>
        <w:t>standard laid down in</w:t>
      </w:r>
      <w:r>
        <w:rPr>
          <w:rFonts w:cs="Times New Roman"/>
          <w:szCs w:val="24"/>
          <w:lang w:val="en-US"/>
        </w:rPr>
        <w:t xml:space="preserve"> </w:t>
      </w:r>
      <w:r w:rsidRPr="00982CF4">
        <w:rPr>
          <w:rFonts w:cs="Times New Roman"/>
          <w:szCs w:val="24"/>
          <w:lang w:val="en-US"/>
        </w:rPr>
        <w:t>1964 Declaration of</w:t>
      </w:r>
      <w:r>
        <w:rPr>
          <w:rFonts w:cs="Times New Roman"/>
          <w:szCs w:val="24"/>
          <w:lang w:val="en-US"/>
        </w:rPr>
        <w:t xml:space="preserve"> </w:t>
      </w:r>
      <w:r w:rsidRPr="00982CF4">
        <w:rPr>
          <w:rFonts w:cs="Times New Roman"/>
          <w:szCs w:val="24"/>
          <w:lang w:val="en-US"/>
        </w:rPr>
        <w:t>Helsinki.</w:t>
      </w:r>
    </w:p>
    <w:p w14:paraId="280C282A" w14:textId="77777777" w:rsidR="00F17C87" w:rsidRDefault="00F17C87" w:rsidP="009C6F68">
      <w:pPr>
        <w:pStyle w:val="BodyText"/>
        <w:spacing w:line="360" w:lineRule="auto"/>
        <w:jc w:val="both"/>
        <w:rPr>
          <w:rFonts w:cs="Times New Roman"/>
        </w:rPr>
      </w:pPr>
    </w:p>
    <w:p w14:paraId="14EB442E" w14:textId="34C19CA3" w:rsidR="009C7BA7" w:rsidRPr="009C6F68" w:rsidRDefault="00603B8D" w:rsidP="00304CD9">
      <w:pPr>
        <w:pStyle w:val="BodyText"/>
        <w:spacing w:after="0" w:line="360" w:lineRule="auto"/>
        <w:jc w:val="both"/>
        <w:rPr>
          <w:rFonts w:cs="Times New Roman"/>
          <w:b/>
          <w:bCs/>
        </w:rPr>
      </w:pPr>
      <w:r w:rsidRPr="009C6F68">
        <w:rPr>
          <w:rFonts w:cs="Times New Roman"/>
          <w:b/>
          <w:bCs/>
        </w:rPr>
        <w:t>REFERENCES</w:t>
      </w:r>
    </w:p>
    <w:p w14:paraId="21F15114" w14:textId="77777777" w:rsidR="004771E3" w:rsidRPr="009C6F68" w:rsidRDefault="004771E3" w:rsidP="004771E3">
      <w:pPr>
        <w:pStyle w:val="Bibliography1"/>
        <w:numPr>
          <w:ilvl w:val="0"/>
          <w:numId w:val="3"/>
        </w:numPr>
        <w:spacing w:line="360" w:lineRule="auto"/>
        <w:jc w:val="both"/>
        <w:rPr>
          <w:rFonts w:cs="Times New Roman"/>
        </w:rPr>
      </w:pPr>
      <w:r w:rsidRPr="009C6F68">
        <w:rPr>
          <w:rFonts w:cs="Times New Roman"/>
        </w:rPr>
        <w:t xml:space="preserve">Yadav JP, Arya V, Yadav S, </w:t>
      </w:r>
      <w:proofErr w:type="spellStart"/>
      <w:r w:rsidRPr="009C6F68">
        <w:rPr>
          <w:rFonts w:cs="Times New Roman"/>
        </w:rPr>
        <w:t>Panghal</w:t>
      </w:r>
      <w:proofErr w:type="spellEnd"/>
      <w:r w:rsidRPr="009C6F68">
        <w:rPr>
          <w:rFonts w:cs="Times New Roman"/>
        </w:rPr>
        <w:t xml:space="preserve"> M, Kumar S, Dhankhar S. (2010). Cassia occidentalis L.: A review on its ethnobotany, phytochemical and pharmacological profile. </w:t>
      </w:r>
      <w:proofErr w:type="spellStart"/>
      <w:r w:rsidRPr="00742A0D">
        <w:rPr>
          <w:rFonts w:cs="Times New Roman"/>
          <w:iCs/>
        </w:rPr>
        <w:t>Fitoterapia</w:t>
      </w:r>
      <w:proofErr w:type="spellEnd"/>
      <w:r>
        <w:rPr>
          <w:rFonts w:cs="Times New Roman"/>
        </w:rPr>
        <w:t>. 2010;</w:t>
      </w:r>
      <w:r w:rsidRPr="00742A0D">
        <w:rPr>
          <w:rFonts w:cs="Times New Roman"/>
          <w:bCs/>
        </w:rPr>
        <w:t>81(4)</w:t>
      </w:r>
      <w:r w:rsidRPr="009C6F68">
        <w:rPr>
          <w:rFonts w:cs="Times New Roman"/>
        </w:rPr>
        <w:t>:223–230.</w:t>
      </w:r>
    </w:p>
    <w:p w14:paraId="7D1EFD31" w14:textId="77777777" w:rsidR="004771E3" w:rsidRDefault="004771E3" w:rsidP="004771E3">
      <w:pPr>
        <w:pStyle w:val="Bibliography1"/>
        <w:numPr>
          <w:ilvl w:val="0"/>
          <w:numId w:val="3"/>
        </w:numPr>
        <w:spacing w:line="360" w:lineRule="auto"/>
        <w:jc w:val="both"/>
        <w:rPr>
          <w:rFonts w:cs="Times New Roman"/>
        </w:rPr>
      </w:pPr>
      <w:r w:rsidRPr="003F54A4">
        <w:rPr>
          <w:rFonts w:cs="Times New Roman"/>
          <w:lang w:val="de-DE"/>
        </w:rPr>
        <w:t xml:space="preserve">Verma L, Khatri A, Kaushik B, Patil UK, Pawar RS. </w:t>
      </w:r>
      <w:r w:rsidRPr="009C6F68">
        <w:rPr>
          <w:rFonts w:cs="Times New Roman"/>
        </w:rPr>
        <w:t xml:space="preserve">(2010). Antidiabetic activity of Cassia occidentalis (Linn) in normal and alloxan-induced diabetic rats. </w:t>
      </w:r>
      <w:r w:rsidRPr="00124EED">
        <w:rPr>
          <w:rFonts w:cs="Times New Roman"/>
          <w:iCs/>
        </w:rPr>
        <w:t>Indian Journal of Pharmacology</w:t>
      </w:r>
      <w:r>
        <w:rPr>
          <w:rFonts w:cs="Times New Roman"/>
        </w:rPr>
        <w:t>. 2010;</w:t>
      </w:r>
      <w:r w:rsidRPr="00124EED">
        <w:rPr>
          <w:rFonts w:cs="Times New Roman"/>
          <w:bCs/>
        </w:rPr>
        <w:t>42(4)</w:t>
      </w:r>
      <w:r w:rsidRPr="009C6F68">
        <w:rPr>
          <w:rFonts w:cs="Times New Roman"/>
        </w:rPr>
        <w:t>:224–228.</w:t>
      </w:r>
    </w:p>
    <w:p w14:paraId="59A3FDD5" w14:textId="77777777" w:rsidR="004771E3" w:rsidRPr="009C6F68" w:rsidRDefault="004771E3" w:rsidP="004771E3">
      <w:pPr>
        <w:pStyle w:val="Bibliography1"/>
        <w:numPr>
          <w:ilvl w:val="0"/>
          <w:numId w:val="3"/>
        </w:numPr>
        <w:spacing w:line="360" w:lineRule="auto"/>
        <w:jc w:val="both"/>
        <w:rPr>
          <w:rFonts w:cs="Times New Roman"/>
          <w:lang w:val="en-US"/>
        </w:rPr>
      </w:pPr>
      <w:r>
        <w:rPr>
          <w:rFonts w:cs="Times New Roman"/>
        </w:rPr>
        <w:t xml:space="preserve">Vijayalakshmi S, Ranjitha J, Devi RV, </w:t>
      </w:r>
      <w:proofErr w:type="spellStart"/>
      <w:r>
        <w:rPr>
          <w:rFonts w:cs="Times New Roman"/>
        </w:rPr>
        <w:t>Bhagiyalakshmi</w:t>
      </w:r>
      <w:proofErr w:type="spellEnd"/>
      <w:r>
        <w:rPr>
          <w:rFonts w:cs="Times New Roman"/>
        </w:rPr>
        <w:t xml:space="preserve"> M. Pharmacological Profile of Cassia occidentalis – A Review. </w:t>
      </w:r>
      <w:r w:rsidRPr="00E103DF">
        <w:rPr>
          <w:rFonts w:cs="Times New Roman"/>
        </w:rPr>
        <w:t>International Journal of Pharmacy and Pharmaceutical Sciences</w:t>
      </w:r>
      <w:r>
        <w:rPr>
          <w:rFonts w:cs="Times New Roman"/>
        </w:rPr>
        <w:t>. 2013;</w:t>
      </w:r>
      <w:r w:rsidRPr="00124EED">
        <w:rPr>
          <w:rFonts w:cs="Times New Roman"/>
        </w:rPr>
        <w:t>5(3):</w:t>
      </w:r>
      <w:r>
        <w:rPr>
          <w:rFonts w:cs="Times New Roman"/>
        </w:rPr>
        <w:t>29-33.</w:t>
      </w:r>
    </w:p>
    <w:p w14:paraId="552D1702" w14:textId="77777777" w:rsidR="004771E3" w:rsidRPr="009C6F68" w:rsidRDefault="004771E3" w:rsidP="004771E3">
      <w:pPr>
        <w:pStyle w:val="Bibliography1"/>
        <w:numPr>
          <w:ilvl w:val="0"/>
          <w:numId w:val="3"/>
        </w:numPr>
        <w:spacing w:line="360" w:lineRule="auto"/>
        <w:jc w:val="both"/>
        <w:rPr>
          <w:rFonts w:cs="Times New Roman"/>
          <w:lang w:val="en-US"/>
        </w:rPr>
      </w:pPr>
      <w:proofErr w:type="spellStart"/>
      <w:r w:rsidRPr="009C6F68">
        <w:rPr>
          <w:rFonts w:cs="Times New Roman"/>
        </w:rPr>
        <w:t>Ntchapda</w:t>
      </w:r>
      <w:proofErr w:type="spellEnd"/>
      <w:r w:rsidRPr="009C6F68">
        <w:rPr>
          <w:rFonts w:cs="Times New Roman"/>
        </w:rPr>
        <w:t xml:space="preserve"> F, Barama J, </w:t>
      </w:r>
      <w:proofErr w:type="spellStart"/>
      <w:r w:rsidRPr="009C6F68">
        <w:rPr>
          <w:rFonts w:cs="Times New Roman"/>
        </w:rPr>
        <w:t>Kemeta</w:t>
      </w:r>
      <w:r>
        <w:rPr>
          <w:rFonts w:cs="Times New Roman"/>
        </w:rPr>
        <w:t>-</w:t>
      </w:r>
      <w:r w:rsidRPr="009C6F68">
        <w:rPr>
          <w:rFonts w:cs="Times New Roman"/>
        </w:rPr>
        <w:t>Azambou</w:t>
      </w:r>
      <w:proofErr w:type="spellEnd"/>
      <w:r w:rsidRPr="009C6F68">
        <w:rPr>
          <w:rFonts w:cs="Times New Roman"/>
        </w:rPr>
        <w:t xml:space="preserve"> DR, </w:t>
      </w:r>
      <w:proofErr w:type="spellStart"/>
      <w:r w:rsidRPr="009C6F68">
        <w:rPr>
          <w:rFonts w:cs="Times New Roman"/>
        </w:rPr>
        <w:t>Etet</w:t>
      </w:r>
      <w:proofErr w:type="spellEnd"/>
      <w:r w:rsidRPr="009C6F68">
        <w:rPr>
          <w:rFonts w:cs="Times New Roman"/>
        </w:rPr>
        <w:t xml:space="preserve"> PFS, Dimo T. Diuretic and antioxidant activities of the aqueous extract of leaves of Cassia occidentalis (Linn.) in rats. </w:t>
      </w:r>
      <w:r w:rsidRPr="00124EED">
        <w:rPr>
          <w:rFonts w:cs="Times New Roman"/>
          <w:iCs/>
        </w:rPr>
        <w:t>Asian Pacific</w:t>
      </w:r>
      <w:r w:rsidRPr="009C6F68">
        <w:rPr>
          <w:rFonts w:cs="Times New Roman"/>
          <w:i/>
        </w:rPr>
        <w:t xml:space="preserve"> </w:t>
      </w:r>
      <w:r w:rsidRPr="008373CE">
        <w:rPr>
          <w:rFonts w:cs="Times New Roman"/>
          <w:iCs/>
        </w:rPr>
        <w:t>Journal of Tropical Medicine</w:t>
      </w:r>
      <w:r>
        <w:rPr>
          <w:rFonts w:cs="Times New Roman"/>
        </w:rPr>
        <w:t>. 2015;</w:t>
      </w:r>
      <w:r w:rsidRPr="008373CE">
        <w:rPr>
          <w:rFonts w:cs="Times New Roman"/>
          <w:bCs/>
        </w:rPr>
        <w:t>8(9):</w:t>
      </w:r>
      <w:r w:rsidRPr="009C6F68">
        <w:rPr>
          <w:rFonts w:cs="Times New Roman"/>
        </w:rPr>
        <w:t>685–693.</w:t>
      </w:r>
    </w:p>
    <w:p w14:paraId="369ED876" w14:textId="77777777" w:rsidR="004771E3" w:rsidRPr="009C6F68" w:rsidRDefault="004771E3" w:rsidP="004771E3">
      <w:pPr>
        <w:pStyle w:val="Bibliography1"/>
        <w:numPr>
          <w:ilvl w:val="0"/>
          <w:numId w:val="3"/>
        </w:numPr>
        <w:spacing w:line="360" w:lineRule="auto"/>
        <w:jc w:val="both"/>
        <w:rPr>
          <w:rFonts w:cs="Times New Roman"/>
          <w:lang w:val="en-US"/>
        </w:rPr>
      </w:pPr>
      <w:r w:rsidRPr="009C6F68">
        <w:rPr>
          <w:rFonts w:cs="Times New Roman"/>
        </w:rPr>
        <w:t xml:space="preserve">Singh V, Jain J, Mishra A, Mishra A. (2017). Determination of Antipyretic and Antioxidant Activity of Cassia occidentalis Linn Methanolic Seed Extract. </w:t>
      </w:r>
      <w:r w:rsidRPr="00124EED">
        <w:rPr>
          <w:rFonts w:cs="Times New Roman"/>
          <w:iCs/>
        </w:rPr>
        <w:t>Pharmacognosy Journal</w:t>
      </w:r>
      <w:r>
        <w:rPr>
          <w:rFonts w:cs="Times New Roman"/>
        </w:rPr>
        <w:t>. 2017;</w:t>
      </w:r>
      <w:r w:rsidRPr="00124EED">
        <w:rPr>
          <w:rFonts w:cs="Times New Roman"/>
          <w:bCs/>
        </w:rPr>
        <w:t>9(6):</w:t>
      </w:r>
      <w:r w:rsidRPr="009C6F68">
        <w:rPr>
          <w:rFonts w:cs="Times New Roman"/>
        </w:rPr>
        <w:t>913–916.</w:t>
      </w:r>
    </w:p>
    <w:p w14:paraId="4EC4243C" w14:textId="77777777" w:rsidR="004771E3" w:rsidRPr="009C6F68" w:rsidRDefault="004771E3" w:rsidP="004771E3">
      <w:pPr>
        <w:pStyle w:val="Bibliography1"/>
        <w:numPr>
          <w:ilvl w:val="0"/>
          <w:numId w:val="3"/>
        </w:numPr>
        <w:spacing w:line="360" w:lineRule="auto"/>
        <w:jc w:val="both"/>
        <w:rPr>
          <w:rFonts w:cs="Times New Roman"/>
          <w:lang w:val="en-US"/>
        </w:rPr>
      </w:pPr>
      <w:r w:rsidRPr="009C6F68">
        <w:rPr>
          <w:rFonts w:cs="Times New Roman"/>
        </w:rPr>
        <w:t xml:space="preserve">Garraud </w:t>
      </w:r>
      <w:r>
        <w:rPr>
          <w:rFonts w:cs="Times New Roman"/>
        </w:rPr>
        <w:t>O,</w:t>
      </w:r>
      <w:r w:rsidRPr="009C6F68">
        <w:rPr>
          <w:rFonts w:cs="Times New Roman"/>
        </w:rPr>
        <w:t xml:space="preserve"> Tissot JD. (2018). Blood and Blood Components: From Similarities to Differences. </w:t>
      </w:r>
      <w:r w:rsidRPr="001947F3">
        <w:rPr>
          <w:rFonts w:cs="Times New Roman"/>
          <w:iCs/>
        </w:rPr>
        <w:t>Frontiers in Medicine</w:t>
      </w:r>
      <w:r>
        <w:rPr>
          <w:rFonts w:cs="Times New Roman"/>
        </w:rPr>
        <w:t xml:space="preserve">. </w:t>
      </w:r>
      <w:proofErr w:type="gramStart"/>
      <w:r>
        <w:rPr>
          <w:rFonts w:cs="Times New Roman"/>
        </w:rPr>
        <w:t>2018;</w:t>
      </w:r>
      <w:r w:rsidRPr="001947F3">
        <w:rPr>
          <w:rFonts w:cs="Times New Roman"/>
          <w:bCs/>
        </w:rPr>
        <w:t>5</w:t>
      </w:r>
      <w:r w:rsidRPr="009C6F68">
        <w:rPr>
          <w:rFonts w:cs="Times New Roman"/>
        </w:rPr>
        <w:t>:84</w:t>
      </w:r>
      <w:proofErr w:type="gramEnd"/>
      <w:r w:rsidRPr="009C6F68">
        <w:rPr>
          <w:rFonts w:cs="Times New Roman"/>
        </w:rPr>
        <w:t>.</w:t>
      </w:r>
    </w:p>
    <w:p w14:paraId="32C09BD2" w14:textId="77777777" w:rsidR="004771E3" w:rsidRPr="009C6F68" w:rsidRDefault="004771E3" w:rsidP="004771E3">
      <w:pPr>
        <w:pStyle w:val="Bibliography1"/>
        <w:numPr>
          <w:ilvl w:val="0"/>
          <w:numId w:val="3"/>
        </w:numPr>
        <w:spacing w:line="360" w:lineRule="auto"/>
        <w:jc w:val="both"/>
        <w:rPr>
          <w:rFonts w:cs="Times New Roman"/>
          <w:lang w:val="en-US"/>
        </w:rPr>
      </w:pPr>
      <w:r w:rsidRPr="009C6F68">
        <w:rPr>
          <w:rFonts w:cs="Times New Roman"/>
        </w:rPr>
        <w:t xml:space="preserve">Preiser JC. Oxidative stress. </w:t>
      </w:r>
      <w:r w:rsidRPr="008373CE">
        <w:rPr>
          <w:rFonts w:cs="Times New Roman"/>
          <w:iCs/>
        </w:rPr>
        <w:t>JPEN</w:t>
      </w:r>
      <w:r w:rsidRPr="009C6F68">
        <w:rPr>
          <w:rFonts w:cs="Times New Roman"/>
          <w:i/>
        </w:rPr>
        <w:t xml:space="preserve">. </w:t>
      </w:r>
      <w:r w:rsidRPr="008373CE">
        <w:rPr>
          <w:rFonts w:cs="Times New Roman"/>
          <w:iCs/>
        </w:rPr>
        <w:t>Journal of Parenteral and Enteral Nutrition</w:t>
      </w:r>
      <w:r>
        <w:rPr>
          <w:rFonts w:cs="Times New Roman"/>
        </w:rPr>
        <w:t>. 2012;</w:t>
      </w:r>
      <w:r w:rsidRPr="008373CE">
        <w:rPr>
          <w:rFonts w:cs="Times New Roman"/>
          <w:bCs/>
        </w:rPr>
        <w:t>36(2):</w:t>
      </w:r>
      <w:r w:rsidRPr="009C6F68">
        <w:rPr>
          <w:rFonts w:cs="Times New Roman"/>
        </w:rPr>
        <w:t>147–154.</w:t>
      </w:r>
    </w:p>
    <w:p w14:paraId="3ACD3107" w14:textId="77777777" w:rsidR="004771E3" w:rsidRPr="009C6F68" w:rsidRDefault="004771E3" w:rsidP="004771E3">
      <w:pPr>
        <w:pStyle w:val="Bibliography1"/>
        <w:numPr>
          <w:ilvl w:val="0"/>
          <w:numId w:val="3"/>
        </w:numPr>
        <w:spacing w:line="360" w:lineRule="auto"/>
        <w:jc w:val="both"/>
        <w:rPr>
          <w:rFonts w:cs="Times New Roman"/>
          <w:lang w:val="en-US"/>
        </w:rPr>
      </w:pPr>
      <w:r w:rsidRPr="009C6F68">
        <w:rPr>
          <w:rFonts w:cs="Times New Roman"/>
        </w:rPr>
        <w:t xml:space="preserve">Andreyev AY, </w:t>
      </w:r>
      <w:proofErr w:type="spellStart"/>
      <w:r w:rsidRPr="009C6F68">
        <w:rPr>
          <w:rFonts w:cs="Times New Roman"/>
        </w:rPr>
        <w:t>Kushnareva</w:t>
      </w:r>
      <w:proofErr w:type="spellEnd"/>
      <w:r w:rsidRPr="009C6F68">
        <w:rPr>
          <w:rFonts w:cs="Times New Roman"/>
        </w:rPr>
        <w:t xml:space="preserve"> YE, Starkov AA. Mitochondrial metabolism of reactive oxygen species. </w:t>
      </w:r>
      <w:r w:rsidRPr="001947F3">
        <w:rPr>
          <w:rFonts w:cs="Times New Roman"/>
          <w:iCs/>
        </w:rPr>
        <w:t xml:space="preserve">Biochemistry. </w:t>
      </w:r>
      <w:proofErr w:type="spellStart"/>
      <w:r w:rsidRPr="001947F3">
        <w:rPr>
          <w:rFonts w:cs="Times New Roman"/>
          <w:iCs/>
        </w:rPr>
        <w:t>Biokhimiia</w:t>
      </w:r>
      <w:proofErr w:type="spellEnd"/>
      <w:r>
        <w:rPr>
          <w:rFonts w:cs="Times New Roman"/>
        </w:rPr>
        <w:t>. 2005;</w:t>
      </w:r>
      <w:r w:rsidRPr="001947F3">
        <w:rPr>
          <w:rFonts w:cs="Times New Roman"/>
          <w:bCs/>
        </w:rPr>
        <w:t>70(2)</w:t>
      </w:r>
      <w:r w:rsidRPr="009C6F68">
        <w:rPr>
          <w:rFonts w:cs="Times New Roman"/>
        </w:rPr>
        <w:t>:200–214.</w:t>
      </w:r>
    </w:p>
    <w:p w14:paraId="029F18F6" w14:textId="11C52E3E" w:rsidR="009C2B77" w:rsidRDefault="009C2B77" w:rsidP="004771E3">
      <w:pPr>
        <w:pStyle w:val="Bibliography1"/>
        <w:numPr>
          <w:ilvl w:val="0"/>
          <w:numId w:val="3"/>
        </w:numPr>
        <w:spacing w:line="360" w:lineRule="auto"/>
        <w:jc w:val="both"/>
        <w:rPr>
          <w:rFonts w:cs="Times New Roman"/>
        </w:rPr>
      </w:pPr>
      <w:r w:rsidRPr="003F54A4">
        <w:rPr>
          <w:rFonts w:cs="Times New Roman"/>
          <w:lang w:val="de-DE"/>
        </w:rPr>
        <w:t>Adias TC, Ajugwo AO, Erhabor T</w:t>
      </w:r>
      <w:r w:rsidR="001947F3" w:rsidRPr="003F54A4">
        <w:rPr>
          <w:rFonts w:cs="Times New Roman"/>
          <w:lang w:val="de-DE"/>
        </w:rPr>
        <w:t>,</w:t>
      </w:r>
      <w:r w:rsidRPr="003F54A4">
        <w:rPr>
          <w:rFonts w:cs="Times New Roman"/>
          <w:lang w:val="de-DE"/>
        </w:rPr>
        <w:t xml:space="preserve"> Nyenke CU. </w:t>
      </w:r>
      <w:r w:rsidRPr="004771E3">
        <w:rPr>
          <w:rFonts w:cs="Times New Roman"/>
        </w:rPr>
        <w:t>Effect of Pumpkin Extract (</w:t>
      </w:r>
      <w:proofErr w:type="spellStart"/>
      <w:r w:rsidRPr="004771E3">
        <w:rPr>
          <w:rFonts w:cs="Times New Roman"/>
          <w:i/>
        </w:rPr>
        <w:t>Telfairia</w:t>
      </w:r>
      <w:proofErr w:type="spellEnd"/>
      <w:r w:rsidRPr="004771E3">
        <w:rPr>
          <w:rFonts w:cs="Times New Roman"/>
          <w:i/>
        </w:rPr>
        <w:t xml:space="preserve"> occidentalis</w:t>
      </w:r>
      <w:r w:rsidRPr="004771E3">
        <w:rPr>
          <w:rFonts w:cs="Times New Roman"/>
        </w:rPr>
        <w:t xml:space="preserve">) on Routine Haematological Parameters in Acetone-Induced Oxidative Stress Albino Rats. </w:t>
      </w:r>
      <w:r w:rsidRPr="004771E3">
        <w:rPr>
          <w:rFonts w:cs="Times New Roman"/>
          <w:iCs/>
        </w:rPr>
        <w:t>American Journal of Food Science and Technology</w:t>
      </w:r>
      <w:r w:rsidR="001947F3" w:rsidRPr="004771E3">
        <w:rPr>
          <w:rFonts w:cs="Times New Roman"/>
        </w:rPr>
        <w:t>. 2013;</w:t>
      </w:r>
      <w:r w:rsidRPr="004771E3">
        <w:rPr>
          <w:rFonts w:cs="Times New Roman"/>
          <w:bCs/>
        </w:rPr>
        <w:t>1(4)</w:t>
      </w:r>
      <w:r w:rsidRPr="004771E3">
        <w:rPr>
          <w:rFonts w:cs="Times New Roman"/>
        </w:rPr>
        <w:t>:67–69.</w:t>
      </w:r>
    </w:p>
    <w:p w14:paraId="36143EB5" w14:textId="41B66B70" w:rsidR="00E07C57" w:rsidRPr="009C6F68" w:rsidRDefault="00E07C57" w:rsidP="00E07C57">
      <w:pPr>
        <w:pStyle w:val="Bibliography1"/>
        <w:numPr>
          <w:ilvl w:val="0"/>
          <w:numId w:val="3"/>
        </w:numPr>
        <w:spacing w:line="360" w:lineRule="auto"/>
        <w:jc w:val="both"/>
        <w:rPr>
          <w:rFonts w:cs="Times New Roman"/>
          <w:lang w:val="en-US"/>
        </w:rPr>
      </w:pPr>
      <w:r w:rsidRPr="009C6F68">
        <w:rPr>
          <w:rFonts w:cs="Times New Roman"/>
        </w:rPr>
        <w:t xml:space="preserve">Xu S, Ilyas I, Little PJ, Li H, </w:t>
      </w:r>
      <w:proofErr w:type="spellStart"/>
      <w:r w:rsidRPr="009C6F68">
        <w:rPr>
          <w:rFonts w:cs="Times New Roman"/>
        </w:rPr>
        <w:t>Kamato</w:t>
      </w:r>
      <w:proofErr w:type="spellEnd"/>
      <w:r w:rsidRPr="009C6F68">
        <w:rPr>
          <w:rFonts w:cs="Times New Roman"/>
        </w:rPr>
        <w:t xml:space="preserve"> D, Zheng X, Weng J. Endothelial Dysfunction in Atherosclerotic Cardiovascular Diseases and Beyond: From Mechanism to Pharmacotherapies. </w:t>
      </w:r>
      <w:r w:rsidRPr="00742A0D">
        <w:rPr>
          <w:rFonts w:cs="Times New Roman"/>
          <w:iCs/>
        </w:rPr>
        <w:t>Pharmacological Reviews</w:t>
      </w:r>
      <w:r>
        <w:rPr>
          <w:rFonts w:cs="Times New Roman"/>
        </w:rPr>
        <w:t>. 2021;</w:t>
      </w:r>
      <w:r w:rsidRPr="00742A0D">
        <w:rPr>
          <w:rFonts w:cs="Times New Roman"/>
          <w:bCs/>
        </w:rPr>
        <w:t>73(3):</w:t>
      </w:r>
      <w:r w:rsidRPr="009C6F68">
        <w:rPr>
          <w:rFonts w:cs="Times New Roman"/>
        </w:rPr>
        <w:t>924–967</w:t>
      </w:r>
      <w:r>
        <w:rPr>
          <w:rFonts w:cs="Times New Roman"/>
        </w:rPr>
        <w:t>.</w:t>
      </w:r>
    </w:p>
    <w:p w14:paraId="74BCAEA0" w14:textId="77777777" w:rsidR="00E07C57" w:rsidRPr="009C6F68" w:rsidRDefault="00E07C57" w:rsidP="00E07C57">
      <w:pPr>
        <w:pStyle w:val="Bibliography1"/>
        <w:numPr>
          <w:ilvl w:val="0"/>
          <w:numId w:val="3"/>
        </w:numPr>
        <w:spacing w:line="360" w:lineRule="auto"/>
        <w:jc w:val="both"/>
        <w:rPr>
          <w:rFonts w:cs="Times New Roman"/>
          <w:lang w:val="en-US"/>
        </w:rPr>
      </w:pPr>
      <w:r w:rsidRPr="009C6F68">
        <w:rPr>
          <w:rFonts w:cs="Times New Roman"/>
        </w:rPr>
        <w:lastRenderedPageBreak/>
        <w:t xml:space="preserve">Lloret A, Esteve D, </w:t>
      </w:r>
      <w:proofErr w:type="spellStart"/>
      <w:r w:rsidRPr="009C6F68">
        <w:rPr>
          <w:rFonts w:cs="Times New Roman"/>
        </w:rPr>
        <w:t>Monllor</w:t>
      </w:r>
      <w:proofErr w:type="spellEnd"/>
      <w:r w:rsidRPr="009C6F68">
        <w:rPr>
          <w:rFonts w:cs="Times New Roman"/>
        </w:rPr>
        <w:t xml:space="preserve"> P, Cervera-Ferri A, Lloret A. (2019). The Effectiveness of Vitamin E Treatment in Alzheimer’s Disease. </w:t>
      </w:r>
      <w:r w:rsidRPr="001947F3">
        <w:rPr>
          <w:rFonts w:cs="Times New Roman"/>
          <w:iCs/>
        </w:rPr>
        <w:t>International Journal of Molecular Sciences</w:t>
      </w:r>
      <w:r>
        <w:rPr>
          <w:rFonts w:cs="Times New Roman"/>
        </w:rPr>
        <w:t>. 2019;</w:t>
      </w:r>
      <w:r w:rsidRPr="001947F3">
        <w:rPr>
          <w:rFonts w:cs="Times New Roman"/>
          <w:bCs/>
        </w:rPr>
        <w:t>20(4):</w:t>
      </w:r>
      <w:r w:rsidRPr="009C6F68">
        <w:rPr>
          <w:rFonts w:cs="Times New Roman"/>
        </w:rPr>
        <w:t>879.</w:t>
      </w:r>
    </w:p>
    <w:p w14:paraId="3BA6539B" w14:textId="77777777" w:rsidR="00E07C57" w:rsidRPr="009C6F68" w:rsidRDefault="00E07C57" w:rsidP="00E07C57">
      <w:pPr>
        <w:pStyle w:val="Bibliography1"/>
        <w:numPr>
          <w:ilvl w:val="0"/>
          <w:numId w:val="3"/>
        </w:numPr>
        <w:spacing w:line="360" w:lineRule="auto"/>
        <w:jc w:val="both"/>
        <w:rPr>
          <w:rFonts w:cs="Times New Roman"/>
          <w:lang w:val="en-US"/>
        </w:rPr>
      </w:pPr>
      <w:r w:rsidRPr="009C6F68">
        <w:rPr>
          <w:rFonts w:cs="Times New Roman"/>
        </w:rPr>
        <w:t xml:space="preserve">Martucci A, Nucci C. Evidence on neuroprotective properties of coenzyme Q10 in the treatment of glaucoma. </w:t>
      </w:r>
      <w:r w:rsidRPr="004D6C24">
        <w:rPr>
          <w:rFonts w:cs="Times New Roman"/>
          <w:iCs/>
        </w:rPr>
        <w:t>Neural Regeneration Research</w:t>
      </w:r>
      <w:r>
        <w:rPr>
          <w:rFonts w:cs="Times New Roman"/>
        </w:rPr>
        <w:t xml:space="preserve">. </w:t>
      </w:r>
      <w:proofErr w:type="gramStart"/>
      <w:r>
        <w:rPr>
          <w:rFonts w:cs="Times New Roman"/>
        </w:rPr>
        <w:t>2019;</w:t>
      </w:r>
      <w:r w:rsidRPr="004D6C24">
        <w:rPr>
          <w:rFonts w:cs="Times New Roman"/>
          <w:bCs/>
        </w:rPr>
        <w:t>14</w:t>
      </w:r>
      <w:r w:rsidRPr="009C6F68">
        <w:rPr>
          <w:rFonts w:cs="Times New Roman"/>
        </w:rPr>
        <w:t>:197</w:t>
      </w:r>
      <w:proofErr w:type="gramEnd"/>
      <w:r w:rsidRPr="009C6F68">
        <w:rPr>
          <w:rFonts w:cs="Times New Roman"/>
        </w:rPr>
        <w:t>.</w:t>
      </w:r>
    </w:p>
    <w:p w14:paraId="61C17E6E" w14:textId="77777777" w:rsidR="00E07C57" w:rsidRPr="009C6F68" w:rsidRDefault="00E07C57" w:rsidP="00E07C57">
      <w:pPr>
        <w:pStyle w:val="Bibliography1"/>
        <w:numPr>
          <w:ilvl w:val="0"/>
          <w:numId w:val="3"/>
        </w:numPr>
        <w:spacing w:line="360" w:lineRule="auto"/>
        <w:jc w:val="both"/>
        <w:rPr>
          <w:rFonts w:cs="Times New Roman"/>
          <w:lang w:val="en-US"/>
        </w:rPr>
      </w:pPr>
      <w:r w:rsidRPr="009C6F68">
        <w:rPr>
          <w:rFonts w:cs="Times New Roman"/>
        </w:rPr>
        <w:t xml:space="preserve">Silva MGB, Aragão TP, Vasconcelos CFB, Ferreira PA, Andrade BA, Costa IMA, Lafayette SSL. Acute and subacute toxicity of Cassia occidentalis L. stem and leaf in Wistar rats. </w:t>
      </w:r>
      <w:r w:rsidRPr="00124EED">
        <w:rPr>
          <w:rFonts w:cs="Times New Roman"/>
          <w:iCs/>
        </w:rPr>
        <w:t>Journal of Ethnopharmacology</w:t>
      </w:r>
      <w:r>
        <w:rPr>
          <w:rFonts w:cs="Times New Roman"/>
        </w:rPr>
        <w:t>. 2011;</w:t>
      </w:r>
      <w:r w:rsidRPr="008373CE">
        <w:rPr>
          <w:rFonts w:cs="Times New Roman"/>
          <w:bCs/>
        </w:rPr>
        <w:t>136(2):</w:t>
      </w:r>
      <w:r w:rsidRPr="009C6F68">
        <w:rPr>
          <w:rFonts w:cs="Times New Roman"/>
        </w:rPr>
        <w:t>341–346.</w:t>
      </w:r>
    </w:p>
    <w:p w14:paraId="6E5782A4" w14:textId="77777777" w:rsidR="00E07C57" w:rsidRPr="009C6F68" w:rsidRDefault="00E07C57" w:rsidP="00E07C57">
      <w:pPr>
        <w:pStyle w:val="Bibliography1"/>
        <w:numPr>
          <w:ilvl w:val="0"/>
          <w:numId w:val="3"/>
        </w:numPr>
        <w:spacing w:line="360" w:lineRule="auto"/>
        <w:jc w:val="both"/>
        <w:rPr>
          <w:rFonts w:cs="Times New Roman"/>
          <w:lang w:val="en-US"/>
        </w:rPr>
      </w:pPr>
      <w:r w:rsidRPr="009C6F68">
        <w:rPr>
          <w:rFonts w:cs="Times New Roman"/>
        </w:rPr>
        <w:t xml:space="preserve">Mogaka S, Mulei I, Njoki P, </w:t>
      </w:r>
      <w:proofErr w:type="spellStart"/>
      <w:r w:rsidRPr="009C6F68">
        <w:rPr>
          <w:rFonts w:cs="Times New Roman"/>
        </w:rPr>
        <w:t>Ogila</w:t>
      </w:r>
      <w:proofErr w:type="spellEnd"/>
      <w:r w:rsidRPr="009C6F68">
        <w:rPr>
          <w:rFonts w:cs="Times New Roman"/>
        </w:rPr>
        <w:t xml:space="preserve"> K, </w:t>
      </w:r>
      <w:proofErr w:type="spellStart"/>
      <w:r w:rsidRPr="009C6F68">
        <w:rPr>
          <w:rFonts w:cs="Times New Roman"/>
        </w:rPr>
        <w:t>Waihenya</w:t>
      </w:r>
      <w:proofErr w:type="spellEnd"/>
      <w:r w:rsidRPr="009C6F68">
        <w:rPr>
          <w:rFonts w:cs="Times New Roman"/>
        </w:rPr>
        <w:t xml:space="preserve"> R, Onditi F, </w:t>
      </w:r>
      <w:proofErr w:type="spellStart"/>
      <w:r w:rsidRPr="009C6F68">
        <w:rPr>
          <w:rFonts w:cs="Times New Roman"/>
        </w:rPr>
        <w:t>Ozwara</w:t>
      </w:r>
      <w:proofErr w:type="spellEnd"/>
      <w:r w:rsidRPr="009C6F68">
        <w:rPr>
          <w:rFonts w:cs="Times New Roman"/>
        </w:rPr>
        <w:t xml:space="preserve"> H. Antimalarial Efficacy and Safety of Senna occidentalis (L.) Link Root Extract in Plasmodium </w:t>
      </w:r>
      <w:proofErr w:type="spellStart"/>
      <w:r w:rsidRPr="009C6F68">
        <w:rPr>
          <w:rFonts w:cs="Times New Roman"/>
        </w:rPr>
        <w:t>berghei</w:t>
      </w:r>
      <w:proofErr w:type="spellEnd"/>
      <w:r w:rsidRPr="009C6F68">
        <w:rPr>
          <w:rFonts w:cs="Times New Roman"/>
        </w:rPr>
        <w:t xml:space="preserve">-Infected BALB/c Mice. </w:t>
      </w:r>
      <w:r w:rsidRPr="004D6C24">
        <w:rPr>
          <w:rFonts w:cs="Times New Roman"/>
          <w:iCs/>
        </w:rPr>
        <w:t>BioMed Research International</w:t>
      </w:r>
      <w:r>
        <w:rPr>
          <w:rFonts w:cs="Times New Roman"/>
        </w:rPr>
        <w:t>.</w:t>
      </w:r>
      <w:r w:rsidRPr="009C6F68">
        <w:rPr>
          <w:rFonts w:cs="Times New Roman"/>
        </w:rPr>
        <w:t xml:space="preserve"> </w:t>
      </w:r>
      <w:r w:rsidRPr="004D6C24">
        <w:rPr>
          <w:rFonts w:cs="Times New Roman"/>
          <w:bCs/>
        </w:rPr>
        <w:t>2023</w:t>
      </w:r>
      <w:r w:rsidRPr="009C6F68">
        <w:rPr>
          <w:rFonts w:cs="Times New Roman"/>
        </w:rPr>
        <w:t>: 8296195.</w:t>
      </w:r>
    </w:p>
    <w:p w14:paraId="434771F6" w14:textId="77777777" w:rsidR="00E07C57" w:rsidRPr="009C6F68" w:rsidRDefault="00E07C57" w:rsidP="00E07C57">
      <w:pPr>
        <w:pStyle w:val="Bibliography1"/>
        <w:numPr>
          <w:ilvl w:val="0"/>
          <w:numId w:val="3"/>
        </w:numPr>
        <w:spacing w:line="360" w:lineRule="auto"/>
        <w:jc w:val="both"/>
        <w:rPr>
          <w:rFonts w:cs="Times New Roman"/>
          <w:lang w:val="en-US"/>
        </w:rPr>
      </w:pPr>
      <w:r w:rsidRPr="009C6F68">
        <w:rPr>
          <w:rFonts w:cs="Times New Roman"/>
        </w:rPr>
        <w:t xml:space="preserve">Walker HK, Hall WD, Hurst JW. (Eds.). </w:t>
      </w:r>
      <w:r w:rsidRPr="00E103DF">
        <w:rPr>
          <w:rFonts w:cs="Times New Roman"/>
          <w:iCs/>
        </w:rPr>
        <w:t>Clinical methods: The history, physical, and laboratory examinations (</w:t>
      </w:r>
      <w:r w:rsidRPr="009C6F68">
        <w:rPr>
          <w:rFonts w:cs="Times New Roman"/>
        </w:rPr>
        <w:t xml:space="preserve">3rd ed). </w:t>
      </w:r>
      <w:r>
        <w:rPr>
          <w:rFonts w:cs="Times New Roman"/>
        </w:rPr>
        <w:t xml:space="preserve">1990. </w:t>
      </w:r>
      <w:r w:rsidRPr="009C6F68">
        <w:rPr>
          <w:rFonts w:cs="Times New Roman"/>
        </w:rPr>
        <w:t>Boston: Butterworths.</w:t>
      </w:r>
    </w:p>
    <w:p w14:paraId="4016FBD6" w14:textId="483CA45B" w:rsidR="009C2B77" w:rsidRDefault="009C2B77" w:rsidP="00E07C57">
      <w:pPr>
        <w:pStyle w:val="Bibliography1"/>
        <w:numPr>
          <w:ilvl w:val="0"/>
          <w:numId w:val="3"/>
        </w:numPr>
        <w:spacing w:line="360" w:lineRule="auto"/>
        <w:jc w:val="both"/>
        <w:rPr>
          <w:rFonts w:cs="Times New Roman"/>
        </w:rPr>
      </w:pPr>
      <w:r w:rsidRPr="00E07C57">
        <w:rPr>
          <w:rFonts w:cs="Times New Roman"/>
        </w:rPr>
        <w:t xml:space="preserve">Brugnara C, Mohandas N. Red cell indices in classification and treatment of </w:t>
      </w:r>
      <w:proofErr w:type="spellStart"/>
      <w:r w:rsidRPr="00E07C57">
        <w:rPr>
          <w:rFonts w:cs="Times New Roman"/>
        </w:rPr>
        <w:t>anemias</w:t>
      </w:r>
      <w:proofErr w:type="spellEnd"/>
      <w:r w:rsidRPr="00E07C57">
        <w:rPr>
          <w:rFonts w:cs="Times New Roman"/>
        </w:rPr>
        <w:t xml:space="preserve">: From M.M. </w:t>
      </w:r>
      <w:proofErr w:type="spellStart"/>
      <w:r w:rsidRPr="00E07C57">
        <w:rPr>
          <w:rFonts w:cs="Times New Roman"/>
        </w:rPr>
        <w:t>Wintrobes’s</w:t>
      </w:r>
      <w:proofErr w:type="spellEnd"/>
      <w:r w:rsidRPr="00E07C57">
        <w:rPr>
          <w:rFonts w:cs="Times New Roman"/>
        </w:rPr>
        <w:t xml:space="preserve"> original 1934 classification to the third millennium. </w:t>
      </w:r>
      <w:r w:rsidRPr="00E07C57">
        <w:rPr>
          <w:rFonts w:cs="Times New Roman"/>
          <w:iCs/>
        </w:rPr>
        <w:t xml:space="preserve">Current Opinion in </w:t>
      </w:r>
      <w:proofErr w:type="spellStart"/>
      <w:r w:rsidRPr="00E07C57">
        <w:rPr>
          <w:rFonts w:cs="Times New Roman"/>
          <w:iCs/>
        </w:rPr>
        <w:t>Hematology</w:t>
      </w:r>
      <w:proofErr w:type="spellEnd"/>
      <w:r w:rsidR="001947F3" w:rsidRPr="00E07C57">
        <w:rPr>
          <w:rFonts w:cs="Times New Roman"/>
        </w:rPr>
        <w:t>. 2013;</w:t>
      </w:r>
      <w:r w:rsidRPr="00E07C57">
        <w:rPr>
          <w:rFonts w:cs="Times New Roman"/>
          <w:bCs/>
        </w:rPr>
        <w:t>20(3):</w:t>
      </w:r>
      <w:r w:rsidRPr="00E07C57">
        <w:rPr>
          <w:rFonts w:cs="Times New Roman"/>
        </w:rPr>
        <w:t>222–230.</w:t>
      </w:r>
    </w:p>
    <w:p w14:paraId="04BD9CA1" w14:textId="1F85C768" w:rsidR="009C2B77" w:rsidRPr="00E07C57" w:rsidRDefault="009C2B77" w:rsidP="00304CD9">
      <w:pPr>
        <w:pStyle w:val="Bibliography1"/>
        <w:numPr>
          <w:ilvl w:val="0"/>
          <w:numId w:val="3"/>
        </w:numPr>
        <w:spacing w:line="360" w:lineRule="auto"/>
        <w:jc w:val="both"/>
        <w:rPr>
          <w:rFonts w:cs="Times New Roman"/>
        </w:rPr>
      </w:pPr>
      <w:r w:rsidRPr="00E07C57">
        <w:rPr>
          <w:rFonts w:cs="Times New Roman"/>
        </w:rPr>
        <w:t xml:space="preserve">Okonkwo CO, </w:t>
      </w:r>
      <w:proofErr w:type="spellStart"/>
      <w:r w:rsidRPr="00E07C57">
        <w:rPr>
          <w:rFonts w:cs="Times New Roman"/>
        </w:rPr>
        <w:t>Ohaeri</w:t>
      </w:r>
      <w:proofErr w:type="spellEnd"/>
      <w:r w:rsidRPr="00E07C57">
        <w:rPr>
          <w:rFonts w:cs="Times New Roman"/>
        </w:rPr>
        <w:t xml:space="preserve"> OC, </w:t>
      </w:r>
      <w:proofErr w:type="spellStart"/>
      <w:r w:rsidRPr="00E07C57">
        <w:rPr>
          <w:rFonts w:cs="Times New Roman"/>
        </w:rPr>
        <w:t>Atangwho</w:t>
      </w:r>
      <w:proofErr w:type="spellEnd"/>
      <w:r w:rsidRPr="00E07C57">
        <w:rPr>
          <w:rFonts w:cs="Times New Roman"/>
        </w:rPr>
        <w:t xml:space="preserve"> IJ. Haematological changes in rats exposed to insecticidal oils from the leaves of Cassia occidentalis and Euphorbia </w:t>
      </w:r>
      <w:proofErr w:type="spellStart"/>
      <w:r w:rsidRPr="00E07C57">
        <w:rPr>
          <w:rFonts w:cs="Times New Roman"/>
        </w:rPr>
        <w:t>milii</w:t>
      </w:r>
      <w:proofErr w:type="spellEnd"/>
      <w:r w:rsidRPr="00E07C57">
        <w:rPr>
          <w:rFonts w:cs="Times New Roman"/>
        </w:rPr>
        <w:t xml:space="preserve">. </w:t>
      </w:r>
      <w:proofErr w:type="spellStart"/>
      <w:r w:rsidRPr="00E07C57">
        <w:rPr>
          <w:rFonts w:cs="Times New Roman"/>
          <w:iCs/>
        </w:rPr>
        <w:t>Heliyon</w:t>
      </w:r>
      <w:proofErr w:type="spellEnd"/>
      <w:r w:rsidR="008373CE" w:rsidRPr="00E07C57">
        <w:rPr>
          <w:rFonts w:cs="Times New Roman"/>
        </w:rPr>
        <w:t>. 2019;</w:t>
      </w:r>
      <w:r w:rsidRPr="00E07C57">
        <w:rPr>
          <w:rFonts w:cs="Times New Roman"/>
          <w:bCs/>
        </w:rPr>
        <w:t>5(5):</w:t>
      </w:r>
      <w:r w:rsidRPr="00E07C57">
        <w:rPr>
          <w:rFonts w:cs="Times New Roman"/>
        </w:rPr>
        <w:t xml:space="preserve"> e01746.</w:t>
      </w:r>
    </w:p>
    <w:sectPr w:rsidR="009C2B77" w:rsidRPr="00E07C57" w:rsidSect="00205565">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B0CD96" w14:textId="77777777" w:rsidR="00205565" w:rsidRDefault="00205565" w:rsidP="004828A0">
      <w:pPr>
        <w:spacing w:after="0" w:line="240" w:lineRule="auto"/>
      </w:pPr>
      <w:r>
        <w:separator/>
      </w:r>
    </w:p>
  </w:endnote>
  <w:endnote w:type="continuationSeparator" w:id="0">
    <w:p w14:paraId="0ACAB07A" w14:textId="77777777" w:rsidR="00205565" w:rsidRDefault="00205565" w:rsidP="00482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Noto Serif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0CD4B" w14:textId="77777777" w:rsidR="003F54A4" w:rsidRDefault="003F5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713459"/>
      <w:docPartObj>
        <w:docPartGallery w:val="Page Numbers (Bottom of Page)"/>
        <w:docPartUnique/>
      </w:docPartObj>
    </w:sdtPr>
    <w:sdtEndPr>
      <w:rPr>
        <w:noProof/>
      </w:rPr>
    </w:sdtEndPr>
    <w:sdtContent>
      <w:p w14:paraId="6A29A932" w14:textId="6949CC28" w:rsidR="004828A0" w:rsidRDefault="004828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C9F482" w14:textId="77777777" w:rsidR="004828A0" w:rsidRDefault="00482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484D7" w14:textId="77777777" w:rsidR="003F54A4" w:rsidRDefault="003F5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DDCD8" w14:textId="77777777" w:rsidR="00205565" w:rsidRDefault="00205565" w:rsidP="004828A0">
      <w:pPr>
        <w:spacing w:after="0" w:line="240" w:lineRule="auto"/>
      </w:pPr>
      <w:r>
        <w:separator/>
      </w:r>
    </w:p>
  </w:footnote>
  <w:footnote w:type="continuationSeparator" w:id="0">
    <w:p w14:paraId="0CAFE3BF" w14:textId="77777777" w:rsidR="00205565" w:rsidRDefault="00205565" w:rsidP="00482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E3CBE" w14:textId="5625715A" w:rsidR="003F54A4" w:rsidRDefault="003F54A4">
    <w:pPr>
      <w:pStyle w:val="Header"/>
    </w:pPr>
    <w:r>
      <w:rPr>
        <w:noProof/>
      </w:rPr>
      <w:pict w14:anchorId="5CA58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97432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208F" w14:textId="5B47285A" w:rsidR="003F54A4" w:rsidRDefault="003F54A4">
    <w:pPr>
      <w:pStyle w:val="Header"/>
    </w:pPr>
    <w:r>
      <w:rPr>
        <w:noProof/>
      </w:rPr>
      <w:pict w14:anchorId="6D511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97433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06547" w14:textId="77C62AB3" w:rsidR="003F54A4" w:rsidRDefault="003F54A4">
    <w:pPr>
      <w:pStyle w:val="Header"/>
    </w:pPr>
    <w:r>
      <w:rPr>
        <w:noProof/>
      </w:rPr>
      <w:pict w14:anchorId="4461D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97432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244A1"/>
    <w:multiLevelType w:val="hybridMultilevel"/>
    <w:tmpl w:val="4E3A63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AF40A3C"/>
    <w:multiLevelType w:val="multilevel"/>
    <w:tmpl w:val="9D08B18C"/>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739550F"/>
    <w:multiLevelType w:val="hybridMultilevel"/>
    <w:tmpl w:val="B1082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939227">
    <w:abstractNumId w:val="1"/>
  </w:num>
  <w:num w:numId="2" w16cid:durableId="1266499326">
    <w:abstractNumId w:val="2"/>
  </w:num>
  <w:num w:numId="3" w16cid:durableId="880166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3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2B"/>
    <w:rsid w:val="0001713A"/>
    <w:rsid w:val="000A2604"/>
    <w:rsid w:val="000E6A61"/>
    <w:rsid w:val="000F1332"/>
    <w:rsid w:val="00124EED"/>
    <w:rsid w:val="00141EB4"/>
    <w:rsid w:val="001947F3"/>
    <w:rsid w:val="001A4307"/>
    <w:rsid w:val="001B4097"/>
    <w:rsid w:val="001C5D5D"/>
    <w:rsid w:val="001D55CD"/>
    <w:rsid w:val="001F00F3"/>
    <w:rsid w:val="00205565"/>
    <w:rsid w:val="0022241E"/>
    <w:rsid w:val="002323BA"/>
    <w:rsid w:val="00236E69"/>
    <w:rsid w:val="00261271"/>
    <w:rsid w:val="00294057"/>
    <w:rsid w:val="002A085D"/>
    <w:rsid w:val="002D2112"/>
    <w:rsid w:val="0030222E"/>
    <w:rsid w:val="00304CD9"/>
    <w:rsid w:val="00307D0A"/>
    <w:rsid w:val="00315518"/>
    <w:rsid w:val="0033301E"/>
    <w:rsid w:val="00377A5B"/>
    <w:rsid w:val="00386DF6"/>
    <w:rsid w:val="00390317"/>
    <w:rsid w:val="003A7E75"/>
    <w:rsid w:val="003F2E11"/>
    <w:rsid w:val="003F54A4"/>
    <w:rsid w:val="004005DB"/>
    <w:rsid w:val="00453481"/>
    <w:rsid w:val="00455F09"/>
    <w:rsid w:val="00463F67"/>
    <w:rsid w:val="00474793"/>
    <w:rsid w:val="00475413"/>
    <w:rsid w:val="004771E3"/>
    <w:rsid w:val="004828A0"/>
    <w:rsid w:val="00486E22"/>
    <w:rsid w:val="00491BCD"/>
    <w:rsid w:val="004B17AE"/>
    <w:rsid w:val="004C61D7"/>
    <w:rsid w:val="004D6C24"/>
    <w:rsid w:val="00510180"/>
    <w:rsid w:val="005561EA"/>
    <w:rsid w:val="00565E21"/>
    <w:rsid w:val="00574699"/>
    <w:rsid w:val="00582B4B"/>
    <w:rsid w:val="005B5CAC"/>
    <w:rsid w:val="005C516D"/>
    <w:rsid w:val="005E7B11"/>
    <w:rsid w:val="005F414D"/>
    <w:rsid w:val="00603B8D"/>
    <w:rsid w:val="006140FD"/>
    <w:rsid w:val="006347FD"/>
    <w:rsid w:val="00637DB3"/>
    <w:rsid w:val="00661D7C"/>
    <w:rsid w:val="00677557"/>
    <w:rsid w:val="006950E2"/>
    <w:rsid w:val="006A4DD1"/>
    <w:rsid w:val="006D4B7B"/>
    <w:rsid w:val="007162E1"/>
    <w:rsid w:val="00742A0D"/>
    <w:rsid w:val="00781743"/>
    <w:rsid w:val="007B770C"/>
    <w:rsid w:val="007E41E4"/>
    <w:rsid w:val="007F1504"/>
    <w:rsid w:val="007F215C"/>
    <w:rsid w:val="00801F19"/>
    <w:rsid w:val="00810B96"/>
    <w:rsid w:val="008373CE"/>
    <w:rsid w:val="0084558C"/>
    <w:rsid w:val="00853CA6"/>
    <w:rsid w:val="008552F6"/>
    <w:rsid w:val="00863106"/>
    <w:rsid w:val="00895191"/>
    <w:rsid w:val="008B4672"/>
    <w:rsid w:val="008C12D8"/>
    <w:rsid w:val="008D55C5"/>
    <w:rsid w:val="009308A7"/>
    <w:rsid w:val="00937A5D"/>
    <w:rsid w:val="00944B46"/>
    <w:rsid w:val="00982CF4"/>
    <w:rsid w:val="009C2B77"/>
    <w:rsid w:val="009C6F68"/>
    <w:rsid w:val="009C7BA7"/>
    <w:rsid w:val="00A017B8"/>
    <w:rsid w:val="00A217BC"/>
    <w:rsid w:val="00A22F06"/>
    <w:rsid w:val="00A5681C"/>
    <w:rsid w:val="00A777BD"/>
    <w:rsid w:val="00A900EA"/>
    <w:rsid w:val="00A91730"/>
    <w:rsid w:val="00A91C8E"/>
    <w:rsid w:val="00A9398D"/>
    <w:rsid w:val="00A9561D"/>
    <w:rsid w:val="00AD600D"/>
    <w:rsid w:val="00AE5A37"/>
    <w:rsid w:val="00B009EC"/>
    <w:rsid w:val="00B76FE5"/>
    <w:rsid w:val="00B81073"/>
    <w:rsid w:val="00B9272B"/>
    <w:rsid w:val="00BA3988"/>
    <w:rsid w:val="00BC044B"/>
    <w:rsid w:val="00BF04BF"/>
    <w:rsid w:val="00C000CE"/>
    <w:rsid w:val="00C41126"/>
    <w:rsid w:val="00C54DB9"/>
    <w:rsid w:val="00C630BF"/>
    <w:rsid w:val="00C762A0"/>
    <w:rsid w:val="00CC73B0"/>
    <w:rsid w:val="00CE0B6E"/>
    <w:rsid w:val="00D04B60"/>
    <w:rsid w:val="00D1549B"/>
    <w:rsid w:val="00DA4E44"/>
    <w:rsid w:val="00DA638A"/>
    <w:rsid w:val="00E07C57"/>
    <w:rsid w:val="00E103DF"/>
    <w:rsid w:val="00E539F0"/>
    <w:rsid w:val="00E9410B"/>
    <w:rsid w:val="00E96095"/>
    <w:rsid w:val="00EB6D7F"/>
    <w:rsid w:val="00EC1608"/>
    <w:rsid w:val="00EC406C"/>
    <w:rsid w:val="00EE5F2A"/>
    <w:rsid w:val="00F17C87"/>
    <w:rsid w:val="00F25170"/>
    <w:rsid w:val="00F37C0B"/>
    <w:rsid w:val="00FE3F09"/>
    <w:rsid w:val="00FF44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C0E26"/>
  <w15:chartTrackingRefBased/>
  <w15:docId w15:val="{6EEC40D6-2129-473A-AEA5-EF8F7C11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F67"/>
    <w:pPr>
      <w:spacing w:after="200" w:line="276" w:lineRule="auto"/>
    </w:pPr>
    <w:rPr>
      <w:rFonts w:cstheme="minorBidi"/>
      <w:szCs w:val="22"/>
      <w:lang w:val="en-GB"/>
    </w:rPr>
  </w:style>
  <w:style w:type="paragraph" w:styleId="Heading1">
    <w:name w:val="heading 1"/>
    <w:basedOn w:val="Normal"/>
    <w:next w:val="BodyText"/>
    <w:link w:val="Heading1Char"/>
    <w:uiPriority w:val="9"/>
    <w:qFormat/>
    <w:rsid w:val="00463F67"/>
    <w:pPr>
      <w:keepNext/>
      <w:numPr>
        <w:numId w:val="1"/>
      </w:numPr>
      <w:suppressAutoHyphens/>
      <w:spacing w:before="240" w:after="120" w:line="240" w:lineRule="auto"/>
      <w:outlineLvl w:val="0"/>
    </w:pPr>
    <w:rPr>
      <w:rFonts w:eastAsia="Noto Sans CJK SC" w:cs="FreeSans"/>
      <w:b/>
      <w:kern w:val="2"/>
      <w:sz w:val="32"/>
      <w:szCs w:val="36"/>
      <w:lang w:val="en-US" w:eastAsia="zh-CN" w:bidi="hi-IN"/>
    </w:rPr>
  </w:style>
  <w:style w:type="paragraph" w:styleId="Heading2">
    <w:name w:val="heading 2"/>
    <w:basedOn w:val="Normal"/>
    <w:next w:val="BodyText"/>
    <w:link w:val="Heading2Char"/>
    <w:uiPriority w:val="9"/>
    <w:unhideWhenUsed/>
    <w:qFormat/>
    <w:rsid w:val="00463F67"/>
    <w:pPr>
      <w:keepNext/>
      <w:numPr>
        <w:ilvl w:val="1"/>
        <w:numId w:val="1"/>
      </w:numPr>
      <w:suppressAutoHyphens/>
      <w:spacing w:before="200" w:after="120" w:line="240" w:lineRule="auto"/>
      <w:outlineLvl w:val="1"/>
    </w:pPr>
    <w:rPr>
      <w:rFonts w:eastAsia="Noto Sans CJK SC" w:cs="FreeSans"/>
      <w:b/>
      <w:kern w:val="2"/>
      <w:sz w:val="28"/>
      <w:szCs w:val="32"/>
      <w:lang w:val="en-US" w:eastAsia="zh-CN" w:bidi="hi-IN"/>
    </w:rPr>
  </w:style>
  <w:style w:type="paragraph" w:styleId="Heading3">
    <w:name w:val="heading 3"/>
    <w:basedOn w:val="Normal"/>
    <w:next w:val="BodyText"/>
    <w:link w:val="Heading3Char"/>
    <w:uiPriority w:val="9"/>
    <w:unhideWhenUsed/>
    <w:qFormat/>
    <w:rsid w:val="00463F67"/>
    <w:pPr>
      <w:keepNext/>
      <w:numPr>
        <w:ilvl w:val="2"/>
        <w:numId w:val="1"/>
      </w:numPr>
      <w:suppressAutoHyphens/>
      <w:spacing w:before="140" w:after="120" w:line="240" w:lineRule="auto"/>
      <w:outlineLvl w:val="2"/>
    </w:pPr>
    <w:rPr>
      <w:rFonts w:eastAsia="Noto Sans CJK SC" w:cs="FreeSans"/>
      <w:b/>
      <w:kern w:val="2"/>
      <w:szCs w:val="28"/>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F67"/>
    <w:rPr>
      <w:rFonts w:eastAsia="Noto Sans CJK SC" w:cs="FreeSans"/>
      <w:b/>
      <w:kern w:val="2"/>
      <w:sz w:val="32"/>
      <w:szCs w:val="36"/>
      <w:lang w:eastAsia="zh-CN" w:bidi="hi-IN"/>
    </w:rPr>
  </w:style>
  <w:style w:type="character" w:customStyle="1" w:styleId="Heading2Char">
    <w:name w:val="Heading 2 Char"/>
    <w:basedOn w:val="DefaultParagraphFont"/>
    <w:link w:val="Heading2"/>
    <w:uiPriority w:val="9"/>
    <w:rsid w:val="00463F67"/>
    <w:rPr>
      <w:rFonts w:eastAsia="Noto Sans CJK SC" w:cs="FreeSans"/>
      <w:b/>
      <w:kern w:val="2"/>
      <w:sz w:val="28"/>
      <w:szCs w:val="32"/>
      <w:lang w:eastAsia="zh-CN" w:bidi="hi-IN"/>
    </w:rPr>
  </w:style>
  <w:style w:type="character" w:customStyle="1" w:styleId="Heading3Char">
    <w:name w:val="Heading 3 Char"/>
    <w:basedOn w:val="DefaultParagraphFont"/>
    <w:link w:val="Heading3"/>
    <w:uiPriority w:val="9"/>
    <w:rsid w:val="00463F67"/>
    <w:rPr>
      <w:rFonts w:eastAsia="Noto Sans CJK SC" w:cs="FreeSans"/>
      <w:b/>
      <w:kern w:val="2"/>
      <w:szCs w:val="28"/>
      <w:lang w:eastAsia="zh-CN" w:bidi="hi-IN"/>
    </w:rPr>
  </w:style>
  <w:style w:type="paragraph" w:styleId="BodyText">
    <w:name w:val="Body Text"/>
    <w:basedOn w:val="Normal"/>
    <w:link w:val="BodyTextChar"/>
    <w:rsid w:val="00463F67"/>
    <w:pPr>
      <w:suppressAutoHyphens/>
      <w:spacing w:after="140"/>
    </w:pPr>
    <w:rPr>
      <w:rFonts w:eastAsia="Noto Serif CJK SC" w:cs="FreeSans"/>
      <w:kern w:val="2"/>
      <w:szCs w:val="24"/>
      <w:lang w:val="en-US" w:eastAsia="zh-CN" w:bidi="hi-IN"/>
    </w:rPr>
  </w:style>
  <w:style w:type="character" w:customStyle="1" w:styleId="BodyTextChar">
    <w:name w:val="Body Text Char"/>
    <w:basedOn w:val="DefaultParagraphFont"/>
    <w:link w:val="BodyText"/>
    <w:rsid w:val="00463F67"/>
    <w:rPr>
      <w:rFonts w:eastAsia="Noto Serif CJK SC" w:cs="FreeSans"/>
      <w:kern w:val="2"/>
      <w:lang w:eastAsia="zh-CN" w:bidi="hi-IN"/>
    </w:rPr>
  </w:style>
  <w:style w:type="paragraph" w:styleId="Header">
    <w:name w:val="header"/>
    <w:basedOn w:val="Normal"/>
    <w:link w:val="HeaderChar"/>
    <w:uiPriority w:val="99"/>
    <w:unhideWhenUsed/>
    <w:rsid w:val="00482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8A0"/>
    <w:rPr>
      <w:rFonts w:cstheme="minorBidi"/>
      <w:szCs w:val="22"/>
      <w:lang w:val="en-GB"/>
    </w:rPr>
  </w:style>
  <w:style w:type="paragraph" w:styleId="Footer">
    <w:name w:val="footer"/>
    <w:basedOn w:val="Normal"/>
    <w:link w:val="FooterChar"/>
    <w:uiPriority w:val="99"/>
    <w:unhideWhenUsed/>
    <w:rsid w:val="00482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8A0"/>
    <w:rPr>
      <w:rFonts w:cstheme="minorBidi"/>
      <w:szCs w:val="22"/>
      <w:lang w:val="en-GB"/>
    </w:rPr>
  </w:style>
  <w:style w:type="paragraph" w:customStyle="1" w:styleId="TableContents">
    <w:name w:val="Table Contents"/>
    <w:basedOn w:val="Normal"/>
    <w:qFormat/>
    <w:rsid w:val="00A22F06"/>
    <w:pPr>
      <w:widowControl w:val="0"/>
      <w:suppressLineNumbers/>
      <w:suppressAutoHyphens/>
      <w:spacing w:after="0" w:line="240" w:lineRule="auto"/>
    </w:pPr>
    <w:rPr>
      <w:rFonts w:eastAsia="Noto Serif CJK SC" w:cs="FreeSans"/>
      <w:kern w:val="2"/>
      <w:szCs w:val="24"/>
      <w:lang w:val="en-US" w:eastAsia="zh-CN" w:bidi="hi-IN"/>
    </w:rPr>
  </w:style>
  <w:style w:type="paragraph" w:customStyle="1" w:styleId="Table">
    <w:name w:val="Table"/>
    <w:basedOn w:val="Caption"/>
    <w:qFormat/>
    <w:rsid w:val="00A22F06"/>
    <w:pPr>
      <w:suppressLineNumbers/>
      <w:suppressAutoHyphens/>
      <w:spacing w:before="120" w:after="120"/>
    </w:pPr>
    <w:rPr>
      <w:rFonts w:eastAsia="Noto Serif CJK SC" w:cs="FreeSans"/>
      <w:color w:val="auto"/>
      <w:kern w:val="2"/>
      <w:sz w:val="24"/>
      <w:szCs w:val="24"/>
      <w:lang w:val="en-US" w:eastAsia="zh-CN" w:bidi="hi-IN"/>
    </w:rPr>
  </w:style>
  <w:style w:type="paragraph" w:styleId="Caption">
    <w:name w:val="caption"/>
    <w:basedOn w:val="Normal"/>
    <w:next w:val="Normal"/>
    <w:uiPriority w:val="35"/>
    <w:semiHidden/>
    <w:unhideWhenUsed/>
    <w:qFormat/>
    <w:rsid w:val="00A22F06"/>
    <w:pPr>
      <w:spacing w:line="240" w:lineRule="auto"/>
    </w:pPr>
    <w:rPr>
      <w:i/>
      <w:iCs/>
      <w:color w:val="44546A" w:themeColor="text2"/>
      <w:sz w:val="18"/>
      <w:szCs w:val="18"/>
    </w:rPr>
  </w:style>
  <w:style w:type="character" w:customStyle="1" w:styleId="NumberingSymbols">
    <w:name w:val="Numbering Symbols"/>
    <w:qFormat/>
    <w:rsid w:val="00A22F06"/>
  </w:style>
  <w:style w:type="paragraph" w:customStyle="1" w:styleId="Bibliography1">
    <w:name w:val="Bibliography 1"/>
    <w:basedOn w:val="Normal"/>
    <w:qFormat/>
    <w:rsid w:val="00CE0B6E"/>
    <w:pPr>
      <w:suppressLineNumbers/>
      <w:suppressAutoHyphens/>
      <w:spacing w:after="0" w:line="480" w:lineRule="atLeast"/>
      <w:ind w:left="720" w:hanging="720"/>
    </w:pPr>
    <w:rPr>
      <w:rFonts w:eastAsia="Noto Serif CJK SC" w:cs="FreeSans"/>
      <w:kern w:val="2"/>
      <w:szCs w:val="24"/>
    </w:rPr>
  </w:style>
  <w:style w:type="table" w:styleId="TableGrid">
    <w:name w:val="Table Grid"/>
    <w:basedOn w:val="TableNormal"/>
    <w:uiPriority w:val="39"/>
    <w:rsid w:val="00895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547220">
      <w:bodyDiv w:val="1"/>
      <w:marLeft w:val="0"/>
      <w:marRight w:val="0"/>
      <w:marTop w:val="0"/>
      <w:marBottom w:val="0"/>
      <w:divBdr>
        <w:top w:val="none" w:sz="0" w:space="0" w:color="auto"/>
        <w:left w:val="none" w:sz="0" w:space="0" w:color="auto"/>
        <w:bottom w:val="none" w:sz="0" w:space="0" w:color="auto"/>
        <w:right w:val="none" w:sz="0" w:space="0" w:color="auto"/>
      </w:divBdr>
    </w:div>
    <w:div w:id="118470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1516</TotalTime>
  <Pages>9</Pages>
  <Words>2863</Words>
  <Characters>16323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Editor-23</cp:lastModifiedBy>
  <cp:revision>70</cp:revision>
  <dcterms:created xsi:type="dcterms:W3CDTF">2024-05-03T20:13:00Z</dcterms:created>
  <dcterms:modified xsi:type="dcterms:W3CDTF">2024-05-08T07:45:00Z</dcterms:modified>
</cp:coreProperties>
</file>