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6EE96" w14:textId="1C40A4A5" w:rsidR="00CA6970" w:rsidRPr="00CA6970" w:rsidRDefault="00CA6970" w:rsidP="00441B6F">
      <w:pPr>
        <w:pStyle w:val="Author"/>
        <w:spacing w:line="240" w:lineRule="auto"/>
        <w:rPr>
          <w:rFonts w:ascii="Arial" w:hAnsi="Arial" w:cs="Arial"/>
          <w:bCs/>
          <w:iCs/>
          <w:kern w:val="28"/>
          <w:sz w:val="28"/>
          <w:szCs w:val="16"/>
          <w:u w:val="single"/>
        </w:rPr>
      </w:pPr>
      <w:r w:rsidRPr="00CA6970">
        <w:rPr>
          <w:rFonts w:ascii="Arial" w:hAnsi="Arial" w:cs="Arial"/>
          <w:bCs/>
          <w:iCs/>
          <w:kern w:val="28"/>
          <w:sz w:val="28"/>
          <w:szCs w:val="16"/>
          <w:u w:val="single"/>
        </w:rPr>
        <w:t>Original Research Article</w:t>
      </w:r>
    </w:p>
    <w:p w14:paraId="0F7B604A" w14:textId="050A6FFD" w:rsidR="001134BA" w:rsidRDefault="001134BA" w:rsidP="00441B6F">
      <w:pPr>
        <w:pStyle w:val="Author"/>
        <w:spacing w:line="240" w:lineRule="auto"/>
        <w:rPr>
          <w:rFonts w:ascii="Arial" w:hAnsi="Arial" w:cs="Arial"/>
          <w:bCs/>
          <w:iCs/>
          <w:kern w:val="28"/>
          <w:sz w:val="36"/>
        </w:rPr>
      </w:pPr>
      <w:r w:rsidRPr="001134BA">
        <w:rPr>
          <w:rFonts w:ascii="Arial" w:hAnsi="Arial" w:cs="Arial"/>
          <w:bCs/>
          <w:iCs/>
          <w:kern w:val="28"/>
          <w:sz w:val="36"/>
        </w:rPr>
        <w:t>JWST/MIRI Observations of PAH Emission and Evolution in H II Regions of NGC 5457</w:t>
      </w:r>
    </w:p>
    <w:p w14:paraId="3EE1D364" w14:textId="13A6C958" w:rsidR="002C57D2" w:rsidRDefault="002C57D2" w:rsidP="00441B6F">
      <w:pPr>
        <w:pStyle w:val="Affiliation"/>
        <w:spacing w:after="0" w:line="240" w:lineRule="auto"/>
        <w:jc w:val="both"/>
        <w:rPr>
          <w:rFonts w:ascii="Arial" w:hAnsi="Arial" w:cs="Arial"/>
        </w:rPr>
      </w:pPr>
    </w:p>
    <w:p w14:paraId="0086E959" w14:textId="77777777" w:rsidR="00493C6B" w:rsidRPr="00FB3A86" w:rsidRDefault="00493C6B" w:rsidP="00441B6F">
      <w:pPr>
        <w:pStyle w:val="Affiliation"/>
        <w:spacing w:after="0" w:line="240" w:lineRule="auto"/>
        <w:jc w:val="both"/>
        <w:rPr>
          <w:rFonts w:ascii="Arial" w:hAnsi="Arial" w:cs="Arial"/>
        </w:rPr>
      </w:pPr>
    </w:p>
    <w:p w14:paraId="787788DA" w14:textId="77777777" w:rsidR="00B01FCD" w:rsidRPr="00FB3A86" w:rsidRDefault="004C6449" w:rsidP="00441B6F">
      <w:pPr>
        <w:pStyle w:val="Copyright"/>
        <w:spacing w:after="0" w:line="240" w:lineRule="auto"/>
        <w:jc w:val="both"/>
        <w:rPr>
          <w:rFonts w:ascii="Arial" w:hAnsi="Arial" w:cs="Arial"/>
        </w:rPr>
        <w:sectPr w:rsidR="00B01FCD" w:rsidRPr="00FB3A86" w:rsidSect="00493C6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F88FF01" wp14:editId="09238D74">
                <wp:extent cx="5303520" cy="635"/>
                <wp:effectExtent l="0" t="12700" r="5080" b="12065"/>
                <wp:docPr id="57401554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41D1396" id="_x0000_t32" coordsize="21600,21600" o:spt="32" o:oned="t" path="m,l21600,21600e" filled="f">
                <v:path arrowok="t" fillok="f" o:connecttype="none"/>
                <o:lock v:ext="edit" shapetype="t"/>
              </v:shapetype>
              <v:shape id="AutoShape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Pr>
          <w:rFonts w:ascii="Arial" w:hAnsi="Arial" w:cs="Arial"/>
        </w:rPr>
        <w:t>.</w:t>
      </w:r>
    </w:p>
    <w:p w14:paraId="1CCA181F" w14:textId="7E7D15A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00C199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7247F23" w14:textId="77777777" w:rsidTr="001E44FE">
        <w:tc>
          <w:tcPr>
            <w:tcW w:w="9576" w:type="dxa"/>
            <w:shd w:val="clear" w:color="auto" w:fill="F2F2F2"/>
          </w:tcPr>
          <w:p w14:paraId="3EB9CC2C" w14:textId="6F6AD2A8" w:rsidR="00AE6FE1" w:rsidRPr="00AE6FE1" w:rsidRDefault="00AE6FE1" w:rsidP="00AE6FE1">
            <w:pPr>
              <w:pStyle w:val="Body"/>
              <w:rPr>
                <w:rFonts w:ascii="Arial" w:eastAsia="Calibri" w:hAnsi="Arial" w:cs="Arial"/>
                <w:szCs w:val="22"/>
              </w:rPr>
            </w:pPr>
            <w:r w:rsidRPr="00AE6FE1">
              <w:rPr>
                <w:rFonts w:ascii="Arial" w:eastAsia="Calibri" w:hAnsi="Arial" w:cs="Arial"/>
                <w:b/>
                <w:bCs/>
                <w:szCs w:val="22"/>
              </w:rPr>
              <w:t>Aims:</w:t>
            </w:r>
            <w:r w:rsidRPr="00AE6FE1">
              <w:rPr>
                <w:rFonts w:ascii="Arial" w:eastAsia="Calibri" w:hAnsi="Arial" w:cs="Arial"/>
                <w:szCs w:val="22"/>
              </w:rPr>
              <w:t xml:space="preserve"> To investigate the physical processing of PAHs in high-mass star-forming environments. This study aims to characterize how the PAH ionization fraction varies across different H II regions and to search for spectroscopic evidence of the processing or destruction of PAH molecules in intense radiation fields.</w:t>
            </w:r>
          </w:p>
          <w:p w14:paraId="6256ED0E" w14:textId="77777777" w:rsidR="00AE6FE1" w:rsidRPr="00AE6FE1" w:rsidRDefault="00AE6FE1" w:rsidP="00AE6FE1">
            <w:pPr>
              <w:pStyle w:val="Body"/>
              <w:rPr>
                <w:rFonts w:ascii="Arial" w:eastAsia="Calibri" w:hAnsi="Arial" w:cs="Arial"/>
                <w:szCs w:val="22"/>
              </w:rPr>
            </w:pPr>
            <w:r w:rsidRPr="00AE6FE1">
              <w:rPr>
                <w:rFonts w:ascii="Arial" w:eastAsia="Calibri" w:hAnsi="Arial" w:cs="Arial"/>
                <w:b/>
                <w:bCs/>
                <w:szCs w:val="22"/>
              </w:rPr>
              <w:t>Methodology:</w:t>
            </w:r>
            <w:r w:rsidRPr="00AE6FE1">
              <w:rPr>
                <w:rFonts w:ascii="Arial" w:eastAsia="Calibri" w:hAnsi="Arial" w:cs="Arial"/>
                <w:szCs w:val="22"/>
              </w:rPr>
              <w:t xml:space="preserve"> We utilized mid-infrared integral field spectroscopic data from the JWST's Mid-Infrared Instrument (MIRI) in its Medium Resolution Spectroscopy (MRS) mode. One-dimensional spectra were extracted for each of the four H II regions. We measured the integrated fluxes of the prominent PAH emission features at 7.7, 8.6, and 11.3 µm and calculated key diagnostic flux ratios to probe the physical state of the PAH population.</w:t>
            </w:r>
          </w:p>
          <w:p w14:paraId="1EA07CDB" w14:textId="3573BBF1" w:rsidR="00AE6FE1" w:rsidRDefault="00AE6FE1" w:rsidP="00AE6FE1">
            <w:pPr>
              <w:pStyle w:val="Body"/>
              <w:rPr>
                <w:rFonts w:ascii="Arial" w:eastAsia="Calibri" w:hAnsi="Arial" w:cs="Arial"/>
                <w:szCs w:val="22"/>
              </w:rPr>
            </w:pPr>
            <w:r w:rsidRPr="00AE6FE1">
              <w:rPr>
                <w:rFonts w:ascii="Arial" w:eastAsia="Calibri" w:hAnsi="Arial" w:cs="Arial"/>
                <w:b/>
                <w:bCs/>
                <w:szCs w:val="22"/>
              </w:rPr>
              <w:t>Results:</w:t>
            </w:r>
            <w:r w:rsidRPr="00AE6FE1">
              <w:rPr>
                <w:rFonts w:ascii="Arial" w:eastAsia="Calibri" w:hAnsi="Arial" w:cs="Arial"/>
                <w:szCs w:val="22"/>
              </w:rPr>
              <w:t xml:space="preserve"> The four H II regions </w:t>
            </w:r>
            <w:r w:rsidR="009558AE">
              <w:rPr>
                <w:rFonts w:ascii="Arial" w:eastAsia="Calibri" w:hAnsi="Arial" w:cs="Arial"/>
                <w:szCs w:val="22"/>
              </w:rPr>
              <w:t xml:space="preserve">in NGC 5457 </w:t>
            </w:r>
            <w:r w:rsidRPr="00AE6FE1">
              <w:rPr>
                <w:rFonts w:ascii="Arial" w:eastAsia="Calibri" w:hAnsi="Arial" w:cs="Arial"/>
                <w:szCs w:val="22"/>
              </w:rPr>
              <w:t>exhibit significant diversity in their PAH spectral characteristics. The diagnostic F(8.6)/</w:t>
            </w:r>
            <w:proofErr w:type="gramStart"/>
            <w:r w:rsidRPr="00AE6FE1">
              <w:rPr>
                <w:rFonts w:ascii="Arial" w:eastAsia="Calibri" w:hAnsi="Arial" w:cs="Arial"/>
                <w:szCs w:val="22"/>
              </w:rPr>
              <w:t>F(</w:t>
            </w:r>
            <w:proofErr w:type="gramEnd"/>
            <w:r w:rsidRPr="00AE6FE1">
              <w:rPr>
                <w:rFonts w:ascii="Arial" w:eastAsia="Calibri" w:hAnsi="Arial" w:cs="Arial"/>
                <w:szCs w:val="22"/>
              </w:rPr>
              <w:t>11.3) ratio, a tracer of PAH ionization, varies from 0.23 to 0.62 across the sample. The region with the highest ionization (highest F(8.6)/</w:t>
            </w:r>
            <w:proofErr w:type="gramStart"/>
            <w:r w:rsidRPr="00AE6FE1">
              <w:rPr>
                <w:rFonts w:ascii="Arial" w:eastAsia="Calibri" w:hAnsi="Arial" w:cs="Arial"/>
                <w:szCs w:val="22"/>
              </w:rPr>
              <w:t>F(</w:t>
            </w:r>
            <w:proofErr w:type="gramEnd"/>
            <w:r w:rsidRPr="00AE6FE1">
              <w:rPr>
                <w:rFonts w:ascii="Arial" w:eastAsia="Calibri" w:hAnsi="Arial" w:cs="Arial"/>
                <w:szCs w:val="22"/>
              </w:rPr>
              <w:t>11.3)) shows the lowest F(7.7)/F(8.6) ratio (1.13), while the region with the lowest ionization has the highest F(7.7)/F(8.6) ratio (2.38).</w:t>
            </w:r>
          </w:p>
          <w:p w14:paraId="6D5DEB9B" w14:textId="0F1B1FD2" w:rsidR="00505F06" w:rsidRPr="00BA1B01" w:rsidRDefault="00AE6FE1" w:rsidP="00AE6FE1">
            <w:pPr>
              <w:pStyle w:val="Body"/>
              <w:rPr>
                <w:rFonts w:ascii="Arial" w:eastAsia="Calibri" w:hAnsi="Arial" w:cs="Arial"/>
                <w:szCs w:val="22"/>
              </w:rPr>
            </w:pPr>
            <w:r w:rsidRPr="00AE6FE1">
              <w:rPr>
                <w:rFonts w:ascii="Arial" w:eastAsia="Calibri" w:hAnsi="Arial" w:cs="Arial"/>
                <w:b/>
                <w:bCs/>
                <w:szCs w:val="22"/>
              </w:rPr>
              <w:t>Conclusion:</w:t>
            </w:r>
            <w:r w:rsidRPr="00AE6FE1">
              <w:rPr>
                <w:rFonts w:ascii="Arial" w:eastAsia="Calibri" w:hAnsi="Arial" w:cs="Arial"/>
                <w:szCs w:val="22"/>
              </w:rPr>
              <w:t xml:space="preserve"> The observed spectral diversity is primarily driven by variations in the PAH ionization state, which is governed by the local radiation field intensity. The strong anti-correlation between the F(7.7)/</w:t>
            </w:r>
            <w:proofErr w:type="gramStart"/>
            <w:r w:rsidRPr="00AE6FE1">
              <w:rPr>
                <w:rFonts w:ascii="Arial" w:eastAsia="Calibri" w:hAnsi="Arial" w:cs="Arial"/>
                <w:szCs w:val="22"/>
              </w:rPr>
              <w:t>F(</w:t>
            </w:r>
            <w:proofErr w:type="gramEnd"/>
            <w:r w:rsidRPr="00AE6FE1">
              <w:rPr>
                <w:rFonts w:ascii="Arial" w:eastAsia="Calibri" w:hAnsi="Arial" w:cs="Arial"/>
                <w:szCs w:val="22"/>
              </w:rPr>
              <w:t>8.6) and F(8.6)/F(11.3) ratios provides a new, powerful diagnostic for PAH processing. This trend is interpreted as an evolutionary sequence where increasingly harsh radiation fields not only ionize the PAH population but also alter the surviving cations, consistent with the selective destruction of the carriers of the 7.7 µm feature.</w:t>
            </w:r>
          </w:p>
        </w:tc>
      </w:tr>
    </w:tbl>
    <w:p w14:paraId="5E2E35DC" w14:textId="77777777" w:rsidR="00636EB2" w:rsidRDefault="00636EB2" w:rsidP="00441B6F">
      <w:pPr>
        <w:pStyle w:val="Body"/>
        <w:spacing w:after="0"/>
        <w:rPr>
          <w:rFonts w:ascii="Arial" w:hAnsi="Arial" w:cs="Arial"/>
          <w:i/>
        </w:rPr>
      </w:pPr>
    </w:p>
    <w:p w14:paraId="7D572D5F" w14:textId="3D0A0490" w:rsidR="0024282C" w:rsidRDefault="00AE6FE1" w:rsidP="00441B6F">
      <w:pPr>
        <w:pStyle w:val="Body"/>
        <w:spacing w:after="0"/>
        <w:rPr>
          <w:rFonts w:ascii="Arial" w:hAnsi="Arial" w:cs="Arial"/>
          <w:i/>
          <w:sz w:val="18"/>
        </w:rPr>
      </w:pPr>
      <w:r w:rsidRPr="00AE6FE1">
        <w:rPr>
          <w:rFonts w:ascii="Arial" w:hAnsi="Arial" w:cs="Arial"/>
          <w:i/>
        </w:rPr>
        <w:t>Keywords: Polycyclic Aromatic Hydrocarbons, H II regions, JWST, MIRI, interstellar medium, star formation, NGC 5457, infrared spectroscopy</w:t>
      </w:r>
    </w:p>
    <w:p w14:paraId="14748BE7" w14:textId="77777777" w:rsidR="00505F06" w:rsidRPr="00A24E7E" w:rsidRDefault="00505F06" w:rsidP="00441B6F">
      <w:pPr>
        <w:pStyle w:val="Body"/>
        <w:spacing w:after="0"/>
        <w:rPr>
          <w:rFonts w:ascii="Arial" w:hAnsi="Arial" w:cs="Arial"/>
          <w:i/>
        </w:rPr>
      </w:pPr>
    </w:p>
    <w:p w14:paraId="5627D018" w14:textId="0D03291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06704E1" w14:textId="77777777" w:rsidR="00790ADA" w:rsidRPr="00FB3A86" w:rsidRDefault="00790ADA" w:rsidP="00441B6F">
      <w:pPr>
        <w:pStyle w:val="AbstHead"/>
        <w:spacing w:after="0"/>
        <w:jc w:val="both"/>
        <w:rPr>
          <w:rFonts w:ascii="Arial" w:hAnsi="Arial" w:cs="Arial"/>
        </w:rPr>
      </w:pPr>
    </w:p>
    <w:p w14:paraId="469504EE" w14:textId="591F7628" w:rsidR="00A15E55" w:rsidRPr="00A15E55" w:rsidRDefault="00A15E55" w:rsidP="00A15E55">
      <w:pPr>
        <w:pStyle w:val="AbstHead"/>
        <w:jc w:val="both"/>
        <w:rPr>
          <w:rFonts w:ascii="Arial" w:hAnsi="Arial" w:cs="Arial"/>
          <w:b w:val="0"/>
          <w:caps w:val="0"/>
          <w:sz w:val="20"/>
        </w:rPr>
      </w:pPr>
      <w:r w:rsidRPr="00A15E55">
        <w:rPr>
          <w:rFonts w:ascii="Arial" w:hAnsi="Arial" w:cs="Arial"/>
          <w:b w:val="0"/>
          <w:caps w:val="0"/>
          <w:sz w:val="20"/>
        </w:rPr>
        <w:t>Polycyclic aromatic hydrocarbons are a ubiquitous and fundamental component of the interstellar medium in star-forming galaxies (</w:t>
      </w:r>
      <w:proofErr w:type="spellStart"/>
      <w:r w:rsidRPr="00A15E55">
        <w:rPr>
          <w:rFonts w:ascii="Arial" w:hAnsi="Arial" w:cs="Arial"/>
          <w:b w:val="0"/>
          <w:caps w:val="0"/>
          <w:sz w:val="20"/>
        </w:rPr>
        <w:t>Khramtsova</w:t>
      </w:r>
      <w:proofErr w:type="spellEnd"/>
      <w:r w:rsidRPr="00A15E55">
        <w:rPr>
          <w:rFonts w:ascii="Arial" w:hAnsi="Arial" w:cs="Arial"/>
          <w:b w:val="0"/>
          <w:caps w:val="0"/>
          <w:sz w:val="20"/>
        </w:rPr>
        <w:t xml:space="preserve"> et al., 2013; Li, 2020; Murata et al., 2017; Ujjwal et al., 2024). These large, carbonaceous molecules, thought to consist of tens to hundreds of carbon atoms (Murata et al., 2017</w:t>
      </w:r>
      <w:r w:rsidR="00801060">
        <w:rPr>
          <w:rFonts w:ascii="Arial" w:hAnsi="Arial" w:cs="Arial"/>
          <w:b w:val="0"/>
          <w:caps w:val="0"/>
          <w:sz w:val="20"/>
        </w:rPr>
        <w:t xml:space="preserve">; </w:t>
      </w:r>
      <w:r w:rsidR="00801060" w:rsidRPr="00801060">
        <w:rPr>
          <w:rFonts w:ascii="Arial" w:hAnsi="Arial" w:cs="Arial"/>
          <w:b w:val="0"/>
          <w:caps w:val="0"/>
          <w:sz w:val="20"/>
        </w:rPr>
        <w:t xml:space="preserve">Pathak &amp; Rastogi, </w:t>
      </w:r>
      <w:r w:rsidR="00514274">
        <w:rPr>
          <w:rFonts w:ascii="Arial" w:hAnsi="Arial" w:cs="Arial"/>
          <w:b w:val="0"/>
          <w:caps w:val="0"/>
          <w:sz w:val="20"/>
        </w:rPr>
        <w:t>2006;</w:t>
      </w:r>
      <w:r w:rsidR="00317AF1">
        <w:rPr>
          <w:rFonts w:ascii="Arial" w:hAnsi="Arial" w:cs="Arial"/>
          <w:b w:val="0"/>
          <w:caps w:val="0"/>
          <w:sz w:val="20"/>
        </w:rPr>
        <w:t xml:space="preserve"> </w:t>
      </w:r>
      <w:r w:rsidR="00317AF1" w:rsidRPr="00317AF1">
        <w:rPr>
          <w:rFonts w:ascii="Arial" w:hAnsi="Arial" w:cs="Arial"/>
          <w:b w:val="0"/>
          <w:caps w:val="0"/>
          <w:sz w:val="20"/>
        </w:rPr>
        <w:t>Pathak &amp; Rastogi, 200</w:t>
      </w:r>
      <w:r w:rsidR="00317AF1">
        <w:rPr>
          <w:rFonts w:ascii="Arial" w:hAnsi="Arial" w:cs="Arial"/>
          <w:b w:val="0"/>
          <w:caps w:val="0"/>
          <w:sz w:val="20"/>
        </w:rPr>
        <w:t>8</w:t>
      </w:r>
      <w:r w:rsidRPr="00A15E55">
        <w:rPr>
          <w:rFonts w:ascii="Arial" w:hAnsi="Arial" w:cs="Arial"/>
          <w:b w:val="0"/>
          <w:caps w:val="0"/>
          <w:sz w:val="20"/>
        </w:rPr>
        <w:t>), are the primary carriers of the prominent mid-infrared emission features observed at 3.3, 6.2, 7.7, 8.6, 11.3, 12.7, and 17 μm (</w:t>
      </w:r>
      <w:r w:rsidR="00FE3C3A" w:rsidRPr="00FE3C3A">
        <w:rPr>
          <w:rFonts w:ascii="Arial" w:hAnsi="Arial" w:cs="Arial"/>
          <w:b w:val="0"/>
          <w:caps w:val="0"/>
          <w:sz w:val="20"/>
        </w:rPr>
        <w:t>Tielens</w:t>
      </w:r>
      <w:r w:rsidR="00514274">
        <w:rPr>
          <w:rFonts w:ascii="Arial" w:hAnsi="Arial" w:cs="Arial"/>
          <w:b w:val="0"/>
          <w:caps w:val="0"/>
          <w:sz w:val="20"/>
        </w:rPr>
        <w:t>,</w:t>
      </w:r>
      <w:r w:rsidR="00FE3C3A">
        <w:rPr>
          <w:rFonts w:ascii="Arial" w:hAnsi="Arial" w:cs="Arial"/>
          <w:b w:val="0"/>
          <w:caps w:val="0"/>
          <w:sz w:val="20"/>
        </w:rPr>
        <w:t xml:space="preserve"> 2008; </w:t>
      </w:r>
      <w:r w:rsidRPr="00A15E55">
        <w:rPr>
          <w:rFonts w:ascii="Arial" w:hAnsi="Arial" w:cs="Arial"/>
          <w:b w:val="0"/>
          <w:caps w:val="0"/>
          <w:sz w:val="20"/>
        </w:rPr>
        <w:t xml:space="preserve">Li, 2020;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et al., 2023; </w:t>
      </w:r>
      <w:proofErr w:type="spellStart"/>
      <w:r w:rsidRPr="00A15E55">
        <w:rPr>
          <w:rFonts w:ascii="Arial" w:hAnsi="Arial" w:cs="Arial"/>
          <w:b w:val="0"/>
          <w:caps w:val="0"/>
          <w:sz w:val="20"/>
        </w:rPr>
        <w:t>Rigopoulou</w:t>
      </w:r>
      <w:proofErr w:type="spellEnd"/>
      <w:r w:rsidRPr="00A15E55">
        <w:rPr>
          <w:rFonts w:ascii="Arial" w:hAnsi="Arial" w:cs="Arial"/>
          <w:b w:val="0"/>
          <w:caps w:val="0"/>
          <w:sz w:val="20"/>
        </w:rPr>
        <w:t xml:space="preserve"> et al., 2024). Collectively, the luminosity from these bands can account for up to 20% of a galaxy's total infrared output (Hensley et al., 2022; Sandstrom et al., 2010). The emission mechanism is understood to be a process of stochastic heating (Draine &amp; Li, 2001; </w:t>
      </w:r>
      <w:proofErr w:type="spellStart"/>
      <w:r w:rsidRPr="00A15E55">
        <w:rPr>
          <w:rFonts w:ascii="Arial" w:hAnsi="Arial" w:cs="Arial"/>
          <w:b w:val="0"/>
          <w:caps w:val="0"/>
          <w:sz w:val="20"/>
        </w:rPr>
        <w:t>Pavlyuchenkov</w:t>
      </w:r>
      <w:proofErr w:type="spellEnd"/>
      <w:r w:rsidRPr="00A15E55">
        <w:rPr>
          <w:rFonts w:ascii="Arial" w:hAnsi="Arial" w:cs="Arial"/>
          <w:b w:val="0"/>
          <w:caps w:val="0"/>
          <w:sz w:val="20"/>
        </w:rPr>
        <w:t xml:space="preserve"> et al., 2012): a single ultraviolet or optical photon from nearby stars is absorbed by a PAH molecule, which is rapidly heated to a high internal temperature. The </w:t>
      </w:r>
      <w:r w:rsidRPr="00A15E55">
        <w:rPr>
          <w:rFonts w:ascii="Arial" w:hAnsi="Arial" w:cs="Arial"/>
          <w:b w:val="0"/>
          <w:caps w:val="0"/>
          <w:sz w:val="20"/>
        </w:rPr>
        <w:lastRenderedPageBreak/>
        <w:t>molecule then relaxes through a cascade of vibrational transitions, emitting photons at characteristic MIR wavelengths corresponding to its fundamental C-C and C-H stretching and bending modes (Draine et al., 2021; Sandstrom et al., 2010).</w:t>
      </w:r>
    </w:p>
    <w:p w14:paraId="10E95D8D" w14:textId="373E9FAF" w:rsidR="00A15E55" w:rsidRPr="00A15E55" w:rsidRDefault="00A15E55" w:rsidP="00A15E55">
      <w:pPr>
        <w:pStyle w:val="AbstHead"/>
        <w:jc w:val="both"/>
        <w:rPr>
          <w:rFonts w:ascii="Arial" w:hAnsi="Arial" w:cs="Arial"/>
          <w:b w:val="0"/>
          <w:caps w:val="0"/>
          <w:sz w:val="20"/>
        </w:rPr>
      </w:pPr>
      <w:r w:rsidRPr="00A15E55">
        <w:rPr>
          <w:rFonts w:ascii="Arial" w:hAnsi="Arial" w:cs="Arial"/>
          <w:b w:val="0"/>
          <w:caps w:val="0"/>
          <w:sz w:val="20"/>
        </w:rPr>
        <w:t xml:space="preserve">The diagnostic power of these features is immense. The relative strengths and detailed profiles of the PAH bands serve as sensitive probes of the local physical conditions within the ISM (Knight et al., 2021;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et al., 2022; Peeters et al., 200</w:t>
      </w:r>
      <w:r w:rsidR="00966B6B">
        <w:rPr>
          <w:rFonts w:ascii="Arial" w:hAnsi="Arial" w:cs="Arial"/>
          <w:b w:val="0"/>
          <w:caps w:val="0"/>
          <w:sz w:val="20"/>
        </w:rPr>
        <w:t>2</w:t>
      </w:r>
      <w:r w:rsidRPr="00A15E55">
        <w:rPr>
          <w:rFonts w:ascii="Arial" w:hAnsi="Arial" w:cs="Arial"/>
          <w:b w:val="0"/>
          <w:caps w:val="0"/>
          <w:sz w:val="20"/>
        </w:rPr>
        <w:t>). For instance, the features at 3.3 and 11.3 μm are attributed to C-H out-of-plane bending modes in neutral PAHs (Mackie et al., 2015; Maltseva et al., 2016), while the 6.2 and 7.7 μm features are primarily associated with C-C stretching modes in ionized PAHs (cations) (</w:t>
      </w:r>
      <w:proofErr w:type="spellStart"/>
      <w:r w:rsidRPr="00A15E55">
        <w:rPr>
          <w:rFonts w:ascii="Arial" w:hAnsi="Arial" w:cs="Arial"/>
          <w:b w:val="0"/>
          <w:caps w:val="0"/>
          <w:sz w:val="20"/>
        </w:rPr>
        <w:t>Dontot</w:t>
      </w:r>
      <w:proofErr w:type="spellEnd"/>
      <w:r w:rsidRPr="00A15E55">
        <w:rPr>
          <w:rFonts w:ascii="Arial" w:hAnsi="Arial" w:cs="Arial"/>
          <w:b w:val="0"/>
          <w:caps w:val="0"/>
          <w:sz w:val="20"/>
        </w:rPr>
        <w:t xml:space="preserve"> et al., 2020; Wenzel et al., 2025). Consequently, ratios such as the 11.3/7.7 μm flux ratio can effectively trace the PAH ionization fraction, providing a window into the charge state of the interstellar grain population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et al., 2022; Sidhu et al., 2022). Similarly, the relative strength of the 3.3 μm feature, which arises from smaller PAHs, compared to the longer-wavelength features, which are more prominent in larger molecules, can be used to diagnose the average size of the PAH population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et al., 2020;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w:t>
      </w:r>
      <w:proofErr w:type="spellStart"/>
      <w:r w:rsidRPr="00A15E55">
        <w:rPr>
          <w:rFonts w:ascii="Arial" w:hAnsi="Arial" w:cs="Arial"/>
          <w:b w:val="0"/>
          <w:caps w:val="0"/>
          <w:sz w:val="20"/>
        </w:rPr>
        <w:t>Peeters</w:t>
      </w:r>
      <w:proofErr w:type="spellEnd"/>
      <w:r w:rsidRPr="00A15E55">
        <w:rPr>
          <w:rFonts w:ascii="Arial" w:hAnsi="Arial" w:cs="Arial"/>
          <w:b w:val="0"/>
          <w:caps w:val="0"/>
          <w:sz w:val="20"/>
        </w:rPr>
        <w:t xml:space="preserve">, &amp; </w:t>
      </w:r>
      <w:proofErr w:type="spellStart"/>
      <w:r w:rsidRPr="00A15E55">
        <w:rPr>
          <w:rFonts w:ascii="Arial" w:hAnsi="Arial" w:cs="Arial"/>
          <w:b w:val="0"/>
          <w:caps w:val="0"/>
          <w:sz w:val="20"/>
        </w:rPr>
        <w:t>Ricca</w:t>
      </w:r>
      <w:proofErr w:type="spellEnd"/>
      <w:r w:rsidRPr="00A15E55">
        <w:rPr>
          <w:rFonts w:ascii="Arial" w:hAnsi="Arial" w:cs="Arial"/>
          <w:b w:val="0"/>
          <w:caps w:val="0"/>
          <w:sz w:val="20"/>
        </w:rPr>
        <w:t>, 2023</w:t>
      </w:r>
      <w:r w:rsidR="00F923A4">
        <w:rPr>
          <w:rFonts w:ascii="Arial" w:hAnsi="Arial" w:cs="Arial"/>
          <w:b w:val="0"/>
          <w:caps w:val="0"/>
          <w:sz w:val="20"/>
        </w:rPr>
        <w:t xml:space="preserve">; </w:t>
      </w:r>
      <w:r w:rsidR="00F923A4" w:rsidRPr="00F923A4">
        <w:rPr>
          <w:rFonts w:ascii="Arial" w:hAnsi="Arial" w:cs="Arial"/>
          <w:b w:val="0"/>
          <w:caps w:val="0"/>
          <w:sz w:val="20"/>
        </w:rPr>
        <w:t>Anand et al., 2025</w:t>
      </w:r>
      <w:r w:rsidRPr="00A15E55">
        <w:rPr>
          <w:rFonts w:ascii="Arial" w:hAnsi="Arial" w:cs="Arial"/>
          <w:b w:val="0"/>
          <w:caps w:val="0"/>
          <w:sz w:val="20"/>
        </w:rPr>
        <w:t>). Despite this rich diagnostic potential, our understanding of the PAH life cycle has been historically limited by observational constraints. Spatially resolving these variations within diverse galactic environments, from the harsh, ionized interiors of HII regions to the more quiescent photodissociation regions that envelop them, has been challenging, preventing the construction of a comprehensive, observationally grounded model of how PAH properties are shaped by their surroundings (Knight et al., 2021; Zang et al., 2022).</w:t>
      </w:r>
    </w:p>
    <w:p w14:paraId="6F7C3151" w14:textId="77777777" w:rsidR="00A15E55" w:rsidRPr="00A15E55" w:rsidRDefault="00A15E55" w:rsidP="00A15E55">
      <w:pPr>
        <w:pStyle w:val="AbstHead"/>
        <w:jc w:val="both"/>
        <w:rPr>
          <w:rFonts w:ascii="Arial" w:hAnsi="Arial" w:cs="Arial"/>
          <w:b w:val="0"/>
          <w:caps w:val="0"/>
          <w:sz w:val="20"/>
        </w:rPr>
      </w:pPr>
      <w:r w:rsidRPr="00A15E55">
        <w:rPr>
          <w:rFonts w:ascii="Arial" w:hAnsi="Arial" w:cs="Arial"/>
          <w:b w:val="0"/>
          <w:caps w:val="0"/>
          <w:sz w:val="20"/>
        </w:rPr>
        <w:t>The advent of the James Webb Space Telescope has inaugurated a new era in MIR astronomy, providing the necessary tools to overcome these longstanding limitations (</w:t>
      </w:r>
      <w:proofErr w:type="spellStart"/>
      <w:r w:rsidRPr="00A15E55">
        <w:rPr>
          <w:rFonts w:ascii="Arial" w:hAnsi="Arial" w:cs="Arial"/>
          <w:b w:val="0"/>
          <w:caps w:val="0"/>
          <w:sz w:val="20"/>
        </w:rPr>
        <w:t>Labiano</w:t>
      </w:r>
      <w:proofErr w:type="spellEnd"/>
      <w:r w:rsidRPr="00A15E55">
        <w:rPr>
          <w:rFonts w:ascii="Arial" w:hAnsi="Arial" w:cs="Arial"/>
          <w:b w:val="0"/>
          <w:caps w:val="0"/>
          <w:sz w:val="20"/>
        </w:rPr>
        <w:t xml:space="preserve"> et al., 2021; Wright et al., 2023). Specifically, the Mid-Infrared Instrument and its Medium Resolution Spectrometer offer an unprecedented combination of sensitivity, sub-arcsecond spatial resolution (0.2"-0.7"), and integral field spectroscopic capability (Dicken et al., 2024; </w:t>
      </w:r>
      <w:proofErr w:type="spellStart"/>
      <w:r w:rsidRPr="00A15E55">
        <w:rPr>
          <w:rFonts w:ascii="Arial" w:hAnsi="Arial" w:cs="Arial"/>
          <w:b w:val="0"/>
          <w:caps w:val="0"/>
          <w:sz w:val="20"/>
        </w:rPr>
        <w:t>Labiano</w:t>
      </w:r>
      <w:proofErr w:type="spellEnd"/>
      <w:r w:rsidRPr="00A15E55">
        <w:rPr>
          <w:rFonts w:ascii="Arial" w:hAnsi="Arial" w:cs="Arial"/>
          <w:b w:val="0"/>
          <w:caps w:val="0"/>
          <w:sz w:val="20"/>
        </w:rPr>
        <w:t xml:space="preserve"> et al., 2021; </w:t>
      </w:r>
      <w:proofErr w:type="spellStart"/>
      <w:r w:rsidRPr="00A15E55">
        <w:rPr>
          <w:rFonts w:ascii="Arial" w:hAnsi="Arial" w:cs="Arial"/>
          <w:b w:val="0"/>
          <w:caps w:val="0"/>
          <w:sz w:val="20"/>
        </w:rPr>
        <w:t>Patapis</w:t>
      </w:r>
      <w:proofErr w:type="spellEnd"/>
      <w:r w:rsidRPr="00A15E55">
        <w:rPr>
          <w:rFonts w:ascii="Arial" w:hAnsi="Arial" w:cs="Arial"/>
          <w:b w:val="0"/>
          <w:caps w:val="0"/>
          <w:sz w:val="20"/>
        </w:rPr>
        <w:t xml:space="preserve"> et al., 2023). This represents a monumental leap beyond previous facilities like the Spitzer Space Telescope, as MIRI MRS offers significantly improved spatial resolution and sensitivity (Bouwman et al., 2023; Morrison et al., 2023). The MRS enables the dissection of individual star-forming clumps and the detailed mapping of physical conditions on scales of tens of parsecs within nearby galaxies (</w:t>
      </w:r>
      <w:proofErr w:type="spellStart"/>
      <w:r w:rsidRPr="00A15E55">
        <w:rPr>
          <w:rFonts w:ascii="Arial" w:hAnsi="Arial" w:cs="Arial"/>
          <w:b w:val="0"/>
          <w:caps w:val="0"/>
          <w:sz w:val="20"/>
        </w:rPr>
        <w:t>Rigopoulou</w:t>
      </w:r>
      <w:proofErr w:type="spellEnd"/>
      <w:r w:rsidRPr="00A15E55">
        <w:rPr>
          <w:rFonts w:ascii="Arial" w:hAnsi="Arial" w:cs="Arial"/>
          <w:b w:val="0"/>
          <w:caps w:val="0"/>
          <w:sz w:val="20"/>
        </w:rPr>
        <w:t xml:space="preserve"> et al., 2024; Ujjwal et al., 2024). A critical design feature of the MRS is its continuous wavelength coverage, spanning 4.9 to 27.9 μm at a resolving power of R ~ 3700-1300 (Argyriou et al., 2023). This is sufficient to resolve the intrinsic profiles of the broad PAH features and deconvolve them from underlying dust continua and nearby fine-structure lines. Most importantly, it encompasses the entire set of major PAH emission features in a single observation, allowing for a robust and systematic study of their relative variations without the systematic uncertainties inherent in stitching together data from different instruments or observing modes. This provides a powerful and self-consistent lever for untangling their complex excitation mechanisms and environmental dependencies (García-</w:t>
      </w:r>
      <w:proofErr w:type="spellStart"/>
      <w:r w:rsidRPr="00A15E55">
        <w:rPr>
          <w:rFonts w:ascii="Arial" w:hAnsi="Arial" w:cs="Arial"/>
          <w:b w:val="0"/>
          <w:caps w:val="0"/>
          <w:sz w:val="20"/>
        </w:rPr>
        <w:t>Bernete</w:t>
      </w:r>
      <w:proofErr w:type="spellEnd"/>
      <w:r w:rsidRPr="00A15E55">
        <w:rPr>
          <w:rFonts w:ascii="Arial" w:hAnsi="Arial" w:cs="Arial"/>
          <w:b w:val="0"/>
          <w:caps w:val="0"/>
          <w:sz w:val="20"/>
        </w:rPr>
        <w:t xml:space="preserve"> et al., 2022; </w:t>
      </w:r>
      <w:proofErr w:type="spellStart"/>
      <w:r w:rsidRPr="00A15E55">
        <w:rPr>
          <w:rFonts w:ascii="Arial" w:hAnsi="Arial" w:cs="Arial"/>
          <w:b w:val="0"/>
          <w:caps w:val="0"/>
          <w:sz w:val="20"/>
        </w:rPr>
        <w:t>Rigopoulou</w:t>
      </w:r>
      <w:proofErr w:type="spellEnd"/>
      <w:r w:rsidRPr="00A15E55">
        <w:rPr>
          <w:rFonts w:ascii="Arial" w:hAnsi="Arial" w:cs="Arial"/>
          <w:b w:val="0"/>
          <w:caps w:val="0"/>
          <w:sz w:val="20"/>
        </w:rPr>
        <w:t xml:space="preserve"> et al., 2024).</w:t>
      </w:r>
    </w:p>
    <w:p w14:paraId="5DC5B3FE" w14:textId="77777777" w:rsidR="00A15E55" w:rsidRPr="00A15E55" w:rsidRDefault="00A15E55" w:rsidP="00A15E55">
      <w:pPr>
        <w:pStyle w:val="AbstHead"/>
        <w:jc w:val="both"/>
        <w:rPr>
          <w:rFonts w:ascii="Arial" w:hAnsi="Arial" w:cs="Arial"/>
          <w:b w:val="0"/>
          <w:caps w:val="0"/>
          <w:sz w:val="20"/>
        </w:rPr>
      </w:pPr>
      <w:r w:rsidRPr="00A15E55">
        <w:rPr>
          <w:rFonts w:ascii="Arial" w:hAnsi="Arial" w:cs="Arial"/>
          <w:b w:val="0"/>
          <w:caps w:val="0"/>
          <w:sz w:val="20"/>
        </w:rPr>
        <w:t xml:space="preserve">To leverage these transformative capabilities, we have targeted NGC 5457 (M101, the Pinwheel Galaxy), a nearby (~6.7 Mpc), grand-design spiral galaxy of type </w:t>
      </w:r>
      <w:proofErr w:type="gramStart"/>
      <w:r w:rsidRPr="00A15E55">
        <w:rPr>
          <w:rFonts w:ascii="Arial" w:hAnsi="Arial" w:cs="Arial"/>
          <w:b w:val="0"/>
          <w:caps w:val="0"/>
          <w:sz w:val="20"/>
        </w:rPr>
        <w:t>SAB(</w:t>
      </w:r>
      <w:proofErr w:type="spellStart"/>
      <w:proofErr w:type="gramEnd"/>
      <w:r w:rsidRPr="00A15E55">
        <w:rPr>
          <w:rFonts w:ascii="Arial" w:hAnsi="Arial" w:cs="Arial"/>
          <w:b w:val="0"/>
          <w:caps w:val="0"/>
          <w:sz w:val="20"/>
        </w:rPr>
        <w:t>rs</w:t>
      </w:r>
      <w:proofErr w:type="spellEnd"/>
      <w:r w:rsidRPr="00A15E55">
        <w:rPr>
          <w:rFonts w:ascii="Arial" w:hAnsi="Arial" w:cs="Arial"/>
          <w:b w:val="0"/>
          <w:caps w:val="0"/>
          <w:sz w:val="20"/>
        </w:rPr>
        <w:t xml:space="preserve">)cd. Its nearly face-on orientation (~18°) minimizes projection effects and geometrical ambiguities, which would otherwise complicate the interpretation of line-of-sight emission, making it an ideal laboratory for spatially resolved spectroscopy. The galaxy hosts a well-cataloged population of HII regions (C. &amp; Garnett, 1996), presenting a rich and statistically significant sample of star formation activity across a full range of galactic environments, from the inner disk to the outer arms (Hu et al., 2018; Linden et al., 2022; Pleuss et al., 2000). Furthermore, a wealth of extensive ancillary data is available for NGC 5457, including direct-method metallicity measurements from the CHAOS project, which have established a distinct radial </w:t>
      </w:r>
      <w:r w:rsidRPr="00A15E55">
        <w:rPr>
          <w:rFonts w:ascii="Arial" w:hAnsi="Arial" w:cs="Arial"/>
          <w:b w:val="0"/>
          <w:caps w:val="0"/>
          <w:sz w:val="20"/>
        </w:rPr>
        <w:lastRenderedPageBreak/>
        <w:t xml:space="preserve">abundance gradient across its disk (Esteban et al., 2019; Galliano, 2011; Kang et al., 2021; Whitcomb et al., 2024). This gradient is particularly valuable, as both the formation of PAHs (requiring carbon) and their destruction (via hard UV photons in low-metallicity environments) are intimately linked to metallicity (Gordon et al., 2008; </w:t>
      </w:r>
      <w:proofErr w:type="spellStart"/>
      <w:r w:rsidRPr="00A15E55">
        <w:rPr>
          <w:rFonts w:ascii="Arial" w:hAnsi="Arial" w:cs="Arial"/>
          <w:b w:val="0"/>
          <w:caps w:val="0"/>
          <w:sz w:val="20"/>
        </w:rPr>
        <w:t>Khramtsova</w:t>
      </w:r>
      <w:proofErr w:type="spellEnd"/>
      <w:r w:rsidRPr="00A15E55">
        <w:rPr>
          <w:rFonts w:ascii="Arial" w:hAnsi="Arial" w:cs="Arial"/>
          <w:b w:val="0"/>
          <w:caps w:val="0"/>
          <w:sz w:val="20"/>
        </w:rPr>
        <w:t xml:space="preserve"> et al., 2013;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et al., 2023). The established gradient thus provides a natural experiment, allowing for the study of how PAH properties correlate with the chemical evolution of a galaxy, all within a single, self-contained system (Lin, Zou, Kong, Lin, Mao, Cheng, et al., 2013; Lin, Zou, Kong, Lin, Mao, Jiang, et al., 2013).</w:t>
      </w:r>
    </w:p>
    <w:p w14:paraId="2D1FDD8C" w14:textId="4AEF7B02" w:rsidR="00A15E55" w:rsidRPr="00A15E55" w:rsidRDefault="00A15E55" w:rsidP="00A15E55">
      <w:pPr>
        <w:pStyle w:val="AbstHead"/>
        <w:jc w:val="both"/>
        <w:rPr>
          <w:rFonts w:ascii="Arial" w:hAnsi="Arial" w:cs="Arial"/>
          <w:b w:val="0"/>
          <w:caps w:val="0"/>
          <w:sz w:val="20"/>
        </w:rPr>
      </w:pPr>
      <w:r w:rsidRPr="00A15E55">
        <w:rPr>
          <w:rFonts w:ascii="Arial" w:hAnsi="Arial" w:cs="Arial"/>
          <w:b w:val="0"/>
          <w:caps w:val="0"/>
          <w:sz w:val="20"/>
        </w:rPr>
        <w:t xml:space="preserve">In this paper, we present a detailed analysis of JWST/MIRI MRS observations targeting four distinct HII regions within NGC 5457. These regions were selected to sample a diverse range of local environments, from compact, high-excitation star formation knots likely powered by very young, massive star clusters to more evolved, extended complexes where stellar feedback has had more time to impact the surrounding medium. Our primary scientific goal is to conduct a rigorous test of theoretical models of PAH processing. We will use key diagnostic ratios, including those involving the 7.7, </w:t>
      </w:r>
      <w:r w:rsidR="008D6EF1">
        <w:rPr>
          <w:rFonts w:ascii="Arial" w:hAnsi="Arial" w:cs="Arial"/>
          <w:b w:val="0"/>
          <w:caps w:val="0"/>
          <w:sz w:val="20"/>
        </w:rPr>
        <w:t xml:space="preserve">8.6 </w:t>
      </w:r>
      <w:r w:rsidRPr="00A15E55">
        <w:rPr>
          <w:rFonts w:ascii="Arial" w:hAnsi="Arial" w:cs="Arial"/>
          <w:b w:val="0"/>
          <w:caps w:val="0"/>
          <w:sz w:val="20"/>
        </w:rPr>
        <w:t>and 11.3 μm features, to create spatially resolved maps of the PAH size and ionization fraction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et al., 2022). We seek to answer specific questions, such as: How does the PAH ionization fraction vary with proximity to the central ionizing source (Goicoechea et al., 2009)? Do we observe evidence for the destruction of small PAHs in the harshest radiation fields (Egorov et al., 2023;</w:t>
      </w:r>
      <w:r w:rsidR="00CB7E14">
        <w:rPr>
          <w:rFonts w:ascii="Arial" w:hAnsi="Arial" w:cs="Arial"/>
          <w:b w:val="0"/>
          <w:caps w:val="0"/>
          <w:sz w:val="20"/>
        </w:rPr>
        <w:t xml:space="preserve"> </w:t>
      </w:r>
      <w:r w:rsidRPr="00A15E55">
        <w:rPr>
          <w:rFonts w:ascii="Arial" w:hAnsi="Arial" w:cs="Arial"/>
          <w:b w:val="0"/>
          <w:caps w:val="0"/>
          <w:sz w:val="20"/>
        </w:rPr>
        <w:t xml:space="preserve">Galliano,2011; </w:t>
      </w:r>
      <w:proofErr w:type="spellStart"/>
      <w:r w:rsidRPr="00A15E55">
        <w:rPr>
          <w:rFonts w:ascii="Arial" w:hAnsi="Arial" w:cs="Arial"/>
          <w:b w:val="0"/>
          <w:caps w:val="0"/>
          <w:sz w:val="20"/>
        </w:rPr>
        <w:t>Khramtsova</w:t>
      </w:r>
      <w:proofErr w:type="spellEnd"/>
      <w:r w:rsidRPr="00A15E55">
        <w:rPr>
          <w:rFonts w:ascii="Arial" w:hAnsi="Arial" w:cs="Arial"/>
          <w:b w:val="0"/>
          <w:caps w:val="0"/>
          <w:sz w:val="20"/>
        </w:rPr>
        <w:t xml:space="preserve"> et al., 2014; </w:t>
      </w:r>
      <w:proofErr w:type="spellStart"/>
      <w:r w:rsidRPr="00A15E55">
        <w:rPr>
          <w:rFonts w:ascii="Arial" w:hAnsi="Arial" w:cs="Arial"/>
          <w:b w:val="0"/>
          <w:caps w:val="0"/>
          <w:sz w:val="20"/>
        </w:rPr>
        <w:t>Micelotta</w:t>
      </w:r>
      <w:proofErr w:type="spellEnd"/>
      <w:r w:rsidRPr="00A15E55">
        <w:rPr>
          <w:rFonts w:ascii="Arial" w:hAnsi="Arial" w:cs="Arial"/>
          <w:b w:val="0"/>
          <w:caps w:val="0"/>
          <w:sz w:val="20"/>
        </w:rPr>
        <w:t xml:space="preserve"> et al., 2009, 2010; </w:t>
      </w:r>
      <w:proofErr w:type="spellStart"/>
      <w:r w:rsidRPr="00A15E55">
        <w:rPr>
          <w:rFonts w:ascii="Arial" w:hAnsi="Arial" w:cs="Arial"/>
          <w:b w:val="0"/>
          <w:caps w:val="0"/>
          <w:sz w:val="20"/>
        </w:rPr>
        <w:t>Monfredini</w:t>
      </w:r>
      <w:proofErr w:type="spellEnd"/>
      <w:r w:rsidRPr="00A15E55">
        <w:rPr>
          <w:rFonts w:ascii="Arial" w:hAnsi="Arial" w:cs="Arial"/>
          <w:b w:val="0"/>
          <w:caps w:val="0"/>
          <w:sz w:val="20"/>
        </w:rPr>
        <w:t xml:space="preserve"> et al., 2019; Murata et al., 2017; </w:t>
      </w:r>
      <w:proofErr w:type="spellStart"/>
      <w:r w:rsidRPr="00A15E55">
        <w:rPr>
          <w:rFonts w:ascii="Arial" w:hAnsi="Arial" w:cs="Arial"/>
          <w:b w:val="0"/>
          <w:caps w:val="0"/>
          <w:sz w:val="20"/>
        </w:rPr>
        <w:t>Pavlyuchenkov</w:t>
      </w:r>
      <w:proofErr w:type="spellEnd"/>
      <w:r w:rsidRPr="00A15E55">
        <w:rPr>
          <w:rFonts w:ascii="Arial" w:hAnsi="Arial" w:cs="Arial"/>
          <w:b w:val="0"/>
          <w:caps w:val="0"/>
          <w:sz w:val="20"/>
        </w:rPr>
        <w:t xml:space="preserve"> et al., 2013; Siebenmorgen, 2009</w:t>
      </w:r>
      <w:r w:rsidR="00F923A4">
        <w:rPr>
          <w:rFonts w:ascii="Arial" w:hAnsi="Arial" w:cs="Arial"/>
          <w:b w:val="0"/>
          <w:caps w:val="0"/>
          <w:sz w:val="20"/>
        </w:rPr>
        <w:t xml:space="preserve">, </w:t>
      </w:r>
      <w:r w:rsidR="00F923A4" w:rsidRPr="00F923A4">
        <w:rPr>
          <w:rFonts w:ascii="Arial" w:hAnsi="Arial" w:cs="Arial"/>
          <w:b w:val="0"/>
          <w:caps w:val="0"/>
          <w:sz w:val="20"/>
        </w:rPr>
        <w:t>Anand et al., 202</w:t>
      </w:r>
      <w:r w:rsidR="00F923A4">
        <w:rPr>
          <w:rFonts w:ascii="Arial" w:hAnsi="Arial" w:cs="Arial"/>
          <w:b w:val="0"/>
          <w:caps w:val="0"/>
          <w:sz w:val="20"/>
        </w:rPr>
        <w:t>3</w:t>
      </w:r>
      <w:r w:rsidRPr="00A15E55">
        <w:rPr>
          <w:rFonts w:ascii="Arial" w:hAnsi="Arial" w:cs="Arial"/>
          <w:b w:val="0"/>
          <w:caps w:val="0"/>
          <w:sz w:val="20"/>
        </w:rPr>
        <w:t>)?</w:t>
      </w:r>
    </w:p>
    <w:p w14:paraId="2CF71017" w14:textId="258D8404" w:rsidR="00A256C1" w:rsidRPr="00CC4289" w:rsidRDefault="00902823" w:rsidP="00A256C1">
      <w:pPr>
        <w:pStyle w:val="AbstHead"/>
        <w:spacing w:after="0"/>
        <w:rPr>
          <w:rFonts w:ascii="Arial" w:hAnsi="Arial" w:cs="Arial"/>
        </w:rPr>
      </w:pPr>
      <w:r>
        <w:rPr>
          <w:rFonts w:ascii="Arial" w:hAnsi="Arial" w:cs="Arial"/>
        </w:rPr>
        <w:t xml:space="preserve">2. </w:t>
      </w:r>
      <w:r w:rsidR="00A256C1" w:rsidRPr="00A256C1">
        <w:rPr>
          <w:rFonts w:ascii="Arial" w:hAnsi="Arial" w:cs="Arial"/>
        </w:rPr>
        <w:t>Observations and Data Reduction</w:t>
      </w:r>
      <w:r w:rsidR="00CC4289">
        <w:rPr>
          <w:rFonts w:ascii="Arial" w:hAnsi="Arial" w:cs="Arial"/>
        </w:rPr>
        <w:t xml:space="preserve"> </w:t>
      </w:r>
    </w:p>
    <w:p w14:paraId="17F96C59" w14:textId="77777777" w:rsidR="00A256C1" w:rsidRPr="00FB3A86" w:rsidRDefault="00A256C1" w:rsidP="00441B6F">
      <w:pPr>
        <w:pStyle w:val="AbstHead"/>
        <w:spacing w:after="0"/>
        <w:jc w:val="both"/>
        <w:rPr>
          <w:rFonts w:ascii="Arial" w:hAnsi="Arial" w:cs="Arial"/>
        </w:rPr>
      </w:pPr>
    </w:p>
    <w:p w14:paraId="54A37366" w14:textId="650538D0" w:rsidR="00E75899" w:rsidRDefault="00CC4289" w:rsidP="00441B6F">
      <w:pPr>
        <w:pStyle w:val="Body"/>
        <w:spacing w:after="0"/>
        <w:rPr>
          <w:rFonts w:ascii="Arial" w:hAnsi="Arial" w:cs="Arial"/>
        </w:rPr>
      </w:pPr>
      <w:r w:rsidRPr="00CC4289">
        <w:rPr>
          <w:rFonts w:ascii="Arial" w:hAnsi="Arial" w:cs="Arial"/>
        </w:rPr>
        <w:t>This study is based on archival data from the James Webb Space Telescope (JWST) obtained from the Mikulski Archive for Space Telescopes (MAST). The analysis focuses on mid-infrared integral field spectroscopy of four HII regions within the nearby spiral galaxy NGC 5457 (M101)</w:t>
      </w:r>
      <w:r w:rsidR="004D61F1" w:rsidRPr="004D61F1">
        <w:t xml:space="preserve"> </w:t>
      </w:r>
      <w:r w:rsidR="004D61F1">
        <w:t>(Rogers et al., 2023)</w:t>
      </w:r>
      <w:r w:rsidRPr="00CC4289">
        <w:rPr>
          <w:rFonts w:ascii="Arial" w:hAnsi="Arial" w:cs="Arial"/>
        </w:rPr>
        <w:t xml:space="preserve">. </w:t>
      </w:r>
    </w:p>
    <w:p w14:paraId="3734329A" w14:textId="77777777" w:rsidR="00704C92" w:rsidRDefault="00CC4289" w:rsidP="00704C92">
      <w:pPr>
        <w:pStyle w:val="Body"/>
        <w:keepNext/>
        <w:spacing w:after="0"/>
      </w:pPr>
      <w:r>
        <w:rPr>
          <w:rFonts w:ascii="Arial" w:hAnsi="Arial" w:cs="Arial"/>
          <w:noProof/>
        </w:rPr>
        <w:lastRenderedPageBreak/>
        <w:drawing>
          <wp:inline distT="0" distB="0" distL="0" distR="0" wp14:anchorId="36D49266" wp14:editId="01F7AB05">
            <wp:extent cx="5212080" cy="3500120"/>
            <wp:effectExtent l="0" t="0" r="0" b="0"/>
            <wp:docPr id="1465433598" name="Picture 3" descr="A galaxy in space with stars and a bright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33598" name="Picture 3" descr="A galaxy in space with stars and a bright light&#10;&#10;AI-generated content may be incorrect."/>
                    <pic:cNvPicPr/>
                  </pic:nvPicPr>
                  <pic:blipFill>
                    <a:blip r:embed="rId14" cstate="print">
                      <a:extLst>
                        <a:ext uri="{BEBA8EAE-BF5A-486C-A8C5-ECC9F3942E4B}">
                          <a14:imgProps xmlns:a14="http://schemas.microsoft.com/office/drawing/2010/main">
                            <a14:imgLayer r:embed="rId15">
                              <a14:imgEffect>
                                <a14:sharpenSoften amount="78000"/>
                              </a14:imgEffect>
                              <a14:imgEffect>
                                <a14:brightnessContrast bright="8000" contrast="28000"/>
                              </a14:imgEffect>
                            </a14:imgLayer>
                          </a14:imgProps>
                        </a:ext>
                        <a:ext uri="{28A0092B-C50C-407E-A947-70E740481C1C}">
                          <a14:useLocalDpi xmlns:a14="http://schemas.microsoft.com/office/drawing/2010/main" val="0"/>
                        </a:ext>
                      </a:extLst>
                    </a:blip>
                    <a:stretch>
                      <a:fillRect/>
                    </a:stretch>
                  </pic:blipFill>
                  <pic:spPr>
                    <a:xfrm>
                      <a:off x="0" y="0"/>
                      <a:ext cx="5212080" cy="3500120"/>
                    </a:xfrm>
                    <a:prstGeom prst="rect">
                      <a:avLst/>
                    </a:prstGeom>
                  </pic:spPr>
                </pic:pic>
              </a:graphicData>
            </a:graphic>
          </wp:inline>
        </w:drawing>
      </w:r>
    </w:p>
    <w:p w14:paraId="10F2DC18" w14:textId="294F9F72" w:rsidR="00790ADA" w:rsidRPr="008B51B7" w:rsidRDefault="00704C92" w:rsidP="00704C92">
      <w:pPr>
        <w:pStyle w:val="Caption"/>
        <w:jc w:val="both"/>
        <w:rPr>
          <w:rFonts w:ascii="Arial" w:hAnsi="Arial" w:cs="Arial"/>
          <w:i w:val="0"/>
          <w:iCs w:val="0"/>
          <w:color w:val="000000" w:themeColor="text1"/>
          <w:sz w:val="20"/>
          <w:szCs w:val="20"/>
        </w:rPr>
      </w:pPr>
      <w:r w:rsidRPr="008B51B7">
        <w:rPr>
          <w:rFonts w:ascii="Arial" w:hAnsi="Arial" w:cs="Arial"/>
          <w:i w:val="0"/>
          <w:iCs w:val="0"/>
          <w:color w:val="000000" w:themeColor="text1"/>
          <w:sz w:val="20"/>
          <w:szCs w:val="20"/>
        </w:rPr>
        <w:t xml:space="preserve">Figure </w:t>
      </w:r>
      <w:r w:rsidRPr="008B51B7">
        <w:rPr>
          <w:rFonts w:ascii="Arial" w:hAnsi="Arial" w:cs="Arial"/>
          <w:i w:val="0"/>
          <w:iCs w:val="0"/>
          <w:color w:val="000000" w:themeColor="text1"/>
          <w:sz w:val="20"/>
          <w:szCs w:val="20"/>
        </w:rPr>
        <w:fldChar w:fldCharType="begin"/>
      </w:r>
      <w:r w:rsidRPr="008B51B7">
        <w:rPr>
          <w:rFonts w:ascii="Arial" w:hAnsi="Arial" w:cs="Arial"/>
          <w:i w:val="0"/>
          <w:iCs w:val="0"/>
          <w:color w:val="000000" w:themeColor="text1"/>
          <w:sz w:val="20"/>
          <w:szCs w:val="20"/>
        </w:rPr>
        <w:instrText xml:space="preserve"> SEQ Figure \* ARABIC </w:instrText>
      </w:r>
      <w:r w:rsidRPr="008B51B7">
        <w:rPr>
          <w:rFonts w:ascii="Arial" w:hAnsi="Arial" w:cs="Arial"/>
          <w:i w:val="0"/>
          <w:iCs w:val="0"/>
          <w:color w:val="000000" w:themeColor="text1"/>
          <w:sz w:val="20"/>
          <w:szCs w:val="20"/>
        </w:rPr>
        <w:fldChar w:fldCharType="separate"/>
      </w:r>
      <w:r w:rsidR="00E73CE2">
        <w:rPr>
          <w:rFonts w:ascii="Arial" w:hAnsi="Arial" w:cs="Arial"/>
          <w:i w:val="0"/>
          <w:iCs w:val="0"/>
          <w:noProof/>
          <w:color w:val="000000" w:themeColor="text1"/>
          <w:sz w:val="20"/>
          <w:szCs w:val="20"/>
        </w:rPr>
        <w:t>1</w:t>
      </w:r>
      <w:r w:rsidRPr="008B51B7">
        <w:rPr>
          <w:rFonts w:ascii="Arial" w:hAnsi="Arial" w:cs="Arial"/>
          <w:i w:val="0"/>
          <w:iCs w:val="0"/>
          <w:color w:val="000000" w:themeColor="text1"/>
          <w:sz w:val="20"/>
          <w:szCs w:val="20"/>
        </w:rPr>
        <w:fldChar w:fldCharType="end"/>
      </w:r>
      <w:r w:rsidRPr="008B51B7">
        <w:rPr>
          <w:rFonts w:ascii="Arial" w:hAnsi="Arial" w:cs="Arial"/>
          <w:i w:val="0"/>
          <w:iCs w:val="0"/>
          <w:color w:val="000000" w:themeColor="text1"/>
          <w:sz w:val="20"/>
          <w:szCs w:val="20"/>
        </w:rPr>
        <w:t xml:space="preserve">: The locations of our four program targets in the grand-design spiral galaxy NGC 5457 (M101). The red squares indicate the positions of the HII regions: NGC5457-205-98, NGC5457+189-136, NGC5457-100-388, and NGC5457-361-280. The background is a public-release color composite image from the Pan-STARRS1 (PS1) survey. The axes are labeled with J2000 Right Ascension and Declination. In this orientation, </w:t>
      </w:r>
      <w:r w:rsidR="00C92C04" w:rsidRPr="008B51B7">
        <w:rPr>
          <w:rFonts w:ascii="Arial" w:hAnsi="Arial" w:cs="Arial"/>
          <w:i w:val="0"/>
          <w:iCs w:val="0"/>
          <w:color w:val="000000" w:themeColor="text1"/>
          <w:sz w:val="20"/>
          <w:szCs w:val="20"/>
        </w:rPr>
        <w:t>north</w:t>
      </w:r>
      <w:r w:rsidRPr="008B51B7">
        <w:rPr>
          <w:rFonts w:ascii="Arial" w:hAnsi="Arial" w:cs="Arial"/>
          <w:i w:val="0"/>
          <w:iCs w:val="0"/>
          <w:color w:val="000000" w:themeColor="text1"/>
          <w:sz w:val="20"/>
          <w:szCs w:val="20"/>
        </w:rPr>
        <w:t xml:space="preserve"> is up and </w:t>
      </w:r>
      <w:r w:rsidR="00C92C04" w:rsidRPr="008B51B7">
        <w:rPr>
          <w:rFonts w:ascii="Arial" w:hAnsi="Arial" w:cs="Arial"/>
          <w:i w:val="0"/>
          <w:iCs w:val="0"/>
          <w:color w:val="000000" w:themeColor="text1"/>
          <w:sz w:val="20"/>
          <w:szCs w:val="20"/>
        </w:rPr>
        <w:t>east</w:t>
      </w:r>
      <w:r w:rsidRPr="008B51B7">
        <w:rPr>
          <w:rFonts w:ascii="Arial" w:hAnsi="Arial" w:cs="Arial"/>
          <w:i w:val="0"/>
          <w:iCs w:val="0"/>
          <w:color w:val="000000" w:themeColor="text1"/>
          <w:sz w:val="20"/>
          <w:szCs w:val="20"/>
        </w:rPr>
        <w:t xml:space="preserve"> is to the left.</w:t>
      </w:r>
    </w:p>
    <w:p w14:paraId="3BB79FB4" w14:textId="77777777" w:rsidR="00CC4289" w:rsidRDefault="00CC4289" w:rsidP="00441B6F">
      <w:pPr>
        <w:pStyle w:val="Body"/>
        <w:spacing w:after="0"/>
        <w:rPr>
          <w:rFonts w:ascii="Arial" w:hAnsi="Arial" w:cs="Arial"/>
        </w:rPr>
      </w:pPr>
    </w:p>
    <w:p w14:paraId="4998F5EB" w14:textId="1E451743" w:rsidR="00CC4289" w:rsidRDefault="00CC4289" w:rsidP="00441B6F">
      <w:pPr>
        <w:pStyle w:val="Body"/>
        <w:spacing w:after="0"/>
        <w:rPr>
          <w:b/>
          <w:bCs/>
        </w:rPr>
      </w:pPr>
      <w:r w:rsidRPr="00CC4289">
        <w:rPr>
          <w:b/>
          <w:bCs/>
        </w:rPr>
        <w:t>2.1. JWST MIRI Observations</w:t>
      </w:r>
    </w:p>
    <w:p w14:paraId="23DFADC0" w14:textId="77777777" w:rsidR="00CC4289" w:rsidRPr="00CC4289" w:rsidRDefault="00CC4289" w:rsidP="00441B6F">
      <w:pPr>
        <w:pStyle w:val="Body"/>
        <w:spacing w:after="0"/>
        <w:rPr>
          <w:b/>
          <w:bCs/>
        </w:rPr>
      </w:pPr>
    </w:p>
    <w:p w14:paraId="0312B24E" w14:textId="27D5BCC7" w:rsidR="00CC4289" w:rsidRPr="00CC4289" w:rsidRDefault="00CC4289" w:rsidP="00CC4289">
      <w:pPr>
        <w:pStyle w:val="Body"/>
        <w:rPr>
          <w:rFonts w:ascii="Arial" w:hAnsi="Arial" w:cs="Arial"/>
        </w:rPr>
      </w:pPr>
      <w:r w:rsidRPr="00CC4289">
        <w:rPr>
          <w:rFonts w:ascii="Arial" w:hAnsi="Arial" w:cs="Arial"/>
        </w:rPr>
        <w:t>The targets of this investigation are four distinct HII regions within the grand-design spiral galaxy NGC 5457, a prototypical Sc I galaxy located at a distance of approximately 7 Mpc. The specific regions, designated NGC5457-205-98, NGC5457+189-136, NGC5457-100-388, and NGC5457-361-280, were selected to sample a range of physical conditions. A summary of the observations, including the target coordinates and the associated JWST General Observer (GO) program identifiers, is provided in Table 1.</w:t>
      </w:r>
    </w:p>
    <w:p w14:paraId="6C164050" w14:textId="63E9DC36" w:rsidR="006935D0" w:rsidRPr="008B51B7" w:rsidRDefault="006935D0" w:rsidP="006935D0">
      <w:pPr>
        <w:pStyle w:val="Caption"/>
        <w:keepNext/>
        <w:rPr>
          <w:rFonts w:ascii="Arial" w:hAnsi="Arial" w:cs="Arial"/>
          <w:i w:val="0"/>
          <w:iCs w:val="0"/>
          <w:color w:val="000000" w:themeColor="text1"/>
          <w:sz w:val="20"/>
          <w:szCs w:val="20"/>
        </w:rPr>
      </w:pPr>
      <w:r w:rsidRPr="008B51B7">
        <w:rPr>
          <w:rFonts w:ascii="Arial" w:hAnsi="Arial" w:cs="Arial"/>
          <w:i w:val="0"/>
          <w:iCs w:val="0"/>
          <w:color w:val="000000" w:themeColor="text1"/>
          <w:sz w:val="20"/>
          <w:szCs w:val="20"/>
        </w:rPr>
        <w:t xml:space="preserve">Table </w:t>
      </w:r>
      <w:r w:rsidRPr="008B51B7">
        <w:rPr>
          <w:rFonts w:ascii="Arial" w:hAnsi="Arial" w:cs="Arial"/>
          <w:i w:val="0"/>
          <w:iCs w:val="0"/>
          <w:color w:val="000000" w:themeColor="text1"/>
          <w:sz w:val="20"/>
          <w:szCs w:val="20"/>
        </w:rPr>
        <w:fldChar w:fldCharType="begin"/>
      </w:r>
      <w:r w:rsidRPr="008B51B7">
        <w:rPr>
          <w:rFonts w:ascii="Arial" w:hAnsi="Arial" w:cs="Arial"/>
          <w:i w:val="0"/>
          <w:iCs w:val="0"/>
          <w:color w:val="000000" w:themeColor="text1"/>
          <w:sz w:val="20"/>
          <w:szCs w:val="20"/>
        </w:rPr>
        <w:instrText xml:space="preserve"> SEQ Table \* ARABIC </w:instrText>
      </w:r>
      <w:r w:rsidRPr="008B51B7">
        <w:rPr>
          <w:rFonts w:ascii="Arial" w:hAnsi="Arial" w:cs="Arial"/>
          <w:i w:val="0"/>
          <w:iCs w:val="0"/>
          <w:color w:val="000000" w:themeColor="text1"/>
          <w:sz w:val="20"/>
          <w:szCs w:val="20"/>
        </w:rPr>
        <w:fldChar w:fldCharType="separate"/>
      </w:r>
      <w:r w:rsidR="00E73CE2">
        <w:rPr>
          <w:rFonts w:ascii="Arial" w:hAnsi="Arial" w:cs="Arial"/>
          <w:i w:val="0"/>
          <w:iCs w:val="0"/>
          <w:noProof/>
          <w:color w:val="000000" w:themeColor="text1"/>
          <w:sz w:val="20"/>
          <w:szCs w:val="20"/>
        </w:rPr>
        <w:t>1</w:t>
      </w:r>
      <w:r w:rsidRPr="008B51B7">
        <w:rPr>
          <w:rFonts w:ascii="Arial" w:hAnsi="Arial" w:cs="Arial"/>
          <w:i w:val="0"/>
          <w:iCs w:val="0"/>
          <w:color w:val="000000" w:themeColor="text1"/>
          <w:sz w:val="20"/>
          <w:szCs w:val="20"/>
        </w:rPr>
        <w:fldChar w:fldCharType="end"/>
      </w:r>
      <w:r w:rsidR="002A6D56" w:rsidRPr="008B51B7">
        <w:rPr>
          <w:rFonts w:ascii="Arial" w:hAnsi="Arial" w:cs="Arial"/>
          <w:i w:val="0"/>
          <w:iCs w:val="0"/>
          <w:color w:val="000000" w:themeColor="text1"/>
          <w:sz w:val="20"/>
          <w:szCs w:val="20"/>
        </w:rPr>
        <w:t>: Coordinates and JWST proposal identification for the NGC 5457 regions analyzed in this study. Right ascension (R.A.) and declination (Dec.) are given in J2000 coordinates.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4"/>
        <w:gridCol w:w="1304"/>
        <w:gridCol w:w="1361"/>
        <w:gridCol w:w="1701"/>
      </w:tblGrid>
      <w:tr w:rsidR="002A6D56" w:rsidRPr="00060787" w14:paraId="4BE459C6" w14:textId="77777777" w:rsidTr="002A6D56">
        <w:trPr>
          <w:trHeight w:val="283"/>
          <w:tblHeader/>
          <w:tblCellSpacing w:w="15" w:type="dxa"/>
          <w:jc w:val="center"/>
        </w:trPr>
        <w:tc>
          <w:tcPr>
            <w:tcW w:w="2279" w:type="dxa"/>
            <w:tcBorders>
              <w:top w:val="single" w:sz="4" w:space="0" w:color="auto"/>
              <w:bottom w:val="single" w:sz="4" w:space="0" w:color="auto"/>
            </w:tcBorders>
            <w:vAlign w:val="center"/>
            <w:hideMark/>
          </w:tcPr>
          <w:p w14:paraId="7A618C3F" w14:textId="77777777" w:rsidR="002A6D56" w:rsidRPr="00060787" w:rsidRDefault="002A6D56" w:rsidP="00373747">
            <w:pPr>
              <w:jc w:val="center"/>
              <w:rPr>
                <w:rFonts w:ascii="Arial" w:hAnsi="Arial" w:cs="Arial"/>
                <w:b/>
                <w:bCs/>
                <w:sz w:val="16"/>
                <w:szCs w:val="16"/>
                <w:lang w:val="en-IN" w:eastAsia="en-GB"/>
              </w:rPr>
            </w:pPr>
            <w:r w:rsidRPr="00060787">
              <w:rPr>
                <w:rFonts w:ascii="Arial" w:hAnsi="Arial" w:cs="Arial"/>
                <w:b/>
                <w:bCs/>
                <w:sz w:val="16"/>
                <w:szCs w:val="16"/>
                <w:lang w:val="en-IN" w:eastAsia="en-GB"/>
              </w:rPr>
              <w:t>Target Designation</w:t>
            </w:r>
          </w:p>
        </w:tc>
        <w:tc>
          <w:tcPr>
            <w:tcW w:w="1274" w:type="dxa"/>
            <w:tcBorders>
              <w:top w:val="single" w:sz="4" w:space="0" w:color="auto"/>
              <w:bottom w:val="single" w:sz="4" w:space="0" w:color="auto"/>
            </w:tcBorders>
            <w:vAlign w:val="center"/>
            <w:hideMark/>
          </w:tcPr>
          <w:p w14:paraId="301F6E2E" w14:textId="77777777" w:rsidR="002A6D56" w:rsidRPr="00060787" w:rsidRDefault="002A6D56" w:rsidP="00373747">
            <w:pPr>
              <w:jc w:val="center"/>
              <w:rPr>
                <w:rFonts w:ascii="Arial" w:hAnsi="Arial" w:cs="Arial"/>
                <w:b/>
                <w:bCs/>
                <w:sz w:val="16"/>
                <w:szCs w:val="16"/>
                <w:lang w:val="en-IN" w:eastAsia="en-GB"/>
              </w:rPr>
            </w:pPr>
            <w:r w:rsidRPr="00060787">
              <w:rPr>
                <w:rFonts w:ascii="Arial" w:hAnsi="Arial" w:cs="Arial"/>
                <w:b/>
                <w:bCs/>
                <w:sz w:val="16"/>
                <w:szCs w:val="16"/>
                <w:lang w:val="en-IN" w:eastAsia="en-GB"/>
              </w:rPr>
              <w:t xml:space="preserve">R.A. </w:t>
            </w:r>
          </w:p>
          <w:p w14:paraId="0B4E4BE5" w14:textId="103FD077" w:rsidR="002A6D56" w:rsidRPr="00060787" w:rsidRDefault="002A6D56" w:rsidP="00373747">
            <w:pPr>
              <w:jc w:val="center"/>
              <w:rPr>
                <w:rFonts w:ascii="Arial" w:hAnsi="Arial" w:cs="Arial"/>
                <w:b/>
                <w:bCs/>
                <w:sz w:val="16"/>
                <w:szCs w:val="16"/>
                <w:lang w:val="en-IN" w:eastAsia="en-GB"/>
              </w:rPr>
            </w:pPr>
          </w:p>
        </w:tc>
        <w:tc>
          <w:tcPr>
            <w:tcW w:w="1331" w:type="dxa"/>
            <w:tcBorders>
              <w:top w:val="single" w:sz="4" w:space="0" w:color="auto"/>
              <w:bottom w:val="single" w:sz="4" w:space="0" w:color="auto"/>
            </w:tcBorders>
            <w:vAlign w:val="center"/>
            <w:hideMark/>
          </w:tcPr>
          <w:p w14:paraId="44241186" w14:textId="77777777" w:rsidR="002A6D56" w:rsidRPr="00060787" w:rsidRDefault="002A6D56" w:rsidP="00373747">
            <w:pPr>
              <w:jc w:val="center"/>
              <w:rPr>
                <w:rFonts w:ascii="Arial" w:hAnsi="Arial" w:cs="Arial"/>
                <w:b/>
                <w:bCs/>
                <w:sz w:val="16"/>
                <w:szCs w:val="16"/>
                <w:lang w:val="en-IN" w:eastAsia="en-GB"/>
              </w:rPr>
            </w:pPr>
            <w:r w:rsidRPr="00060787">
              <w:rPr>
                <w:rFonts w:ascii="Arial" w:hAnsi="Arial" w:cs="Arial"/>
                <w:b/>
                <w:bCs/>
                <w:sz w:val="16"/>
                <w:szCs w:val="16"/>
                <w:lang w:val="en-IN" w:eastAsia="en-GB"/>
              </w:rPr>
              <w:t>Dec.</w:t>
            </w:r>
          </w:p>
          <w:p w14:paraId="55C23F2C" w14:textId="7B2D21D8" w:rsidR="002A6D56" w:rsidRPr="00060787" w:rsidRDefault="002A6D56" w:rsidP="00373747">
            <w:pPr>
              <w:jc w:val="center"/>
              <w:rPr>
                <w:rFonts w:ascii="Arial" w:hAnsi="Arial" w:cs="Arial"/>
                <w:b/>
                <w:bCs/>
                <w:sz w:val="16"/>
                <w:szCs w:val="16"/>
                <w:lang w:val="en-IN" w:eastAsia="en-GB"/>
              </w:rPr>
            </w:pPr>
          </w:p>
        </w:tc>
        <w:tc>
          <w:tcPr>
            <w:tcW w:w="1656" w:type="dxa"/>
            <w:tcBorders>
              <w:top w:val="single" w:sz="4" w:space="0" w:color="auto"/>
              <w:bottom w:val="single" w:sz="4" w:space="0" w:color="auto"/>
            </w:tcBorders>
            <w:vAlign w:val="center"/>
            <w:hideMark/>
          </w:tcPr>
          <w:p w14:paraId="17FE508E" w14:textId="6C0C7F72" w:rsidR="002A6D56" w:rsidRPr="00060787" w:rsidRDefault="002A6D56" w:rsidP="002A6D56">
            <w:pPr>
              <w:jc w:val="center"/>
              <w:rPr>
                <w:rFonts w:ascii="Arial" w:hAnsi="Arial" w:cs="Arial"/>
                <w:b/>
                <w:bCs/>
                <w:sz w:val="16"/>
                <w:szCs w:val="16"/>
                <w:lang w:val="en-IN" w:eastAsia="en-GB"/>
              </w:rPr>
            </w:pPr>
            <w:r w:rsidRPr="00060787">
              <w:rPr>
                <w:rFonts w:ascii="Arial" w:hAnsi="Arial" w:cs="Arial"/>
                <w:b/>
                <w:bCs/>
                <w:sz w:val="16"/>
                <w:szCs w:val="16"/>
                <w:lang w:val="en-IN" w:eastAsia="en-GB"/>
              </w:rPr>
              <w:t>JWS</w:t>
            </w:r>
            <w:r>
              <w:rPr>
                <w:rFonts w:ascii="Arial" w:hAnsi="Arial" w:cs="Arial"/>
                <w:b/>
                <w:bCs/>
                <w:sz w:val="16"/>
                <w:szCs w:val="16"/>
                <w:lang w:val="en-IN" w:eastAsia="en-GB"/>
              </w:rPr>
              <w:t xml:space="preserve">T </w:t>
            </w:r>
            <w:r w:rsidRPr="00060787">
              <w:rPr>
                <w:rFonts w:ascii="Arial" w:hAnsi="Arial" w:cs="Arial"/>
                <w:b/>
                <w:bCs/>
                <w:sz w:val="16"/>
                <w:szCs w:val="16"/>
                <w:lang w:val="en-IN" w:eastAsia="en-GB"/>
              </w:rPr>
              <w:t>Pr</w:t>
            </w:r>
            <w:r>
              <w:rPr>
                <w:rFonts w:ascii="Arial" w:hAnsi="Arial" w:cs="Arial"/>
                <w:b/>
                <w:bCs/>
                <w:sz w:val="16"/>
                <w:szCs w:val="16"/>
                <w:lang w:val="en-IN" w:eastAsia="en-GB"/>
              </w:rPr>
              <w:t>oposal</w:t>
            </w:r>
            <w:r w:rsidRPr="00060787">
              <w:rPr>
                <w:rFonts w:ascii="Arial" w:hAnsi="Arial" w:cs="Arial"/>
                <w:b/>
                <w:bCs/>
                <w:sz w:val="16"/>
                <w:szCs w:val="16"/>
                <w:lang w:val="en-IN" w:eastAsia="en-GB"/>
              </w:rPr>
              <w:t xml:space="preserve"> ID</w:t>
            </w:r>
          </w:p>
        </w:tc>
      </w:tr>
      <w:tr w:rsidR="002A6D56" w:rsidRPr="00060787" w14:paraId="3A3BFAB9" w14:textId="77777777" w:rsidTr="002A6D56">
        <w:trPr>
          <w:trHeight w:val="283"/>
          <w:tblCellSpacing w:w="15" w:type="dxa"/>
          <w:jc w:val="center"/>
        </w:trPr>
        <w:tc>
          <w:tcPr>
            <w:tcW w:w="2279" w:type="dxa"/>
            <w:vAlign w:val="center"/>
            <w:hideMark/>
          </w:tcPr>
          <w:p w14:paraId="1254E02B"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NGC5457-205-98</w:t>
            </w:r>
          </w:p>
        </w:tc>
        <w:tc>
          <w:tcPr>
            <w:tcW w:w="1274" w:type="dxa"/>
            <w:vAlign w:val="center"/>
            <w:hideMark/>
          </w:tcPr>
          <w:p w14:paraId="5D287FED"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14:03:05.8</w:t>
            </w:r>
          </w:p>
        </w:tc>
        <w:tc>
          <w:tcPr>
            <w:tcW w:w="1331" w:type="dxa"/>
            <w:vAlign w:val="center"/>
            <w:hideMark/>
          </w:tcPr>
          <w:p w14:paraId="75C08AAD"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+54:20:56.0</w:t>
            </w:r>
          </w:p>
        </w:tc>
        <w:tc>
          <w:tcPr>
            <w:tcW w:w="1656" w:type="dxa"/>
            <w:vAlign w:val="center"/>
            <w:hideMark/>
          </w:tcPr>
          <w:p w14:paraId="7694F80B" w14:textId="5786BEDD" w:rsidR="002A6D56" w:rsidRPr="00060787" w:rsidRDefault="002A6D56" w:rsidP="00373747">
            <w:pPr>
              <w:jc w:val="center"/>
              <w:rPr>
                <w:rFonts w:ascii="Arial" w:hAnsi="Arial" w:cs="Arial"/>
                <w:sz w:val="16"/>
                <w:szCs w:val="16"/>
                <w:lang w:val="en-IN" w:eastAsia="en-GB"/>
              </w:rPr>
            </w:pPr>
            <w:r>
              <w:rPr>
                <w:rFonts w:ascii="Arial" w:hAnsi="Arial" w:cs="Arial"/>
                <w:sz w:val="16"/>
                <w:szCs w:val="16"/>
                <w:lang w:val="en-IN" w:eastAsia="en-GB"/>
              </w:rPr>
              <w:t>4297</w:t>
            </w:r>
          </w:p>
        </w:tc>
      </w:tr>
      <w:tr w:rsidR="002A6D56" w:rsidRPr="00060787" w14:paraId="58AE5FD2" w14:textId="77777777" w:rsidTr="002A6D56">
        <w:trPr>
          <w:trHeight w:val="283"/>
          <w:tblCellSpacing w:w="15" w:type="dxa"/>
          <w:jc w:val="center"/>
        </w:trPr>
        <w:tc>
          <w:tcPr>
            <w:tcW w:w="2279" w:type="dxa"/>
            <w:vAlign w:val="center"/>
            <w:hideMark/>
          </w:tcPr>
          <w:p w14:paraId="2A0E607A"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NGC5457+189-136</w:t>
            </w:r>
          </w:p>
        </w:tc>
        <w:tc>
          <w:tcPr>
            <w:tcW w:w="1274" w:type="dxa"/>
            <w:vAlign w:val="center"/>
            <w:hideMark/>
          </w:tcPr>
          <w:p w14:paraId="0497F6ED"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14:03:13.5</w:t>
            </w:r>
          </w:p>
        </w:tc>
        <w:tc>
          <w:tcPr>
            <w:tcW w:w="1331" w:type="dxa"/>
            <w:vAlign w:val="center"/>
            <w:hideMark/>
          </w:tcPr>
          <w:p w14:paraId="54E883F7"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+54:22:12.0</w:t>
            </w:r>
          </w:p>
        </w:tc>
        <w:tc>
          <w:tcPr>
            <w:tcW w:w="1656" w:type="dxa"/>
            <w:vAlign w:val="center"/>
            <w:hideMark/>
          </w:tcPr>
          <w:p w14:paraId="771B7876" w14:textId="7338F6F3" w:rsidR="002A6D56" w:rsidRPr="00060787" w:rsidRDefault="002A6D56" w:rsidP="00373747">
            <w:pPr>
              <w:jc w:val="center"/>
              <w:rPr>
                <w:rFonts w:ascii="Arial" w:hAnsi="Arial" w:cs="Arial"/>
                <w:sz w:val="16"/>
                <w:szCs w:val="16"/>
                <w:lang w:val="en-IN" w:eastAsia="en-GB"/>
              </w:rPr>
            </w:pPr>
            <w:r>
              <w:rPr>
                <w:rFonts w:ascii="Arial" w:hAnsi="Arial" w:cs="Arial"/>
                <w:sz w:val="16"/>
                <w:szCs w:val="16"/>
                <w:lang w:val="en-IN" w:eastAsia="en-GB"/>
              </w:rPr>
              <w:t>4297</w:t>
            </w:r>
          </w:p>
        </w:tc>
      </w:tr>
      <w:tr w:rsidR="002A6D56" w:rsidRPr="00060787" w14:paraId="70B134A3" w14:textId="77777777" w:rsidTr="002A6D56">
        <w:trPr>
          <w:trHeight w:val="283"/>
          <w:tblCellSpacing w:w="15" w:type="dxa"/>
          <w:jc w:val="center"/>
        </w:trPr>
        <w:tc>
          <w:tcPr>
            <w:tcW w:w="2279" w:type="dxa"/>
            <w:vAlign w:val="center"/>
            <w:hideMark/>
          </w:tcPr>
          <w:p w14:paraId="349EDD12"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NGC5457-100-388</w:t>
            </w:r>
          </w:p>
        </w:tc>
        <w:tc>
          <w:tcPr>
            <w:tcW w:w="1274" w:type="dxa"/>
            <w:vAlign w:val="center"/>
            <w:hideMark/>
          </w:tcPr>
          <w:p w14:paraId="4D93D6F3"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14:03:20.2</w:t>
            </w:r>
          </w:p>
        </w:tc>
        <w:tc>
          <w:tcPr>
            <w:tcW w:w="1331" w:type="dxa"/>
            <w:vAlign w:val="center"/>
            <w:hideMark/>
          </w:tcPr>
          <w:p w14:paraId="3BAA1932"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+54:18:08.0</w:t>
            </w:r>
          </w:p>
        </w:tc>
        <w:tc>
          <w:tcPr>
            <w:tcW w:w="1656" w:type="dxa"/>
            <w:vAlign w:val="center"/>
            <w:hideMark/>
          </w:tcPr>
          <w:p w14:paraId="079562BE" w14:textId="6311713F" w:rsidR="002A6D56" w:rsidRPr="00060787" w:rsidRDefault="002A6D56" w:rsidP="00373747">
            <w:pPr>
              <w:jc w:val="center"/>
              <w:rPr>
                <w:rFonts w:ascii="Arial" w:hAnsi="Arial" w:cs="Arial"/>
                <w:sz w:val="16"/>
                <w:szCs w:val="16"/>
                <w:lang w:val="en-IN" w:eastAsia="en-GB"/>
              </w:rPr>
            </w:pPr>
            <w:r>
              <w:rPr>
                <w:rFonts w:ascii="Arial" w:hAnsi="Arial" w:cs="Arial"/>
                <w:sz w:val="16"/>
                <w:szCs w:val="16"/>
                <w:lang w:val="en-IN" w:eastAsia="en-GB"/>
              </w:rPr>
              <w:t>4297</w:t>
            </w:r>
          </w:p>
        </w:tc>
      </w:tr>
      <w:tr w:rsidR="002A6D56" w:rsidRPr="00060787" w14:paraId="4840071F" w14:textId="77777777" w:rsidTr="002A6D56">
        <w:trPr>
          <w:trHeight w:val="283"/>
          <w:tblCellSpacing w:w="15" w:type="dxa"/>
          <w:jc w:val="center"/>
        </w:trPr>
        <w:tc>
          <w:tcPr>
            <w:tcW w:w="2279" w:type="dxa"/>
            <w:tcBorders>
              <w:bottom w:val="single" w:sz="4" w:space="0" w:color="auto"/>
            </w:tcBorders>
            <w:vAlign w:val="center"/>
            <w:hideMark/>
          </w:tcPr>
          <w:p w14:paraId="593D38D7"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NGC5457-361-280</w:t>
            </w:r>
          </w:p>
        </w:tc>
        <w:tc>
          <w:tcPr>
            <w:tcW w:w="1274" w:type="dxa"/>
            <w:tcBorders>
              <w:bottom w:val="single" w:sz="4" w:space="0" w:color="auto"/>
            </w:tcBorders>
            <w:vAlign w:val="center"/>
            <w:hideMark/>
          </w:tcPr>
          <w:p w14:paraId="1CBA720A"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14:03:28.9</w:t>
            </w:r>
          </w:p>
        </w:tc>
        <w:tc>
          <w:tcPr>
            <w:tcW w:w="1331" w:type="dxa"/>
            <w:tcBorders>
              <w:bottom w:val="single" w:sz="4" w:space="0" w:color="auto"/>
            </w:tcBorders>
            <w:vAlign w:val="center"/>
            <w:hideMark/>
          </w:tcPr>
          <w:p w14:paraId="37B5AC9F"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+54:19:16.0</w:t>
            </w:r>
          </w:p>
        </w:tc>
        <w:tc>
          <w:tcPr>
            <w:tcW w:w="1656" w:type="dxa"/>
            <w:tcBorders>
              <w:bottom w:val="single" w:sz="4" w:space="0" w:color="auto"/>
            </w:tcBorders>
            <w:vAlign w:val="center"/>
            <w:hideMark/>
          </w:tcPr>
          <w:p w14:paraId="4FAC1213" w14:textId="5DCA6F06" w:rsidR="002A6D56" w:rsidRPr="00060787" w:rsidRDefault="002A6D56" w:rsidP="00373747">
            <w:pPr>
              <w:jc w:val="center"/>
              <w:rPr>
                <w:rFonts w:ascii="Arial" w:hAnsi="Arial" w:cs="Arial"/>
                <w:sz w:val="16"/>
                <w:szCs w:val="16"/>
                <w:lang w:val="en-IN" w:eastAsia="en-GB"/>
              </w:rPr>
            </w:pPr>
            <w:r>
              <w:rPr>
                <w:rFonts w:ascii="Arial" w:hAnsi="Arial" w:cs="Arial"/>
                <w:sz w:val="16"/>
                <w:szCs w:val="16"/>
                <w:lang w:val="en-IN" w:eastAsia="en-GB"/>
              </w:rPr>
              <w:t>4297</w:t>
            </w:r>
          </w:p>
        </w:tc>
      </w:tr>
    </w:tbl>
    <w:p w14:paraId="6E59B651" w14:textId="77777777" w:rsidR="002A6D56" w:rsidRDefault="002A6D56" w:rsidP="00CC4289">
      <w:pPr>
        <w:pStyle w:val="Body"/>
        <w:rPr>
          <w:rFonts w:ascii="Arial" w:hAnsi="Arial" w:cs="Arial"/>
          <w:sz w:val="16"/>
          <w:szCs w:val="16"/>
        </w:rPr>
      </w:pPr>
    </w:p>
    <w:p w14:paraId="5AB79C08" w14:textId="77777777" w:rsidR="009722D7" w:rsidRPr="009722D7" w:rsidRDefault="009722D7" w:rsidP="009722D7">
      <w:pPr>
        <w:pStyle w:val="Body"/>
        <w:rPr>
          <w:rFonts w:ascii="Arial" w:hAnsi="Arial" w:cs="Arial"/>
        </w:rPr>
      </w:pPr>
      <w:r w:rsidRPr="009722D7">
        <w:rPr>
          <w:rFonts w:ascii="Arial" w:hAnsi="Arial" w:cs="Arial"/>
        </w:rPr>
        <w:lastRenderedPageBreak/>
        <w:t xml:space="preserve">The observations were performed using the Mid-Infrared Instrument in its Medium Resolution Spectroscopy mode (Wright et al., 2023). The MRS is a powerful integral field spectrograph that provides simultaneous spatial and spectral information over the 4.9 to 27.9 µm wavelength range, a spectral window inaccessible to other JWST instruments at this resolving power (Argyriou et al., 2023). The instrument utilizes four separate Integral Field Units, designated as Channels 1, 2, 3, and 4 (Argyriou et al., 2023), which are fed by a series of </w:t>
      </w:r>
      <w:proofErr w:type="spellStart"/>
      <w:r w:rsidRPr="009722D7">
        <w:rPr>
          <w:rFonts w:ascii="Arial" w:hAnsi="Arial" w:cs="Arial"/>
        </w:rPr>
        <w:t>dichroics</w:t>
      </w:r>
      <w:proofErr w:type="spellEnd"/>
      <w:r w:rsidRPr="009722D7">
        <w:rPr>
          <w:rFonts w:ascii="Arial" w:hAnsi="Arial" w:cs="Arial"/>
        </w:rPr>
        <w:t xml:space="preserve"> to observe four distinct wavelength intervals simultaneously. Each IFU employs an image slicer to reformat a two-dimensional field of view into a long slit, which is then dispersed by a grating onto a 1024x1024 </w:t>
      </w:r>
      <w:proofErr w:type="spellStart"/>
      <w:proofErr w:type="gramStart"/>
      <w:r w:rsidRPr="009722D7">
        <w:rPr>
          <w:rFonts w:ascii="Arial" w:hAnsi="Arial" w:cs="Arial"/>
        </w:rPr>
        <w:t>Si:As</w:t>
      </w:r>
      <w:proofErr w:type="spellEnd"/>
      <w:proofErr w:type="gramEnd"/>
      <w:r w:rsidRPr="009722D7">
        <w:rPr>
          <w:rFonts w:ascii="Arial" w:hAnsi="Arial" w:cs="Arial"/>
        </w:rPr>
        <w:t xml:space="preserve"> detector array (Morrison et al., 2023).</w:t>
      </w:r>
    </w:p>
    <w:p w14:paraId="01BBC27C" w14:textId="5DDF58DB" w:rsidR="00CC4289" w:rsidRDefault="008701DC" w:rsidP="009722D7">
      <w:pPr>
        <w:pStyle w:val="Body"/>
        <w:rPr>
          <w:rFonts w:ascii="Arial" w:hAnsi="Arial" w:cs="Arial"/>
        </w:rPr>
      </w:pPr>
      <w:r>
        <w:rPr>
          <w:rFonts w:ascii="Arial" w:hAnsi="Arial" w:cs="Arial"/>
        </w:rPr>
        <w:t>The archival data has</w:t>
      </w:r>
      <w:r w:rsidR="009722D7" w:rsidRPr="009722D7">
        <w:rPr>
          <w:rFonts w:ascii="Arial" w:hAnsi="Arial" w:cs="Arial"/>
        </w:rPr>
        <w:t xml:space="preserve"> wavelength ranges of interest for this study</w:t>
      </w:r>
      <w:r>
        <w:rPr>
          <w:rFonts w:ascii="Arial" w:hAnsi="Arial" w:cs="Arial"/>
        </w:rPr>
        <w:t>;</w:t>
      </w:r>
      <w:r w:rsidR="009722D7" w:rsidRPr="009722D7">
        <w:rPr>
          <w:rFonts w:ascii="Arial" w:hAnsi="Arial" w:cs="Arial"/>
        </w:rPr>
        <w:t xml:space="preserve"> the observations were executed using the SHORT (A) and LONG (C) grating settings for MIRI Channels 1 </w:t>
      </w:r>
      <w:r w:rsidR="004C6449">
        <w:rPr>
          <w:rFonts w:ascii="Arial" w:hAnsi="Arial" w:cs="Arial"/>
        </w:rPr>
        <w:t xml:space="preserve">and </w:t>
      </w:r>
      <w:r w:rsidR="009722D7" w:rsidRPr="009722D7">
        <w:rPr>
          <w:rFonts w:ascii="Arial" w:hAnsi="Arial" w:cs="Arial"/>
        </w:rPr>
        <w:t xml:space="preserve">2. This configuration results in </w:t>
      </w:r>
      <w:r w:rsidR="004C6449">
        <w:rPr>
          <w:rFonts w:ascii="Arial" w:hAnsi="Arial" w:cs="Arial"/>
        </w:rPr>
        <w:t>4</w:t>
      </w:r>
      <w:r w:rsidR="009722D7" w:rsidRPr="009722D7">
        <w:rPr>
          <w:rFonts w:ascii="Arial" w:hAnsi="Arial" w:cs="Arial"/>
        </w:rPr>
        <w:t xml:space="preserve"> distinct spectral bands: 1A, 1C, 2A, 2C</w:t>
      </w:r>
      <w:r w:rsidR="004C6449">
        <w:rPr>
          <w:rFonts w:ascii="Arial" w:hAnsi="Arial" w:cs="Arial"/>
        </w:rPr>
        <w:t xml:space="preserve"> </w:t>
      </w:r>
      <w:r w:rsidR="009722D7" w:rsidRPr="009722D7">
        <w:rPr>
          <w:rFonts w:ascii="Arial" w:hAnsi="Arial" w:cs="Arial"/>
        </w:rPr>
        <w:t>(Argyriou et al., 2023). The spectral resolving power, R=λ/</w:t>
      </w:r>
      <w:proofErr w:type="spellStart"/>
      <w:r w:rsidR="009722D7" w:rsidRPr="009722D7">
        <w:rPr>
          <w:rFonts w:ascii="Arial" w:hAnsi="Arial" w:cs="Arial"/>
        </w:rPr>
        <w:t>Δλ</w:t>
      </w:r>
      <w:proofErr w:type="spellEnd"/>
      <w:r w:rsidR="009722D7" w:rsidRPr="009722D7">
        <w:rPr>
          <w:rFonts w:ascii="Arial" w:hAnsi="Arial" w:cs="Arial"/>
        </w:rPr>
        <w:t xml:space="preserve">, is wavelength-dependent, varying from R≈3,500 at the shortest wavelengths in Channel 1 to R≈2,400 at the wavelengths in Channel 3 (Argyriou et al., 2023). The field of view also increases with wavelength, from approximately 3.2″×3.7″ in Channel 1 to </w:t>
      </w:r>
      <w:r w:rsidR="00CB7E14">
        <w:rPr>
          <w:rFonts w:ascii="Arial" w:hAnsi="Arial" w:cs="Arial"/>
        </w:rPr>
        <w:t>4.0</w:t>
      </w:r>
      <w:r w:rsidR="009722D7" w:rsidRPr="009722D7">
        <w:rPr>
          <w:rFonts w:ascii="Arial" w:hAnsi="Arial" w:cs="Arial"/>
        </w:rPr>
        <w:t>″×</w:t>
      </w:r>
      <w:r w:rsidR="00CB7E14">
        <w:rPr>
          <w:rFonts w:ascii="Arial" w:hAnsi="Arial" w:cs="Arial"/>
        </w:rPr>
        <w:t>4.8</w:t>
      </w:r>
      <w:r w:rsidR="009722D7" w:rsidRPr="009722D7">
        <w:rPr>
          <w:rFonts w:ascii="Arial" w:hAnsi="Arial" w:cs="Arial"/>
        </w:rPr>
        <w:t xml:space="preserve">″ in Channel </w:t>
      </w:r>
      <w:r w:rsidR="00CB7E14">
        <w:rPr>
          <w:rFonts w:ascii="Arial" w:hAnsi="Arial" w:cs="Arial"/>
        </w:rPr>
        <w:t>2</w:t>
      </w:r>
      <w:r w:rsidR="009722D7" w:rsidRPr="009722D7">
        <w:rPr>
          <w:rFonts w:ascii="Arial" w:hAnsi="Arial" w:cs="Arial"/>
        </w:rPr>
        <w:t xml:space="preserve"> (</w:t>
      </w:r>
      <w:proofErr w:type="spellStart"/>
      <w:r w:rsidR="009722D7" w:rsidRPr="009722D7">
        <w:rPr>
          <w:rFonts w:ascii="Arial" w:hAnsi="Arial" w:cs="Arial"/>
        </w:rPr>
        <w:t>Patapis</w:t>
      </w:r>
      <w:proofErr w:type="spellEnd"/>
      <w:r w:rsidR="009722D7" w:rsidRPr="009722D7">
        <w:rPr>
          <w:rFonts w:ascii="Arial" w:hAnsi="Arial" w:cs="Arial"/>
        </w:rPr>
        <w:t xml:space="preserve"> et al., 2023). A summary of the instrumental parameters for each spectral band used is presented in Table 2.</w:t>
      </w:r>
    </w:p>
    <w:p w14:paraId="3D7BAD27" w14:textId="3C6F32F1" w:rsidR="004C6449" w:rsidRPr="008B51B7" w:rsidRDefault="004C6449" w:rsidP="004C6449">
      <w:pPr>
        <w:pStyle w:val="Caption"/>
        <w:keepNext/>
        <w:rPr>
          <w:rFonts w:ascii="Arial" w:hAnsi="Arial" w:cs="Arial"/>
          <w:i w:val="0"/>
          <w:iCs w:val="0"/>
          <w:color w:val="000000" w:themeColor="text1"/>
          <w:sz w:val="20"/>
          <w:szCs w:val="20"/>
        </w:rPr>
      </w:pPr>
      <w:r w:rsidRPr="008B51B7">
        <w:rPr>
          <w:rFonts w:ascii="Arial" w:hAnsi="Arial" w:cs="Arial"/>
          <w:i w:val="0"/>
          <w:iCs w:val="0"/>
          <w:color w:val="000000" w:themeColor="text1"/>
          <w:sz w:val="20"/>
          <w:szCs w:val="20"/>
        </w:rPr>
        <w:t xml:space="preserve">Table </w:t>
      </w:r>
      <w:r w:rsidRPr="008B51B7">
        <w:rPr>
          <w:rFonts w:ascii="Arial" w:hAnsi="Arial" w:cs="Arial"/>
          <w:i w:val="0"/>
          <w:iCs w:val="0"/>
          <w:color w:val="000000" w:themeColor="text1"/>
          <w:sz w:val="20"/>
          <w:szCs w:val="20"/>
        </w:rPr>
        <w:fldChar w:fldCharType="begin"/>
      </w:r>
      <w:r w:rsidRPr="008B51B7">
        <w:rPr>
          <w:rFonts w:ascii="Arial" w:hAnsi="Arial" w:cs="Arial"/>
          <w:i w:val="0"/>
          <w:iCs w:val="0"/>
          <w:color w:val="000000" w:themeColor="text1"/>
          <w:sz w:val="20"/>
          <w:szCs w:val="20"/>
        </w:rPr>
        <w:instrText xml:space="preserve"> SEQ Table \* ARABIC </w:instrText>
      </w:r>
      <w:r w:rsidRPr="008B51B7">
        <w:rPr>
          <w:rFonts w:ascii="Arial" w:hAnsi="Arial" w:cs="Arial"/>
          <w:i w:val="0"/>
          <w:iCs w:val="0"/>
          <w:color w:val="000000" w:themeColor="text1"/>
          <w:sz w:val="20"/>
          <w:szCs w:val="20"/>
        </w:rPr>
        <w:fldChar w:fldCharType="separate"/>
      </w:r>
      <w:r w:rsidR="00E73CE2">
        <w:rPr>
          <w:rFonts w:ascii="Arial" w:hAnsi="Arial" w:cs="Arial"/>
          <w:i w:val="0"/>
          <w:iCs w:val="0"/>
          <w:noProof/>
          <w:color w:val="000000" w:themeColor="text1"/>
          <w:sz w:val="20"/>
          <w:szCs w:val="20"/>
        </w:rPr>
        <w:t>2</w:t>
      </w:r>
      <w:r w:rsidRPr="008B51B7">
        <w:rPr>
          <w:rFonts w:ascii="Arial" w:hAnsi="Arial" w:cs="Arial"/>
          <w:i w:val="0"/>
          <w:iCs w:val="0"/>
          <w:color w:val="000000" w:themeColor="text1"/>
          <w:sz w:val="20"/>
          <w:szCs w:val="20"/>
        </w:rPr>
        <w:fldChar w:fldCharType="end"/>
      </w:r>
      <w:r w:rsidRPr="008B51B7">
        <w:rPr>
          <w:rFonts w:ascii="Arial" w:hAnsi="Arial" w:cs="Arial"/>
          <w:i w:val="0"/>
          <w:iCs w:val="0"/>
          <w:color w:val="000000" w:themeColor="text1"/>
          <w:sz w:val="20"/>
          <w:szCs w:val="20"/>
        </w:rPr>
        <w:t>: Spectral coverage, field of view, and resolving power for the instrument channels and sub-bands used in this work.</w:t>
      </w:r>
    </w:p>
    <w:tbl>
      <w:tblPr>
        <w:tblW w:w="8408" w:type="dxa"/>
        <w:tblCellSpacing w:w="15" w:type="dxa"/>
        <w:tblCellMar>
          <w:top w:w="15" w:type="dxa"/>
          <w:left w:w="15" w:type="dxa"/>
          <w:bottom w:w="15" w:type="dxa"/>
          <w:right w:w="15" w:type="dxa"/>
        </w:tblCellMar>
        <w:tblLook w:val="04A0" w:firstRow="1" w:lastRow="0" w:firstColumn="1" w:lastColumn="0" w:noHBand="0" w:noVBand="1"/>
      </w:tblPr>
      <w:tblGrid>
        <w:gridCol w:w="1237"/>
        <w:gridCol w:w="1134"/>
        <w:gridCol w:w="1705"/>
        <w:gridCol w:w="1866"/>
        <w:gridCol w:w="2466"/>
      </w:tblGrid>
      <w:tr w:rsidR="001F2F74" w:rsidRPr="00704C92" w14:paraId="4FB770E7" w14:textId="77777777" w:rsidTr="001F2F74">
        <w:trPr>
          <w:tblHeader/>
          <w:tblCellSpacing w:w="15" w:type="dxa"/>
        </w:trPr>
        <w:tc>
          <w:tcPr>
            <w:tcW w:w="0" w:type="auto"/>
            <w:tcBorders>
              <w:top w:val="single" w:sz="4" w:space="0" w:color="auto"/>
              <w:bottom w:val="single" w:sz="4" w:space="0" w:color="auto"/>
            </w:tcBorders>
            <w:vAlign w:val="center"/>
            <w:hideMark/>
          </w:tcPr>
          <w:p w14:paraId="73288B82" w14:textId="77777777" w:rsidR="00704C92"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Channel</w:t>
            </w:r>
          </w:p>
        </w:tc>
        <w:tc>
          <w:tcPr>
            <w:tcW w:w="1104" w:type="dxa"/>
            <w:tcBorders>
              <w:top w:val="single" w:sz="4" w:space="0" w:color="auto"/>
              <w:bottom w:val="single" w:sz="4" w:space="0" w:color="auto"/>
            </w:tcBorders>
            <w:vAlign w:val="center"/>
            <w:hideMark/>
          </w:tcPr>
          <w:p w14:paraId="757CDCAE" w14:textId="77777777" w:rsidR="00704C92"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Sub-band</w:t>
            </w:r>
          </w:p>
        </w:tc>
        <w:tc>
          <w:tcPr>
            <w:tcW w:w="0" w:type="auto"/>
            <w:tcBorders>
              <w:top w:val="single" w:sz="4" w:space="0" w:color="auto"/>
              <w:bottom w:val="single" w:sz="4" w:space="0" w:color="auto"/>
            </w:tcBorders>
            <w:vAlign w:val="center"/>
            <w:hideMark/>
          </w:tcPr>
          <w:p w14:paraId="6865B2F1" w14:textId="77777777" w:rsidR="001F2F74"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 xml:space="preserve">Wavelength </w:t>
            </w:r>
          </w:p>
          <w:p w14:paraId="522AF2F9" w14:textId="49BCBB2E" w:rsidR="00704C92"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Range (μm)</w:t>
            </w:r>
          </w:p>
        </w:tc>
        <w:tc>
          <w:tcPr>
            <w:tcW w:w="0" w:type="auto"/>
            <w:tcBorders>
              <w:top w:val="single" w:sz="4" w:space="0" w:color="auto"/>
              <w:bottom w:val="single" w:sz="4" w:space="0" w:color="auto"/>
            </w:tcBorders>
            <w:vAlign w:val="center"/>
            <w:hideMark/>
          </w:tcPr>
          <w:p w14:paraId="39113A40" w14:textId="77777777" w:rsidR="001F2F74"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 xml:space="preserve">Nominal </w:t>
            </w:r>
          </w:p>
          <w:p w14:paraId="54B82CB9" w14:textId="6A82DACF" w:rsidR="00704C92"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FOV (arcsec)</w:t>
            </w:r>
          </w:p>
        </w:tc>
        <w:tc>
          <w:tcPr>
            <w:tcW w:w="0" w:type="auto"/>
            <w:tcBorders>
              <w:top w:val="single" w:sz="4" w:space="0" w:color="auto"/>
              <w:bottom w:val="single" w:sz="4" w:space="0" w:color="auto"/>
            </w:tcBorders>
            <w:vAlign w:val="center"/>
            <w:hideMark/>
          </w:tcPr>
          <w:p w14:paraId="68ECF2CF" w14:textId="77777777" w:rsidR="001F2F74"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Mean Resolving</w:t>
            </w:r>
          </w:p>
          <w:p w14:paraId="38988F1F" w14:textId="6204B051" w:rsidR="00704C92"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 xml:space="preserve"> Power (R = λ/</w:t>
            </w:r>
            <w:proofErr w:type="spellStart"/>
            <w:r w:rsidRPr="00060787">
              <w:rPr>
                <w:rFonts w:ascii="Arial" w:hAnsi="Arial" w:cs="Arial"/>
                <w:b/>
                <w:bCs/>
                <w:sz w:val="18"/>
                <w:szCs w:val="18"/>
                <w:lang w:val="en-IN" w:eastAsia="en-GB"/>
              </w:rPr>
              <w:t>Δλ</w:t>
            </w:r>
            <w:proofErr w:type="spellEnd"/>
            <w:r w:rsidRPr="00060787">
              <w:rPr>
                <w:rFonts w:ascii="Arial" w:hAnsi="Arial" w:cs="Arial"/>
                <w:b/>
                <w:bCs/>
                <w:sz w:val="18"/>
                <w:szCs w:val="18"/>
                <w:lang w:val="en-IN" w:eastAsia="en-GB"/>
              </w:rPr>
              <w:t>)</w:t>
            </w:r>
          </w:p>
        </w:tc>
      </w:tr>
      <w:tr w:rsidR="001F2F74" w:rsidRPr="00704C92" w14:paraId="03917E52" w14:textId="77777777" w:rsidTr="00704C92">
        <w:trPr>
          <w:tblCellSpacing w:w="15" w:type="dxa"/>
        </w:trPr>
        <w:tc>
          <w:tcPr>
            <w:tcW w:w="0" w:type="auto"/>
            <w:vAlign w:val="center"/>
            <w:hideMark/>
          </w:tcPr>
          <w:p w14:paraId="0637C0C6"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1</w:t>
            </w:r>
          </w:p>
        </w:tc>
        <w:tc>
          <w:tcPr>
            <w:tcW w:w="1104" w:type="dxa"/>
            <w:vAlign w:val="center"/>
            <w:hideMark/>
          </w:tcPr>
          <w:p w14:paraId="23EB3104"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LONG (C)</w:t>
            </w:r>
          </w:p>
        </w:tc>
        <w:tc>
          <w:tcPr>
            <w:tcW w:w="0" w:type="auto"/>
            <w:vAlign w:val="center"/>
            <w:hideMark/>
          </w:tcPr>
          <w:p w14:paraId="10C42C11"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6.53–7.65</w:t>
            </w:r>
          </w:p>
        </w:tc>
        <w:tc>
          <w:tcPr>
            <w:tcW w:w="0" w:type="auto"/>
            <w:vAlign w:val="center"/>
            <w:hideMark/>
          </w:tcPr>
          <w:p w14:paraId="50DB31D6" w14:textId="54B96658" w:rsidR="00704C92" w:rsidRPr="00060787" w:rsidRDefault="001F2F74" w:rsidP="00704C92">
            <w:pPr>
              <w:jc w:val="center"/>
              <w:rPr>
                <w:rFonts w:ascii="Arial" w:hAnsi="Arial" w:cs="Arial"/>
                <w:sz w:val="16"/>
                <w:szCs w:val="16"/>
                <w:lang w:val="en-IN" w:eastAsia="en-GB"/>
              </w:rPr>
            </w:pPr>
            <w:r w:rsidRPr="00060787">
              <w:rPr>
                <w:rFonts w:ascii="Arial" w:hAnsi="Arial" w:cs="Arial"/>
                <w:sz w:val="16"/>
                <w:szCs w:val="16"/>
                <w:lang w:val="en-IN" w:eastAsia="en-GB"/>
              </w:rPr>
              <w:t>3.2 × 3.7</w:t>
            </w:r>
          </w:p>
        </w:tc>
        <w:tc>
          <w:tcPr>
            <w:tcW w:w="0" w:type="auto"/>
            <w:vAlign w:val="center"/>
            <w:hideMark/>
          </w:tcPr>
          <w:p w14:paraId="0413B849"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3,355</w:t>
            </w:r>
          </w:p>
        </w:tc>
      </w:tr>
      <w:tr w:rsidR="001F2F74" w:rsidRPr="00704C92" w14:paraId="40C598F0" w14:textId="77777777" w:rsidTr="00704C92">
        <w:trPr>
          <w:tblCellSpacing w:w="15" w:type="dxa"/>
        </w:trPr>
        <w:tc>
          <w:tcPr>
            <w:tcW w:w="0" w:type="auto"/>
            <w:vAlign w:val="center"/>
            <w:hideMark/>
          </w:tcPr>
          <w:p w14:paraId="7FA7D34C"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2</w:t>
            </w:r>
          </w:p>
        </w:tc>
        <w:tc>
          <w:tcPr>
            <w:tcW w:w="1104" w:type="dxa"/>
            <w:vAlign w:val="center"/>
            <w:hideMark/>
          </w:tcPr>
          <w:p w14:paraId="6461FDB3"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SHORT (A)</w:t>
            </w:r>
          </w:p>
        </w:tc>
        <w:tc>
          <w:tcPr>
            <w:tcW w:w="0" w:type="auto"/>
            <w:vAlign w:val="center"/>
            <w:hideMark/>
          </w:tcPr>
          <w:p w14:paraId="1E4E95DE"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7.51–8.77</w:t>
            </w:r>
          </w:p>
        </w:tc>
        <w:tc>
          <w:tcPr>
            <w:tcW w:w="0" w:type="auto"/>
            <w:vAlign w:val="center"/>
            <w:hideMark/>
          </w:tcPr>
          <w:p w14:paraId="47D83752"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4.0 × 4.8</w:t>
            </w:r>
          </w:p>
        </w:tc>
        <w:tc>
          <w:tcPr>
            <w:tcW w:w="0" w:type="auto"/>
            <w:vAlign w:val="center"/>
            <w:hideMark/>
          </w:tcPr>
          <w:p w14:paraId="4CCF1E2E"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3,050</w:t>
            </w:r>
          </w:p>
        </w:tc>
      </w:tr>
      <w:tr w:rsidR="001F2F74" w:rsidRPr="00704C92" w14:paraId="68835212" w14:textId="77777777" w:rsidTr="00060787">
        <w:trPr>
          <w:tblCellSpacing w:w="15" w:type="dxa"/>
        </w:trPr>
        <w:tc>
          <w:tcPr>
            <w:tcW w:w="0" w:type="auto"/>
            <w:tcBorders>
              <w:bottom w:val="single" w:sz="4" w:space="0" w:color="auto"/>
            </w:tcBorders>
            <w:vAlign w:val="center"/>
            <w:hideMark/>
          </w:tcPr>
          <w:p w14:paraId="7788FAF0"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2</w:t>
            </w:r>
          </w:p>
        </w:tc>
        <w:tc>
          <w:tcPr>
            <w:tcW w:w="1104" w:type="dxa"/>
            <w:tcBorders>
              <w:bottom w:val="single" w:sz="4" w:space="0" w:color="auto"/>
            </w:tcBorders>
            <w:vAlign w:val="center"/>
            <w:hideMark/>
          </w:tcPr>
          <w:p w14:paraId="5D0FBB87"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LONG (C)</w:t>
            </w:r>
          </w:p>
        </w:tc>
        <w:tc>
          <w:tcPr>
            <w:tcW w:w="0" w:type="auto"/>
            <w:tcBorders>
              <w:bottom w:val="single" w:sz="4" w:space="0" w:color="auto"/>
            </w:tcBorders>
            <w:vAlign w:val="center"/>
            <w:hideMark/>
          </w:tcPr>
          <w:p w14:paraId="3F9A0AED"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10.01–11.70</w:t>
            </w:r>
          </w:p>
        </w:tc>
        <w:tc>
          <w:tcPr>
            <w:tcW w:w="0" w:type="auto"/>
            <w:tcBorders>
              <w:bottom w:val="single" w:sz="4" w:space="0" w:color="auto"/>
            </w:tcBorders>
            <w:vAlign w:val="center"/>
            <w:hideMark/>
          </w:tcPr>
          <w:p w14:paraId="13A1FA9F" w14:textId="67D9A510" w:rsidR="00704C92" w:rsidRPr="00060787" w:rsidRDefault="001F2F74" w:rsidP="00704C92">
            <w:pPr>
              <w:jc w:val="center"/>
              <w:rPr>
                <w:rFonts w:ascii="Arial" w:hAnsi="Arial" w:cs="Arial"/>
                <w:sz w:val="16"/>
                <w:szCs w:val="16"/>
                <w:lang w:val="en-IN" w:eastAsia="en-GB"/>
              </w:rPr>
            </w:pPr>
            <w:r w:rsidRPr="00060787">
              <w:rPr>
                <w:rFonts w:ascii="Arial" w:hAnsi="Arial" w:cs="Arial"/>
                <w:sz w:val="16"/>
                <w:szCs w:val="16"/>
                <w:lang w:val="en-IN" w:eastAsia="en-GB"/>
              </w:rPr>
              <w:t>4.0 × 4.8</w:t>
            </w:r>
          </w:p>
        </w:tc>
        <w:tc>
          <w:tcPr>
            <w:tcW w:w="0" w:type="auto"/>
            <w:tcBorders>
              <w:bottom w:val="single" w:sz="4" w:space="0" w:color="auto"/>
            </w:tcBorders>
            <w:vAlign w:val="center"/>
            <w:hideMark/>
          </w:tcPr>
          <w:p w14:paraId="4818550B"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3,080</w:t>
            </w:r>
          </w:p>
        </w:tc>
      </w:tr>
    </w:tbl>
    <w:p w14:paraId="7A140E68" w14:textId="77777777" w:rsidR="00704C92" w:rsidRPr="00CC4289" w:rsidRDefault="00704C92" w:rsidP="00CC4289">
      <w:pPr>
        <w:pStyle w:val="Body"/>
        <w:rPr>
          <w:rFonts w:ascii="Arial" w:hAnsi="Arial" w:cs="Arial"/>
        </w:rPr>
      </w:pPr>
    </w:p>
    <w:p w14:paraId="0D197551" w14:textId="35F464D8" w:rsidR="00CC4289" w:rsidRDefault="00CC4289" w:rsidP="00CC4289">
      <w:pPr>
        <w:pStyle w:val="Body"/>
        <w:spacing w:after="0"/>
        <w:rPr>
          <w:rFonts w:ascii="Arial" w:hAnsi="Arial" w:cs="Arial"/>
        </w:rPr>
      </w:pPr>
      <w:r w:rsidRPr="00CC4289">
        <w:rPr>
          <w:rFonts w:ascii="Arial" w:hAnsi="Arial" w:cs="Arial"/>
        </w:rPr>
        <w:t xml:space="preserve">A standard 4-point dither pattern was employed for all observations. This observing strategy is critical for several reasons. First, it allows for the mitigation of detector artifacts, such as bad pixels and residual cosmic ray hits, by observing the target at multiple detector locations. Second, and more fundamentally, it is required to properly sample the instrument's point spread function (PSF) and line spread function (LSF). Both the spatial and spectral resolution elements of JWST are intentionally </w:t>
      </w:r>
      <w:proofErr w:type="spellStart"/>
      <w:r w:rsidRPr="00CC4289">
        <w:rPr>
          <w:rFonts w:ascii="Arial" w:hAnsi="Arial" w:cs="Arial"/>
        </w:rPr>
        <w:t>undersampled</w:t>
      </w:r>
      <w:proofErr w:type="spellEnd"/>
      <w:r w:rsidRPr="00CC4289">
        <w:rPr>
          <w:rFonts w:ascii="Arial" w:hAnsi="Arial" w:cs="Arial"/>
        </w:rPr>
        <w:t xml:space="preserve"> by the MIRI detector pixels; the use of a dither pattern with sub-pixel offsets allows for the reconstruction of a well-sampled, high-fidelity data cube during the final stages of the data reduction pipeline. The archival FITS headers indicate that Target Acquisition (TA) was performed for each pointing, which refines the pointing accuracy from the nominal JWST blind pointing uncertainty of ~0.3" to a precision of approximately 90 mas, ensuring the compact HII region cores were accurately centered within the IFU field of view.</w:t>
      </w:r>
    </w:p>
    <w:p w14:paraId="5E6CF5DB" w14:textId="77777777" w:rsidR="00CC4289" w:rsidRDefault="00CC4289" w:rsidP="00CC4289">
      <w:pPr>
        <w:pStyle w:val="Body"/>
        <w:spacing w:after="0"/>
        <w:rPr>
          <w:rFonts w:ascii="Arial" w:hAnsi="Arial" w:cs="Arial"/>
        </w:rPr>
      </w:pPr>
    </w:p>
    <w:p w14:paraId="4F4EB215" w14:textId="77777777" w:rsidR="00C92C04" w:rsidRPr="00C92C04" w:rsidRDefault="00C92C04" w:rsidP="00C92C04">
      <w:pPr>
        <w:pStyle w:val="Body"/>
        <w:rPr>
          <w:rFonts w:ascii="Arial" w:hAnsi="Arial" w:cs="Arial"/>
          <w:b/>
          <w:bCs/>
        </w:rPr>
      </w:pPr>
      <w:r w:rsidRPr="00C92C04">
        <w:rPr>
          <w:rFonts w:ascii="Arial" w:hAnsi="Arial" w:cs="Arial"/>
          <w:b/>
          <w:bCs/>
        </w:rPr>
        <w:t>2.2. Data Retrieval and Pipeline Processing</w:t>
      </w:r>
    </w:p>
    <w:p w14:paraId="496C31AE" w14:textId="77777777" w:rsidR="00C92C04" w:rsidRDefault="00C92C04" w:rsidP="00C92C04">
      <w:pPr>
        <w:pStyle w:val="Body"/>
        <w:rPr>
          <w:rFonts w:ascii="Arial" w:hAnsi="Arial" w:cs="Arial"/>
        </w:rPr>
      </w:pPr>
      <w:r w:rsidRPr="00C92C04">
        <w:rPr>
          <w:rFonts w:ascii="Arial" w:hAnsi="Arial" w:cs="Arial"/>
        </w:rPr>
        <w:t xml:space="preserve">The data were retrieved programmatically from the MAST portal using the </w:t>
      </w:r>
      <w:proofErr w:type="spellStart"/>
      <w:r w:rsidRPr="00C92C04">
        <w:rPr>
          <w:rFonts w:ascii="Arial" w:hAnsi="Arial" w:cs="Arial"/>
        </w:rPr>
        <w:t>astroquery</w:t>
      </w:r>
      <w:proofErr w:type="spellEnd"/>
      <w:r w:rsidRPr="00C92C04">
        <w:rPr>
          <w:rFonts w:ascii="Arial" w:hAnsi="Arial" w:cs="Arial"/>
        </w:rPr>
        <w:t xml:space="preserve"> Python package. The analysis is based on the Level 3 science products, which are generated by the official JWST Science Calibration Pipeline</w:t>
      </w:r>
      <w:r>
        <w:rPr>
          <w:rFonts w:ascii="Arial" w:hAnsi="Arial" w:cs="Arial"/>
        </w:rPr>
        <w:t xml:space="preserve">. </w:t>
      </w:r>
      <w:r w:rsidRPr="00C92C04">
        <w:rPr>
          <w:rFonts w:ascii="Arial" w:hAnsi="Arial" w:cs="Arial"/>
        </w:rPr>
        <w:t xml:space="preserve">The specific data products used were processed with pipeline </w:t>
      </w:r>
      <w:r w:rsidRPr="00C92C04">
        <w:rPr>
          <w:rFonts w:ascii="Arial" w:hAnsi="Arial" w:cs="Arial"/>
          <w:i/>
          <w:iCs/>
        </w:rPr>
        <w:t>version 1.17.1 (Build 11.2)</w:t>
      </w:r>
      <w:r w:rsidRPr="00C92C04">
        <w:rPr>
          <w:rFonts w:ascii="Arial" w:hAnsi="Arial" w:cs="Arial"/>
        </w:rPr>
        <w:t xml:space="preserve"> and the Calibration Reference Data System (CRDS) context </w:t>
      </w:r>
      <w:r w:rsidRPr="00C92C04">
        <w:rPr>
          <w:rFonts w:ascii="Arial" w:hAnsi="Arial" w:cs="Arial"/>
          <w:i/>
          <w:iCs/>
        </w:rPr>
        <w:t>jwst_1413.pmap</w:t>
      </w:r>
      <w:r w:rsidRPr="00C92C04">
        <w:rPr>
          <w:rFonts w:ascii="Arial" w:hAnsi="Arial" w:cs="Arial"/>
        </w:rPr>
        <w:t xml:space="preserve">. Specifying the pipeline version and CRDS context is of fundamental importance for the reproducibility of this work. The calibration of MIRI, particularly at longer wavelengths, is known to be time-dependent due to a gradual decrease in detector throughput, which is most pronounced in Channels 3 and 4. The JWST pipeline incorporates a time-dependent sensitivity model to correct for this effect, and this model is updated with new </w:t>
      </w:r>
      <w:r w:rsidRPr="00C92C04">
        <w:rPr>
          <w:rFonts w:ascii="Arial" w:hAnsi="Arial" w:cs="Arial"/>
        </w:rPr>
        <w:lastRenderedPageBreak/>
        <w:t>pipeline builds. Using data processed with a specified, recent build ensures that the flux calibration is as accurate as possible and that the results can be reliably compared to other studies.</w:t>
      </w:r>
    </w:p>
    <w:p w14:paraId="770A3E37" w14:textId="6E6D5EB6" w:rsidR="00C92C04" w:rsidRDefault="00C92C04" w:rsidP="00C92C04">
      <w:pPr>
        <w:pStyle w:val="Body"/>
        <w:rPr>
          <w:rFonts w:ascii="Arial" w:hAnsi="Arial" w:cs="Arial"/>
        </w:rPr>
      </w:pPr>
      <w:r w:rsidRPr="00C92C04">
        <w:rPr>
          <w:rFonts w:ascii="Arial" w:hAnsi="Arial" w:cs="Arial"/>
        </w:rPr>
        <w:t xml:space="preserve">The JWST pipeline processing is divided into three principal stages:   </w:t>
      </w:r>
    </w:p>
    <w:p w14:paraId="7E2BEE82" w14:textId="3E90D87A" w:rsidR="00C92C04" w:rsidRPr="00C92C04" w:rsidRDefault="00C92C04" w:rsidP="00C92C04">
      <w:pPr>
        <w:pStyle w:val="Body"/>
        <w:rPr>
          <w:rFonts w:ascii="Arial" w:hAnsi="Arial" w:cs="Arial"/>
        </w:rPr>
      </w:pPr>
      <w:r w:rsidRPr="00924E58">
        <w:rPr>
          <w:rFonts w:ascii="Arial" w:hAnsi="Arial" w:cs="Arial"/>
          <w:b/>
          <w:bCs/>
          <w:i/>
          <w:iCs/>
        </w:rPr>
        <w:t>Stage 1 (calwebb_detector1):</w:t>
      </w:r>
      <w:r w:rsidRPr="00C92C04">
        <w:rPr>
          <w:rFonts w:ascii="Arial" w:hAnsi="Arial" w:cs="Arial"/>
        </w:rPr>
        <w:t xml:space="preserve"> This stage operates on the raw telemetry data (*</w:t>
      </w:r>
      <w:proofErr w:type="spellStart"/>
      <w:proofErr w:type="gramStart"/>
      <w:r w:rsidRPr="00C92C04">
        <w:rPr>
          <w:rFonts w:ascii="Arial" w:hAnsi="Arial" w:cs="Arial"/>
        </w:rPr>
        <w:t>uncal.fits</w:t>
      </w:r>
      <w:proofErr w:type="spellEnd"/>
      <w:proofErr w:type="gramEnd"/>
      <w:r w:rsidRPr="00C92C04">
        <w:rPr>
          <w:rFonts w:ascii="Arial" w:hAnsi="Arial" w:cs="Arial"/>
        </w:rPr>
        <w:t>), which consist</w:t>
      </w:r>
      <w:r>
        <w:rPr>
          <w:rFonts w:ascii="Arial" w:hAnsi="Arial" w:cs="Arial"/>
        </w:rPr>
        <w:t>s</w:t>
      </w:r>
      <w:r w:rsidRPr="00C92C04">
        <w:rPr>
          <w:rFonts w:ascii="Arial" w:hAnsi="Arial" w:cs="Arial"/>
        </w:rPr>
        <w:t xml:space="preserve"> of up-the-ramp integrations. It performs fundamental detector-level corrections, including subtraction of a super</w:t>
      </w:r>
      <w:r>
        <w:rPr>
          <w:rFonts w:ascii="Arial" w:hAnsi="Arial" w:cs="Arial"/>
        </w:rPr>
        <w:t xml:space="preserve"> </w:t>
      </w:r>
      <w:r w:rsidRPr="00C92C04">
        <w:rPr>
          <w:rFonts w:ascii="Arial" w:hAnsi="Arial" w:cs="Arial"/>
        </w:rPr>
        <w:t>bias frame, flagging of saturated pixels, linearity correction, and dark current subtraction. A key step is the identification and flagging of jumps in the ramps caused by cosmic ray impacts. The final output is a set of two-dimensional slope images (*</w:t>
      </w:r>
      <w:proofErr w:type="spellStart"/>
      <w:proofErr w:type="gramStart"/>
      <w:r w:rsidRPr="00C92C04">
        <w:rPr>
          <w:rFonts w:ascii="Arial" w:hAnsi="Arial" w:cs="Arial"/>
        </w:rPr>
        <w:t>rate.fits</w:t>
      </w:r>
      <w:proofErr w:type="spellEnd"/>
      <w:proofErr w:type="gramEnd"/>
      <w:r w:rsidRPr="00C92C04">
        <w:rPr>
          <w:rFonts w:ascii="Arial" w:hAnsi="Arial" w:cs="Arial"/>
        </w:rPr>
        <w:t>) in units of DN/s for each dither position.</w:t>
      </w:r>
    </w:p>
    <w:p w14:paraId="50789102" w14:textId="5C9C216C" w:rsidR="00C92C04" w:rsidRPr="00C92C04" w:rsidRDefault="00C92C04" w:rsidP="00C92C04">
      <w:pPr>
        <w:pStyle w:val="Body"/>
        <w:rPr>
          <w:rFonts w:ascii="Arial" w:hAnsi="Arial" w:cs="Arial"/>
        </w:rPr>
      </w:pPr>
      <w:r w:rsidRPr="00924E58">
        <w:rPr>
          <w:rFonts w:ascii="Arial" w:hAnsi="Arial" w:cs="Arial"/>
          <w:b/>
          <w:bCs/>
          <w:i/>
          <w:iCs/>
        </w:rPr>
        <w:t>Stage 2 (calwebb_spec2):</w:t>
      </w:r>
      <w:r w:rsidRPr="00C92C04">
        <w:rPr>
          <w:rFonts w:ascii="Arial" w:hAnsi="Arial" w:cs="Arial"/>
        </w:rPr>
        <w:t xml:space="preserve"> This stage takes the individual slope images and applies a series of spectroscopic calibrations. For MRS data, this includes applying a flat-field correction to account for pixel-to-pixel sensitivity variations, correcting for stray light, and applying a first-pass fringe correction. Crucially, this stage also performs the photometric (flux) calibration, converting the signal from DN/s to physical units (</w:t>
      </w:r>
      <w:proofErr w:type="spellStart"/>
      <w:r w:rsidRPr="00C92C04">
        <w:rPr>
          <w:rFonts w:ascii="Arial" w:hAnsi="Arial" w:cs="Arial"/>
        </w:rPr>
        <w:t>MJy</w:t>
      </w:r>
      <w:proofErr w:type="spellEnd"/>
      <w:r w:rsidRPr="00C92C04">
        <w:rPr>
          <w:rFonts w:ascii="Arial" w:hAnsi="Arial" w:cs="Arial"/>
        </w:rPr>
        <w:t>/</w:t>
      </w:r>
      <w:proofErr w:type="spellStart"/>
      <w:r w:rsidRPr="00C92C04">
        <w:rPr>
          <w:rFonts w:ascii="Arial" w:hAnsi="Arial" w:cs="Arial"/>
        </w:rPr>
        <w:t>sr</w:t>
      </w:r>
      <w:proofErr w:type="spellEnd"/>
      <w:r w:rsidRPr="00C92C04">
        <w:rPr>
          <w:rFonts w:ascii="Arial" w:hAnsi="Arial" w:cs="Arial"/>
        </w:rPr>
        <w:t>), and attaches a World Coordinate System (WCS) solution to the data. The WCS provides the mapping from detector pixel coordinates to on-sky position (RA, Dec) and wavelength for every pixel in the IFU. The wavelength calibration is based on in-flight observations of giant planets and atmospheric models, achieving a typical accuracy of a few km/s. The output products are fully calibrated individual exposures (*</w:t>
      </w:r>
      <w:proofErr w:type="spellStart"/>
      <w:proofErr w:type="gramStart"/>
      <w:r w:rsidRPr="00C92C04">
        <w:rPr>
          <w:rFonts w:ascii="Arial" w:hAnsi="Arial" w:cs="Arial"/>
        </w:rPr>
        <w:t>cal.fits</w:t>
      </w:r>
      <w:proofErr w:type="spellEnd"/>
      <w:proofErr w:type="gramEnd"/>
      <w:r w:rsidRPr="00C92C04">
        <w:rPr>
          <w:rFonts w:ascii="Arial" w:hAnsi="Arial" w:cs="Arial"/>
        </w:rPr>
        <w:t>).</w:t>
      </w:r>
    </w:p>
    <w:p w14:paraId="43557292" w14:textId="2FE56D44" w:rsidR="00C92C04" w:rsidRPr="00C92C04" w:rsidRDefault="00C92C04" w:rsidP="00C92C04">
      <w:pPr>
        <w:pStyle w:val="Body"/>
        <w:rPr>
          <w:rFonts w:ascii="Arial" w:hAnsi="Arial" w:cs="Arial"/>
        </w:rPr>
      </w:pPr>
      <w:r w:rsidRPr="00924E58">
        <w:rPr>
          <w:rFonts w:ascii="Arial" w:hAnsi="Arial" w:cs="Arial"/>
          <w:b/>
          <w:bCs/>
          <w:i/>
          <w:iCs/>
        </w:rPr>
        <w:t>Stage 3 (calwebb_spec3):</w:t>
      </w:r>
      <w:r w:rsidRPr="00C92C04">
        <w:rPr>
          <w:rFonts w:ascii="Arial" w:hAnsi="Arial" w:cs="Arial"/>
        </w:rPr>
        <w:t xml:space="preserve"> This final stage combines the multiple dithered exposures from Stage 2 into a single, science-ready data product. The process begins with background matching and outlier detection, which identifies and rejects residual bad pixels and cosmic rays that were not flagged in Stage 1. The core of this stage is the resampling of the data from the individual, distorted detector frames onto a regular, three-dimensional grid with two spatial axes (RA, Dec) and one spectral axis (wavelength). This step, often referred to as "cube building," uses a 3D drizzle-like algorithm to combine the dithered </w:t>
      </w:r>
      <w:proofErr w:type="spellStart"/>
      <w:r w:rsidRPr="00C92C04">
        <w:rPr>
          <w:rFonts w:ascii="Arial" w:hAnsi="Arial" w:cs="Arial"/>
        </w:rPr>
        <w:t>pointings</w:t>
      </w:r>
      <w:proofErr w:type="spellEnd"/>
      <w:r w:rsidRPr="00C92C04">
        <w:rPr>
          <w:rFonts w:ascii="Arial" w:hAnsi="Arial" w:cs="Arial"/>
        </w:rPr>
        <w:t xml:space="preserve">, resulting in a final data cube (*s3d.fits) for each of the 12 spectral </w:t>
      </w:r>
      <w:r>
        <w:rPr>
          <w:rFonts w:ascii="Arial" w:hAnsi="Arial" w:cs="Arial"/>
        </w:rPr>
        <w:t>bands.</w:t>
      </w:r>
    </w:p>
    <w:p w14:paraId="7A65C62B" w14:textId="77777777" w:rsidR="00C92C04" w:rsidRPr="00C92C04" w:rsidRDefault="00C92C04" w:rsidP="00C92C04">
      <w:pPr>
        <w:pStyle w:val="Body"/>
        <w:rPr>
          <w:rFonts w:ascii="Arial" w:hAnsi="Arial" w:cs="Arial"/>
          <w:b/>
          <w:bCs/>
        </w:rPr>
      </w:pPr>
      <w:r w:rsidRPr="00C92C04">
        <w:rPr>
          <w:rFonts w:ascii="Arial" w:hAnsi="Arial" w:cs="Arial"/>
          <w:b/>
          <w:bCs/>
        </w:rPr>
        <w:t>2.3. Spectral Extraction and Final Data Products</w:t>
      </w:r>
    </w:p>
    <w:p w14:paraId="2D704A78" w14:textId="60072881" w:rsidR="00C92C04" w:rsidRPr="00C92C04" w:rsidRDefault="00C92C04" w:rsidP="00C92C04">
      <w:pPr>
        <w:pStyle w:val="Body"/>
        <w:rPr>
          <w:rFonts w:ascii="Arial" w:hAnsi="Arial" w:cs="Arial"/>
        </w:rPr>
      </w:pPr>
      <w:r w:rsidRPr="00C92C04">
        <w:rPr>
          <w:rFonts w:ascii="Arial" w:hAnsi="Arial" w:cs="Arial"/>
        </w:rPr>
        <w:t xml:space="preserve">The quantitative analysis in this paper is based on the Level 3, three-dimensional data cubes (*s3d.fits) produced by the </w:t>
      </w:r>
      <w:r w:rsidRPr="00C92C04">
        <w:rPr>
          <w:rFonts w:ascii="Arial" w:hAnsi="Arial" w:cs="Arial"/>
          <w:i/>
          <w:iCs/>
        </w:rPr>
        <w:t>calwebb_spec3</w:t>
      </w:r>
      <w:r w:rsidRPr="00C92C04">
        <w:rPr>
          <w:rFonts w:ascii="Arial" w:hAnsi="Arial" w:cs="Arial"/>
        </w:rPr>
        <w:t xml:space="preserve"> pipeline. The final spectral extraction and analysis were performed using the </w:t>
      </w:r>
      <w:proofErr w:type="spellStart"/>
      <w:r w:rsidRPr="00C92C04">
        <w:rPr>
          <w:rFonts w:ascii="Arial" w:hAnsi="Arial" w:cs="Arial"/>
        </w:rPr>
        <w:t>Jdaviz</w:t>
      </w:r>
      <w:proofErr w:type="spellEnd"/>
      <w:r w:rsidRPr="00C92C04">
        <w:rPr>
          <w:rFonts w:ascii="Arial" w:hAnsi="Arial" w:cs="Arial"/>
        </w:rPr>
        <w:t xml:space="preserve"> software package, specifically its </w:t>
      </w:r>
      <w:proofErr w:type="spellStart"/>
      <w:r w:rsidRPr="00C92C04">
        <w:rPr>
          <w:rFonts w:ascii="Arial" w:hAnsi="Arial" w:cs="Arial"/>
        </w:rPr>
        <w:t>Cubeviz</w:t>
      </w:r>
      <w:proofErr w:type="spellEnd"/>
      <w:r w:rsidRPr="00C92C04">
        <w:rPr>
          <w:rFonts w:ascii="Arial" w:hAnsi="Arial" w:cs="Arial"/>
        </w:rPr>
        <w:t xml:space="preserve"> configuration.</w:t>
      </w:r>
    </w:p>
    <w:p w14:paraId="69C3F5C9" w14:textId="2BD41E06" w:rsidR="00CC4289" w:rsidRDefault="00C92C04" w:rsidP="00C92C04">
      <w:pPr>
        <w:pStyle w:val="Body"/>
        <w:rPr>
          <w:rFonts w:ascii="Arial" w:hAnsi="Arial" w:cs="Arial"/>
        </w:rPr>
      </w:pPr>
      <w:r w:rsidRPr="00C92C04">
        <w:rPr>
          <w:rFonts w:ascii="Arial" w:hAnsi="Arial" w:cs="Arial"/>
        </w:rPr>
        <w:t xml:space="preserve">For each of the six spectral bands per target, the corresponding *s3d.fits data cube was loaded into the </w:t>
      </w:r>
      <w:proofErr w:type="spellStart"/>
      <w:r w:rsidRPr="00C92C04">
        <w:rPr>
          <w:rFonts w:ascii="Arial" w:hAnsi="Arial" w:cs="Arial"/>
        </w:rPr>
        <w:t>Cubeviz</w:t>
      </w:r>
      <w:proofErr w:type="spellEnd"/>
      <w:r w:rsidRPr="00C92C04">
        <w:rPr>
          <w:rFonts w:ascii="Arial" w:hAnsi="Arial" w:cs="Arial"/>
        </w:rPr>
        <w:t xml:space="preserve"> application. Visual inspection of the collapsed "white-light" image in the </w:t>
      </w:r>
      <w:proofErr w:type="spellStart"/>
      <w:r w:rsidRPr="00C92C04">
        <w:rPr>
          <w:rFonts w:ascii="Arial" w:hAnsi="Arial" w:cs="Arial"/>
        </w:rPr>
        <w:t>Cubeviz</w:t>
      </w:r>
      <w:proofErr w:type="spellEnd"/>
      <w:r w:rsidRPr="00C92C04">
        <w:rPr>
          <w:rFonts w:ascii="Arial" w:hAnsi="Arial" w:cs="Arial"/>
        </w:rPr>
        <w:t xml:space="preserve"> viewer confirmed that the HII regions are compact and well-centered. To extract a one-dimensional spectrum, we utilized the interactive tools within </w:t>
      </w:r>
      <w:proofErr w:type="spellStart"/>
      <w:r w:rsidRPr="00C92C04">
        <w:rPr>
          <w:rFonts w:ascii="Arial" w:hAnsi="Arial" w:cs="Arial"/>
        </w:rPr>
        <w:t>Cubeviz</w:t>
      </w:r>
      <w:proofErr w:type="spellEnd"/>
      <w:r w:rsidRPr="00C92C04">
        <w:rPr>
          <w:rFonts w:ascii="Arial" w:hAnsi="Arial" w:cs="Arial"/>
        </w:rPr>
        <w:t xml:space="preserve">. A circular spatial region was defined in the image viewer to encompass the bright core of each HII </w:t>
      </w:r>
      <w:r>
        <w:rPr>
          <w:rFonts w:ascii="Arial" w:hAnsi="Arial" w:cs="Arial"/>
        </w:rPr>
        <w:t xml:space="preserve">region. </w:t>
      </w:r>
      <w:r w:rsidRPr="00C92C04">
        <w:rPr>
          <w:rFonts w:ascii="Arial" w:hAnsi="Arial" w:cs="Arial"/>
        </w:rPr>
        <w:t>The one-dimensional spectrum was then generated using the "3D Spectral Extraction" plugin. We selected the 'Sum' function to perform aperture photometry within the defined circular region at each wavelength slice of the cube. The plugin propagates the per-voxel uncertainties from the</w:t>
      </w:r>
      <w:r>
        <w:rPr>
          <w:rFonts w:ascii="Arial" w:hAnsi="Arial" w:cs="Arial"/>
        </w:rPr>
        <w:t xml:space="preserve"> </w:t>
      </w:r>
      <w:r w:rsidRPr="00C92C04">
        <w:rPr>
          <w:rFonts w:ascii="Arial" w:hAnsi="Arial" w:cs="Arial"/>
        </w:rPr>
        <w:t>array of the input data cube to generate a final 1D error spectrum. The resulting 1D spectrum for each band, in units of surface brightness (</w:t>
      </w:r>
      <w:proofErr w:type="spellStart"/>
      <w:r w:rsidRPr="00C92C04">
        <w:rPr>
          <w:rFonts w:ascii="Arial" w:hAnsi="Arial" w:cs="Arial"/>
        </w:rPr>
        <w:t>MJy</w:t>
      </w:r>
      <w:proofErr w:type="spellEnd"/>
      <w:r w:rsidRPr="00C92C04">
        <w:rPr>
          <w:rFonts w:ascii="Arial" w:hAnsi="Arial" w:cs="Arial"/>
        </w:rPr>
        <w:t>/</w:t>
      </w:r>
      <w:proofErr w:type="spellStart"/>
      <w:r w:rsidRPr="00C92C04">
        <w:rPr>
          <w:rFonts w:ascii="Arial" w:hAnsi="Arial" w:cs="Arial"/>
        </w:rPr>
        <w:t>sr</w:t>
      </w:r>
      <w:proofErr w:type="spellEnd"/>
      <w:r w:rsidRPr="00C92C04">
        <w:rPr>
          <w:rFonts w:ascii="Arial" w:hAnsi="Arial" w:cs="Arial"/>
        </w:rPr>
        <w:t>), was then used for subsequent analysis within the tool.</w:t>
      </w:r>
    </w:p>
    <w:p w14:paraId="782A207B" w14:textId="49A7366F" w:rsidR="004C6449" w:rsidRPr="004C6449" w:rsidRDefault="004C6449" w:rsidP="004C6449">
      <w:pPr>
        <w:pStyle w:val="Body"/>
        <w:rPr>
          <w:rFonts w:ascii="Arial" w:hAnsi="Arial" w:cs="Arial"/>
          <w:b/>
          <w:bCs/>
        </w:rPr>
      </w:pPr>
      <w:r w:rsidRPr="004C6449">
        <w:rPr>
          <w:rFonts w:ascii="Arial" w:hAnsi="Arial" w:cs="Arial"/>
          <w:b/>
          <w:bCs/>
        </w:rPr>
        <w:t>2.4 Spectroscopic Analysis</w:t>
      </w:r>
    </w:p>
    <w:p w14:paraId="6BE4F4D0" w14:textId="073EA6EB" w:rsidR="004C6449" w:rsidRDefault="004C6449" w:rsidP="004C6449">
      <w:pPr>
        <w:pStyle w:val="Body"/>
        <w:rPr>
          <w:rFonts w:ascii="Arial" w:hAnsi="Arial" w:cs="Arial"/>
        </w:rPr>
      </w:pPr>
      <w:r w:rsidRPr="004C6449">
        <w:rPr>
          <w:rFonts w:ascii="Arial" w:hAnsi="Arial" w:cs="Arial"/>
        </w:rPr>
        <w:lastRenderedPageBreak/>
        <w:t xml:space="preserve">The spectroscopic analysis of the extracted 1D spectra was conducted interactively using the analysis plugins available within </w:t>
      </w:r>
      <w:proofErr w:type="spellStart"/>
      <w:r w:rsidRPr="004C6449">
        <w:rPr>
          <w:rFonts w:ascii="Arial" w:hAnsi="Arial" w:cs="Arial"/>
        </w:rPr>
        <w:t>Cubeviz</w:t>
      </w:r>
      <w:proofErr w:type="spellEnd"/>
      <w:r w:rsidRPr="004C6449">
        <w:rPr>
          <w:rFonts w:ascii="Arial" w:hAnsi="Arial" w:cs="Arial"/>
        </w:rPr>
        <w:t xml:space="preserve">, which leverages the </w:t>
      </w:r>
      <w:proofErr w:type="spellStart"/>
      <w:r w:rsidRPr="004C6449">
        <w:rPr>
          <w:rFonts w:ascii="Arial" w:hAnsi="Arial" w:cs="Arial"/>
        </w:rPr>
        <w:t>specutils</w:t>
      </w:r>
      <w:proofErr w:type="spellEnd"/>
      <w:r w:rsidRPr="004C6449">
        <w:rPr>
          <w:rFonts w:ascii="Arial" w:hAnsi="Arial" w:cs="Arial"/>
        </w:rPr>
        <w:t xml:space="preserve"> package.</w:t>
      </w:r>
      <w:r>
        <w:rPr>
          <w:rFonts w:ascii="Arial" w:hAnsi="Arial" w:cs="Arial"/>
        </w:rPr>
        <w:t xml:space="preserve"> </w:t>
      </w:r>
      <w:r w:rsidRPr="004C6449">
        <w:rPr>
          <w:rFonts w:ascii="Arial" w:hAnsi="Arial" w:cs="Arial"/>
        </w:rPr>
        <w:t xml:space="preserve">For the broad Polycyclic Aromatic Hydrocarbon (PAH) features, the underlying continuum was modeled and subtracted prior to flux measurement. This was achieved by fitting a </w:t>
      </w:r>
      <w:r>
        <w:rPr>
          <w:rFonts w:ascii="Arial" w:hAnsi="Arial" w:cs="Arial"/>
        </w:rPr>
        <w:t>Spline3</w:t>
      </w:r>
      <w:r w:rsidRPr="004C6449">
        <w:rPr>
          <w:rFonts w:ascii="Arial" w:hAnsi="Arial" w:cs="Arial"/>
        </w:rPr>
        <w:t xml:space="preserve"> to anchor points selected in adjacent, feature-free spectral regions.</w:t>
      </w:r>
    </w:p>
    <w:p w14:paraId="3B6798AC" w14:textId="77777777" w:rsidR="0014061F" w:rsidRPr="004C6449" w:rsidRDefault="0014061F" w:rsidP="0014061F">
      <w:pPr>
        <w:pStyle w:val="Body"/>
        <w:rPr>
          <w:rFonts w:ascii="Arial" w:hAnsi="Arial" w:cs="Arial"/>
          <w:b/>
          <w:bCs/>
          <w:sz w:val="22"/>
          <w:szCs w:val="22"/>
        </w:rPr>
      </w:pPr>
      <w:r w:rsidRPr="004C6449">
        <w:rPr>
          <w:rFonts w:ascii="Arial" w:hAnsi="Arial" w:cs="Arial"/>
          <w:b/>
          <w:bCs/>
          <w:sz w:val="22"/>
          <w:szCs w:val="22"/>
        </w:rPr>
        <w:t>3. RESULTS</w:t>
      </w:r>
    </w:p>
    <w:p w14:paraId="1058D9C0" w14:textId="221A5845" w:rsidR="0014061F" w:rsidRPr="0014061F" w:rsidRDefault="0014061F" w:rsidP="0014061F">
      <w:pPr>
        <w:pStyle w:val="Body"/>
        <w:rPr>
          <w:rFonts w:ascii="Arial" w:hAnsi="Arial" w:cs="Arial"/>
        </w:rPr>
      </w:pPr>
      <w:r w:rsidRPr="0014061F">
        <w:rPr>
          <w:rFonts w:ascii="Arial" w:hAnsi="Arial" w:cs="Arial"/>
        </w:rPr>
        <w:t>This section presents the primary observational findings derived from the JWST/MIRI MRS data cubes for the four targeted H II regions in NGC 5457. The focus is on the quantitative characterization of the mid-infrared spectra, particularly the prominent PAH emission features.</w:t>
      </w:r>
    </w:p>
    <w:p w14:paraId="777288F6" w14:textId="77777777" w:rsidR="0014061F" w:rsidRPr="0014061F" w:rsidRDefault="0014061F" w:rsidP="0014061F">
      <w:pPr>
        <w:pStyle w:val="Body"/>
        <w:rPr>
          <w:rFonts w:ascii="Arial" w:hAnsi="Arial" w:cs="Arial"/>
          <w:b/>
          <w:bCs/>
        </w:rPr>
      </w:pPr>
      <w:r w:rsidRPr="0014061F">
        <w:rPr>
          <w:rFonts w:ascii="Arial" w:hAnsi="Arial" w:cs="Arial"/>
          <w:b/>
          <w:bCs/>
        </w:rPr>
        <w:t>3.1. Mid-Infrared Spectra of the Target H II Regions</w:t>
      </w:r>
    </w:p>
    <w:p w14:paraId="7FFD4112" w14:textId="77777777" w:rsidR="0014061F" w:rsidRPr="0014061F" w:rsidRDefault="0014061F" w:rsidP="0014061F">
      <w:pPr>
        <w:pStyle w:val="Body"/>
        <w:rPr>
          <w:rFonts w:ascii="Arial" w:hAnsi="Arial" w:cs="Arial"/>
        </w:rPr>
      </w:pPr>
      <w:r w:rsidRPr="0014061F">
        <w:rPr>
          <w:rFonts w:ascii="Arial" w:hAnsi="Arial" w:cs="Arial"/>
        </w:rPr>
        <w:t>The analysis is based on the integrated one-dimensional spectra extracted from the core of each of the four H II regions: NGC5457-100-388, NGC5457-205-98, NGC5457-361-280, and NGC5457+189-136. The resulting spectra, covering the wavelength range from approximately 6.5 to 11.7 µm, are presented in Figures 2, 3, 4, and 5.</w:t>
      </w:r>
    </w:p>
    <w:p w14:paraId="397D0503" w14:textId="77777777" w:rsidR="0014061F" w:rsidRPr="0014061F" w:rsidRDefault="0014061F" w:rsidP="0014061F">
      <w:pPr>
        <w:pStyle w:val="Body"/>
        <w:rPr>
          <w:rFonts w:ascii="Arial" w:hAnsi="Arial" w:cs="Arial"/>
        </w:rPr>
      </w:pPr>
      <w:r w:rsidRPr="0014061F">
        <w:rPr>
          <w:rFonts w:ascii="Arial" w:hAnsi="Arial" w:cs="Arial"/>
        </w:rPr>
        <w:t>A visual inspection of these figures reveals the characteristic signatures of PAH emission in all four targets. The spectra are dominated by strong, broad emission features, which stand out prominently against the underlying dust continuum. Consistent with extensive previous observations of star-forming regions across the universe, we clearly detect the well-known PAH features centered near 7.7, 8.6, and 11.3 µm. These features are understood to arise from the radiative relaxation of stochastically heated PAH molecules, with the 7.7 µm complex primarily attributed to C-C stretching modes, the 8.6 µm feature to C-H in-plane bending modes, and the 11.3 µm feature to C-H out-of-plane bending modes. The strong presence of these bands confirms that a significant population of these large carbonaceous molecules permeates the interstellar medium (ISM) within these active star-forming sites.</w:t>
      </w:r>
    </w:p>
    <w:p w14:paraId="471E0E5B" w14:textId="3FFF35E8" w:rsidR="0014061F" w:rsidRDefault="0014061F" w:rsidP="0014061F">
      <w:pPr>
        <w:pStyle w:val="Body"/>
        <w:rPr>
          <w:rFonts w:ascii="Arial" w:hAnsi="Arial" w:cs="Arial"/>
        </w:rPr>
      </w:pPr>
      <w:r w:rsidRPr="0014061F">
        <w:rPr>
          <w:rFonts w:ascii="Arial" w:hAnsi="Arial" w:cs="Arial"/>
        </w:rPr>
        <w:t>While all four regions exhibit these characteristic features, there are notable qualitative differences in their spectral morphology. The relative intensity of the 11.3 µm feature compared to the 7.7 µm complex, for instance, appears to vary substantially among the targets. In NGC5457-361-280 (Figure 4), the 11.3 µm feature is particularly strong, appearing as the dominant feature in this spectral window. In contrast, for NGC5457+189-136 (Figure 5), the 7.7 µm complex and the 11.3 µm feature have more comparable peak fluxes. These visual variations strongly suggest that the underlying physical conditions and the properties of the PAH populations are not uniform across our sample, a conclusion that will be quantified in the following section.</w:t>
      </w:r>
    </w:p>
    <w:p w14:paraId="67198482" w14:textId="65A782E8" w:rsidR="0014061F" w:rsidRPr="0014061F" w:rsidRDefault="0014061F" w:rsidP="0014061F">
      <w:pPr>
        <w:pStyle w:val="Body"/>
        <w:rPr>
          <w:rFonts w:ascii="Arial" w:hAnsi="Arial" w:cs="Arial"/>
          <w:b/>
          <w:bCs/>
        </w:rPr>
      </w:pPr>
      <w:r w:rsidRPr="0014061F">
        <w:rPr>
          <w:rFonts w:ascii="Arial" w:hAnsi="Arial" w:cs="Arial"/>
          <w:b/>
          <w:bCs/>
        </w:rPr>
        <w:t>3.2. PAH Feature Fluxes and Diagnostic Ratios</w:t>
      </w:r>
    </w:p>
    <w:p w14:paraId="58FD6C0E" w14:textId="77777777" w:rsidR="0014061F" w:rsidRDefault="0014061F" w:rsidP="0014061F">
      <w:pPr>
        <w:pStyle w:val="Body"/>
        <w:rPr>
          <w:rFonts w:ascii="Arial" w:hAnsi="Arial" w:cs="Arial"/>
        </w:rPr>
      </w:pPr>
      <w:r w:rsidRPr="0014061F">
        <w:rPr>
          <w:rFonts w:ascii="Arial" w:hAnsi="Arial" w:cs="Arial"/>
        </w:rPr>
        <w:t>To move beyond a qualitative description, the integrated fluxes of the 7.7, 8.6, and 11.3 µm PAH features were measured for each target after subtracting a local continuum. These measurements allow for the calculation of diagnostic flux ratios, which are powerful probes of the physical state of the PAH population. The measured fluxes and a set of key diagnostic ratios are compiled in Table 3.</w:t>
      </w:r>
    </w:p>
    <w:p w14:paraId="28141463" w14:textId="77777777" w:rsidR="004C6449" w:rsidRPr="0014061F" w:rsidRDefault="004C6449" w:rsidP="004C6449">
      <w:pPr>
        <w:pStyle w:val="Body"/>
        <w:rPr>
          <w:rFonts w:ascii="Arial" w:hAnsi="Arial" w:cs="Arial"/>
        </w:rPr>
      </w:pPr>
      <w:r w:rsidRPr="0014061F">
        <w:rPr>
          <w:rFonts w:ascii="Arial" w:hAnsi="Arial" w:cs="Arial"/>
        </w:rPr>
        <w:t>The data presented in Table 3 reveal significant, quantitative variations in the properties of the PAH emission across the four H II regions. The flux ratios, which normalize out differences in the total PAH abundance and overall brightness of the regions, exhibit a considerable range. The F(7.7)/</w:t>
      </w:r>
      <w:proofErr w:type="gramStart"/>
      <w:r w:rsidRPr="0014061F">
        <w:rPr>
          <w:rFonts w:ascii="Arial" w:hAnsi="Arial" w:cs="Arial"/>
        </w:rPr>
        <w:t>F(</w:t>
      </w:r>
      <w:proofErr w:type="gramEnd"/>
      <w:r w:rsidRPr="0014061F">
        <w:rPr>
          <w:rFonts w:ascii="Arial" w:hAnsi="Arial" w:cs="Arial"/>
        </w:rPr>
        <w:t xml:space="preserve">8.6) ratio varies from a low of 1.13 in NGC5457+189-136 to a high of 2.38 in </w:t>
      </w:r>
      <w:r w:rsidRPr="0014061F">
        <w:rPr>
          <w:rFonts w:ascii="Arial" w:hAnsi="Arial" w:cs="Arial"/>
        </w:rPr>
        <w:lastRenderedPageBreak/>
        <w:t>NGC5457-361-280, a factor of more than two. Even more striking is the variation in the F(8.6)/</w:t>
      </w:r>
      <w:proofErr w:type="gramStart"/>
      <w:r w:rsidRPr="0014061F">
        <w:rPr>
          <w:rFonts w:ascii="Arial" w:hAnsi="Arial" w:cs="Arial"/>
        </w:rPr>
        <w:t>F(</w:t>
      </w:r>
      <w:proofErr w:type="gramEnd"/>
      <w:r w:rsidRPr="0014061F">
        <w:rPr>
          <w:rFonts w:ascii="Arial" w:hAnsi="Arial" w:cs="Arial"/>
        </w:rPr>
        <w:t>11.3) ratio, which spans a range from 0.23 to 0.62, a factor of nearly three.</w:t>
      </w:r>
    </w:p>
    <w:p w14:paraId="0AA6F8FD" w14:textId="77777777" w:rsidR="004C6449" w:rsidRPr="0014061F" w:rsidRDefault="004C6449" w:rsidP="0014061F">
      <w:pPr>
        <w:pStyle w:val="Body"/>
        <w:rPr>
          <w:rFonts w:ascii="Arial" w:hAnsi="Arial" w:cs="Arial"/>
        </w:rPr>
      </w:pPr>
    </w:p>
    <w:p w14:paraId="6B149591" w14:textId="77777777" w:rsidR="00361A12" w:rsidRDefault="00361A12" w:rsidP="00060787">
      <w:pPr>
        <w:pStyle w:val="Body"/>
        <w:keepNext/>
        <w:spacing w:after="0"/>
        <w:jc w:val="center"/>
      </w:pPr>
      <w:r>
        <w:rPr>
          <w:rFonts w:ascii="Arial" w:hAnsi="Arial" w:cs="Arial"/>
          <w:b/>
          <w:bCs/>
          <w:noProof/>
          <w:sz w:val="22"/>
          <w:szCs w:val="22"/>
        </w:rPr>
        <w:drawing>
          <wp:inline distT="0" distB="0" distL="0" distR="0" wp14:anchorId="0B94475E" wp14:editId="10EE3B88">
            <wp:extent cx="4060800" cy="2880000"/>
            <wp:effectExtent l="0" t="0" r="0" b="0"/>
            <wp:docPr id="21290469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46959" name="Picture 21290469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0800" cy="2880000"/>
                    </a:xfrm>
                    <a:prstGeom prst="rect">
                      <a:avLst/>
                    </a:prstGeom>
                  </pic:spPr>
                </pic:pic>
              </a:graphicData>
            </a:graphic>
          </wp:inline>
        </w:drawing>
      </w:r>
    </w:p>
    <w:p w14:paraId="4F7EC810" w14:textId="422B1E18" w:rsidR="00361A12" w:rsidRPr="008B51B7" w:rsidRDefault="00361A12" w:rsidP="00361A12">
      <w:pPr>
        <w:pStyle w:val="Caption"/>
        <w:jc w:val="both"/>
        <w:rPr>
          <w:rFonts w:ascii="Arial" w:hAnsi="Arial" w:cs="Arial"/>
          <w:i w:val="0"/>
          <w:iCs w:val="0"/>
          <w:color w:val="000000" w:themeColor="text1"/>
          <w:sz w:val="21"/>
          <w:szCs w:val="21"/>
        </w:rPr>
      </w:pPr>
      <w:r w:rsidRPr="008B51B7">
        <w:rPr>
          <w:rFonts w:ascii="Arial" w:hAnsi="Arial" w:cs="Arial"/>
          <w:i w:val="0"/>
          <w:iCs w:val="0"/>
          <w:color w:val="000000" w:themeColor="text1"/>
          <w:sz w:val="21"/>
          <w:szCs w:val="21"/>
        </w:rPr>
        <w:t xml:space="preserve">Figure </w:t>
      </w:r>
      <w:r w:rsidRPr="008B51B7">
        <w:rPr>
          <w:rFonts w:ascii="Arial" w:hAnsi="Arial" w:cs="Arial"/>
          <w:i w:val="0"/>
          <w:iCs w:val="0"/>
          <w:color w:val="000000" w:themeColor="text1"/>
          <w:sz w:val="21"/>
          <w:szCs w:val="21"/>
        </w:rPr>
        <w:fldChar w:fldCharType="begin"/>
      </w:r>
      <w:r w:rsidRPr="008B51B7">
        <w:rPr>
          <w:rFonts w:ascii="Arial" w:hAnsi="Arial" w:cs="Arial"/>
          <w:i w:val="0"/>
          <w:iCs w:val="0"/>
          <w:color w:val="000000" w:themeColor="text1"/>
          <w:sz w:val="21"/>
          <w:szCs w:val="21"/>
        </w:rPr>
        <w:instrText xml:space="preserve"> SEQ Figure \* ARABIC </w:instrText>
      </w:r>
      <w:r w:rsidRPr="008B51B7">
        <w:rPr>
          <w:rFonts w:ascii="Arial" w:hAnsi="Arial" w:cs="Arial"/>
          <w:i w:val="0"/>
          <w:iCs w:val="0"/>
          <w:color w:val="000000" w:themeColor="text1"/>
          <w:sz w:val="21"/>
          <w:szCs w:val="21"/>
        </w:rPr>
        <w:fldChar w:fldCharType="separate"/>
      </w:r>
      <w:r w:rsidR="00E73CE2">
        <w:rPr>
          <w:rFonts w:ascii="Arial" w:hAnsi="Arial" w:cs="Arial"/>
          <w:i w:val="0"/>
          <w:iCs w:val="0"/>
          <w:noProof/>
          <w:color w:val="000000" w:themeColor="text1"/>
          <w:sz w:val="21"/>
          <w:szCs w:val="21"/>
        </w:rPr>
        <w:t>2</w:t>
      </w:r>
      <w:r w:rsidRPr="008B51B7">
        <w:rPr>
          <w:rFonts w:ascii="Arial" w:hAnsi="Arial" w:cs="Arial"/>
          <w:i w:val="0"/>
          <w:iCs w:val="0"/>
          <w:color w:val="000000" w:themeColor="text1"/>
          <w:sz w:val="21"/>
          <w:szCs w:val="21"/>
        </w:rPr>
        <w:fldChar w:fldCharType="end"/>
      </w:r>
      <w:r w:rsidRPr="008B51B7">
        <w:rPr>
          <w:rFonts w:ascii="Arial" w:hAnsi="Arial" w:cs="Arial"/>
          <w:i w:val="0"/>
          <w:iCs w:val="0"/>
          <w:color w:val="000000" w:themeColor="text1"/>
          <w:sz w:val="21"/>
          <w:szCs w:val="21"/>
        </w:rPr>
        <w:t>: JWST/MIRI spectrum of NGC5457-100-388 from 6.5 to 11.7 µm. Key Polycyclic Aromatic Hydrocarbon (PAH) emission features are identified. The shaded region marks a gap in the observational data.</w:t>
      </w:r>
    </w:p>
    <w:p w14:paraId="32514E97" w14:textId="4E6746D1" w:rsidR="00361A12" w:rsidRDefault="00361A12" w:rsidP="00060787">
      <w:pPr>
        <w:pStyle w:val="Body"/>
        <w:keepNext/>
        <w:spacing w:after="0"/>
        <w:jc w:val="center"/>
      </w:pPr>
      <w:r>
        <w:rPr>
          <w:rFonts w:ascii="Arial" w:hAnsi="Arial" w:cs="Arial"/>
          <w:b/>
          <w:bCs/>
          <w:noProof/>
          <w:sz w:val="22"/>
          <w:szCs w:val="22"/>
        </w:rPr>
        <w:drawing>
          <wp:inline distT="0" distB="0" distL="0" distR="0" wp14:anchorId="35F7FAF7" wp14:editId="35657961">
            <wp:extent cx="4060800" cy="2880000"/>
            <wp:effectExtent l="0" t="0" r="0" b="0"/>
            <wp:docPr id="446126835" name="Picture 5" descr="A graph of a graph showing a reg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26835" name="Picture 5" descr="A graph of a graph showing a regio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0800" cy="2880000"/>
                    </a:xfrm>
                    <a:prstGeom prst="rect">
                      <a:avLst/>
                    </a:prstGeom>
                  </pic:spPr>
                </pic:pic>
              </a:graphicData>
            </a:graphic>
          </wp:inline>
        </w:drawing>
      </w:r>
    </w:p>
    <w:p w14:paraId="7440D650" w14:textId="2A11EA4D" w:rsidR="00361A12" w:rsidRPr="008B51B7" w:rsidRDefault="00361A12" w:rsidP="00361A12">
      <w:pPr>
        <w:pStyle w:val="Caption"/>
        <w:jc w:val="both"/>
        <w:rPr>
          <w:rFonts w:ascii="Arial" w:hAnsi="Arial" w:cs="Arial"/>
          <w:i w:val="0"/>
          <w:iCs w:val="0"/>
          <w:color w:val="000000" w:themeColor="text1"/>
          <w:sz w:val="20"/>
          <w:szCs w:val="20"/>
        </w:rPr>
      </w:pPr>
      <w:r w:rsidRPr="008B51B7">
        <w:rPr>
          <w:rFonts w:ascii="Arial" w:hAnsi="Arial" w:cs="Arial"/>
          <w:i w:val="0"/>
          <w:iCs w:val="0"/>
          <w:color w:val="000000" w:themeColor="text1"/>
          <w:sz w:val="20"/>
          <w:szCs w:val="20"/>
        </w:rPr>
        <w:t xml:space="preserve">Figure </w:t>
      </w:r>
      <w:r w:rsidRPr="008B51B7">
        <w:rPr>
          <w:rFonts w:ascii="Arial" w:hAnsi="Arial" w:cs="Arial"/>
          <w:i w:val="0"/>
          <w:iCs w:val="0"/>
          <w:color w:val="000000" w:themeColor="text1"/>
          <w:sz w:val="20"/>
          <w:szCs w:val="20"/>
        </w:rPr>
        <w:fldChar w:fldCharType="begin"/>
      </w:r>
      <w:r w:rsidRPr="008B51B7">
        <w:rPr>
          <w:rFonts w:ascii="Arial" w:hAnsi="Arial" w:cs="Arial"/>
          <w:i w:val="0"/>
          <w:iCs w:val="0"/>
          <w:color w:val="000000" w:themeColor="text1"/>
          <w:sz w:val="20"/>
          <w:szCs w:val="20"/>
        </w:rPr>
        <w:instrText xml:space="preserve"> SEQ Figure \* ARABIC </w:instrText>
      </w:r>
      <w:r w:rsidRPr="008B51B7">
        <w:rPr>
          <w:rFonts w:ascii="Arial" w:hAnsi="Arial" w:cs="Arial"/>
          <w:i w:val="0"/>
          <w:iCs w:val="0"/>
          <w:color w:val="000000" w:themeColor="text1"/>
          <w:sz w:val="20"/>
          <w:szCs w:val="20"/>
        </w:rPr>
        <w:fldChar w:fldCharType="separate"/>
      </w:r>
      <w:r w:rsidR="00E73CE2">
        <w:rPr>
          <w:rFonts w:ascii="Arial" w:hAnsi="Arial" w:cs="Arial"/>
          <w:i w:val="0"/>
          <w:iCs w:val="0"/>
          <w:noProof/>
          <w:color w:val="000000" w:themeColor="text1"/>
          <w:sz w:val="20"/>
          <w:szCs w:val="20"/>
        </w:rPr>
        <w:t>3</w:t>
      </w:r>
      <w:r w:rsidRPr="008B51B7">
        <w:rPr>
          <w:rFonts w:ascii="Arial" w:hAnsi="Arial" w:cs="Arial"/>
          <w:i w:val="0"/>
          <w:iCs w:val="0"/>
          <w:color w:val="000000" w:themeColor="text1"/>
          <w:sz w:val="20"/>
          <w:szCs w:val="20"/>
        </w:rPr>
        <w:fldChar w:fldCharType="end"/>
      </w:r>
      <w:r w:rsidRPr="008B51B7">
        <w:rPr>
          <w:rFonts w:ascii="Arial" w:hAnsi="Arial" w:cs="Arial"/>
          <w:i w:val="0"/>
          <w:iCs w:val="0"/>
          <w:color w:val="000000" w:themeColor="text1"/>
          <w:sz w:val="20"/>
          <w:szCs w:val="20"/>
        </w:rPr>
        <w:t>: JWST/MIRI spectrum of NGC5457-205-98 from 6.5 to 11.7 µm. Key Polycyclic Aromatic Hydrocarbon (PAH) emission features are identified. The shaded region marks a gap in the observational data.</w:t>
      </w:r>
    </w:p>
    <w:p w14:paraId="72163990" w14:textId="0032A785" w:rsidR="00361A12" w:rsidRDefault="00361A12" w:rsidP="00060787">
      <w:pPr>
        <w:pStyle w:val="Body"/>
        <w:keepNext/>
        <w:spacing w:after="0"/>
        <w:jc w:val="center"/>
      </w:pPr>
      <w:r>
        <w:rPr>
          <w:rFonts w:ascii="Arial" w:hAnsi="Arial" w:cs="Arial"/>
          <w:b/>
          <w:bCs/>
          <w:noProof/>
          <w:sz w:val="22"/>
          <w:szCs w:val="22"/>
        </w:rPr>
        <w:lastRenderedPageBreak/>
        <w:drawing>
          <wp:inline distT="0" distB="0" distL="0" distR="0" wp14:anchorId="04ED4B58" wp14:editId="5244D328">
            <wp:extent cx="4060800" cy="2880000"/>
            <wp:effectExtent l="0" t="0" r="0" b="0"/>
            <wp:docPr id="2348967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96791" name="Picture 23489679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0800" cy="2880000"/>
                    </a:xfrm>
                    <a:prstGeom prst="rect">
                      <a:avLst/>
                    </a:prstGeom>
                  </pic:spPr>
                </pic:pic>
              </a:graphicData>
            </a:graphic>
          </wp:inline>
        </w:drawing>
      </w:r>
    </w:p>
    <w:p w14:paraId="59AB30DD" w14:textId="0FAB55D4" w:rsidR="00361A12" w:rsidRPr="008B51B7" w:rsidRDefault="00361A12" w:rsidP="00361A12">
      <w:pPr>
        <w:pStyle w:val="Caption"/>
        <w:jc w:val="both"/>
        <w:rPr>
          <w:rFonts w:ascii="Arial" w:hAnsi="Arial" w:cs="Arial"/>
          <w:color w:val="000000" w:themeColor="text1"/>
          <w:sz w:val="20"/>
          <w:szCs w:val="20"/>
        </w:rPr>
      </w:pPr>
      <w:r w:rsidRPr="008B51B7">
        <w:rPr>
          <w:rFonts w:ascii="Arial" w:hAnsi="Arial" w:cs="Arial"/>
          <w:color w:val="000000" w:themeColor="text1"/>
          <w:sz w:val="20"/>
          <w:szCs w:val="20"/>
        </w:rPr>
        <w:t xml:space="preserve">Figure </w:t>
      </w:r>
      <w:r w:rsidRPr="008B51B7">
        <w:rPr>
          <w:rFonts w:ascii="Arial" w:hAnsi="Arial" w:cs="Arial"/>
          <w:color w:val="000000" w:themeColor="text1"/>
          <w:sz w:val="20"/>
          <w:szCs w:val="20"/>
        </w:rPr>
        <w:fldChar w:fldCharType="begin"/>
      </w:r>
      <w:r w:rsidRPr="008B51B7">
        <w:rPr>
          <w:rFonts w:ascii="Arial" w:hAnsi="Arial" w:cs="Arial"/>
          <w:color w:val="000000" w:themeColor="text1"/>
          <w:sz w:val="20"/>
          <w:szCs w:val="20"/>
        </w:rPr>
        <w:instrText xml:space="preserve"> SEQ Figure \* ARABIC </w:instrText>
      </w:r>
      <w:r w:rsidRPr="008B51B7">
        <w:rPr>
          <w:rFonts w:ascii="Arial" w:hAnsi="Arial" w:cs="Arial"/>
          <w:color w:val="000000" w:themeColor="text1"/>
          <w:sz w:val="20"/>
          <w:szCs w:val="20"/>
        </w:rPr>
        <w:fldChar w:fldCharType="separate"/>
      </w:r>
      <w:r w:rsidR="00E73CE2">
        <w:rPr>
          <w:rFonts w:ascii="Arial" w:hAnsi="Arial" w:cs="Arial"/>
          <w:noProof/>
          <w:color w:val="000000" w:themeColor="text1"/>
          <w:sz w:val="20"/>
          <w:szCs w:val="20"/>
        </w:rPr>
        <w:t>4</w:t>
      </w:r>
      <w:r w:rsidRPr="008B51B7">
        <w:rPr>
          <w:rFonts w:ascii="Arial" w:hAnsi="Arial" w:cs="Arial"/>
          <w:color w:val="000000" w:themeColor="text1"/>
          <w:sz w:val="20"/>
          <w:szCs w:val="20"/>
        </w:rPr>
        <w:fldChar w:fldCharType="end"/>
      </w:r>
      <w:r w:rsidRPr="008B51B7">
        <w:rPr>
          <w:rFonts w:ascii="Arial" w:hAnsi="Arial" w:cs="Arial"/>
          <w:color w:val="000000" w:themeColor="text1"/>
          <w:sz w:val="20"/>
          <w:szCs w:val="20"/>
        </w:rPr>
        <w:t>: JWST/MIRI spectrum of NGC5457-361-280 from 6.5 to 11.7 µm. Key Polycyclic Aromatic Hydrocarbon (PAH) emission features are identified. The shaded region marks a gap in the observational data.</w:t>
      </w:r>
    </w:p>
    <w:p w14:paraId="6A4B9E71" w14:textId="1C0B21A3" w:rsidR="00361A12" w:rsidRDefault="00361A12" w:rsidP="00060787">
      <w:pPr>
        <w:pStyle w:val="Body"/>
        <w:keepNext/>
        <w:spacing w:after="0"/>
        <w:jc w:val="center"/>
      </w:pPr>
      <w:r>
        <w:rPr>
          <w:rFonts w:ascii="Arial" w:hAnsi="Arial" w:cs="Arial"/>
          <w:b/>
          <w:bCs/>
          <w:noProof/>
          <w:sz w:val="22"/>
          <w:szCs w:val="22"/>
        </w:rPr>
        <w:drawing>
          <wp:inline distT="0" distB="0" distL="0" distR="0" wp14:anchorId="494783E3" wp14:editId="49119AF6">
            <wp:extent cx="4060800" cy="2880000"/>
            <wp:effectExtent l="0" t="0" r="0" b="0"/>
            <wp:docPr id="1194281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8158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0800" cy="2880000"/>
                    </a:xfrm>
                    <a:prstGeom prst="rect">
                      <a:avLst/>
                    </a:prstGeom>
                  </pic:spPr>
                </pic:pic>
              </a:graphicData>
            </a:graphic>
          </wp:inline>
        </w:drawing>
      </w:r>
    </w:p>
    <w:p w14:paraId="28894002" w14:textId="2396428C" w:rsidR="00361A12" w:rsidRPr="008B51B7" w:rsidRDefault="00361A12" w:rsidP="00361A12">
      <w:pPr>
        <w:pStyle w:val="Caption"/>
        <w:jc w:val="both"/>
        <w:rPr>
          <w:rFonts w:ascii="Arial" w:hAnsi="Arial" w:cs="Arial"/>
          <w:color w:val="000000" w:themeColor="text1"/>
          <w:sz w:val="20"/>
          <w:szCs w:val="20"/>
        </w:rPr>
      </w:pPr>
      <w:r w:rsidRPr="008B51B7">
        <w:rPr>
          <w:rFonts w:ascii="Arial" w:hAnsi="Arial" w:cs="Arial"/>
          <w:color w:val="000000" w:themeColor="text1"/>
          <w:sz w:val="20"/>
          <w:szCs w:val="20"/>
        </w:rPr>
        <w:t xml:space="preserve">Figure </w:t>
      </w:r>
      <w:r w:rsidRPr="008B51B7">
        <w:rPr>
          <w:rFonts w:ascii="Arial" w:hAnsi="Arial" w:cs="Arial"/>
          <w:color w:val="000000" w:themeColor="text1"/>
          <w:sz w:val="20"/>
          <w:szCs w:val="20"/>
        </w:rPr>
        <w:fldChar w:fldCharType="begin"/>
      </w:r>
      <w:r w:rsidRPr="008B51B7">
        <w:rPr>
          <w:rFonts w:ascii="Arial" w:hAnsi="Arial" w:cs="Arial"/>
          <w:color w:val="000000" w:themeColor="text1"/>
          <w:sz w:val="20"/>
          <w:szCs w:val="20"/>
        </w:rPr>
        <w:instrText xml:space="preserve"> SEQ Figure \* ARABIC </w:instrText>
      </w:r>
      <w:r w:rsidRPr="008B51B7">
        <w:rPr>
          <w:rFonts w:ascii="Arial" w:hAnsi="Arial" w:cs="Arial"/>
          <w:color w:val="000000" w:themeColor="text1"/>
          <w:sz w:val="20"/>
          <w:szCs w:val="20"/>
        </w:rPr>
        <w:fldChar w:fldCharType="separate"/>
      </w:r>
      <w:r w:rsidR="00E73CE2">
        <w:rPr>
          <w:rFonts w:ascii="Arial" w:hAnsi="Arial" w:cs="Arial"/>
          <w:noProof/>
          <w:color w:val="000000" w:themeColor="text1"/>
          <w:sz w:val="20"/>
          <w:szCs w:val="20"/>
        </w:rPr>
        <w:t>5</w:t>
      </w:r>
      <w:r w:rsidRPr="008B51B7">
        <w:rPr>
          <w:rFonts w:ascii="Arial" w:hAnsi="Arial" w:cs="Arial"/>
          <w:color w:val="000000" w:themeColor="text1"/>
          <w:sz w:val="20"/>
          <w:szCs w:val="20"/>
        </w:rPr>
        <w:fldChar w:fldCharType="end"/>
      </w:r>
      <w:r w:rsidRPr="008B51B7">
        <w:rPr>
          <w:rFonts w:ascii="Arial" w:hAnsi="Arial" w:cs="Arial"/>
          <w:color w:val="000000" w:themeColor="text1"/>
          <w:sz w:val="20"/>
          <w:szCs w:val="20"/>
        </w:rPr>
        <w:t>: JWST/MIRI spectrum of NGC5457+189-136 from 6.5 to 11.7 µm. Key Polycyclic Aromatic Hydrocarbon (PAH) emission features are identified. The shaded region marks a gap in the observational data.</w:t>
      </w:r>
    </w:p>
    <w:p w14:paraId="61959A0B" w14:textId="77777777" w:rsidR="002D0163" w:rsidRPr="002A6D56" w:rsidRDefault="002D0163" w:rsidP="002D0163">
      <w:pPr>
        <w:pStyle w:val="Body"/>
        <w:spacing w:after="0"/>
        <w:rPr>
          <w:rFonts w:ascii="Arial" w:hAnsi="Arial" w:cs="Arial"/>
        </w:rPr>
      </w:pPr>
      <w:r w:rsidRPr="0014061F">
        <w:rPr>
          <w:rFonts w:ascii="Arial" w:hAnsi="Arial" w:cs="Arial"/>
        </w:rPr>
        <w:t>A key finding from this quantitative analysis is the existence of a strong anti-correlation between the F(7.7)/</w:t>
      </w:r>
      <w:proofErr w:type="gramStart"/>
      <w:r w:rsidRPr="0014061F">
        <w:rPr>
          <w:rFonts w:ascii="Arial" w:hAnsi="Arial" w:cs="Arial"/>
        </w:rPr>
        <w:t>F(</w:t>
      </w:r>
      <w:proofErr w:type="gramEnd"/>
      <w:r w:rsidRPr="0014061F">
        <w:rPr>
          <w:rFonts w:ascii="Arial" w:hAnsi="Arial" w:cs="Arial"/>
        </w:rPr>
        <w:t>8.6) and F(8.6)/F(11.3) ratios within our sample. The H II region exhibiting the highest F(8.6)/</w:t>
      </w:r>
      <w:proofErr w:type="gramStart"/>
      <w:r w:rsidRPr="0014061F">
        <w:rPr>
          <w:rFonts w:ascii="Arial" w:hAnsi="Arial" w:cs="Arial"/>
        </w:rPr>
        <w:t>F(</w:t>
      </w:r>
      <w:proofErr w:type="gramEnd"/>
      <w:r w:rsidRPr="0014061F">
        <w:rPr>
          <w:rFonts w:ascii="Arial" w:hAnsi="Arial" w:cs="Arial"/>
        </w:rPr>
        <w:t>11.3) ratio (NGC5457+189-136) simultaneously shows the lowest F(7.7)/F(8.6) ratio. Conversely, the region with the lowest F(8.6)/</w:t>
      </w:r>
      <w:proofErr w:type="gramStart"/>
      <w:r w:rsidRPr="0014061F">
        <w:rPr>
          <w:rFonts w:ascii="Arial" w:hAnsi="Arial" w:cs="Arial"/>
        </w:rPr>
        <w:t>F(</w:t>
      </w:r>
      <w:proofErr w:type="gramEnd"/>
      <w:r w:rsidRPr="0014061F">
        <w:rPr>
          <w:rFonts w:ascii="Arial" w:hAnsi="Arial" w:cs="Arial"/>
        </w:rPr>
        <w:t xml:space="preserve">11.3) ratio (NGC5457-361-280) displays the highest F(7.7)/F(8.6) ratio. The other two regions, NGC5457-100-388 and NGC5457-205-98, lie at intermediate positions in this trend. This </w:t>
      </w:r>
      <w:r w:rsidRPr="0014061F">
        <w:rPr>
          <w:rFonts w:ascii="Arial" w:hAnsi="Arial" w:cs="Arial"/>
        </w:rPr>
        <w:lastRenderedPageBreak/>
        <w:t>systematic relationship suggests that a single, dominant physical parameter or process is responsible for driving the observed variations in the PAH spectra across these diverse star-forming environments. The physical interpretation of this trend forms the core of the subsequent discussion.</w:t>
      </w:r>
    </w:p>
    <w:p w14:paraId="35E2710E" w14:textId="77777777" w:rsidR="002A6D56" w:rsidRPr="008B51B7" w:rsidRDefault="002A6D56" w:rsidP="00060787">
      <w:pPr>
        <w:pStyle w:val="Caption"/>
        <w:keepNext/>
        <w:rPr>
          <w:rFonts w:ascii="Arial" w:hAnsi="Arial" w:cs="Arial"/>
          <w:color w:val="000000" w:themeColor="text1"/>
          <w:sz w:val="20"/>
          <w:szCs w:val="20"/>
        </w:rPr>
      </w:pPr>
    </w:p>
    <w:p w14:paraId="3CBA3349" w14:textId="61AB07F8" w:rsidR="00060787" w:rsidRPr="008B51B7" w:rsidRDefault="00060787" w:rsidP="00060787">
      <w:pPr>
        <w:pStyle w:val="Caption"/>
        <w:keepNext/>
        <w:rPr>
          <w:rFonts w:ascii="Arial" w:hAnsi="Arial" w:cs="Arial"/>
          <w:color w:val="000000" w:themeColor="text1"/>
          <w:sz w:val="20"/>
          <w:szCs w:val="20"/>
        </w:rPr>
      </w:pPr>
      <w:r w:rsidRPr="008B51B7">
        <w:rPr>
          <w:rFonts w:ascii="Arial" w:hAnsi="Arial" w:cs="Arial"/>
          <w:color w:val="000000" w:themeColor="text1"/>
          <w:sz w:val="20"/>
          <w:szCs w:val="20"/>
        </w:rPr>
        <w:t xml:space="preserve">Table </w:t>
      </w:r>
      <w:r w:rsidRPr="008B51B7">
        <w:rPr>
          <w:rFonts w:ascii="Arial" w:hAnsi="Arial" w:cs="Arial"/>
          <w:color w:val="000000" w:themeColor="text1"/>
          <w:sz w:val="20"/>
          <w:szCs w:val="20"/>
        </w:rPr>
        <w:fldChar w:fldCharType="begin"/>
      </w:r>
      <w:r w:rsidRPr="008B51B7">
        <w:rPr>
          <w:rFonts w:ascii="Arial" w:hAnsi="Arial" w:cs="Arial"/>
          <w:color w:val="000000" w:themeColor="text1"/>
          <w:sz w:val="20"/>
          <w:szCs w:val="20"/>
        </w:rPr>
        <w:instrText xml:space="preserve"> SEQ Table \* ARABIC </w:instrText>
      </w:r>
      <w:r w:rsidRPr="008B51B7">
        <w:rPr>
          <w:rFonts w:ascii="Arial" w:hAnsi="Arial" w:cs="Arial"/>
          <w:color w:val="000000" w:themeColor="text1"/>
          <w:sz w:val="20"/>
          <w:szCs w:val="20"/>
        </w:rPr>
        <w:fldChar w:fldCharType="separate"/>
      </w:r>
      <w:r w:rsidR="00E73CE2">
        <w:rPr>
          <w:rFonts w:ascii="Arial" w:hAnsi="Arial" w:cs="Arial"/>
          <w:noProof/>
          <w:color w:val="000000" w:themeColor="text1"/>
          <w:sz w:val="20"/>
          <w:szCs w:val="20"/>
        </w:rPr>
        <w:t>3</w:t>
      </w:r>
      <w:r w:rsidRPr="008B51B7">
        <w:rPr>
          <w:rFonts w:ascii="Arial" w:hAnsi="Arial" w:cs="Arial"/>
          <w:color w:val="000000" w:themeColor="text1"/>
          <w:sz w:val="20"/>
          <w:szCs w:val="20"/>
        </w:rPr>
        <w:fldChar w:fldCharType="end"/>
      </w:r>
      <w:r w:rsidRPr="008B51B7">
        <w:rPr>
          <w:rFonts w:ascii="Arial" w:hAnsi="Arial" w:cs="Arial"/>
          <w:color w:val="000000" w:themeColor="text1"/>
          <w:sz w:val="20"/>
          <w:szCs w:val="20"/>
        </w:rPr>
        <w:t>: Measured PAH fluxes at 7.7, 8.6, and 11.3 µm and their corresponding band ratios for selected regions in NGC 5457. Fluxes are in arbitrary units consistent with Figures 2–5. The ratios provide a diagnostic of PAH ionization state, with higher F(7.7)/</w:t>
      </w:r>
      <w:proofErr w:type="gramStart"/>
      <w:r w:rsidRPr="008B51B7">
        <w:rPr>
          <w:rFonts w:ascii="Arial" w:hAnsi="Arial" w:cs="Arial"/>
          <w:color w:val="000000" w:themeColor="text1"/>
          <w:sz w:val="20"/>
          <w:szCs w:val="20"/>
        </w:rPr>
        <w:t>F(</w:t>
      </w:r>
      <w:proofErr w:type="gramEnd"/>
      <w:r w:rsidRPr="008B51B7">
        <w:rPr>
          <w:rFonts w:ascii="Arial" w:hAnsi="Arial" w:cs="Arial"/>
          <w:color w:val="000000" w:themeColor="text1"/>
          <w:sz w:val="20"/>
          <w:szCs w:val="20"/>
        </w:rPr>
        <w:t>11.3) values generally indicating a larger fraction of ionized PAHs.</w:t>
      </w:r>
    </w:p>
    <w:tbl>
      <w:tblPr>
        <w:tblW w:w="8550" w:type="dxa"/>
        <w:tblCellSpacing w:w="15" w:type="dxa"/>
        <w:tblCellMar>
          <w:top w:w="15" w:type="dxa"/>
          <w:left w:w="15" w:type="dxa"/>
          <w:bottom w:w="15" w:type="dxa"/>
          <w:right w:w="15" w:type="dxa"/>
        </w:tblCellMar>
        <w:tblLook w:val="04A0" w:firstRow="1" w:lastRow="0" w:firstColumn="1" w:lastColumn="0" w:noHBand="0" w:noVBand="1"/>
      </w:tblPr>
      <w:tblGrid>
        <w:gridCol w:w="1746"/>
        <w:gridCol w:w="1134"/>
        <w:gridCol w:w="1134"/>
        <w:gridCol w:w="1134"/>
        <w:gridCol w:w="1134"/>
        <w:gridCol w:w="1134"/>
        <w:gridCol w:w="1134"/>
      </w:tblGrid>
      <w:tr w:rsidR="0014061F" w:rsidRPr="0014061F" w14:paraId="20E99E9E" w14:textId="77777777" w:rsidTr="0014061F">
        <w:trPr>
          <w:tblHeader/>
          <w:tblCellSpacing w:w="15" w:type="dxa"/>
        </w:trPr>
        <w:tc>
          <w:tcPr>
            <w:tcW w:w="1701" w:type="dxa"/>
            <w:tcBorders>
              <w:top w:val="single" w:sz="4" w:space="0" w:color="auto"/>
              <w:bottom w:val="single" w:sz="4" w:space="0" w:color="auto"/>
            </w:tcBorders>
            <w:vAlign w:val="center"/>
            <w:hideMark/>
          </w:tcPr>
          <w:p w14:paraId="50775B73"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Object</w:t>
            </w:r>
          </w:p>
        </w:tc>
        <w:tc>
          <w:tcPr>
            <w:tcW w:w="1104" w:type="dxa"/>
            <w:tcBorders>
              <w:top w:val="single" w:sz="4" w:space="0" w:color="auto"/>
              <w:bottom w:val="single" w:sz="4" w:space="0" w:color="auto"/>
            </w:tcBorders>
            <w:vAlign w:val="center"/>
            <w:hideMark/>
          </w:tcPr>
          <w:p w14:paraId="0DFC213F"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F(7.7 µm)</w:t>
            </w:r>
          </w:p>
        </w:tc>
        <w:tc>
          <w:tcPr>
            <w:tcW w:w="1104" w:type="dxa"/>
            <w:tcBorders>
              <w:top w:val="single" w:sz="4" w:space="0" w:color="auto"/>
              <w:bottom w:val="single" w:sz="4" w:space="0" w:color="auto"/>
            </w:tcBorders>
            <w:vAlign w:val="center"/>
            <w:hideMark/>
          </w:tcPr>
          <w:p w14:paraId="1C9438E4"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F(8.6 µm)</w:t>
            </w:r>
          </w:p>
        </w:tc>
        <w:tc>
          <w:tcPr>
            <w:tcW w:w="1104" w:type="dxa"/>
            <w:tcBorders>
              <w:top w:val="single" w:sz="4" w:space="0" w:color="auto"/>
              <w:bottom w:val="single" w:sz="4" w:space="0" w:color="auto"/>
            </w:tcBorders>
            <w:vAlign w:val="center"/>
            <w:hideMark/>
          </w:tcPr>
          <w:p w14:paraId="7D5755D8"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F(11.3 µm)</w:t>
            </w:r>
          </w:p>
        </w:tc>
        <w:tc>
          <w:tcPr>
            <w:tcW w:w="1104" w:type="dxa"/>
            <w:tcBorders>
              <w:top w:val="single" w:sz="4" w:space="0" w:color="auto"/>
              <w:bottom w:val="single" w:sz="4" w:space="0" w:color="auto"/>
            </w:tcBorders>
            <w:vAlign w:val="center"/>
            <w:hideMark/>
          </w:tcPr>
          <w:p w14:paraId="1A854990"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F(7.7)/F(11.3)</w:t>
            </w:r>
          </w:p>
        </w:tc>
        <w:tc>
          <w:tcPr>
            <w:tcW w:w="1104" w:type="dxa"/>
            <w:tcBorders>
              <w:top w:val="single" w:sz="4" w:space="0" w:color="auto"/>
              <w:bottom w:val="single" w:sz="4" w:space="0" w:color="auto"/>
            </w:tcBorders>
            <w:vAlign w:val="center"/>
            <w:hideMark/>
          </w:tcPr>
          <w:p w14:paraId="0663EA2A"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F(8.6)/F(11.3)</w:t>
            </w:r>
          </w:p>
        </w:tc>
        <w:tc>
          <w:tcPr>
            <w:tcW w:w="1089" w:type="dxa"/>
            <w:tcBorders>
              <w:top w:val="single" w:sz="4" w:space="0" w:color="auto"/>
              <w:bottom w:val="single" w:sz="4" w:space="0" w:color="auto"/>
            </w:tcBorders>
            <w:vAlign w:val="center"/>
            <w:hideMark/>
          </w:tcPr>
          <w:p w14:paraId="421B005C"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F(7.7)/F(8.6)</w:t>
            </w:r>
          </w:p>
        </w:tc>
      </w:tr>
      <w:tr w:rsidR="0014061F" w:rsidRPr="0014061F" w14:paraId="3B865219" w14:textId="77777777" w:rsidTr="0014061F">
        <w:trPr>
          <w:tblCellSpacing w:w="15" w:type="dxa"/>
        </w:trPr>
        <w:tc>
          <w:tcPr>
            <w:tcW w:w="1701" w:type="dxa"/>
            <w:vAlign w:val="center"/>
            <w:hideMark/>
          </w:tcPr>
          <w:p w14:paraId="3D76DB08"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NGC5457-100-388</w:t>
            </w:r>
          </w:p>
        </w:tc>
        <w:tc>
          <w:tcPr>
            <w:tcW w:w="1104" w:type="dxa"/>
            <w:vAlign w:val="center"/>
            <w:hideMark/>
          </w:tcPr>
          <w:p w14:paraId="13BD8E43"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0.020</w:t>
            </w:r>
          </w:p>
        </w:tc>
        <w:tc>
          <w:tcPr>
            <w:tcW w:w="1104" w:type="dxa"/>
            <w:vAlign w:val="center"/>
            <w:hideMark/>
          </w:tcPr>
          <w:p w14:paraId="6A075756"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0.009</w:t>
            </w:r>
          </w:p>
        </w:tc>
        <w:tc>
          <w:tcPr>
            <w:tcW w:w="1104" w:type="dxa"/>
            <w:vAlign w:val="center"/>
            <w:hideMark/>
          </w:tcPr>
          <w:p w14:paraId="36AE6485"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0.036</w:t>
            </w:r>
          </w:p>
        </w:tc>
        <w:tc>
          <w:tcPr>
            <w:tcW w:w="1104" w:type="dxa"/>
            <w:vAlign w:val="center"/>
            <w:hideMark/>
          </w:tcPr>
          <w:p w14:paraId="5B5319D5"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0.56</w:t>
            </w:r>
          </w:p>
        </w:tc>
        <w:tc>
          <w:tcPr>
            <w:tcW w:w="1104" w:type="dxa"/>
            <w:vAlign w:val="center"/>
            <w:hideMark/>
          </w:tcPr>
          <w:p w14:paraId="1E12E037"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0.25</w:t>
            </w:r>
          </w:p>
        </w:tc>
        <w:tc>
          <w:tcPr>
            <w:tcW w:w="1089" w:type="dxa"/>
            <w:vAlign w:val="center"/>
            <w:hideMark/>
          </w:tcPr>
          <w:p w14:paraId="55305DAB"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2.22</w:t>
            </w:r>
          </w:p>
        </w:tc>
      </w:tr>
      <w:tr w:rsidR="0014061F" w:rsidRPr="0014061F" w14:paraId="70CDC44C" w14:textId="77777777" w:rsidTr="0014061F">
        <w:trPr>
          <w:tblCellSpacing w:w="15" w:type="dxa"/>
        </w:trPr>
        <w:tc>
          <w:tcPr>
            <w:tcW w:w="1701" w:type="dxa"/>
            <w:vAlign w:val="center"/>
            <w:hideMark/>
          </w:tcPr>
          <w:p w14:paraId="2B084EEB"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NGC5457-205-98</w:t>
            </w:r>
          </w:p>
        </w:tc>
        <w:tc>
          <w:tcPr>
            <w:tcW w:w="1104" w:type="dxa"/>
            <w:vAlign w:val="center"/>
            <w:hideMark/>
          </w:tcPr>
          <w:p w14:paraId="78C84BEF"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0.011</w:t>
            </w:r>
          </w:p>
        </w:tc>
        <w:tc>
          <w:tcPr>
            <w:tcW w:w="1104" w:type="dxa"/>
            <w:vAlign w:val="center"/>
            <w:hideMark/>
          </w:tcPr>
          <w:p w14:paraId="3716035D"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0.007</w:t>
            </w:r>
          </w:p>
        </w:tc>
        <w:tc>
          <w:tcPr>
            <w:tcW w:w="1104" w:type="dxa"/>
            <w:vAlign w:val="center"/>
            <w:hideMark/>
          </w:tcPr>
          <w:p w14:paraId="628BE412"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0.019</w:t>
            </w:r>
          </w:p>
        </w:tc>
        <w:tc>
          <w:tcPr>
            <w:tcW w:w="1104" w:type="dxa"/>
            <w:vAlign w:val="center"/>
            <w:hideMark/>
          </w:tcPr>
          <w:p w14:paraId="2BB965D9"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0.58</w:t>
            </w:r>
          </w:p>
        </w:tc>
        <w:tc>
          <w:tcPr>
            <w:tcW w:w="1104" w:type="dxa"/>
            <w:vAlign w:val="center"/>
            <w:hideMark/>
          </w:tcPr>
          <w:p w14:paraId="02851179"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0.37</w:t>
            </w:r>
          </w:p>
        </w:tc>
        <w:tc>
          <w:tcPr>
            <w:tcW w:w="1089" w:type="dxa"/>
            <w:vAlign w:val="center"/>
            <w:hideMark/>
          </w:tcPr>
          <w:p w14:paraId="45FC080D"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1.57</w:t>
            </w:r>
          </w:p>
        </w:tc>
      </w:tr>
      <w:tr w:rsidR="0014061F" w:rsidRPr="0014061F" w14:paraId="20E88277" w14:textId="77777777" w:rsidTr="0014061F">
        <w:trPr>
          <w:tblCellSpacing w:w="15" w:type="dxa"/>
        </w:trPr>
        <w:tc>
          <w:tcPr>
            <w:tcW w:w="1701" w:type="dxa"/>
            <w:vAlign w:val="center"/>
            <w:hideMark/>
          </w:tcPr>
          <w:p w14:paraId="20F085D5"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NGC5457-361-280</w:t>
            </w:r>
          </w:p>
        </w:tc>
        <w:tc>
          <w:tcPr>
            <w:tcW w:w="1104" w:type="dxa"/>
            <w:vAlign w:val="center"/>
            <w:hideMark/>
          </w:tcPr>
          <w:p w14:paraId="464AF759"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0.019</w:t>
            </w:r>
          </w:p>
        </w:tc>
        <w:tc>
          <w:tcPr>
            <w:tcW w:w="1104" w:type="dxa"/>
            <w:vAlign w:val="center"/>
            <w:hideMark/>
          </w:tcPr>
          <w:p w14:paraId="44FFE94C"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0.008</w:t>
            </w:r>
          </w:p>
        </w:tc>
        <w:tc>
          <w:tcPr>
            <w:tcW w:w="1104" w:type="dxa"/>
            <w:vAlign w:val="center"/>
            <w:hideMark/>
          </w:tcPr>
          <w:p w14:paraId="28A5EBE4"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0.035</w:t>
            </w:r>
          </w:p>
        </w:tc>
        <w:tc>
          <w:tcPr>
            <w:tcW w:w="1104" w:type="dxa"/>
            <w:vAlign w:val="center"/>
            <w:hideMark/>
          </w:tcPr>
          <w:p w14:paraId="00575729"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0.54</w:t>
            </w:r>
          </w:p>
        </w:tc>
        <w:tc>
          <w:tcPr>
            <w:tcW w:w="1104" w:type="dxa"/>
            <w:vAlign w:val="center"/>
            <w:hideMark/>
          </w:tcPr>
          <w:p w14:paraId="31B75E64"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0.23</w:t>
            </w:r>
          </w:p>
        </w:tc>
        <w:tc>
          <w:tcPr>
            <w:tcW w:w="1089" w:type="dxa"/>
            <w:vAlign w:val="center"/>
            <w:hideMark/>
          </w:tcPr>
          <w:p w14:paraId="62ACF965"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2.38</w:t>
            </w:r>
          </w:p>
        </w:tc>
      </w:tr>
      <w:tr w:rsidR="0014061F" w:rsidRPr="0014061F" w14:paraId="359C1978" w14:textId="77777777" w:rsidTr="0014061F">
        <w:trPr>
          <w:tblCellSpacing w:w="15" w:type="dxa"/>
        </w:trPr>
        <w:tc>
          <w:tcPr>
            <w:tcW w:w="1701" w:type="dxa"/>
            <w:tcBorders>
              <w:bottom w:val="single" w:sz="4" w:space="0" w:color="auto"/>
            </w:tcBorders>
            <w:vAlign w:val="center"/>
            <w:hideMark/>
          </w:tcPr>
          <w:p w14:paraId="12E1E2DB"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NGC5457+189-136</w:t>
            </w:r>
          </w:p>
        </w:tc>
        <w:tc>
          <w:tcPr>
            <w:tcW w:w="1104" w:type="dxa"/>
            <w:tcBorders>
              <w:bottom w:val="single" w:sz="4" w:space="0" w:color="auto"/>
            </w:tcBorders>
            <w:vAlign w:val="center"/>
            <w:hideMark/>
          </w:tcPr>
          <w:p w14:paraId="7EC893F1"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0.009</w:t>
            </w:r>
          </w:p>
        </w:tc>
        <w:tc>
          <w:tcPr>
            <w:tcW w:w="1104" w:type="dxa"/>
            <w:tcBorders>
              <w:bottom w:val="single" w:sz="4" w:space="0" w:color="auto"/>
            </w:tcBorders>
            <w:vAlign w:val="center"/>
            <w:hideMark/>
          </w:tcPr>
          <w:p w14:paraId="6FE08114"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0.008</w:t>
            </w:r>
          </w:p>
        </w:tc>
        <w:tc>
          <w:tcPr>
            <w:tcW w:w="1104" w:type="dxa"/>
            <w:tcBorders>
              <w:bottom w:val="single" w:sz="4" w:space="0" w:color="auto"/>
            </w:tcBorders>
            <w:vAlign w:val="center"/>
            <w:hideMark/>
          </w:tcPr>
          <w:p w14:paraId="12C4D820"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0.013</w:t>
            </w:r>
          </w:p>
        </w:tc>
        <w:tc>
          <w:tcPr>
            <w:tcW w:w="1104" w:type="dxa"/>
            <w:tcBorders>
              <w:bottom w:val="single" w:sz="4" w:space="0" w:color="auto"/>
            </w:tcBorders>
            <w:vAlign w:val="center"/>
            <w:hideMark/>
          </w:tcPr>
          <w:p w14:paraId="24A400D8"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0.69</w:t>
            </w:r>
          </w:p>
        </w:tc>
        <w:tc>
          <w:tcPr>
            <w:tcW w:w="1104" w:type="dxa"/>
            <w:tcBorders>
              <w:bottom w:val="single" w:sz="4" w:space="0" w:color="auto"/>
            </w:tcBorders>
            <w:vAlign w:val="center"/>
            <w:hideMark/>
          </w:tcPr>
          <w:p w14:paraId="42C1214E"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0.62</w:t>
            </w:r>
          </w:p>
        </w:tc>
        <w:tc>
          <w:tcPr>
            <w:tcW w:w="1089" w:type="dxa"/>
            <w:tcBorders>
              <w:bottom w:val="single" w:sz="4" w:space="0" w:color="auto"/>
            </w:tcBorders>
            <w:vAlign w:val="center"/>
            <w:hideMark/>
          </w:tcPr>
          <w:p w14:paraId="06278814"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1.13</w:t>
            </w:r>
          </w:p>
        </w:tc>
      </w:tr>
    </w:tbl>
    <w:p w14:paraId="270C5140" w14:textId="77777777" w:rsidR="00060787" w:rsidRDefault="00060787" w:rsidP="00060787">
      <w:pPr>
        <w:pStyle w:val="Body"/>
        <w:spacing w:after="0"/>
        <w:rPr>
          <w:rFonts w:ascii="Arial" w:hAnsi="Arial" w:cs="Arial"/>
        </w:rPr>
      </w:pPr>
    </w:p>
    <w:p w14:paraId="0F05BC9A" w14:textId="77777777" w:rsidR="00060787" w:rsidRDefault="00060787" w:rsidP="0014061F">
      <w:pPr>
        <w:jc w:val="both"/>
        <w:rPr>
          <w:rFonts w:ascii="Arial" w:hAnsi="Arial" w:cs="Arial"/>
          <w:b/>
          <w:bCs/>
        </w:rPr>
      </w:pPr>
    </w:p>
    <w:p w14:paraId="71B423A1" w14:textId="77777777" w:rsidR="00060787" w:rsidRDefault="00060787" w:rsidP="0014061F">
      <w:pPr>
        <w:jc w:val="both"/>
        <w:rPr>
          <w:rFonts w:ascii="Arial" w:hAnsi="Arial" w:cs="Arial"/>
          <w:b/>
          <w:bCs/>
        </w:rPr>
      </w:pPr>
    </w:p>
    <w:p w14:paraId="2366CBDA" w14:textId="78D72BB1" w:rsidR="0014061F" w:rsidRDefault="0014061F" w:rsidP="0014061F">
      <w:pPr>
        <w:jc w:val="both"/>
        <w:rPr>
          <w:rFonts w:ascii="Arial" w:hAnsi="Arial" w:cs="Arial"/>
          <w:b/>
          <w:bCs/>
        </w:rPr>
      </w:pPr>
      <w:r w:rsidRPr="0014061F">
        <w:rPr>
          <w:rFonts w:ascii="Arial" w:hAnsi="Arial" w:cs="Arial"/>
          <w:b/>
          <w:bCs/>
        </w:rPr>
        <w:t>4. DISCUSSION</w:t>
      </w:r>
    </w:p>
    <w:p w14:paraId="681D16B5" w14:textId="3024159D" w:rsidR="0014061F" w:rsidRPr="0014061F" w:rsidRDefault="0014061F" w:rsidP="0014061F">
      <w:pPr>
        <w:jc w:val="both"/>
        <w:rPr>
          <w:rFonts w:ascii="Arial" w:hAnsi="Arial" w:cs="Arial"/>
          <w:b/>
          <w:bCs/>
        </w:rPr>
      </w:pPr>
    </w:p>
    <w:p w14:paraId="39A725B0" w14:textId="77777777" w:rsidR="0014061F" w:rsidRPr="0014061F" w:rsidRDefault="0014061F" w:rsidP="0014061F">
      <w:pPr>
        <w:jc w:val="both"/>
        <w:rPr>
          <w:rFonts w:ascii="Arial" w:hAnsi="Arial" w:cs="Arial"/>
        </w:rPr>
      </w:pPr>
      <w:r w:rsidRPr="0014061F">
        <w:rPr>
          <w:rFonts w:ascii="Arial" w:hAnsi="Arial" w:cs="Arial"/>
        </w:rPr>
        <w:t>The quantitative results presented in the previous section reveal a clear and systematic variation in the PAH spectral characteristics across the four targeted H II regions. In this section, these results are interpreted within the established theoretical framework of PAH emission to diagnose the physical conditions within these regions. This analysis aims to construct a coherent physical picture that addresses the primary scientific questions of this study regarding the processing of PAHs in high-mass star-forming environments.</w:t>
      </w:r>
    </w:p>
    <w:p w14:paraId="5C5DB351" w14:textId="77777777" w:rsidR="0014061F" w:rsidRPr="0014061F" w:rsidRDefault="0014061F" w:rsidP="0014061F">
      <w:pPr>
        <w:jc w:val="both"/>
        <w:rPr>
          <w:rFonts w:ascii="Arial" w:hAnsi="Arial" w:cs="Arial"/>
        </w:rPr>
      </w:pPr>
    </w:p>
    <w:p w14:paraId="11B5173A" w14:textId="0DDD7F64" w:rsidR="0014061F" w:rsidRDefault="0014061F" w:rsidP="0014061F">
      <w:pPr>
        <w:jc w:val="both"/>
        <w:rPr>
          <w:rFonts w:ascii="Arial" w:hAnsi="Arial" w:cs="Arial"/>
          <w:b/>
          <w:bCs/>
        </w:rPr>
      </w:pPr>
      <w:r w:rsidRPr="0014061F">
        <w:rPr>
          <w:rFonts w:ascii="Arial" w:hAnsi="Arial" w:cs="Arial"/>
          <w:b/>
          <w:bCs/>
        </w:rPr>
        <w:t>4.1. The Physical Interpretation of PAH Band Ratios</w:t>
      </w:r>
      <w:r w:rsidR="00B45B8F">
        <w:rPr>
          <w:rFonts w:ascii="Arial" w:hAnsi="Arial" w:cs="Arial"/>
          <w:b/>
          <w:bCs/>
        </w:rPr>
        <w:t xml:space="preserve">: </w:t>
      </w:r>
      <w:r w:rsidR="00B45B8F" w:rsidRPr="0014061F">
        <w:rPr>
          <w:rFonts w:ascii="Arial" w:hAnsi="Arial" w:cs="Arial"/>
          <w:b/>
          <w:bCs/>
        </w:rPr>
        <w:t>Probing the PAH Ionization State</w:t>
      </w:r>
    </w:p>
    <w:p w14:paraId="5926C96B" w14:textId="77777777" w:rsidR="0014061F" w:rsidRPr="0014061F" w:rsidRDefault="0014061F" w:rsidP="0014061F">
      <w:pPr>
        <w:jc w:val="both"/>
        <w:rPr>
          <w:rFonts w:ascii="Arial" w:hAnsi="Arial" w:cs="Arial"/>
          <w:b/>
          <w:bCs/>
        </w:rPr>
      </w:pPr>
    </w:p>
    <w:p w14:paraId="6B48B5A7" w14:textId="7D1BAD3D" w:rsidR="0014061F" w:rsidRPr="0014061F" w:rsidRDefault="0014061F" w:rsidP="0014061F">
      <w:pPr>
        <w:jc w:val="both"/>
        <w:rPr>
          <w:rFonts w:ascii="Arial" w:hAnsi="Arial" w:cs="Arial"/>
        </w:rPr>
      </w:pPr>
      <w:r w:rsidRPr="0014061F">
        <w:rPr>
          <w:rFonts w:ascii="Arial" w:hAnsi="Arial" w:cs="Arial"/>
        </w:rPr>
        <w:t>The diagnostic power of PAH features stems from the fact that the relative strengths of different vibrational modes are highly sensitive to the intrinsic properties of the molecules</w:t>
      </w:r>
      <w:r>
        <w:rPr>
          <w:rFonts w:ascii="Arial" w:hAnsi="Arial" w:cs="Arial"/>
        </w:rPr>
        <w:t xml:space="preserve">, </w:t>
      </w:r>
      <w:r w:rsidRPr="0014061F">
        <w:rPr>
          <w:rFonts w:ascii="Arial" w:hAnsi="Arial" w:cs="Arial"/>
        </w:rPr>
        <w:t>primarily their charge state and size</w:t>
      </w:r>
      <w:r>
        <w:rPr>
          <w:rFonts w:ascii="Arial" w:hAnsi="Arial" w:cs="Arial"/>
        </w:rPr>
        <w:t xml:space="preserve">, </w:t>
      </w:r>
      <w:r w:rsidRPr="0014061F">
        <w:rPr>
          <w:rFonts w:ascii="Arial" w:hAnsi="Arial" w:cs="Arial"/>
        </w:rPr>
        <w:t>and the nature of the exciting radiation field.</w:t>
      </w:r>
    </w:p>
    <w:p w14:paraId="6C13B7B1" w14:textId="6FC14BD6" w:rsidR="009722D7" w:rsidRPr="009722D7" w:rsidRDefault="009722D7" w:rsidP="009722D7">
      <w:pPr>
        <w:jc w:val="both"/>
        <w:rPr>
          <w:rFonts w:ascii="Arial" w:hAnsi="Arial" w:cs="Arial"/>
        </w:rPr>
      </w:pPr>
      <w:r w:rsidRPr="009722D7">
        <w:rPr>
          <w:rFonts w:ascii="Arial" w:hAnsi="Arial" w:cs="Arial"/>
        </w:rPr>
        <w:t>A broad consensus, built upon decades of laboratory experiments, quantum-chemical calculations, and astronomical observations, holds that the charge state of the PAH population is the principal driver of the large-scale variations seen in mid-infrared spectra (</w:t>
      </w:r>
      <w:proofErr w:type="spellStart"/>
      <w:r w:rsidRPr="009722D7">
        <w:rPr>
          <w:rFonts w:ascii="Arial" w:hAnsi="Arial" w:cs="Arial"/>
        </w:rPr>
        <w:t>Bauschlicher</w:t>
      </w:r>
      <w:proofErr w:type="spellEnd"/>
      <w:r w:rsidRPr="009722D7">
        <w:rPr>
          <w:rFonts w:ascii="Arial" w:hAnsi="Arial" w:cs="Arial"/>
        </w:rPr>
        <w:t xml:space="preserve"> et al., 2008; </w:t>
      </w:r>
      <w:proofErr w:type="spellStart"/>
      <w:r w:rsidRPr="009722D7">
        <w:rPr>
          <w:rFonts w:ascii="Arial" w:hAnsi="Arial" w:cs="Arial"/>
        </w:rPr>
        <w:t>Rigopoulou</w:t>
      </w:r>
      <w:proofErr w:type="spellEnd"/>
      <w:r w:rsidRPr="009722D7">
        <w:rPr>
          <w:rFonts w:ascii="Arial" w:hAnsi="Arial" w:cs="Arial"/>
        </w:rPr>
        <w:t xml:space="preserve"> et al., 2024). Specifically, the emission features in the 6–9 µm range, which include the prominent 7.7 µm and 8.6 µm bands, are known to be significantly enhanced in ionized PAHs (cations) relative to their neutral counterparts (</w:t>
      </w:r>
      <w:proofErr w:type="spellStart"/>
      <w:r w:rsidRPr="009722D7">
        <w:rPr>
          <w:rFonts w:ascii="Arial" w:hAnsi="Arial" w:cs="Arial"/>
        </w:rPr>
        <w:t>Maragkoudakis</w:t>
      </w:r>
      <w:proofErr w:type="spellEnd"/>
      <w:r w:rsidRPr="009722D7">
        <w:rPr>
          <w:rFonts w:ascii="Arial" w:hAnsi="Arial" w:cs="Arial"/>
        </w:rPr>
        <w:t xml:space="preserve"> et al., 2022; Sakon et al., 2011; Sidhu et al., 2022</w:t>
      </w:r>
      <w:r w:rsidR="00BE41AA">
        <w:rPr>
          <w:rFonts w:ascii="Arial" w:hAnsi="Arial" w:cs="Arial"/>
        </w:rPr>
        <w:t xml:space="preserve">, </w:t>
      </w:r>
      <w:r w:rsidR="00BE41AA" w:rsidRPr="00BE41AA">
        <w:rPr>
          <w:rFonts w:ascii="Arial" w:hAnsi="Arial" w:cs="Arial"/>
        </w:rPr>
        <w:t>Maurya et al., 2023</w:t>
      </w:r>
      <w:r w:rsidRPr="009722D7">
        <w:rPr>
          <w:rFonts w:ascii="Arial" w:hAnsi="Arial" w:cs="Arial"/>
        </w:rPr>
        <w:t>). These features arise from C-C stretching and C-H in-plane bending modes whose oscillator strengths increase dramatically upon ionization (</w:t>
      </w:r>
      <w:proofErr w:type="spellStart"/>
      <w:r w:rsidRPr="009722D7">
        <w:rPr>
          <w:rFonts w:ascii="Arial" w:hAnsi="Arial" w:cs="Arial"/>
        </w:rPr>
        <w:t>Dontot</w:t>
      </w:r>
      <w:proofErr w:type="spellEnd"/>
      <w:r w:rsidRPr="009722D7">
        <w:rPr>
          <w:rFonts w:ascii="Arial" w:hAnsi="Arial" w:cs="Arial"/>
        </w:rPr>
        <w:t xml:space="preserve"> et al., 2020; Esposito et al., 2024; Mackie et al., 2015; Semmler et al., 1991).</w:t>
      </w:r>
    </w:p>
    <w:p w14:paraId="4B7ADF43" w14:textId="77777777" w:rsidR="009722D7" w:rsidRPr="009722D7" w:rsidRDefault="009722D7" w:rsidP="009722D7">
      <w:pPr>
        <w:jc w:val="both"/>
        <w:rPr>
          <w:rFonts w:ascii="Arial" w:hAnsi="Arial" w:cs="Arial"/>
        </w:rPr>
      </w:pPr>
    </w:p>
    <w:p w14:paraId="43D3DEA3" w14:textId="77777777" w:rsidR="009722D7" w:rsidRPr="009722D7" w:rsidRDefault="009722D7" w:rsidP="009722D7">
      <w:pPr>
        <w:jc w:val="both"/>
        <w:rPr>
          <w:rFonts w:ascii="Arial" w:hAnsi="Arial" w:cs="Arial"/>
        </w:rPr>
      </w:pPr>
      <w:r w:rsidRPr="009722D7">
        <w:rPr>
          <w:rFonts w:ascii="Arial" w:hAnsi="Arial" w:cs="Arial"/>
        </w:rPr>
        <w:t>Conversely, features arising from C-H out-of-plane bending modes, most notably the strong band at 11.3 µm, are the dominant spectral signature of neutral PAHs (</w:t>
      </w:r>
      <w:proofErr w:type="spellStart"/>
      <w:r w:rsidRPr="009722D7">
        <w:rPr>
          <w:rFonts w:ascii="Arial" w:hAnsi="Arial" w:cs="Arial"/>
        </w:rPr>
        <w:t>Candian</w:t>
      </w:r>
      <w:proofErr w:type="spellEnd"/>
      <w:r w:rsidRPr="009722D7">
        <w:rPr>
          <w:rFonts w:ascii="Arial" w:hAnsi="Arial" w:cs="Arial"/>
        </w:rPr>
        <w:t xml:space="preserve"> &amp; </w:t>
      </w:r>
      <w:proofErr w:type="spellStart"/>
      <w:r w:rsidRPr="009722D7">
        <w:rPr>
          <w:rFonts w:ascii="Arial" w:hAnsi="Arial" w:cs="Arial"/>
        </w:rPr>
        <w:t>Sarre</w:t>
      </w:r>
      <w:proofErr w:type="spellEnd"/>
      <w:r w:rsidRPr="009722D7">
        <w:rPr>
          <w:rFonts w:ascii="Arial" w:hAnsi="Arial" w:cs="Arial"/>
        </w:rPr>
        <w:t>, 2015; Mackie et al., 2015; Maltseva et al., 2016; Sakon et al., 2011). The intensity of this feature is much stronger relative to the 6–9 µm complex in neutral species (</w:t>
      </w:r>
      <w:proofErr w:type="spellStart"/>
      <w:r w:rsidRPr="009722D7">
        <w:rPr>
          <w:rFonts w:ascii="Arial" w:hAnsi="Arial" w:cs="Arial"/>
        </w:rPr>
        <w:t>Maragkoudakis</w:t>
      </w:r>
      <w:proofErr w:type="spellEnd"/>
      <w:r w:rsidRPr="009722D7">
        <w:rPr>
          <w:rFonts w:ascii="Arial" w:hAnsi="Arial" w:cs="Arial"/>
        </w:rPr>
        <w:t xml:space="preserve"> et al., 2022; Sidhu et al., 2022).</w:t>
      </w:r>
    </w:p>
    <w:p w14:paraId="3210F021" w14:textId="77777777" w:rsidR="009722D7" w:rsidRPr="009722D7" w:rsidRDefault="009722D7" w:rsidP="009722D7">
      <w:pPr>
        <w:jc w:val="both"/>
        <w:rPr>
          <w:rFonts w:ascii="Arial" w:hAnsi="Arial" w:cs="Arial"/>
        </w:rPr>
      </w:pPr>
    </w:p>
    <w:p w14:paraId="4ED8DE74" w14:textId="77777777" w:rsidR="009722D7" w:rsidRPr="009722D7" w:rsidRDefault="009722D7" w:rsidP="009722D7">
      <w:pPr>
        <w:jc w:val="both"/>
        <w:rPr>
          <w:rFonts w:ascii="Arial" w:hAnsi="Arial" w:cs="Arial"/>
        </w:rPr>
      </w:pPr>
      <w:r w:rsidRPr="009722D7">
        <w:rPr>
          <w:rFonts w:ascii="Arial" w:hAnsi="Arial" w:cs="Arial"/>
        </w:rPr>
        <w:t>This dichotomy provides a powerful diagnostic tool. Ratios of a "cationic" band flux to a "neutral" band flux, such as F(7.7)/</w:t>
      </w:r>
      <w:proofErr w:type="gramStart"/>
      <w:r w:rsidRPr="009722D7">
        <w:rPr>
          <w:rFonts w:ascii="Arial" w:hAnsi="Arial" w:cs="Arial"/>
        </w:rPr>
        <w:t>F(</w:t>
      </w:r>
      <w:proofErr w:type="gramEnd"/>
      <w:r w:rsidRPr="009722D7">
        <w:rPr>
          <w:rFonts w:ascii="Arial" w:hAnsi="Arial" w:cs="Arial"/>
        </w:rPr>
        <w:t>11.3) or F(8.6)/F(11.3), serve as effective tracers of the average ionization fraction of the PAH population (</w:t>
      </w:r>
      <w:proofErr w:type="spellStart"/>
      <w:r w:rsidRPr="009722D7">
        <w:rPr>
          <w:rFonts w:ascii="Arial" w:hAnsi="Arial" w:cs="Arial"/>
        </w:rPr>
        <w:t>Maragkoudakis</w:t>
      </w:r>
      <w:proofErr w:type="spellEnd"/>
      <w:r w:rsidRPr="009722D7">
        <w:rPr>
          <w:rFonts w:ascii="Arial" w:hAnsi="Arial" w:cs="Arial"/>
        </w:rPr>
        <w:t xml:space="preserve"> et al., 2022; Sakon et al., </w:t>
      </w:r>
      <w:r w:rsidRPr="009722D7">
        <w:rPr>
          <w:rFonts w:ascii="Arial" w:hAnsi="Arial" w:cs="Arial"/>
        </w:rPr>
        <w:lastRenderedPageBreak/>
        <w:t>2011; Sidhu et al., 2022). A higher ratio implies a larger fraction of ionized PAHs, which in turn points to an environment with a higher ionization parameter, defined by the ratio of the incident far-ultraviolet photon flux to the local gas density (</w:t>
      </w:r>
      <w:proofErr w:type="spellStart"/>
      <w:r w:rsidRPr="009722D7">
        <w:rPr>
          <w:rFonts w:ascii="Arial" w:hAnsi="Arial" w:cs="Arial"/>
        </w:rPr>
        <w:t>Maragkoudakis</w:t>
      </w:r>
      <w:proofErr w:type="spellEnd"/>
      <w:r w:rsidRPr="009722D7">
        <w:rPr>
          <w:rFonts w:ascii="Arial" w:hAnsi="Arial" w:cs="Arial"/>
        </w:rPr>
        <w:t xml:space="preserve"> et al., 2022; Sidhu et al., 2022).</w:t>
      </w:r>
    </w:p>
    <w:p w14:paraId="70DAF861" w14:textId="77777777" w:rsidR="009722D7" w:rsidRPr="009722D7" w:rsidRDefault="009722D7" w:rsidP="009722D7">
      <w:pPr>
        <w:jc w:val="both"/>
        <w:rPr>
          <w:rFonts w:ascii="Arial" w:hAnsi="Arial" w:cs="Arial"/>
        </w:rPr>
      </w:pPr>
    </w:p>
    <w:p w14:paraId="7A1291E7" w14:textId="1A32FC63" w:rsidR="0014061F" w:rsidRDefault="009722D7" w:rsidP="009722D7">
      <w:pPr>
        <w:jc w:val="both"/>
        <w:rPr>
          <w:rFonts w:ascii="Arial" w:hAnsi="Arial" w:cs="Arial"/>
        </w:rPr>
      </w:pPr>
      <w:r w:rsidRPr="009722D7">
        <w:rPr>
          <w:rFonts w:ascii="Arial" w:hAnsi="Arial" w:cs="Arial"/>
        </w:rPr>
        <w:t>Applying this diagnostic to the data in Table 3 allows for the establishment of an ionization sequence among the four target regions. NGC5457+189-136 exhibits the highest values for both F(7.7)/</w:t>
      </w:r>
      <w:proofErr w:type="gramStart"/>
      <w:r w:rsidRPr="009722D7">
        <w:rPr>
          <w:rFonts w:ascii="Arial" w:hAnsi="Arial" w:cs="Arial"/>
        </w:rPr>
        <w:t>F(</w:t>
      </w:r>
      <w:proofErr w:type="gramEnd"/>
      <w:r w:rsidRPr="009722D7">
        <w:rPr>
          <w:rFonts w:ascii="Arial" w:hAnsi="Arial" w:cs="Arial"/>
        </w:rPr>
        <w:t>11.3) (0.69) and F(8.6)/F(11.3) (0.62), indicating that it harbors the most highly ionized PAH population in our sample. This is characteristic of an environment exposed to a particularly intense and/or hard radiation field. At the other extreme, NGC5457-361-280 shows the lowest values for these ratios (0.54 and 0.23, respectively), signifying a predominantly neutral PAH population, typical of a more shielded or quiescent environment like a photodissociation region (Goicoechea et al., 2009; Knight et al., 2021; Sidhu et al., 2022</w:t>
      </w:r>
      <w:r w:rsidR="002D1ABA">
        <w:rPr>
          <w:rFonts w:ascii="Arial" w:hAnsi="Arial" w:cs="Arial"/>
        </w:rPr>
        <w:t xml:space="preserve">, </w:t>
      </w:r>
      <w:r w:rsidR="002D1ABA" w:rsidRPr="002D1ABA">
        <w:rPr>
          <w:rFonts w:ascii="Arial" w:hAnsi="Arial" w:cs="Arial"/>
        </w:rPr>
        <w:t>Maurya &amp; Rastogi, 2015</w:t>
      </w:r>
      <w:r w:rsidRPr="009722D7">
        <w:rPr>
          <w:rFonts w:ascii="Arial" w:hAnsi="Arial" w:cs="Arial"/>
        </w:rPr>
        <w:t>). The remaining two H II regions, NGC5457-100-388 and NGC5457-205-98, occupy intermediate positions in this ionization sequence. This variation confirms that our sample successfully probes a diverse range of radiation environments within NGC 5457.</w:t>
      </w:r>
    </w:p>
    <w:p w14:paraId="40028996" w14:textId="77777777" w:rsidR="009722D7" w:rsidRPr="0014061F" w:rsidRDefault="009722D7" w:rsidP="009722D7">
      <w:pPr>
        <w:jc w:val="both"/>
        <w:rPr>
          <w:rFonts w:ascii="Arial" w:hAnsi="Arial" w:cs="Arial"/>
        </w:rPr>
      </w:pPr>
    </w:p>
    <w:p w14:paraId="320B5135" w14:textId="77777777" w:rsidR="0014061F" w:rsidRDefault="0014061F" w:rsidP="0014061F">
      <w:pPr>
        <w:jc w:val="both"/>
        <w:rPr>
          <w:rFonts w:ascii="Arial" w:hAnsi="Arial" w:cs="Arial"/>
          <w:b/>
          <w:bCs/>
        </w:rPr>
      </w:pPr>
      <w:r w:rsidRPr="0014061F">
        <w:rPr>
          <w:rFonts w:ascii="Arial" w:hAnsi="Arial" w:cs="Arial"/>
          <w:b/>
          <w:bCs/>
        </w:rPr>
        <w:t>4.2. A Diagnostic Diagram of PAH Environments in NGC 5457</w:t>
      </w:r>
    </w:p>
    <w:p w14:paraId="0BB2F807" w14:textId="77777777" w:rsidR="002A6D56" w:rsidRPr="0014061F" w:rsidRDefault="002A6D56" w:rsidP="0014061F">
      <w:pPr>
        <w:jc w:val="both"/>
        <w:rPr>
          <w:rFonts w:ascii="Arial" w:hAnsi="Arial" w:cs="Arial"/>
          <w:b/>
          <w:bCs/>
        </w:rPr>
      </w:pPr>
    </w:p>
    <w:p w14:paraId="606A4265" w14:textId="77777777" w:rsidR="008B5C7F" w:rsidRPr="008B5C7F" w:rsidRDefault="008B5C7F" w:rsidP="008B5C7F">
      <w:pPr>
        <w:jc w:val="both"/>
        <w:rPr>
          <w:rFonts w:ascii="Arial" w:hAnsi="Arial" w:cs="Arial"/>
        </w:rPr>
      </w:pPr>
      <w:r w:rsidRPr="008B5C7F">
        <w:rPr>
          <w:rFonts w:ascii="Arial" w:hAnsi="Arial" w:cs="Arial"/>
        </w:rPr>
        <w:t xml:space="preserve">To visualize the relationships between the PAH properties and to better interpret the observed trends, we construct a diagnostic diagram using the measured flux ratios (Galliano et al., 2008; </w:t>
      </w:r>
      <w:proofErr w:type="spellStart"/>
      <w:r w:rsidRPr="008B5C7F">
        <w:rPr>
          <w:rFonts w:ascii="Arial" w:hAnsi="Arial" w:cs="Arial"/>
        </w:rPr>
        <w:t>Maragkoudakis</w:t>
      </w:r>
      <w:proofErr w:type="spellEnd"/>
      <w:r w:rsidRPr="008B5C7F">
        <w:rPr>
          <w:rFonts w:ascii="Arial" w:hAnsi="Arial" w:cs="Arial"/>
        </w:rPr>
        <w:t xml:space="preserve"> et al., 2023). Such diagrams are powerful tools for separating astronomical sources based on the physical state of their ISM (Galliano et al., 2008).</w:t>
      </w:r>
    </w:p>
    <w:p w14:paraId="67820EF4" w14:textId="77777777" w:rsidR="008B5C7F" w:rsidRPr="008B5C7F" w:rsidRDefault="008B5C7F" w:rsidP="008B5C7F">
      <w:pPr>
        <w:jc w:val="both"/>
        <w:rPr>
          <w:rFonts w:ascii="Arial" w:hAnsi="Arial" w:cs="Arial"/>
        </w:rPr>
      </w:pPr>
    </w:p>
    <w:p w14:paraId="0384A6EC" w14:textId="77777777" w:rsidR="008B5C7F" w:rsidRPr="008B5C7F" w:rsidRDefault="008B5C7F" w:rsidP="008B5C7F">
      <w:pPr>
        <w:jc w:val="both"/>
        <w:rPr>
          <w:rFonts w:ascii="Arial" w:hAnsi="Arial" w:cs="Arial"/>
        </w:rPr>
      </w:pPr>
      <w:r w:rsidRPr="008B5C7F">
        <w:rPr>
          <w:rFonts w:ascii="Arial" w:hAnsi="Arial" w:cs="Arial"/>
        </w:rPr>
        <w:t>We propose a diagram plotting the F(7.7)/</w:t>
      </w:r>
      <w:proofErr w:type="gramStart"/>
      <w:r w:rsidRPr="008B5C7F">
        <w:rPr>
          <w:rFonts w:ascii="Arial" w:hAnsi="Arial" w:cs="Arial"/>
        </w:rPr>
        <w:t>F(</w:t>
      </w:r>
      <w:proofErr w:type="gramEnd"/>
      <w:r w:rsidRPr="008B5C7F">
        <w:rPr>
          <w:rFonts w:ascii="Arial" w:hAnsi="Arial" w:cs="Arial"/>
        </w:rPr>
        <w:t>8.6) ratio against the F(8.6)/F(11.3) ratio, as shown conceptually in Figure 6. The x-axis, F(8.6)/</w:t>
      </w:r>
      <w:proofErr w:type="gramStart"/>
      <w:r w:rsidRPr="008B5C7F">
        <w:rPr>
          <w:rFonts w:ascii="Arial" w:hAnsi="Arial" w:cs="Arial"/>
        </w:rPr>
        <w:t>F(</w:t>
      </w:r>
      <w:proofErr w:type="gramEnd"/>
      <w:r w:rsidRPr="008B5C7F">
        <w:rPr>
          <w:rFonts w:ascii="Arial" w:hAnsi="Arial" w:cs="Arial"/>
        </w:rPr>
        <w:t xml:space="preserve">11.3), serves as our primary proxy for the PAH ionization state, with values increasing to the right for more highly ionized environments subject to more intense FUV radiation fields (Galliano et al., 2008; </w:t>
      </w:r>
      <w:proofErr w:type="spellStart"/>
      <w:r w:rsidRPr="008B5C7F">
        <w:rPr>
          <w:rFonts w:ascii="Arial" w:hAnsi="Arial" w:cs="Arial"/>
        </w:rPr>
        <w:t>Maragkoudakis</w:t>
      </w:r>
      <w:proofErr w:type="spellEnd"/>
      <w:r w:rsidRPr="008B5C7F">
        <w:rPr>
          <w:rFonts w:ascii="Arial" w:hAnsi="Arial" w:cs="Arial"/>
        </w:rPr>
        <w:t xml:space="preserve"> et al., 2022). The y-axis, F(7.7)/</w:t>
      </w:r>
      <w:proofErr w:type="gramStart"/>
      <w:r w:rsidRPr="008B5C7F">
        <w:rPr>
          <w:rFonts w:ascii="Arial" w:hAnsi="Arial" w:cs="Arial"/>
        </w:rPr>
        <w:t>F(</w:t>
      </w:r>
      <w:proofErr w:type="gramEnd"/>
      <w:r w:rsidRPr="008B5C7F">
        <w:rPr>
          <w:rFonts w:ascii="Arial" w:hAnsi="Arial" w:cs="Arial"/>
        </w:rPr>
        <w:t>8.6), probes the intrinsic properties of the PAH cation population (Knight et al., 2021).</w:t>
      </w:r>
    </w:p>
    <w:p w14:paraId="13045E04" w14:textId="77777777" w:rsidR="008B5C7F" w:rsidRPr="008B5C7F" w:rsidRDefault="008B5C7F" w:rsidP="008B5C7F">
      <w:pPr>
        <w:jc w:val="both"/>
        <w:rPr>
          <w:rFonts w:ascii="Arial" w:hAnsi="Arial" w:cs="Arial"/>
        </w:rPr>
      </w:pPr>
    </w:p>
    <w:p w14:paraId="29976E5C" w14:textId="77777777" w:rsidR="008B5C7F" w:rsidRDefault="008B5C7F" w:rsidP="008B5C7F">
      <w:pPr>
        <w:jc w:val="both"/>
        <w:rPr>
          <w:rFonts w:ascii="Arial" w:hAnsi="Arial" w:cs="Arial"/>
        </w:rPr>
      </w:pPr>
      <w:r w:rsidRPr="008B5C7F">
        <w:rPr>
          <w:rFonts w:ascii="Arial" w:hAnsi="Arial" w:cs="Arial"/>
        </w:rPr>
        <w:t>When the data for the four H II regions from Table 3 are plotted on this diagram, they do not scatter randomly. Instead, they form a remarkably clear sequence extending from the upper-left to the lower-right of the plot space. NGC5457-361-280, with the lowest ionization and highest F(7.7)/</w:t>
      </w:r>
      <w:proofErr w:type="gramStart"/>
      <w:r w:rsidRPr="008B5C7F">
        <w:rPr>
          <w:rFonts w:ascii="Arial" w:hAnsi="Arial" w:cs="Arial"/>
        </w:rPr>
        <w:t>F(</w:t>
      </w:r>
      <w:proofErr w:type="gramEnd"/>
      <w:r w:rsidRPr="008B5C7F">
        <w:rPr>
          <w:rFonts w:ascii="Arial" w:hAnsi="Arial" w:cs="Arial"/>
        </w:rPr>
        <w:t>8.6) ratio, anchors the upper-left of this sequence. NGC5457+189-136, with the highest ionization and lowest F(7.7)/</w:t>
      </w:r>
      <w:proofErr w:type="gramStart"/>
      <w:r w:rsidRPr="008B5C7F">
        <w:rPr>
          <w:rFonts w:ascii="Arial" w:hAnsi="Arial" w:cs="Arial"/>
        </w:rPr>
        <w:t>F(</w:t>
      </w:r>
      <w:proofErr w:type="gramEnd"/>
      <w:r w:rsidRPr="008B5C7F">
        <w:rPr>
          <w:rFonts w:ascii="Arial" w:hAnsi="Arial" w:cs="Arial"/>
        </w:rPr>
        <w:t>8.6) ratio, lies at the lower-right terminus. The other two sources, NGC5457-205-98 and NGC5457-100-388, fall neatly along the track connecting these two extremes.</w:t>
      </w:r>
    </w:p>
    <w:p w14:paraId="508A5A89" w14:textId="77777777" w:rsidR="004244A6" w:rsidRPr="008B5C7F" w:rsidRDefault="004244A6" w:rsidP="008B5C7F">
      <w:pPr>
        <w:jc w:val="both"/>
        <w:rPr>
          <w:rFonts w:ascii="Arial" w:hAnsi="Arial" w:cs="Arial"/>
        </w:rPr>
      </w:pPr>
    </w:p>
    <w:p w14:paraId="31718E06" w14:textId="77777777" w:rsidR="008B5C7F" w:rsidRPr="008B5C7F" w:rsidRDefault="008B5C7F" w:rsidP="008B5C7F">
      <w:pPr>
        <w:jc w:val="both"/>
        <w:rPr>
          <w:rFonts w:ascii="Arial" w:hAnsi="Arial" w:cs="Arial"/>
        </w:rPr>
      </w:pPr>
      <w:r w:rsidRPr="008B5C7F">
        <w:rPr>
          <w:rFonts w:ascii="Arial" w:hAnsi="Arial" w:cs="Arial"/>
        </w:rPr>
        <w:t xml:space="preserve">This diagram effectively segregates the four H II regions according to the physical state of their PAH populations (Galliano et al., 2008; </w:t>
      </w:r>
      <w:proofErr w:type="spellStart"/>
      <w:r w:rsidRPr="008B5C7F">
        <w:rPr>
          <w:rFonts w:ascii="Arial" w:hAnsi="Arial" w:cs="Arial"/>
        </w:rPr>
        <w:t>Maragkoudakis</w:t>
      </w:r>
      <w:proofErr w:type="spellEnd"/>
      <w:r w:rsidRPr="008B5C7F">
        <w:rPr>
          <w:rFonts w:ascii="Arial" w:hAnsi="Arial" w:cs="Arial"/>
        </w:rPr>
        <w:t xml:space="preserve"> et al., 2022). The tight correlation between the two ratios provides strong evidence that a single physical gradient is responsible for the full range of observed spectral properties (</w:t>
      </w:r>
      <w:proofErr w:type="spellStart"/>
      <w:r w:rsidRPr="008B5C7F">
        <w:rPr>
          <w:rFonts w:ascii="Arial" w:hAnsi="Arial" w:cs="Arial"/>
        </w:rPr>
        <w:t>Maragkoudakis</w:t>
      </w:r>
      <w:proofErr w:type="spellEnd"/>
      <w:r w:rsidRPr="008B5C7F">
        <w:rPr>
          <w:rFonts w:ascii="Arial" w:hAnsi="Arial" w:cs="Arial"/>
        </w:rPr>
        <w:t xml:space="preserve"> et al., 2023). This gradient, which simultaneously increases PAH ionization while altering the emission characteristics of the cations themselves, can be interpreted as a sequence of increasing environmental harshness, driven by the radiation fields of the embedded massive stars (</w:t>
      </w:r>
      <w:proofErr w:type="spellStart"/>
      <w:r w:rsidRPr="008B5C7F">
        <w:rPr>
          <w:rFonts w:ascii="Arial" w:hAnsi="Arial" w:cs="Arial"/>
        </w:rPr>
        <w:t>Khramtsova</w:t>
      </w:r>
      <w:proofErr w:type="spellEnd"/>
      <w:r w:rsidRPr="008B5C7F">
        <w:rPr>
          <w:rFonts w:ascii="Arial" w:hAnsi="Arial" w:cs="Arial"/>
        </w:rPr>
        <w:t xml:space="preserve"> et al., 2014; Knight, Peeters, Tielens, et al., 2021; Knight, </w:t>
      </w:r>
      <w:proofErr w:type="spellStart"/>
      <w:r w:rsidRPr="008B5C7F">
        <w:rPr>
          <w:rFonts w:ascii="Arial" w:hAnsi="Arial" w:cs="Arial"/>
        </w:rPr>
        <w:t>Peeters</w:t>
      </w:r>
      <w:proofErr w:type="spellEnd"/>
      <w:r w:rsidRPr="008B5C7F">
        <w:rPr>
          <w:rFonts w:ascii="Arial" w:hAnsi="Arial" w:cs="Arial"/>
        </w:rPr>
        <w:t xml:space="preserve">, </w:t>
      </w:r>
      <w:proofErr w:type="spellStart"/>
      <w:r w:rsidRPr="008B5C7F">
        <w:rPr>
          <w:rFonts w:ascii="Arial" w:hAnsi="Arial" w:cs="Arial"/>
        </w:rPr>
        <w:t>Wolfire</w:t>
      </w:r>
      <w:proofErr w:type="spellEnd"/>
      <w:r w:rsidRPr="008B5C7F">
        <w:rPr>
          <w:rFonts w:ascii="Arial" w:hAnsi="Arial" w:cs="Arial"/>
        </w:rPr>
        <w:t>, et al., 2021).</w:t>
      </w:r>
    </w:p>
    <w:p w14:paraId="3DBC3586" w14:textId="77777777" w:rsidR="0014061F" w:rsidRPr="0014061F" w:rsidRDefault="0014061F" w:rsidP="0014061F">
      <w:pPr>
        <w:jc w:val="both"/>
        <w:rPr>
          <w:rFonts w:ascii="Arial" w:hAnsi="Arial" w:cs="Arial"/>
        </w:rPr>
      </w:pPr>
    </w:p>
    <w:p w14:paraId="785E1C7C" w14:textId="77777777" w:rsidR="0014061F" w:rsidRDefault="0014061F" w:rsidP="0014061F">
      <w:pPr>
        <w:jc w:val="both"/>
        <w:rPr>
          <w:rFonts w:ascii="Arial" w:hAnsi="Arial" w:cs="Arial"/>
          <w:b/>
          <w:bCs/>
        </w:rPr>
      </w:pPr>
      <w:r w:rsidRPr="0014061F">
        <w:rPr>
          <w:rFonts w:ascii="Arial" w:hAnsi="Arial" w:cs="Arial"/>
          <w:b/>
          <w:bCs/>
        </w:rPr>
        <w:t>4.3. An Evolutionary Sequence of PAH Processing in H II Regions</w:t>
      </w:r>
    </w:p>
    <w:p w14:paraId="1D6F9DB6" w14:textId="77777777" w:rsidR="002A6D56" w:rsidRPr="0014061F" w:rsidRDefault="002A6D56" w:rsidP="0014061F">
      <w:pPr>
        <w:jc w:val="both"/>
        <w:rPr>
          <w:rFonts w:ascii="Arial" w:hAnsi="Arial" w:cs="Arial"/>
          <w:b/>
          <w:bCs/>
        </w:rPr>
      </w:pPr>
    </w:p>
    <w:p w14:paraId="4D77B3D6" w14:textId="77777777" w:rsidR="0014061F" w:rsidRPr="0014061F" w:rsidRDefault="0014061F" w:rsidP="0014061F">
      <w:pPr>
        <w:jc w:val="both"/>
        <w:rPr>
          <w:rFonts w:ascii="Arial" w:hAnsi="Arial" w:cs="Arial"/>
        </w:rPr>
      </w:pPr>
      <w:r w:rsidRPr="0014061F">
        <w:rPr>
          <w:rFonts w:ascii="Arial" w:hAnsi="Arial" w:cs="Arial"/>
        </w:rPr>
        <w:t xml:space="preserve">The clear trend observed in the diagnostic diagram (Figure 6) allows us to construct a physical narrative of PAH processing. The sequence of H II regions across the diagram is not random but likely represents an environmental or evolutionary sequence, tracing the transformation of </w:t>
      </w:r>
      <w:r w:rsidRPr="0014061F">
        <w:rPr>
          <w:rFonts w:ascii="Arial" w:hAnsi="Arial" w:cs="Arial"/>
        </w:rPr>
        <w:lastRenderedPageBreak/>
        <w:t>PAHs as they are exposed to increasingly intense and hard radiation fields. This framework provides direct, observationally grounded answers to the core scientific questions of our study.</w:t>
      </w:r>
    </w:p>
    <w:p w14:paraId="043AFD13" w14:textId="77777777" w:rsidR="0014061F" w:rsidRPr="0014061F" w:rsidRDefault="0014061F" w:rsidP="0014061F">
      <w:pPr>
        <w:jc w:val="both"/>
        <w:rPr>
          <w:rFonts w:ascii="Arial" w:hAnsi="Arial" w:cs="Arial"/>
        </w:rPr>
      </w:pPr>
    </w:p>
    <w:p w14:paraId="660B7DB1" w14:textId="77777777" w:rsidR="0014061F" w:rsidRPr="0014061F" w:rsidRDefault="0014061F" w:rsidP="0014061F">
      <w:pPr>
        <w:jc w:val="both"/>
        <w:rPr>
          <w:rFonts w:ascii="Arial" w:hAnsi="Arial" w:cs="Arial"/>
        </w:rPr>
      </w:pPr>
      <w:r w:rsidRPr="0014061F">
        <w:rPr>
          <w:rFonts w:ascii="Arial" w:hAnsi="Arial" w:cs="Arial"/>
        </w:rPr>
        <w:t>The physical mechanism proceeds as follows. The ionization state of the PAH population, traced by our x-axis F(8.6)/</w:t>
      </w:r>
      <w:proofErr w:type="gramStart"/>
      <w:r w:rsidRPr="0014061F">
        <w:rPr>
          <w:rFonts w:ascii="Arial" w:hAnsi="Arial" w:cs="Arial"/>
        </w:rPr>
        <w:t>F(</w:t>
      </w:r>
      <w:proofErr w:type="gramEnd"/>
      <w:r w:rsidRPr="0014061F">
        <w:rPr>
          <w:rFonts w:ascii="Arial" w:hAnsi="Arial" w:cs="Arial"/>
        </w:rPr>
        <w:t>11.3), is set by the local ionization parameter, which increases with proximity to young, massive star clusters that produce copious FUV photons. The observed anti-correlation implies that the same process driving ionization—exposure to energetic photons—also systematically lowers the F(7.7)/</w:t>
      </w:r>
      <w:proofErr w:type="gramStart"/>
      <w:r w:rsidRPr="0014061F">
        <w:rPr>
          <w:rFonts w:ascii="Arial" w:hAnsi="Arial" w:cs="Arial"/>
        </w:rPr>
        <w:t>F(</w:t>
      </w:r>
      <w:proofErr w:type="gramEnd"/>
      <w:r w:rsidRPr="0014061F">
        <w:rPr>
          <w:rFonts w:ascii="Arial" w:hAnsi="Arial" w:cs="Arial"/>
        </w:rPr>
        <w:t>8.6) ratio.</w:t>
      </w:r>
    </w:p>
    <w:p w14:paraId="61E1ED8E" w14:textId="77777777" w:rsidR="0014061F" w:rsidRPr="0014061F" w:rsidRDefault="0014061F" w:rsidP="0014061F">
      <w:pPr>
        <w:jc w:val="both"/>
        <w:rPr>
          <w:rFonts w:ascii="Arial" w:hAnsi="Arial" w:cs="Arial"/>
        </w:rPr>
      </w:pPr>
    </w:p>
    <w:p w14:paraId="33633CE6" w14:textId="77777777" w:rsidR="0014061F" w:rsidRPr="0014061F" w:rsidRDefault="0014061F" w:rsidP="0014061F">
      <w:pPr>
        <w:jc w:val="both"/>
        <w:rPr>
          <w:rFonts w:ascii="Arial" w:hAnsi="Arial" w:cs="Arial"/>
        </w:rPr>
      </w:pPr>
      <w:r w:rsidRPr="0014061F">
        <w:rPr>
          <w:rFonts w:ascii="Arial" w:hAnsi="Arial" w:cs="Arial"/>
        </w:rPr>
        <w:t>We can interpret the two endpoints of our observed sequence as follows:</w:t>
      </w:r>
    </w:p>
    <w:p w14:paraId="01241502" w14:textId="77777777" w:rsidR="0014061F" w:rsidRPr="0014061F" w:rsidRDefault="0014061F" w:rsidP="0014061F">
      <w:pPr>
        <w:jc w:val="both"/>
        <w:rPr>
          <w:rFonts w:ascii="Arial" w:hAnsi="Arial" w:cs="Arial"/>
        </w:rPr>
      </w:pPr>
    </w:p>
    <w:p w14:paraId="60468BD9" w14:textId="77777777" w:rsidR="0014061F" w:rsidRPr="0014061F" w:rsidRDefault="0014061F" w:rsidP="0014061F">
      <w:pPr>
        <w:jc w:val="both"/>
        <w:rPr>
          <w:rFonts w:ascii="Arial" w:hAnsi="Arial" w:cs="Arial"/>
        </w:rPr>
      </w:pPr>
      <w:r w:rsidRPr="0014061F">
        <w:rPr>
          <w:rFonts w:ascii="Arial" w:hAnsi="Arial" w:cs="Arial"/>
        </w:rPr>
        <w:t>NGC5457-361-280 and NGC5457-100-388 (Upper-Left; Low Ionization): These regions represent the relatively "unprocessed" or shielded end of the sequence. Their low F(8.6)/</w:t>
      </w:r>
      <w:proofErr w:type="gramStart"/>
      <w:r w:rsidRPr="0014061F">
        <w:rPr>
          <w:rFonts w:ascii="Arial" w:hAnsi="Arial" w:cs="Arial"/>
        </w:rPr>
        <w:t>F(</w:t>
      </w:r>
      <w:proofErr w:type="gramEnd"/>
      <w:r w:rsidRPr="0014061F">
        <w:rPr>
          <w:rFonts w:ascii="Arial" w:hAnsi="Arial" w:cs="Arial"/>
        </w:rPr>
        <w:t>11.3) ratios (0.23 and 0.25) are indicative of a predominantly neutral PAH population. Such conditions are characteristic of PDRs that surround H II regions, or more evolved, lower-density H II regions where the radiation field has been diluted or softened. In this environment, the F(7.7)/</w:t>
      </w:r>
      <w:proofErr w:type="gramStart"/>
      <w:r w:rsidRPr="0014061F">
        <w:rPr>
          <w:rFonts w:ascii="Arial" w:hAnsi="Arial" w:cs="Arial"/>
        </w:rPr>
        <w:t>F(</w:t>
      </w:r>
      <w:proofErr w:type="gramEnd"/>
      <w:r w:rsidRPr="0014061F">
        <w:rPr>
          <w:rFonts w:ascii="Arial" w:hAnsi="Arial" w:cs="Arial"/>
        </w:rPr>
        <w:t>8.6) ratio is high (2.38 and 2.22). This can be considered the "native" ratio for a population of PAH cations excited by a relatively benign FUV field.</w:t>
      </w:r>
    </w:p>
    <w:p w14:paraId="0D6FDE6D" w14:textId="77777777" w:rsidR="0014061F" w:rsidRPr="0014061F" w:rsidRDefault="0014061F" w:rsidP="0014061F">
      <w:pPr>
        <w:jc w:val="both"/>
        <w:rPr>
          <w:rFonts w:ascii="Arial" w:hAnsi="Arial" w:cs="Arial"/>
        </w:rPr>
      </w:pPr>
    </w:p>
    <w:p w14:paraId="17B4AB54" w14:textId="77777777" w:rsidR="0014061F" w:rsidRPr="0014061F" w:rsidRDefault="0014061F" w:rsidP="0014061F">
      <w:pPr>
        <w:jc w:val="both"/>
        <w:rPr>
          <w:rFonts w:ascii="Arial" w:hAnsi="Arial" w:cs="Arial"/>
        </w:rPr>
      </w:pPr>
      <w:r w:rsidRPr="0014061F">
        <w:rPr>
          <w:rFonts w:ascii="Arial" w:hAnsi="Arial" w:cs="Arial"/>
        </w:rPr>
        <w:t xml:space="preserve">NGC5457+189-136 (Lower-Right; High Ionization): This region represents the "highly processed" end of the sequence. </w:t>
      </w:r>
      <w:proofErr w:type="spellStart"/>
      <w:r w:rsidRPr="0014061F">
        <w:rPr>
          <w:rFonts w:ascii="Arial" w:hAnsi="Arial" w:cs="Arial"/>
        </w:rPr>
        <w:t>Its</w:t>
      </w:r>
      <w:proofErr w:type="spellEnd"/>
      <w:r w:rsidRPr="0014061F">
        <w:rPr>
          <w:rFonts w:ascii="Arial" w:hAnsi="Arial" w:cs="Arial"/>
        </w:rPr>
        <w:t xml:space="preserve"> very high F(8.6)/</w:t>
      </w:r>
      <w:proofErr w:type="gramStart"/>
      <w:r w:rsidRPr="0014061F">
        <w:rPr>
          <w:rFonts w:ascii="Arial" w:hAnsi="Arial" w:cs="Arial"/>
        </w:rPr>
        <w:t>F(</w:t>
      </w:r>
      <w:proofErr w:type="gramEnd"/>
      <w:r w:rsidRPr="0014061F">
        <w:rPr>
          <w:rFonts w:ascii="Arial" w:hAnsi="Arial" w:cs="Arial"/>
        </w:rPr>
        <w:t>11.3) ratio (0.62) points to an extreme environment where PAHs are almost completely ionized. This requires direct exposure to the intense, hard FUV radiation field emanating from a very young, compact, massive star cluster at the heart of the H II region. Recent JWST studies have confirmed that such regions with high ionization parameters are sites of significant PAH processing and destruction. The key finding of this work is the concurrent, dramatic decrease in the F(7.7)/</w:t>
      </w:r>
      <w:proofErr w:type="gramStart"/>
      <w:r w:rsidRPr="0014061F">
        <w:rPr>
          <w:rFonts w:ascii="Arial" w:hAnsi="Arial" w:cs="Arial"/>
        </w:rPr>
        <w:t>F(</w:t>
      </w:r>
      <w:proofErr w:type="gramEnd"/>
      <w:r w:rsidRPr="0014061F">
        <w:rPr>
          <w:rFonts w:ascii="Arial" w:hAnsi="Arial" w:cs="Arial"/>
        </w:rPr>
        <w:t>8.6) ratio to 1.13 in this harsh environment. This provides a new spectral signature for PAH processing. The energetic photons responsible for ionizing the PAHs must also be altering the cation population itself. This could occur via two primary mechanisms:</w:t>
      </w:r>
    </w:p>
    <w:p w14:paraId="091D840B" w14:textId="77777777" w:rsidR="0014061F" w:rsidRPr="0014061F" w:rsidRDefault="0014061F" w:rsidP="0014061F">
      <w:pPr>
        <w:jc w:val="both"/>
        <w:rPr>
          <w:rFonts w:ascii="Arial" w:hAnsi="Arial" w:cs="Arial"/>
        </w:rPr>
      </w:pPr>
    </w:p>
    <w:p w14:paraId="4C5F5B42" w14:textId="77777777" w:rsidR="0014061F" w:rsidRPr="0014061F" w:rsidRDefault="0014061F" w:rsidP="0014061F">
      <w:pPr>
        <w:jc w:val="both"/>
        <w:rPr>
          <w:rFonts w:ascii="Arial" w:hAnsi="Arial" w:cs="Arial"/>
        </w:rPr>
      </w:pPr>
      <w:r w:rsidRPr="0014061F">
        <w:rPr>
          <w:rFonts w:ascii="Arial" w:hAnsi="Arial" w:cs="Arial"/>
        </w:rPr>
        <w:t>Selective Destruction: The carriers of the 7.7 µm feature may be systematically smaller or structurally less stable than the carriers of the 8.6 µm feature. In the most intense radiation fields, these more fragile cations are preferentially destroyed, leading to a decrease in the F(7.7)/</w:t>
      </w:r>
      <w:proofErr w:type="gramStart"/>
      <w:r w:rsidRPr="0014061F">
        <w:rPr>
          <w:rFonts w:ascii="Arial" w:hAnsi="Arial" w:cs="Arial"/>
        </w:rPr>
        <w:t>F(</w:t>
      </w:r>
      <w:proofErr w:type="gramEnd"/>
      <w:r w:rsidRPr="0014061F">
        <w:rPr>
          <w:rFonts w:ascii="Arial" w:hAnsi="Arial" w:cs="Arial"/>
        </w:rPr>
        <w:t>8.6) ratio. This aligns with broader findings that the smallest PAHs are destroyed in the hardest radiation fields.</w:t>
      </w:r>
    </w:p>
    <w:p w14:paraId="013CD4D6" w14:textId="77777777" w:rsidR="0014061F" w:rsidRPr="0014061F" w:rsidRDefault="0014061F" w:rsidP="0014061F">
      <w:pPr>
        <w:jc w:val="both"/>
        <w:rPr>
          <w:rFonts w:ascii="Arial" w:hAnsi="Arial" w:cs="Arial"/>
        </w:rPr>
      </w:pPr>
    </w:p>
    <w:p w14:paraId="15BDD1C3" w14:textId="77777777" w:rsidR="0014061F" w:rsidRPr="0014061F" w:rsidRDefault="0014061F" w:rsidP="0014061F">
      <w:pPr>
        <w:jc w:val="both"/>
        <w:rPr>
          <w:rFonts w:ascii="Arial" w:hAnsi="Arial" w:cs="Arial"/>
        </w:rPr>
      </w:pPr>
      <w:r w:rsidRPr="0014061F">
        <w:rPr>
          <w:rFonts w:ascii="Arial" w:hAnsi="Arial" w:cs="Arial"/>
        </w:rPr>
        <w:t>Excitation Effects: Alternatively, the intrinsic emissivity ratio of the C-C stretching (7.7 µm) and C-H in-plane bending (8.6 µm) modes within a given PAH cation may change as a function of the absorbed photon energy. Excitation by very hard photons could alter the vibrational cascade, channeling less energy through the 7.7 µm mode relative to the 8.6 µm mode.</w:t>
      </w:r>
    </w:p>
    <w:p w14:paraId="2E24EC46" w14:textId="77777777" w:rsidR="0014061F" w:rsidRPr="0014061F" w:rsidRDefault="0014061F" w:rsidP="0014061F">
      <w:pPr>
        <w:jc w:val="both"/>
        <w:rPr>
          <w:rFonts w:ascii="Arial" w:hAnsi="Arial" w:cs="Arial"/>
        </w:rPr>
      </w:pPr>
    </w:p>
    <w:p w14:paraId="598914E1" w14:textId="77777777" w:rsidR="0014061F" w:rsidRDefault="0014061F" w:rsidP="0014061F">
      <w:pPr>
        <w:jc w:val="both"/>
        <w:rPr>
          <w:rFonts w:ascii="Arial" w:hAnsi="Arial" w:cs="Arial"/>
        </w:rPr>
      </w:pPr>
      <w:r w:rsidRPr="0014061F">
        <w:rPr>
          <w:rFonts w:ascii="Arial" w:hAnsi="Arial" w:cs="Arial"/>
        </w:rPr>
        <w:t>Regardless of the precise microphysical cause, the observed trend strongly suggests that as the radiation field becomes more intense, it not only ionizes the PAH population but also fundamentally processes the surviving cations. NGC5457-205-98 represents an intermediate case, lying along this processing track and demonstrating the continuous nature of these environmental effects.</w:t>
      </w:r>
    </w:p>
    <w:p w14:paraId="319FE1F8" w14:textId="77777777" w:rsidR="004244A6" w:rsidRDefault="004244A6" w:rsidP="0014061F">
      <w:pPr>
        <w:jc w:val="both"/>
        <w:rPr>
          <w:rFonts w:ascii="Arial" w:hAnsi="Arial" w:cs="Arial"/>
        </w:rPr>
      </w:pPr>
    </w:p>
    <w:p w14:paraId="4825ED52" w14:textId="4F989237" w:rsidR="004244A6" w:rsidRDefault="004244A6" w:rsidP="004244A6">
      <w:pPr>
        <w:jc w:val="both"/>
        <w:rPr>
          <w:rFonts w:ascii="Arial" w:hAnsi="Arial" w:cs="Arial"/>
          <w:b/>
          <w:bCs/>
        </w:rPr>
      </w:pPr>
      <w:r>
        <w:rPr>
          <w:rFonts w:ascii="Arial" w:hAnsi="Arial" w:cs="Arial"/>
          <w:b/>
          <w:bCs/>
        </w:rPr>
        <w:t xml:space="preserve">4.4 </w:t>
      </w:r>
      <w:r w:rsidRPr="004244A6">
        <w:rPr>
          <w:rFonts w:ascii="Arial" w:hAnsi="Arial" w:cs="Arial"/>
          <w:b/>
          <w:bCs/>
        </w:rPr>
        <w:t xml:space="preserve">The Spectral Character of HII Regions in NGC </w:t>
      </w:r>
      <w:r>
        <w:rPr>
          <w:rFonts w:ascii="Arial" w:hAnsi="Arial" w:cs="Arial"/>
          <w:b/>
          <w:bCs/>
        </w:rPr>
        <w:t>5457</w:t>
      </w:r>
      <w:r w:rsidR="00B45B8F">
        <w:rPr>
          <w:rFonts w:ascii="Arial" w:hAnsi="Arial" w:cs="Arial"/>
          <w:b/>
          <w:bCs/>
        </w:rPr>
        <w:t>:</w:t>
      </w:r>
      <w:r w:rsidRPr="004244A6">
        <w:rPr>
          <w:rFonts w:ascii="Arial" w:hAnsi="Arial" w:cs="Arial"/>
          <w:b/>
          <w:bCs/>
        </w:rPr>
        <w:t xml:space="preserve"> Archetypal Class A Population</w:t>
      </w:r>
    </w:p>
    <w:p w14:paraId="5FA53A32" w14:textId="77777777" w:rsidR="004244A6" w:rsidRPr="004244A6" w:rsidRDefault="004244A6" w:rsidP="004244A6">
      <w:pPr>
        <w:jc w:val="both"/>
        <w:rPr>
          <w:rFonts w:ascii="Arial" w:hAnsi="Arial" w:cs="Arial"/>
          <w:b/>
          <w:bCs/>
        </w:rPr>
      </w:pPr>
    </w:p>
    <w:p w14:paraId="720E4F5C" w14:textId="1B8C51E1" w:rsidR="004244A6" w:rsidRPr="004244A6" w:rsidRDefault="004244A6" w:rsidP="004244A6">
      <w:pPr>
        <w:jc w:val="both"/>
        <w:rPr>
          <w:rFonts w:ascii="Arial" w:hAnsi="Arial" w:cs="Arial"/>
        </w:rPr>
      </w:pPr>
      <w:r w:rsidRPr="004244A6">
        <w:rPr>
          <w:rFonts w:ascii="Arial" w:hAnsi="Arial" w:cs="Arial"/>
        </w:rPr>
        <w:t xml:space="preserve">The mid-infrared spectra observed in this study, particularly from the most highly ionized regions such as NGC5457+189-136, are characterized by a 7.7 μm emission complex that clearly peaks shortward of 7.7 μm, with a prominent sub-feature near 7.6 μm. This spectral </w:t>
      </w:r>
      <w:r w:rsidRPr="004244A6">
        <w:rPr>
          <w:rFonts w:ascii="Arial" w:hAnsi="Arial" w:cs="Arial"/>
        </w:rPr>
        <w:lastRenderedPageBreak/>
        <w:t>morphology provides a direct connection to the empirical classification scheme developed by Peeters et al.</w:t>
      </w:r>
      <w:r w:rsidR="002D0163">
        <w:rPr>
          <w:rFonts w:ascii="Arial" w:hAnsi="Arial" w:cs="Arial"/>
        </w:rPr>
        <w:t xml:space="preserve"> (</w:t>
      </w:r>
      <w:r w:rsidRPr="004244A6">
        <w:rPr>
          <w:rFonts w:ascii="Arial" w:hAnsi="Arial" w:cs="Arial"/>
        </w:rPr>
        <w:t>2002</w:t>
      </w:r>
      <w:r w:rsidR="002D0163">
        <w:rPr>
          <w:rFonts w:ascii="Arial" w:hAnsi="Arial" w:cs="Arial"/>
        </w:rPr>
        <w:t>)</w:t>
      </w:r>
      <w:r w:rsidRPr="004244A6">
        <w:rPr>
          <w:rFonts w:ascii="Arial" w:hAnsi="Arial" w:cs="Arial"/>
        </w:rPr>
        <w:t xml:space="preserve"> from a large sample of ISO spectra.</w:t>
      </w:r>
    </w:p>
    <w:p w14:paraId="2A075DD5" w14:textId="77777777" w:rsidR="004244A6" w:rsidRPr="004244A6" w:rsidRDefault="004244A6" w:rsidP="004244A6">
      <w:pPr>
        <w:jc w:val="both"/>
        <w:rPr>
          <w:rFonts w:ascii="Arial" w:hAnsi="Arial" w:cs="Arial"/>
        </w:rPr>
      </w:pPr>
    </w:p>
    <w:p w14:paraId="77A76CF2" w14:textId="77777777" w:rsidR="004244A6" w:rsidRPr="004244A6" w:rsidRDefault="004244A6" w:rsidP="004244A6">
      <w:pPr>
        <w:jc w:val="both"/>
        <w:rPr>
          <w:rFonts w:ascii="Arial" w:hAnsi="Arial" w:cs="Arial"/>
        </w:rPr>
      </w:pPr>
      <w:r w:rsidRPr="004244A6">
        <w:rPr>
          <w:rFonts w:ascii="Arial" w:hAnsi="Arial" w:cs="Arial"/>
        </w:rPr>
        <w:t>In their seminal work, Peeters et al. (2002) classified sources based on the profiles and peak positions of the 6.2, 7.7, and 8.6 μm features.</w:t>
      </w:r>
    </w:p>
    <w:p w14:paraId="6D0B856F" w14:textId="77777777" w:rsidR="004244A6" w:rsidRPr="004244A6" w:rsidRDefault="004244A6" w:rsidP="004244A6">
      <w:pPr>
        <w:jc w:val="both"/>
        <w:rPr>
          <w:rFonts w:ascii="Arial" w:hAnsi="Arial" w:cs="Arial"/>
        </w:rPr>
      </w:pPr>
    </w:p>
    <w:p w14:paraId="6E0AE763" w14:textId="77777777" w:rsidR="004244A6" w:rsidRPr="004244A6" w:rsidRDefault="004244A6" w:rsidP="004244A6">
      <w:pPr>
        <w:jc w:val="both"/>
        <w:rPr>
          <w:rFonts w:ascii="Arial" w:hAnsi="Arial" w:cs="Arial"/>
        </w:rPr>
      </w:pPr>
      <w:r w:rsidRPr="004244A6">
        <w:rPr>
          <w:rFonts w:ascii="Arial" w:hAnsi="Arial" w:cs="Arial"/>
        </w:rPr>
        <w:t>Class A sources are defined by a 6.2 μm feature peaking near 6.22 μm and, most relevant to this study, a 7.7 μm complex dominated by the 7.6 μm component (designated Class A'). A key conclusion from their survey was that Class A spectra are archetypal for interstellar medium (ISM) environments, such as HII regions and reflection nebulae. The spectra from the HII regions in NGC 5457 are therefore quintessential examples of the Peeters et al. Class A population. This placement is significant for two reasons: first, it validates our observations as being consistent with the known properties of high-mass star-forming environments; second, it establishes a critical link to the physical interpretations associated with this spectral class.</w:t>
      </w:r>
    </w:p>
    <w:p w14:paraId="335BA8BE" w14:textId="77777777" w:rsidR="004244A6" w:rsidRPr="004244A6" w:rsidRDefault="004244A6" w:rsidP="004244A6">
      <w:pPr>
        <w:jc w:val="both"/>
        <w:rPr>
          <w:rFonts w:ascii="Arial" w:hAnsi="Arial" w:cs="Arial"/>
        </w:rPr>
      </w:pPr>
    </w:p>
    <w:p w14:paraId="7B6AE13A" w14:textId="2A7517BC" w:rsidR="004244A6" w:rsidRPr="004244A6" w:rsidRDefault="004244A6" w:rsidP="004244A6">
      <w:pPr>
        <w:jc w:val="both"/>
        <w:rPr>
          <w:rFonts w:ascii="Arial" w:hAnsi="Arial" w:cs="Arial"/>
        </w:rPr>
      </w:pPr>
      <w:r w:rsidRPr="004244A6">
        <w:rPr>
          <w:rFonts w:ascii="Arial" w:hAnsi="Arial" w:cs="Arial"/>
        </w:rPr>
        <w:t>The work of Peeters et al. (2002) established this environmental link by comparing a diverse collection of objects across the sky. The present study provides a high-fidelity, spatially</w:t>
      </w:r>
      <w:r>
        <w:rPr>
          <w:rFonts w:ascii="Arial" w:hAnsi="Arial" w:cs="Arial"/>
        </w:rPr>
        <w:t xml:space="preserve"> </w:t>
      </w:r>
      <w:r w:rsidRPr="004244A6">
        <w:rPr>
          <w:rFonts w:ascii="Arial" w:hAnsi="Arial" w:cs="Arial"/>
        </w:rPr>
        <w:t>resolved confirmation of this connection. By demonstrating that this classification holds true even when examining the diversity</w:t>
      </w:r>
      <w:r w:rsidR="00BC3227">
        <w:rPr>
          <w:rFonts w:ascii="Arial" w:hAnsi="Arial" w:cs="Arial"/>
        </w:rPr>
        <w:t xml:space="preserve">. </w:t>
      </w:r>
      <w:r>
        <w:rPr>
          <w:rFonts w:ascii="Arial" w:hAnsi="Arial" w:cs="Arial"/>
        </w:rPr>
        <w:t>Within</w:t>
      </w:r>
      <w:r w:rsidRPr="004244A6">
        <w:rPr>
          <w:rFonts w:ascii="Arial" w:hAnsi="Arial" w:cs="Arial"/>
        </w:rPr>
        <w:t xml:space="preserve"> the HII region population of a single galaxy, this work strengthens the conclusion that the physical environment of an HII region naturally gives rise to Class A PAH spectra.</w:t>
      </w:r>
    </w:p>
    <w:p w14:paraId="4E4F5DCA" w14:textId="77777777" w:rsidR="004244A6" w:rsidRPr="004244A6" w:rsidRDefault="004244A6" w:rsidP="004244A6">
      <w:pPr>
        <w:jc w:val="both"/>
        <w:rPr>
          <w:rFonts w:ascii="Arial" w:hAnsi="Arial" w:cs="Arial"/>
        </w:rPr>
      </w:pPr>
    </w:p>
    <w:p w14:paraId="55CDE1A1" w14:textId="4E1EDCB9" w:rsidR="004244A6" w:rsidRDefault="00BC3227" w:rsidP="004244A6">
      <w:pPr>
        <w:jc w:val="both"/>
        <w:rPr>
          <w:rFonts w:ascii="Arial" w:hAnsi="Arial" w:cs="Arial"/>
          <w:b/>
          <w:bCs/>
        </w:rPr>
      </w:pPr>
      <w:r>
        <w:rPr>
          <w:rFonts w:ascii="Arial" w:hAnsi="Arial" w:cs="Arial"/>
          <w:b/>
          <w:bCs/>
        </w:rPr>
        <w:t xml:space="preserve">4.5 </w:t>
      </w:r>
      <w:r w:rsidR="004244A6" w:rsidRPr="00BC3227">
        <w:rPr>
          <w:rFonts w:ascii="Arial" w:hAnsi="Arial" w:cs="Arial"/>
          <w:b/>
          <w:bCs/>
        </w:rPr>
        <w:t>The Physical Nature of the Class A Spectrum: Probing PAH Size and Charge</w:t>
      </w:r>
    </w:p>
    <w:p w14:paraId="625FB73A" w14:textId="77777777" w:rsidR="00BC3227" w:rsidRPr="00BC3227" w:rsidRDefault="00BC3227" w:rsidP="004244A6">
      <w:pPr>
        <w:jc w:val="both"/>
        <w:rPr>
          <w:rFonts w:ascii="Arial" w:hAnsi="Arial" w:cs="Arial"/>
          <w:b/>
          <w:bCs/>
        </w:rPr>
      </w:pPr>
    </w:p>
    <w:p w14:paraId="515EBADF" w14:textId="46761A35" w:rsidR="004244A6" w:rsidRPr="004244A6" w:rsidRDefault="004244A6" w:rsidP="004244A6">
      <w:pPr>
        <w:jc w:val="both"/>
        <w:rPr>
          <w:rFonts w:ascii="Arial" w:hAnsi="Arial" w:cs="Arial"/>
        </w:rPr>
      </w:pPr>
      <w:r w:rsidRPr="004244A6">
        <w:rPr>
          <w:rFonts w:ascii="Arial" w:hAnsi="Arial" w:cs="Arial"/>
        </w:rPr>
        <w:t>The link between environment and spectral class can be understood through theoretical models that explore the dependence of PAH emission on molecular properties. The theoretical work of Pathak &amp; Rastogi (2008) provides a compelling physical explanation for the Class A spectra observed in the NGC 5457 HII regions. Using quantum-chemical calculations, they modeled the emission from different populations of PAHs, varying their size and charge state. A key finding was that the observed 7.7 μm complex, with its sub-features at 7.6 μm and 7.8 μm, is a direct diagnostic of the underlying PAH population.</w:t>
      </w:r>
    </w:p>
    <w:p w14:paraId="3A33CBC3" w14:textId="77777777" w:rsidR="004244A6" w:rsidRPr="004244A6" w:rsidRDefault="004244A6" w:rsidP="004244A6">
      <w:pPr>
        <w:jc w:val="both"/>
        <w:rPr>
          <w:rFonts w:ascii="Arial" w:hAnsi="Arial" w:cs="Arial"/>
        </w:rPr>
      </w:pPr>
    </w:p>
    <w:p w14:paraId="5E9A5FEC" w14:textId="4587B7BD" w:rsidR="004244A6" w:rsidRPr="004244A6" w:rsidRDefault="004244A6" w:rsidP="004244A6">
      <w:pPr>
        <w:jc w:val="both"/>
        <w:rPr>
          <w:rFonts w:ascii="Arial" w:hAnsi="Arial" w:cs="Arial"/>
        </w:rPr>
      </w:pPr>
      <w:r w:rsidRPr="004244A6">
        <w:rPr>
          <w:rFonts w:ascii="Arial" w:hAnsi="Arial" w:cs="Arial"/>
        </w:rPr>
        <w:t xml:space="preserve">Specifically, their Models I and II, which simulate emission from populations of small-to-medium-sized (≤40 carbon atoms) PAH cations, successfully reproduce a spectrum where the 7.6 μm component is dominant. This profile matches the Class </w:t>
      </w:r>
      <w:r w:rsidR="00BC3227">
        <w:rPr>
          <w:rFonts w:ascii="Arial" w:hAnsi="Arial" w:cs="Arial"/>
        </w:rPr>
        <w:t>A’ spectra</w:t>
      </w:r>
      <w:r w:rsidRPr="004244A6">
        <w:rPr>
          <w:rFonts w:ascii="Arial" w:hAnsi="Arial" w:cs="Arial"/>
        </w:rPr>
        <w:t xml:space="preserve"> defined by Peeters et al. (2002) and observed in our target HII regions. In contrast, their Model III, representing large PAH cations (&gt;40 C atoms), produces a spectrum dominated by the 7.8 μm feature, which they associate with more "benign" environments such as the outflows of carbon-rich stars.</w:t>
      </w:r>
    </w:p>
    <w:p w14:paraId="635EC9EF" w14:textId="77777777" w:rsidR="004244A6" w:rsidRPr="004244A6" w:rsidRDefault="004244A6" w:rsidP="004244A6">
      <w:pPr>
        <w:jc w:val="both"/>
        <w:rPr>
          <w:rFonts w:ascii="Arial" w:hAnsi="Arial" w:cs="Arial"/>
        </w:rPr>
      </w:pPr>
    </w:p>
    <w:p w14:paraId="4675B090" w14:textId="77777777" w:rsidR="004244A6" w:rsidRPr="004244A6" w:rsidRDefault="004244A6" w:rsidP="004244A6">
      <w:pPr>
        <w:jc w:val="both"/>
        <w:rPr>
          <w:rFonts w:ascii="Arial" w:hAnsi="Arial" w:cs="Arial"/>
        </w:rPr>
      </w:pPr>
      <w:r w:rsidRPr="004244A6">
        <w:rPr>
          <w:rFonts w:ascii="Arial" w:hAnsi="Arial" w:cs="Arial"/>
        </w:rPr>
        <w:t>This theoretical framework allows for a unified physical narrative that connects the observations of Peeters et al. (2002), the models of Pathak &amp; Rastogi (2008), and the results of the present study. The intense and hard far-ultraviolet (FUV) radiation fields characteristic of HII regions are responsible for two concurrent effects that shape the local PAH population:</w:t>
      </w:r>
    </w:p>
    <w:p w14:paraId="2C035CE1" w14:textId="77777777" w:rsidR="004244A6" w:rsidRPr="004244A6" w:rsidRDefault="004244A6" w:rsidP="004244A6">
      <w:pPr>
        <w:jc w:val="both"/>
        <w:rPr>
          <w:rFonts w:ascii="Arial" w:hAnsi="Arial" w:cs="Arial"/>
        </w:rPr>
      </w:pPr>
    </w:p>
    <w:p w14:paraId="180EF20B" w14:textId="77777777" w:rsidR="004244A6" w:rsidRPr="00BC3227" w:rsidRDefault="004244A6" w:rsidP="00BC3227">
      <w:pPr>
        <w:pStyle w:val="ListParagraph"/>
        <w:numPr>
          <w:ilvl w:val="0"/>
          <w:numId w:val="31"/>
        </w:numPr>
        <w:jc w:val="both"/>
        <w:rPr>
          <w:rFonts w:ascii="Arial" w:hAnsi="Arial" w:cs="Arial"/>
        </w:rPr>
      </w:pPr>
      <w:r w:rsidRPr="00BC3227">
        <w:rPr>
          <w:rFonts w:ascii="Arial" w:hAnsi="Arial" w:cs="Arial"/>
        </w:rPr>
        <w:t>Ionization: The FUV photons ionize the PAHs, a necessary condition for activating the strong C-C stretching modes that produce the entire 7.7 μm complex.</w:t>
      </w:r>
    </w:p>
    <w:p w14:paraId="10683C5B" w14:textId="77777777" w:rsidR="004244A6" w:rsidRPr="004244A6" w:rsidRDefault="004244A6" w:rsidP="004244A6">
      <w:pPr>
        <w:jc w:val="both"/>
        <w:rPr>
          <w:rFonts w:ascii="Arial" w:hAnsi="Arial" w:cs="Arial"/>
        </w:rPr>
      </w:pPr>
    </w:p>
    <w:p w14:paraId="09E036EB" w14:textId="77777777" w:rsidR="004244A6" w:rsidRPr="00BC3227" w:rsidRDefault="004244A6" w:rsidP="00BC3227">
      <w:pPr>
        <w:pStyle w:val="ListParagraph"/>
        <w:numPr>
          <w:ilvl w:val="0"/>
          <w:numId w:val="31"/>
        </w:numPr>
        <w:jc w:val="both"/>
        <w:rPr>
          <w:rFonts w:ascii="Arial" w:hAnsi="Arial" w:cs="Arial"/>
        </w:rPr>
      </w:pPr>
      <w:r w:rsidRPr="00BC3227">
        <w:rPr>
          <w:rFonts w:ascii="Arial" w:hAnsi="Arial" w:cs="Arial"/>
        </w:rPr>
        <w:t>Size Selection: The same energetic photons can preferentially destroy larger, less stable PAHs through photodissociation, leaving behind a resilient population of more compact, small-to-medium-sized cations.</w:t>
      </w:r>
    </w:p>
    <w:p w14:paraId="79A79043" w14:textId="77777777" w:rsidR="004244A6" w:rsidRPr="004244A6" w:rsidRDefault="004244A6" w:rsidP="004244A6">
      <w:pPr>
        <w:jc w:val="both"/>
        <w:rPr>
          <w:rFonts w:ascii="Arial" w:hAnsi="Arial" w:cs="Arial"/>
        </w:rPr>
      </w:pPr>
    </w:p>
    <w:p w14:paraId="00F6B6E0" w14:textId="19702F85" w:rsidR="004244A6" w:rsidRDefault="004244A6" w:rsidP="004244A6">
      <w:pPr>
        <w:jc w:val="both"/>
        <w:rPr>
          <w:rFonts w:ascii="Arial" w:hAnsi="Arial" w:cs="Arial"/>
        </w:rPr>
      </w:pPr>
      <w:r w:rsidRPr="004244A6">
        <w:rPr>
          <w:rFonts w:ascii="Arial" w:hAnsi="Arial" w:cs="Arial"/>
        </w:rPr>
        <w:lastRenderedPageBreak/>
        <w:t>This process naturally selects for the exact type of PAH population</w:t>
      </w:r>
      <w:r w:rsidR="00BC3227">
        <w:rPr>
          <w:rFonts w:ascii="Arial" w:hAnsi="Arial" w:cs="Arial"/>
        </w:rPr>
        <w:t xml:space="preserve">, </w:t>
      </w:r>
      <w:r w:rsidRPr="004244A6">
        <w:rPr>
          <w:rFonts w:ascii="Arial" w:hAnsi="Arial" w:cs="Arial"/>
        </w:rPr>
        <w:t>ionized and medium-sized</w:t>
      </w:r>
      <w:r w:rsidR="00BC3227">
        <w:rPr>
          <w:rFonts w:ascii="Arial" w:hAnsi="Arial" w:cs="Arial"/>
        </w:rPr>
        <w:t xml:space="preserve">, </w:t>
      </w:r>
      <w:r w:rsidRPr="004244A6">
        <w:rPr>
          <w:rFonts w:ascii="Arial" w:hAnsi="Arial" w:cs="Arial"/>
        </w:rPr>
        <w:t>that the models of Pathak &amp; Rastogi (2008) predict will produce a 7.6 μm-dominant spectrum. The observations of Peeters et al. (2002) provide the empirical "what" (HII regions have Class A spectra), Pathak &amp; Rastogi (2008) provide the theoretical "why" (Class A spectra arise from medium-sized cations), and the present work provides the direct observational evidence of "how" the local radiation field within HII regions drives the ionization and likely the size selection that produces this signature. This cohesive picture is summarized in Table 4.</w:t>
      </w:r>
    </w:p>
    <w:p w14:paraId="7159F84B" w14:textId="77777777" w:rsidR="00BC3227" w:rsidRDefault="00BC3227" w:rsidP="004244A6">
      <w:pPr>
        <w:jc w:val="both"/>
        <w:rPr>
          <w:rFonts w:ascii="Arial" w:hAnsi="Arial" w:cs="Arial"/>
        </w:rPr>
      </w:pPr>
    </w:p>
    <w:p w14:paraId="54AF37E2" w14:textId="51FE653C" w:rsidR="00BC3227" w:rsidRPr="00BC3227" w:rsidRDefault="00BC3227" w:rsidP="00BC3227">
      <w:pPr>
        <w:rPr>
          <w:rFonts w:ascii="Arial" w:hAnsi="Arial" w:cs="Arial"/>
          <w:color w:val="000000" w:themeColor="text1"/>
        </w:rPr>
      </w:pPr>
      <w:r w:rsidRPr="00BC3227">
        <w:rPr>
          <w:rFonts w:ascii="Arial" w:hAnsi="Arial" w:cs="Arial"/>
          <w:color w:val="000000" w:themeColor="text1"/>
        </w:rPr>
        <w:t xml:space="preserve">Table </w:t>
      </w:r>
      <w:r w:rsidRPr="00BC3227">
        <w:rPr>
          <w:rFonts w:ascii="Arial" w:hAnsi="Arial" w:cs="Arial"/>
          <w:color w:val="000000" w:themeColor="text1"/>
        </w:rPr>
        <w:fldChar w:fldCharType="begin"/>
      </w:r>
      <w:r w:rsidRPr="00BC3227">
        <w:rPr>
          <w:rFonts w:ascii="Arial" w:hAnsi="Arial" w:cs="Arial"/>
          <w:color w:val="000000" w:themeColor="text1"/>
        </w:rPr>
        <w:instrText xml:space="preserve"> SEQ Table \* ARABIC </w:instrText>
      </w:r>
      <w:r w:rsidRPr="00BC3227">
        <w:rPr>
          <w:rFonts w:ascii="Arial" w:hAnsi="Arial" w:cs="Arial"/>
          <w:color w:val="000000" w:themeColor="text1"/>
        </w:rPr>
        <w:fldChar w:fldCharType="separate"/>
      </w:r>
      <w:r w:rsidR="00E73CE2">
        <w:rPr>
          <w:rFonts w:ascii="Arial" w:hAnsi="Arial" w:cs="Arial"/>
          <w:noProof/>
          <w:color w:val="000000" w:themeColor="text1"/>
        </w:rPr>
        <w:t>4</w:t>
      </w:r>
      <w:r w:rsidRPr="00BC3227">
        <w:rPr>
          <w:rFonts w:ascii="Arial" w:hAnsi="Arial" w:cs="Arial"/>
          <w:color w:val="000000" w:themeColor="text1"/>
        </w:rPr>
        <w:fldChar w:fldCharType="end"/>
      </w:r>
      <w:r w:rsidRPr="00BC3227">
        <w:rPr>
          <w:rFonts w:ascii="Arial" w:hAnsi="Arial" w:cs="Arial"/>
          <w:color w:val="000000" w:themeColor="text1"/>
        </w:rPr>
        <w:t>: Comparison of PAH Spectral Properties in NGC 5457 with Observational Classes and Theoretical Models</w:t>
      </w:r>
    </w:p>
    <w:p w14:paraId="3438BE88" w14:textId="60FFC1A0" w:rsidR="00BC3227" w:rsidRPr="00BC3227" w:rsidRDefault="00BC3227" w:rsidP="00BC3227">
      <w:pPr>
        <w:pStyle w:val="Caption"/>
        <w:keepNext/>
        <w:rPr>
          <w:i w:val="0"/>
          <w:i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112"/>
        <w:gridCol w:w="1244"/>
        <w:gridCol w:w="1170"/>
        <w:gridCol w:w="1871"/>
        <w:gridCol w:w="1453"/>
      </w:tblGrid>
      <w:tr w:rsidR="00BC3227" w14:paraId="57F22F07" w14:textId="77777777" w:rsidTr="00BC3227">
        <w:tc>
          <w:tcPr>
            <w:tcW w:w="1440" w:type="dxa"/>
            <w:tcBorders>
              <w:top w:val="single" w:sz="4" w:space="0" w:color="auto"/>
              <w:bottom w:val="single" w:sz="4" w:space="0" w:color="auto"/>
            </w:tcBorders>
          </w:tcPr>
          <w:p w14:paraId="1DBF5E40" w14:textId="017BD65D" w:rsidR="00BC3227" w:rsidRPr="00BC3227" w:rsidRDefault="00BC3227" w:rsidP="00F32884">
            <w:pPr>
              <w:rPr>
                <w:rFonts w:ascii="Arial" w:hAnsi="Arial" w:cs="Arial"/>
                <w:sz w:val="16"/>
                <w:szCs w:val="16"/>
              </w:rPr>
            </w:pPr>
            <w:r w:rsidRPr="00BC3227">
              <w:rPr>
                <w:rFonts w:ascii="Arial" w:hAnsi="Arial" w:cs="Arial"/>
                <w:sz w:val="16"/>
                <w:szCs w:val="16"/>
              </w:rPr>
              <w:t>Object</w:t>
            </w:r>
            <w:r>
              <w:rPr>
                <w:rFonts w:ascii="Arial" w:hAnsi="Arial" w:cs="Arial"/>
                <w:sz w:val="16"/>
                <w:szCs w:val="16"/>
              </w:rPr>
              <w:t>/Model</w:t>
            </w:r>
          </w:p>
        </w:tc>
        <w:tc>
          <w:tcPr>
            <w:tcW w:w="1440" w:type="dxa"/>
            <w:tcBorders>
              <w:top w:val="single" w:sz="4" w:space="0" w:color="auto"/>
              <w:bottom w:val="single" w:sz="4" w:space="0" w:color="auto"/>
            </w:tcBorders>
          </w:tcPr>
          <w:p w14:paraId="518F7286" w14:textId="77777777" w:rsidR="00BC3227" w:rsidRPr="00BC3227" w:rsidRDefault="00BC3227" w:rsidP="00F32884">
            <w:pPr>
              <w:rPr>
                <w:rFonts w:ascii="Arial" w:hAnsi="Arial" w:cs="Arial"/>
                <w:sz w:val="16"/>
                <w:szCs w:val="16"/>
              </w:rPr>
            </w:pPr>
            <w:r w:rsidRPr="00BC3227">
              <w:rPr>
                <w:rFonts w:ascii="Arial" w:hAnsi="Arial" w:cs="Arial"/>
                <w:sz w:val="16"/>
                <w:szCs w:val="16"/>
              </w:rPr>
              <w:t>Dominant 7.7 µm Component</w:t>
            </w:r>
          </w:p>
        </w:tc>
        <w:tc>
          <w:tcPr>
            <w:tcW w:w="1440" w:type="dxa"/>
            <w:tcBorders>
              <w:top w:val="single" w:sz="4" w:space="0" w:color="auto"/>
              <w:bottom w:val="single" w:sz="4" w:space="0" w:color="auto"/>
            </w:tcBorders>
          </w:tcPr>
          <w:p w14:paraId="07295E24" w14:textId="77777777" w:rsidR="00BC3227" w:rsidRPr="00BC3227" w:rsidRDefault="00BC3227" w:rsidP="00F32884">
            <w:pPr>
              <w:rPr>
                <w:rFonts w:ascii="Arial" w:hAnsi="Arial" w:cs="Arial"/>
                <w:sz w:val="16"/>
                <w:szCs w:val="16"/>
              </w:rPr>
            </w:pPr>
            <w:r w:rsidRPr="00BC3227">
              <w:rPr>
                <w:rFonts w:ascii="Arial" w:hAnsi="Arial" w:cs="Arial"/>
                <w:sz w:val="16"/>
                <w:szCs w:val="16"/>
              </w:rPr>
              <w:t>Ionization Tracer F(8.6)/</w:t>
            </w:r>
            <w:proofErr w:type="gramStart"/>
            <w:r w:rsidRPr="00BC3227">
              <w:rPr>
                <w:rFonts w:ascii="Arial" w:hAnsi="Arial" w:cs="Arial"/>
                <w:sz w:val="16"/>
                <w:szCs w:val="16"/>
              </w:rPr>
              <w:t>F(</w:t>
            </w:r>
            <w:proofErr w:type="gramEnd"/>
            <w:r w:rsidRPr="00BC3227">
              <w:rPr>
                <w:rFonts w:ascii="Arial" w:hAnsi="Arial" w:cs="Arial"/>
                <w:sz w:val="16"/>
                <w:szCs w:val="16"/>
              </w:rPr>
              <w:t>11.3)</w:t>
            </w:r>
          </w:p>
        </w:tc>
        <w:tc>
          <w:tcPr>
            <w:tcW w:w="1440" w:type="dxa"/>
            <w:tcBorders>
              <w:top w:val="single" w:sz="4" w:space="0" w:color="auto"/>
              <w:bottom w:val="single" w:sz="4" w:space="0" w:color="auto"/>
            </w:tcBorders>
          </w:tcPr>
          <w:p w14:paraId="590D4E4A" w14:textId="77777777" w:rsidR="00BC3227" w:rsidRPr="00BC3227" w:rsidRDefault="00BC3227" w:rsidP="00F32884">
            <w:pPr>
              <w:rPr>
                <w:rFonts w:ascii="Arial" w:hAnsi="Arial" w:cs="Arial"/>
                <w:sz w:val="16"/>
                <w:szCs w:val="16"/>
              </w:rPr>
            </w:pPr>
            <w:r w:rsidRPr="00BC3227">
              <w:rPr>
                <w:rFonts w:ascii="Arial" w:hAnsi="Arial" w:cs="Arial"/>
                <w:sz w:val="16"/>
                <w:szCs w:val="16"/>
              </w:rPr>
              <w:t>Processing Tracer F(7.7)/</w:t>
            </w:r>
            <w:proofErr w:type="gramStart"/>
            <w:r w:rsidRPr="00BC3227">
              <w:rPr>
                <w:rFonts w:ascii="Arial" w:hAnsi="Arial" w:cs="Arial"/>
                <w:sz w:val="16"/>
                <w:szCs w:val="16"/>
              </w:rPr>
              <w:t>F(</w:t>
            </w:r>
            <w:proofErr w:type="gramEnd"/>
            <w:r w:rsidRPr="00BC3227">
              <w:rPr>
                <w:rFonts w:ascii="Arial" w:hAnsi="Arial" w:cs="Arial"/>
                <w:sz w:val="16"/>
                <w:szCs w:val="16"/>
              </w:rPr>
              <w:t>8.6)</w:t>
            </w:r>
          </w:p>
        </w:tc>
        <w:tc>
          <w:tcPr>
            <w:tcW w:w="1440" w:type="dxa"/>
            <w:tcBorders>
              <w:top w:val="single" w:sz="4" w:space="0" w:color="auto"/>
              <w:bottom w:val="single" w:sz="4" w:space="0" w:color="auto"/>
            </w:tcBorders>
          </w:tcPr>
          <w:p w14:paraId="6E814419" w14:textId="77777777" w:rsidR="00BC3227" w:rsidRPr="00BC3227" w:rsidRDefault="00BC3227" w:rsidP="00F32884">
            <w:pPr>
              <w:rPr>
                <w:rFonts w:ascii="Arial" w:hAnsi="Arial" w:cs="Arial"/>
                <w:sz w:val="16"/>
                <w:szCs w:val="16"/>
              </w:rPr>
            </w:pPr>
            <w:r w:rsidRPr="00BC3227">
              <w:rPr>
                <w:rFonts w:ascii="Arial" w:hAnsi="Arial" w:cs="Arial"/>
                <w:sz w:val="16"/>
                <w:szCs w:val="16"/>
              </w:rPr>
              <w:t>Inferred PAH Properties (Size, Charge)</w:t>
            </w:r>
          </w:p>
        </w:tc>
        <w:tc>
          <w:tcPr>
            <w:tcW w:w="1440" w:type="dxa"/>
            <w:tcBorders>
              <w:top w:val="single" w:sz="4" w:space="0" w:color="auto"/>
              <w:bottom w:val="single" w:sz="4" w:space="0" w:color="auto"/>
            </w:tcBorders>
          </w:tcPr>
          <w:p w14:paraId="701E5D67" w14:textId="77777777" w:rsidR="00BC3227" w:rsidRPr="00BC3227" w:rsidRDefault="00BC3227" w:rsidP="00F32884">
            <w:pPr>
              <w:rPr>
                <w:rFonts w:ascii="Arial" w:hAnsi="Arial" w:cs="Arial"/>
                <w:sz w:val="16"/>
                <w:szCs w:val="16"/>
              </w:rPr>
            </w:pPr>
            <w:r w:rsidRPr="00BC3227">
              <w:rPr>
                <w:rFonts w:ascii="Arial" w:hAnsi="Arial" w:cs="Arial"/>
                <w:sz w:val="16"/>
                <w:szCs w:val="16"/>
              </w:rPr>
              <w:t>Associated Environment</w:t>
            </w:r>
          </w:p>
        </w:tc>
      </w:tr>
      <w:tr w:rsidR="00BC3227" w14:paraId="02A21C79" w14:textId="77777777" w:rsidTr="00BC3227">
        <w:tc>
          <w:tcPr>
            <w:tcW w:w="1440" w:type="dxa"/>
            <w:tcBorders>
              <w:top w:val="single" w:sz="4" w:space="0" w:color="auto"/>
            </w:tcBorders>
          </w:tcPr>
          <w:p w14:paraId="01030E11" w14:textId="77777777" w:rsidR="00BC3227" w:rsidRPr="00BC3227" w:rsidRDefault="00BC3227" w:rsidP="00F32884">
            <w:pPr>
              <w:rPr>
                <w:rFonts w:ascii="Arial" w:hAnsi="Arial" w:cs="Arial"/>
                <w:sz w:val="16"/>
                <w:szCs w:val="16"/>
              </w:rPr>
            </w:pPr>
            <w:r w:rsidRPr="00BC3227">
              <w:rPr>
                <w:rFonts w:ascii="Arial" w:hAnsi="Arial" w:cs="Arial"/>
                <w:sz w:val="16"/>
                <w:szCs w:val="16"/>
              </w:rPr>
              <w:t>NGC5457+189-136 (This Work)</w:t>
            </w:r>
          </w:p>
        </w:tc>
        <w:tc>
          <w:tcPr>
            <w:tcW w:w="1440" w:type="dxa"/>
            <w:tcBorders>
              <w:top w:val="single" w:sz="4" w:space="0" w:color="auto"/>
            </w:tcBorders>
          </w:tcPr>
          <w:p w14:paraId="6D3F5294" w14:textId="77777777" w:rsidR="00BC3227" w:rsidRPr="00BC3227" w:rsidRDefault="00BC3227" w:rsidP="00F32884">
            <w:pPr>
              <w:rPr>
                <w:rFonts w:ascii="Arial" w:hAnsi="Arial" w:cs="Arial"/>
                <w:sz w:val="16"/>
                <w:szCs w:val="16"/>
              </w:rPr>
            </w:pPr>
            <w:r w:rsidRPr="00BC3227">
              <w:rPr>
                <w:rFonts w:ascii="Arial" w:hAnsi="Arial" w:cs="Arial"/>
                <w:sz w:val="16"/>
                <w:szCs w:val="16"/>
              </w:rPr>
              <w:t>7.6 μm (Class A-like)</w:t>
            </w:r>
          </w:p>
        </w:tc>
        <w:tc>
          <w:tcPr>
            <w:tcW w:w="1440" w:type="dxa"/>
            <w:tcBorders>
              <w:top w:val="single" w:sz="4" w:space="0" w:color="auto"/>
            </w:tcBorders>
          </w:tcPr>
          <w:p w14:paraId="314FDEA5" w14:textId="77777777" w:rsidR="00BC3227" w:rsidRPr="00BC3227" w:rsidRDefault="00BC3227" w:rsidP="00F32884">
            <w:pPr>
              <w:rPr>
                <w:rFonts w:ascii="Arial" w:hAnsi="Arial" w:cs="Arial"/>
                <w:sz w:val="16"/>
                <w:szCs w:val="16"/>
              </w:rPr>
            </w:pPr>
            <w:r w:rsidRPr="00BC3227">
              <w:rPr>
                <w:rFonts w:ascii="Arial" w:hAnsi="Arial" w:cs="Arial"/>
                <w:sz w:val="16"/>
                <w:szCs w:val="16"/>
              </w:rPr>
              <w:t>0.62 (High)</w:t>
            </w:r>
          </w:p>
        </w:tc>
        <w:tc>
          <w:tcPr>
            <w:tcW w:w="1440" w:type="dxa"/>
            <w:tcBorders>
              <w:top w:val="single" w:sz="4" w:space="0" w:color="auto"/>
            </w:tcBorders>
          </w:tcPr>
          <w:p w14:paraId="601D2DF1" w14:textId="77777777" w:rsidR="00BC3227" w:rsidRPr="00BC3227" w:rsidRDefault="00BC3227" w:rsidP="00F32884">
            <w:pPr>
              <w:rPr>
                <w:rFonts w:ascii="Arial" w:hAnsi="Arial" w:cs="Arial"/>
                <w:sz w:val="16"/>
                <w:szCs w:val="16"/>
              </w:rPr>
            </w:pPr>
            <w:r w:rsidRPr="00BC3227">
              <w:rPr>
                <w:rFonts w:ascii="Arial" w:hAnsi="Arial" w:cs="Arial"/>
                <w:sz w:val="16"/>
                <w:szCs w:val="16"/>
              </w:rPr>
              <w:t>1.13 (Low)</w:t>
            </w:r>
          </w:p>
        </w:tc>
        <w:tc>
          <w:tcPr>
            <w:tcW w:w="1440" w:type="dxa"/>
            <w:tcBorders>
              <w:top w:val="single" w:sz="4" w:space="0" w:color="auto"/>
            </w:tcBorders>
          </w:tcPr>
          <w:p w14:paraId="5A7853C3" w14:textId="77777777" w:rsidR="00BC3227" w:rsidRPr="00BC3227" w:rsidRDefault="00BC3227" w:rsidP="00F32884">
            <w:pPr>
              <w:rPr>
                <w:rFonts w:ascii="Arial" w:hAnsi="Arial" w:cs="Arial"/>
                <w:sz w:val="16"/>
                <w:szCs w:val="16"/>
              </w:rPr>
            </w:pPr>
            <w:r w:rsidRPr="00BC3227">
              <w:rPr>
                <w:rFonts w:ascii="Arial" w:hAnsi="Arial" w:cs="Arial"/>
                <w:sz w:val="16"/>
                <w:szCs w:val="16"/>
              </w:rPr>
              <w:t>Small/Medium Cations, Highly Processed</w:t>
            </w:r>
          </w:p>
        </w:tc>
        <w:tc>
          <w:tcPr>
            <w:tcW w:w="1440" w:type="dxa"/>
            <w:tcBorders>
              <w:top w:val="single" w:sz="4" w:space="0" w:color="auto"/>
            </w:tcBorders>
          </w:tcPr>
          <w:p w14:paraId="5532382E" w14:textId="77777777" w:rsidR="00BC3227" w:rsidRPr="00BC3227" w:rsidRDefault="00BC3227" w:rsidP="00F32884">
            <w:pPr>
              <w:rPr>
                <w:rFonts w:ascii="Arial" w:hAnsi="Arial" w:cs="Arial"/>
                <w:sz w:val="16"/>
                <w:szCs w:val="16"/>
              </w:rPr>
            </w:pPr>
            <w:r w:rsidRPr="00BC3227">
              <w:rPr>
                <w:rFonts w:ascii="Arial" w:hAnsi="Arial" w:cs="Arial"/>
                <w:sz w:val="16"/>
                <w:szCs w:val="16"/>
              </w:rPr>
              <w:t>Harsh, High-Ionization HII Region Core</w:t>
            </w:r>
          </w:p>
        </w:tc>
      </w:tr>
      <w:tr w:rsidR="00BC3227" w14:paraId="0E6A2D2F" w14:textId="77777777" w:rsidTr="00BC3227">
        <w:tc>
          <w:tcPr>
            <w:tcW w:w="1440" w:type="dxa"/>
          </w:tcPr>
          <w:p w14:paraId="202B06AE" w14:textId="77777777" w:rsidR="00BC3227" w:rsidRPr="00BC3227" w:rsidRDefault="00BC3227" w:rsidP="00F32884">
            <w:pPr>
              <w:rPr>
                <w:rFonts w:ascii="Arial" w:hAnsi="Arial" w:cs="Arial"/>
                <w:sz w:val="16"/>
                <w:szCs w:val="16"/>
              </w:rPr>
            </w:pPr>
            <w:r w:rsidRPr="00BC3227">
              <w:rPr>
                <w:rFonts w:ascii="Arial" w:hAnsi="Arial" w:cs="Arial"/>
                <w:sz w:val="16"/>
                <w:szCs w:val="16"/>
              </w:rPr>
              <w:t>NGC5457-361-280 (This Work)</w:t>
            </w:r>
          </w:p>
        </w:tc>
        <w:tc>
          <w:tcPr>
            <w:tcW w:w="1440" w:type="dxa"/>
          </w:tcPr>
          <w:p w14:paraId="2DAC07F2" w14:textId="77777777" w:rsidR="00BC3227" w:rsidRPr="00BC3227" w:rsidRDefault="00BC3227" w:rsidP="00F32884">
            <w:pPr>
              <w:rPr>
                <w:rFonts w:ascii="Arial" w:hAnsi="Arial" w:cs="Arial"/>
                <w:sz w:val="16"/>
                <w:szCs w:val="16"/>
              </w:rPr>
            </w:pPr>
            <w:r w:rsidRPr="00BC3227">
              <w:rPr>
                <w:rFonts w:ascii="Arial" w:hAnsi="Arial" w:cs="Arial"/>
                <w:sz w:val="16"/>
                <w:szCs w:val="16"/>
              </w:rPr>
              <w:t>7.6 μm (Class A-like)</w:t>
            </w:r>
          </w:p>
        </w:tc>
        <w:tc>
          <w:tcPr>
            <w:tcW w:w="1440" w:type="dxa"/>
          </w:tcPr>
          <w:p w14:paraId="3BB9AB60" w14:textId="77777777" w:rsidR="00BC3227" w:rsidRPr="00BC3227" w:rsidRDefault="00BC3227" w:rsidP="00F32884">
            <w:pPr>
              <w:rPr>
                <w:rFonts w:ascii="Arial" w:hAnsi="Arial" w:cs="Arial"/>
                <w:sz w:val="16"/>
                <w:szCs w:val="16"/>
              </w:rPr>
            </w:pPr>
            <w:r w:rsidRPr="00BC3227">
              <w:rPr>
                <w:rFonts w:ascii="Arial" w:hAnsi="Arial" w:cs="Arial"/>
                <w:sz w:val="16"/>
                <w:szCs w:val="16"/>
              </w:rPr>
              <w:t>0.23 (Low)</w:t>
            </w:r>
          </w:p>
        </w:tc>
        <w:tc>
          <w:tcPr>
            <w:tcW w:w="1440" w:type="dxa"/>
          </w:tcPr>
          <w:p w14:paraId="5CF06142" w14:textId="77777777" w:rsidR="00BC3227" w:rsidRPr="00BC3227" w:rsidRDefault="00BC3227" w:rsidP="00F32884">
            <w:pPr>
              <w:rPr>
                <w:rFonts w:ascii="Arial" w:hAnsi="Arial" w:cs="Arial"/>
                <w:sz w:val="16"/>
                <w:szCs w:val="16"/>
              </w:rPr>
            </w:pPr>
            <w:r w:rsidRPr="00BC3227">
              <w:rPr>
                <w:rFonts w:ascii="Arial" w:hAnsi="Arial" w:cs="Arial"/>
                <w:sz w:val="16"/>
                <w:szCs w:val="16"/>
              </w:rPr>
              <w:t>2.38 (High)</w:t>
            </w:r>
          </w:p>
        </w:tc>
        <w:tc>
          <w:tcPr>
            <w:tcW w:w="1440" w:type="dxa"/>
          </w:tcPr>
          <w:p w14:paraId="0CD00396" w14:textId="77777777" w:rsidR="00BC3227" w:rsidRPr="00BC3227" w:rsidRDefault="00BC3227" w:rsidP="00F32884">
            <w:pPr>
              <w:rPr>
                <w:rFonts w:ascii="Arial" w:hAnsi="Arial" w:cs="Arial"/>
                <w:sz w:val="16"/>
                <w:szCs w:val="16"/>
              </w:rPr>
            </w:pPr>
            <w:r w:rsidRPr="00BC3227">
              <w:rPr>
                <w:rFonts w:ascii="Arial" w:hAnsi="Arial" w:cs="Arial"/>
                <w:sz w:val="16"/>
                <w:szCs w:val="16"/>
              </w:rPr>
              <w:t>Small/Medium Cations, Less Processed</w:t>
            </w:r>
          </w:p>
        </w:tc>
        <w:tc>
          <w:tcPr>
            <w:tcW w:w="1440" w:type="dxa"/>
          </w:tcPr>
          <w:p w14:paraId="23264678" w14:textId="5C352040" w:rsidR="00BC3227" w:rsidRPr="00BC3227" w:rsidRDefault="00BC3227" w:rsidP="00F32884">
            <w:pPr>
              <w:rPr>
                <w:rFonts w:ascii="Arial" w:hAnsi="Arial" w:cs="Arial"/>
                <w:sz w:val="16"/>
                <w:szCs w:val="16"/>
              </w:rPr>
            </w:pPr>
            <w:r w:rsidRPr="00BC3227">
              <w:rPr>
                <w:rFonts w:ascii="Arial" w:hAnsi="Arial" w:cs="Arial"/>
                <w:sz w:val="16"/>
                <w:szCs w:val="16"/>
              </w:rPr>
              <w:t>Shielded/Evolved HII Region</w:t>
            </w:r>
            <w:r>
              <w:rPr>
                <w:rFonts w:ascii="Arial" w:hAnsi="Arial" w:cs="Arial"/>
                <w:sz w:val="16"/>
                <w:szCs w:val="16"/>
              </w:rPr>
              <w:t>/PDR</w:t>
            </w:r>
          </w:p>
        </w:tc>
      </w:tr>
      <w:tr w:rsidR="00BC3227" w14:paraId="3CC76F5A" w14:textId="77777777" w:rsidTr="00BC3227">
        <w:tc>
          <w:tcPr>
            <w:tcW w:w="1440" w:type="dxa"/>
          </w:tcPr>
          <w:p w14:paraId="1A541169" w14:textId="77777777" w:rsidR="00BC3227" w:rsidRPr="00BC3227" w:rsidRDefault="00BC3227" w:rsidP="00F32884">
            <w:pPr>
              <w:rPr>
                <w:rFonts w:ascii="Arial" w:hAnsi="Arial" w:cs="Arial"/>
                <w:sz w:val="16"/>
                <w:szCs w:val="16"/>
              </w:rPr>
            </w:pPr>
            <w:r w:rsidRPr="00BC3227">
              <w:rPr>
                <w:rFonts w:ascii="Arial" w:hAnsi="Arial" w:cs="Arial"/>
                <w:sz w:val="16"/>
                <w:szCs w:val="16"/>
              </w:rPr>
              <w:t>Peeters et al. (2002) Class A</w:t>
            </w:r>
          </w:p>
        </w:tc>
        <w:tc>
          <w:tcPr>
            <w:tcW w:w="1440" w:type="dxa"/>
          </w:tcPr>
          <w:p w14:paraId="262C9880" w14:textId="77777777" w:rsidR="00BC3227" w:rsidRPr="00BC3227" w:rsidRDefault="00BC3227" w:rsidP="00F32884">
            <w:pPr>
              <w:rPr>
                <w:rFonts w:ascii="Arial" w:hAnsi="Arial" w:cs="Arial"/>
                <w:sz w:val="16"/>
                <w:szCs w:val="16"/>
              </w:rPr>
            </w:pPr>
            <w:r w:rsidRPr="00BC3227">
              <w:rPr>
                <w:rFonts w:ascii="Arial" w:hAnsi="Arial" w:cs="Arial"/>
                <w:sz w:val="16"/>
                <w:szCs w:val="16"/>
              </w:rPr>
              <w:t>7.6 μm</w:t>
            </w:r>
          </w:p>
        </w:tc>
        <w:tc>
          <w:tcPr>
            <w:tcW w:w="1440" w:type="dxa"/>
          </w:tcPr>
          <w:p w14:paraId="17E3388D" w14:textId="77777777" w:rsidR="00BC3227" w:rsidRPr="00BC3227" w:rsidRDefault="00BC3227" w:rsidP="00F32884">
            <w:pPr>
              <w:rPr>
                <w:rFonts w:ascii="Arial" w:hAnsi="Arial" w:cs="Arial"/>
                <w:sz w:val="16"/>
                <w:szCs w:val="16"/>
              </w:rPr>
            </w:pPr>
            <w:r w:rsidRPr="00BC3227">
              <w:rPr>
                <w:rFonts w:ascii="Arial" w:hAnsi="Arial" w:cs="Arial"/>
                <w:sz w:val="16"/>
                <w:szCs w:val="16"/>
              </w:rPr>
              <w:t>High (implied)</w:t>
            </w:r>
          </w:p>
        </w:tc>
        <w:tc>
          <w:tcPr>
            <w:tcW w:w="1440" w:type="dxa"/>
          </w:tcPr>
          <w:p w14:paraId="02FD28BB" w14:textId="77777777" w:rsidR="00BC3227" w:rsidRPr="00BC3227" w:rsidRDefault="00BC3227" w:rsidP="00F32884">
            <w:pPr>
              <w:rPr>
                <w:rFonts w:ascii="Arial" w:hAnsi="Arial" w:cs="Arial"/>
                <w:sz w:val="16"/>
                <w:szCs w:val="16"/>
              </w:rPr>
            </w:pPr>
            <w:r w:rsidRPr="00BC3227">
              <w:rPr>
                <w:rFonts w:ascii="Arial" w:hAnsi="Arial" w:cs="Arial"/>
                <w:sz w:val="16"/>
                <w:szCs w:val="16"/>
              </w:rPr>
              <w:t>N/A</w:t>
            </w:r>
          </w:p>
        </w:tc>
        <w:tc>
          <w:tcPr>
            <w:tcW w:w="1440" w:type="dxa"/>
          </w:tcPr>
          <w:p w14:paraId="4510478E" w14:textId="77777777" w:rsidR="00BC3227" w:rsidRPr="00BC3227" w:rsidRDefault="00BC3227" w:rsidP="00F32884">
            <w:pPr>
              <w:rPr>
                <w:rFonts w:ascii="Arial" w:hAnsi="Arial" w:cs="Arial"/>
                <w:sz w:val="16"/>
                <w:szCs w:val="16"/>
              </w:rPr>
            </w:pPr>
            <w:r w:rsidRPr="00BC3227">
              <w:rPr>
                <w:rFonts w:ascii="Arial" w:hAnsi="Arial" w:cs="Arial"/>
                <w:sz w:val="16"/>
                <w:szCs w:val="16"/>
              </w:rPr>
              <w:t>Substituted/Complexed PAHs</w:t>
            </w:r>
          </w:p>
        </w:tc>
        <w:tc>
          <w:tcPr>
            <w:tcW w:w="1440" w:type="dxa"/>
          </w:tcPr>
          <w:p w14:paraId="1C95E037" w14:textId="77777777" w:rsidR="00BC3227" w:rsidRPr="00BC3227" w:rsidRDefault="00BC3227" w:rsidP="00F32884">
            <w:pPr>
              <w:rPr>
                <w:rFonts w:ascii="Arial" w:hAnsi="Arial" w:cs="Arial"/>
                <w:sz w:val="16"/>
                <w:szCs w:val="16"/>
              </w:rPr>
            </w:pPr>
            <w:r w:rsidRPr="00BC3227">
              <w:rPr>
                <w:rFonts w:ascii="Arial" w:hAnsi="Arial" w:cs="Arial"/>
                <w:sz w:val="16"/>
                <w:szCs w:val="16"/>
              </w:rPr>
              <w:t xml:space="preserve">HII Regions, </w:t>
            </w:r>
            <w:proofErr w:type="spellStart"/>
            <w:r w:rsidRPr="00BC3227">
              <w:rPr>
                <w:rFonts w:ascii="Arial" w:hAnsi="Arial" w:cs="Arial"/>
                <w:sz w:val="16"/>
                <w:szCs w:val="16"/>
              </w:rPr>
              <w:t>RNe</w:t>
            </w:r>
            <w:proofErr w:type="spellEnd"/>
            <w:r w:rsidRPr="00BC3227">
              <w:rPr>
                <w:rFonts w:ascii="Arial" w:hAnsi="Arial" w:cs="Arial"/>
                <w:sz w:val="16"/>
                <w:szCs w:val="16"/>
              </w:rPr>
              <w:t>, Galaxies</w:t>
            </w:r>
          </w:p>
        </w:tc>
      </w:tr>
      <w:tr w:rsidR="00BC3227" w14:paraId="4F14B782" w14:textId="77777777" w:rsidTr="00BC3227">
        <w:tc>
          <w:tcPr>
            <w:tcW w:w="1440" w:type="dxa"/>
          </w:tcPr>
          <w:p w14:paraId="4A07B393" w14:textId="77777777" w:rsidR="00BC3227" w:rsidRPr="00BC3227" w:rsidRDefault="00BC3227" w:rsidP="00F32884">
            <w:pPr>
              <w:rPr>
                <w:rFonts w:ascii="Arial" w:hAnsi="Arial" w:cs="Arial"/>
                <w:sz w:val="16"/>
                <w:szCs w:val="16"/>
              </w:rPr>
            </w:pPr>
            <w:r w:rsidRPr="00BC3227">
              <w:rPr>
                <w:rFonts w:ascii="Arial" w:hAnsi="Arial" w:cs="Arial"/>
                <w:sz w:val="16"/>
                <w:szCs w:val="16"/>
              </w:rPr>
              <w:t>Peeters et al. (2002) Class B</w:t>
            </w:r>
          </w:p>
        </w:tc>
        <w:tc>
          <w:tcPr>
            <w:tcW w:w="1440" w:type="dxa"/>
          </w:tcPr>
          <w:p w14:paraId="2480ED1D" w14:textId="77777777" w:rsidR="00BC3227" w:rsidRPr="00BC3227" w:rsidRDefault="00BC3227" w:rsidP="00F32884">
            <w:pPr>
              <w:rPr>
                <w:rFonts w:ascii="Arial" w:hAnsi="Arial" w:cs="Arial"/>
                <w:sz w:val="16"/>
                <w:szCs w:val="16"/>
              </w:rPr>
            </w:pPr>
            <w:r w:rsidRPr="00BC3227">
              <w:rPr>
                <w:rFonts w:ascii="Cambria Math" w:hAnsi="Cambria Math" w:cs="Cambria Math"/>
                <w:sz w:val="16"/>
                <w:szCs w:val="16"/>
              </w:rPr>
              <w:t>∼</w:t>
            </w:r>
            <w:r w:rsidRPr="00BC3227">
              <w:rPr>
                <w:rFonts w:ascii="Arial" w:hAnsi="Arial" w:cs="Arial"/>
                <w:sz w:val="16"/>
                <w:szCs w:val="16"/>
              </w:rPr>
              <w:t>7.8 μm</w:t>
            </w:r>
          </w:p>
        </w:tc>
        <w:tc>
          <w:tcPr>
            <w:tcW w:w="1440" w:type="dxa"/>
          </w:tcPr>
          <w:p w14:paraId="01153BCB" w14:textId="77777777" w:rsidR="00BC3227" w:rsidRPr="00BC3227" w:rsidRDefault="00BC3227" w:rsidP="00F32884">
            <w:pPr>
              <w:rPr>
                <w:rFonts w:ascii="Arial" w:hAnsi="Arial" w:cs="Arial"/>
                <w:sz w:val="16"/>
                <w:szCs w:val="16"/>
              </w:rPr>
            </w:pPr>
            <w:r w:rsidRPr="00BC3227">
              <w:rPr>
                <w:rFonts w:ascii="Arial" w:hAnsi="Arial" w:cs="Arial"/>
                <w:sz w:val="16"/>
                <w:szCs w:val="16"/>
              </w:rPr>
              <w:t>Low (implied)</w:t>
            </w:r>
          </w:p>
        </w:tc>
        <w:tc>
          <w:tcPr>
            <w:tcW w:w="1440" w:type="dxa"/>
          </w:tcPr>
          <w:p w14:paraId="26A38E73" w14:textId="77777777" w:rsidR="00BC3227" w:rsidRPr="00BC3227" w:rsidRDefault="00BC3227" w:rsidP="00F32884">
            <w:pPr>
              <w:rPr>
                <w:rFonts w:ascii="Arial" w:hAnsi="Arial" w:cs="Arial"/>
                <w:sz w:val="16"/>
                <w:szCs w:val="16"/>
              </w:rPr>
            </w:pPr>
            <w:r w:rsidRPr="00BC3227">
              <w:rPr>
                <w:rFonts w:ascii="Arial" w:hAnsi="Arial" w:cs="Arial"/>
                <w:sz w:val="16"/>
                <w:szCs w:val="16"/>
              </w:rPr>
              <w:t>N/A</w:t>
            </w:r>
          </w:p>
        </w:tc>
        <w:tc>
          <w:tcPr>
            <w:tcW w:w="1440" w:type="dxa"/>
          </w:tcPr>
          <w:p w14:paraId="6B9C91FD" w14:textId="77777777" w:rsidR="00BC3227" w:rsidRPr="00BC3227" w:rsidRDefault="00BC3227" w:rsidP="00F32884">
            <w:pPr>
              <w:rPr>
                <w:rFonts w:ascii="Arial" w:hAnsi="Arial" w:cs="Arial"/>
                <w:sz w:val="16"/>
                <w:szCs w:val="16"/>
              </w:rPr>
            </w:pPr>
            <w:r w:rsidRPr="00BC3227">
              <w:rPr>
                <w:rFonts w:ascii="Arial" w:hAnsi="Arial" w:cs="Arial"/>
                <w:sz w:val="16"/>
                <w:szCs w:val="16"/>
              </w:rPr>
              <w:t>Pure, Large PAHs</w:t>
            </w:r>
          </w:p>
        </w:tc>
        <w:tc>
          <w:tcPr>
            <w:tcW w:w="1440" w:type="dxa"/>
          </w:tcPr>
          <w:p w14:paraId="709995CC" w14:textId="77777777" w:rsidR="00BC3227" w:rsidRPr="00BC3227" w:rsidRDefault="00BC3227" w:rsidP="00F32884">
            <w:pPr>
              <w:rPr>
                <w:rFonts w:ascii="Arial" w:hAnsi="Arial" w:cs="Arial"/>
                <w:sz w:val="16"/>
                <w:szCs w:val="16"/>
              </w:rPr>
            </w:pPr>
            <w:r w:rsidRPr="00BC3227">
              <w:rPr>
                <w:rFonts w:ascii="Arial" w:hAnsi="Arial" w:cs="Arial"/>
                <w:sz w:val="16"/>
                <w:szCs w:val="16"/>
              </w:rPr>
              <w:t>PNe, Isolated Herbig AeBe Stars</w:t>
            </w:r>
          </w:p>
        </w:tc>
      </w:tr>
      <w:tr w:rsidR="00BC3227" w14:paraId="187B26D2" w14:textId="77777777" w:rsidTr="00BC3227">
        <w:tc>
          <w:tcPr>
            <w:tcW w:w="1440" w:type="dxa"/>
          </w:tcPr>
          <w:p w14:paraId="68D0CE91" w14:textId="77777777" w:rsidR="00BC3227" w:rsidRPr="00BC3227" w:rsidRDefault="00BC3227" w:rsidP="00F32884">
            <w:pPr>
              <w:rPr>
                <w:rFonts w:ascii="Arial" w:hAnsi="Arial" w:cs="Arial"/>
                <w:sz w:val="16"/>
                <w:szCs w:val="16"/>
              </w:rPr>
            </w:pPr>
            <w:r w:rsidRPr="00BC3227">
              <w:rPr>
                <w:rFonts w:ascii="Arial" w:hAnsi="Arial" w:cs="Arial"/>
                <w:sz w:val="16"/>
                <w:szCs w:val="16"/>
              </w:rPr>
              <w:t>Pathak &amp; R. (2008) Model II</w:t>
            </w:r>
          </w:p>
        </w:tc>
        <w:tc>
          <w:tcPr>
            <w:tcW w:w="1440" w:type="dxa"/>
          </w:tcPr>
          <w:p w14:paraId="2D917070" w14:textId="77777777" w:rsidR="00BC3227" w:rsidRPr="00BC3227" w:rsidRDefault="00BC3227" w:rsidP="00F32884">
            <w:pPr>
              <w:rPr>
                <w:rFonts w:ascii="Arial" w:hAnsi="Arial" w:cs="Arial"/>
                <w:sz w:val="16"/>
                <w:szCs w:val="16"/>
              </w:rPr>
            </w:pPr>
            <w:r w:rsidRPr="00BC3227">
              <w:rPr>
                <w:rFonts w:ascii="Arial" w:hAnsi="Arial" w:cs="Arial"/>
                <w:sz w:val="16"/>
                <w:szCs w:val="16"/>
              </w:rPr>
              <w:t>7.6 μm</w:t>
            </w:r>
          </w:p>
        </w:tc>
        <w:tc>
          <w:tcPr>
            <w:tcW w:w="1440" w:type="dxa"/>
          </w:tcPr>
          <w:p w14:paraId="3F933169" w14:textId="77777777" w:rsidR="00BC3227" w:rsidRPr="00BC3227" w:rsidRDefault="00BC3227" w:rsidP="00F32884">
            <w:pPr>
              <w:rPr>
                <w:rFonts w:ascii="Arial" w:hAnsi="Arial" w:cs="Arial"/>
                <w:sz w:val="16"/>
                <w:szCs w:val="16"/>
              </w:rPr>
            </w:pPr>
            <w:r w:rsidRPr="00BC3227">
              <w:rPr>
                <w:rFonts w:ascii="Arial" w:hAnsi="Arial" w:cs="Arial"/>
                <w:sz w:val="16"/>
                <w:szCs w:val="16"/>
              </w:rPr>
              <w:t>High (Cations)</w:t>
            </w:r>
          </w:p>
        </w:tc>
        <w:tc>
          <w:tcPr>
            <w:tcW w:w="1440" w:type="dxa"/>
          </w:tcPr>
          <w:p w14:paraId="0CDB4FE1" w14:textId="77777777" w:rsidR="00BC3227" w:rsidRPr="00BC3227" w:rsidRDefault="00BC3227" w:rsidP="00F32884">
            <w:pPr>
              <w:rPr>
                <w:rFonts w:ascii="Arial" w:hAnsi="Arial" w:cs="Arial"/>
                <w:sz w:val="16"/>
                <w:szCs w:val="16"/>
              </w:rPr>
            </w:pPr>
            <w:r w:rsidRPr="00BC3227">
              <w:rPr>
                <w:rFonts w:ascii="Arial" w:hAnsi="Arial" w:cs="Arial"/>
                <w:sz w:val="16"/>
                <w:szCs w:val="16"/>
              </w:rPr>
              <w:t>N/A</w:t>
            </w:r>
          </w:p>
        </w:tc>
        <w:tc>
          <w:tcPr>
            <w:tcW w:w="1440" w:type="dxa"/>
          </w:tcPr>
          <w:p w14:paraId="54943032" w14:textId="77777777" w:rsidR="00BC3227" w:rsidRPr="00BC3227" w:rsidRDefault="00BC3227" w:rsidP="00F32884">
            <w:pPr>
              <w:rPr>
                <w:rFonts w:ascii="Arial" w:hAnsi="Arial" w:cs="Arial"/>
                <w:sz w:val="16"/>
                <w:szCs w:val="16"/>
              </w:rPr>
            </w:pPr>
            <w:r w:rsidRPr="00BC3227">
              <w:rPr>
                <w:rFonts w:ascii="Arial" w:hAnsi="Arial" w:cs="Arial"/>
                <w:sz w:val="16"/>
                <w:szCs w:val="16"/>
              </w:rPr>
              <w:t>Medium Cations (20-40 C)</w:t>
            </w:r>
          </w:p>
        </w:tc>
        <w:tc>
          <w:tcPr>
            <w:tcW w:w="1440" w:type="dxa"/>
          </w:tcPr>
          <w:p w14:paraId="5409D69D" w14:textId="77777777" w:rsidR="00BC3227" w:rsidRPr="00BC3227" w:rsidRDefault="00BC3227" w:rsidP="00F32884">
            <w:pPr>
              <w:rPr>
                <w:rFonts w:ascii="Arial" w:hAnsi="Arial" w:cs="Arial"/>
                <w:sz w:val="16"/>
                <w:szCs w:val="16"/>
              </w:rPr>
            </w:pPr>
            <w:r w:rsidRPr="00BC3227">
              <w:rPr>
                <w:rFonts w:ascii="Arial" w:hAnsi="Arial" w:cs="Arial"/>
                <w:sz w:val="16"/>
                <w:szCs w:val="16"/>
              </w:rPr>
              <w:t>UV-rich Environments (HII Regions)</w:t>
            </w:r>
          </w:p>
        </w:tc>
      </w:tr>
      <w:tr w:rsidR="00BC3227" w14:paraId="3F0E6FA1" w14:textId="77777777" w:rsidTr="00BC3227">
        <w:tc>
          <w:tcPr>
            <w:tcW w:w="1440" w:type="dxa"/>
            <w:tcBorders>
              <w:bottom w:val="single" w:sz="4" w:space="0" w:color="auto"/>
            </w:tcBorders>
          </w:tcPr>
          <w:p w14:paraId="478CFB57" w14:textId="77777777" w:rsidR="00BC3227" w:rsidRPr="00BC3227" w:rsidRDefault="00BC3227" w:rsidP="00F32884">
            <w:pPr>
              <w:rPr>
                <w:rFonts w:ascii="Arial" w:hAnsi="Arial" w:cs="Arial"/>
                <w:sz w:val="16"/>
                <w:szCs w:val="16"/>
              </w:rPr>
            </w:pPr>
            <w:r w:rsidRPr="00BC3227">
              <w:rPr>
                <w:rFonts w:ascii="Arial" w:hAnsi="Arial" w:cs="Arial"/>
                <w:sz w:val="16"/>
                <w:szCs w:val="16"/>
              </w:rPr>
              <w:t>Pathak &amp; R. (2008) Model III</w:t>
            </w:r>
          </w:p>
        </w:tc>
        <w:tc>
          <w:tcPr>
            <w:tcW w:w="1440" w:type="dxa"/>
            <w:tcBorders>
              <w:bottom w:val="single" w:sz="4" w:space="0" w:color="auto"/>
            </w:tcBorders>
          </w:tcPr>
          <w:p w14:paraId="0693032A" w14:textId="77777777" w:rsidR="00BC3227" w:rsidRPr="00BC3227" w:rsidRDefault="00BC3227" w:rsidP="00F32884">
            <w:pPr>
              <w:rPr>
                <w:rFonts w:ascii="Arial" w:hAnsi="Arial" w:cs="Arial"/>
                <w:sz w:val="16"/>
                <w:szCs w:val="16"/>
              </w:rPr>
            </w:pPr>
            <w:r w:rsidRPr="00BC3227">
              <w:rPr>
                <w:rFonts w:ascii="Arial" w:hAnsi="Arial" w:cs="Arial"/>
                <w:sz w:val="16"/>
                <w:szCs w:val="16"/>
              </w:rPr>
              <w:t>7.8 μm</w:t>
            </w:r>
          </w:p>
        </w:tc>
        <w:tc>
          <w:tcPr>
            <w:tcW w:w="1440" w:type="dxa"/>
            <w:tcBorders>
              <w:bottom w:val="single" w:sz="4" w:space="0" w:color="auto"/>
            </w:tcBorders>
          </w:tcPr>
          <w:p w14:paraId="50ED0B78" w14:textId="77777777" w:rsidR="00BC3227" w:rsidRPr="00BC3227" w:rsidRDefault="00BC3227" w:rsidP="00F32884">
            <w:pPr>
              <w:rPr>
                <w:rFonts w:ascii="Arial" w:hAnsi="Arial" w:cs="Arial"/>
                <w:sz w:val="16"/>
                <w:szCs w:val="16"/>
              </w:rPr>
            </w:pPr>
            <w:r w:rsidRPr="00BC3227">
              <w:rPr>
                <w:rFonts w:ascii="Arial" w:hAnsi="Arial" w:cs="Arial"/>
                <w:sz w:val="16"/>
                <w:szCs w:val="16"/>
              </w:rPr>
              <w:t>High (Cations)</w:t>
            </w:r>
          </w:p>
        </w:tc>
        <w:tc>
          <w:tcPr>
            <w:tcW w:w="1440" w:type="dxa"/>
            <w:tcBorders>
              <w:bottom w:val="single" w:sz="4" w:space="0" w:color="auto"/>
            </w:tcBorders>
          </w:tcPr>
          <w:p w14:paraId="30DDD0B0" w14:textId="77777777" w:rsidR="00BC3227" w:rsidRPr="00BC3227" w:rsidRDefault="00BC3227" w:rsidP="00F32884">
            <w:pPr>
              <w:rPr>
                <w:rFonts w:ascii="Arial" w:hAnsi="Arial" w:cs="Arial"/>
                <w:sz w:val="16"/>
                <w:szCs w:val="16"/>
              </w:rPr>
            </w:pPr>
            <w:r w:rsidRPr="00BC3227">
              <w:rPr>
                <w:rFonts w:ascii="Arial" w:hAnsi="Arial" w:cs="Arial"/>
                <w:sz w:val="16"/>
                <w:szCs w:val="16"/>
              </w:rPr>
              <w:t>N/A</w:t>
            </w:r>
          </w:p>
        </w:tc>
        <w:tc>
          <w:tcPr>
            <w:tcW w:w="1440" w:type="dxa"/>
            <w:tcBorders>
              <w:bottom w:val="single" w:sz="4" w:space="0" w:color="auto"/>
            </w:tcBorders>
          </w:tcPr>
          <w:p w14:paraId="489BBE76" w14:textId="77777777" w:rsidR="00BC3227" w:rsidRPr="00BC3227" w:rsidRDefault="00BC3227" w:rsidP="00F32884">
            <w:pPr>
              <w:rPr>
                <w:rFonts w:ascii="Arial" w:hAnsi="Arial" w:cs="Arial"/>
                <w:sz w:val="16"/>
                <w:szCs w:val="16"/>
              </w:rPr>
            </w:pPr>
            <w:r w:rsidRPr="00BC3227">
              <w:rPr>
                <w:rFonts w:ascii="Arial" w:hAnsi="Arial" w:cs="Arial"/>
                <w:sz w:val="16"/>
                <w:szCs w:val="16"/>
              </w:rPr>
              <w:t>Large Cations (&gt;40 C)</w:t>
            </w:r>
          </w:p>
        </w:tc>
        <w:tc>
          <w:tcPr>
            <w:tcW w:w="1440" w:type="dxa"/>
            <w:tcBorders>
              <w:bottom w:val="single" w:sz="4" w:space="0" w:color="auto"/>
            </w:tcBorders>
          </w:tcPr>
          <w:p w14:paraId="19E69C7F" w14:textId="77777777" w:rsidR="00BC3227" w:rsidRPr="00BC3227" w:rsidRDefault="00BC3227" w:rsidP="00F32884">
            <w:pPr>
              <w:rPr>
                <w:rFonts w:ascii="Arial" w:hAnsi="Arial" w:cs="Arial"/>
                <w:sz w:val="16"/>
                <w:szCs w:val="16"/>
              </w:rPr>
            </w:pPr>
            <w:r w:rsidRPr="00BC3227">
              <w:rPr>
                <w:rFonts w:ascii="Arial" w:hAnsi="Arial" w:cs="Arial"/>
                <w:sz w:val="16"/>
                <w:szCs w:val="16"/>
              </w:rPr>
              <w:t>Benign Regions (Stellar Outflows)</w:t>
            </w:r>
          </w:p>
        </w:tc>
      </w:tr>
    </w:tbl>
    <w:p w14:paraId="107B2B94" w14:textId="77777777" w:rsidR="00BC3227" w:rsidRPr="0014061F" w:rsidRDefault="00BC3227" w:rsidP="004244A6">
      <w:pPr>
        <w:jc w:val="both"/>
        <w:rPr>
          <w:rFonts w:ascii="Arial" w:hAnsi="Arial" w:cs="Arial"/>
        </w:rPr>
      </w:pPr>
    </w:p>
    <w:p w14:paraId="7AF2DCF4" w14:textId="77777777" w:rsidR="0014061F" w:rsidRPr="0014061F" w:rsidRDefault="0014061F" w:rsidP="0014061F">
      <w:pPr>
        <w:jc w:val="both"/>
        <w:rPr>
          <w:rFonts w:ascii="Arial" w:hAnsi="Arial" w:cs="Arial"/>
        </w:rPr>
      </w:pPr>
    </w:p>
    <w:p w14:paraId="521383BC" w14:textId="69113169" w:rsidR="0014061F" w:rsidRDefault="0014061F" w:rsidP="0014061F">
      <w:pPr>
        <w:jc w:val="both"/>
        <w:rPr>
          <w:rFonts w:ascii="Arial" w:hAnsi="Arial" w:cs="Arial"/>
          <w:b/>
          <w:bCs/>
        </w:rPr>
      </w:pPr>
      <w:r w:rsidRPr="0014061F">
        <w:rPr>
          <w:rFonts w:ascii="Arial" w:hAnsi="Arial" w:cs="Arial"/>
          <w:b/>
          <w:bCs/>
        </w:rPr>
        <w:t>4.</w:t>
      </w:r>
      <w:r w:rsidR="00BC3227">
        <w:rPr>
          <w:rFonts w:ascii="Arial" w:hAnsi="Arial" w:cs="Arial"/>
          <w:b/>
          <w:bCs/>
        </w:rPr>
        <w:t>6</w:t>
      </w:r>
      <w:r w:rsidRPr="0014061F">
        <w:rPr>
          <w:rFonts w:ascii="Arial" w:hAnsi="Arial" w:cs="Arial"/>
          <w:b/>
          <w:bCs/>
        </w:rPr>
        <w:t>. Broader Context and Implications</w:t>
      </w:r>
    </w:p>
    <w:p w14:paraId="2E39E12C" w14:textId="77777777" w:rsidR="002A6D56" w:rsidRPr="0014061F" w:rsidRDefault="002A6D56" w:rsidP="0014061F">
      <w:pPr>
        <w:jc w:val="both"/>
        <w:rPr>
          <w:rFonts w:ascii="Arial" w:hAnsi="Arial" w:cs="Arial"/>
          <w:b/>
          <w:bCs/>
        </w:rPr>
      </w:pPr>
    </w:p>
    <w:p w14:paraId="51B1B051" w14:textId="77777777" w:rsidR="0014061F" w:rsidRPr="0014061F" w:rsidRDefault="0014061F" w:rsidP="0014061F">
      <w:pPr>
        <w:jc w:val="both"/>
        <w:rPr>
          <w:rFonts w:ascii="Arial" w:hAnsi="Arial" w:cs="Arial"/>
        </w:rPr>
      </w:pPr>
      <w:r w:rsidRPr="0014061F">
        <w:rPr>
          <w:rFonts w:ascii="Arial" w:hAnsi="Arial" w:cs="Arial"/>
        </w:rPr>
        <w:t>These findings, enabled by the unprecedented spectroscopic capabilities of JWST/MIRI, provide a detailed view of PAH physics within individual star-forming regions. This work complements and adds depth to large-scale multi-wavelength surveys.</w:t>
      </w:r>
    </w:p>
    <w:p w14:paraId="28C5F848" w14:textId="77777777" w:rsidR="0014061F" w:rsidRPr="0014061F" w:rsidRDefault="0014061F" w:rsidP="0014061F">
      <w:pPr>
        <w:jc w:val="both"/>
        <w:rPr>
          <w:rFonts w:ascii="Arial" w:hAnsi="Arial" w:cs="Arial"/>
        </w:rPr>
      </w:pPr>
    </w:p>
    <w:p w14:paraId="4DD2A85D" w14:textId="4482F4E3" w:rsidR="0014061F" w:rsidRPr="0014061F" w:rsidRDefault="0014061F" w:rsidP="0014061F">
      <w:pPr>
        <w:jc w:val="both"/>
        <w:rPr>
          <w:rFonts w:ascii="Arial" w:hAnsi="Arial" w:cs="Arial"/>
        </w:rPr>
      </w:pPr>
      <w:r w:rsidRPr="0014061F">
        <w:rPr>
          <w:rFonts w:ascii="Arial" w:hAnsi="Arial" w:cs="Arial"/>
        </w:rPr>
        <w:t xml:space="preserve">Recent results from the PHANGS-JWST program, which uses broadband filters to map entire galaxies, have similarly found that H II regions host PAH populations that are, on average, more highly ionized than those in the diffuse ISM. Our spectroscopic study drills down into individual H II regions, demonstrating that there is significant </w:t>
      </w:r>
      <w:r>
        <w:rPr>
          <w:rFonts w:ascii="Arial" w:hAnsi="Arial" w:cs="Arial"/>
        </w:rPr>
        <w:t>diversity.</w:t>
      </w:r>
      <w:r w:rsidRPr="0014061F">
        <w:rPr>
          <w:rFonts w:ascii="Arial" w:hAnsi="Arial" w:cs="Arial"/>
        </w:rPr>
        <w:t xml:space="preserve"> </w:t>
      </w:r>
    </w:p>
    <w:p w14:paraId="2591D932" w14:textId="77777777" w:rsidR="0014061F" w:rsidRPr="0014061F" w:rsidRDefault="0014061F" w:rsidP="0014061F">
      <w:pPr>
        <w:jc w:val="both"/>
        <w:rPr>
          <w:rFonts w:ascii="Arial" w:hAnsi="Arial" w:cs="Arial"/>
        </w:rPr>
      </w:pPr>
    </w:p>
    <w:p w14:paraId="11C6F835" w14:textId="77777777" w:rsidR="0014061F" w:rsidRPr="0014061F" w:rsidRDefault="0014061F" w:rsidP="0014061F">
      <w:pPr>
        <w:jc w:val="both"/>
        <w:rPr>
          <w:rFonts w:ascii="Arial" w:hAnsi="Arial" w:cs="Arial"/>
        </w:rPr>
      </w:pPr>
      <w:r w:rsidRPr="0014061F">
        <w:rPr>
          <w:rFonts w:ascii="Arial" w:hAnsi="Arial" w:cs="Arial"/>
        </w:rPr>
        <w:t>The host galaxy, NGC 5457, is known to possess a significant radial metallicity gradient. Metallicity is another key parameter expected to influence PAH properties, with low-metallicity environments thought to favor smaller and more neutral PAHs, potentially due to a harder interstellar radiation field. While our sample of four regions is too small to disentangle the effects of the local radiation field from the global metallicity gradient, this remains a critical goal for the field. Future studies with larger samples of H II regions spanning a wide range of galactocentric distances will be essential to isolate these two effects.</w:t>
      </w:r>
    </w:p>
    <w:p w14:paraId="192CCA98" w14:textId="77777777" w:rsidR="0014061F" w:rsidRPr="0014061F" w:rsidRDefault="0014061F" w:rsidP="0014061F">
      <w:pPr>
        <w:jc w:val="both"/>
        <w:rPr>
          <w:rFonts w:ascii="Arial" w:hAnsi="Arial" w:cs="Arial"/>
        </w:rPr>
      </w:pPr>
    </w:p>
    <w:p w14:paraId="6664EBAE" w14:textId="77777777" w:rsidR="0014061F" w:rsidRPr="0014061F" w:rsidRDefault="0014061F" w:rsidP="0014061F">
      <w:pPr>
        <w:jc w:val="both"/>
        <w:rPr>
          <w:rFonts w:ascii="Arial" w:hAnsi="Arial" w:cs="Arial"/>
        </w:rPr>
      </w:pPr>
      <w:r w:rsidRPr="0014061F">
        <w:rPr>
          <w:rFonts w:ascii="Arial" w:hAnsi="Arial" w:cs="Arial"/>
        </w:rPr>
        <w:t>This study set out to answer two specific questions. We can now provide clear, observationally motivated answers:</w:t>
      </w:r>
    </w:p>
    <w:p w14:paraId="48B25078" w14:textId="77777777" w:rsidR="0014061F" w:rsidRPr="0014061F" w:rsidRDefault="0014061F" w:rsidP="0014061F">
      <w:pPr>
        <w:jc w:val="both"/>
        <w:rPr>
          <w:rFonts w:ascii="Arial" w:hAnsi="Arial" w:cs="Arial"/>
        </w:rPr>
      </w:pPr>
    </w:p>
    <w:p w14:paraId="7BC5F8C3" w14:textId="77777777" w:rsidR="0014061F" w:rsidRPr="0014061F" w:rsidRDefault="0014061F" w:rsidP="0014061F">
      <w:pPr>
        <w:jc w:val="both"/>
        <w:rPr>
          <w:rFonts w:ascii="Arial" w:hAnsi="Arial" w:cs="Arial"/>
        </w:rPr>
      </w:pPr>
      <w:r w:rsidRPr="0014061F">
        <w:rPr>
          <w:rFonts w:ascii="Arial" w:hAnsi="Arial" w:cs="Arial"/>
        </w:rPr>
        <w:t xml:space="preserve">How does the PAH ionization fraction vary? Our results demonstrate that the ionization fraction varies dramatically among H II regions, from predominantly neutral to almost fully ionized. This </w:t>
      </w:r>
      <w:r w:rsidRPr="0014061F">
        <w:rPr>
          <w:rFonts w:ascii="Arial" w:hAnsi="Arial" w:cs="Arial"/>
        </w:rPr>
        <w:lastRenderedPageBreak/>
        <w:t>variation, traced by the F(8.6)/</w:t>
      </w:r>
      <w:proofErr w:type="gramStart"/>
      <w:r w:rsidRPr="0014061F">
        <w:rPr>
          <w:rFonts w:ascii="Arial" w:hAnsi="Arial" w:cs="Arial"/>
        </w:rPr>
        <w:t>F(</w:t>
      </w:r>
      <w:proofErr w:type="gramEnd"/>
      <w:r w:rsidRPr="0014061F">
        <w:rPr>
          <w:rFonts w:ascii="Arial" w:hAnsi="Arial" w:cs="Arial"/>
        </w:rPr>
        <w:t>11.3) ratio, is the primary driver of the observed spectral diversity and is likely governed by the intensity and hardness of the local FUV radiation field from embedded star clusters.</w:t>
      </w:r>
    </w:p>
    <w:p w14:paraId="74E543A1" w14:textId="77777777" w:rsidR="0014061F" w:rsidRPr="0014061F" w:rsidRDefault="0014061F" w:rsidP="0014061F">
      <w:pPr>
        <w:jc w:val="both"/>
        <w:rPr>
          <w:rFonts w:ascii="Arial" w:hAnsi="Arial" w:cs="Arial"/>
        </w:rPr>
      </w:pPr>
    </w:p>
    <w:p w14:paraId="1A605BD2" w14:textId="77777777" w:rsidR="0014061F" w:rsidRPr="0014061F" w:rsidRDefault="0014061F" w:rsidP="0014061F">
      <w:pPr>
        <w:jc w:val="both"/>
        <w:rPr>
          <w:rFonts w:ascii="Arial" w:hAnsi="Arial" w:cs="Arial"/>
        </w:rPr>
      </w:pPr>
      <w:r w:rsidRPr="0014061F">
        <w:rPr>
          <w:rFonts w:ascii="Arial" w:hAnsi="Arial" w:cs="Arial"/>
        </w:rPr>
        <w:t>Do we observe evidence for the destruction of small PAHs? Yes, this work provides a new spectral tracer of PAH processing. The systematic decrease in the F(7.7)/</w:t>
      </w:r>
      <w:proofErr w:type="gramStart"/>
      <w:r w:rsidRPr="0014061F">
        <w:rPr>
          <w:rFonts w:ascii="Arial" w:hAnsi="Arial" w:cs="Arial"/>
        </w:rPr>
        <w:t>F(</w:t>
      </w:r>
      <w:proofErr w:type="gramEnd"/>
      <w:r w:rsidRPr="0014061F">
        <w:rPr>
          <w:rFonts w:ascii="Arial" w:hAnsi="Arial" w:cs="Arial"/>
        </w:rPr>
        <w:t>8.6) ratio in lockstep with increasing ionization provides compelling evidence that the PAH cation population is being fundamentally altered in the harshest radiation fields, consistent with the selective processing or destruction of the carriers of the 7.7 µm feature.</w:t>
      </w:r>
    </w:p>
    <w:p w14:paraId="7DAF4327" w14:textId="77777777" w:rsidR="0014061F" w:rsidRPr="0014061F" w:rsidRDefault="0014061F" w:rsidP="0014061F">
      <w:pPr>
        <w:jc w:val="both"/>
        <w:rPr>
          <w:rFonts w:ascii="Arial" w:hAnsi="Arial" w:cs="Arial"/>
        </w:rPr>
      </w:pPr>
    </w:p>
    <w:p w14:paraId="47B03464" w14:textId="77777777" w:rsidR="0014061F" w:rsidRPr="0014061F" w:rsidRDefault="0014061F" w:rsidP="0014061F">
      <w:pPr>
        <w:jc w:val="both"/>
        <w:rPr>
          <w:rFonts w:ascii="Arial" w:hAnsi="Arial" w:cs="Arial"/>
        </w:rPr>
      </w:pPr>
      <w:r w:rsidRPr="0014061F">
        <w:rPr>
          <w:rFonts w:ascii="Arial" w:hAnsi="Arial" w:cs="Arial"/>
        </w:rPr>
        <w:t>To further disentangle the complex interplay between PAH size, charge, structure, and the exciting radiation field, future observations are required. Obtaining MIRI MRS spectra covering the full 5–28 µm range for these and other targets would be invaluable. The inclusion of the 6.2 µm feature would provide an additional probe of the cation population, while the 17 µm feature would trace the largest, most stable PAHs, providing a more robust anchor for size distribution models. This study demonstrates the immense potential of JWST spectroscopy for dissecting the microphysics of the ISM and motivates such future investigations.</w:t>
      </w:r>
    </w:p>
    <w:p w14:paraId="4DD6B885" w14:textId="77777777" w:rsidR="0014061F" w:rsidRPr="0014061F" w:rsidRDefault="0014061F" w:rsidP="0014061F">
      <w:pPr>
        <w:jc w:val="both"/>
        <w:rPr>
          <w:rFonts w:ascii="Arial" w:hAnsi="Arial" w:cs="Arial"/>
        </w:rPr>
      </w:pPr>
    </w:p>
    <w:p w14:paraId="41719823" w14:textId="77777777" w:rsidR="0014061F" w:rsidRDefault="0014061F" w:rsidP="0014061F">
      <w:pPr>
        <w:jc w:val="both"/>
        <w:rPr>
          <w:rFonts w:ascii="Arial" w:hAnsi="Arial" w:cs="Arial"/>
          <w:b/>
          <w:bCs/>
        </w:rPr>
      </w:pPr>
      <w:r w:rsidRPr="0014061F">
        <w:rPr>
          <w:rFonts w:ascii="Arial" w:hAnsi="Arial" w:cs="Arial"/>
          <w:b/>
          <w:bCs/>
        </w:rPr>
        <w:t>5. CONCLUSIONS</w:t>
      </w:r>
    </w:p>
    <w:p w14:paraId="3F96E317" w14:textId="77777777" w:rsidR="0014061F" w:rsidRPr="0014061F" w:rsidRDefault="0014061F" w:rsidP="0014061F">
      <w:pPr>
        <w:jc w:val="both"/>
        <w:rPr>
          <w:rFonts w:ascii="Arial" w:hAnsi="Arial" w:cs="Arial"/>
          <w:b/>
          <w:bCs/>
        </w:rPr>
      </w:pPr>
    </w:p>
    <w:p w14:paraId="3DE65E0B" w14:textId="77777777" w:rsidR="0014061F" w:rsidRPr="0014061F" w:rsidRDefault="0014061F" w:rsidP="0014061F">
      <w:pPr>
        <w:jc w:val="both"/>
        <w:rPr>
          <w:rFonts w:ascii="Arial" w:hAnsi="Arial" w:cs="Arial"/>
        </w:rPr>
      </w:pPr>
      <w:r w:rsidRPr="0014061F">
        <w:rPr>
          <w:rFonts w:ascii="Arial" w:hAnsi="Arial" w:cs="Arial"/>
        </w:rPr>
        <w:t>We have presented a detailed analysis of JWST/MIRI MRS mid-infrared spectra for four H II regions in the nearby grand-design spiral galaxy NGC 5457. Our investigation focused on the diagnostic power of the prominent PAH emission features at 7.7, 8.6, and 11.3 µm to probe the physical conditions and the processing of the interstellar PAH population in environments of active, high-mass star formation. The principal conclusions of this work are as follows:</w:t>
      </w:r>
    </w:p>
    <w:p w14:paraId="49B291FB" w14:textId="77777777" w:rsidR="0014061F" w:rsidRPr="0014061F" w:rsidRDefault="0014061F" w:rsidP="0014061F">
      <w:pPr>
        <w:jc w:val="both"/>
        <w:rPr>
          <w:rFonts w:ascii="Arial" w:hAnsi="Arial" w:cs="Arial"/>
        </w:rPr>
      </w:pPr>
    </w:p>
    <w:p w14:paraId="629716AF" w14:textId="77777777" w:rsidR="0014061F" w:rsidRPr="0014061F" w:rsidRDefault="0014061F" w:rsidP="0014061F">
      <w:pPr>
        <w:jc w:val="both"/>
        <w:rPr>
          <w:rFonts w:ascii="Arial" w:hAnsi="Arial" w:cs="Arial"/>
        </w:rPr>
      </w:pPr>
      <w:r w:rsidRPr="0014061F">
        <w:rPr>
          <w:rFonts w:ascii="Arial" w:hAnsi="Arial" w:cs="Arial"/>
        </w:rPr>
        <w:t>Significant Environmental Diversity: The four H II regions exhibit a wide range of PAH spectral properties. Diagnostic flux ratios, such as F(8.6)/</w:t>
      </w:r>
      <w:proofErr w:type="gramStart"/>
      <w:r w:rsidRPr="0014061F">
        <w:rPr>
          <w:rFonts w:ascii="Arial" w:hAnsi="Arial" w:cs="Arial"/>
        </w:rPr>
        <w:t>F(</w:t>
      </w:r>
      <w:proofErr w:type="gramEnd"/>
      <w:r w:rsidRPr="0014061F">
        <w:rPr>
          <w:rFonts w:ascii="Arial" w:hAnsi="Arial" w:cs="Arial"/>
        </w:rPr>
        <w:t>11.3), vary by up to a factor of three across the sample. This indicates that even within a single galaxy, H II regions are not a uniform class but encompass a broad spectrum of physical conditions.</w:t>
      </w:r>
    </w:p>
    <w:p w14:paraId="594E22DF" w14:textId="77777777" w:rsidR="0014061F" w:rsidRPr="0014061F" w:rsidRDefault="0014061F" w:rsidP="0014061F">
      <w:pPr>
        <w:jc w:val="both"/>
        <w:rPr>
          <w:rFonts w:ascii="Arial" w:hAnsi="Arial" w:cs="Arial"/>
        </w:rPr>
      </w:pPr>
    </w:p>
    <w:p w14:paraId="259CA30C" w14:textId="77777777" w:rsidR="0014061F" w:rsidRPr="0014061F" w:rsidRDefault="0014061F" w:rsidP="0014061F">
      <w:pPr>
        <w:jc w:val="both"/>
        <w:rPr>
          <w:rFonts w:ascii="Arial" w:hAnsi="Arial" w:cs="Arial"/>
        </w:rPr>
      </w:pPr>
      <w:r w:rsidRPr="0014061F">
        <w:rPr>
          <w:rFonts w:ascii="Arial" w:hAnsi="Arial" w:cs="Arial"/>
        </w:rPr>
        <w:t>Ionization as the Primary Driver: The observed variations in the PAH spectra are primarily driven by changes in the average ionization state of the PAH population. Using the F(8.6)/</w:t>
      </w:r>
      <w:proofErr w:type="gramStart"/>
      <w:r w:rsidRPr="0014061F">
        <w:rPr>
          <w:rFonts w:ascii="Arial" w:hAnsi="Arial" w:cs="Arial"/>
        </w:rPr>
        <w:t>F(</w:t>
      </w:r>
      <w:proofErr w:type="gramEnd"/>
      <w:r w:rsidRPr="0014061F">
        <w:rPr>
          <w:rFonts w:ascii="Arial" w:hAnsi="Arial" w:cs="Arial"/>
        </w:rPr>
        <w:t>11.3) ratio as a proxy for ionization, we find that our sample spans from predominantly neutral, PDR-like environments to highly ionized regions directly exposed to intense FUV radiation.</w:t>
      </w:r>
    </w:p>
    <w:p w14:paraId="0527DBA1" w14:textId="77777777" w:rsidR="0014061F" w:rsidRPr="0014061F" w:rsidRDefault="0014061F" w:rsidP="0014061F">
      <w:pPr>
        <w:jc w:val="both"/>
        <w:rPr>
          <w:rFonts w:ascii="Arial" w:hAnsi="Arial" w:cs="Arial"/>
        </w:rPr>
      </w:pPr>
    </w:p>
    <w:p w14:paraId="652161EA" w14:textId="77777777" w:rsidR="0014061F" w:rsidRPr="0014061F" w:rsidRDefault="0014061F" w:rsidP="0014061F">
      <w:pPr>
        <w:jc w:val="both"/>
        <w:rPr>
          <w:rFonts w:ascii="Arial" w:hAnsi="Arial" w:cs="Arial"/>
        </w:rPr>
      </w:pPr>
      <w:r w:rsidRPr="0014061F">
        <w:rPr>
          <w:rFonts w:ascii="Arial" w:hAnsi="Arial" w:cs="Arial"/>
        </w:rPr>
        <w:t>A New Diagnostic for PAH Processing: We identify a strong anti-correlation between the F(7.7)/</w:t>
      </w:r>
      <w:proofErr w:type="gramStart"/>
      <w:r w:rsidRPr="0014061F">
        <w:rPr>
          <w:rFonts w:ascii="Arial" w:hAnsi="Arial" w:cs="Arial"/>
        </w:rPr>
        <w:t>F(</w:t>
      </w:r>
      <w:proofErr w:type="gramEnd"/>
      <w:r w:rsidRPr="0014061F">
        <w:rPr>
          <w:rFonts w:ascii="Arial" w:hAnsi="Arial" w:cs="Arial"/>
        </w:rPr>
        <w:t>8.6) ratio and the F(8.6)/F(11.3) ionization tracer. This relationship reveals that the same energetic radiation that ionizes the PAHs also systematically alters the intrinsic emission properties of the surviving PAH cations.</w:t>
      </w:r>
    </w:p>
    <w:p w14:paraId="4CB63136" w14:textId="77777777" w:rsidR="0014061F" w:rsidRPr="0014061F" w:rsidRDefault="0014061F" w:rsidP="0014061F">
      <w:pPr>
        <w:jc w:val="both"/>
        <w:rPr>
          <w:rFonts w:ascii="Arial" w:hAnsi="Arial" w:cs="Arial"/>
        </w:rPr>
      </w:pPr>
    </w:p>
    <w:p w14:paraId="048AD158" w14:textId="77777777" w:rsidR="0014061F" w:rsidRPr="0014061F" w:rsidRDefault="0014061F" w:rsidP="0014061F">
      <w:pPr>
        <w:jc w:val="both"/>
        <w:rPr>
          <w:rFonts w:ascii="Arial" w:hAnsi="Arial" w:cs="Arial"/>
        </w:rPr>
      </w:pPr>
      <w:r w:rsidRPr="0014061F">
        <w:rPr>
          <w:rFonts w:ascii="Arial" w:hAnsi="Arial" w:cs="Arial"/>
        </w:rPr>
        <w:t>An Evolutionary Sequence: The observed trend in our diagnostic diagram (F(7.7)/</w:t>
      </w:r>
      <w:proofErr w:type="gramStart"/>
      <w:r w:rsidRPr="0014061F">
        <w:rPr>
          <w:rFonts w:ascii="Arial" w:hAnsi="Arial" w:cs="Arial"/>
        </w:rPr>
        <w:t>F(</w:t>
      </w:r>
      <w:proofErr w:type="gramEnd"/>
      <w:r w:rsidRPr="0014061F">
        <w:rPr>
          <w:rFonts w:ascii="Arial" w:hAnsi="Arial" w:cs="Arial"/>
        </w:rPr>
        <w:t>8.6) vs. F(8.6)/F(11.3)) is interpreted as an evolutionary or environmental sequence of PAH processing. As the radiation field hardens, PAHs become more ionized (increasing F(8.6)/</w:t>
      </w:r>
      <w:proofErr w:type="gramStart"/>
      <w:r w:rsidRPr="0014061F">
        <w:rPr>
          <w:rFonts w:ascii="Arial" w:hAnsi="Arial" w:cs="Arial"/>
        </w:rPr>
        <w:t>F(</w:t>
      </w:r>
      <w:proofErr w:type="gramEnd"/>
      <w:r w:rsidRPr="0014061F">
        <w:rPr>
          <w:rFonts w:ascii="Arial" w:hAnsi="Arial" w:cs="Arial"/>
        </w:rPr>
        <w:t>11.3)), and the cation population is simultaneously altered, leading to a decrease in the F(7.7)/F(8.6) ratio. This provides a new, quantitative spectral signature of PAH processing and potential destruction in the harsh environments close to massive stars.</w:t>
      </w:r>
    </w:p>
    <w:p w14:paraId="5C8DBF96" w14:textId="77777777" w:rsidR="0014061F" w:rsidRPr="0014061F" w:rsidRDefault="0014061F" w:rsidP="0014061F">
      <w:pPr>
        <w:jc w:val="both"/>
        <w:rPr>
          <w:rFonts w:ascii="Arial" w:hAnsi="Arial" w:cs="Arial"/>
        </w:rPr>
      </w:pPr>
    </w:p>
    <w:p w14:paraId="6566C7B6" w14:textId="44FBB42F" w:rsidR="0014061F" w:rsidRPr="0014061F" w:rsidRDefault="0014061F" w:rsidP="0014061F">
      <w:pPr>
        <w:jc w:val="both"/>
        <w:rPr>
          <w:rFonts w:ascii="Arial" w:hAnsi="Arial" w:cs="Arial"/>
        </w:rPr>
      </w:pPr>
      <w:r w:rsidRPr="0014061F">
        <w:rPr>
          <w:rFonts w:ascii="Arial" w:hAnsi="Arial" w:cs="Arial"/>
        </w:rPr>
        <w:t xml:space="preserve">The unprecedented sensitivity and spatial resolution of JWST have opened a new window into the life cycle of PAHs. This work demonstrates how detailed, spatially resolved spectroscopy can untangle the complex interplay between these crucial molecules and their environment, </w:t>
      </w:r>
      <w:r w:rsidRPr="0014061F">
        <w:rPr>
          <w:rFonts w:ascii="Arial" w:hAnsi="Arial" w:cs="Arial"/>
        </w:rPr>
        <w:lastRenderedPageBreak/>
        <w:t>providing a foundation for a more complete, observationally grounded model of the interstellar medium.</w:t>
      </w:r>
    </w:p>
    <w:p w14:paraId="4A77A264" w14:textId="77777777" w:rsidR="00315186" w:rsidRPr="00CC4289" w:rsidRDefault="00315186" w:rsidP="00441B6F">
      <w:pPr>
        <w:rPr>
          <w:color w:val="FF0000"/>
        </w:rPr>
      </w:pPr>
    </w:p>
    <w:p w14:paraId="180939FF" w14:textId="77777777" w:rsidR="0050020E" w:rsidRDefault="0050020E" w:rsidP="00441B6F">
      <w:pPr>
        <w:pStyle w:val="ReferHead"/>
        <w:spacing w:after="0"/>
        <w:jc w:val="both"/>
        <w:rPr>
          <w:rFonts w:ascii="Arial" w:hAnsi="Arial" w:cs="Arial"/>
          <w:b w:val="0"/>
          <w:caps w:val="0"/>
          <w:color w:val="000000" w:themeColor="text1"/>
          <w:sz w:val="20"/>
        </w:rPr>
      </w:pPr>
    </w:p>
    <w:p w14:paraId="5EF74AA8" w14:textId="77777777" w:rsidR="0050020E" w:rsidRPr="0050020E" w:rsidRDefault="0050020E" w:rsidP="0050020E">
      <w:pPr>
        <w:pStyle w:val="ReferHead"/>
        <w:jc w:val="both"/>
        <w:rPr>
          <w:rFonts w:ascii="Arial" w:hAnsi="Arial" w:cs="Arial"/>
          <w:b w:val="0"/>
          <w:caps w:val="0"/>
          <w:color w:val="000000" w:themeColor="text1"/>
          <w:sz w:val="20"/>
        </w:rPr>
      </w:pPr>
      <w:r w:rsidRPr="0050020E">
        <w:rPr>
          <w:rFonts w:ascii="Arial" w:hAnsi="Arial" w:cs="Arial"/>
          <w:b w:val="0"/>
          <w:caps w:val="0"/>
          <w:color w:val="000000" w:themeColor="text1"/>
          <w:sz w:val="20"/>
        </w:rPr>
        <w:t>COMPETING INTERESTS DISCLAIMER:</w:t>
      </w:r>
    </w:p>
    <w:p w14:paraId="03F9CC6E" w14:textId="4FF7ED71" w:rsidR="0050020E" w:rsidRPr="002A6D56" w:rsidRDefault="0050020E" w:rsidP="0050020E">
      <w:pPr>
        <w:pStyle w:val="ReferHead"/>
        <w:spacing w:after="0"/>
        <w:jc w:val="both"/>
        <w:rPr>
          <w:rFonts w:ascii="Arial" w:hAnsi="Arial" w:cs="Arial"/>
          <w:b w:val="0"/>
          <w:caps w:val="0"/>
          <w:color w:val="000000" w:themeColor="text1"/>
          <w:sz w:val="20"/>
        </w:rPr>
      </w:pPr>
      <w:r w:rsidRPr="0050020E">
        <w:rPr>
          <w:rFonts w:ascii="Arial" w:hAnsi="Arial" w:cs="Arial"/>
          <w:b w:val="0"/>
          <w:caps w:val="0"/>
          <w:color w:val="000000" w:themeColor="text1"/>
          <w:sz w:val="20"/>
        </w:rPr>
        <w:t>Authors have declared that they have no known competing financial interests OR non-financial interests OR personal relationships that could have appeared to influence the work reported in this paper.</w:t>
      </w:r>
    </w:p>
    <w:p w14:paraId="68744463" w14:textId="77777777" w:rsidR="001A29D8" w:rsidRPr="00CC4289" w:rsidRDefault="001A29D8" w:rsidP="00441B6F">
      <w:pPr>
        <w:pStyle w:val="ReferHead"/>
        <w:spacing w:after="0"/>
        <w:jc w:val="both"/>
        <w:rPr>
          <w:rFonts w:ascii="Arial" w:hAnsi="Arial" w:cs="Arial"/>
          <w:b w:val="0"/>
          <w:caps w:val="0"/>
          <w:color w:val="FF0000"/>
          <w:sz w:val="20"/>
        </w:rPr>
      </w:pPr>
    </w:p>
    <w:p w14:paraId="5E7EEFAA" w14:textId="77777777" w:rsidR="00860000" w:rsidRPr="00CC4289" w:rsidRDefault="00860000" w:rsidP="00441B6F">
      <w:pPr>
        <w:pStyle w:val="ReferHead"/>
        <w:spacing w:after="0"/>
        <w:jc w:val="both"/>
        <w:rPr>
          <w:rFonts w:ascii="Arial" w:hAnsi="Arial" w:cs="Arial"/>
          <w:color w:val="FF0000"/>
        </w:rPr>
      </w:pPr>
    </w:p>
    <w:p w14:paraId="46BD239A" w14:textId="77777777" w:rsidR="00B01FCD" w:rsidRDefault="00B01FCD" w:rsidP="00441B6F">
      <w:pPr>
        <w:pStyle w:val="ReferHead"/>
        <w:spacing w:after="0"/>
        <w:jc w:val="both"/>
        <w:rPr>
          <w:rFonts w:ascii="Arial" w:hAnsi="Arial" w:cs="Arial"/>
          <w:color w:val="000000" w:themeColor="text1"/>
        </w:rPr>
      </w:pPr>
      <w:r w:rsidRPr="00A15E55">
        <w:rPr>
          <w:rFonts w:ascii="Arial" w:hAnsi="Arial" w:cs="Arial"/>
          <w:color w:val="000000" w:themeColor="text1"/>
        </w:rPr>
        <w:t>References</w:t>
      </w:r>
    </w:p>
    <w:p w14:paraId="35559042" w14:textId="77777777" w:rsidR="00F923A4" w:rsidRDefault="00F923A4" w:rsidP="00441B6F">
      <w:pPr>
        <w:pStyle w:val="ReferHead"/>
        <w:spacing w:after="0"/>
        <w:jc w:val="both"/>
        <w:rPr>
          <w:rFonts w:ascii="Arial" w:hAnsi="Arial" w:cs="Arial"/>
          <w:color w:val="000000" w:themeColor="text1"/>
        </w:rPr>
      </w:pPr>
    </w:p>
    <w:p w14:paraId="2BBF9214" w14:textId="1835F011" w:rsidR="00F923A4" w:rsidRDefault="00F923A4" w:rsidP="00F923A4">
      <w:pPr>
        <w:spacing w:after="240"/>
        <w:jc w:val="both"/>
        <w:rPr>
          <w:rFonts w:ascii="Arial" w:hAnsi="Arial" w:cs="Arial"/>
          <w:sz w:val="16"/>
          <w:szCs w:val="16"/>
        </w:rPr>
      </w:pPr>
      <w:r w:rsidRPr="00F923A4">
        <w:rPr>
          <w:rFonts w:ascii="Arial" w:hAnsi="Arial" w:cs="Arial"/>
          <w:sz w:val="16"/>
          <w:szCs w:val="16"/>
        </w:rPr>
        <w:t xml:space="preserve">Anand, R. K., Rastogi, S., &amp; Kumar, B. (2023). PAH emission features in star-forming regions and late type stars. Journal of Astrophysics and Astronomy, 44(1), 47. </w:t>
      </w:r>
      <w:hyperlink r:id="rId20" w:history="1">
        <w:r w:rsidRPr="00F923A4">
          <w:rPr>
            <w:rStyle w:val="Hyperlink"/>
            <w:rFonts w:ascii="Arial" w:hAnsi="Arial" w:cs="Arial"/>
            <w:sz w:val="16"/>
            <w:szCs w:val="16"/>
          </w:rPr>
          <w:t>https://doi.org/10.1007/s12036-023-09941-z</w:t>
        </w:r>
      </w:hyperlink>
    </w:p>
    <w:p w14:paraId="227A65EA" w14:textId="64409987" w:rsidR="00F923A4" w:rsidRPr="004C6449" w:rsidRDefault="00F923A4" w:rsidP="00F923A4">
      <w:pPr>
        <w:spacing w:after="240"/>
        <w:jc w:val="both"/>
        <w:rPr>
          <w:rFonts w:ascii="Arial" w:hAnsi="Arial" w:cs="Arial"/>
          <w:sz w:val="16"/>
          <w:szCs w:val="16"/>
        </w:rPr>
      </w:pPr>
      <w:r w:rsidRPr="00F923A4">
        <w:rPr>
          <w:rFonts w:ascii="Arial" w:hAnsi="Arial" w:cs="Arial"/>
          <w:sz w:val="16"/>
          <w:szCs w:val="16"/>
        </w:rPr>
        <w:t xml:space="preserve">Anand, R. K., Singh, A. K., Sharma, S., Kumar, B., &amp; Rastogi, S. (2025). Probing dust and PAH chemistry in evolved carbon-rich nebulae through optical and infrared observations. </w:t>
      </w:r>
      <w:proofErr w:type="spellStart"/>
      <w:r w:rsidRPr="00F923A4">
        <w:rPr>
          <w:rFonts w:ascii="Arial" w:hAnsi="Arial" w:cs="Arial"/>
          <w:sz w:val="16"/>
          <w:szCs w:val="16"/>
        </w:rPr>
        <w:t>arXiv</w:t>
      </w:r>
      <w:proofErr w:type="spellEnd"/>
      <w:r w:rsidRPr="00F923A4">
        <w:rPr>
          <w:rFonts w:ascii="Arial" w:hAnsi="Arial" w:cs="Arial"/>
          <w:sz w:val="16"/>
          <w:szCs w:val="16"/>
        </w:rPr>
        <w:t xml:space="preserve">. </w:t>
      </w:r>
      <w:hyperlink r:id="rId21" w:history="1">
        <w:r w:rsidRPr="00F923A4">
          <w:rPr>
            <w:rStyle w:val="Hyperlink"/>
            <w:rFonts w:ascii="Arial" w:hAnsi="Arial" w:cs="Arial"/>
            <w:sz w:val="16"/>
            <w:szCs w:val="16"/>
          </w:rPr>
          <w:t>https://doi.org/10.48550/arXiv.2508.04989</w:t>
        </w:r>
      </w:hyperlink>
    </w:p>
    <w:p w14:paraId="211E2C27" w14:textId="67DF8743" w:rsidR="006E651E" w:rsidRDefault="006E651E" w:rsidP="004C6449">
      <w:pPr>
        <w:spacing w:after="240"/>
        <w:jc w:val="both"/>
      </w:pPr>
      <w:r w:rsidRPr="004C6449">
        <w:rPr>
          <w:rFonts w:ascii="Arial" w:hAnsi="Arial" w:cs="Arial"/>
          <w:sz w:val="16"/>
          <w:szCs w:val="16"/>
        </w:rPr>
        <w:t xml:space="preserve">Argyriou, I., Glasse, A., Law, D. R., </w:t>
      </w:r>
      <w:proofErr w:type="spellStart"/>
      <w:r w:rsidRPr="004C6449">
        <w:rPr>
          <w:rFonts w:ascii="Arial" w:hAnsi="Arial" w:cs="Arial"/>
          <w:sz w:val="16"/>
          <w:szCs w:val="16"/>
        </w:rPr>
        <w:t>Labiano</w:t>
      </w:r>
      <w:proofErr w:type="spellEnd"/>
      <w:r w:rsidRPr="004C6449">
        <w:rPr>
          <w:rFonts w:ascii="Arial" w:hAnsi="Arial" w:cs="Arial"/>
          <w:sz w:val="16"/>
          <w:szCs w:val="16"/>
        </w:rPr>
        <w:t xml:space="preserve">, Á., Álvarez-Márquez, J., </w:t>
      </w:r>
      <w:proofErr w:type="spellStart"/>
      <w:r w:rsidRPr="004C6449">
        <w:rPr>
          <w:rFonts w:ascii="Arial" w:hAnsi="Arial" w:cs="Arial"/>
          <w:sz w:val="16"/>
          <w:szCs w:val="16"/>
        </w:rPr>
        <w:t>Patapis</w:t>
      </w:r>
      <w:proofErr w:type="spellEnd"/>
      <w:r w:rsidRPr="004C6449">
        <w:rPr>
          <w:rFonts w:ascii="Arial" w:hAnsi="Arial" w:cs="Arial"/>
          <w:sz w:val="16"/>
          <w:szCs w:val="16"/>
        </w:rPr>
        <w:t xml:space="preserve">, P., Kavanagh, P., Gasman, D., Mueller, M., Larson, K. L., Vandenbussche, B., Glauser, A. M., Royer, P., Dicken, D., </w:t>
      </w:r>
      <w:proofErr w:type="spellStart"/>
      <w:r w:rsidRPr="004C6449">
        <w:rPr>
          <w:rFonts w:ascii="Arial" w:hAnsi="Arial" w:cs="Arial"/>
          <w:sz w:val="16"/>
          <w:szCs w:val="16"/>
        </w:rPr>
        <w:t>Harkett</w:t>
      </w:r>
      <w:proofErr w:type="spellEnd"/>
      <w:r w:rsidRPr="004C6449">
        <w:rPr>
          <w:rFonts w:ascii="Arial" w:hAnsi="Arial" w:cs="Arial"/>
          <w:sz w:val="16"/>
          <w:szCs w:val="16"/>
        </w:rPr>
        <w:t xml:space="preserve">, J., Sargent, B. A., Engesser, M., Jones, O., Kendrew, S., … Wells, M. (2023). JWST MIRI flight performance: The Medium-Resolution Spectrometer.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675</w:t>
      </w:r>
      <w:r w:rsidRPr="004C6449">
        <w:rPr>
          <w:rFonts w:ascii="Arial" w:hAnsi="Arial" w:cs="Arial"/>
          <w:sz w:val="16"/>
          <w:szCs w:val="16"/>
        </w:rPr>
        <w:t xml:space="preserve">. </w:t>
      </w:r>
      <w:hyperlink r:id="rId22" w:tgtFrame="_blank" w:history="1">
        <w:r w:rsidRPr="004C6449">
          <w:rPr>
            <w:rStyle w:val="Hyperlink"/>
            <w:rFonts w:ascii="Arial" w:hAnsi="Arial" w:cs="Arial"/>
            <w:sz w:val="16"/>
            <w:szCs w:val="16"/>
          </w:rPr>
          <w:t>https://doi.org/10.1051/0004-6361/202346489</w:t>
        </w:r>
      </w:hyperlink>
    </w:p>
    <w:p w14:paraId="1D9099C7" w14:textId="6693F026" w:rsidR="006E651E" w:rsidRDefault="006E651E" w:rsidP="004C6449">
      <w:pPr>
        <w:jc w:val="both"/>
        <w:rPr>
          <w:rFonts w:ascii="Arial" w:hAnsi="Arial" w:cs="Arial"/>
          <w:sz w:val="16"/>
          <w:szCs w:val="16"/>
        </w:rPr>
      </w:pPr>
      <w:proofErr w:type="spellStart"/>
      <w:r w:rsidRPr="004C6449">
        <w:rPr>
          <w:rFonts w:ascii="Arial" w:hAnsi="Arial" w:cs="Arial"/>
          <w:sz w:val="16"/>
          <w:szCs w:val="16"/>
        </w:rPr>
        <w:t>Bauschlicher</w:t>
      </w:r>
      <w:proofErr w:type="spellEnd"/>
      <w:r w:rsidRPr="004C6449">
        <w:rPr>
          <w:rFonts w:ascii="Arial" w:hAnsi="Arial" w:cs="Arial"/>
          <w:sz w:val="16"/>
          <w:szCs w:val="16"/>
        </w:rPr>
        <w:t xml:space="preserve">, C. W., Peeters, E., &amp; </w:t>
      </w:r>
      <w:proofErr w:type="spellStart"/>
      <w:r w:rsidRPr="004C6449">
        <w:rPr>
          <w:rFonts w:ascii="Arial" w:hAnsi="Arial" w:cs="Arial"/>
          <w:sz w:val="16"/>
          <w:szCs w:val="16"/>
        </w:rPr>
        <w:t>Allamandola</w:t>
      </w:r>
      <w:proofErr w:type="spellEnd"/>
      <w:r w:rsidRPr="004C6449">
        <w:rPr>
          <w:rFonts w:ascii="Arial" w:hAnsi="Arial" w:cs="Arial"/>
          <w:sz w:val="16"/>
          <w:szCs w:val="16"/>
        </w:rPr>
        <w:t xml:space="preserve">, L. J. (2008). The Infrared Spectra of Very Large, Compact, Highly Symmetric, Polycyclic Aromatic Hydrocarbons (PAHs).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678</w:t>
      </w:r>
      <w:r w:rsidRPr="004C6449">
        <w:rPr>
          <w:rFonts w:ascii="Arial" w:hAnsi="Arial" w:cs="Arial"/>
          <w:sz w:val="16"/>
          <w:szCs w:val="16"/>
        </w:rPr>
        <w:t xml:space="preserve">(1), 316. </w:t>
      </w:r>
      <w:hyperlink r:id="rId23" w:tgtFrame="_blank" w:history="1">
        <w:r w:rsidRPr="004C6449">
          <w:rPr>
            <w:rStyle w:val="Hyperlink"/>
            <w:rFonts w:ascii="Arial" w:hAnsi="Arial" w:cs="Arial"/>
            <w:sz w:val="16"/>
            <w:szCs w:val="16"/>
          </w:rPr>
          <w:t>https://doi.org/10.1086/533424</w:t>
        </w:r>
      </w:hyperlink>
    </w:p>
    <w:p w14:paraId="7CEE5DDE" w14:textId="77777777" w:rsidR="006E651E" w:rsidRPr="004C6449" w:rsidRDefault="006E651E" w:rsidP="004C6449">
      <w:pPr>
        <w:jc w:val="both"/>
        <w:rPr>
          <w:rFonts w:ascii="Arial" w:hAnsi="Arial" w:cs="Arial"/>
          <w:sz w:val="16"/>
          <w:szCs w:val="16"/>
        </w:rPr>
      </w:pPr>
    </w:p>
    <w:p w14:paraId="4F683751"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Belfiore, F., Leroy, A. K., Williams, T. G., Barnes, A., </w:t>
      </w:r>
      <w:proofErr w:type="spellStart"/>
      <w:r w:rsidRPr="004C6449">
        <w:rPr>
          <w:rFonts w:ascii="Arial" w:hAnsi="Arial" w:cs="Arial"/>
          <w:sz w:val="16"/>
          <w:szCs w:val="16"/>
        </w:rPr>
        <w:t>Bigiel</w:t>
      </w:r>
      <w:proofErr w:type="spellEnd"/>
      <w:r w:rsidRPr="004C6449">
        <w:rPr>
          <w:rFonts w:ascii="Arial" w:hAnsi="Arial" w:cs="Arial"/>
          <w:sz w:val="16"/>
          <w:szCs w:val="16"/>
        </w:rPr>
        <w:t xml:space="preserve">, F., </w:t>
      </w:r>
      <w:proofErr w:type="spellStart"/>
      <w:r w:rsidRPr="004C6449">
        <w:rPr>
          <w:rFonts w:ascii="Arial" w:hAnsi="Arial" w:cs="Arial"/>
          <w:sz w:val="16"/>
          <w:szCs w:val="16"/>
        </w:rPr>
        <w:t>Boquien</w:t>
      </w:r>
      <w:proofErr w:type="spellEnd"/>
      <w:r w:rsidRPr="004C6449">
        <w:rPr>
          <w:rFonts w:ascii="Arial" w:hAnsi="Arial" w:cs="Arial"/>
          <w:sz w:val="16"/>
          <w:szCs w:val="16"/>
        </w:rPr>
        <w:t xml:space="preserve">, M., Cao, Y., </w:t>
      </w:r>
      <w:proofErr w:type="spellStart"/>
      <w:r w:rsidRPr="004C6449">
        <w:rPr>
          <w:rFonts w:ascii="Arial" w:hAnsi="Arial" w:cs="Arial"/>
          <w:sz w:val="16"/>
          <w:szCs w:val="16"/>
        </w:rPr>
        <w:t>Chastenet</w:t>
      </w:r>
      <w:proofErr w:type="spellEnd"/>
      <w:r w:rsidRPr="004C6449">
        <w:rPr>
          <w:rFonts w:ascii="Arial" w:hAnsi="Arial" w:cs="Arial"/>
          <w:sz w:val="16"/>
          <w:szCs w:val="16"/>
        </w:rPr>
        <w:t xml:space="preserve">, J., </w:t>
      </w:r>
      <w:proofErr w:type="spellStart"/>
      <w:r w:rsidRPr="004C6449">
        <w:rPr>
          <w:rFonts w:ascii="Arial" w:hAnsi="Arial" w:cs="Arial"/>
          <w:sz w:val="16"/>
          <w:szCs w:val="16"/>
        </w:rPr>
        <w:t>Congiu</w:t>
      </w:r>
      <w:proofErr w:type="spellEnd"/>
      <w:r w:rsidRPr="004C6449">
        <w:rPr>
          <w:rFonts w:ascii="Arial" w:hAnsi="Arial" w:cs="Arial"/>
          <w:sz w:val="16"/>
          <w:szCs w:val="16"/>
        </w:rPr>
        <w:t xml:space="preserve">, E., Dale, D. A., Egorov, O. V., Eibensteiner, C., </w:t>
      </w:r>
      <w:proofErr w:type="spellStart"/>
      <w:r w:rsidRPr="004C6449">
        <w:rPr>
          <w:rFonts w:ascii="Arial" w:hAnsi="Arial" w:cs="Arial"/>
          <w:sz w:val="16"/>
          <w:szCs w:val="16"/>
        </w:rPr>
        <w:t>Emsellem</w:t>
      </w:r>
      <w:proofErr w:type="spellEnd"/>
      <w:r w:rsidRPr="004C6449">
        <w:rPr>
          <w:rFonts w:ascii="Arial" w:hAnsi="Arial" w:cs="Arial"/>
          <w:sz w:val="16"/>
          <w:szCs w:val="16"/>
        </w:rPr>
        <w:t xml:space="preserve">, É., Glover, S. C. O., Groves, B., Hassani, H. R., Klessen, R. S., Kreckel, K., Neumann, L., … Watkins, E. J. (2023). Calibrating mid-infrared emission as a tracer of obscured star formation on HII-region scales in the era of JWST.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24" w:tgtFrame="_blank" w:history="1">
        <w:r w:rsidRPr="004C6449">
          <w:rPr>
            <w:rStyle w:val="Hyperlink"/>
            <w:rFonts w:ascii="Arial" w:hAnsi="Arial" w:cs="Arial"/>
            <w:sz w:val="16"/>
            <w:szCs w:val="16"/>
          </w:rPr>
          <w:t>https://doi.org/10.48550/arxiv.2306.11811</w:t>
        </w:r>
      </w:hyperlink>
    </w:p>
    <w:p w14:paraId="6C1EF7F6"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Berné</w:t>
      </w:r>
      <w:proofErr w:type="spellEnd"/>
      <w:r w:rsidRPr="004C6449">
        <w:rPr>
          <w:rFonts w:ascii="Arial" w:hAnsi="Arial" w:cs="Arial"/>
          <w:sz w:val="16"/>
          <w:szCs w:val="16"/>
        </w:rPr>
        <w:t xml:space="preserve">, O., Foschino, S., Jalabert, F., &amp; Joblin, C. (2022). Contribution of polycyclic aromatic hydrocarbon ionization to neutral gas heating in galaxies: model versus observations.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667</w:t>
      </w:r>
      <w:r w:rsidRPr="004C6449">
        <w:rPr>
          <w:rFonts w:ascii="Arial" w:hAnsi="Arial" w:cs="Arial"/>
          <w:sz w:val="16"/>
          <w:szCs w:val="16"/>
        </w:rPr>
        <w:t xml:space="preserve">. </w:t>
      </w:r>
      <w:hyperlink r:id="rId25" w:tgtFrame="_blank" w:history="1">
        <w:r w:rsidRPr="004C6449">
          <w:rPr>
            <w:rStyle w:val="Hyperlink"/>
            <w:rFonts w:ascii="Arial" w:hAnsi="Arial" w:cs="Arial"/>
            <w:sz w:val="16"/>
            <w:szCs w:val="16"/>
          </w:rPr>
          <w:t>https://doi.org/10.1051/0004-6361/202243171</w:t>
        </w:r>
      </w:hyperlink>
    </w:p>
    <w:p w14:paraId="7B1B9AE4"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Bouwman, J., Kendrew, S., Greene, T. P., Bell, T. J., </w:t>
      </w:r>
      <w:proofErr w:type="spellStart"/>
      <w:r w:rsidRPr="004C6449">
        <w:rPr>
          <w:rFonts w:ascii="Arial" w:hAnsi="Arial" w:cs="Arial"/>
          <w:sz w:val="16"/>
          <w:szCs w:val="16"/>
        </w:rPr>
        <w:t>Lagage</w:t>
      </w:r>
      <w:proofErr w:type="spellEnd"/>
      <w:r w:rsidRPr="004C6449">
        <w:rPr>
          <w:rFonts w:ascii="Arial" w:hAnsi="Arial" w:cs="Arial"/>
          <w:sz w:val="16"/>
          <w:szCs w:val="16"/>
        </w:rPr>
        <w:t xml:space="preserve">, P.-O., Schreiber, J., Dicken, D., Sloan, G. C., Espinoza, N., Scheithauer, S., </w:t>
      </w:r>
      <w:proofErr w:type="spellStart"/>
      <w:r w:rsidRPr="004C6449">
        <w:rPr>
          <w:rFonts w:ascii="Arial" w:hAnsi="Arial" w:cs="Arial"/>
          <w:sz w:val="16"/>
          <w:szCs w:val="16"/>
        </w:rPr>
        <w:t>Coulais</w:t>
      </w:r>
      <w:proofErr w:type="spellEnd"/>
      <w:r w:rsidRPr="004C6449">
        <w:rPr>
          <w:rFonts w:ascii="Arial" w:hAnsi="Arial" w:cs="Arial"/>
          <w:sz w:val="16"/>
          <w:szCs w:val="16"/>
        </w:rPr>
        <w:t xml:space="preserve">, A., Fox, O. D., </w:t>
      </w:r>
      <w:proofErr w:type="spellStart"/>
      <w:r w:rsidRPr="004C6449">
        <w:rPr>
          <w:rFonts w:ascii="Arial" w:hAnsi="Arial" w:cs="Arial"/>
          <w:sz w:val="16"/>
          <w:szCs w:val="16"/>
        </w:rPr>
        <w:t>Gastaud</w:t>
      </w:r>
      <w:proofErr w:type="spellEnd"/>
      <w:r w:rsidRPr="004C6449">
        <w:rPr>
          <w:rFonts w:ascii="Arial" w:hAnsi="Arial" w:cs="Arial"/>
          <w:sz w:val="16"/>
          <w:szCs w:val="16"/>
        </w:rPr>
        <w:t xml:space="preserve">, R., Glauser, A. M., Jones, O., </w:t>
      </w:r>
      <w:proofErr w:type="spellStart"/>
      <w:r w:rsidRPr="004C6449">
        <w:rPr>
          <w:rFonts w:ascii="Arial" w:hAnsi="Arial" w:cs="Arial"/>
          <w:sz w:val="16"/>
          <w:szCs w:val="16"/>
        </w:rPr>
        <w:t>Labiano</w:t>
      </w:r>
      <w:proofErr w:type="spellEnd"/>
      <w:r w:rsidRPr="004C6449">
        <w:rPr>
          <w:rFonts w:ascii="Arial" w:hAnsi="Arial" w:cs="Arial"/>
          <w:sz w:val="16"/>
          <w:szCs w:val="16"/>
        </w:rPr>
        <w:t xml:space="preserve">, Á., </w:t>
      </w:r>
      <w:proofErr w:type="spellStart"/>
      <w:r w:rsidRPr="004C6449">
        <w:rPr>
          <w:rFonts w:ascii="Arial" w:hAnsi="Arial" w:cs="Arial"/>
          <w:sz w:val="16"/>
          <w:szCs w:val="16"/>
        </w:rPr>
        <w:t>Lahuis</w:t>
      </w:r>
      <w:proofErr w:type="spellEnd"/>
      <w:r w:rsidRPr="004C6449">
        <w:rPr>
          <w:rFonts w:ascii="Arial" w:hAnsi="Arial" w:cs="Arial"/>
          <w:sz w:val="16"/>
          <w:szCs w:val="16"/>
        </w:rPr>
        <w:t xml:space="preserve">, F., Morrison, J., Murray, K. T., … Rieke, G. H. (2023). Spectroscopic Time Series Performance of the Mid-infrared Instrument on the JWST. </w:t>
      </w:r>
      <w:r w:rsidRPr="004C6449">
        <w:rPr>
          <w:rFonts w:ascii="Arial" w:hAnsi="Arial" w:cs="Arial"/>
          <w:i/>
          <w:iCs/>
          <w:sz w:val="16"/>
          <w:szCs w:val="16"/>
        </w:rPr>
        <w:t>Publications of the Astronomical Society of the Pacific</w:t>
      </w:r>
      <w:r w:rsidRPr="004C6449">
        <w:rPr>
          <w:rFonts w:ascii="Arial" w:hAnsi="Arial" w:cs="Arial"/>
          <w:sz w:val="16"/>
          <w:szCs w:val="16"/>
        </w:rPr>
        <w:t xml:space="preserve">, </w:t>
      </w:r>
      <w:r w:rsidRPr="004C6449">
        <w:rPr>
          <w:rFonts w:ascii="Arial" w:hAnsi="Arial" w:cs="Arial"/>
          <w:i/>
          <w:iCs/>
          <w:sz w:val="16"/>
          <w:szCs w:val="16"/>
        </w:rPr>
        <w:t>135</w:t>
      </w:r>
      <w:r w:rsidRPr="004C6449">
        <w:rPr>
          <w:rFonts w:ascii="Arial" w:hAnsi="Arial" w:cs="Arial"/>
          <w:sz w:val="16"/>
          <w:szCs w:val="16"/>
        </w:rPr>
        <w:t xml:space="preserve">(1045), 38002. </w:t>
      </w:r>
      <w:hyperlink r:id="rId26" w:tgtFrame="_blank" w:history="1">
        <w:r w:rsidRPr="004C6449">
          <w:rPr>
            <w:rStyle w:val="Hyperlink"/>
            <w:rFonts w:ascii="Arial" w:hAnsi="Arial" w:cs="Arial"/>
            <w:sz w:val="16"/>
            <w:szCs w:val="16"/>
          </w:rPr>
          <w:t>https://doi.org/10.1088/1538-3873/acbc49</w:t>
        </w:r>
      </w:hyperlink>
    </w:p>
    <w:p w14:paraId="6D1206B3"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C., Jr. K. R., &amp; Garnett, D. R. (1996). The Composition Gradient in M101 Revisited. I. H II Region Spectra and Excitation Properties.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456</w:t>
      </w:r>
      <w:r w:rsidRPr="004C6449">
        <w:rPr>
          <w:rFonts w:ascii="Arial" w:hAnsi="Arial" w:cs="Arial"/>
          <w:sz w:val="16"/>
          <w:szCs w:val="16"/>
        </w:rPr>
        <w:t xml:space="preserve">, 504. </w:t>
      </w:r>
      <w:hyperlink r:id="rId27" w:tgtFrame="_blank" w:history="1">
        <w:r w:rsidRPr="004C6449">
          <w:rPr>
            <w:rStyle w:val="Hyperlink"/>
            <w:rFonts w:ascii="Arial" w:hAnsi="Arial" w:cs="Arial"/>
            <w:sz w:val="16"/>
            <w:szCs w:val="16"/>
          </w:rPr>
          <w:t>https://doi.org/10.1086/176675</w:t>
        </w:r>
      </w:hyperlink>
    </w:p>
    <w:p w14:paraId="6797F431"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Candian</w:t>
      </w:r>
      <w:proofErr w:type="spellEnd"/>
      <w:r w:rsidRPr="004C6449">
        <w:rPr>
          <w:rFonts w:ascii="Arial" w:hAnsi="Arial" w:cs="Arial"/>
          <w:sz w:val="16"/>
          <w:szCs w:val="16"/>
        </w:rPr>
        <w:t xml:space="preserve">, A., &amp; </w:t>
      </w:r>
      <w:proofErr w:type="spellStart"/>
      <w:r w:rsidRPr="004C6449">
        <w:rPr>
          <w:rFonts w:ascii="Arial" w:hAnsi="Arial" w:cs="Arial"/>
          <w:sz w:val="16"/>
          <w:szCs w:val="16"/>
        </w:rPr>
        <w:t>Sarre</w:t>
      </w:r>
      <w:proofErr w:type="spellEnd"/>
      <w:r w:rsidRPr="004C6449">
        <w:rPr>
          <w:rFonts w:ascii="Arial" w:hAnsi="Arial" w:cs="Arial"/>
          <w:sz w:val="16"/>
          <w:szCs w:val="16"/>
        </w:rPr>
        <w:t>, P. J. (2015). The 11.2 $</w:t>
      </w:r>
      <w:proofErr w:type="spellStart"/>
      <w:r w:rsidRPr="004C6449">
        <w:rPr>
          <w:rFonts w:ascii="Arial" w:hAnsi="Arial" w:cs="Arial"/>
          <w:sz w:val="16"/>
          <w:szCs w:val="16"/>
        </w:rPr>
        <w:t>μ$m</w:t>
      </w:r>
      <w:proofErr w:type="spellEnd"/>
      <w:r w:rsidRPr="004C6449">
        <w:rPr>
          <w:rFonts w:ascii="Arial" w:hAnsi="Arial" w:cs="Arial"/>
          <w:sz w:val="16"/>
          <w:szCs w:val="16"/>
        </w:rPr>
        <w:t xml:space="preserve"> emission of PAHs in astrophysical objects. </w:t>
      </w:r>
      <w:proofErr w:type="spellStart"/>
      <w:r w:rsidRPr="004C6449">
        <w:rPr>
          <w:rFonts w:ascii="Arial" w:hAnsi="Arial" w:cs="Arial"/>
          <w:i/>
          <w:iCs/>
          <w:sz w:val="16"/>
          <w:szCs w:val="16"/>
        </w:rPr>
        <w:t>arXiv</w:t>
      </w:r>
      <w:proofErr w:type="spellEnd"/>
      <w:r w:rsidRPr="004C6449">
        <w:rPr>
          <w:rFonts w:ascii="Arial" w:hAnsi="Arial" w:cs="Arial"/>
          <w:sz w:val="16"/>
          <w:szCs w:val="16"/>
        </w:rPr>
        <w:t xml:space="preserve">. </w:t>
      </w:r>
      <w:hyperlink r:id="rId28" w:tgtFrame="_blank" w:history="1">
        <w:r w:rsidRPr="004C6449">
          <w:rPr>
            <w:rStyle w:val="Hyperlink"/>
            <w:rFonts w:ascii="Arial" w:hAnsi="Arial" w:cs="Arial"/>
            <w:sz w:val="16"/>
            <w:szCs w:val="16"/>
          </w:rPr>
          <w:t>https://doi.org/10.48550/ARXIV.1501.06811</w:t>
        </w:r>
      </w:hyperlink>
    </w:p>
    <w:p w14:paraId="0341FA19"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Coy, B. P., Nixon, C. A., Rowe</w:t>
      </w:r>
      <w:r w:rsidRPr="004C6449">
        <w:rPr>
          <w:rFonts w:ascii="Cambria Math" w:hAnsi="Cambria Math" w:cs="Cambria Math"/>
          <w:sz w:val="16"/>
          <w:szCs w:val="16"/>
        </w:rPr>
        <w:t>‐</w:t>
      </w:r>
      <w:r w:rsidRPr="004C6449">
        <w:rPr>
          <w:rFonts w:ascii="Arial" w:hAnsi="Arial" w:cs="Arial"/>
          <w:sz w:val="16"/>
          <w:szCs w:val="16"/>
        </w:rPr>
        <w:t xml:space="preserve">Gurney, N., Achterberg, R. K., Lombardo, N. A., Fletcher, L. N., &amp; Irwin, P. G. J. (2023). Spitzer IRS Observations of Titan as a Precursor to JWST MIRI Observations. </w:t>
      </w:r>
      <w:r w:rsidRPr="004C6449">
        <w:rPr>
          <w:rFonts w:ascii="Arial" w:hAnsi="Arial" w:cs="Arial"/>
          <w:i/>
          <w:iCs/>
          <w:sz w:val="16"/>
          <w:szCs w:val="16"/>
        </w:rPr>
        <w:t>The Planetary Science Journal</w:t>
      </w:r>
      <w:r w:rsidRPr="004C6449">
        <w:rPr>
          <w:rFonts w:ascii="Arial" w:hAnsi="Arial" w:cs="Arial"/>
          <w:sz w:val="16"/>
          <w:szCs w:val="16"/>
        </w:rPr>
        <w:t xml:space="preserve">, </w:t>
      </w:r>
      <w:r w:rsidRPr="004C6449">
        <w:rPr>
          <w:rFonts w:ascii="Arial" w:hAnsi="Arial" w:cs="Arial"/>
          <w:i/>
          <w:iCs/>
          <w:sz w:val="16"/>
          <w:szCs w:val="16"/>
        </w:rPr>
        <w:t>4</w:t>
      </w:r>
      <w:r w:rsidRPr="004C6449">
        <w:rPr>
          <w:rFonts w:ascii="Arial" w:hAnsi="Arial" w:cs="Arial"/>
          <w:sz w:val="16"/>
          <w:szCs w:val="16"/>
        </w:rPr>
        <w:t xml:space="preserve">(6), 114. </w:t>
      </w:r>
      <w:hyperlink r:id="rId29" w:tgtFrame="_blank" w:history="1">
        <w:r w:rsidRPr="004C6449">
          <w:rPr>
            <w:rStyle w:val="Hyperlink"/>
            <w:rFonts w:ascii="Arial" w:hAnsi="Arial" w:cs="Arial"/>
            <w:sz w:val="16"/>
            <w:szCs w:val="16"/>
          </w:rPr>
          <w:t>https://doi.org/10.3847/psj/acd10f</w:t>
        </w:r>
      </w:hyperlink>
    </w:p>
    <w:p w14:paraId="1524405D"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Dicken, D., García-Marín, M., Shivaei, I., Guillard, P., </w:t>
      </w:r>
      <w:proofErr w:type="spellStart"/>
      <w:r w:rsidRPr="004C6449">
        <w:rPr>
          <w:rFonts w:ascii="Arial" w:hAnsi="Arial" w:cs="Arial"/>
          <w:sz w:val="16"/>
          <w:szCs w:val="16"/>
        </w:rPr>
        <w:t>Libralato</w:t>
      </w:r>
      <w:proofErr w:type="spellEnd"/>
      <w:r w:rsidRPr="004C6449">
        <w:rPr>
          <w:rFonts w:ascii="Arial" w:hAnsi="Arial" w:cs="Arial"/>
          <w:sz w:val="16"/>
          <w:szCs w:val="16"/>
        </w:rPr>
        <w:t xml:space="preserve">, M., Glasse, A., Gordon, K. D., </w:t>
      </w:r>
      <w:proofErr w:type="spellStart"/>
      <w:r w:rsidRPr="004C6449">
        <w:rPr>
          <w:rFonts w:ascii="Arial" w:hAnsi="Arial" w:cs="Arial"/>
          <w:sz w:val="16"/>
          <w:szCs w:val="16"/>
        </w:rPr>
        <w:t>Cossou</w:t>
      </w:r>
      <w:proofErr w:type="spellEnd"/>
      <w:r w:rsidRPr="004C6449">
        <w:rPr>
          <w:rFonts w:ascii="Arial" w:hAnsi="Arial" w:cs="Arial"/>
          <w:sz w:val="16"/>
          <w:szCs w:val="16"/>
        </w:rPr>
        <w:t xml:space="preserve">, C., Kavanagh, P., </w:t>
      </w:r>
      <w:proofErr w:type="spellStart"/>
      <w:r w:rsidRPr="004C6449">
        <w:rPr>
          <w:rFonts w:ascii="Arial" w:hAnsi="Arial" w:cs="Arial"/>
          <w:sz w:val="16"/>
          <w:szCs w:val="16"/>
        </w:rPr>
        <w:t>Temim</w:t>
      </w:r>
      <w:proofErr w:type="spellEnd"/>
      <w:r w:rsidRPr="004C6449">
        <w:rPr>
          <w:rFonts w:ascii="Arial" w:hAnsi="Arial" w:cs="Arial"/>
          <w:sz w:val="16"/>
          <w:szCs w:val="16"/>
        </w:rPr>
        <w:t xml:space="preserve">, T., </w:t>
      </w:r>
      <w:proofErr w:type="spellStart"/>
      <w:r w:rsidRPr="004C6449">
        <w:rPr>
          <w:rFonts w:ascii="Arial" w:hAnsi="Arial" w:cs="Arial"/>
          <w:sz w:val="16"/>
          <w:szCs w:val="16"/>
        </w:rPr>
        <w:t>Flagey</w:t>
      </w:r>
      <w:proofErr w:type="spellEnd"/>
      <w:r w:rsidRPr="004C6449">
        <w:rPr>
          <w:rFonts w:ascii="Arial" w:hAnsi="Arial" w:cs="Arial"/>
          <w:sz w:val="16"/>
          <w:szCs w:val="16"/>
        </w:rPr>
        <w:t xml:space="preserve">, N., Klaassen, P., Rieke, G. H., Wright, G., Alberts, S., Azzollini, R., Álvarez-Márquez, J., Bouchet, P., Bright, S. N., … Tamas, L. H. (2024). JWST MIRI flight performance: Imaging.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689</w:t>
      </w:r>
      <w:r w:rsidRPr="004C6449">
        <w:rPr>
          <w:rFonts w:ascii="Arial" w:hAnsi="Arial" w:cs="Arial"/>
          <w:sz w:val="16"/>
          <w:szCs w:val="16"/>
        </w:rPr>
        <w:t xml:space="preserve">. </w:t>
      </w:r>
      <w:hyperlink r:id="rId30" w:tgtFrame="_blank" w:history="1">
        <w:r w:rsidRPr="004C6449">
          <w:rPr>
            <w:rStyle w:val="Hyperlink"/>
            <w:rFonts w:ascii="Arial" w:hAnsi="Arial" w:cs="Arial"/>
            <w:sz w:val="16"/>
            <w:szCs w:val="16"/>
          </w:rPr>
          <w:t>https://doi.org/10.1051/0004-6361/202449451</w:t>
        </w:r>
      </w:hyperlink>
    </w:p>
    <w:p w14:paraId="2AC5FADE"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lastRenderedPageBreak/>
        <w:t>Dontot</w:t>
      </w:r>
      <w:proofErr w:type="spellEnd"/>
      <w:r w:rsidRPr="004C6449">
        <w:rPr>
          <w:rFonts w:ascii="Arial" w:hAnsi="Arial" w:cs="Arial"/>
          <w:sz w:val="16"/>
          <w:szCs w:val="16"/>
        </w:rPr>
        <w:t xml:space="preserve">, L., Spiegelman, F., </w:t>
      </w:r>
      <w:proofErr w:type="spellStart"/>
      <w:r w:rsidRPr="004C6449">
        <w:rPr>
          <w:rFonts w:ascii="Arial" w:hAnsi="Arial" w:cs="Arial"/>
          <w:sz w:val="16"/>
          <w:szCs w:val="16"/>
        </w:rPr>
        <w:t>Zamith</w:t>
      </w:r>
      <w:proofErr w:type="spellEnd"/>
      <w:r w:rsidRPr="004C6449">
        <w:rPr>
          <w:rFonts w:ascii="Arial" w:hAnsi="Arial" w:cs="Arial"/>
          <w:sz w:val="16"/>
          <w:szCs w:val="16"/>
        </w:rPr>
        <w:t xml:space="preserve">, S., &amp; </w:t>
      </w:r>
      <w:proofErr w:type="spellStart"/>
      <w:r w:rsidRPr="004C6449">
        <w:rPr>
          <w:rFonts w:ascii="Arial" w:hAnsi="Arial" w:cs="Arial"/>
          <w:sz w:val="16"/>
          <w:szCs w:val="16"/>
        </w:rPr>
        <w:t>Rapacioli</w:t>
      </w:r>
      <w:proofErr w:type="spellEnd"/>
      <w:r w:rsidRPr="004C6449">
        <w:rPr>
          <w:rFonts w:ascii="Arial" w:hAnsi="Arial" w:cs="Arial"/>
          <w:sz w:val="16"/>
          <w:szCs w:val="16"/>
        </w:rPr>
        <w:t xml:space="preserve">, M. (2020). Dependence upon charge of the vibrational spectra of small Polycyclic Aromatic Hydrocarbon clusters: the example of pyrene. </w:t>
      </w:r>
      <w:r w:rsidRPr="004C6449">
        <w:rPr>
          <w:rFonts w:ascii="Arial" w:hAnsi="Arial" w:cs="Arial"/>
          <w:i/>
          <w:iCs/>
          <w:sz w:val="16"/>
          <w:szCs w:val="16"/>
        </w:rPr>
        <w:t>The European Physical Journal D</w:t>
      </w:r>
      <w:r w:rsidRPr="004C6449">
        <w:rPr>
          <w:rFonts w:ascii="Arial" w:hAnsi="Arial" w:cs="Arial"/>
          <w:sz w:val="16"/>
          <w:szCs w:val="16"/>
        </w:rPr>
        <w:t xml:space="preserve">, </w:t>
      </w:r>
      <w:r w:rsidRPr="004C6449">
        <w:rPr>
          <w:rFonts w:ascii="Arial" w:hAnsi="Arial" w:cs="Arial"/>
          <w:i/>
          <w:iCs/>
          <w:sz w:val="16"/>
          <w:szCs w:val="16"/>
        </w:rPr>
        <w:t>74</w:t>
      </w:r>
      <w:r w:rsidRPr="004C6449">
        <w:rPr>
          <w:rFonts w:ascii="Arial" w:hAnsi="Arial" w:cs="Arial"/>
          <w:sz w:val="16"/>
          <w:szCs w:val="16"/>
        </w:rPr>
        <w:t xml:space="preserve">(11). </w:t>
      </w:r>
      <w:hyperlink r:id="rId31" w:tgtFrame="_blank" w:history="1">
        <w:r w:rsidRPr="004C6449">
          <w:rPr>
            <w:rStyle w:val="Hyperlink"/>
            <w:rFonts w:ascii="Arial" w:hAnsi="Arial" w:cs="Arial"/>
            <w:sz w:val="16"/>
            <w:szCs w:val="16"/>
          </w:rPr>
          <w:t>https://doi.org/10.1140/epjd/e2020-10081-0</w:t>
        </w:r>
      </w:hyperlink>
    </w:p>
    <w:p w14:paraId="16103757"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Draine, B. T., &amp; Li, A. (2001). Infrared Emission from Interstellar Dust. I. Stochastic Heating of Small Grains.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551</w:t>
      </w:r>
      <w:r w:rsidRPr="004C6449">
        <w:rPr>
          <w:rFonts w:ascii="Arial" w:hAnsi="Arial" w:cs="Arial"/>
          <w:sz w:val="16"/>
          <w:szCs w:val="16"/>
        </w:rPr>
        <w:t xml:space="preserve">(2), 807. </w:t>
      </w:r>
      <w:hyperlink r:id="rId32" w:tgtFrame="_blank" w:history="1">
        <w:r w:rsidRPr="004C6449">
          <w:rPr>
            <w:rStyle w:val="Hyperlink"/>
            <w:rFonts w:ascii="Arial" w:hAnsi="Arial" w:cs="Arial"/>
            <w:sz w:val="16"/>
            <w:szCs w:val="16"/>
          </w:rPr>
          <w:t>https://doi.org/10.1086/320227</w:t>
        </w:r>
      </w:hyperlink>
    </w:p>
    <w:p w14:paraId="0727B038"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Draine, B. T., Li, A., Hensley, B. S., Hunt, L. K., Sandström, K., &amp; Smith, J. D. (2021). Excitation of Polycyclic Aromatic Hydrocarbon Emission: Dependence on Size Distribution, Ionization, and Starlight Spectrum and Intensity.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917</w:t>
      </w:r>
      <w:r w:rsidRPr="004C6449">
        <w:rPr>
          <w:rFonts w:ascii="Arial" w:hAnsi="Arial" w:cs="Arial"/>
          <w:sz w:val="16"/>
          <w:szCs w:val="16"/>
        </w:rPr>
        <w:t xml:space="preserve">(1), 3. </w:t>
      </w:r>
      <w:hyperlink r:id="rId33" w:tgtFrame="_blank" w:history="1">
        <w:r w:rsidRPr="004C6449">
          <w:rPr>
            <w:rStyle w:val="Hyperlink"/>
            <w:rFonts w:ascii="Arial" w:hAnsi="Arial" w:cs="Arial"/>
            <w:sz w:val="16"/>
            <w:szCs w:val="16"/>
          </w:rPr>
          <w:t>https://doi.org/10.3847/1538-4357/abff51</w:t>
        </w:r>
      </w:hyperlink>
    </w:p>
    <w:p w14:paraId="189FFCE2"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Egorov, O. V., Kreckel, K., Sandström, K., Leroy, A. K., Glover, S. C. O., Groves, B., </w:t>
      </w:r>
      <w:proofErr w:type="spellStart"/>
      <w:r w:rsidRPr="004C6449">
        <w:rPr>
          <w:rFonts w:ascii="Arial" w:hAnsi="Arial" w:cs="Arial"/>
          <w:sz w:val="16"/>
          <w:szCs w:val="16"/>
        </w:rPr>
        <w:t>Kruijssen</w:t>
      </w:r>
      <w:proofErr w:type="spellEnd"/>
      <w:r w:rsidRPr="004C6449">
        <w:rPr>
          <w:rFonts w:ascii="Arial" w:hAnsi="Arial" w:cs="Arial"/>
          <w:sz w:val="16"/>
          <w:szCs w:val="16"/>
        </w:rPr>
        <w:t xml:space="preserve">, J. M. D., Barnes, A., Belfiore, F., </w:t>
      </w:r>
      <w:proofErr w:type="spellStart"/>
      <w:r w:rsidRPr="004C6449">
        <w:rPr>
          <w:rFonts w:ascii="Arial" w:hAnsi="Arial" w:cs="Arial"/>
          <w:sz w:val="16"/>
          <w:szCs w:val="16"/>
        </w:rPr>
        <w:t>Bigiel</w:t>
      </w:r>
      <w:proofErr w:type="spellEnd"/>
      <w:r w:rsidRPr="004C6449">
        <w:rPr>
          <w:rFonts w:ascii="Arial" w:hAnsi="Arial" w:cs="Arial"/>
          <w:sz w:val="16"/>
          <w:szCs w:val="16"/>
        </w:rPr>
        <w:t xml:space="preserve">, F., Blanc, G. A., </w:t>
      </w:r>
      <w:proofErr w:type="spellStart"/>
      <w:r w:rsidRPr="004C6449">
        <w:rPr>
          <w:rFonts w:ascii="Arial" w:hAnsi="Arial" w:cs="Arial"/>
          <w:sz w:val="16"/>
          <w:szCs w:val="16"/>
        </w:rPr>
        <w:t>Boquien</w:t>
      </w:r>
      <w:proofErr w:type="spellEnd"/>
      <w:r w:rsidRPr="004C6449">
        <w:rPr>
          <w:rFonts w:ascii="Arial" w:hAnsi="Arial" w:cs="Arial"/>
          <w:sz w:val="16"/>
          <w:szCs w:val="16"/>
        </w:rPr>
        <w:t xml:space="preserve">, M., Cao, Y., </w:t>
      </w:r>
      <w:proofErr w:type="spellStart"/>
      <w:r w:rsidRPr="004C6449">
        <w:rPr>
          <w:rFonts w:ascii="Arial" w:hAnsi="Arial" w:cs="Arial"/>
          <w:sz w:val="16"/>
          <w:szCs w:val="16"/>
        </w:rPr>
        <w:t>Chastenet</w:t>
      </w:r>
      <w:proofErr w:type="spellEnd"/>
      <w:r w:rsidRPr="004C6449">
        <w:rPr>
          <w:rFonts w:ascii="Arial" w:hAnsi="Arial" w:cs="Arial"/>
          <w:sz w:val="16"/>
          <w:szCs w:val="16"/>
        </w:rPr>
        <w:t xml:space="preserve">, J., </w:t>
      </w:r>
      <w:proofErr w:type="spellStart"/>
      <w:r w:rsidRPr="004C6449">
        <w:rPr>
          <w:rFonts w:ascii="Arial" w:hAnsi="Arial" w:cs="Arial"/>
          <w:sz w:val="16"/>
          <w:szCs w:val="16"/>
        </w:rPr>
        <w:t>Chevance</w:t>
      </w:r>
      <w:proofErr w:type="spellEnd"/>
      <w:r w:rsidRPr="004C6449">
        <w:rPr>
          <w:rFonts w:ascii="Arial" w:hAnsi="Arial" w:cs="Arial"/>
          <w:sz w:val="16"/>
          <w:szCs w:val="16"/>
        </w:rPr>
        <w:t xml:space="preserve">, M., </w:t>
      </w:r>
      <w:proofErr w:type="spellStart"/>
      <w:r w:rsidRPr="004C6449">
        <w:rPr>
          <w:rFonts w:ascii="Arial" w:hAnsi="Arial" w:cs="Arial"/>
          <w:sz w:val="16"/>
          <w:szCs w:val="16"/>
        </w:rPr>
        <w:t>Congiu</w:t>
      </w:r>
      <w:proofErr w:type="spellEnd"/>
      <w:r w:rsidRPr="004C6449">
        <w:rPr>
          <w:rFonts w:ascii="Arial" w:hAnsi="Arial" w:cs="Arial"/>
          <w:sz w:val="16"/>
          <w:szCs w:val="16"/>
        </w:rPr>
        <w:t xml:space="preserve">, E., Dale, D. A., </w:t>
      </w:r>
      <w:proofErr w:type="spellStart"/>
      <w:r w:rsidRPr="004C6449">
        <w:rPr>
          <w:rFonts w:ascii="Arial" w:hAnsi="Arial" w:cs="Arial"/>
          <w:sz w:val="16"/>
          <w:szCs w:val="16"/>
        </w:rPr>
        <w:t>Emsellem</w:t>
      </w:r>
      <w:proofErr w:type="spellEnd"/>
      <w:r w:rsidRPr="004C6449">
        <w:rPr>
          <w:rFonts w:ascii="Arial" w:hAnsi="Arial" w:cs="Arial"/>
          <w:sz w:val="16"/>
          <w:szCs w:val="16"/>
        </w:rPr>
        <w:t xml:space="preserve">, É., Grasha, K., … Williams, T. G. (2023). PHANGS–JWST First Results: Destruction of the PAH Molecules in H ii Regions Probed by JWST and MUSE. </w:t>
      </w:r>
      <w:r w:rsidRPr="004C6449">
        <w:rPr>
          <w:rFonts w:ascii="Arial" w:hAnsi="Arial" w:cs="Arial"/>
          <w:i/>
          <w:iCs/>
          <w:sz w:val="16"/>
          <w:szCs w:val="16"/>
        </w:rPr>
        <w:t>The Astrophysical Journal Letters</w:t>
      </w:r>
      <w:r w:rsidRPr="004C6449">
        <w:rPr>
          <w:rFonts w:ascii="Arial" w:hAnsi="Arial" w:cs="Arial"/>
          <w:sz w:val="16"/>
          <w:szCs w:val="16"/>
        </w:rPr>
        <w:t xml:space="preserve">, </w:t>
      </w:r>
      <w:r w:rsidRPr="004C6449">
        <w:rPr>
          <w:rFonts w:ascii="Arial" w:hAnsi="Arial" w:cs="Arial"/>
          <w:i/>
          <w:iCs/>
          <w:sz w:val="16"/>
          <w:szCs w:val="16"/>
        </w:rPr>
        <w:t>944</w:t>
      </w:r>
      <w:r w:rsidRPr="004C6449">
        <w:rPr>
          <w:rFonts w:ascii="Arial" w:hAnsi="Arial" w:cs="Arial"/>
          <w:sz w:val="16"/>
          <w:szCs w:val="16"/>
        </w:rPr>
        <w:t xml:space="preserve">(2). </w:t>
      </w:r>
      <w:hyperlink r:id="rId34" w:tgtFrame="_blank" w:history="1">
        <w:r w:rsidRPr="004C6449">
          <w:rPr>
            <w:rStyle w:val="Hyperlink"/>
            <w:rFonts w:ascii="Arial" w:hAnsi="Arial" w:cs="Arial"/>
            <w:sz w:val="16"/>
            <w:szCs w:val="16"/>
          </w:rPr>
          <w:t>https://doi.org/10.3847/2041-8213/acac92</w:t>
        </w:r>
      </w:hyperlink>
    </w:p>
    <w:p w14:paraId="4CB527D8" w14:textId="77777777" w:rsidR="006E651E" w:rsidRPr="004C6449" w:rsidRDefault="006E651E" w:rsidP="004C6449">
      <w:pPr>
        <w:jc w:val="both"/>
        <w:rPr>
          <w:rFonts w:ascii="Arial" w:hAnsi="Arial" w:cs="Arial"/>
          <w:sz w:val="16"/>
          <w:szCs w:val="16"/>
        </w:rPr>
      </w:pPr>
      <w:r w:rsidRPr="004C6449">
        <w:rPr>
          <w:rFonts w:ascii="Arial" w:hAnsi="Arial" w:cs="Arial"/>
          <w:sz w:val="16"/>
          <w:szCs w:val="16"/>
        </w:rPr>
        <w:t xml:space="preserve">Esposito, V. J., Ferrari, P., Buma, W. J., Fortenberry, R. C., Boersma, C., </w:t>
      </w:r>
      <w:proofErr w:type="spellStart"/>
      <w:r w:rsidRPr="004C6449">
        <w:rPr>
          <w:rFonts w:ascii="Arial" w:hAnsi="Arial" w:cs="Arial"/>
          <w:sz w:val="16"/>
          <w:szCs w:val="16"/>
        </w:rPr>
        <w:t>Candian</w:t>
      </w:r>
      <w:proofErr w:type="spellEnd"/>
      <w:r w:rsidRPr="004C6449">
        <w:rPr>
          <w:rFonts w:ascii="Arial" w:hAnsi="Arial" w:cs="Arial"/>
          <w:sz w:val="16"/>
          <w:szCs w:val="16"/>
        </w:rPr>
        <w:t xml:space="preserve">, A., &amp; Tielens, A. G. G. M. (2024). The infrared absorption spectrum of phenylacetylene and its deuterated </w:t>
      </w:r>
      <w:proofErr w:type="spellStart"/>
      <w:r w:rsidRPr="004C6449">
        <w:rPr>
          <w:rFonts w:ascii="Arial" w:hAnsi="Arial" w:cs="Arial"/>
          <w:sz w:val="16"/>
          <w:szCs w:val="16"/>
        </w:rPr>
        <w:t>isotopologue</w:t>
      </w:r>
      <w:proofErr w:type="spellEnd"/>
      <w:r w:rsidRPr="004C6449">
        <w:rPr>
          <w:rFonts w:ascii="Arial" w:hAnsi="Arial" w:cs="Arial"/>
          <w:sz w:val="16"/>
          <w:szCs w:val="16"/>
        </w:rPr>
        <w:t xml:space="preserve"> in the mid- to far-IR. </w:t>
      </w:r>
      <w:r w:rsidRPr="004C6449">
        <w:rPr>
          <w:rFonts w:ascii="Arial" w:hAnsi="Arial" w:cs="Arial"/>
          <w:i/>
          <w:iCs/>
          <w:sz w:val="16"/>
          <w:szCs w:val="16"/>
        </w:rPr>
        <w:t>The Journal of Chemical Physics</w:t>
      </w:r>
      <w:r w:rsidRPr="004C6449">
        <w:rPr>
          <w:rFonts w:ascii="Arial" w:hAnsi="Arial" w:cs="Arial"/>
          <w:sz w:val="16"/>
          <w:szCs w:val="16"/>
        </w:rPr>
        <w:t xml:space="preserve">, </w:t>
      </w:r>
      <w:r w:rsidRPr="004C6449">
        <w:rPr>
          <w:rFonts w:ascii="Arial" w:hAnsi="Arial" w:cs="Arial"/>
          <w:i/>
          <w:iCs/>
          <w:sz w:val="16"/>
          <w:szCs w:val="16"/>
        </w:rPr>
        <w:t>160</w:t>
      </w:r>
      <w:r w:rsidRPr="004C6449">
        <w:rPr>
          <w:rFonts w:ascii="Arial" w:hAnsi="Arial" w:cs="Arial"/>
          <w:sz w:val="16"/>
          <w:szCs w:val="16"/>
        </w:rPr>
        <w:t xml:space="preserve">(11). </w:t>
      </w:r>
      <w:hyperlink r:id="rId35" w:tgtFrame="_blank" w:history="1">
        <w:r w:rsidRPr="004C6449">
          <w:rPr>
            <w:rStyle w:val="Hyperlink"/>
            <w:rFonts w:ascii="Arial" w:hAnsi="Arial" w:cs="Arial"/>
            <w:sz w:val="16"/>
            <w:szCs w:val="16"/>
          </w:rPr>
          <w:t>https://doi.org/10.1063/5.0191404</w:t>
        </w:r>
      </w:hyperlink>
    </w:p>
    <w:p w14:paraId="5CC656B8"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Esteban, C., Bresolin, F., García</w:t>
      </w:r>
      <w:r w:rsidRPr="004C6449">
        <w:rPr>
          <w:rFonts w:ascii="Cambria Math" w:hAnsi="Cambria Math" w:cs="Cambria Math"/>
          <w:sz w:val="16"/>
          <w:szCs w:val="16"/>
        </w:rPr>
        <w:t>‐</w:t>
      </w:r>
      <w:r w:rsidRPr="004C6449">
        <w:rPr>
          <w:rFonts w:ascii="Arial" w:hAnsi="Arial" w:cs="Arial"/>
          <w:sz w:val="16"/>
          <w:szCs w:val="16"/>
        </w:rPr>
        <w:t xml:space="preserve">Rojas, J., &amp; Cipriano, L. T. S. (2019). Carbon, nitrogen and oxygen abundance gradients in M101 and M31.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hyperlink r:id="rId36" w:tgtFrame="_blank" w:history="1">
        <w:r w:rsidRPr="004C6449">
          <w:rPr>
            <w:rStyle w:val="Hyperlink"/>
            <w:rFonts w:ascii="Arial" w:hAnsi="Arial" w:cs="Arial"/>
            <w:sz w:val="16"/>
            <w:szCs w:val="16"/>
          </w:rPr>
          <w:t>https://doi.org/10.1093/mnras/stz3134</w:t>
        </w:r>
      </w:hyperlink>
    </w:p>
    <w:p w14:paraId="3FF9B519"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Galliano, F. (2011). Dialectics of the PAH Abundance Trend with Metallicity. </w:t>
      </w:r>
      <w:r w:rsidRPr="004C6449">
        <w:rPr>
          <w:rFonts w:ascii="Arial" w:hAnsi="Arial" w:cs="Arial"/>
          <w:i/>
          <w:iCs/>
          <w:sz w:val="16"/>
          <w:szCs w:val="16"/>
        </w:rPr>
        <w:t>EAS Publications Series</w:t>
      </w:r>
      <w:r w:rsidRPr="004C6449">
        <w:rPr>
          <w:rFonts w:ascii="Arial" w:hAnsi="Arial" w:cs="Arial"/>
          <w:sz w:val="16"/>
          <w:szCs w:val="16"/>
        </w:rPr>
        <w:t xml:space="preserve">, </w:t>
      </w:r>
      <w:r w:rsidRPr="004C6449">
        <w:rPr>
          <w:rFonts w:ascii="Arial" w:hAnsi="Arial" w:cs="Arial"/>
          <w:i/>
          <w:iCs/>
          <w:sz w:val="16"/>
          <w:szCs w:val="16"/>
        </w:rPr>
        <w:t>46</w:t>
      </w:r>
      <w:r w:rsidRPr="004C6449">
        <w:rPr>
          <w:rFonts w:ascii="Arial" w:hAnsi="Arial" w:cs="Arial"/>
          <w:sz w:val="16"/>
          <w:szCs w:val="16"/>
        </w:rPr>
        <w:t xml:space="preserve">, 43. </w:t>
      </w:r>
      <w:hyperlink r:id="rId37" w:tgtFrame="_blank" w:history="1">
        <w:r w:rsidRPr="004C6449">
          <w:rPr>
            <w:rStyle w:val="Hyperlink"/>
            <w:rFonts w:ascii="Arial" w:hAnsi="Arial" w:cs="Arial"/>
            <w:sz w:val="16"/>
            <w:szCs w:val="16"/>
          </w:rPr>
          <w:t>https://doi.org/10.1051/eas/1146004</w:t>
        </w:r>
      </w:hyperlink>
    </w:p>
    <w:p w14:paraId="69A55B44"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Galliano, F., Madden, S. C., Tielens, A. G. G. M., Peeters, E., &amp; Jones, A. P. (2008). Variations of the Mid</w:t>
      </w:r>
      <w:r w:rsidRPr="004C6449">
        <w:rPr>
          <w:rFonts w:ascii="Cambria Math" w:hAnsi="Cambria Math" w:cs="Cambria Math"/>
          <w:sz w:val="16"/>
          <w:szCs w:val="16"/>
        </w:rPr>
        <w:t>‐</w:t>
      </w:r>
      <w:r w:rsidRPr="004C6449">
        <w:rPr>
          <w:rFonts w:ascii="Arial" w:hAnsi="Arial" w:cs="Arial"/>
          <w:sz w:val="16"/>
          <w:szCs w:val="16"/>
        </w:rPr>
        <w:t xml:space="preserve">IR Aromatic Features inside and among Galaxies.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679</w:t>
      </w:r>
      <w:r w:rsidRPr="004C6449">
        <w:rPr>
          <w:rFonts w:ascii="Arial" w:hAnsi="Arial" w:cs="Arial"/>
          <w:sz w:val="16"/>
          <w:szCs w:val="16"/>
        </w:rPr>
        <w:t xml:space="preserve">(1), 310. </w:t>
      </w:r>
      <w:hyperlink r:id="rId38" w:tgtFrame="_blank" w:history="1">
        <w:r w:rsidRPr="004C6449">
          <w:rPr>
            <w:rStyle w:val="Hyperlink"/>
            <w:rFonts w:ascii="Arial" w:hAnsi="Arial" w:cs="Arial"/>
            <w:sz w:val="16"/>
            <w:szCs w:val="16"/>
          </w:rPr>
          <w:t>https://doi.org/10.1086/587051</w:t>
        </w:r>
      </w:hyperlink>
    </w:p>
    <w:p w14:paraId="07AB4215" w14:textId="77777777" w:rsidR="006E651E" w:rsidRDefault="006E651E" w:rsidP="004C6449">
      <w:pPr>
        <w:jc w:val="both"/>
        <w:rPr>
          <w:rFonts w:ascii="Arial" w:hAnsi="Arial" w:cs="Arial"/>
          <w:sz w:val="16"/>
          <w:szCs w:val="16"/>
        </w:rPr>
      </w:pPr>
      <w:r w:rsidRPr="004C6449">
        <w:rPr>
          <w:rFonts w:ascii="Arial" w:hAnsi="Arial" w:cs="Arial"/>
          <w:sz w:val="16"/>
          <w:szCs w:val="16"/>
        </w:rPr>
        <w:t>Galliano, F., Madden, S. C., Tielens, A. G. G. M., Peeters, E., &amp; Jones, A. P. (2008). Variations of the Mid</w:t>
      </w:r>
      <w:r w:rsidRPr="004C6449">
        <w:rPr>
          <w:rFonts w:ascii="Cambria Math" w:hAnsi="Cambria Math" w:cs="Cambria Math"/>
          <w:sz w:val="16"/>
          <w:szCs w:val="16"/>
        </w:rPr>
        <w:t>‐</w:t>
      </w:r>
      <w:r w:rsidRPr="004C6449">
        <w:rPr>
          <w:rFonts w:ascii="Arial" w:hAnsi="Arial" w:cs="Arial"/>
          <w:sz w:val="16"/>
          <w:szCs w:val="16"/>
        </w:rPr>
        <w:t xml:space="preserve">IR Aromatic Features inside and among Galaxies.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679</w:t>
      </w:r>
      <w:r w:rsidRPr="004C6449">
        <w:rPr>
          <w:rFonts w:ascii="Arial" w:hAnsi="Arial" w:cs="Arial"/>
          <w:sz w:val="16"/>
          <w:szCs w:val="16"/>
        </w:rPr>
        <w:t xml:space="preserve">(1), 310. </w:t>
      </w:r>
      <w:hyperlink r:id="rId39" w:tgtFrame="_blank" w:history="1">
        <w:r w:rsidRPr="004C6449">
          <w:rPr>
            <w:rStyle w:val="Hyperlink"/>
            <w:rFonts w:ascii="Arial" w:hAnsi="Arial" w:cs="Arial"/>
            <w:sz w:val="16"/>
            <w:szCs w:val="16"/>
          </w:rPr>
          <w:t>https://doi.org/10.1086/587051</w:t>
        </w:r>
      </w:hyperlink>
    </w:p>
    <w:p w14:paraId="0C915EAE" w14:textId="77777777" w:rsidR="006E651E" w:rsidRPr="004C6449" w:rsidRDefault="006E651E" w:rsidP="004C6449">
      <w:pPr>
        <w:jc w:val="both"/>
        <w:rPr>
          <w:rFonts w:ascii="Arial" w:hAnsi="Arial" w:cs="Arial"/>
          <w:sz w:val="16"/>
          <w:szCs w:val="16"/>
        </w:rPr>
      </w:pPr>
    </w:p>
    <w:p w14:paraId="5012D534"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García-Bernete, I., </w:t>
      </w:r>
      <w:proofErr w:type="spellStart"/>
      <w:r w:rsidRPr="004C6449">
        <w:rPr>
          <w:rFonts w:ascii="Arial" w:hAnsi="Arial" w:cs="Arial"/>
          <w:sz w:val="16"/>
          <w:szCs w:val="16"/>
        </w:rPr>
        <w:t>Rigopoulou</w:t>
      </w:r>
      <w:proofErr w:type="spellEnd"/>
      <w:r w:rsidRPr="004C6449">
        <w:rPr>
          <w:rFonts w:ascii="Arial" w:hAnsi="Arial" w:cs="Arial"/>
          <w:sz w:val="16"/>
          <w:szCs w:val="16"/>
        </w:rPr>
        <w:t xml:space="preserve">, D., Alonso-Herrero, A., Donnan, F. R., Roche, P. F., Pereira-Santella, M., </w:t>
      </w:r>
      <w:proofErr w:type="spellStart"/>
      <w:r w:rsidRPr="004C6449">
        <w:rPr>
          <w:rFonts w:ascii="Arial" w:hAnsi="Arial" w:cs="Arial"/>
          <w:sz w:val="16"/>
          <w:szCs w:val="16"/>
        </w:rPr>
        <w:t>Labiano</w:t>
      </w:r>
      <w:proofErr w:type="spellEnd"/>
      <w:r w:rsidRPr="004C6449">
        <w:rPr>
          <w:rFonts w:ascii="Arial" w:hAnsi="Arial" w:cs="Arial"/>
          <w:sz w:val="16"/>
          <w:szCs w:val="16"/>
        </w:rPr>
        <w:t>, Á., Arriba, L. P. de, Izumi, T., Almeida, C. R., Shimizu, T., Hönig, S., García</w:t>
      </w:r>
      <w:r w:rsidRPr="004C6449">
        <w:rPr>
          <w:rFonts w:ascii="Cambria Math" w:hAnsi="Cambria Math" w:cs="Cambria Math"/>
          <w:sz w:val="16"/>
          <w:szCs w:val="16"/>
        </w:rPr>
        <w:t>‐</w:t>
      </w:r>
      <w:r w:rsidRPr="004C6449">
        <w:rPr>
          <w:rFonts w:ascii="Arial" w:hAnsi="Arial" w:cs="Arial"/>
          <w:sz w:val="16"/>
          <w:szCs w:val="16"/>
        </w:rPr>
        <w:t xml:space="preserve">Burillo, S., Rosario, D. J., Ward, M. J., Bellocchi, E., Hicks, E. K. S., Fuller, L., &amp; Packham, C. (2022). A high angular resolution view of the PAH emission in Seyfert galaxies using JWST/MRS data.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40" w:tgtFrame="_blank" w:history="1">
        <w:r w:rsidRPr="004C6449">
          <w:rPr>
            <w:rStyle w:val="Hyperlink"/>
            <w:rFonts w:ascii="Arial" w:hAnsi="Arial" w:cs="Arial"/>
            <w:sz w:val="16"/>
            <w:szCs w:val="16"/>
          </w:rPr>
          <w:t>https://doi.org/10.48550/arXiv.2208.11620</w:t>
        </w:r>
      </w:hyperlink>
    </w:p>
    <w:p w14:paraId="7D8A00DB"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Goicoechea, J. R., Pety, J., Gérin, M., </w:t>
      </w:r>
      <w:proofErr w:type="spellStart"/>
      <w:r w:rsidRPr="004C6449">
        <w:rPr>
          <w:rFonts w:ascii="Arial" w:hAnsi="Arial" w:cs="Arial"/>
          <w:sz w:val="16"/>
          <w:szCs w:val="16"/>
        </w:rPr>
        <w:t>Hily-Blant</w:t>
      </w:r>
      <w:proofErr w:type="spellEnd"/>
      <w:r w:rsidRPr="004C6449">
        <w:rPr>
          <w:rFonts w:ascii="Arial" w:hAnsi="Arial" w:cs="Arial"/>
          <w:sz w:val="16"/>
          <w:szCs w:val="16"/>
        </w:rPr>
        <w:t xml:space="preserve">, P., &amp; </w:t>
      </w:r>
      <w:proofErr w:type="spellStart"/>
      <w:r w:rsidRPr="004C6449">
        <w:rPr>
          <w:rFonts w:ascii="Arial" w:hAnsi="Arial" w:cs="Arial"/>
          <w:sz w:val="16"/>
          <w:szCs w:val="16"/>
        </w:rPr>
        <w:t>Bourlot</w:t>
      </w:r>
      <w:proofErr w:type="spellEnd"/>
      <w:r w:rsidRPr="004C6449">
        <w:rPr>
          <w:rFonts w:ascii="Arial" w:hAnsi="Arial" w:cs="Arial"/>
          <w:sz w:val="16"/>
          <w:szCs w:val="16"/>
        </w:rPr>
        <w:t xml:space="preserve">, J. L. (2009). The ionization fraction gradient across the Horsehead edge: an archetype for molecular clouds.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498</w:t>
      </w:r>
      <w:r w:rsidRPr="004C6449">
        <w:rPr>
          <w:rFonts w:ascii="Arial" w:hAnsi="Arial" w:cs="Arial"/>
          <w:sz w:val="16"/>
          <w:szCs w:val="16"/>
        </w:rPr>
        <w:t xml:space="preserve">(3), 771. </w:t>
      </w:r>
      <w:hyperlink r:id="rId41" w:tgtFrame="_blank" w:history="1">
        <w:r w:rsidRPr="004C6449">
          <w:rPr>
            <w:rStyle w:val="Hyperlink"/>
            <w:rFonts w:ascii="Arial" w:hAnsi="Arial" w:cs="Arial"/>
            <w:sz w:val="16"/>
            <w:szCs w:val="16"/>
          </w:rPr>
          <w:t>https://doi.org/10.1051/0004-6361/200811496</w:t>
        </w:r>
      </w:hyperlink>
    </w:p>
    <w:p w14:paraId="3B1238E1"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Gordon, K. D., </w:t>
      </w:r>
      <w:proofErr w:type="spellStart"/>
      <w:r w:rsidRPr="004C6449">
        <w:rPr>
          <w:rFonts w:ascii="Arial" w:hAnsi="Arial" w:cs="Arial"/>
          <w:sz w:val="16"/>
          <w:szCs w:val="16"/>
        </w:rPr>
        <w:t>Engelbracht</w:t>
      </w:r>
      <w:proofErr w:type="spellEnd"/>
      <w:r w:rsidRPr="004C6449">
        <w:rPr>
          <w:rFonts w:ascii="Arial" w:hAnsi="Arial" w:cs="Arial"/>
          <w:sz w:val="16"/>
          <w:szCs w:val="16"/>
        </w:rPr>
        <w:t xml:space="preserve">, C. W., Rieke, G. H., </w:t>
      </w:r>
      <w:proofErr w:type="spellStart"/>
      <w:r w:rsidRPr="004C6449">
        <w:rPr>
          <w:rFonts w:ascii="Arial" w:hAnsi="Arial" w:cs="Arial"/>
          <w:sz w:val="16"/>
          <w:szCs w:val="16"/>
        </w:rPr>
        <w:t>Misselt</w:t>
      </w:r>
      <w:proofErr w:type="spellEnd"/>
      <w:r w:rsidRPr="004C6449">
        <w:rPr>
          <w:rFonts w:ascii="Arial" w:hAnsi="Arial" w:cs="Arial"/>
          <w:sz w:val="16"/>
          <w:szCs w:val="16"/>
        </w:rPr>
        <w:t xml:space="preserve">, K. A., Smith, J.-D. T., &amp; Kennicutt, R. C. (2008). The Behavior of the Aromatic Features in M101 HII Regions: Evidence for Dust Processing. </w:t>
      </w:r>
      <w:proofErr w:type="spellStart"/>
      <w:r w:rsidRPr="004C6449">
        <w:rPr>
          <w:rFonts w:ascii="Arial" w:hAnsi="Arial" w:cs="Arial"/>
          <w:i/>
          <w:iCs/>
          <w:sz w:val="16"/>
          <w:szCs w:val="16"/>
        </w:rPr>
        <w:t>arXiv</w:t>
      </w:r>
      <w:proofErr w:type="spellEnd"/>
      <w:r w:rsidRPr="004C6449">
        <w:rPr>
          <w:rFonts w:ascii="Arial" w:hAnsi="Arial" w:cs="Arial"/>
          <w:sz w:val="16"/>
          <w:szCs w:val="16"/>
        </w:rPr>
        <w:t xml:space="preserve">. </w:t>
      </w:r>
      <w:hyperlink r:id="rId42" w:tgtFrame="_blank" w:history="1">
        <w:r w:rsidRPr="004C6449">
          <w:rPr>
            <w:rStyle w:val="Hyperlink"/>
            <w:rFonts w:ascii="Arial" w:hAnsi="Arial" w:cs="Arial"/>
            <w:sz w:val="16"/>
            <w:szCs w:val="16"/>
          </w:rPr>
          <w:t>https://doi.org/10.48550/ARXIV.0804.3223</w:t>
        </w:r>
      </w:hyperlink>
    </w:p>
    <w:p w14:paraId="451CF2F1"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Hélou, G., Malhotra, S., Hollenbach, D. J., Dale, D. A., &amp; Contursi, A. (2000). Evidence for the Heating of Atomic Interstellar Gas by PAHs.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43" w:tgtFrame="_blank" w:history="1">
        <w:r w:rsidRPr="004C6449">
          <w:rPr>
            <w:rStyle w:val="Hyperlink"/>
            <w:rFonts w:ascii="Arial" w:hAnsi="Arial" w:cs="Arial"/>
            <w:sz w:val="16"/>
            <w:szCs w:val="16"/>
          </w:rPr>
          <w:t>https://doi.org/10.48550/arXiv.0010377</w:t>
        </w:r>
      </w:hyperlink>
    </w:p>
    <w:p w14:paraId="02A0F447"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Hensley, B. S., Murray, C. E., &amp; </w:t>
      </w:r>
      <w:proofErr w:type="spellStart"/>
      <w:r w:rsidRPr="004C6449">
        <w:rPr>
          <w:rFonts w:ascii="Arial" w:hAnsi="Arial" w:cs="Arial"/>
          <w:sz w:val="16"/>
          <w:szCs w:val="16"/>
        </w:rPr>
        <w:t>Dodici</w:t>
      </w:r>
      <w:proofErr w:type="spellEnd"/>
      <w:r w:rsidRPr="004C6449">
        <w:rPr>
          <w:rFonts w:ascii="Arial" w:hAnsi="Arial" w:cs="Arial"/>
          <w:sz w:val="16"/>
          <w:szCs w:val="16"/>
        </w:rPr>
        <w:t xml:space="preserve">, M. (2022). Polycyclic Aromatic Hydrocarbons, Anomalous Microwave Emission, and their Connection to the Cold Neutral Medium.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929</w:t>
      </w:r>
      <w:r w:rsidRPr="004C6449">
        <w:rPr>
          <w:rFonts w:ascii="Arial" w:hAnsi="Arial" w:cs="Arial"/>
          <w:sz w:val="16"/>
          <w:szCs w:val="16"/>
        </w:rPr>
        <w:t xml:space="preserve">(1), 23. </w:t>
      </w:r>
      <w:hyperlink r:id="rId44" w:tgtFrame="_blank" w:history="1">
        <w:r w:rsidRPr="004C6449">
          <w:rPr>
            <w:rStyle w:val="Hyperlink"/>
            <w:rFonts w:ascii="Arial" w:hAnsi="Arial" w:cs="Arial"/>
            <w:sz w:val="16"/>
            <w:szCs w:val="16"/>
          </w:rPr>
          <w:t>https://doi.org/10.3847/1538-4357/ac5cbd</w:t>
        </w:r>
      </w:hyperlink>
    </w:p>
    <w:p w14:paraId="73C7EA68"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Hu, N., Wang, E., Lin, Z., Kong, X., Cheng, F. Z., Zou, F., Fang, G., Lin, L., Mao, Y.-W., Wang, J., Zhou, X., Zhou, Z., Zhu, Y.-N., &amp; Zou, H. (2018). M101: Spectral Observations of H ii Regions and Their Physical Properties.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854</w:t>
      </w:r>
      <w:r w:rsidRPr="004C6449">
        <w:rPr>
          <w:rFonts w:ascii="Arial" w:hAnsi="Arial" w:cs="Arial"/>
          <w:sz w:val="16"/>
          <w:szCs w:val="16"/>
        </w:rPr>
        <w:t xml:space="preserve">(1), 68. </w:t>
      </w:r>
      <w:hyperlink r:id="rId45" w:tgtFrame="_blank" w:history="1">
        <w:r w:rsidRPr="004C6449">
          <w:rPr>
            <w:rStyle w:val="Hyperlink"/>
            <w:rFonts w:ascii="Arial" w:hAnsi="Arial" w:cs="Arial"/>
            <w:sz w:val="16"/>
            <w:szCs w:val="16"/>
          </w:rPr>
          <w:t>https://doi.org/10.3847/1538-4357/aaa6ca</w:t>
        </w:r>
      </w:hyperlink>
    </w:p>
    <w:p w14:paraId="47F2CCA7" w14:textId="4024933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Kang, X., Chang, R., </w:t>
      </w:r>
      <w:proofErr w:type="spellStart"/>
      <w:r w:rsidRPr="004C6449">
        <w:rPr>
          <w:rFonts w:ascii="Arial" w:hAnsi="Arial" w:cs="Arial"/>
          <w:sz w:val="16"/>
          <w:szCs w:val="16"/>
        </w:rPr>
        <w:t>Kudritzki</w:t>
      </w:r>
      <w:proofErr w:type="spellEnd"/>
      <w:r w:rsidRPr="004C6449">
        <w:rPr>
          <w:rFonts w:ascii="Arial" w:hAnsi="Arial" w:cs="Arial"/>
          <w:sz w:val="16"/>
          <w:szCs w:val="16"/>
        </w:rPr>
        <w:t xml:space="preserve">, R., Gong, X.-B., &amp; Zhang, F. (2021). Breaking the degeneracy between gas inflow and outflows with stellar metallicity: insights on M 101.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502</w:t>
      </w:r>
      <w:r w:rsidRPr="004C6449">
        <w:rPr>
          <w:rFonts w:ascii="Arial" w:hAnsi="Arial" w:cs="Arial"/>
          <w:sz w:val="16"/>
          <w:szCs w:val="16"/>
        </w:rPr>
        <w:t xml:space="preserve">(2), 1967. </w:t>
      </w:r>
      <w:hyperlink r:id="rId46" w:tgtFrame="_blank" w:history="1">
        <w:r w:rsidRPr="004C6449">
          <w:rPr>
            <w:rStyle w:val="Hyperlink"/>
            <w:rFonts w:ascii="Arial" w:hAnsi="Arial" w:cs="Arial"/>
            <w:sz w:val="16"/>
            <w:szCs w:val="16"/>
          </w:rPr>
          <w:t>https://doi.org/10.1093/mnras/stab147</w:t>
        </w:r>
      </w:hyperlink>
    </w:p>
    <w:p w14:paraId="48A2069F"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lastRenderedPageBreak/>
        <w:t>Khramtsova</w:t>
      </w:r>
      <w:proofErr w:type="spellEnd"/>
      <w:r w:rsidRPr="004C6449">
        <w:rPr>
          <w:rFonts w:ascii="Arial" w:hAnsi="Arial" w:cs="Arial"/>
          <w:sz w:val="16"/>
          <w:szCs w:val="16"/>
        </w:rPr>
        <w:t xml:space="preserve">, M. S., Wiebe, D. S., Boley, P. A., &amp; </w:t>
      </w:r>
      <w:proofErr w:type="spellStart"/>
      <w:r w:rsidRPr="004C6449">
        <w:rPr>
          <w:rFonts w:ascii="Arial" w:hAnsi="Arial" w:cs="Arial"/>
          <w:sz w:val="16"/>
          <w:szCs w:val="16"/>
        </w:rPr>
        <w:t>Pavlyuchenkov</w:t>
      </w:r>
      <w:proofErr w:type="spellEnd"/>
      <w:r w:rsidRPr="004C6449">
        <w:rPr>
          <w:rFonts w:ascii="Arial" w:hAnsi="Arial" w:cs="Arial"/>
          <w:sz w:val="16"/>
          <w:szCs w:val="16"/>
        </w:rPr>
        <w:t xml:space="preserve">, </w:t>
      </w:r>
      <w:proofErr w:type="spellStart"/>
      <w:r w:rsidRPr="004C6449">
        <w:rPr>
          <w:rFonts w:ascii="Arial" w:hAnsi="Arial" w:cs="Arial"/>
          <w:sz w:val="16"/>
          <w:szCs w:val="16"/>
        </w:rPr>
        <w:t>Ya</w:t>
      </w:r>
      <w:proofErr w:type="spellEnd"/>
      <w:r w:rsidRPr="004C6449">
        <w:rPr>
          <w:rFonts w:ascii="Arial" w:hAnsi="Arial" w:cs="Arial"/>
          <w:sz w:val="16"/>
          <w:szCs w:val="16"/>
        </w:rPr>
        <w:t xml:space="preserve">. N. (2013b). Polycyclic aromatic hydrocarbons in spatially resolved extragalactic star-forming complexes.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431</w:t>
      </w:r>
      <w:r w:rsidRPr="004C6449">
        <w:rPr>
          <w:rFonts w:ascii="Arial" w:hAnsi="Arial" w:cs="Arial"/>
          <w:sz w:val="16"/>
          <w:szCs w:val="16"/>
        </w:rPr>
        <w:t xml:space="preserve">(2), 2006. </w:t>
      </w:r>
      <w:hyperlink r:id="rId47" w:tgtFrame="_blank" w:history="1">
        <w:r w:rsidRPr="004C6449">
          <w:rPr>
            <w:rStyle w:val="Hyperlink"/>
            <w:rFonts w:ascii="Arial" w:hAnsi="Arial" w:cs="Arial"/>
            <w:sz w:val="16"/>
            <w:szCs w:val="16"/>
          </w:rPr>
          <w:t>https://doi.org/10.1093/mnras/stt319</w:t>
        </w:r>
      </w:hyperlink>
    </w:p>
    <w:p w14:paraId="0AE4E771"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Khramtsova</w:t>
      </w:r>
      <w:proofErr w:type="spellEnd"/>
      <w:r w:rsidRPr="004C6449">
        <w:rPr>
          <w:rFonts w:ascii="Arial" w:hAnsi="Arial" w:cs="Arial"/>
          <w:sz w:val="16"/>
          <w:szCs w:val="16"/>
        </w:rPr>
        <w:t xml:space="preserve">, M. S., Wiebe, D. S., </w:t>
      </w:r>
      <w:proofErr w:type="spellStart"/>
      <w:r w:rsidRPr="004C6449">
        <w:rPr>
          <w:rFonts w:ascii="Arial" w:hAnsi="Arial" w:cs="Arial"/>
          <w:sz w:val="16"/>
          <w:szCs w:val="16"/>
        </w:rPr>
        <w:t>Lozinskaya</w:t>
      </w:r>
      <w:proofErr w:type="spellEnd"/>
      <w:r w:rsidRPr="004C6449">
        <w:rPr>
          <w:rFonts w:ascii="Arial" w:hAnsi="Arial" w:cs="Arial"/>
          <w:sz w:val="16"/>
          <w:szCs w:val="16"/>
        </w:rPr>
        <w:t xml:space="preserve">, T. A., &amp; Egorov, O. V. (2014). Optical and infrared emission of H ii complexes as a clue to the PAH life cycle.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444</w:t>
      </w:r>
      <w:r w:rsidRPr="004C6449">
        <w:rPr>
          <w:rFonts w:ascii="Arial" w:hAnsi="Arial" w:cs="Arial"/>
          <w:sz w:val="16"/>
          <w:szCs w:val="16"/>
        </w:rPr>
        <w:t xml:space="preserve">(1), 757. </w:t>
      </w:r>
      <w:hyperlink r:id="rId48" w:tgtFrame="_blank" w:history="1">
        <w:r w:rsidRPr="004C6449">
          <w:rPr>
            <w:rStyle w:val="Hyperlink"/>
            <w:rFonts w:ascii="Arial" w:hAnsi="Arial" w:cs="Arial"/>
            <w:sz w:val="16"/>
            <w:szCs w:val="16"/>
          </w:rPr>
          <w:t>https://doi.org/10.1093/mnras/stu1482</w:t>
        </w:r>
      </w:hyperlink>
    </w:p>
    <w:p w14:paraId="0A8FA030" w14:textId="77777777" w:rsidR="006E651E" w:rsidRDefault="006E651E" w:rsidP="004C6449">
      <w:pPr>
        <w:jc w:val="both"/>
        <w:rPr>
          <w:rFonts w:ascii="Arial" w:hAnsi="Arial" w:cs="Arial"/>
          <w:sz w:val="16"/>
          <w:szCs w:val="16"/>
        </w:rPr>
      </w:pPr>
      <w:proofErr w:type="spellStart"/>
      <w:r w:rsidRPr="004C6449">
        <w:rPr>
          <w:rFonts w:ascii="Arial" w:hAnsi="Arial" w:cs="Arial"/>
          <w:sz w:val="16"/>
          <w:szCs w:val="16"/>
        </w:rPr>
        <w:t>Khramtsova</w:t>
      </w:r>
      <w:proofErr w:type="spellEnd"/>
      <w:r w:rsidRPr="004C6449">
        <w:rPr>
          <w:rFonts w:ascii="Arial" w:hAnsi="Arial" w:cs="Arial"/>
          <w:sz w:val="16"/>
          <w:szCs w:val="16"/>
        </w:rPr>
        <w:t xml:space="preserve">, M. S., Wiebe, D. S., </w:t>
      </w:r>
      <w:proofErr w:type="spellStart"/>
      <w:r w:rsidRPr="004C6449">
        <w:rPr>
          <w:rFonts w:ascii="Arial" w:hAnsi="Arial" w:cs="Arial"/>
          <w:sz w:val="16"/>
          <w:szCs w:val="16"/>
        </w:rPr>
        <w:t>Lozinskaya</w:t>
      </w:r>
      <w:proofErr w:type="spellEnd"/>
      <w:r w:rsidRPr="004C6449">
        <w:rPr>
          <w:rFonts w:ascii="Arial" w:hAnsi="Arial" w:cs="Arial"/>
          <w:sz w:val="16"/>
          <w:szCs w:val="16"/>
        </w:rPr>
        <w:t xml:space="preserve">, T. A., &amp; Egorov, O. V. (2014). Optical and infrared emission of H ii complexes as a clue to the PAH life cycle.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444</w:t>
      </w:r>
      <w:r w:rsidRPr="004C6449">
        <w:rPr>
          <w:rFonts w:ascii="Arial" w:hAnsi="Arial" w:cs="Arial"/>
          <w:sz w:val="16"/>
          <w:szCs w:val="16"/>
        </w:rPr>
        <w:t xml:space="preserve">(1), 757. </w:t>
      </w:r>
      <w:hyperlink r:id="rId49" w:tgtFrame="_blank" w:history="1">
        <w:r w:rsidRPr="004C6449">
          <w:rPr>
            <w:rStyle w:val="Hyperlink"/>
            <w:rFonts w:ascii="Arial" w:hAnsi="Arial" w:cs="Arial"/>
            <w:sz w:val="16"/>
            <w:szCs w:val="16"/>
          </w:rPr>
          <w:t>https://doi.org/10.1093/mnras/stu1482</w:t>
        </w:r>
      </w:hyperlink>
    </w:p>
    <w:p w14:paraId="75CEB946" w14:textId="77777777" w:rsidR="006E651E" w:rsidRPr="004C6449" w:rsidRDefault="006E651E" w:rsidP="004C6449">
      <w:pPr>
        <w:jc w:val="both"/>
        <w:rPr>
          <w:rFonts w:ascii="Arial" w:hAnsi="Arial" w:cs="Arial"/>
          <w:sz w:val="16"/>
          <w:szCs w:val="16"/>
        </w:rPr>
      </w:pPr>
    </w:p>
    <w:p w14:paraId="43010583" w14:textId="77777777" w:rsidR="006E651E" w:rsidRPr="004C6449" w:rsidRDefault="006E651E" w:rsidP="004C6449">
      <w:pPr>
        <w:jc w:val="both"/>
        <w:rPr>
          <w:rFonts w:ascii="Arial" w:hAnsi="Arial" w:cs="Arial"/>
          <w:sz w:val="16"/>
          <w:szCs w:val="16"/>
        </w:rPr>
      </w:pPr>
      <w:r w:rsidRPr="004C6449">
        <w:rPr>
          <w:rFonts w:ascii="Arial" w:hAnsi="Arial" w:cs="Arial"/>
          <w:sz w:val="16"/>
          <w:szCs w:val="16"/>
        </w:rPr>
        <w:t xml:space="preserve">Knight, C., Peeters, E., Tielens, A. G. G. M., &amp; Vacca, W. D. (2021). Characterizing the PAH emission in the Orion Bar.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509</w:t>
      </w:r>
      <w:r w:rsidRPr="004C6449">
        <w:rPr>
          <w:rFonts w:ascii="Arial" w:hAnsi="Arial" w:cs="Arial"/>
          <w:sz w:val="16"/>
          <w:szCs w:val="16"/>
        </w:rPr>
        <w:t xml:space="preserve">(3), 3523. </w:t>
      </w:r>
      <w:hyperlink r:id="rId50" w:tgtFrame="_blank" w:history="1">
        <w:r w:rsidRPr="004C6449">
          <w:rPr>
            <w:rStyle w:val="Hyperlink"/>
            <w:rFonts w:ascii="Arial" w:hAnsi="Arial" w:cs="Arial"/>
            <w:sz w:val="16"/>
            <w:szCs w:val="16"/>
          </w:rPr>
          <w:t>https://doi.org/10.1093/mnras/stab3047</w:t>
        </w:r>
      </w:hyperlink>
    </w:p>
    <w:p w14:paraId="193D55A6"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Knight, C., Peeters, E., </w:t>
      </w:r>
      <w:proofErr w:type="spellStart"/>
      <w:r w:rsidRPr="004C6449">
        <w:rPr>
          <w:rFonts w:ascii="Arial" w:hAnsi="Arial" w:cs="Arial"/>
          <w:sz w:val="16"/>
          <w:szCs w:val="16"/>
        </w:rPr>
        <w:t>Wolfire</w:t>
      </w:r>
      <w:proofErr w:type="spellEnd"/>
      <w:r w:rsidRPr="004C6449">
        <w:rPr>
          <w:rFonts w:ascii="Arial" w:hAnsi="Arial" w:cs="Arial"/>
          <w:sz w:val="16"/>
          <w:szCs w:val="16"/>
        </w:rPr>
        <w:t xml:space="preserve">, M. G., &amp; Stock, D. J. (2021). Characterizing spatial variations of PAH emission in the reflection nebula NGC 1333.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510</w:t>
      </w:r>
      <w:r w:rsidRPr="004C6449">
        <w:rPr>
          <w:rFonts w:ascii="Arial" w:hAnsi="Arial" w:cs="Arial"/>
          <w:sz w:val="16"/>
          <w:szCs w:val="16"/>
        </w:rPr>
        <w:t xml:space="preserve">(4), 4888. </w:t>
      </w:r>
      <w:hyperlink r:id="rId51" w:tgtFrame="_blank" w:history="1">
        <w:r w:rsidRPr="004C6449">
          <w:rPr>
            <w:rStyle w:val="Hyperlink"/>
            <w:rFonts w:ascii="Arial" w:hAnsi="Arial" w:cs="Arial"/>
            <w:sz w:val="16"/>
            <w:szCs w:val="16"/>
          </w:rPr>
          <w:t>https://doi.org/10.1093/mnras/stab3295</w:t>
        </w:r>
      </w:hyperlink>
    </w:p>
    <w:p w14:paraId="610B79B9" w14:textId="77777777" w:rsidR="006E651E" w:rsidRDefault="006E651E" w:rsidP="004C6449">
      <w:pPr>
        <w:jc w:val="both"/>
        <w:rPr>
          <w:rFonts w:ascii="Arial" w:hAnsi="Arial" w:cs="Arial"/>
          <w:sz w:val="16"/>
          <w:szCs w:val="16"/>
        </w:rPr>
      </w:pPr>
      <w:r w:rsidRPr="004C6449">
        <w:rPr>
          <w:rFonts w:ascii="Arial" w:hAnsi="Arial" w:cs="Arial"/>
          <w:sz w:val="16"/>
          <w:szCs w:val="16"/>
        </w:rPr>
        <w:t xml:space="preserve">Knight, C., Peeters, E., </w:t>
      </w:r>
      <w:proofErr w:type="spellStart"/>
      <w:r w:rsidRPr="004C6449">
        <w:rPr>
          <w:rFonts w:ascii="Arial" w:hAnsi="Arial" w:cs="Arial"/>
          <w:sz w:val="16"/>
          <w:szCs w:val="16"/>
        </w:rPr>
        <w:t>Wolfire</w:t>
      </w:r>
      <w:proofErr w:type="spellEnd"/>
      <w:r w:rsidRPr="004C6449">
        <w:rPr>
          <w:rFonts w:ascii="Arial" w:hAnsi="Arial" w:cs="Arial"/>
          <w:sz w:val="16"/>
          <w:szCs w:val="16"/>
        </w:rPr>
        <w:t xml:space="preserve">, M. G., &amp; Stock, D. J. (2021). Characterizing spatial variations of PAH emission in the reflection nebula NGC 1333.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510</w:t>
      </w:r>
      <w:r w:rsidRPr="004C6449">
        <w:rPr>
          <w:rFonts w:ascii="Arial" w:hAnsi="Arial" w:cs="Arial"/>
          <w:sz w:val="16"/>
          <w:szCs w:val="16"/>
        </w:rPr>
        <w:t xml:space="preserve">(4), 4888. </w:t>
      </w:r>
      <w:hyperlink r:id="rId52" w:tgtFrame="_blank" w:history="1">
        <w:r w:rsidRPr="004C6449">
          <w:rPr>
            <w:rStyle w:val="Hyperlink"/>
            <w:rFonts w:ascii="Arial" w:hAnsi="Arial" w:cs="Arial"/>
            <w:sz w:val="16"/>
            <w:szCs w:val="16"/>
          </w:rPr>
          <w:t>https://doi.org/10.1093/mnras/stab3295</w:t>
        </w:r>
      </w:hyperlink>
    </w:p>
    <w:p w14:paraId="18920283" w14:textId="77777777" w:rsidR="006E651E" w:rsidRPr="004C6449" w:rsidRDefault="006E651E" w:rsidP="004C6449">
      <w:pPr>
        <w:jc w:val="both"/>
        <w:rPr>
          <w:rFonts w:ascii="Arial" w:hAnsi="Arial" w:cs="Arial"/>
          <w:sz w:val="16"/>
          <w:szCs w:val="16"/>
        </w:rPr>
      </w:pPr>
    </w:p>
    <w:p w14:paraId="746A32B0"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Labiano</w:t>
      </w:r>
      <w:proofErr w:type="spellEnd"/>
      <w:r w:rsidRPr="004C6449">
        <w:rPr>
          <w:rFonts w:ascii="Arial" w:hAnsi="Arial" w:cs="Arial"/>
          <w:sz w:val="16"/>
          <w:szCs w:val="16"/>
        </w:rPr>
        <w:t xml:space="preserve">, Á., Argyriou, I., Álvarez-Márquez, J., Glasse, A., Glauser, A. M., </w:t>
      </w:r>
      <w:proofErr w:type="spellStart"/>
      <w:r w:rsidRPr="004C6449">
        <w:rPr>
          <w:rFonts w:ascii="Arial" w:hAnsi="Arial" w:cs="Arial"/>
          <w:sz w:val="16"/>
          <w:szCs w:val="16"/>
        </w:rPr>
        <w:t>Patapis</w:t>
      </w:r>
      <w:proofErr w:type="spellEnd"/>
      <w:r w:rsidRPr="004C6449">
        <w:rPr>
          <w:rFonts w:ascii="Arial" w:hAnsi="Arial" w:cs="Arial"/>
          <w:sz w:val="16"/>
          <w:szCs w:val="16"/>
        </w:rPr>
        <w:t xml:space="preserve">, P., Law, D. R., Brandl, B. R., </w:t>
      </w:r>
      <w:proofErr w:type="spellStart"/>
      <w:r w:rsidRPr="004C6449">
        <w:rPr>
          <w:rFonts w:ascii="Arial" w:hAnsi="Arial" w:cs="Arial"/>
          <w:sz w:val="16"/>
          <w:szCs w:val="16"/>
        </w:rPr>
        <w:t>Justtanont</w:t>
      </w:r>
      <w:proofErr w:type="spellEnd"/>
      <w:r w:rsidRPr="004C6449">
        <w:rPr>
          <w:rFonts w:ascii="Arial" w:hAnsi="Arial" w:cs="Arial"/>
          <w:sz w:val="16"/>
          <w:szCs w:val="16"/>
        </w:rPr>
        <w:t xml:space="preserve">, K., </w:t>
      </w:r>
      <w:proofErr w:type="spellStart"/>
      <w:r w:rsidRPr="004C6449">
        <w:rPr>
          <w:rFonts w:ascii="Arial" w:hAnsi="Arial" w:cs="Arial"/>
          <w:sz w:val="16"/>
          <w:szCs w:val="16"/>
        </w:rPr>
        <w:t>Lahuis</w:t>
      </w:r>
      <w:proofErr w:type="spellEnd"/>
      <w:r w:rsidRPr="004C6449">
        <w:rPr>
          <w:rFonts w:ascii="Arial" w:hAnsi="Arial" w:cs="Arial"/>
          <w:sz w:val="16"/>
          <w:szCs w:val="16"/>
        </w:rPr>
        <w:t>, F., Martínez-Galarza, J. R., Mueller, M., Noriega</w:t>
      </w:r>
      <w:r w:rsidRPr="004C6449">
        <w:rPr>
          <w:rFonts w:ascii="Cambria Math" w:hAnsi="Cambria Math" w:cs="Cambria Math"/>
          <w:sz w:val="16"/>
          <w:szCs w:val="16"/>
        </w:rPr>
        <w:t>‐</w:t>
      </w:r>
      <w:r w:rsidRPr="004C6449">
        <w:rPr>
          <w:rFonts w:ascii="Arial" w:hAnsi="Arial" w:cs="Arial"/>
          <w:sz w:val="16"/>
          <w:szCs w:val="16"/>
        </w:rPr>
        <w:t xml:space="preserve">Crespo, A., Royer, P., Shaughnessy, B., &amp; Vandenbussche, B. (2021). Wavelength calibration and resolving power of the JWST MIRI Medium Resolution Spectrometer.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656</w:t>
      </w:r>
      <w:r w:rsidRPr="004C6449">
        <w:rPr>
          <w:rFonts w:ascii="Arial" w:hAnsi="Arial" w:cs="Arial"/>
          <w:sz w:val="16"/>
          <w:szCs w:val="16"/>
        </w:rPr>
        <w:t xml:space="preserve">. </w:t>
      </w:r>
      <w:hyperlink r:id="rId53" w:tgtFrame="_blank" w:history="1">
        <w:r w:rsidRPr="004C6449">
          <w:rPr>
            <w:rStyle w:val="Hyperlink"/>
            <w:rFonts w:ascii="Arial" w:hAnsi="Arial" w:cs="Arial"/>
            <w:sz w:val="16"/>
            <w:szCs w:val="16"/>
          </w:rPr>
          <w:t>https://doi.org/10.1051/0004-6361/202140614</w:t>
        </w:r>
      </w:hyperlink>
    </w:p>
    <w:p w14:paraId="292770E4"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Li, A. (2020). Spitzer’s perspective of polycyclic aromatic hydrocarbons in galaxies. </w:t>
      </w:r>
      <w:r w:rsidRPr="004C6449">
        <w:rPr>
          <w:rFonts w:ascii="Arial" w:hAnsi="Arial" w:cs="Arial"/>
          <w:i/>
          <w:iCs/>
          <w:sz w:val="16"/>
          <w:szCs w:val="16"/>
        </w:rPr>
        <w:t>Nature Astronomy</w:t>
      </w:r>
      <w:r w:rsidRPr="004C6449">
        <w:rPr>
          <w:rFonts w:ascii="Arial" w:hAnsi="Arial" w:cs="Arial"/>
          <w:sz w:val="16"/>
          <w:szCs w:val="16"/>
        </w:rPr>
        <w:t xml:space="preserve">, </w:t>
      </w:r>
      <w:r w:rsidRPr="004C6449">
        <w:rPr>
          <w:rFonts w:ascii="Arial" w:hAnsi="Arial" w:cs="Arial"/>
          <w:i/>
          <w:iCs/>
          <w:sz w:val="16"/>
          <w:szCs w:val="16"/>
        </w:rPr>
        <w:t>4</w:t>
      </w:r>
      <w:r w:rsidRPr="004C6449">
        <w:rPr>
          <w:rFonts w:ascii="Arial" w:hAnsi="Arial" w:cs="Arial"/>
          <w:sz w:val="16"/>
          <w:szCs w:val="16"/>
        </w:rPr>
        <w:t xml:space="preserve">(4), 339. </w:t>
      </w:r>
      <w:hyperlink r:id="rId54" w:tgtFrame="_blank" w:history="1">
        <w:r w:rsidRPr="004C6449">
          <w:rPr>
            <w:rStyle w:val="Hyperlink"/>
            <w:rFonts w:ascii="Arial" w:hAnsi="Arial" w:cs="Arial"/>
            <w:sz w:val="16"/>
            <w:szCs w:val="16"/>
          </w:rPr>
          <w:t>https://doi.org/10.1038/s41550-020-1051-1</w:t>
        </w:r>
      </w:hyperlink>
    </w:p>
    <w:p w14:paraId="6922A455"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Lin, L., Zou, H., Kong, X., Lin, X., Mao, Y.-W., Cheng, F. Z., Jiang, Z., &amp; Zhou, X. (2013). GRADIENTS OF STELLAR POPULATION PROPERTIES AND EVOLUTION CLUES IN A NEARBY GALAXY M101.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769</w:t>
      </w:r>
      <w:r w:rsidRPr="004C6449">
        <w:rPr>
          <w:rFonts w:ascii="Arial" w:hAnsi="Arial" w:cs="Arial"/>
          <w:sz w:val="16"/>
          <w:szCs w:val="16"/>
        </w:rPr>
        <w:t xml:space="preserve">(2), 127. </w:t>
      </w:r>
      <w:hyperlink r:id="rId55" w:tgtFrame="_blank" w:history="1">
        <w:r w:rsidRPr="004C6449">
          <w:rPr>
            <w:rStyle w:val="Hyperlink"/>
            <w:rFonts w:ascii="Arial" w:hAnsi="Arial" w:cs="Arial"/>
            <w:sz w:val="16"/>
            <w:szCs w:val="16"/>
          </w:rPr>
          <w:t>https://doi.org/10.1088/0004-637x/769/2/127</w:t>
        </w:r>
      </w:hyperlink>
    </w:p>
    <w:p w14:paraId="710731FC"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Lin, L., Zou, H., Kong, X., Lin, X., Mao, Y., Jiang, Z., &amp; Zhou, X. (2013). Gradients of Stellar Population Properties and Evolution Clues in a Nearby Galaxy M 101. </w:t>
      </w:r>
      <w:proofErr w:type="spellStart"/>
      <w:r w:rsidRPr="004C6449">
        <w:rPr>
          <w:rFonts w:ascii="Arial" w:hAnsi="Arial" w:cs="Arial"/>
          <w:i/>
          <w:iCs/>
          <w:sz w:val="16"/>
          <w:szCs w:val="16"/>
        </w:rPr>
        <w:t>arXiv</w:t>
      </w:r>
      <w:proofErr w:type="spellEnd"/>
      <w:r w:rsidRPr="004C6449">
        <w:rPr>
          <w:rFonts w:ascii="Arial" w:hAnsi="Arial" w:cs="Arial"/>
          <w:sz w:val="16"/>
          <w:szCs w:val="16"/>
        </w:rPr>
        <w:t xml:space="preserve">. </w:t>
      </w:r>
      <w:hyperlink r:id="rId56" w:tgtFrame="_blank" w:history="1">
        <w:r w:rsidRPr="004C6449">
          <w:rPr>
            <w:rStyle w:val="Hyperlink"/>
            <w:rFonts w:ascii="Arial" w:hAnsi="Arial" w:cs="Arial"/>
            <w:sz w:val="16"/>
            <w:szCs w:val="16"/>
          </w:rPr>
          <w:t>https://doi.org/10.48550/ARXIV.1304.3017</w:t>
        </w:r>
      </w:hyperlink>
    </w:p>
    <w:p w14:paraId="3C1579F9"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Linden, S. T., Pérez, G., Calzetti, D., Maji, S., Messa, M., Whitmore, B., Chandar, R., Adamo, A., Grasha, K., Cook, D., </w:t>
      </w:r>
      <w:proofErr w:type="spellStart"/>
      <w:r w:rsidRPr="004C6449">
        <w:rPr>
          <w:rFonts w:ascii="Arial" w:hAnsi="Arial" w:cs="Arial"/>
          <w:sz w:val="16"/>
          <w:szCs w:val="16"/>
        </w:rPr>
        <w:t>Elmegreen</w:t>
      </w:r>
      <w:proofErr w:type="spellEnd"/>
      <w:r w:rsidRPr="004C6449">
        <w:rPr>
          <w:rFonts w:ascii="Arial" w:hAnsi="Arial" w:cs="Arial"/>
          <w:sz w:val="16"/>
          <w:szCs w:val="16"/>
        </w:rPr>
        <w:t xml:space="preserve">, B. G., Dale, D. A., Sacchi, E., </w:t>
      </w:r>
      <w:proofErr w:type="spellStart"/>
      <w:r w:rsidRPr="004C6449">
        <w:rPr>
          <w:rFonts w:ascii="Arial" w:hAnsi="Arial" w:cs="Arial"/>
          <w:sz w:val="16"/>
          <w:szCs w:val="16"/>
        </w:rPr>
        <w:t>Sabbi</w:t>
      </w:r>
      <w:proofErr w:type="spellEnd"/>
      <w:r w:rsidRPr="004C6449">
        <w:rPr>
          <w:rFonts w:ascii="Arial" w:hAnsi="Arial" w:cs="Arial"/>
          <w:sz w:val="16"/>
          <w:szCs w:val="16"/>
        </w:rPr>
        <w:t xml:space="preserve">, E., Grebel, E. K., &amp; Smith, L. J. (2022). Star Cluster Formation and Evolution in M101: An Investigation with the Legacy Extragalactic UV Survey.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935</w:t>
      </w:r>
      <w:r w:rsidRPr="004C6449">
        <w:rPr>
          <w:rFonts w:ascii="Arial" w:hAnsi="Arial" w:cs="Arial"/>
          <w:sz w:val="16"/>
          <w:szCs w:val="16"/>
        </w:rPr>
        <w:t xml:space="preserve">(2), 166. </w:t>
      </w:r>
      <w:hyperlink r:id="rId57" w:tgtFrame="_blank" w:history="1">
        <w:r w:rsidRPr="004C6449">
          <w:rPr>
            <w:rStyle w:val="Hyperlink"/>
            <w:rFonts w:ascii="Arial" w:hAnsi="Arial" w:cs="Arial"/>
            <w:sz w:val="16"/>
            <w:szCs w:val="16"/>
          </w:rPr>
          <w:t>https://doi.org/10.3847/1538-4357/ac7c07</w:t>
        </w:r>
      </w:hyperlink>
    </w:p>
    <w:p w14:paraId="1EF50ED0"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Mackie, C. J., Peeters, E., </w:t>
      </w:r>
      <w:proofErr w:type="spellStart"/>
      <w:r w:rsidRPr="004C6449">
        <w:rPr>
          <w:rFonts w:ascii="Arial" w:hAnsi="Arial" w:cs="Arial"/>
          <w:sz w:val="16"/>
          <w:szCs w:val="16"/>
        </w:rPr>
        <w:t>Bauschlicher</w:t>
      </w:r>
      <w:proofErr w:type="spellEnd"/>
      <w:r w:rsidRPr="004C6449">
        <w:rPr>
          <w:rFonts w:ascii="Arial" w:hAnsi="Arial" w:cs="Arial"/>
          <w:sz w:val="16"/>
          <w:szCs w:val="16"/>
        </w:rPr>
        <w:t xml:space="preserve">, C. W., &amp; Cami, J. (2015). CHARACTERIZING THE INFRARED SPECTRA OF SMALL, NEUTRAL, FULLY DEHYDROGENATED POLYCYCLIC AROMATIC HYDROCARBONS.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799</w:t>
      </w:r>
      <w:r w:rsidRPr="004C6449">
        <w:rPr>
          <w:rFonts w:ascii="Arial" w:hAnsi="Arial" w:cs="Arial"/>
          <w:sz w:val="16"/>
          <w:szCs w:val="16"/>
        </w:rPr>
        <w:t xml:space="preserve">(2), 131. </w:t>
      </w:r>
      <w:hyperlink r:id="rId58" w:tgtFrame="_blank" w:history="1">
        <w:r w:rsidRPr="004C6449">
          <w:rPr>
            <w:rStyle w:val="Hyperlink"/>
            <w:rFonts w:ascii="Arial" w:hAnsi="Arial" w:cs="Arial"/>
            <w:sz w:val="16"/>
            <w:szCs w:val="16"/>
          </w:rPr>
          <w:t>https://doi.org/10.1088/0004-637x/799/2/131</w:t>
        </w:r>
      </w:hyperlink>
    </w:p>
    <w:p w14:paraId="2D963B9A" w14:textId="77777777" w:rsidR="006E651E" w:rsidRDefault="006E651E" w:rsidP="004C6449">
      <w:pPr>
        <w:spacing w:after="240"/>
        <w:jc w:val="both"/>
      </w:pPr>
      <w:r w:rsidRPr="004C6449">
        <w:rPr>
          <w:rFonts w:ascii="Arial" w:hAnsi="Arial" w:cs="Arial"/>
          <w:sz w:val="16"/>
          <w:szCs w:val="16"/>
        </w:rPr>
        <w:t xml:space="preserve">Maltseva, E., </w:t>
      </w:r>
      <w:proofErr w:type="spellStart"/>
      <w:r w:rsidRPr="004C6449">
        <w:rPr>
          <w:rFonts w:ascii="Arial" w:hAnsi="Arial" w:cs="Arial"/>
          <w:sz w:val="16"/>
          <w:szCs w:val="16"/>
        </w:rPr>
        <w:t>Petrignani</w:t>
      </w:r>
      <w:proofErr w:type="spellEnd"/>
      <w:r w:rsidRPr="004C6449">
        <w:rPr>
          <w:rFonts w:ascii="Arial" w:hAnsi="Arial" w:cs="Arial"/>
          <w:sz w:val="16"/>
          <w:szCs w:val="16"/>
        </w:rPr>
        <w:t xml:space="preserve">, A., </w:t>
      </w:r>
      <w:proofErr w:type="spellStart"/>
      <w:r w:rsidRPr="004C6449">
        <w:rPr>
          <w:rFonts w:ascii="Arial" w:hAnsi="Arial" w:cs="Arial"/>
          <w:sz w:val="16"/>
          <w:szCs w:val="16"/>
        </w:rPr>
        <w:t>Candian</w:t>
      </w:r>
      <w:proofErr w:type="spellEnd"/>
      <w:r w:rsidRPr="004C6449">
        <w:rPr>
          <w:rFonts w:ascii="Arial" w:hAnsi="Arial" w:cs="Arial"/>
          <w:sz w:val="16"/>
          <w:szCs w:val="16"/>
        </w:rPr>
        <w:t xml:space="preserve">, A., Mackie, C. J., Huang, X., Lee, T. J., Tielens, A. G. G. M., Oomens, J., &amp; Buma, W. J. (2016). HIGH-RESOLUTION IR ABSORPTION SPECTROSCOPY OF POLYCYCLIC AROMATIC HYDROCARBONS IN THE 3 μm REGION: ROLE OF PERIPHERY.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831</w:t>
      </w:r>
      <w:r w:rsidRPr="004C6449">
        <w:rPr>
          <w:rFonts w:ascii="Arial" w:hAnsi="Arial" w:cs="Arial"/>
          <w:sz w:val="16"/>
          <w:szCs w:val="16"/>
        </w:rPr>
        <w:t xml:space="preserve">(1), 58. </w:t>
      </w:r>
      <w:hyperlink r:id="rId59" w:tgtFrame="_blank" w:history="1">
        <w:r w:rsidRPr="004C6449">
          <w:rPr>
            <w:rStyle w:val="Hyperlink"/>
            <w:rFonts w:ascii="Arial" w:hAnsi="Arial" w:cs="Arial"/>
            <w:sz w:val="16"/>
            <w:szCs w:val="16"/>
          </w:rPr>
          <w:t>https://doi.org/10.3847/0004-637x/831/1/58</w:t>
        </w:r>
      </w:hyperlink>
    </w:p>
    <w:p w14:paraId="6A6EAEF0" w14:textId="179F2F6B" w:rsidR="00BE41AA" w:rsidRDefault="00BE41AA" w:rsidP="004C6449">
      <w:pPr>
        <w:spacing w:after="240"/>
        <w:jc w:val="both"/>
        <w:rPr>
          <w:rFonts w:ascii="Arial" w:hAnsi="Arial" w:cs="Arial"/>
          <w:sz w:val="16"/>
          <w:szCs w:val="16"/>
        </w:rPr>
      </w:pPr>
      <w:r w:rsidRPr="00BE41AA">
        <w:rPr>
          <w:rFonts w:ascii="Arial" w:hAnsi="Arial" w:cs="Arial"/>
          <w:sz w:val="16"/>
          <w:szCs w:val="16"/>
        </w:rPr>
        <w:t xml:space="preserve">Maurya, A., Singh, R., &amp; Rastogi, S. (2023). Study of vibrational spectra of polycyclic aromatic hydrocarbons with phenyl side group. Journal of Molecular Spectroscopy, 391, 111720. </w:t>
      </w:r>
      <w:hyperlink r:id="rId60" w:history="1">
        <w:r w:rsidRPr="00BE41AA">
          <w:rPr>
            <w:rStyle w:val="Hyperlink"/>
            <w:rFonts w:ascii="Arial" w:hAnsi="Arial" w:cs="Arial"/>
            <w:sz w:val="16"/>
            <w:szCs w:val="16"/>
          </w:rPr>
          <w:t>https://doi.org/10.1016/j.jms.2022.111720</w:t>
        </w:r>
      </w:hyperlink>
    </w:p>
    <w:p w14:paraId="5505B59D" w14:textId="3EBE6638" w:rsidR="002D1ABA" w:rsidRPr="004C6449" w:rsidRDefault="002D1ABA" w:rsidP="004C6449">
      <w:pPr>
        <w:spacing w:after="240"/>
        <w:jc w:val="both"/>
        <w:rPr>
          <w:rFonts w:ascii="Arial" w:hAnsi="Arial" w:cs="Arial"/>
          <w:sz w:val="16"/>
          <w:szCs w:val="16"/>
        </w:rPr>
      </w:pPr>
      <w:r w:rsidRPr="002D1ABA">
        <w:rPr>
          <w:rFonts w:ascii="Arial" w:hAnsi="Arial" w:cs="Arial"/>
          <w:sz w:val="16"/>
          <w:szCs w:val="16"/>
        </w:rPr>
        <w:t xml:space="preserve">Maurya, A., &amp; Rastogi, S. (2015). Vibrational spectroscopic study of vinyl substituted polycyclic aromatic hydrocarbons. </w:t>
      </w:r>
      <w:proofErr w:type="spellStart"/>
      <w:r w:rsidRPr="002D1ABA">
        <w:rPr>
          <w:rFonts w:ascii="Arial" w:hAnsi="Arial" w:cs="Arial"/>
          <w:sz w:val="16"/>
          <w:szCs w:val="16"/>
        </w:rPr>
        <w:t>Spectrochimica</w:t>
      </w:r>
      <w:proofErr w:type="spellEnd"/>
      <w:r w:rsidRPr="002D1ABA">
        <w:rPr>
          <w:rFonts w:ascii="Arial" w:hAnsi="Arial" w:cs="Arial"/>
          <w:sz w:val="16"/>
          <w:szCs w:val="16"/>
        </w:rPr>
        <w:t xml:space="preserve"> Acta Part A: Molecular and Biomolecular Spectroscopy, 151, 1–10. </w:t>
      </w:r>
      <w:hyperlink r:id="rId61" w:history="1">
        <w:r w:rsidRPr="002D1ABA">
          <w:rPr>
            <w:rStyle w:val="Hyperlink"/>
            <w:rFonts w:ascii="Arial" w:hAnsi="Arial" w:cs="Arial"/>
            <w:sz w:val="16"/>
            <w:szCs w:val="16"/>
          </w:rPr>
          <w:t>https://doi.org/10.1016/j.saa.2015.06.069</w:t>
        </w:r>
      </w:hyperlink>
    </w:p>
    <w:p w14:paraId="03515A92"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Maragkoudakis</w:t>
      </w:r>
      <w:proofErr w:type="spellEnd"/>
      <w:r w:rsidRPr="004C6449">
        <w:rPr>
          <w:rFonts w:ascii="Arial" w:hAnsi="Arial" w:cs="Arial"/>
          <w:sz w:val="16"/>
          <w:szCs w:val="16"/>
        </w:rPr>
        <w:t xml:space="preserve">, A., Boersma, C., Temi, P., Bregman, J. D., &amp; </w:t>
      </w:r>
      <w:proofErr w:type="spellStart"/>
      <w:r w:rsidRPr="004C6449">
        <w:rPr>
          <w:rFonts w:ascii="Arial" w:hAnsi="Arial" w:cs="Arial"/>
          <w:sz w:val="16"/>
          <w:szCs w:val="16"/>
        </w:rPr>
        <w:t>Allamandola</w:t>
      </w:r>
      <w:proofErr w:type="spellEnd"/>
      <w:r w:rsidRPr="004C6449">
        <w:rPr>
          <w:rFonts w:ascii="Arial" w:hAnsi="Arial" w:cs="Arial"/>
          <w:sz w:val="16"/>
          <w:szCs w:val="16"/>
        </w:rPr>
        <w:t xml:space="preserve">, L. J. (2022). Linking Characteristics of the Polycyclic Aromatic Hydrocarbon Population with Galaxy Properties: A Quantitative Approach Using the NASA Ames PAH IR Spectroscopic Database.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931</w:t>
      </w:r>
      <w:r w:rsidRPr="004C6449">
        <w:rPr>
          <w:rFonts w:ascii="Arial" w:hAnsi="Arial" w:cs="Arial"/>
          <w:sz w:val="16"/>
          <w:szCs w:val="16"/>
        </w:rPr>
        <w:t xml:space="preserve">(1), 38. </w:t>
      </w:r>
      <w:hyperlink r:id="rId62" w:tgtFrame="_blank" w:history="1">
        <w:r w:rsidRPr="004C6449">
          <w:rPr>
            <w:rStyle w:val="Hyperlink"/>
            <w:rFonts w:ascii="Arial" w:hAnsi="Arial" w:cs="Arial"/>
            <w:sz w:val="16"/>
            <w:szCs w:val="16"/>
          </w:rPr>
          <w:t>https://doi.org/10.3847/1538-4357/ac666f</w:t>
        </w:r>
      </w:hyperlink>
    </w:p>
    <w:p w14:paraId="47821873"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lastRenderedPageBreak/>
        <w:t>Maragkoudakis</w:t>
      </w:r>
      <w:proofErr w:type="spellEnd"/>
      <w:r w:rsidRPr="004C6449">
        <w:rPr>
          <w:rFonts w:ascii="Arial" w:hAnsi="Arial" w:cs="Arial"/>
          <w:sz w:val="16"/>
          <w:szCs w:val="16"/>
        </w:rPr>
        <w:t xml:space="preserve">, A., Peeters, E., &amp; Ricca, A. (2020). Probing the size and charge of polycyclic aromatic hydrocarbons.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494</w:t>
      </w:r>
      <w:r w:rsidRPr="004C6449">
        <w:rPr>
          <w:rFonts w:ascii="Arial" w:hAnsi="Arial" w:cs="Arial"/>
          <w:sz w:val="16"/>
          <w:szCs w:val="16"/>
        </w:rPr>
        <w:t xml:space="preserve">(1), 642. </w:t>
      </w:r>
      <w:hyperlink r:id="rId63" w:tgtFrame="_blank" w:history="1">
        <w:r w:rsidRPr="004C6449">
          <w:rPr>
            <w:rStyle w:val="Hyperlink"/>
            <w:rFonts w:ascii="Arial" w:hAnsi="Arial" w:cs="Arial"/>
            <w:sz w:val="16"/>
            <w:szCs w:val="16"/>
          </w:rPr>
          <w:t>https://doi.org/10.1093/mnras/staa681</w:t>
        </w:r>
      </w:hyperlink>
    </w:p>
    <w:p w14:paraId="64F0E032"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Maragkoudakis</w:t>
      </w:r>
      <w:proofErr w:type="spellEnd"/>
      <w:r w:rsidRPr="004C6449">
        <w:rPr>
          <w:rFonts w:ascii="Arial" w:hAnsi="Arial" w:cs="Arial"/>
          <w:sz w:val="16"/>
          <w:szCs w:val="16"/>
        </w:rPr>
        <w:t xml:space="preserve">, A., Peeters, E., &amp; Ricca, A. (2023). Spectral variations among different scenarios of PAH processing or formation.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520</w:t>
      </w:r>
      <w:r w:rsidRPr="004C6449">
        <w:rPr>
          <w:rFonts w:ascii="Arial" w:hAnsi="Arial" w:cs="Arial"/>
          <w:sz w:val="16"/>
          <w:szCs w:val="16"/>
        </w:rPr>
        <w:t xml:space="preserve">(4), 5354. </w:t>
      </w:r>
      <w:hyperlink r:id="rId64" w:tgtFrame="_blank" w:history="1">
        <w:r w:rsidRPr="004C6449">
          <w:rPr>
            <w:rStyle w:val="Hyperlink"/>
            <w:rFonts w:ascii="Arial" w:hAnsi="Arial" w:cs="Arial"/>
            <w:sz w:val="16"/>
            <w:szCs w:val="16"/>
          </w:rPr>
          <w:t>https://doi.org/10.1093/mnras/stad465</w:t>
        </w:r>
      </w:hyperlink>
    </w:p>
    <w:p w14:paraId="139EF447" w14:textId="77777777" w:rsidR="006E651E" w:rsidRPr="004C6449" w:rsidRDefault="006E651E" w:rsidP="006E651E">
      <w:pPr>
        <w:spacing w:after="240"/>
        <w:jc w:val="both"/>
        <w:rPr>
          <w:rFonts w:ascii="Arial" w:hAnsi="Arial" w:cs="Arial"/>
          <w:sz w:val="16"/>
          <w:szCs w:val="16"/>
        </w:rPr>
      </w:pPr>
      <w:proofErr w:type="spellStart"/>
      <w:r w:rsidRPr="004C6449">
        <w:rPr>
          <w:rFonts w:ascii="Arial" w:hAnsi="Arial" w:cs="Arial"/>
          <w:sz w:val="16"/>
          <w:szCs w:val="16"/>
        </w:rPr>
        <w:t>Maragkoudakis</w:t>
      </w:r>
      <w:proofErr w:type="spellEnd"/>
      <w:r w:rsidRPr="004C6449">
        <w:rPr>
          <w:rFonts w:ascii="Arial" w:hAnsi="Arial" w:cs="Arial"/>
          <w:sz w:val="16"/>
          <w:szCs w:val="16"/>
        </w:rPr>
        <w:t xml:space="preserve">, A., Peeters, E., Ricca, A., &amp; Boersma, C. (2023). Polycyclic aromatic hydrocarbon size tracers.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524</w:t>
      </w:r>
      <w:r w:rsidRPr="004C6449">
        <w:rPr>
          <w:rFonts w:ascii="Arial" w:hAnsi="Arial" w:cs="Arial"/>
          <w:sz w:val="16"/>
          <w:szCs w:val="16"/>
        </w:rPr>
        <w:t xml:space="preserve">(3), 3429. </w:t>
      </w:r>
      <w:hyperlink r:id="rId65" w:tgtFrame="_blank" w:history="1">
        <w:r w:rsidRPr="004C6449">
          <w:rPr>
            <w:rStyle w:val="Hyperlink"/>
            <w:rFonts w:ascii="Arial" w:hAnsi="Arial" w:cs="Arial"/>
            <w:sz w:val="16"/>
            <w:szCs w:val="16"/>
          </w:rPr>
          <w:t>https://doi.org/10.1093/mnras/stad2062</w:t>
        </w:r>
      </w:hyperlink>
    </w:p>
    <w:p w14:paraId="540E0F6C" w14:textId="77777777" w:rsidR="006E651E" w:rsidRPr="004C6449" w:rsidRDefault="006E651E" w:rsidP="006E651E">
      <w:pPr>
        <w:spacing w:after="240"/>
        <w:jc w:val="both"/>
        <w:rPr>
          <w:rFonts w:ascii="Arial" w:hAnsi="Arial" w:cs="Arial"/>
          <w:sz w:val="16"/>
          <w:szCs w:val="16"/>
        </w:rPr>
      </w:pPr>
      <w:proofErr w:type="spellStart"/>
      <w:r w:rsidRPr="004C6449">
        <w:rPr>
          <w:rFonts w:ascii="Arial" w:hAnsi="Arial" w:cs="Arial"/>
          <w:sz w:val="16"/>
          <w:szCs w:val="16"/>
        </w:rPr>
        <w:t>Micelotta</w:t>
      </w:r>
      <w:proofErr w:type="spellEnd"/>
      <w:r w:rsidRPr="004C6449">
        <w:rPr>
          <w:rFonts w:ascii="Arial" w:hAnsi="Arial" w:cs="Arial"/>
          <w:sz w:val="16"/>
          <w:szCs w:val="16"/>
        </w:rPr>
        <w:t xml:space="preserve">, E. R., Jones, A. P., &amp; Tielens, A. G. G. M. (2009). Polycyclic aromatic hydrocarbon processing in a hot gas.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510</w:t>
      </w:r>
      <w:r w:rsidRPr="004C6449">
        <w:rPr>
          <w:rFonts w:ascii="Arial" w:hAnsi="Arial" w:cs="Arial"/>
          <w:sz w:val="16"/>
          <w:szCs w:val="16"/>
        </w:rPr>
        <w:t xml:space="preserve">. </w:t>
      </w:r>
      <w:hyperlink r:id="rId66" w:tgtFrame="_blank" w:history="1">
        <w:r w:rsidRPr="004C6449">
          <w:rPr>
            <w:rStyle w:val="Hyperlink"/>
            <w:rFonts w:ascii="Arial" w:hAnsi="Arial" w:cs="Arial"/>
            <w:sz w:val="16"/>
            <w:szCs w:val="16"/>
          </w:rPr>
          <w:t>https://doi.org/10.1051/0004-6361/200911683</w:t>
        </w:r>
      </w:hyperlink>
    </w:p>
    <w:p w14:paraId="3A7294F3" w14:textId="77777777" w:rsidR="006E651E" w:rsidRPr="004C6449" w:rsidRDefault="006E651E" w:rsidP="006E651E">
      <w:pPr>
        <w:spacing w:after="240"/>
        <w:jc w:val="both"/>
        <w:rPr>
          <w:rFonts w:ascii="Arial" w:hAnsi="Arial" w:cs="Arial"/>
          <w:sz w:val="16"/>
          <w:szCs w:val="16"/>
        </w:rPr>
      </w:pPr>
      <w:proofErr w:type="spellStart"/>
      <w:r w:rsidRPr="004C6449">
        <w:rPr>
          <w:rFonts w:ascii="Arial" w:hAnsi="Arial" w:cs="Arial"/>
          <w:sz w:val="16"/>
          <w:szCs w:val="16"/>
        </w:rPr>
        <w:t>Micelotta</w:t>
      </w:r>
      <w:proofErr w:type="spellEnd"/>
      <w:r w:rsidRPr="004C6449">
        <w:rPr>
          <w:rFonts w:ascii="Arial" w:hAnsi="Arial" w:cs="Arial"/>
          <w:sz w:val="16"/>
          <w:szCs w:val="16"/>
        </w:rPr>
        <w:t xml:space="preserve">, E. R., Jones, A. P., &amp; Tielens, A. G. G. M. (2010). Polycyclic aromatic hydrocarbon processing by cosmic rays.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526</w:t>
      </w:r>
      <w:r w:rsidRPr="004C6449">
        <w:rPr>
          <w:rFonts w:ascii="Arial" w:hAnsi="Arial" w:cs="Arial"/>
          <w:sz w:val="16"/>
          <w:szCs w:val="16"/>
        </w:rPr>
        <w:t xml:space="preserve">. </w:t>
      </w:r>
      <w:hyperlink r:id="rId67" w:tgtFrame="_blank" w:history="1">
        <w:r w:rsidRPr="004C6449">
          <w:rPr>
            <w:rStyle w:val="Hyperlink"/>
            <w:rFonts w:ascii="Arial" w:hAnsi="Arial" w:cs="Arial"/>
            <w:sz w:val="16"/>
            <w:szCs w:val="16"/>
          </w:rPr>
          <w:t>https://doi.org/10.1051/0004-6361/201015741</w:t>
        </w:r>
      </w:hyperlink>
    </w:p>
    <w:p w14:paraId="58C90BA3" w14:textId="77777777" w:rsidR="006E651E" w:rsidRPr="004C6449" w:rsidRDefault="006E651E" w:rsidP="006E651E">
      <w:pPr>
        <w:spacing w:after="240"/>
        <w:jc w:val="both"/>
        <w:rPr>
          <w:rFonts w:ascii="Arial" w:hAnsi="Arial" w:cs="Arial"/>
          <w:sz w:val="16"/>
          <w:szCs w:val="16"/>
        </w:rPr>
      </w:pPr>
      <w:proofErr w:type="spellStart"/>
      <w:r w:rsidRPr="004C6449">
        <w:rPr>
          <w:rFonts w:ascii="Arial" w:hAnsi="Arial" w:cs="Arial"/>
          <w:sz w:val="16"/>
          <w:szCs w:val="16"/>
        </w:rPr>
        <w:t>Monfredini</w:t>
      </w:r>
      <w:proofErr w:type="spellEnd"/>
      <w:r w:rsidRPr="004C6449">
        <w:rPr>
          <w:rFonts w:ascii="Arial" w:hAnsi="Arial" w:cs="Arial"/>
          <w:sz w:val="16"/>
          <w:szCs w:val="16"/>
        </w:rPr>
        <w:t xml:space="preserve">, T., </w:t>
      </w:r>
      <w:proofErr w:type="spellStart"/>
      <w:r w:rsidRPr="004C6449">
        <w:rPr>
          <w:rFonts w:ascii="Arial" w:hAnsi="Arial" w:cs="Arial"/>
          <w:sz w:val="16"/>
          <w:szCs w:val="16"/>
        </w:rPr>
        <w:t>Quitián</w:t>
      </w:r>
      <w:proofErr w:type="spellEnd"/>
      <w:r w:rsidRPr="004C6449">
        <w:rPr>
          <w:rFonts w:ascii="Arial" w:hAnsi="Arial" w:cs="Arial"/>
          <w:sz w:val="16"/>
          <w:szCs w:val="16"/>
        </w:rPr>
        <w:t xml:space="preserve">-Lara, H. M., Fantuzzi, F., Wolff, W., Mendoza, E., Lago, A. F., Sales, D. A., Pastoriza, M. G., &amp; </w:t>
      </w:r>
      <w:proofErr w:type="spellStart"/>
      <w:r w:rsidRPr="004C6449">
        <w:rPr>
          <w:rFonts w:ascii="Arial" w:hAnsi="Arial" w:cs="Arial"/>
          <w:sz w:val="16"/>
          <w:szCs w:val="16"/>
        </w:rPr>
        <w:t>Boechat</w:t>
      </w:r>
      <w:r w:rsidRPr="004C6449">
        <w:rPr>
          <w:rFonts w:ascii="Cambria Math" w:hAnsi="Cambria Math" w:cs="Cambria Math"/>
          <w:sz w:val="16"/>
          <w:szCs w:val="16"/>
        </w:rPr>
        <w:t>‐</w:t>
      </w:r>
      <w:r w:rsidRPr="004C6449">
        <w:rPr>
          <w:rFonts w:ascii="Arial" w:hAnsi="Arial" w:cs="Arial"/>
          <w:sz w:val="16"/>
          <w:szCs w:val="16"/>
        </w:rPr>
        <w:t>Roberty</w:t>
      </w:r>
      <w:proofErr w:type="spellEnd"/>
      <w:r w:rsidRPr="004C6449">
        <w:rPr>
          <w:rFonts w:ascii="Arial" w:hAnsi="Arial" w:cs="Arial"/>
          <w:sz w:val="16"/>
          <w:szCs w:val="16"/>
        </w:rPr>
        <w:t xml:space="preserve">, H. M. (2019). Destruction and multiple ionization of PAHs by X-rays in circumnuclear regions of AGNs.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488</w:t>
      </w:r>
      <w:r w:rsidRPr="004C6449">
        <w:rPr>
          <w:rFonts w:ascii="Arial" w:hAnsi="Arial" w:cs="Arial"/>
          <w:sz w:val="16"/>
          <w:szCs w:val="16"/>
        </w:rPr>
        <w:t xml:space="preserve">(1), 451. </w:t>
      </w:r>
      <w:hyperlink r:id="rId68" w:tgtFrame="_blank" w:history="1">
        <w:r w:rsidRPr="004C6449">
          <w:rPr>
            <w:rStyle w:val="Hyperlink"/>
            <w:rFonts w:ascii="Arial" w:hAnsi="Arial" w:cs="Arial"/>
            <w:sz w:val="16"/>
            <w:szCs w:val="16"/>
          </w:rPr>
          <w:t>https://doi.org/10.1093/mnras/stz1021</w:t>
        </w:r>
      </w:hyperlink>
    </w:p>
    <w:p w14:paraId="33D0527E"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Morrison, J., Dicken, D., Argyriou, I., Ressler, M. E., Gordon, K. D., Regan, M. W., Cracraft, M., Rieke, G. H., Engesser, M., Alberts, S., Álvarez-Márquez, J., Colbert, J., Fox, O. D., Gasman, D., Law, D. R., García-Marín, M., Gáspár, A., Guillard, P., Kendrew, S., … Sloan, G. C. (2023). JWST MIRI Flight Performance: Detector Effects and Data Reduction Algorithms. </w:t>
      </w:r>
      <w:r w:rsidRPr="004C6449">
        <w:rPr>
          <w:rFonts w:ascii="Arial" w:hAnsi="Arial" w:cs="Arial"/>
          <w:i/>
          <w:iCs/>
          <w:sz w:val="16"/>
          <w:szCs w:val="16"/>
        </w:rPr>
        <w:t>Publications of the Astronomical Society of the Pacific</w:t>
      </w:r>
      <w:r w:rsidRPr="004C6449">
        <w:rPr>
          <w:rFonts w:ascii="Arial" w:hAnsi="Arial" w:cs="Arial"/>
          <w:sz w:val="16"/>
          <w:szCs w:val="16"/>
        </w:rPr>
        <w:t xml:space="preserve">, </w:t>
      </w:r>
      <w:r w:rsidRPr="004C6449">
        <w:rPr>
          <w:rFonts w:ascii="Arial" w:hAnsi="Arial" w:cs="Arial"/>
          <w:i/>
          <w:iCs/>
          <w:sz w:val="16"/>
          <w:szCs w:val="16"/>
        </w:rPr>
        <w:t>135</w:t>
      </w:r>
      <w:r w:rsidRPr="004C6449">
        <w:rPr>
          <w:rFonts w:ascii="Arial" w:hAnsi="Arial" w:cs="Arial"/>
          <w:sz w:val="16"/>
          <w:szCs w:val="16"/>
        </w:rPr>
        <w:t xml:space="preserve">(1049), 75004. </w:t>
      </w:r>
      <w:hyperlink r:id="rId69" w:tgtFrame="_blank" w:history="1">
        <w:r w:rsidRPr="004C6449">
          <w:rPr>
            <w:rStyle w:val="Hyperlink"/>
            <w:rFonts w:ascii="Arial" w:hAnsi="Arial" w:cs="Arial"/>
            <w:sz w:val="16"/>
            <w:szCs w:val="16"/>
          </w:rPr>
          <w:t>https://doi.org/10.1088/1538-3873/acdea6</w:t>
        </w:r>
      </w:hyperlink>
    </w:p>
    <w:p w14:paraId="2BB16CEF" w14:textId="77777777" w:rsidR="002D1ABA" w:rsidRDefault="006E651E" w:rsidP="006E651E">
      <w:pPr>
        <w:spacing w:after="240"/>
        <w:jc w:val="both"/>
      </w:pPr>
      <w:r w:rsidRPr="004C6449">
        <w:rPr>
          <w:rFonts w:ascii="Arial" w:hAnsi="Arial" w:cs="Arial"/>
          <w:sz w:val="16"/>
          <w:szCs w:val="16"/>
        </w:rPr>
        <w:t xml:space="preserve">Murata, K. L., Yamada, R., Oyabu, S., Kaneda, H., Ishihara, D., Yamagishi, M., Kokusho, T., &amp; Takeuchi, T. T. (2017). A Relationship of Polycyclic Aromatic Hydrocarbon Features with Galaxy Merger in Star-forming Galaxies at $z&amp;lt;0.2$. </w:t>
      </w:r>
      <w:proofErr w:type="spellStart"/>
      <w:r w:rsidRPr="004C6449">
        <w:rPr>
          <w:rFonts w:ascii="Arial" w:hAnsi="Arial" w:cs="Arial"/>
          <w:i/>
          <w:iCs/>
          <w:sz w:val="16"/>
          <w:szCs w:val="16"/>
        </w:rPr>
        <w:t>arXiv</w:t>
      </w:r>
      <w:proofErr w:type="spellEnd"/>
      <w:r w:rsidRPr="004C6449">
        <w:rPr>
          <w:rFonts w:ascii="Arial" w:hAnsi="Arial" w:cs="Arial"/>
          <w:sz w:val="16"/>
          <w:szCs w:val="16"/>
        </w:rPr>
        <w:t xml:space="preserve">. </w:t>
      </w:r>
      <w:hyperlink r:id="rId70" w:tgtFrame="_blank" w:history="1">
        <w:r w:rsidRPr="004C6449">
          <w:rPr>
            <w:rStyle w:val="Hyperlink"/>
            <w:rFonts w:ascii="Arial" w:hAnsi="Arial" w:cs="Arial"/>
            <w:sz w:val="16"/>
            <w:szCs w:val="16"/>
          </w:rPr>
          <w:t>https://doi.org/10.48550/ARXIV.1707.09358</w:t>
        </w:r>
      </w:hyperlink>
      <w:r w:rsidR="002D1ABA">
        <w:t xml:space="preserve"> </w:t>
      </w:r>
    </w:p>
    <w:p w14:paraId="407F0953" w14:textId="6F8836AF" w:rsidR="002D1ABA" w:rsidRPr="002D1ABA" w:rsidRDefault="002D1ABA" w:rsidP="006E651E">
      <w:pPr>
        <w:spacing w:after="240"/>
        <w:jc w:val="both"/>
        <w:rPr>
          <w:rFonts w:ascii="Arial" w:hAnsi="Arial" w:cs="Arial"/>
          <w:sz w:val="16"/>
          <w:szCs w:val="16"/>
        </w:rPr>
      </w:pPr>
      <w:r w:rsidRPr="002D1ABA">
        <w:rPr>
          <w:rFonts w:ascii="Arial" w:hAnsi="Arial" w:cs="Arial"/>
          <w:sz w:val="16"/>
          <w:szCs w:val="16"/>
        </w:rPr>
        <w:t xml:space="preserve">Pathak, A., &amp; Rastogi, S. (2006). Computational study of neutral and cationic </w:t>
      </w:r>
      <w:proofErr w:type="spellStart"/>
      <w:r w:rsidRPr="002D1ABA">
        <w:rPr>
          <w:rFonts w:ascii="Arial" w:hAnsi="Arial" w:cs="Arial"/>
          <w:sz w:val="16"/>
          <w:szCs w:val="16"/>
        </w:rPr>
        <w:t>pericondensed</w:t>
      </w:r>
      <w:proofErr w:type="spellEnd"/>
      <w:r w:rsidRPr="002D1ABA">
        <w:rPr>
          <w:rFonts w:ascii="Arial" w:hAnsi="Arial" w:cs="Arial"/>
          <w:sz w:val="16"/>
          <w:szCs w:val="16"/>
        </w:rPr>
        <w:t xml:space="preserve"> polycyclic aromatic hydrocarbons. </w:t>
      </w:r>
      <w:r w:rsidRPr="002D1ABA">
        <w:rPr>
          <w:rFonts w:ascii="Arial" w:hAnsi="Arial" w:cs="Arial"/>
          <w:i/>
          <w:iCs/>
          <w:sz w:val="16"/>
          <w:szCs w:val="16"/>
        </w:rPr>
        <w:t>Chemical Physics, 326</w:t>
      </w:r>
      <w:r w:rsidRPr="002D1ABA">
        <w:rPr>
          <w:rFonts w:ascii="Arial" w:hAnsi="Arial" w:cs="Arial"/>
          <w:sz w:val="16"/>
          <w:szCs w:val="16"/>
        </w:rPr>
        <w:t xml:space="preserve">(2–3), 315–328. </w:t>
      </w:r>
      <w:hyperlink r:id="rId71" w:history="1">
        <w:r w:rsidRPr="002D1ABA">
          <w:rPr>
            <w:rStyle w:val="Hyperlink"/>
            <w:rFonts w:ascii="Arial" w:hAnsi="Arial" w:cs="Arial"/>
            <w:sz w:val="16"/>
            <w:szCs w:val="16"/>
          </w:rPr>
          <w:t>https://doi.org/10.1016/j.chemphys.2006.02.008</w:t>
        </w:r>
      </w:hyperlink>
    </w:p>
    <w:p w14:paraId="55B5AF1D" w14:textId="5B2D21B3" w:rsidR="00E5424E" w:rsidRPr="004C6449" w:rsidRDefault="00E5424E" w:rsidP="006E651E">
      <w:pPr>
        <w:spacing w:after="240"/>
        <w:jc w:val="both"/>
        <w:rPr>
          <w:rFonts w:ascii="Arial" w:hAnsi="Arial" w:cs="Arial"/>
          <w:sz w:val="16"/>
          <w:szCs w:val="16"/>
        </w:rPr>
      </w:pPr>
      <w:r w:rsidRPr="00E5424E">
        <w:rPr>
          <w:rFonts w:ascii="Arial" w:hAnsi="Arial" w:cs="Arial"/>
          <w:sz w:val="16"/>
          <w:szCs w:val="16"/>
        </w:rPr>
        <w:t xml:space="preserve">Pathak, A., &amp; Rastogi, S. (2008). Modeling the interstellar aromatic infrared bands with co-added spectra of PAHs. Astronomy &amp; Astrophysics, 485(3), 735–742. </w:t>
      </w:r>
      <w:hyperlink r:id="rId72" w:history="1">
        <w:r w:rsidRPr="00E5424E">
          <w:rPr>
            <w:rStyle w:val="Hyperlink"/>
            <w:rFonts w:ascii="Arial" w:hAnsi="Arial" w:cs="Arial"/>
            <w:sz w:val="16"/>
            <w:szCs w:val="16"/>
          </w:rPr>
          <w:t>https://doi.org/10.1051/0004-6361:20066618</w:t>
        </w:r>
      </w:hyperlink>
    </w:p>
    <w:p w14:paraId="18FF8B89" w14:textId="77777777" w:rsidR="006E651E" w:rsidRPr="004C6449" w:rsidRDefault="006E651E" w:rsidP="006E651E">
      <w:pPr>
        <w:spacing w:after="240"/>
        <w:jc w:val="both"/>
        <w:rPr>
          <w:rFonts w:ascii="Arial" w:hAnsi="Arial" w:cs="Arial"/>
          <w:sz w:val="16"/>
          <w:szCs w:val="16"/>
        </w:rPr>
      </w:pPr>
      <w:proofErr w:type="spellStart"/>
      <w:r w:rsidRPr="004C6449">
        <w:rPr>
          <w:rFonts w:ascii="Arial" w:hAnsi="Arial" w:cs="Arial"/>
          <w:sz w:val="16"/>
          <w:szCs w:val="16"/>
        </w:rPr>
        <w:t>Patapis</w:t>
      </w:r>
      <w:proofErr w:type="spellEnd"/>
      <w:r w:rsidRPr="004C6449">
        <w:rPr>
          <w:rFonts w:ascii="Arial" w:hAnsi="Arial" w:cs="Arial"/>
          <w:sz w:val="16"/>
          <w:szCs w:val="16"/>
        </w:rPr>
        <w:t xml:space="preserve">, P., Argyriou, I., Law, D. R., Glauser, A. M., Glasse, A., </w:t>
      </w:r>
      <w:proofErr w:type="spellStart"/>
      <w:r w:rsidRPr="004C6449">
        <w:rPr>
          <w:rFonts w:ascii="Arial" w:hAnsi="Arial" w:cs="Arial"/>
          <w:sz w:val="16"/>
          <w:szCs w:val="16"/>
        </w:rPr>
        <w:t>Labiano</w:t>
      </w:r>
      <w:proofErr w:type="spellEnd"/>
      <w:r w:rsidRPr="004C6449">
        <w:rPr>
          <w:rFonts w:ascii="Arial" w:hAnsi="Arial" w:cs="Arial"/>
          <w:sz w:val="16"/>
          <w:szCs w:val="16"/>
        </w:rPr>
        <w:t xml:space="preserve">, Á., Álvarez-Márquez, J., Kavanagh, P., Gasman, D., Mueller, M., Larson, K. L., Vandenbussche, B., Lee, D., Klaassen, P., Guillard, P., &amp; Wright, G. (2023). Geometric distortion and astrometric calibration of the JWST MIRI Medium Resolution Spectrometer.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682</w:t>
      </w:r>
      <w:r w:rsidRPr="004C6449">
        <w:rPr>
          <w:rFonts w:ascii="Arial" w:hAnsi="Arial" w:cs="Arial"/>
          <w:sz w:val="16"/>
          <w:szCs w:val="16"/>
        </w:rPr>
        <w:t xml:space="preserve">. </w:t>
      </w:r>
      <w:hyperlink r:id="rId73" w:tgtFrame="_blank" w:history="1">
        <w:r w:rsidRPr="004C6449">
          <w:rPr>
            <w:rStyle w:val="Hyperlink"/>
            <w:rFonts w:ascii="Arial" w:hAnsi="Arial" w:cs="Arial"/>
            <w:sz w:val="16"/>
            <w:szCs w:val="16"/>
          </w:rPr>
          <w:t>https://doi.org/10.1051/0004-6361/202347339</w:t>
        </w:r>
      </w:hyperlink>
    </w:p>
    <w:p w14:paraId="66727A6F"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Pavlyuchenkov, Ya. N., Kirsanova, M. S., &amp; Wiebe, D. S. (2013). Infrared emission and the destruction of dust in HII regions. </w:t>
      </w:r>
      <w:r w:rsidRPr="004C6449">
        <w:rPr>
          <w:rFonts w:ascii="Arial" w:hAnsi="Arial" w:cs="Arial"/>
          <w:i/>
          <w:iCs/>
          <w:sz w:val="16"/>
          <w:szCs w:val="16"/>
        </w:rPr>
        <w:t>Astronomy Reports</w:t>
      </w:r>
      <w:r w:rsidRPr="004C6449">
        <w:rPr>
          <w:rFonts w:ascii="Arial" w:hAnsi="Arial" w:cs="Arial"/>
          <w:sz w:val="16"/>
          <w:szCs w:val="16"/>
        </w:rPr>
        <w:t xml:space="preserve">, </w:t>
      </w:r>
      <w:r w:rsidRPr="004C6449">
        <w:rPr>
          <w:rFonts w:ascii="Arial" w:hAnsi="Arial" w:cs="Arial"/>
          <w:i/>
          <w:iCs/>
          <w:sz w:val="16"/>
          <w:szCs w:val="16"/>
        </w:rPr>
        <w:t>57</w:t>
      </w:r>
      <w:r w:rsidRPr="004C6449">
        <w:rPr>
          <w:rFonts w:ascii="Arial" w:hAnsi="Arial" w:cs="Arial"/>
          <w:sz w:val="16"/>
          <w:szCs w:val="16"/>
        </w:rPr>
        <w:t xml:space="preserve">(8), 573. </w:t>
      </w:r>
      <w:hyperlink r:id="rId74" w:tgtFrame="_blank" w:history="1">
        <w:r w:rsidRPr="004C6449">
          <w:rPr>
            <w:rStyle w:val="Hyperlink"/>
            <w:rFonts w:ascii="Arial" w:hAnsi="Arial" w:cs="Arial"/>
            <w:sz w:val="16"/>
            <w:szCs w:val="16"/>
          </w:rPr>
          <w:t>https://doi.org/10.1134/s1063772913070056</w:t>
        </w:r>
      </w:hyperlink>
    </w:p>
    <w:p w14:paraId="50CFD940" w14:textId="77777777" w:rsidR="006E651E" w:rsidRDefault="006E651E" w:rsidP="006E651E">
      <w:pPr>
        <w:spacing w:after="240"/>
        <w:jc w:val="both"/>
      </w:pPr>
      <w:r w:rsidRPr="004C6449">
        <w:rPr>
          <w:rFonts w:ascii="Arial" w:hAnsi="Arial" w:cs="Arial"/>
          <w:sz w:val="16"/>
          <w:szCs w:val="16"/>
        </w:rPr>
        <w:t xml:space="preserve">Pavlyuchenkov, Ya. N., Wiebe, D. S., Akimkin, V., Khramtsova, M. S., &amp; Henning, Th. (2012). Stochastic grain heating and mid-infrared emission in </w:t>
      </w:r>
      <w:proofErr w:type="spellStart"/>
      <w:r w:rsidRPr="004C6449">
        <w:rPr>
          <w:rFonts w:ascii="Arial" w:hAnsi="Arial" w:cs="Arial"/>
          <w:sz w:val="16"/>
          <w:szCs w:val="16"/>
        </w:rPr>
        <w:t>protostellar</w:t>
      </w:r>
      <w:proofErr w:type="spellEnd"/>
      <w:r w:rsidRPr="004C6449">
        <w:rPr>
          <w:rFonts w:ascii="Arial" w:hAnsi="Arial" w:cs="Arial"/>
          <w:sz w:val="16"/>
          <w:szCs w:val="16"/>
        </w:rPr>
        <w:t xml:space="preserve"> cores.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421</w:t>
      </w:r>
      <w:r w:rsidRPr="004C6449">
        <w:rPr>
          <w:rFonts w:ascii="Arial" w:hAnsi="Arial" w:cs="Arial"/>
          <w:sz w:val="16"/>
          <w:szCs w:val="16"/>
        </w:rPr>
        <w:t xml:space="preserve">(3), 2430. </w:t>
      </w:r>
      <w:hyperlink r:id="rId75" w:tgtFrame="_blank" w:history="1">
        <w:r w:rsidRPr="004C6449">
          <w:rPr>
            <w:rStyle w:val="Hyperlink"/>
            <w:rFonts w:ascii="Arial" w:hAnsi="Arial" w:cs="Arial"/>
            <w:sz w:val="16"/>
            <w:szCs w:val="16"/>
          </w:rPr>
          <w:t>https://doi.org/10.1111/j.1365-2966.2012.20480.x</w:t>
        </w:r>
      </w:hyperlink>
    </w:p>
    <w:p w14:paraId="48BD75DA" w14:textId="36ED0C3A" w:rsidR="00E5424E" w:rsidRPr="004C6449" w:rsidRDefault="00E5424E" w:rsidP="006E651E">
      <w:pPr>
        <w:spacing w:after="240"/>
        <w:jc w:val="both"/>
        <w:rPr>
          <w:rFonts w:ascii="Arial" w:hAnsi="Arial" w:cs="Arial"/>
          <w:sz w:val="16"/>
          <w:szCs w:val="16"/>
        </w:rPr>
      </w:pPr>
      <w:r w:rsidRPr="00E5424E">
        <w:rPr>
          <w:rFonts w:ascii="Arial" w:hAnsi="Arial" w:cs="Arial"/>
          <w:sz w:val="16"/>
          <w:szCs w:val="16"/>
        </w:rPr>
        <w:t xml:space="preserve">Peeters, E., Hony, S., Van Kerckhoven, C., Tielens, A. G. G. M., </w:t>
      </w:r>
      <w:proofErr w:type="spellStart"/>
      <w:r w:rsidRPr="00E5424E">
        <w:rPr>
          <w:rFonts w:ascii="Arial" w:hAnsi="Arial" w:cs="Arial"/>
          <w:sz w:val="16"/>
          <w:szCs w:val="16"/>
        </w:rPr>
        <w:t>Allamandola</w:t>
      </w:r>
      <w:proofErr w:type="spellEnd"/>
      <w:r w:rsidRPr="00E5424E">
        <w:rPr>
          <w:rFonts w:ascii="Arial" w:hAnsi="Arial" w:cs="Arial"/>
          <w:sz w:val="16"/>
          <w:szCs w:val="16"/>
        </w:rPr>
        <w:t xml:space="preserve">, L. J., Hudgins, D. M., &amp; </w:t>
      </w:r>
      <w:proofErr w:type="spellStart"/>
      <w:r w:rsidRPr="00E5424E">
        <w:rPr>
          <w:rFonts w:ascii="Arial" w:hAnsi="Arial" w:cs="Arial"/>
          <w:sz w:val="16"/>
          <w:szCs w:val="16"/>
        </w:rPr>
        <w:t>Bauschlicher</w:t>
      </w:r>
      <w:proofErr w:type="spellEnd"/>
      <w:r w:rsidRPr="00E5424E">
        <w:rPr>
          <w:rFonts w:ascii="Arial" w:hAnsi="Arial" w:cs="Arial"/>
          <w:sz w:val="16"/>
          <w:szCs w:val="16"/>
        </w:rPr>
        <w:t xml:space="preserve">, C. W., Jr. (2002). The rich 6 to 9 μm spectrum of interstellar PAHs. Astronomy &amp; Astrophysics, 390(3), 1089–1113. </w:t>
      </w:r>
      <w:hyperlink r:id="rId76" w:history="1">
        <w:r w:rsidRPr="00E5424E">
          <w:rPr>
            <w:rStyle w:val="Hyperlink"/>
            <w:rFonts w:ascii="Arial" w:hAnsi="Arial" w:cs="Arial"/>
            <w:sz w:val="16"/>
            <w:szCs w:val="16"/>
          </w:rPr>
          <w:t>https://doi.org/10.1051/0004-6361:20020773</w:t>
        </w:r>
      </w:hyperlink>
    </w:p>
    <w:p w14:paraId="50CE5FCA"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Peeters, E., Spoon, H. W. W., &amp; Tielens, A. G. G. M. (2004). PAHs as a tracer of star formation.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77" w:tgtFrame="_blank" w:history="1">
        <w:r w:rsidRPr="004C6449">
          <w:rPr>
            <w:rStyle w:val="Hyperlink"/>
            <w:rFonts w:ascii="Arial" w:hAnsi="Arial" w:cs="Arial"/>
            <w:sz w:val="16"/>
            <w:szCs w:val="16"/>
          </w:rPr>
          <w:t>http://arxiv.org/abs/astro-ph/0406183</w:t>
        </w:r>
      </w:hyperlink>
    </w:p>
    <w:p w14:paraId="183DA5AC"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Pereira-Santaella, M., Álvarez-Márquez, J., García-Bernete, I., </w:t>
      </w:r>
      <w:proofErr w:type="spellStart"/>
      <w:r w:rsidRPr="004C6449">
        <w:rPr>
          <w:rFonts w:ascii="Arial" w:hAnsi="Arial" w:cs="Arial"/>
          <w:sz w:val="16"/>
          <w:szCs w:val="16"/>
        </w:rPr>
        <w:t>Labiano</w:t>
      </w:r>
      <w:proofErr w:type="spellEnd"/>
      <w:r w:rsidRPr="004C6449">
        <w:rPr>
          <w:rFonts w:ascii="Arial" w:hAnsi="Arial" w:cs="Arial"/>
          <w:sz w:val="16"/>
          <w:szCs w:val="16"/>
        </w:rPr>
        <w:t>, Á., Colina, L., Alonso-Herrero, A., Bellocchi, E., García</w:t>
      </w:r>
      <w:r w:rsidRPr="004C6449">
        <w:rPr>
          <w:rFonts w:ascii="Cambria Math" w:hAnsi="Cambria Math" w:cs="Cambria Math"/>
          <w:sz w:val="16"/>
          <w:szCs w:val="16"/>
        </w:rPr>
        <w:t>‐</w:t>
      </w:r>
      <w:r w:rsidRPr="004C6449">
        <w:rPr>
          <w:rFonts w:ascii="Arial" w:hAnsi="Arial" w:cs="Arial"/>
          <w:sz w:val="16"/>
          <w:szCs w:val="16"/>
        </w:rPr>
        <w:t xml:space="preserve">Burillo, S., Hönig, S. F., Almeida, C. R., &amp; Rosario, D. J. (2022). Low-power jet-ISM interaction in NGC 7319 revealed by JWST/MIRI MRS.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78" w:tgtFrame="_blank" w:history="1">
        <w:r w:rsidRPr="004C6449">
          <w:rPr>
            <w:rStyle w:val="Hyperlink"/>
            <w:rFonts w:ascii="Arial" w:hAnsi="Arial" w:cs="Arial"/>
            <w:sz w:val="16"/>
            <w:szCs w:val="16"/>
          </w:rPr>
          <w:t>https://doi.org/10.48550/arxiv.2208.04835</w:t>
        </w:r>
      </w:hyperlink>
    </w:p>
    <w:p w14:paraId="1009706F" w14:textId="77777777" w:rsidR="006E651E" w:rsidRDefault="006E651E" w:rsidP="006E651E">
      <w:pPr>
        <w:spacing w:after="240"/>
        <w:jc w:val="both"/>
      </w:pPr>
      <w:r w:rsidRPr="004C6449">
        <w:rPr>
          <w:rFonts w:ascii="Arial" w:hAnsi="Arial" w:cs="Arial"/>
          <w:sz w:val="16"/>
          <w:szCs w:val="16"/>
        </w:rPr>
        <w:t xml:space="preserve">Pleuss, P. O., Heller, C., &amp; Fricke, K. J. (2000). The Impact of Resolution on Observed HII Region Properties from WFPC2 Observations of M101.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79" w:tgtFrame="_blank" w:history="1">
        <w:r w:rsidRPr="004C6449">
          <w:rPr>
            <w:rStyle w:val="Hyperlink"/>
            <w:rFonts w:ascii="Arial" w:hAnsi="Arial" w:cs="Arial"/>
            <w:sz w:val="16"/>
            <w:szCs w:val="16"/>
          </w:rPr>
          <w:t>https://doi.org/10.48550/arXiv.0010565</w:t>
        </w:r>
      </w:hyperlink>
    </w:p>
    <w:p w14:paraId="552B0799"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lastRenderedPageBreak/>
        <w:t xml:space="preserve">Rau, S.-J., </w:t>
      </w:r>
      <w:proofErr w:type="spellStart"/>
      <w:r w:rsidRPr="004C6449">
        <w:rPr>
          <w:rFonts w:ascii="Arial" w:hAnsi="Arial" w:cs="Arial"/>
          <w:sz w:val="16"/>
          <w:szCs w:val="16"/>
        </w:rPr>
        <w:t>Hirashita</w:t>
      </w:r>
      <w:proofErr w:type="spellEnd"/>
      <w:r w:rsidRPr="004C6449">
        <w:rPr>
          <w:rFonts w:ascii="Arial" w:hAnsi="Arial" w:cs="Arial"/>
          <w:sz w:val="16"/>
          <w:szCs w:val="16"/>
        </w:rPr>
        <w:t xml:space="preserve">, H., &amp; </w:t>
      </w:r>
      <w:proofErr w:type="spellStart"/>
      <w:r w:rsidRPr="004C6449">
        <w:rPr>
          <w:rFonts w:ascii="Arial" w:hAnsi="Arial" w:cs="Arial"/>
          <w:sz w:val="16"/>
          <w:szCs w:val="16"/>
        </w:rPr>
        <w:t>Murga</w:t>
      </w:r>
      <w:proofErr w:type="spellEnd"/>
      <w:r w:rsidRPr="004C6449">
        <w:rPr>
          <w:rFonts w:ascii="Arial" w:hAnsi="Arial" w:cs="Arial"/>
          <w:sz w:val="16"/>
          <w:szCs w:val="16"/>
        </w:rPr>
        <w:t xml:space="preserve">, M. S. (2019). Modelling the evolution of PAH abundance in galaxies.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489</w:t>
      </w:r>
      <w:r w:rsidRPr="004C6449">
        <w:rPr>
          <w:rFonts w:ascii="Arial" w:hAnsi="Arial" w:cs="Arial"/>
          <w:sz w:val="16"/>
          <w:szCs w:val="16"/>
        </w:rPr>
        <w:t xml:space="preserve">(4), 5218. </w:t>
      </w:r>
      <w:hyperlink r:id="rId80" w:tgtFrame="_blank" w:history="1">
        <w:r w:rsidRPr="004C6449">
          <w:rPr>
            <w:rStyle w:val="Hyperlink"/>
            <w:rFonts w:ascii="Arial" w:hAnsi="Arial" w:cs="Arial"/>
            <w:sz w:val="16"/>
            <w:szCs w:val="16"/>
          </w:rPr>
          <w:t>https://doi.org/10.1093/mnras/stz2532</w:t>
        </w:r>
      </w:hyperlink>
    </w:p>
    <w:p w14:paraId="6ECF580A"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Rigopoulou, D., Donnan, F. R., García-Bernete, I., Pereira-Santaella, M., Alonso</w:t>
      </w:r>
      <w:r w:rsidRPr="004C6449">
        <w:rPr>
          <w:rFonts w:ascii="Cambria Math" w:hAnsi="Cambria Math" w:cs="Cambria Math"/>
          <w:sz w:val="16"/>
          <w:szCs w:val="16"/>
        </w:rPr>
        <w:t>‐</w:t>
      </w:r>
      <w:r w:rsidRPr="004C6449">
        <w:rPr>
          <w:rFonts w:ascii="Arial" w:hAnsi="Arial" w:cs="Arial"/>
          <w:sz w:val="16"/>
          <w:szCs w:val="16"/>
        </w:rPr>
        <w:t xml:space="preserve">Herrero, A., Davies, R., Hunt, L. K., Roche, P. F., &amp; Shimizu, T. (2024a). Polycyclic Aromatic Hydrocarbon Emission in Galaxies as seen with JWST.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81" w:tgtFrame="_blank" w:history="1">
        <w:r w:rsidRPr="004C6449">
          <w:rPr>
            <w:rStyle w:val="Hyperlink"/>
            <w:rFonts w:ascii="Arial" w:hAnsi="Arial" w:cs="Arial"/>
            <w:sz w:val="16"/>
            <w:szCs w:val="16"/>
          </w:rPr>
          <w:t>https://doi.org/10.48550/arxiv.2406.11415</w:t>
        </w:r>
      </w:hyperlink>
    </w:p>
    <w:p w14:paraId="23716135"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Rigopoulou, D., Donnan, F. R., García-Bernete, I., Pereira-Santaella, M., Alonso</w:t>
      </w:r>
      <w:r w:rsidRPr="004C6449">
        <w:rPr>
          <w:rFonts w:ascii="Cambria Math" w:hAnsi="Cambria Math" w:cs="Cambria Math"/>
          <w:sz w:val="16"/>
          <w:szCs w:val="16"/>
        </w:rPr>
        <w:t>‐</w:t>
      </w:r>
      <w:r w:rsidRPr="004C6449">
        <w:rPr>
          <w:rFonts w:ascii="Arial" w:hAnsi="Arial" w:cs="Arial"/>
          <w:sz w:val="16"/>
          <w:szCs w:val="16"/>
        </w:rPr>
        <w:t xml:space="preserve">Herrero, A., Davies, R., Hunt, L. K., Roche, P. F., &amp; Shimizu, T. (2024b). Polycyclic aromatic hydrocarbon emission in galaxies as seen with JWST.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532</w:t>
      </w:r>
      <w:r w:rsidRPr="004C6449">
        <w:rPr>
          <w:rFonts w:ascii="Arial" w:hAnsi="Arial" w:cs="Arial"/>
          <w:sz w:val="16"/>
          <w:szCs w:val="16"/>
        </w:rPr>
        <w:t xml:space="preserve">(2), 1598. </w:t>
      </w:r>
      <w:hyperlink r:id="rId82" w:tgtFrame="_blank" w:history="1">
        <w:r w:rsidRPr="004C6449">
          <w:rPr>
            <w:rStyle w:val="Hyperlink"/>
            <w:rFonts w:ascii="Arial" w:hAnsi="Arial" w:cs="Arial"/>
            <w:sz w:val="16"/>
            <w:szCs w:val="16"/>
          </w:rPr>
          <w:t>https://doi.org/10.1093/mnras/stae1535</w:t>
        </w:r>
      </w:hyperlink>
    </w:p>
    <w:p w14:paraId="4FAB058B" w14:textId="77777777" w:rsidR="006E651E" w:rsidRDefault="006E651E" w:rsidP="006E651E">
      <w:pPr>
        <w:jc w:val="both"/>
      </w:pPr>
      <w:r w:rsidRPr="004C6449">
        <w:rPr>
          <w:rFonts w:ascii="Arial" w:hAnsi="Arial" w:cs="Arial"/>
          <w:sz w:val="16"/>
          <w:szCs w:val="16"/>
        </w:rPr>
        <w:t>Rigopoulou, D., Donnan, F. R., García-Bernete, I., Pereira-Santaella, M., Alonso</w:t>
      </w:r>
      <w:r w:rsidRPr="004C6449">
        <w:rPr>
          <w:rFonts w:ascii="Cambria Math" w:hAnsi="Cambria Math" w:cs="Cambria Math"/>
          <w:sz w:val="16"/>
          <w:szCs w:val="16"/>
        </w:rPr>
        <w:t>‐</w:t>
      </w:r>
      <w:r w:rsidRPr="004C6449">
        <w:rPr>
          <w:rFonts w:ascii="Arial" w:hAnsi="Arial" w:cs="Arial"/>
          <w:sz w:val="16"/>
          <w:szCs w:val="16"/>
        </w:rPr>
        <w:t xml:space="preserve">Herrero, A., Davies, R., Hunt, L. K., Roche, P. F., &amp; Shimizu, T. (2024). Polycyclic aromatic hydrocarbon emission in galaxies as seen with JWST.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532</w:t>
      </w:r>
      <w:r w:rsidRPr="004C6449">
        <w:rPr>
          <w:rFonts w:ascii="Arial" w:hAnsi="Arial" w:cs="Arial"/>
          <w:sz w:val="16"/>
          <w:szCs w:val="16"/>
        </w:rPr>
        <w:t xml:space="preserve">(2), 1598. </w:t>
      </w:r>
      <w:hyperlink r:id="rId83" w:tgtFrame="_blank" w:history="1">
        <w:r w:rsidRPr="004C6449">
          <w:rPr>
            <w:rStyle w:val="Hyperlink"/>
            <w:rFonts w:ascii="Arial" w:hAnsi="Arial" w:cs="Arial"/>
            <w:sz w:val="16"/>
            <w:szCs w:val="16"/>
          </w:rPr>
          <w:t>https://doi.org/10.1093/mnras/stae1535</w:t>
        </w:r>
      </w:hyperlink>
    </w:p>
    <w:p w14:paraId="3BE4349D" w14:textId="77777777" w:rsidR="004D61F1" w:rsidRDefault="004D61F1" w:rsidP="006E651E">
      <w:pPr>
        <w:jc w:val="both"/>
      </w:pPr>
    </w:p>
    <w:p w14:paraId="7B805237" w14:textId="4EE00BC8" w:rsidR="004D61F1" w:rsidRPr="004D61F1" w:rsidRDefault="004D61F1" w:rsidP="004D61F1">
      <w:pPr>
        <w:rPr>
          <w:rStyle w:val="Hyperlink"/>
          <w:rFonts w:ascii="Arial" w:hAnsi="Arial" w:cs="Arial"/>
          <w:sz w:val="16"/>
          <w:szCs w:val="16"/>
        </w:rPr>
      </w:pPr>
      <w:r w:rsidRPr="004D61F1">
        <w:rPr>
          <w:rFonts w:ascii="Arial" w:hAnsi="Arial" w:cs="Arial"/>
          <w:sz w:val="16"/>
          <w:szCs w:val="16"/>
        </w:rPr>
        <w:t xml:space="preserve">Rogers, N. S. J., Arellano-Córdova, K. Z., Berg, D., Pogge, R. W., &amp; Skillman, E. D. (2023, May). The novel MIR abundance diagnostic Ne23 (JWST Proposal. Cycle 2, ID. #4297). </w:t>
      </w:r>
      <w:r>
        <w:rPr>
          <w:rFonts w:ascii="Arial" w:hAnsi="Arial" w:cs="Arial"/>
          <w:sz w:val="16"/>
          <w:szCs w:val="16"/>
        </w:rPr>
        <w:fldChar w:fldCharType="begin"/>
      </w:r>
      <w:r>
        <w:rPr>
          <w:rFonts w:ascii="Arial" w:hAnsi="Arial" w:cs="Arial"/>
          <w:sz w:val="16"/>
          <w:szCs w:val="16"/>
        </w:rPr>
        <w:instrText>HYPERLINK "https://ui.adsabs.harvard.edu/abs/2023jwst.prop.4297R"</w:instrText>
      </w:r>
      <w:r>
        <w:rPr>
          <w:rFonts w:ascii="Arial" w:hAnsi="Arial" w:cs="Arial"/>
          <w:sz w:val="16"/>
          <w:szCs w:val="16"/>
        </w:rPr>
        <w:fldChar w:fldCharType="separate"/>
      </w:r>
      <w:r w:rsidRPr="004D61F1">
        <w:rPr>
          <w:rStyle w:val="Hyperlink"/>
          <w:rFonts w:ascii="Arial" w:hAnsi="Arial" w:cs="Arial"/>
          <w:sz w:val="16"/>
          <w:szCs w:val="16"/>
        </w:rPr>
        <w:t>https://ui.adsabs.harvard.edu/abs/2023jwst.prop.4297R</w:t>
      </w:r>
    </w:p>
    <w:p w14:paraId="68BDE596" w14:textId="10F9F667" w:rsidR="004D61F1" w:rsidRDefault="004D61F1" w:rsidP="006E651E">
      <w:pPr>
        <w:jc w:val="both"/>
        <w:rPr>
          <w:rFonts w:ascii="Arial" w:hAnsi="Arial" w:cs="Arial"/>
          <w:sz w:val="16"/>
          <w:szCs w:val="16"/>
        </w:rPr>
      </w:pPr>
      <w:r>
        <w:rPr>
          <w:rFonts w:ascii="Arial" w:hAnsi="Arial" w:cs="Arial"/>
          <w:sz w:val="16"/>
          <w:szCs w:val="16"/>
        </w:rPr>
        <w:fldChar w:fldCharType="end"/>
      </w:r>
    </w:p>
    <w:p w14:paraId="6F0096C9" w14:textId="77777777" w:rsidR="006E651E" w:rsidRDefault="006E651E" w:rsidP="006E651E">
      <w:pPr>
        <w:jc w:val="both"/>
        <w:rPr>
          <w:rFonts w:ascii="Arial" w:hAnsi="Arial" w:cs="Arial"/>
          <w:sz w:val="16"/>
          <w:szCs w:val="16"/>
        </w:rPr>
      </w:pPr>
      <w:r w:rsidRPr="004C6449">
        <w:rPr>
          <w:rFonts w:ascii="Arial" w:hAnsi="Arial" w:cs="Arial"/>
          <w:sz w:val="16"/>
          <w:szCs w:val="16"/>
        </w:rPr>
        <w:t xml:space="preserve">Sakon, I., Onaka, T., OKAMOTO, Y. K., Kataza, H., Kaneda, H., &amp; Honda, M. (2011). IONIZATION OF POLYCYCLIC AROMATIC HYDROCARBON MOLECULES AROUND THE HERBIG Ae/Be ENVIRONMENT. In </w:t>
      </w:r>
      <w:r w:rsidRPr="004C6449">
        <w:rPr>
          <w:rFonts w:ascii="Arial" w:hAnsi="Arial" w:cs="Arial"/>
          <w:i/>
          <w:iCs/>
          <w:sz w:val="16"/>
          <w:szCs w:val="16"/>
        </w:rPr>
        <w:t>World Scientific Publishing Co. Pte. Ltd. eBooks</w:t>
      </w:r>
      <w:r w:rsidRPr="004C6449">
        <w:rPr>
          <w:rFonts w:ascii="Arial" w:hAnsi="Arial" w:cs="Arial"/>
          <w:sz w:val="16"/>
          <w:szCs w:val="16"/>
        </w:rPr>
        <w:t xml:space="preserve"> (p. 143). </w:t>
      </w:r>
      <w:hyperlink r:id="rId84" w:tgtFrame="_blank" w:history="1">
        <w:r w:rsidRPr="004C6449">
          <w:rPr>
            <w:rStyle w:val="Hyperlink"/>
            <w:rFonts w:ascii="Arial" w:hAnsi="Arial" w:cs="Arial"/>
            <w:sz w:val="16"/>
            <w:szCs w:val="16"/>
          </w:rPr>
          <w:t>https://doi.org/10.1142/9789812708922_0014</w:t>
        </w:r>
      </w:hyperlink>
    </w:p>
    <w:p w14:paraId="2406724B" w14:textId="77777777" w:rsidR="006E651E" w:rsidRPr="004C6449" w:rsidRDefault="006E651E" w:rsidP="006E651E">
      <w:pPr>
        <w:jc w:val="both"/>
        <w:rPr>
          <w:rFonts w:ascii="Arial" w:hAnsi="Arial" w:cs="Arial"/>
          <w:sz w:val="16"/>
          <w:szCs w:val="16"/>
        </w:rPr>
      </w:pPr>
    </w:p>
    <w:p w14:paraId="04A58F70"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Sandstrom, K. M., Bolatto, A. D., Draine, B., Bot, C., &amp; </w:t>
      </w:r>
      <w:proofErr w:type="spellStart"/>
      <w:r w:rsidRPr="004C6449">
        <w:rPr>
          <w:rFonts w:ascii="Arial" w:hAnsi="Arial" w:cs="Arial"/>
          <w:sz w:val="16"/>
          <w:szCs w:val="16"/>
        </w:rPr>
        <w:t>Stanimirovic</w:t>
      </w:r>
      <w:proofErr w:type="spellEnd"/>
      <w:r w:rsidRPr="004C6449">
        <w:rPr>
          <w:rFonts w:ascii="Arial" w:hAnsi="Arial" w:cs="Arial"/>
          <w:sz w:val="16"/>
          <w:szCs w:val="16"/>
        </w:rPr>
        <w:t xml:space="preserve">, S. (2010). The Spitzer Survey of the Small </w:t>
      </w:r>
      <w:proofErr w:type="spellStart"/>
      <w:r w:rsidRPr="004C6449">
        <w:rPr>
          <w:rFonts w:ascii="Arial" w:hAnsi="Arial" w:cs="Arial"/>
          <w:sz w:val="16"/>
          <w:szCs w:val="16"/>
        </w:rPr>
        <w:t>Magellanic</w:t>
      </w:r>
      <w:proofErr w:type="spellEnd"/>
      <w:r w:rsidRPr="004C6449">
        <w:rPr>
          <w:rFonts w:ascii="Arial" w:hAnsi="Arial" w:cs="Arial"/>
          <w:sz w:val="16"/>
          <w:szCs w:val="16"/>
        </w:rPr>
        <w:t xml:space="preserve"> Cloud (S3MC): Insights into the Life-Cycle of Polycyclic Aromatic Hydrocarbons. </w:t>
      </w:r>
      <w:proofErr w:type="spellStart"/>
      <w:r w:rsidRPr="004C6449">
        <w:rPr>
          <w:rFonts w:ascii="Arial" w:hAnsi="Arial" w:cs="Arial"/>
          <w:i/>
          <w:iCs/>
          <w:sz w:val="16"/>
          <w:szCs w:val="16"/>
        </w:rPr>
        <w:t>arXiv</w:t>
      </w:r>
      <w:proofErr w:type="spellEnd"/>
      <w:r w:rsidRPr="004C6449">
        <w:rPr>
          <w:rFonts w:ascii="Arial" w:hAnsi="Arial" w:cs="Arial"/>
          <w:sz w:val="16"/>
          <w:szCs w:val="16"/>
        </w:rPr>
        <w:t xml:space="preserve">. </w:t>
      </w:r>
      <w:hyperlink r:id="rId85" w:tgtFrame="_blank" w:history="1">
        <w:r w:rsidRPr="004C6449">
          <w:rPr>
            <w:rStyle w:val="Hyperlink"/>
            <w:rFonts w:ascii="Arial" w:hAnsi="Arial" w:cs="Arial"/>
            <w:sz w:val="16"/>
            <w:szCs w:val="16"/>
          </w:rPr>
          <w:t>https://doi.org/10.48550/ARXIV.1003.4516</w:t>
        </w:r>
      </w:hyperlink>
    </w:p>
    <w:p w14:paraId="5E7C7D40"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Sandström, K., Koch, E. W., Leroy, A. K., Rosolowsky, E., </w:t>
      </w:r>
      <w:proofErr w:type="spellStart"/>
      <w:r w:rsidRPr="004C6449">
        <w:rPr>
          <w:rFonts w:ascii="Arial" w:hAnsi="Arial" w:cs="Arial"/>
          <w:sz w:val="16"/>
          <w:szCs w:val="16"/>
        </w:rPr>
        <w:t>Emsellem</w:t>
      </w:r>
      <w:proofErr w:type="spellEnd"/>
      <w:r w:rsidRPr="004C6449">
        <w:rPr>
          <w:rFonts w:ascii="Arial" w:hAnsi="Arial" w:cs="Arial"/>
          <w:sz w:val="16"/>
          <w:szCs w:val="16"/>
        </w:rPr>
        <w:t xml:space="preserve">, É., Smith, R. J., Egorov, O. V., Williams, T. G., Larson, K. L., Lee, J., Schinnerer, E., </w:t>
      </w:r>
      <w:proofErr w:type="spellStart"/>
      <w:r w:rsidRPr="004C6449">
        <w:rPr>
          <w:rFonts w:ascii="Arial" w:hAnsi="Arial" w:cs="Arial"/>
          <w:sz w:val="16"/>
          <w:szCs w:val="16"/>
        </w:rPr>
        <w:t>Thilker</w:t>
      </w:r>
      <w:proofErr w:type="spellEnd"/>
      <w:r w:rsidRPr="004C6449">
        <w:rPr>
          <w:rFonts w:ascii="Arial" w:hAnsi="Arial" w:cs="Arial"/>
          <w:sz w:val="16"/>
          <w:szCs w:val="16"/>
        </w:rPr>
        <w:t xml:space="preserve">, D. A., Barnes, A., Belfiore, F., </w:t>
      </w:r>
      <w:proofErr w:type="spellStart"/>
      <w:r w:rsidRPr="004C6449">
        <w:rPr>
          <w:rFonts w:ascii="Arial" w:hAnsi="Arial" w:cs="Arial"/>
          <w:sz w:val="16"/>
          <w:szCs w:val="16"/>
        </w:rPr>
        <w:t>Bigiel</w:t>
      </w:r>
      <w:proofErr w:type="spellEnd"/>
      <w:r w:rsidRPr="004C6449">
        <w:rPr>
          <w:rFonts w:ascii="Arial" w:hAnsi="Arial" w:cs="Arial"/>
          <w:sz w:val="16"/>
          <w:szCs w:val="16"/>
        </w:rPr>
        <w:t xml:space="preserve">, F., Blanc, G. A., </w:t>
      </w:r>
      <w:proofErr w:type="spellStart"/>
      <w:r w:rsidRPr="004C6449">
        <w:rPr>
          <w:rFonts w:ascii="Arial" w:hAnsi="Arial" w:cs="Arial"/>
          <w:sz w:val="16"/>
          <w:szCs w:val="16"/>
        </w:rPr>
        <w:t>Bolatto</w:t>
      </w:r>
      <w:proofErr w:type="spellEnd"/>
      <w:r w:rsidRPr="004C6449">
        <w:rPr>
          <w:rFonts w:ascii="Arial" w:hAnsi="Arial" w:cs="Arial"/>
          <w:sz w:val="16"/>
          <w:szCs w:val="16"/>
        </w:rPr>
        <w:t xml:space="preserve">, A. D., </w:t>
      </w:r>
      <w:proofErr w:type="spellStart"/>
      <w:r w:rsidRPr="004C6449">
        <w:rPr>
          <w:rFonts w:ascii="Arial" w:hAnsi="Arial" w:cs="Arial"/>
          <w:sz w:val="16"/>
          <w:szCs w:val="16"/>
        </w:rPr>
        <w:t>Boquien</w:t>
      </w:r>
      <w:proofErr w:type="spellEnd"/>
      <w:r w:rsidRPr="004C6449">
        <w:rPr>
          <w:rFonts w:ascii="Arial" w:hAnsi="Arial" w:cs="Arial"/>
          <w:sz w:val="16"/>
          <w:szCs w:val="16"/>
        </w:rPr>
        <w:t xml:space="preserve">, M., Cao, Y., … Watkins, E. J. (2023). PHANGS–JWST First Results: Tracing the Diffuse Interstellar Medium with JWST Imaging of Polycyclic Aromatic Hydrocarbon Emission in Nearby Galaxies. </w:t>
      </w:r>
      <w:r w:rsidRPr="004C6449">
        <w:rPr>
          <w:rFonts w:ascii="Arial" w:hAnsi="Arial" w:cs="Arial"/>
          <w:i/>
          <w:iCs/>
          <w:sz w:val="16"/>
          <w:szCs w:val="16"/>
        </w:rPr>
        <w:t>The Astrophysical Journal Letters</w:t>
      </w:r>
      <w:r w:rsidRPr="004C6449">
        <w:rPr>
          <w:rFonts w:ascii="Arial" w:hAnsi="Arial" w:cs="Arial"/>
          <w:sz w:val="16"/>
          <w:szCs w:val="16"/>
        </w:rPr>
        <w:t xml:space="preserve">, </w:t>
      </w:r>
      <w:r w:rsidRPr="004C6449">
        <w:rPr>
          <w:rFonts w:ascii="Arial" w:hAnsi="Arial" w:cs="Arial"/>
          <w:i/>
          <w:iCs/>
          <w:sz w:val="16"/>
          <w:szCs w:val="16"/>
        </w:rPr>
        <w:t>944</w:t>
      </w:r>
      <w:r w:rsidRPr="004C6449">
        <w:rPr>
          <w:rFonts w:ascii="Arial" w:hAnsi="Arial" w:cs="Arial"/>
          <w:sz w:val="16"/>
          <w:szCs w:val="16"/>
        </w:rPr>
        <w:t xml:space="preserve">(2). </w:t>
      </w:r>
      <w:hyperlink r:id="rId86" w:tgtFrame="_blank" w:history="1">
        <w:r w:rsidRPr="004C6449">
          <w:rPr>
            <w:rStyle w:val="Hyperlink"/>
            <w:rFonts w:ascii="Arial" w:hAnsi="Arial" w:cs="Arial"/>
            <w:sz w:val="16"/>
            <w:szCs w:val="16"/>
          </w:rPr>
          <w:t>https://doi.org/10.3847/2041-8213/aca972</w:t>
        </w:r>
      </w:hyperlink>
    </w:p>
    <w:p w14:paraId="68DDD79D" w14:textId="77777777" w:rsidR="006E651E" w:rsidRPr="004C6449" w:rsidRDefault="006E651E" w:rsidP="006E651E">
      <w:pPr>
        <w:jc w:val="both"/>
        <w:rPr>
          <w:rFonts w:ascii="Arial" w:hAnsi="Arial" w:cs="Arial"/>
          <w:sz w:val="16"/>
          <w:szCs w:val="16"/>
        </w:rPr>
      </w:pPr>
      <w:r w:rsidRPr="004C6449">
        <w:rPr>
          <w:rFonts w:ascii="Arial" w:hAnsi="Arial" w:cs="Arial"/>
          <w:sz w:val="16"/>
          <w:szCs w:val="16"/>
        </w:rPr>
        <w:t xml:space="preserve">Semmler, J., Yang, P., &amp; Crawford, G. (1991). Gas chromatography/Fourier transform infrared studies of gas-phase polynuclear aromatic hydrocarbons. </w:t>
      </w:r>
      <w:r w:rsidRPr="004C6449">
        <w:rPr>
          <w:rFonts w:ascii="Arial" w:hAnsi="Arial" w:cs="Arial"/>
          <w:i/>
          <w:iCs/>
          <w:sz w:val="16"/>
          <w:szCs w:val="16"/>
        </w:rPr>
        <w:t>Vibrational Spectroscopy</w:t>
      </w:r>
      <w:r w:rsidRPr="004C6449">
        <w:rPr>
          <w:rFonts w:ascii="Arial" w:hAnsi="Arial" w:cs="Arial"/>
          <w:sz w:val="16"/>
          <w:szCs w:val="16"/>
        </w:rPr>
        <w:t xml:space="preserve">, </w:t>
      </w:r>
      <w:r w:rsidRPr="004C6449">
        <w:rPr>
          <w:rFonts w:ascii="Arial" w:hAnsi="Arial" w:cs="Arial"/>
          <w:i/>
          <w:iCs/>
          <w:sz w:val="16"/>
          <w:szCs w:val="16"/>
        </w:rPr>
        <w:t>2</w:t>
      </w:r>
      <w:r w:rsidRPr="004C6449">
        <w:rPr>
          <w:rFonts w:ascii="Arial" w:hAnsi="Arial" w:cs="Arial"/>
          <w:sz w:val="16"/>
          <w:szCs w:val="16"/>
        </w:rPr>
        <w:t xml:space="preserve">(4), 189. </w:t>
      </w:r>
      <w:hyperlink r:id="rId87" w:tgtFrame="_blank" w:history="1">
        <w:r w:rsidRPr="004C6449">
          <w:rPr>
            <w:rStyle w:val="Hyperlink"/>
            <w:rFonts w:ascii="Arial" w:hAnsi="Arial" w:cs="Arial"/>
            <w:sz w:val="16"/>
            <w:szCs w:val="16"/>
          </w:rPr>
          <w:t>https://doi.org/10.1016/0924-2031(91)85026-j</w:t>
        </w:r>
      </w:hyperlink>
    </w:p>
    <w:p w14:paraId="21A59A4C"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Sidhu, A., Tielens, A. G. G. M., Peeters, E., &amp; Cami, J. (2022). Polycyclic Aromatic Hydrocarbon emission model in photodissociation regions I: Application to the 3.3, 6.2, and 11.2 $</w:t>
      </w:r>
      <w:proofErr w:type="spellStart"/>
      <w:r w:rsidRPr="004C6449">
        <w:rPr>
          <w:rFonts w:ascii="Arial" w:hAnsi="Arial" w:cs="Arial"/>
          <w:sz w:val="16"/>
          <w:szCs w:val="16"/>
        </w:rPr>
        <w:t>μ$m</w:t>
      </w:r>
      <w:proofErr w:type="spellEnd"/>
      <w:r w:rsidRPr="004C6449">
        <w:rPr>
          <w:rFonts w:ascii="Arial" w:hAnsi="Arial" w:cs="Arial"/>
          <w:sz w:val="16"/>
          <w:szCs w:val="16"/>
        </w:rPr>
        <w:t xml:space="preserve"> bands. </w:t>
      </w:r>
      <w:proofErr w:type="spellStart"/>
      <w:r w:rsidRPr="004C6449">
        <w:rPr>
          <w:rFonts w:ascii="Arial" w:hAnsi="Arial" w:cs="Arial"/>
          <w:i/>
          <w:iCs/>
          <w:sz w:val="16"/>
          <w:szCs w:val="16"/>
        </w:rPr>
        <w:t>arXiv</w:t>
      </w:r>
      <w:proofErr w:type="spellEnd"/>
      <w:r w:rsidRPr="004C6449">
        <w:rPr>
          <w:rFonts w:ascii="Arial" w:hAnsi="Arial" w:cs="Arial"/>
          <w:sz w:val="16"/>
          <w:szCs w:val="16"/>
        </w:rPr>
        <w:t xml:space="preserve">. </w:t>
      </w:r>
      <w:hyperlink r:id="rId88" w:tgtFrame="_blank" w:history="1">
        <w:r w:rsidRPr="004C6449">
          <w:rPr>
            <w:rStyle w:val="Hyperlink"/>
            <w:rFonts w:ascii="Arial" w:hAnsi="Arial" w:cs="Arial"/>
            <w:sz w:val="16"/>
            <w:szCs w:val="16"/>
          </w:rPr>
          <w:t>https://doi.org/10.48550/ARXIV.2205.03304</w:t>
        </w:r>
      </w:hyperlink>
    </w:p>
    <w:p w14:paraId="691D1D8A" w14:textId="7CFA5FA0" w:rsidR="006E651E" w:rsidRDefault="006E651E" w:rsidP="006E651E">
      <w:pPr>
        <w:jc w:val="both"/>
        <w:rPr>
          <w:rFonts w:ascii="Arial" w:hAnsi="Arial" w:cs="Arial"/>
          <w:sz w:val="16"/>
          <w:szCs w:val="16"/>
        </w:rPr>
      </w:pPr>
      <w:r w:rsidRPr="004C6449">
        <w:rPr>
          <w:rFonts w:ascii="Arial" w:hAnsi="Arial" w:cs="Arial"/>
          <w:sz w:val="16"/>
          <w:szCs w:val="16"/>
        </w:rPr>
        <w:t>Sidhu, A., Tielens, A. G. G. M., Peeters, E., &amp; Cami, J. (2022). Polycyclic Aromatic Hydrocarbon emission model in photodissociation regions I: Application to the 3.3, 6.2, and 11.2 $</w:t>
      </w:r>
      <w:proofErr w:type="spellStart"/>
      <w:r w:rsidRPr="004C6449">
        <w:rPr>
          <w:rFonts w:ascii="Arial" w:hAnsi="Arial" w:cs="Arial"/>
          <w:sz w:val="16"/>
          <w:szCs w:val="16"/>
        </w:rPr>
        <w:t>μ$m</w:t>
      </w:r>
      <w:proofErr w:type="spellEnd"/>
      <w:r w:rsidRPr="004C6449">
        <w:rPr>
          <w:rFonts w:ascii="Arial" w:hAnsi="Arial" w:cs="Arial"/>
          <w:sz w:val="16"/>
          <w:szCs w:val="16"/>
        </w:rPr>
        <w:t xml:space="preserve"> bands. </w:t>
      </w:r>
      <w:proofErr w:type="spellStart"/>
      <w:r w:rsidRPr="004C6449">
        <w:rPr>
          <w:rFonts w:ascii="Arial" w:hAnsi="Arial" w:cs="Arial"/>
          <w:i/>
          <w:iCs/>
          <w:sz w:val="16"/>
          <w:szCs w:val="16"/>
        </w:rPr>
        <w:t>arXiv</w:t>
      </w:r>
      <w:proofErr w:type="spellEnd"/>
      <w:r w:rsidRPr="004C6449">
        <w:rPr>
          <w:rFonts w:ascii="Arial" w:hAnsi="Arial" w:cs="Arial"/>
          <w:sz w:val="16"/>
          <w:szCs w:val="16"/>
        </w:rPr>
        <w:t xml:space="preserve">. </w:t>
      </w:r>
      <w:hyperlink r:id="rId89" w:tgtFrame="_blank" w:history="1">
        <w:r w:rsidRPr="004C6449">
          <w:rPr>
            <w:rStyle w:val="Hyperlink"/>
            <w:rFonts w:ascii="Arial" w:hAnsi="Arial" w:cs="Arial"/>
            <w:sz w:val="16"/>
            <w:szCs w:val="16"/>
          </w:rPr>
          <w:t>https://doi.org/10.48550/ARXIV.2205.03304</w:t>
        </w:r>
      </w:hyperlink>
    </w:p>
    <w:p w14:paraId="25E56B6C" w14:textId="77777777" w:rsidR="006E651E" w:rsidRPr="004C6449" w:rsidRDefault="006E651E" w:rsidP="006E651E">
      <w:pPr>
        <w:jc w:val="both"/>
        <w:rPr>
          <w:rFonts w:ascii="Arial" w:hAnsi="Arial" w:cs="Arial"/>
          <w:sz w:val="16"/>
          <w:szCs w:val="16"/>
        </w:rPr>
      </w:pPr>
    </w:p>
    <w:p w14:paraId="1D031F5C"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Siebenmorgen, R. (2009). PAH destruction and survival in the disks of T Tauri stars.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90" w:tgtFrame="_blank" w:history="1">
        <w:r w:rsidRPr="004C6449">
          <w:rPr>
            <w:rStyle w:val="Hyperlink"/>
            <w:rFonts w:ascii="Arial" w:hAnsi="Arial" w:cs="Arial"/>
            <w:sz w:val="16"/>
            <w:szCs w:val="16"/>
          </w:rPr>
          <w:t>https://doi.org/10.48550/arxiv.0911.4360</w:t>
        </w:r>
      </w:hyperlink>
    </w:p>
    <w:p w14:paraId="1BD6D94D" w14:textId="77777777" w:rsidR="006E651E" w:rsidRDefault="006E651E" w:rsidP="006E651E">
      <w:pPr>
        <w:spacing w:after="240"/>
        <w:jc w:val="both"/>
      </w:pPr>
      <w:r w:rsidRPr="004C6449">
        <w:rPr>
          <w:rFonts w:ascii="Arial" w:hAnsi="Arial" w:cs="Arial"/>
          <w:sz w:val="16"/>
          <w:szCs w:val="16"/>
        </w:rPr>
        <w:t xml:space="preserve">Sutter, J., Sandstrom, K., </w:t>
      </w:r>
      <w:proofErr w:type="spellStart"/>
      <w:r w:rsidRPr="004C6449">
        <w:rPr>
          <w:rFonts w:ascii="Arial" w:hAnsi="Arial" w:cs="Arial"/>
          <w:sz w:val="16"/>
          <w:szCs w:val="16"/>
        </w:rPr>
        <w:t>Chastenet</w:t>
      </w:r>
      <w:proofErr w:type="spellEnd"/>
      <w:r w:rsidRPr="004C6449">
        <w:rPr>
          <w:rFonts w:ascii="Arial" w:hAnsi="Arial" w:cs="Arial"/>
          <w:sz w:val="16"/>
          <w:szCs w:val="16"/>
        </w:rPr>
        <w:t xml:space="preserve">, J., Leroy, A. K., Koch, E. W., Williams, T. G., Chown, R., Belfiore, F., </w:t>
      </w:r>
      <w:proofErr w:type="spellStart"/>
      <w:r w:rsidRPr="004C6449">
        <w:rPr>
          <w:rFonts w:ascii="Arial" w:hAnsi="Arial" w:cs="Arial"/>
          <w:sz w:val="16"/>
          <w:szCs w:val="16"/>
        </w:rPr>
        <w:t>Bigiel</w:t>
      </w:r>
      <w:proofErr w:type="spellEnd"/>
      <w:r w:rsidRPr="004C6449">
        <w:rPr>
          <w:rFonts w:ascii="Arial" w:hAnsi="Arial" w:cs="Arial"/>
          <w:sz w:val="16"/>
          <w:szCs w:val="16"/>
        </w:rPr>
        <w:t xml:space="preserve">, F., </w:t>
      </w:r>
      <w:proofErr w:type="spellStart"/>
      <w:r w:rsidRPr="004C6449">
        <w:rPr>
          <w:rFonts w:ascii="Arial" w:hAnsi="Arial" w:cs="Arial"/>
          <w:sz w:val="16"/>
          <w:szCs w:val="16"/>
        </w:rPr>
        <w:t>Boquien</w:t>
      </w:r>
      <w:proofErr w:type="spellEnd"/>
      <w:r w:rsidRPr="004C6449">
        <w:rPr>
          <w:rFonts w:ascii="Arial" w:hAnsi="Arial" w:cs="Arial"/>
          <w:sz w:val="16"/>
          <w:szCs w:val="16"/>
        </w:rPr>
        <w:t xml:space="preserve">, M., Cao, Y., </w:t>
      </w:r>
      <w:proofErr w:type="spellStart"/>
      <w:r w:rsidRPr="004C6449">
        <w:rPr>
          <w:rFonts w:ascii="Arial" w:hAnsi="Arial" w:cs="Arial"/>
          <w:sz w:val="16"/>
          <w:szCs w:val="16"/>
        </w:rPr>
        <w:t>Chevance</w:t>
      </w:r>
      <w:proofErr w:type="spellEnd"/>
      <w:r w:rsidRPr="004C6449">
        <w:rPr>
          <w:rFonts w:ascii="Arial" w:hAnsi="Arial" w:cs="Arial"/>
          <w:sz w:val="16"/>
          <w:szCs w:val="16"/>
        </w:rPr>
        <w:t xml:space="preserve">, M., Dale, D. A., Egorov, O. V., Glover, S. C. O., Groves, B., Klessen, R. S., Kreckel, K., Larson, K. L., … Watkins, E. J. (2024). </w:t>
      </w:r>
      <w:r w:rsidRPr="004C6449">
        <w:rPr>
          <w:rFonts w:ascii="Arial" w:hAnsi="Arial" w:cs="Arial"/>
          <w:i/>
          <w:iCs/>
          <w:sz w:val="16"/>
          <w:szCs w:val="16"/>
        </w:rPr>
        <w:t>The Fraction of Dust Mass in the Form of PAHs on 10-50 pc Scales in Nearby Galaxies</w:t>
      </w:r>
      <w:r w:rsidRPr="004C6449">
        <w:rPr>
          <w:rFonts w:ascii="Arial" w:hAnsi="Arial" w:cs="Arial"/>
          <w:sz w:val="16"/>
          <w:szCs w:val="16"/>
        </w:rPr>
        <w:t xml:space="preserve">. </w:t>
      </w:r>
      <w:hyperlink r:id="rId91" w:tgtFrame="_blank" w:history="1">
        <w:r w:rsidRPr="004C6449">
          <w:rPr>
            <w:rStyle w:val="Hyperlink"/>
            <w:rFonts w:ascii="Arial" w:hAnsi="Arial" w:cs="Arial"/>
            <w:sz w:val="16"/>
            <w:szCs w:val="16"/>
          </w:rPr>
          <w:t>https://doi.org/10.48550/ARXIV.2405.15102</w:t>
        </w:r>
      </w:hyperlink>
    </w:p>
    <w:p w14:paraId="673AAF9D" w14:textId="79D69AD0" w:rsidR="00FE3C3A" w:rsidRPr="004C6449" w:rsidRDefault="00FE3C3A" w:rsidP="006E651E">
      <w:pPr>
        <w:spacing w:after="240"/>
        <w:jc w:val="both"/>
        <w:rPr>
          <w:rFonts w:ascii="Arial" w:hAnsi="Arial" w:cs="Arial"/>
          <w:sz w:val="16"/>
          <w:szCs w:val="16"/>
        </w:rPr>
      </w:pPr>
      <w:r w:rsidRPr="00FE3C3A">
        <w:rPr>
          <w:rFonts w:ascii="Arial" w:hAnsi="Arial" w:cs="Arial"/>
          <w:sz w:val="16"/>
          <w:szCs w:val="16"/>
        </w:rPr>
        <w:t xml:space="preserve">Tielens, A. G. G. M. (2008). Interstellar polycyclic aromatic hydrocarbon molecules. Annual Review of Astronomy and Astrophysics, 46(1), 289–337. </w:t>
      </w:r>
      <w:hyperlink r:id="rId92" w:history="1">
        <w:r w:rsidRPr="00FE3C3A">
          <w:rPr>
            <w:rStyle w:val="Hyperlink"/>
            <w:rFonts w:ascii="Arial" w:hAnsi="Arial" w:cs="Arial"/>
            <w:sz w:val="16"/>
            <w:szCs w:val="16"/>
          </w:rPr>
          <w:t>https://doi.org/10.1146/annurev.astro.46.060407.145211</w:t>
        </w:r>
      </w:hyperlink>
    </w:p>
    <w:p w14:paraId="1C5B2063"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Ujjwal, K., Kartha, S. S., Akhil, K. R., Mathew, B., Subramanian, S., Sudheesh, T. P., &amp; Thomas, R. (2024). Disentangling the association of PAH molecules with star formation.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684</w:t>
      </w:r>
      <w:r w:rsidRPr="004C6449">
        <w:rPr>
          <w:rFonts w:ascii="Arial" w:hAnsi="Arial" w:cs="Arial"/>
          <w:sz w:val="16"/>
          <w:szCs w:val="16"/>
        </w:rPr>
        <w:t xml:space="preserve">. </w:t>
      </w:r>
      <w:hyperlink r:id="rId93" w:tgtFrame="_blank" w:history="1">
        <w:r w:rsidRPr="004C6449">
          <w:rPr>
            <w:rStyle w:val="Hyperlink"/>
            <w:rFonts w:ascii="Arial" w:hAnsi="Arial" w:cs="Arial"/>
            <w:sz w:val="16"/>
            <w:szCs w:val="16"/>
          </w:rPr>
          <w:t>https://doi.org/10.1051/0004-6361/202347620</w:t>
        </w:r>
      </w:hyperlink>
    </w:p>
    <w:p w14:paraId="6EF63F64"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Wenzel, G., Jiménez-Redondo, M., </w:t>
      </w:r>
      <w:proofErr w:type="spellStart"/>
      <w:r w:rsidRPr="004C6449">
        <w:rPr>
          <w:rFonts w:ascii="Arial" w:hAnsi="Arial" w:cs="Arial"/>
          <w:sz w:val="16"/>
          <w:szCs w:val="16"/>
        </w:rPr>
        <w:t>Ončák</w:t>
      </w:r>
      <w:proofErr w:type="spellEnd"/>
      <w:r w:rsidRPr="004C6449">
        <w:rPr>
          <w:rFonts w:ascii="Arial" w:hAnsi="Arial" w:cs="Arial"/>
          <w:sz w:val="16"/>
          <w:szCs w:val="16"/>
        </w:rPr>
        <w:t xml:space="preserve">, M., McGuire, B. A., </w:t>
      </w:r>
      <w:proofErr w:type="spellStart"/>
      <w:r w:rsidRPr="004C6449">
        <w:rPr>
          <w:rFonts w:ascii="Arial" w:hAnsi="Arial" w:cs="Arial"/>
          <w:sz w:val="16"/>
          <w:szCs w:val="16"/>
        </w:rPr>
        <w:t>Brünken</w:t>
      </w:r>
      <w:proofErr w:type="spellEnd"/>
      <w:r w:rsidRPr="004C6449">
        <w:rPr>
          <w:rFonts w:ascii="Arial" w:hAnsi="Arial" w:cs="Arial"/>
          <w:sz w:val="16"/>
          <w:szCs w:val="16"/>
        </w:rPr>
        <w:t xml:space="preserve">, S., Caselli, P., &amp; Jusko, P. (2025). Infrared Spectroscopy of Pentagon-Containing PAHs: Indenyl and Fluorenyl Anions and Indenyl Cation. </w:t>
      </w:r>
      <w:r w:rsidRPr="004C6449">
        <w:rPr>
          <w:rFonts w:ascii="Arial" w:hAnsi="Arial" w:cs="Arial"/>
          <w:i/>
          <w:iCs/>
          <w:sz w:val="16"/>
          <w:szCs w:val="16"/>
        </w:rPr>
        <w:t>The Journal of Physical Chemistry Letters</w:t>
      </w:r>
      <w:r w:rsidRPr="004C6449">
        <w:rPr>
          <w:rFonts w:ascii="Arial" w:hAnsi="Arial" w:cs="Arial"/>
          <w:sz w:val="16"/>
          <w:szCs w:val="16"/>
        </w:rPr>
        <w:t xml:space="preserve">, 3938. </w:t>
      </w:r>
      <w:hyperlink r:id="rId94" w:tgtFrame="_blank" w:history="1">
        <w:r w:rsidRPr="004C6449">
          <w:rPr>
            <w:rStyle w:val="Hyperlink"/>
            <w:rFonts w:ascii="Arial" w:hAnsi="Arial" w:cs="Arial"/>
            <w:sz w:val="16"/>
            <w:szCs w:val="16"/>
          </w:rPr>
          <w:t>https://doi.org/10.1021/acs.jpclett.5c00570</w:t>
        </w:r>
      </w:hyperlink>
    </w:p>
    <w:p w14:paraId="77EADFD4"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lastRenderedPageBreak/>
        <w:t xml:space="preserve">Whitcomb, C. M., Sandström, K., Leroy, A. K., &amp; Smith, J. D. (2023). Star Formation and Molecular Gas Diagnostics with Mid- and Far-infrared Emission.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948</w:t>
      </w:r>
      <w:r w:rsidRPr="004C6449">
        <w:rPr>
          <w:rFonts w:ascii="Arial" w:hAnsi="Arial" w:cs="Arial"/>
          <w:sz w:val="16"/>
          <w:szCs w:val="16"/>
        </w:rPr>
        <w:t xml:space="preserve">(2), 88. </w:t>
      </w:r>
      <w:hyperlink r:id="rId95" w:tgtFrame="_blank" w:history="1">
        <w:r w:rsidRPr="004C6449">
          <w:rPr>
            <w:rStyle w:val="Hyperlink"/>
            <w:rFonts w:ascii="Arial" w:hAnsi="Arial" w:cs="Arial"/>
            <w:sz w:val="16"/>
            <w:szCs w:val="16"/>
          </w:rPr>
          <w:t>https://doi.org/10.3847/1538-4357/acc316</w:t>
        </w:r>
      </w:hyperlink>
    </w:p>
    <w:p w14:paraId="0899B5A4"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Whitcomb, C. M., Smith, J. D., Sandström, K., Starkey, C. A., Donnelly, G. P., Draine, B. T., Skillman, E. D., Dale, D. A., Armus, L., Hensley, B. S., Lai, T. S.-Y., &amp; Kennicutt, R. C. (2024). The Metallicity Dependence of PAH Emission in Galaxies. I. Insights from Deep Radial Spitzer Spectroscopy.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974</w:t>
      </w:r>
      <w:r w:rsidRPr="004C6449">
        <w:rPr>
          <w:rFonts w:ascii="Arial" w:hAnsi="Arial" w:cs="Arial"/>
          <w:sz w:val="16"/>
          <w:szCs w:val="16"/>
        </w:rPr>
        <w:t xml:space="preserve">(1), 20. </w:t>
      </w:r>
      <w:hyperlink r:id="rId96" w:tgtFrame="_blank" w:history="1">
        <w:r w:rsidRPr="004C6449">
          <w:rPr>
            <w:rStyle w:val="Hyperlink"/>
            <w:rFonts w:ascii="Arial" w:hAnsi="Arial" w:cs="Arial"/>
            <w:sz w:val="16"/>
            <w:szCs w:val="16"/>
          </w:rPr>
          <w:t>https://doi.org/10.3847/1538-4357/ad66c8</w:t>
        </w:r>
      </w:hyperlink>
    </w:p>
    <w:p w14:paraId="0BD9FE2B"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Wright, G., Rieke, G. H., Glasse, A., Ressler, M. E., García-Marín, M., Aguilar, J., Alberts, S., Álvarez-Márquez, J., Argyriou, I., Banks, K. C., </w:t>
      </w:r>
      <w:proofErr w:type="spellStart"/>
      <w:r w:rsidRPr="004C6449">
        <w:rPr>
          <w:rFonts w:ascii="Arial" w:hAnsi="Arial" w:cs="Arial"/>
          <w:sz w:val="16"/>
          <w:szCs w:val="16"/>
        </w:rPr>
        <w:t>Baudoz</w:t>
      </w:r>
      <w:proofErr w:type="spellEnd"/>
      <w:r w:rsidRPr="004C6449">
        <w:rPr>
          <w:rFonts w:ascii="Arial" w:hAnsi="Arial" w:cs="Arial"/>
          <w:sz w:val="16"/>
          <w:szCs w:val="16"/>
        </w:rPr>
        <w:t xml:space="preserve">, P., Boccaletti, A., Bouchet, P., Bouwman, J., Brandl, B. R., Breda, D., Bright, S. N., Cale, S., Colina, L., … Weilert, M. (2023). The Mid-infrared Instrument for JWST and Its In-flight Performance. </w:t>
      </w:r>
      <w:r w:rsidRPr="004C6449">
        <w:rPr>
          <w:rFonts w:ascii="Arial" w:hAnsi="Arial" w:cs="Arial"/>
          <w:i/>
          <w:iCs/>
          <w:sz w:val="16"/>
          <w:szCs w:val="16"/>
        </w:rPr>
        <w:t>Publications of the Astronomical Society of the Pacific</w:t>
      </w:r>
      <w:r w:rsidRPr="004C6449">
        <w:rPr>
          <w:rFonts w:ascii="Arial" w:hAnsi="Arial" w:cs="Arial"/>
          <w:sz w:val="16"/>
          <w:szCs w:val="16"/>
        </w:rPr>
        <w:t xml:space="preserve">, </w:t>
      </w:r>
      <w:r w:rsidRPr="004C6449">
        <w:rPr>
          <w:rFonts w:ascii="Arial" w:hAnsi="Arial" w:cs="Arial"/>
          <w:i/>
          <w:iCs/>
          <w:sz w:val="16"/>
          <w:szCs w:val="16"/>
        </w:rPr>
        <w:t>135</w:t>
      </w:r>
      <w:r w:rsidRPr="004C6449">
        <w:rPr>
          <w:rFonts w:ascii="Arial" w:hAnsi="Arial" w:cs="Arial"/>
          <w:sz w:val="16"/>
          <w:szCs w:val="16"/>
        </w:rPr>
        <w:t xml:space="preserve">(1046), 48003. </w:t>
      </w:r>
      <w:hyperlink r:id="rId97" w:tgtFrame="_blank" w:history="1">
        <w:r w:rsidRPr="004C6449">
          <w:rPr>
            <w:rStyle w:val="Hyperlink"/>
            <w:rFonts w:ascii="Arial" w:hAnsi="Arial" w:cs="Arial"/>
            <w:sz w:val="16"/>
            <w:szCs w:val="16"/>
          </w:rPr>
          <w:t>https://doi.org/10.1088/1538-3873/acbe66</w:t>
        </w:r>
      </w:hyperlink>
    </w:p>
    <w:p w14:paraId="081A9C4D"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Zang, R. X., Maragkoudakis, A., &amp; Peeters, E. (2022). The spatially resolved PAH characteristics in the Whirlpool Galaxy (M51a).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511</w:t>
      </w:r>
      <w:r w:rsidRPr="004C6449">
        <w:rPr>
          <w:rFonts w:ascii="Arial" w:hAnsi="Arial" w:cs="Arial"/>
          <w:sz w:val="16"/>
          <w:szCs w:val="16"/>
        </w:rPr>
        <w:t xml:space="preserve">(4), 5142. </w:t>
      </w:r>
      <w:hyperlink r:id="rId98" w:tgtFrame="_blank" w:history="1">
        <w:r w:rsidRPr="004C6449">
          <w:rPr>
            <w:rStyle w:val="Hyperlink"/>
            <w:rFonts w:ascii="Arial" w:hAnsi="Arial" w:cs="Arial"/>
            <w:sz w:val="16"/>
            <w:szCs w:val="16"/>
          </w:rPr>
          <w:t>https://doi.org/10.1093/mnras/stac214</w:t>
        </w:r>
      </w:hyperlink>
    </w:p>
    <w:p w14:paraId="07D5D800" w14:textId="42C7A915" w:rsidR="006E651E" w:rsidRPr="004C6449" w:rsidRDefault="006E651E" w:rsidP="003E7CFA">
      <w:pPr>
        <w:spacing w:after="240"/>
        <w:jc w:val="both"/>
        <w:rPr>
          <w:rFonts w:ascii="Arial" w:hAnsi="Arial" w:cs="Arial"/>
          <w:sz w:val="16"/>
          <w:szCs w:val="16"/>
        </w:rPr>
        <w:sectPr w:rsidR="006E651E" w:rsidRPr="004C6449" w:rsidSect="00493C6B">
          <w:headerReference w:type="even" r:id="rId99"/>
          <w:headerReference w:type="default" r:id="rId100"/>
          <w:footerReference w:type="default" r:id="rId101"/>
          <w:headerReference w:type="first" r:id="rId102"/>
          <w:type w:val="continuous"/>
          <w:pgSz w:w="12240" w:h="15840"/>
          <w:pgMar w:top="1440" w:right="2016" w:bottom="2016" w:left="2016" w:header="720" w:footer="1123" w:gutter="0"/>
          <w:cols w:space="720"/>
          <w:docGrid w:linePitch="272"/>
        </w:sectPr>
      </w:pPr>
      <w:r w:rsidRPr="004C6449">
        <w:rPr>
          <w:rFonts w:ascii="Arial" w:hAnsi="Arial" w:cs="Arial"/>
          <w:sz w:val="16"/>
          <w:szCs w:val="16"/>
        </w:rPr>
        <w:t xml:space="preserve">Zhen, J., Castillo, S. R., Joblin, C., Mulas, G., Sabbah, H., Giuliani, A., Nahon, L., Martin, S., Champeaux, J. P., &amp; Mayer, P. (2016). VUV PHOTO-PROCESSING OF PAH CATIONS: QUANTITATIVE STUDY ON THE IONIZATION VERSUS FRAGMENTATION PROCESSES.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822</w:t>
      </w:r>
      <w:r w:rsidRPr="004C6449">
        <w:rPr>
          <w:rFonts w:ascii="Arial" w:hAnsi="Arial" w:cs="Arial"/>
          <w:sz w:val="16"/>
          <w:szCs w:val="16"/>
        </w:rPr>
        <w:t xml:space="preserve">(2), 113. </w:t>
      </w:r>
      <w:hyperlink r:id="rId103" w:tgtFrame="_blank" w:history="1">
        <w:r w:rsidRPr="004C6449">
          <w:rPr>
            <w:rStyle w:val="Hyperlink"/>
            <w:rFonts w:ascii="Arial" w:hAnsi="Arial" w:cs="Arial"/>
            <w:sz w:val="16"/>
            <w:szCs w:val="16"/>
          </w:rPr>
          <w:t>https://doi.org/10.3847/0004-637x/822/2/113</w:t>
        </w:r>
      </w:hyperlink>
    </w:p>
    <w:p w14:paraId="02291ADB" w14:textId="212C72AB" w:rsidR="009B5754" w:rsidRPr="00CC4289" w:rsidRDefault="009B5754" w:rsidP="00441B6F">
      <w:pPr>
        <w:pStyle w:val="Appendix"/>
        <w:spacing w:after="0"/>
        <w:jc w:val="both"/>
        <w:rPr>
          <w:rFonts w:ascii="Arial" w:hAnsi="Arial" w:cs="Arial"/>
          <w:b w:val="0"/>
          <w:color w:val="FF0000"/>
        </w:rPr>
      </w:pPr>
    </w:p>
    <w:sectPr w:rsidR="009B5754" w:rsidRPr="00CC4289" w:rsidSect="00493C6B">
      <w:headerReference w:type="even" r:id="rId104"/>
      <w:headerReference w:type="default" r:id="rId105"/>
      <w:footerReference w:type="default" r:id="rId106"/>
      <w:headerReference w:type="first" r:id="rId10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CE090" w14:textId="77777777" w:rsidR="00CD1D12" w:rsidRDefault="00CD1D12" w:rsidP="00C37E61">
      <w:r>
        <w:separator/>
      </w:r>
    </w:p>
  </w:endnote>
  <w:endnote w:type="continuationSeparator" w:id="0">
    <w:p w14:paraId="48706B26" w14:textId="77777777" w:rsidR="00CD1D12" w:rsidRDefault="00CD1D1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6CA0D" w14:textId="77777777" w:rsidR="00493C6B" w:rsidRDefault="00493C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614A1" w14:textId="77777777" w:rsidR="00493C6B" w:rsidRDefault="00493C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327E7" w14:textId="1CF5FA03" w:rsidR="00754C9A" w:rsidRPr="005B6EBD" w:rsidRDefault="00754C9A" w:rsidP="005B6EB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20829" w14:textId="77777777" w:rsidR="006E651E" w:rsidRPr="00C37E61" w:rsidRDefault="006E651E"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C9D1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012D9" w14:textId="77777777" w:rsidR="00CD1D12" w:rsidRDefault="00CD1D12" w:rsidP="00C37E61">
      <w:r>
        <w:separator/>
      </w:r>
    </w:p>
  </w:footnote>
  <w:footnote w:type="continuationSeparator" w:id="0">
    <w:p w14:paraId="70015135" w14:textId="77777777" w:rsidR="00CD1D12" w:rsidRDefault="00CD1D1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B6525" w14:textId="4A2E5EC6" w:rsidR="00493C6B" w:rsidRDefault="00493C6B">
    <w:pPr>
      <w:pStyle w:val="Header"/>
    </w:pPr>
    <w:r>
      <w:rPr>
        <w:noProof/>
      </w:rPr>
      <w:pict w14:anchorId="72F55E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90490" w14:textId="0C11F2EB" w:rsidR="00493C6B" w:rsidRDefault="00493C6B">
    <w:pPr>
      <w:pStyle w:val="Header"/>
    </w:pPr>
    <w:r>
      <w:rPr>
        <w:noProof/>
      </w:rPr>
      <w:pict w14:anchorId="2F3E82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9B225" w14:textId="68BA787F" w:rsidR="00296529" w:rsidRPr="00296529" w:rsidRDefault="00493C6B" w:rsidP="00296529">
    <w:pPr>
      <w:ind w:left="2160"/>
      <w:jc w:val="center"/>
      <w:rPr>
        <w:rFonts w:ascii="Times New Roman" w:eastAsia="Calibri" w:hAnsi="Times New Roman"/>
        <w:i/>
        <w:sz w:val="18"/>
        <w:szCs w:val="22"/>
      </w:rPr>
    </w:pPr>
    <w:r>
      <w:rPr>
        <w:noProof/>
      </w:rPr>
      <w:pict w14:anchorId="76926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0A3F29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C9E205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94C484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7DCA5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AC88A2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A68E17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92C31" w14:textId="366AF2ED" w:rsidR="00493C6B" w:rsidRDefault="00493C6B">
    <w:pPr>
      <w:pStyle w:val="Header"/>
    </w:pPr>
    <w:r>
      <w:rPr>
        <w:noProof/>
      </w:rPr>
      <w:pict w14:anchorId="0D37F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0009B" w14:textId="169A0244" w:rsidR="00493C6B" w:rsidRDefault="00493C6B">
    <w:pPr>
      <w:pStyle w:val="Header"/>
    </w:pPr>
    <w:r>
      <w:rPr>
        <w:noProof/>
      </w:rPr>
      <w:pict w14:anchorId="1984C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2037B" w14:textId="0DEE4742" w:rsidR="00493C6B" w:rsidRDefault="00493C6B">
    <w:pPr>
      <w:pStyle w:val="Header"/>
    </w:pPr>
    <w:r>
      <w:rPr>
        <w:noProof/>
      </w:rPr>
      <w:pict w14:anchorId="44D08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3605F" w14:textId="6493E525" w:rsidR="00493C6B" w:rsidRDefault="00493C6B">
    <w:pPr>
      <w:pStyle w:val="Header"/>
    </w:pPr>
    <w:r>
      <w:rPr>
        <w:noProof/>
      </w:rPr>
      <w:pict w14:anchorId="7425A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53"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B952C" w14:textId="56E39718" w:rsidR="00493C6B" w:rsidRDefault="00493C6B">
    <w:pPr>
      <w:pStyle w:val="Header"/>
    </w:pPr>
    <w:r>
      <w:rPr>
        <w:noProof/>
      </w:rPr>
      <w:pict w14:anchorId="34E52C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54"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578A2" w14:textId="21A9076F" w:rsidR="00493C6B" w:rsidRDefault="00493C6B">
    <w:pPr>
      <w:pStyle w:val="Header"/>
    </w:pPr>
    <w:r>
      <w:rPr>
        <w:noProof/>
      </w:rPr>
      <w:pict w14:anchorId="04508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52"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0417D"/>
    <w:multiLevelType w:val="hybridMultilevel"/>
    <w:tmpl w:val="23F26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0787"/>
    <w:rsid w:val="000A47FA"/>
    <w:rsid w:val="000A65D3"/>
    <w:rsid w:val="000B1E33"/>
    <w:rsid w:val="000C6544"/>
    <w:rsid w:val="000D689F"/>
    <w:rsid w:val="000E7B7B"/>
    <w:rsid w:val="000E7D62"/>
    <w:rsid w:val="00103357"/>
    <w:rsid w:val="001134BA"/>
    <w:rsid w:val="00123C9F"/>
    <w:rsid w:val="001254C5"/>
    <w:rsid w:val="00126190"/>
    <w:rsid w:val="00130F17"/>
    <w:rsid w:val="001320BF"/>
    <w:rsid w:val="00136E86"/>
    <w:rsid w:val="0014061F"/>
    <w:rsid w:val="00163BC4"/>
    <w:rsid w:val="00191062"/>
    <w:rsid w:val="00192B72"/>
    <w:rsid w:val="001A29D8"/>
    <w:rsid w:val="001A5CAA"/>
    <w:rsid w:val="001B0427"/>
    <w:rsid w:val="001D3A51"/>
    <w:rsid w:val="001E10D2"/>
    <w:rsid w:val="001E25B4"/>
    <w:rsid w:val="001E2FC7"/>
    <w:rsid w:val="001E364A"/>
    <w:rsid w:val="001E44FE"/>
    <w:rsid w:val="001F2F74"/>
    <w:rsid w:val="00200595"/>
    <w:rsid w:val="00204835"/>
    <w:rsid w:val="00231920"/>
    <w:rsid w:val="0023195C"/>
    <w:rsid w:val="0024282C"/>
    <w:rsid w:val="002460DC"/>
    <w:rsid w:val="00250985"/>
    <w:rsid w:val="002556F6"/>
    <w:rsid w:val="00283105"/>
    <w:rsid w:val="00284C4C"/>
    <w:rsid w:val="00287E68"/>
    <w:rsid w:val="00296529"/>
    <w:rsid w:val="002A3787"/>
    <w:rsid w:val="002A6D56"/>
    <w:rsid w:val="002B27FB"/>
    <w:rsid w:val="002B685A"/>
    <w:rsid w:val="002C57D2"/>
    <w:rsid w:val="002D0163"/>
    <w:rsid w:val="002D1ABA"/>
    <w:rsid w:val="002E0D56"/>
    <w:rsid w:val="002E42B3"/>
    <w:rsid w:val="00315186"/>
    <w:rsid w:val="00317AF1"/>
    <w:rsid w:val="0033343E"/>
    <w:rsid w:val="003512C2"/>
    <w:rsid w:val="00361A12"/>
    <w:rsid w:val="00371FB6"/>
    <w:rsid w:val="00373747"/>
    <w:rsid w:val="003763C1"/>
    <w:rsid w:val="00376BBE"/>
    <w:rsid w:val="0039224F"/>
    <w:rsid w:val="003A43A4"/>
    <w:rsid w:val="003A7E18"/>
    <w:rsid w:val="003C4C86"/>
    <w:rsid w:val="003C6258"/>
    <w:rsid w:val="003E2904"/>
    <w:rsid w:val="003E7CFA"/>
    <w:rsid w:val="004010B1"/>
    <w:rsid w:val="00401927"/>
    <w:rsid w:val="0041027F"/>
    <w:rsid w:val="00412475"/>
    <w:rsid w:val="00423789"/>
    <w:rsid w:val="004244A6"/>
    <w:rsid w:val="00440F43"/>
    <w:rsid w:val="00441B6F"/>
    <w:rsid w:val="00446221"/>
    <w:rsid w:val="00450E62"/>
    <w:rsid w:val="004539DB"/>
    <w:rsid w:val="00471A80"/>
    <w:rsid w:val="0048497B"/>
    <w:rsid w:val="00493C6B"/>
    <w:rsid w:val="004B1357"/>
    <w:rsid w:val="004C6449"/>
    <w:rsid w:val="004D305E"/>
    <w:rsid w:val="004D4277"/>
    <w:rsid w:val="004D61F1"/>
    <w:rsid w:val="0050020E"/>
    <w:rsid w:val="00502516"/>
    <w:rsid w:val="00505F06"/>
    <w:rsid w:val="00506828"/>
    <w:rsid w:val="00514274"/>
    <w:rsid w:val="0053056E"/>
    <w:rsid w:val="005437CE"/>
    <w:rsid w:val="00554FDA"/>
    <w:rsid w:val="00564C90"/>
    <w:rsid w:val="005B6EBD"/>
    <w:rsid w:val="005C1D7A"/>
    <w:rsid w:val="005C784C"/>
    <w:rsid w:val="005D17F6"/>
    <w:rsid w:val="005E5539"/>
    <w:rsid w:val="00602BF5"/>
    <w:rsid w:val="00605DE7"/>
    <w:rsid w:val="00617FDD"/>
    <w:rsid w:val="00627277"/>
    <w:rsid w:val="00633614"/>
    <w:rsid w:val="00633F68"/>
    <w:rsid w:val="00636EB2"/>
    <w:rsid w:val="006375B8"/>
    <w:rsid w:val="0066510A"/>
    <w:rsid w:val="00673F9F"/>
    <w:rsid w:val="00686953"/>
    <w:rsid w:val="00687DEA"/>
    <w:rsid w:val="00687E67"/>
    <w:rsid w:val="006935D0"/>
    <w:rsid w:val="006967F7"/>
    <w:rsid w:val="006A250C"/>
    <w:rsid w:val="006B21D3"/>
    <w:rsid w:val="006B57D0"/>
    <w:rsid w:val="006D30FF"/>
    <w:rsid w:val="006D6940"/>
    <w:rsid w:val="006E651E"/>
    <w:rsid w:val="006F11EC"/>
    <w:rsid w:val="0070082C"/>
    <w:rsid w:val="00704C92"/>
    <w:rsid w:val="00735FDA"/>
    <w:rsid w:val="007369E6"/>
    <w:rsid w:val="00746E59"/>
    <w:rsid w:val="00754C9A"/>
    <w:rsid w:val="0075599A"/>
    <w:rsid w:val="00761D52"/>
    <w:rsid w:val="0077749E"/>
    <w:rsid w:val="00790ADA"/>
    <w:rsid w:val="007D2288"/>
    <w:rsid w:val="007E088F"/>
    <w:rsid w:val="007F4E5D"/>
    <w:rsid w:val="007F7B32"/>
    <w:rsid w:val="00801060"/>
    <w:rsid w:val="00804BC2"/>
    <w:rsid w:val="0081431A"/>
    <w:rsid w:val="0083216F"/>
    <w:rsid w:val="00860000"/>
    <w:rsid w:val="00863BD3"/>
    <w:rsid w:val="008641ED"/>
    <w:rsid w:val="00866D66"/>
    <w:rsid w:val="008671C6"/>
    <w:rsid w:val="008701DC"/>
    <w:rsid w:val="00875803"/>
    <w:rsid w:val="008B459E"/>
    <w:rsid w:val="008B51B7"/>
    <w:rsid w:val="008B5C7F"/>
    <w:rsid w:val="008D6EF1"/>
    <w:rsid w:val="008E13AE"/>
    <w:rsid w:val="008E1506"/>
    <w:rsid w:val="008E710C"/>
    <w:rsid w:val="008F1E85"/>
    <w:rsid w:val="008F69D6"/>
    <w:rsid w:val="00902823"/>
    <w:rsid w:val="0091121F"/>
    <w:rsid w:val="00915CA6"/>
    <w:rsid w:val="00916524"/>
    <w:rsid w:val="00924E58"/>
    <w:rsid w:val="00927834"/>
    <w:rsid w:val="009500A6"/>
    <w:rsid w:val="009558AE"/>
    <w:rsid w:val="00957C18"/>
    <w:rsid w:val="009659BA"/>
    <w:rsid w:val="00966B6B"/>
    <w:rsid w:val="00967690"/>
    <w:rsid w:val="009722D7"/>
    <w:rsid w:val="00983040"/>
    <w:rsid w:val="009A696F"/>
    <w:rsid w:val="009B3FB9"/>
    <w:rsid w:val="009B5754"/>
    <w:rsid w:val="009C2465"/>
    <w:rsid w:val="009D35A0"/>
    <w:rsid w:val="009D5296"/>
    <w:rsid w:val="009D7EB7"/>
    <w:rsid w:val="009E048A"/>
    <w:rsid w:val="009E08E9"/>
    <w:rsid w:val="009E3DB9"/>
    <w:rsid w:val="009E6E35"/>
    <w:rsid w:val="009F0EDA"/>
    <w:rsid w:val="009F561F"/>
    <w:rsid w:val="00A03B96"/>
    <w:rsid w:val="00A05B19"/>
    <w:rsid w:val="00A1134E"/>
    <w:rsid w:val="00A15E55"/>
    <w:rsid w:val="00A24E7E"/>
    <w:rsid w:val="00A256C1"/>
    <w:rsid w:val="00A258C3"/>
    <w:rsid w:val="00A312B6"/>
    <w:rsid w:val="00A347C0"/>
    <w:rsid w:val="00A51431"/>
    <w:rsid w:val="00A539AD"/>
    <w:rsid w:val="00A94063"/>
    <w:rsid w:val="00AA109D"/>
    <w:rsid w:val="00AA6219"/>
    <w:rsid w:val="00AA74E0"/>
    <w:rsid w:val="00AB703F"/>
    <w:rsid w:val="00AC3C6D"/>
    <w:rsid w:val="00AC6BB8"/>
    <w:rsid w:val="00AE008F"/>
    <w:rsid w:val="00AE6FE1"/>
    <w:rsid w:val="00B01FCD"/>
    <w:rsid w:val="00B1776C"/>
    <w:rsid w:val="00B45B8F"/>
    <w:rsid w:val="00B52583"/>
    <w:rsid w:val="00B52896"/>
    <w:rsid w:val="00B95236"/>
    <w:rsid w:val="00B96BD9"/>
    <w:rsid w:val="00BA1B01"/>
    <w:rsid w:val="00BA2641"/>
    <w:rsid w:val="00BB37AA"/>
    <w:rsid w:val="00BC3227"/>
    <w:rsid w:val="00BC53A0"/>
    <w:rsid w:val="00BE41AA"/>
    <w:rsid w:val="00BE62AD"/>
    <w:rsid w:val="00BF121F"/>
    <w:rsid w:val="00BF1F80"/>
    <w:rsid w:val="00C166EF"/>
    <w:rsid w:val="00C17EB0"/>
    <w:rsid w:val="00C27F5F"/>
    <w:rsid w:val="00C30A0F"/>
    <w:rsid w:val="00C37E61"/>
    <w:rsid w:val="00C45438"/>
    <w:rsid w:val="00C50F2C"/>
    <w:rsid w:val="00C70F1B"/>
    <w:rsid w:val="00C71A47"/>
    <w:rsid w:val="00C72744"/>
    <w:rsid w:val="00C7464C"/>
    <w:rsid w:val="00C85588"/>
    <w:rsid w:val="00C92C04"/>
    <w:rsid w:val="00CA6970"/>
    <w:rsid w:val="00CB7E14"/>
    <w:rsid w:val="00CC4289"/>
    <w:rsid w:val="00CD1D12"/>
    <w:rsid w:val="00CD6755"/>
    <w:rsid w:val="00CD6856"/>
    <w:rsid w:val="00CE0089"/>
    <w:rsid w:val="00CE793C"/>
    <w:rsid w:val="00CF193C"/>
    <w:rsid w:val="00D173F1"/>
    <w:rsid w:val="00D74CB0"/>
    <w:rsid w:val="00D8295D"/>
    <w:rsid w:val="00DC2A65"/>
    <w:rsid w:val="00DE15F0"/>
    <w:rsid w:val="00DE5663"/>
    <w:rsid w:val="00DE78AA"/>
    <w:rsid w:val="00E053D0"/>
    <w:rsid w:val="00E11ABE"/>
    <w:rsid w:val="00E15994"/>
    <w:rsid w:val="00E3114E"/>
    <w:rsid w:val="00E31A70"/>
    <w:rsid w:val="00E35B02"/>
    <w:rsid w:val="00E46E0F"/>
    <w:rsid w:val="00E5424E"/>
    <w:rsid w:val="00E66496"/>
    <w:rsid w:val="00E66B35"/>
    <w:rsid w:val="00E66E10"/>
    <w:rsid w:val="00E73CE2"/>
    <w:rsid w:val="00E75899"/>
    <w:rsid w:val="00E769F6"/>
    <w:rsid w:val="00E8407C"/>
    <w:rsid w:val="00E84F3C"/>
    <w:rsid w:val="00EA012C"/>
    <w:rsid w:val="00EA049E"/>
    <w:rsid w:val="00EA46A3"/>
    <w:rsid w:val="00EC6A55"/>
    <w:rsid w:val="00ED0288"/>
    <w:rsid w:val="00EE52CB"/>
    <w:rsid w:val="00EF581D"/>
    <w:rsid w:val="00EF7FD8"/>
    <w:rsid w:val="00F06F59"/>
    <w:rsid w:val="00F158D0"/>
    <w:rsid w:val="00F17988"/>
    <w:rsid w:val="00F469F0"/>
    <w:rsid w:val="00F509C8"/>
    <w:rsid w:val="00F53273"/>
    <w:rsid w:val="00F70F32"/>
    <w:rsid w:val="00F755E4"/>
    <w:rsid w:val="00F77D02"/>
    <w:rsid w:val="00F923A4"/>
    <w:rsid w:val="00FB3A86"/>
    <w:rsid w:val="00FD36C8"/>
    <w:rsid w:val="00FE3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54A8908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4061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14061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704C92"/>
    <w:pPr>
      <w:spacing w:after="200"/>
    </w:pPr>
    <w:rPr>
      <w:i/>
      <w:iCs/>
      <w:color w:val="1F497D" w:themeColor="text2"/>
      <w:sz w:val="18"/>
      <w:szCs w:val="18"/>
    </w:rPr>
  </w:style>
  <w:style w:type="character" w:customStyle="1" w:styleId="Heading3Char">
    <w:name w:val="Heading 3 Char"/>
    <w:basedOn w:val="DefaultParagraphFont"/>
    <w:link w:val="Heading3"/>
    <w:semiHidden/>
    <w:rsid w:val="0014061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14061F"/>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BC32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8/1538-3873/acbc49" TargetMode="External"/><Relationship Id="rId21" Type="http://schemas.openxmlformats.org/officeDocument/2006/relationships/hyperlink" Target="https://doi.org/10.48550/arXiv.2508.04989" TargetMode="External"/><Relationship Id="rId42" Type="http://schemas.openxmlformats.org/officeDocument/2006/relationships/hyperlink" Target="https://doi.org/10.48550/ARXIV.0804.3223" TargetMode="External"/><Relationship Id="rId47" Type="http://schemas.openxmlformats.org/officeDocument/2006/relationships/hyperlink" Target="https://doi.org/10.1093/mnras/stt319" TargetMode="External"/><Relationship Id="rId63" Type="http://schemas.openxmlformats.org/officeDocument/2006/relationships/hyperlink" Target="https://doi.org/10.1093/mnras/staa681" TargetMode="External"/><Relationship Id="rId68" Type="http://schemas.openxmlformats.org/officeDocument/2006/relationships/hyperlink" Target="https://doi.org/10.1093/mnras/stz1021" TargetMode="External"/><Relationship Id="rId84" Type="http://schemas.openxmlformats.org/officeDocument/2006/relationships/hyperlink" Target="https://doi.org/10.1142/9789812708922_0014" TargetMode="External"/><Relationship Id="rId89" Type="http://schemas.openxmlformats.org/officeDocument/2006/relationships/hyperlink" Target="https://doi.org/10.48550/ARXIV.2205.03304" TargetMode="External"/><Relationship Id="rId16" Type="http://schemas.openxmlformats.org/officeDocument/2006/relationships/image" Target="media/image2.png"/><Relationship Id="rId107" Type="http://schemas.openxmlformats.org/officeDocument/2006/relationships/header" Target="header9.xml"/><Relationship Id="rId11" Type="http://schemas.openxmlformats.org/officeDocument/2006/relationships/footer" Target="footer2.xml"/><Relationship Id="rId32" Type="http://schemas.openxmlformats.org/officeDocument/2006/relationships/hyperlink" Target="https://doi.org/10.1086/320227" TargetMode="External"/><Relationship Id="rId37" Type="http://schemas.openxmlformats.org/officeDocument/2006/relationships/hyperlink" Target="https://doi.org/10.1051/eas/1146004" TargetMode="External"/><Relationship Id="rId53" Type="http://schemas.openxmlformats.org/officeDocument/2006/relationships/hyperlink" Target="https://doi.org/10.1051/0004-6361/202140614" TargetMode="External"/><Relationship Id="rId58" Type="http://schemas.openxmlformats.org/officeDocument/2006/relationships/hyperlink" Target="https://doi.org/10.1088/0004-637x/799/2/131" TargetMode="External"/><Relationship Id="rId74" Type="http://schemas.openxmlformats.org/officeDocument/2006/relationships/hyperlink" Target="https://doi.org/10.1134/s1063772913070056" TargetMode="External"/><Relationship Id="rId79" Type="http://schemas.openxmlformats.org/officeDocument/2006/relationships/hyperlink" Target="https://doi.org/10.48550/arXiv.0010565" TargetMode="External"/><Relationship Id="rId102"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hyperlink" Target="https://doi.org/10.48550/arxiv.0911.4360" TargetMode="External"/><Relationship Id="rId95" Type="http://schemas.openxmlformats.org/officeDocument/2006/relationships/hyperlink" Target="https://doi.org/10.3847/1538-4357/acc316" TargetMode="External"/><Relationship Id="rId22" Type="http://schemas.openxmlformats.org/officeDocument/2006/relationships/hyperlink" Target="https://doi.org/10.1051/0004-6361/202346489" TargetMode="External"/><Relationship Id="rId27" Type="http://schemas.openxmlformats.org/officeDocument/2006/relationships/hyperlink" Target="https://doi.org/10.1086/176675" TargetMode="External"/><Relationship Id="rId43" Type="http://schemas.openxmlformats.org/officeDocument/2006/relationships/hyperlink" Target="https://doi.org/10.48550/arXiv.0010377" TargetMode="External"/><Relationship Id="rId48" Type="http://schemas.openxmlformats.org/officeDocument/2006/relationships/hyperlink" Target="https://doi.org/10.1093/mnras/stu1482" TargetMode="External"/><Relationship Id="rId64" Type="http://schemas.openxmlformats.org/officeDocument/2006/relationships/hyperlink" Target="https://doi.org/10.1093/mnras/stad465" TargetMode="External"/><Relationship Id="rId69" Type="http://schemas.openxmlformats.org/officeDocument/2006/relationships/hyperlink" Target="https://doi.org/10.1088/1538-3873/acdea6" TargetMode="External"/><Relationship Id="rId80" Type="http://schemas.openxmlformats.org/officeDocument/2006/relationships/hyperlink" Target="https://doi.org/10.1093/mnras/stz2532" TargetMode="External"/><Relationship Id="rId85" Type="http://schemas.openxmlformats.org/officeDocument/2006/relationships/hyperlink" Target="https://doi.org/10.48550/ARXIV.1003.4516" TargetMode="External"/><Relationship Id="rId12" Type="http://schemas.openxmlformats.org/officeDocument/2006/relationships/header" Target="header3.xml"/><Relationship Id="rId17" Type="http://schemas.openxmlformats.org/officeDocument/2006/relationships/image" Target="media/image3.png"/><Relationship Id="rId33" Type="http://schemas.openxmlformats.org/officeDocument/2006/relationships/hyperlink" Target="https://doi.org/10.3847/1538-4357/abff51" TargetMode="External"/><Relationship Id="rId38" Type="http://schemas.openxmlformats.org/officeDocument/2006/relationships/hyperlink" Target="https://doi.org/10.1086/587051" TargetMode="External"/><Relationship Id="rId59" Type="http://schemas.openxmlformats.org/officeDocument/2006/relationships/hyperlink" Target="https://doi.org/10.3847/0004-637x/831/1/58" TargetMode="External"/><Relationship Id="rId103" Type="http://schemas.openxmlformats.org/officeDocument/2006/relationships/hyperlink" Target="https://doi.org/10.3847/0004-637x/822/2/113" TargetMode="External"/><Relationship Id="rId108" Type="http://schemas.openxmlformats.org/officeDocument/2006/relationships/fontTable" Target="fontTable.xml"/><Relationship Id="rId54" Type="http://schemas.openxmlformats.org/officeDocument/2006/relationships/hyperlink" Target="https://doi.org/10.1038/s41550-020-1051-1" TargetMode="External"/><Relationship Id="rId70" Type="http://schemas.openxmlformats.org/officeDocument/2006/relationships/hyperlink" Target="https://doi.org/10.48550/ARXIV.1707.09358" TargetMode="External"/><Relationship Id="rId75" Type="http://schemas.openxmlformats.org/officeDocument/2006/relationships/hyperlink" Target="https://doi.org/10.1111/j.1365-2966.2012.20480.x" TargetMode="External"/><Relationship Id="rId91" Type="http://schemas.openxmlformats.org/officeDocument/2006/relationships/hyperlink" Target="https://doi.org/10.48550/ARXIV.2405.15102" TargetMode="External"/><Relationship Id="rId96" Type="http://schemas.openxmlformats.org/officeDocument/2006/relationships/hyperlink" Target="https://doi.org/10.3847/1538-4357/ad66c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doi.org/10.1086/533424" TargetMode="External"/><Relationship Id="rId28" Type="http://schemas.openxmlformats.org/officeDocument/2006/relationships/hyperlink" Target="https://doi.org/10.48550/ARXIV.1501.06811" TargetMode="External"/><Relationship Id="rId36" Type="http://schemas.openxmlformats.org/officeDocument/2006/relationships/hyperlink" Target="https://doi.org/10.1093/mnras/stz3134" TargetMode="External"/><Relationship Id="rId49" Type="http://schemas.openxmlformats.org/officeDocument/2006/relationships/hyperlink" Target="https://doi.org/10.1093/mnras/stu1482" TargetMode="External"/><Relationship Id="rId57" Type="http://schemas.openxmlformats.org/officeDocument/2006/relationships/hyperlink" Target="https://doi.org/10.3847/1538-4357/ac7c07" TargetMode="External"/><Relationship Id="rId106" Type="http://schemas.openxmlformats.org/officeDocument/2006/relationships/footer" Target="footer5.xml"/><Relationship Id="rId10" Type="http://schemas.openxmlformats.org/officeDocument/2006/relationships/footer" Target="footer1.xml"/><Relationship Id="rId31" Type="http://schemas.openxmlformats.org/officeDocument/2006/relationships/hyperlink" Target="https://doi.org/10.1140/epjd/e2020-10081-0" TargetMode="External"/><Relationship Id="rId44" Type="http://schemas.openxmlformats.org/officeDocument/2006/relationships/hyperlink" Target="https://doi.org/10.3847/1538-4357/ac5cbd" TargetMode="External"/><Relationship Id="rId52" Type="http://schemas.openxmlformats.org/officeDocument/2006/relationships/hyperlink" Target="https://doi.org/10.1093/mnras/stab3295" TargetMode="External"/><Relationship Id="rId60" Type="http://schemas.openxmlformats.org/officeDocument/2006/relationships/hyperlink" Target="https://doi.org/10.1016/j.jms.2022.111720" TargetMode="External"/><Relationship Id="rId65" Type="http://schemas.openxmlformats.org/officeDocument/2006/relationships/hyperlink" Target="https://doi.org/10.1093/mnras/stad2062" TargetMode="External"/><Relationship Id="rId73" Type="http://schemas.openxmlformats.org/officeDocument/2006/relationships/hyperlink" Target="https://doi.org/10.1051/0004-6361/202347339" TargetMode="External"/><Relationship Id="rId78" Type="http://schemas.openxmlformats.org/officeDocument/2006/relationships/hyperlink" Target="https://doi.org/10.48550/arxiv.2208.04835" TargetMode="External"/><Relationship Id="rId81" Type="http://schemas.openxmlformats.org/officeDocument/2006/relationships/hyperlink" Target="https://doi.org/10.48550/arxiv.2406.11415" TargetMode="External"/><Relationship Id="rId86" Type="http://schemas.openxmlformats.org/officeDocument/2006/relationships/hyperlink" Target="https://doi.org/10.3847/2041-8213/aca972" TargetMode="External"/><Relationship Id="rId94" Type="http://schemas.openxmlformats.org/officeDocument/2006/relationships/hyperlink" Target="https://doi.org/10.1021/acs.jpclett.5c00570" TargetMode="External"/><Relationship Id="rId99" Type="http://schemas.openxmlformats.org/officeDocument/2006/relationships/header" Target="header4.xml"/><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doi.org/10.1086/587051" TargetMode="External"/><Relationship Id="rId109" Type="http://schemas.openxmlformats.org/officeDocument/2006/relationships/theme" Target="theme/theme1.xml"/><Relationship Id="rId34" Type="http://schemas.openxmlformats.org/officeDocument/2006/relationships/hyperlink" Target="https://doi.org/10.3847/2041-8213/acac92" TargetMode="External"/><Relationship Id="rId50" Type="http://schemas.openxmlformats.org/officeDocument/2006/relationships/hyperlink" Target="https://doi.org/10.1093/mnras/stab3047" TargetMode="External"/><Relationship Id="rId55" Type="http://schemas.openxmlformats.org/officeDocument/2006/relationships/hyperlink" Target="https://doi.org/10.1088/0004-637x/769/2/127" TargetMode="External"/><Relationship Id="rId76" Type="http://schemas.openxmlformats.org/officeDocument/2006/relationships/hyperlink" Target="https://doi.org/10.1051/0004-6361:20020773" TargetMode="External"/><Relationship Id="rId97" Type="http://schemas.openxmlformats.org/officeDocument/2006/relationships/hyperlink" Target="https://doi.org/10.1088/1538-3873/acbe66" TargetMode="External"/><Relationship Id="rId104"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https://doi.org/10.1016/j.chemphys.2006.02.008" TargetMode="External"/><Relationship Id="rId92" Type="http://schemas.openxmlformats.org/officeDocument/2006/relationships/hyperlink" Target="https://doi.org/10.1146/annurev.astro.46.060407.145211" TargetMode="External"/><Relationship Id="rId2" Type="http://schemas.openxmlformats.org/officeDocument/2006/relationships/numbering" Target="numbering.xml"/><Relationship Id="rId29" Type="http://schemas.openxmlformats.org/officeDocument/2006/relationships/hyperlink" Target="https://doi.org/10.3847/psj/acd10f" TargetMode="External"/><Relationship Id="rId24" Type="http://schemas.openxmlformats.org/officeDocument/2006/relationships/hyperlink" Target="https://doi.org/10.48550/arxiv.2306.11811" TargetMode="External"/><Relationship Id="rId40" Type="http://schemas.openxmlformats.org/officeDocument/2006/relationships/hyperlink" Target="https://doi.org/10.48550/arXiv.2208.11620" TargetMode="External"/><Relationship Id="rId45" Type="http://schemas.openxmlformats.org/officeDocument/2006/relationships/hyperlink" Target="https://doi.org/10.3847/1538-4357/aaa6ca" TargetMode="External"/><Relationship Id="rId66" Type="http://schemas.openxmlformats.org/officeDocument/2006/relationships/hyperlink" Target="https://doi.org/10.1051/0004-6361/200911683" TargetMode="External"/><Relationship Id="rId87" Type="http://schemas.openxmlformats.org/officeDocument/2006/relationships/hyperlink" Target="https://doi.org/10.1016/0924-2031(91)85026-j" TargetMode="External"/><Relationship Id="rId61" Type="http://schemas.openxmlformats.org/officeDocument/2006/relationships/hyperlink" Target="https://doi.org/10.1016/j.saa.2015.06.069" TargetMode="External"/><Relationship Id="rId82" Type="http://schemas.openxmlformats.org/officeDocument/2006/relationships/hyperlink" Target="https://doi.org/10.1093/mnras/stae1535" TargetMode="External"/><Relationship Id="rId19" Type="http://schemas.openxmlformats.org/officeDocument/2006/relationships/image" Target="media/image5.tiff"/><Relationship Id="rId14" Type="http://schemas.openxmlformats.org/officeDocument/2006/relationships/image" Target="media/image1.png"/><Relationship Id="rId30" Type="http://schemas.openxmlformats.org/officeDocument/2006/relationships/hyperlink" Target="https://doi.org/10.1051/0004-6361/202449451" TargetMode="External"/><Relationship Id="rId35" Type="http://schemas.openxmlformats.org/officeDocument/2006/relationships/hyperlink" Target="https://doi.org/10.1063/5.0191404" TargetMode="External"/><Relationship Id="rId56" Type="http://schemas.openxmlformats.org/officeDocument/2006/relationships/hyperlink" Target="https://doi.org/10.48550/ARXIV.1304.3017" TargetMode="External"/><Relationship Id="rId77" Type="http://schemas.openxmlformats.org/officeDocument/2006/relationships/hyperlink" Target="http://arxiv.org/abs/astro-ph/0406183" TargetMode="External"/><Relationship Id="rId100" Type="http://schemas.openxmlformats.org/officeDocument/2006/relationships/header" Target="header5.xml"/><Relationship Id="rId105" Type="http://schemas.openxmlformats.org/officeDocument/2006/relationships/header" Target="header8.xml"/><Relationship Id="rId8" Type="http://schemas.openxmlformats.org/officeDocument/2006/relationships/header" Target="header1.xml"/><Relationship Id="rId51" Type="http://schemas.openxmlformats.org/officeDocument/2006/relationships/hyperlink" Target="https://doi.org/10.1093/mnras/stab3295" TargetMode="External"/><Relationship Id="rId72" Type="http://schemas.openxmlformats.org/officeDocument/2006/relationships/hyperlink" Target="https://doi.org/10.1051/0004-6361:20066618" TargetMode="External"/><Relationship Id="rId93" Type="http://schemas.openxmlformats.org/officeDocument/2006/relationships/hyperlink" Target="https://doi.org/10.1051/0004-6361/202347620" TargetMode="External"/><Relationship Id="rId98" Type="http://schemas.openxmlformats.org/officeDocument/2006/relationships/hyperlink" Target="https://doi.org/10.1093/mnras/stac214" TargetMode="External"/><Relationship Id="rId3" Type="http://schemas.openxmlformats.org/officeDocument/2006/relationships/styles" Target="styles.xml"/><Relationship Id="rId25" Type="http://schemas.openxmlformats.org/officeDocument/2006/relationships/hyperlink" Target="https://doi.org/10.1051/0004-6361/202243171" TargetMode="External"/><Relationship Id="rId46" Type="http://schemas.openxmlformats.org/officeDocument/2006/relationships/hyperlink" Target="https://doi.org/10.1093/mnras/stab147" TargetMode="External"/><Relationship Id="rId67" Type="http://schemas.openxmlformats.org/officeDocument/2006/relationships/hyperlink" Target="https://doi.org/10.1051/0004-6361/201015741" TargetMode="External"/><Relationship Id="rId20" Type="http://schemas.openxmlformats.org/officeDocument/2006/relationships/hyperlink" Target="https://doi.org/10.1007/s12036-023-09941-z" TargetMode="External"/><Relationship Id="rId41" Type="http://schemas.openxmlformats.org/officeDocument/2006/relationships/hyperlink" Target="https://doi.org/10.1051/0004-6361/200811496" TargetMode="External"/><Relationship Id="rId62" Type="http://schemas.openxmlformats.org/officeDocument/2006/relationships/hyperlink" Target="https://doi.org/10.3847/1538-4357/ac666f" TargetMode="External"/><Relationship Id="rId83" Type="http://schemas.openxmlformats.org/officeDocument/2006/relationships/hyperlink" Target="https://doi.org/10.1093/mnras/stae1535" TargetMode="External"/><Relationship Id="rId88" Type="http://schemas.openxmlformats.org/officeDocument/2006/relationships/hyperlink" Target="https://doi.org/10.48550/ARXIV.2205.033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7CEDC-BBB4-4D9F-9A48-6EB941967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21</Pages>
  <Words>10994</Words>
  <Characters>62666</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73513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2025-08-15T10:52:00Z</cp:lastPrinted>
  <dcterms:created xsi:type="dcterms:W3CDTF">2025-08-15T10:52:00Z</dcterms:created>
  <dcterms:modified xsi:type="dcterms:W3CDTF">2025-08-16T13:25:00Z</dcterms:modified>
</cp:coreProperties>
</file>